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140" w:rsidRDefault="00A207BA">
      <w:pPr>
        <w:pStyle w:val="Listaszerbekezds"/>
        <w:numPr>
          <w:ilvl w:val="0"/>
          <w:numId w:val="1"/>
        </w:numPr>
        <w:ind w:left="567" w:hanging="567"/>
        <w:rPr>
          <w:b/>
          <w:bCs/>
          <w:lang w:val="hu-HU"/>
        </w:rPr>
      </w:pPr>
      <w:bookmarkStart w:id="0" w:name="_GoBack"/>
      <w:bookmarkEnd w:id="0"/>
      <w:r>
        <w:rPr>
          <w:b/>
          <w:bCs/>
          <w:lang w:val="hu-HU"/>
        </w:rPr>
        <w:t>A</w:t>
      </w:r>
      <w:r>
        <w:rPr>
          <w:b/>
          <w:bCs/>
          <w:spacing w:val="-3"/>
          <w:lang w:val="hu-HU"/>
        </w:rPr>
        <w:t xml:space="preserve"> </w:t>
      </w:r>
      <w:r>
        <w:rPr>
          <w:b/>
          <w:bCs/>
          <w:lang w:val="hu-HU"/>
        </w:rPr>
        <w:t>GYÓGYSZER</w:t>
      </w:r>
      <w:r>
        <w:rPr>
          <w:b/>
          <w:bCs/>
          <w:spacing w:val="-2"/>
          <w:lang w:val="hu-HU"/>
        </w:rPr>
        <w:t xml:space="preserve"> </w:t>
      </w:r>
      <w:r>
        <w:rPr>
          <w:b/>
          <w:bCs/>
          <w:lang w:val="hu-HU"/>
        </w:rPr>
        <w:t>NEVE</w:t>
      </w:r>
    </w:p>
    <w:p w:rsidR="007D7140" w:rsidRDefault="007D7140">
      <w:pPr>
        <w:rPr>
          <w:lang w:val="hu-HU"/>
        </w:rPr>
      </w:pPr>
    </w:p>
    <w:p w:rsidR="007D7140" w:rsidRDefault="00A207BA">
      <w:pPr>
        <w:rPr>
          <w:lang w:val="hu-HU"/>
        </w:rPr>
      </w:pPr>
      <w:r>
        <w:rPr>
          <w:lang w:val="hu-HU"/>
        </w:rPr>
        <w:t>Dabigatran etexilate Sandoz</w:t>
      </w:r>
      <w:r>
        <w:rPr>
          <w:spacing w:val="-4"/>
          <w:lang w:val="hu-HU"/>
        </w:rPr>
        <w:t xml:space="preserve"> </w:t>
      </w:r>
      <w:r>
        <w:rPr>
          <w:lang w:val="hu-HU"/>
        </w:rPr>
        <w:t>110</w:t>
      </w:r>
      <w:r>
        <w:rPr>
          <w:spacing w:val="-2"/>
          <w:lang w:val="hu-HU"/>
        </w:rPr>
        <w:t> mg</w:t>
      </w:r>
      <w:r>
        <w:rPr>
          <w:spacing w:val="-3"/>
          <w:lang w:val="hu-HU"/>
        </w:rPr>
        <w:t xml:space="preserve"> </w:t>
      </w:r>
      <w:r>
        <w:rPr>
          <w:lang w:val="hu-HU"/>
        </w:rPr>
        <w:t>kemény</w:t>
      </w:r>
      <w:r>
        <w:rPr>
          <w:spacing w:val="-4"/>
          <w:lang w:val="hu-HU"/>
        </w:rPr>
        <w:t xml:space="preserve"> </w:t>
      </w:r>
      <w:r>
        <w:rPr>
          <w:lang w:val="hu-HU"/>
        </w:rPr>
        <w:t>kapszula</w:t>
      </w:r>
    </w:p>
    <w:p w:rsidR="007D7140" w:rsidRDefault="007D7140">
      <w:pPr>
        <w:rPr>
          <w:lang w:val="hu-HU"/>
        </w:rPr>
      </w:pPr>
    </w:p>
    <w:p w:rsidR="007D7140" w:rsidRDefault="007D7140">
      <w:pPr>
        <w:rPr>
          <w:lang w:val="hu-HU"/>
        </w:rPr>
      </w:pPr>
    </w:p>
    <w:p w:rsidR="007D7140" w:rsidRDefault="00A207BA">
      <w:pPr>
        <w:tabs>
          <w:tab w:val="left" w:pos="567"/>
        </w:tabs>
        <w:rPr>
          <w:b/>
          <w:bCs/>
          <w:lang w:val="hu-HU"/>
        </w:rPr>
      </w:pPr>
      <w:r>
        <w:rPr>
          <w:b/>
          <w:bCs/>
          <w:lang w:val="hu-HU"/>
        </w:rPr>
        <w:t>2.</w:t>
      </w:r>
      <w:r>
        <w:rPr>
          <w:b/>
          <w:bCs/>
          <w:lang w:val="hu-HU"/>
        </w:rPr>
        <w:tab/>
        <w:t>MINŐSÉGI</w:t>
      </w:r>
      <w:r>
        <w:rPr>
          <w:b/>
          <w:bCs/>
          <w:spacing w:val="-4"/>
          <w:lang w:val="hu-HU"/>
        </w:rPr>
        <w:t xml:space="preserve"> </w:t>
      </w:r>
      <w:r>
        <w:rPr>
          <w:b/>
          <w:bCs/>
          <w:lang w:val="hu-HU"/>
        </w:rPr>
        <w:t>ÉS</w:t>
      </w:r>
      <w:r>
        <w:rPr>
          <w:b/>
          <w:bCs/>
          <w:spacing w:val="-4"/>
          <w:lang w:val="hu-HU"/>
        </w:rPr>
        <w:t xml:space="preserve"> </w:t>
      </w:r>
      <w:r>
        <w:rPr>
          <w:b/>
          <w:bCs/>
          <w:lang w:val="hu-HU"/>
        </w:rPr>
        <w:t>MENNYISÉGI</w:t>
      </w:r>
      <w:r>
        <w:rPr>
          <w:b/>
          <w:bCs/>
          <w:spacing w:val="-3"/>
          <w:lang w:val="hu-HU"/>
        </w:rPr>
        <w:t xml:space="preserve"> </w:t>
      </w:r>
      <w:r>
        <w:rPr>
          <w:b/>
          <w:bCs/>
          <w:lang w:val="hu-HU"/>
        </w:rPr>
        <w:t>ÖSSZETÉTEL</w:t>
      </w:r>
    </w:p>
    <w:p w:rsidR="007D7140" w:rsidRDefault="007D7140">
      <w:pPr>
        <w:rPr>
          <w:lang w:val="hu-HU"/>
        </w:rPr>
      </w:pPr>
    </w:p>
    <w:p w:rsidR="007D7140" w:rsidRDefault="00A207BA">
      <w:pPr>
        <w:rPr>
          <w:lang w:val="hu-HU"/>
        </w:rPr>
      </w:pPr>
      <w:r>
        <w:rPr>
          <w:lang w:val="hu-HU"/>
        </w:rPr>
        <w:t>110 mg dabigatrán</w:t>
      </w:r>
      <w:r>
        <w:rPr>
          <w:lang w:val="hu-HU"/>
        </w:rPr>
        <w:noBreakHyphen/>
        <w:t xml:space="preserve">etexilát (mezilát formájában) kemény kapszulánként. </w:t>
      </w:r>
    </w:p>
    <w:p w:rsidR="007D7140" w:rsidRDefault="007D7140">
      <w:pPr>
        <w:rPr>
          <w:lang w:val="hu-HU"/>
        </w:rPr>
      </w:pPr>
    </w:p>
    <w:p w:rsidR="007D7140" w:rsidRDefault="00A207BA">
      <w:pPr>
        <w:rPr>
          <w:lang w:val="hu-HU"/>
        </w:rPr>
      </w:pPr>
      <w:r>
        <w:rPr>
          <w:lang w:val="hu-HU"/>
        </w:rPr>
        <w:t>A segédanyagok teljes</w:t>
      </w:r>
      <w:r>
        <w:rPr>
          <w:spacing w:val="-1"/>
          <w:lang w:val="hu-HU"/>
        </w:rPr>
        <w:t xml:space="preserve"> </w:t>
      </w:r>
      <w:r>
        <w:rPr>
          <w:lang w:val="hu-HU"/>
        </w:rPr>
        <w:t>listáját</w:t>
      </w:r>
      <w:r>
        <w:rPr>
          <w:spacing w:val="-2"/>
          <w:lang w:val="hu-HU"/>
        </w:rPr>
        <w:t xml:space="preserve"> </w:t>
      </w:r>
      <w:r>
        <w:rPr>
          <w:lang w:val="hu-HU"/>
        </w:rPr>
        <w:t>lásd</w:t>
      </w:r>
      <w:r>
        <w:rPr>
          <w:spacing w:val="-1"/>
          <w:lang w:val="hu-HU"/>
        </w:rPr>
        <w:t xml:space="preserve"> </w:t>
      </w:r>
      <w:r>
        <w:rPr>
          <w:lang w:val="hu-HU"/>
        </w:rPr>
        <w:t>a</w:t>
      </w:r>
      <w:r>
        <w:rPr>
          <w:spacing w:val="-2"/>
          <w:lang w:val="hu-HU"/>
        </w:rPr>
        <w:t xml:space="preserve"> </w:t>
      </w:r>
      <w:r>
        <w:rPr>
          <w:lang w:val="hu-HU"/>
        </w:rPr>
        <w:t>6.1</w:t>
      </w:r>
      <w:r>
        <w:rPr>
          <w:spacing w:val="-1"/>
          <w:lang w:val="hu-HU"/>
        </w:rPr>
        <w:t> pont</w:t>
      </w:r>
      <w:r>
        <w:rPr>
          <w:lang w:val="hu-HU"/>
        </w:rPr>
        <w:t>ban.</w:t>
      </w:r>
    </w:p>
    <w:p w:rsidR="007D7140" w:rsidRDefault="007D7140">
      <w:pPr>
        <w:rPr>
          <w:lang w:val="hu-HU"/>
        </w:rPr>
      </w:pPr>
    </w:p>
    <w:p w:rsidR="007D7140" w:rsidRDefault="007D7140">
      <w:pPr>
        <w:rPr>
          <w:lang w:val="hu-HU"/>
        </w:rPr>
      </w:pPr>
    </w:p>
    <w:p w:rsidR="007D7140" w:rsidRDefault="00A207BA">
      <w:pPr>
        <w:tabs>
          <w:tab w:val="left" w:pos="567"/>
        </w:tabs>
        <w:rPr>
          <w:b/>
          <w:bCs/>
          <w:lang w:val="hu-HU"/>
        </w:rPr>
      </w:pPr>
      <w:r>
        <w:rPr>
          <w:b/>
          <w:bCs/>
          <w:lang w:val="hu-HU"/>
        </w:rPr>
        <w:t>3.</w:t>
      </w:r>
      <w:r>
        <w:rPr>
          <w:b/>
          <w:bCs/>
          <w:lang w:val="hu-HU"/>
        </w:rPr>
        <w:tab/>
        <w:t>GYÓGYSZERFORMA</w:t>
      </w:r>
    </w:p>
    <w:p w:rsidR="007D7140" w:rsidRDefault="007D7140">
      <w:pPr>
        <w:rPr>
          <w:lang w:val="hu-HU"/>
        </w:rPr>
      </w:pPr>
    </w:p>
    <w:p w:rsidR="007D7140" w:rsidRDefault="00A207BA">
      <w:pPr>
        <w:rPr>
          <w:lang w:val="hu-HU"/>
        </w:rPr>
      </w:pPr>
      <w:r>
        <w:rPr>
          <w:lang w:val="hu-HU"/>
        </w:rPr>
        <w:t>Kemény</w:t>
      </w:r>
      <w:r>
        <w:rPr>
          <w:spacing w:val="-5"/>
          <w:lang w:val="hu-HU"/>
        </w:rPr>
        <w:t xml:space="preserve"> </w:t>
      </w:r>
      <w:r>
        <w:rPr>
          <w:lang w:val="hu-HU"/>
        </w:rPr>
        <w:t>kapszula.</w:t>
      </w:r>
    </w:p>
    <w:p w:rsidR="007D7140" w:rsidRDefault="007D7140">
      <w:pPr>
        <w:rPr>
          <w:lang w:val="hu-HU"/>
        </w:rPr>
      </w:pPr>
    </w:p>
    <w:p w:rsidR="007D7140" w:rsidRDefault="00A207BA">
      <w:pPr>
        <w:rPr>
          <w:lang w:val="hu-HU"/>
        </w:rPr>
      </w:pPr>
      <w:r>
        <w:rPr>
          <w:lang w:val="hu-HU"/>
        </w:rPr>
        <w:t>Fehér és világossárga színű pelletek, valamint világossárga színű granulátum keverékét tartalmazó „1”-es méretű kapszula, fekete „MD” felirattal ellátott, fehér színű, átlátszatlan felső résszel és fekete „110” felirattal ellátott, fehér színű, átlátszatlan alsó résszel.</w:t>
      </w:r>
    </w:p>
    <w:p w:rsidR="007D7140" w:rsidRDefault="00A207BA">
      <w:pPr>
        <w:rPr>
          <w:lang w:val="hu-HU"/>
        </w:rPr>
      </w:pPr>
      <w:r>
        <w:rPr>
          <w:lang w:val="hu-HU"/>
        </w:rPr>
        <w:t>Méretek: kb. 19,8 mm × 6,9 mm.</w:t>
      </w:r>
    </w:p>
    <w:p w:rsidR="007D7140" w:rsidRDefault="007D7140">
      <w:pPr>
        <w:rPr>
          <w:lang w:val="hu-HU"/>
        </w:rPr>
      </w:pPr>
    </w:p>
    <w:p w:rsidR="007D7140" w:rsidRDefault="007D7140">
      <w:pPr>
        <w:rPr>
          <w:lang w:val="hu-HU"/>
        </w:rPr>
      </w:pPr>
    </w:p>
    <w:p w:rsidR="007D7140" w:rsidRDefault="00A207BA">
      <w:pPr>
        <w:tabs>
          <w:tab w:val="left" w:pos="567"/>
        </w:tabs>
        <w:rPr>
          <w:b/>
          <w:bCs/>
          <w:lang w:val="hu-HU"/>
        </w:rPr>
      </w:pPr>
      <w:r>
        <w:rPr>
          <w:b/>
          <w:bCs/>
          <w:lang w:val="hu-HU"/>
        </w:rPr>
        <w:t>4.</w:t>
      </w:r>
      <w:r>
        <w:rPr>
          <w:b/>
          <w:bCs/>
          <w:lang w:val="hu-HU"/>
        </w:rPr>
        <w:tab/>
        <w:t>KLINIKAI</w:t>
      </w:r>
      <w:r>
        <w:rPr>
          <w:b/>
          <w:bCs/>
          <w:spacing w:val="-4"/>
          <w:lang w:val="hu-HU"/>
        </w:rPr>
        <w:t xml:space="preserve"> </w:t>
      </w:r>
      <w:r>
        <w:rPr>
          <w:b/>
          <w:bCs/>
          <w:lang w:val="hu-HU"/>
        </w:rPr>
        <w:t>JELLEMZŐK</w:t>
      </w:r>
    </w:p>
    <w:p w:rsidR="007D7140" w:rsidRDefault="007D7140">
      <w:pPr>
        <w:rPr>
          <w:lang w:val="hu-HU"/>
        </w:rPr>
      </w:pPr>
    </w:p>
    <w:p w:rsidR="007D7140" w:rsidRDefault="00A207BA">
      <w:pPr>
        <w:tabs>
          <w:tab w:val="left" w:pos="567"/>
        </w:tabs>
        <w:rPr>
          <w:b/>
          <w:bCs/>
          <w:lang w:val="hu-HU"/>
        </w:rPr>
      </w:pPr>
      <w:r>
        <w:rPr>
          <w:b/>
          <w:bCs/>
          <w:lang w:val="hu-HU"/>
        </w:rPr>
        <w:t>4.1</w:t>
      </w:r>
      <w:r>
        <w:rPr>
          <w:b/>
          <w:bCs/>
          <w:lang w:val="hu-HU"/>
        </w:rPr>
        <w:tab/>
        <w:t>Terápiás</w:t>
      </w:r>
      <w:r>
        <w:rPr>
          <w:b/>
          <w:bCs/>
          <w:spacing w:val="-6"/>
          <w:lang w:val="hu-HU"/>
        </w:rPr>
        <w:t xml:space="preserve"> </w:t>
      </w:r>
      <w:r>
        <w:rPr>
          <w:b/>
          <w:bCs/>
          <w:lang w:val="hu-HU"/>
        </w:rPr>
        <w:t>javallatok</w:t>
      </w:r>
    </w:p>
    <w:p w:rsidR="007D7140" w:rsidRDefault="007D7140">
      <w:pPr>
        <w:rPr>
          <w:lang w:val="hu-HU"/>
        </w:rPr>
      </w:pPr>
    </w:p>
    <w:p w:rsidR="007D7140" w:rsidRDefault="00A207BA">
      <w:pPr>
        <w:rPr>
          <w:lang w:val="hu-HU"/>
        </w:rPr>
      </w:pPr>
      <w:r>
        <w:rPr>
          <w:lang w:val="hu-HU"/>
        </w:rPr>
        <w:t>Vénás thromboemboliás események (VTE) primer prevenciója elektív, teljes csípőízületi endoprotézis vagy</w:t>
      </w:r>
      <w:r>
        <w:rPr>
          <w:spacing w:val="-1"/>
          <w:lang w:val="hu-HU"/>
        </w:rPr>
        <w:t xml:space="preserve"> </w:t>
      </w:r>
      <w:r>
        <w:rPr>
          <w:lang w:val="hu-HU"/>
        </w:rPr>
        <w:t>teljes</w:t>
      </w:r>
      <w:r>
        <w:rPr>
          <w:spacing w:val="-4"/>
          <w:lang w:val="hu-HU"/>
        </w:rPr>
        <w:t xml:space="preserve"> </w:t>
      </w:r>
      <w:r>
        <w:rPr>
          <w:lang w:val="hu-HU"/>
        </w:rPr>
        <w:t>térdízületi</w:t>
      </w:r>
      <w:r>
        <w:rPr>
          <w:spacing w:val="-1"/>
          <w:lang w:val="hu-HU"/>
        </w:rPr>
        <w:t xml:space="preserve"> </w:t>
      </w:r>
      <w:r>
        <w:rPr>
          <w:lang w:val="hu-HU"/>
        </w:rPr>
        <w:t>endoprotézis</w:t>
      </w:r>
      <w:r>
        <w:rPr>
          <w:spacing w:val="-2"/>
          <w:lang w:val="hu-HU"/>
        </w:rPr>
        <w:t xml:space="preserve"> </w:t>
      </w:r>
      <w:r>
        <w:rPr>
          <w:lang w:val="hu-HU"/>
        </w:rPr>
        <w:t>műtéten</w:t>
      </w:r>
      <w:r>
        <w:rPr>
          <w:spacing w:val="-1"/>
          <w:lang w:val="hu-HU"/>
        </w:rPr>
        <w:t xml:space="preserve"> </w:t>
      </w:r>
      <w:r>
        <w:rPr>
          <w:lang w:val="hu-HU"/>
        </w:rPr>
        <w:t>átesett</w:t>
      </w:r>
      <w:r>
        <w:rPr>
          <w:spacing w:val="-2"/>
          <w:lang w:val="hu-HU"/>
        </w:rPr>
        <w:t xml:space="preserve"> </w:t>
      </w:r>
      <w:r>
        <w:rPr>
          <w:lang w:val="hu-HU"/>
        </w:rPr>
        <w:t>felnőtt</w:t>
      </w:r>
      <w:r>
        <w:rPr>
          <w:spacing w:val="-2"/>
          <w:lang w:val="hu-HU"/>
        </w:rPr>
        <w:t xml:space="preserve"> </w:t>
      </w:r>
      <w:r>
        <w:rPr>
          <w:lang w:val="hu-HU"/>
        </w:rPr>
        <w:t>betegeknél.</w:t>
      </w:r>
    </w:p>
    <w:p w:rsidR="007D7140" w:rsidRDefault="007D7140">
      <w:pPr>
        <w:rPr>
          <w:lang w:val="hu-HU"/>
        </w:rPr>
      </w:pPr>
    </w:p>
    <w:p w:rsidR="007D7140" w:rsidRDefault="00A207BA">
      <w:pPr>
        <w:rPr>
          <w:lang w:val="hu-HU"/>
        </w:rPr>
      </w:pPr>
      <w:r>
        <w:rPr>
          <w:lang w:val="hu-HU"/>
        </w:rPr>
        <w:t>A</w:t>
      </w:r>
      <w:r>
        <w:rPr>
          <w:spacing w:val="-3"/>
          <w:lang w:val="hu-HU"/>
        </w:rPr>
        <w:t xml:space="preserve"> </w:t>
      </w:r>
      <w:r>
        <w:rPr>
          <w:lang w:val="hu-HU"/>
        </w:rPr>
        <w:t>stroke</w:t>
      </w:r>
      <w:r>
        <w:rPr>
          <w:spacing w:val="-3"/>
          <w:lang w:val="hu-HU"/>
        </w:rPr>
        <w:t xml:space="preserve"> </w:t>
      </w:r>
      <w:r>
        <w:rPr>
          <w:lang w:val="hu-HU"/>
        </w:rPr>
        <w:t>és</w:t>
      </w:r>
      <w:r>
        <w:rPr>
          <w:spacing w:val="-3"/>
          <w:lang w:val="hu-HU"/>
        </w:rPr>
        <w:t xml:space="preserve"> </w:t>
      </w:r>
      <w:r>
        <w:rPr>
          <w:lang w:val="hu-HU"/>
        </w:rPr>
        <w:t>a</w:t>
      </w:r>
      <w:r>
        <w:rPr>
          <w:spacing w:val="-3"/>
          <w:lang w:val="hu-HU"/>
        </w:rPr>
        <w:t xml:space="preserve"> </w:t>
      </w:r>
      <w:r>
        <w:rPr>
          <w:lang w:val="hu-HU"/>
        </w:rPr>
        <w:t>szisztémás</w:t>
      </w:r>
      <w:r>
        <w:rPr>
          <w:spacing w:val="-3"/>
          <w:lang w:val="hu-HU"/>
        </w:rPr>
        <w:t xml:space="preserve"> </w:t>
      </w:r>
      <w:r>
        <w:rPr>
          <w:lang w:val="hu-HU"/>
        </w:rPr>
        <w:t>embolizáció</w:t>
      </w:r>
      <w:r>
        <w:rPr>
          <w:spacing w:val="-3"/>
          <w:lang w:val="hu-HU"/>
        </w:rPr>
        <w:t xml:space="preserve"> </w:t>
      </w:r>
      <w:r>
        <w:rPr>
          <w:lang w:val="hu-HU"/>
        </w:rPr>
        <w:t>prevenciója</w:t>
      </w:r>
      <w:r>
        <w:rPr>
          <w:spacing w:val="-3"/>
          <w:lang w:val="hu-HU"/>
        </w:rPr>
        <w:t xml:space="preserve"> </w:t>
      </w:r>
      <w:r>
        <w:rPr>
          <w:lang w:val="hu-HU"/>
        </w:rPr>
        <w:t>nem</w:t>
      </w:r>
      <w:r>
        <w:rPr>
          <w:spacing w:val="-3"/>
          <w:lang w:val="hu-HU"/>
        </w:rPr>
        <w:t xml:space="preserve"> </w:t>
      </w:r>
      <w:r>
        <w:rPr>
          <w:lang w:val="hu-HU"/>
        </w:rPr>
        <w:t>billentyű</w:t>
      </w:r>
      <w:r>
        <w:rPr>
          <w:spacing w:val="-3"/>
          <w:lang w:val="hu-HU"/>
        </w:rPr>
        <w:t xml:space="preserve"> </w:t>
      </w:r>
      <w:r>
        <w:rPr>
          <w:lang w:val="hu-HU"/>
        </w:rPr>
        <w:t>eredetű</w:t>
      </w:r>
      <w:r>
        <w:rPr>
          <w:spacing w:val="-3"/>
          <w:lang w:val="hu-HU"/>
        </w:rPr>
        <w:t xml:space="preserve"> </w:t>
      </w:r>
      <w:r>
        <w:rPr>
          <w:lang w:val="hu-HU"/>
        </w:rPr>
        <w:t>pitvarfibrillációban</w:t>
      </w:r>
      <w:r>
        <w:rPr>
          <w:spacing w:val="-3"/>
          <w:lang w:val="hu-HU"/>
        </w:rPr>
        <w:t xml:space="preserve"> </w:t>
      </w:r>
      <w:r>
        <w:rPr>
          <w:lang w:val="hu-HU"/>
        </w:rPr>
        <w:t>(</w:t>
      </w:r>
      <w:r>
        <w:t xml:space="preserve">non-valvular atrial fibrillation, </w:t>
      </w:r>
      <w:r>
        <w:rPr>
          <w:lang w:val="hu-HU"/>
        </w:rPr>
        <w:t>NVAF) szenvedő felnőtt betegeknél, akiknél egy vagy több kockázati tényező áll fenn, mint például korábbi stroke vagy tranziens ischaemiás attak (TIA), 75 éves vagy azt meghaladó életkor, szívelégtelenség (NYHA ≥ II. stádium),</w:t>
      </w:r>
      <w:r>
        <w:rPr>
          <w:spacing w:val="-9"/>
          <w:lang w:val="hu-HU"/>
        </w:rPr>
        <w:t xml:space="preserve"> </w:t>
      </w:r>
      <w:r>
        <w:rPr>
          <w:lang w:val="hu-HU"/>
        </w:rPr>
        <w:t>diabetes</w:t>
      </w:r>
      <w:r>
        <w:rPr>
          <w:spacing w:val="-9"/>
          <w:lang w:val="hu-HU"/>
        </w:rPr>
        <w:t xml:space="preserve"> </w:t>
      </w:r>
      <w:r>
        <w:rPr>
          <w:lang w:val="hu-HU"/>
        </w:rPr>
        <w:t>mellitus,</w:t>
      </w:r>
      <w:r>
        <w:rPr>
          <w:spacing w:val="-8"/>
          <w:lang w:val="hu-HU"/>
        </w:rPr>
        <w:t xml:space="preserve"> </w:t>
      </w:r>
      <w:r>
        <w:rPr>
          <w:spacing w:val="-2"/>
          <w:lang w:val="hu-HU"/>
        </w:rPr>
        <w:t>hypertonia.</w:t>
      </w:r>
    </w:p>
    <w:p w:rsidR="007D7140" w:rsidRDefault="007D7140">
      <w:pPr>
        <w:rPr>
          <w:lang w:val="hu-HU"/>
        </w:rPr>
      </w:pPr>
    </w:p>
    <w:p w:rsidR="007D7140" w:rsidRDefault="00A207BA">
      <w:pPr>
        <w:rPr>
          <w:lang w:val="hu-HU"/>
        </w:rPr>
      </w:pPr>
      <w:r>
        <w:rPr>
          <w:lang w:val="hu-HU"/>
        </w:rPr>
        <w:t>Mélyvénás</w:t>
      </w:r>
      <w:r>
        <w:rPr>
          <w:spacing w:val="-3"/>
          <w:lang w:val="hu-HU"/>
        </w:rPr>
        <w:t xml:space="preserve"> </w:t>
      </w:r>
      <w:r>
        <w:rPr>
          <w:lang w:val="hu-HU"/>
        </w:rPr>
        <w:t>thrombosis</w:t>
      </w:r>
      <w:r>
        <w:rPr>
          <w:spacing w:val="-3"/>
          <w:lang w:val="hu-HU"/>
        </w:rPr>
        <w:t xml:space="preserve"> </w:t>
      </w:r>
      <w:r>
        <w:rPr>
          <w:lang w:val="hu-HU"/>
        </w:rPr>
        <w:t>(MVT)</w:t>
      </w:r>
      <w:r>
        <w:rPr>
          <w:spacing w:val="-3"/>
          <w:lang w:val="hu-HU"/>
        </w:rPr>
        <w:t xml:space="preserve"> </w:t>
      </w:r>
      <w:r>
        <w:rPr>
          <w:lang w:val="hu-HU"/>
        </w:rPr>
        <w:t>és</w:t>
      </w:r>
      <w:r>
        <w:rPr>
          <w:spacing w:val="-3"/>
          <w:lang w:val="hu-HU"/>
        </w:rPr>
        <w:t xml:space="preserve"> </w:t>
      </w:r>
      <w:r>
        <w:rPr>
          <w:lang w:val="hu-HU"/>
        </w:rPr>
        <w:t>pulmonalis</w:t>
      </w:r>
      <w:r>
        <w:rPr>
          <w:spacing w:val="-3"/>
          <w:lang w:val="hu-HU"/>
        </w:rPr>
        <w:t xml:space="preserve"> </w:t>
      </w:r>
      <w:r>
        <w:rPr>
          <w:lang w:val="hu-HU"/>
        </w:rPr>
        <w:t>embolia</w:t>
      </w:r>
      <w:r>
        <w:rPr>
          <w:spacing w:val="-3"/>
          <w:lang w:val="hu-HU"/>
        </w:rPr>
        <w:t xml:space="preserve"> </w:t>
      </w:r>
      <w:r>
        <w:rPr>
          <w:lang w:val="hu-HU"/>
        </w:rPr>
        <w:t>(PE)</w:t>
      </w:r>
      <w:r>
        <w:rPr>
          <w:spacing w:val="-3"/>
          <w:lang w:val="hu-HU"/>
        </w:rPr>
        <w:t xml:space="preserve"> </w:t>
      </w:r>
      <w:r>
        <w:rPr>
          <w:lang w:val="hu-HU"/>
        </w:rPr>
        <w:t>kezelése,</w:t>
      </w:r>
      <w:r>
        <w:rPr>
          <w:spacing w:val="-3"/>
          <w:lang w:val="hu-HU"/>
        </w:rPr>
        <w:t xml:space="preserve"> </w:t>
      </w:r>
      <w:r>
        <w:rPr>
          <w:lang w:val="hu-HU"/>
        </w:rPr>
        <w:t>és</w:t>
      </w:r>
      <w:r>
        <w:rPr>
          <w:spacing w:val="-3"/>
          <w:lang w:val="hu-HU"/>
        </w:rPr>
        <w:t xml:space="preserve"> </w:t>
      </w:r>
      <w:r>
        <w:rPr>
          <w:lang w:val="hu-HU"/>
        </w:rPr>
        <w:t>az</w:t>
      </w:r>
      <w:r>
        <w:rPr>
          <w:spacing w:val="-3"/>
          <w:lang w:val="hu-HU"/>
        </w:rPr>
        <w:t xml:space="preserve"> </w:t>
      </w:r>
      <w:r>
        <w:rPr>
          <w:lang w:val="hu-HU"/>
        </w:rPr>
        <w:t>MVT</w:t>
      </w:r>
      <w:r>
        <w:rPr>
          <w:spacing w:val="-3"/>
          <w:lang w:val="hu-HU"/>
        </w:rPr>
        <w:t xml:space="preserve"> </w:t>
      </w:r>
      <w:r>
        <w:rPr>
          <w:lang w:val="hu-HU"/>
        </w:rPr>
        <w:t>és</w:t>
      </w:r>
      <w:r>
        <w:rPr>
          <w:spacing w:val="-3"/>
          <w:lang w:val="hu-HU"/>
        </w:rPr>
        <w:t xml:space="preserve"> a </w:t>
      </w:r>
      <w:r>
        <w:rPr>
          <w:lang w:val="hu-HU"/>
        </w:rPr>
        <w:t>PE</w:t>
      </w:r>
      <w:r>
        <w:rPr>
          <w:spacing w:val="-3"/>
          <w:lang w:val="hu-HU"/>
        </w:rPr>
        <w:t xml:space="preserve"> </w:t>
      </w:r>
      <w:r>
        <w:rPr>
          <w:lang w:val="hu-HU"/>
        </w:rPr>
        <w:t>kiújulásának megelőzése felnőtt betegeknél.</w:t>
      </w:r>
    </w:p>
    <w:p w:rsidR="007D7140" w:rsidRDefault="007D7140">
      <w:pPr>
        <w:rPr>
          <w:lang w:val="hu-HU"/>
        </w:rPr>
      </w:pPr>
    </w:p>
    <w:p w:rsidR="007D7140" w:rsidRDefault="00A207BA">
      <w:pPr>
        <w:rPr>
          <w:lang w:val="hu-HU"/>
        </w:rPr>
      </w:pPr>
      <w:r>
        <w:rPr>
          <w:lang w:val="hu-HU"/>
        </w:rPr>
        <w:t>VTE</w:t>
      </w:r>
      <w:r>
        <w:rPr>
          <w:spacing w:val="-4"/>
          <w:lang w:val="hu-HU"/>
        </w:rPr>
        <w:t xml:space="preserve"> </w:t>
      </w:r>
      <w:r>
        <w:rPr>
          <w:lang w:val="hu-HU"/>
        </w:rPr>
        <w:t>kezelése</w:t>
      </w:r>
      <w:r>
        <w:rPr>
          <w:spacing w:val="-4"/>
          <w:lang w:val="hu-HU"/>
        </w:rPr>
        <w:t xml:space="preserve"> </w:t>
      </w:r>
      <w:r>
        <w:rPr>
          <w:lang w:val="hu-HU"/>
        </w:rPr>
        <w:t>és</w:t>
      </w:r>
      <w:r>
        <w:rPr>
          <w:spacing w:val="-4"/>
          <w:lang w:val="hu-HU"/>
        </w:rPr>
        <w:t xml:space="preserve"> </w:t>
      </w:r>
      <w:r>
        <w:rPr>
          <w:lang w:val="hu-HU"/>
        </w:rPr>
        <w:t>VTE</w:t>
      </w:r>
      <w:r>
        <w:rPr>
          <w:spacing w:val="-4"/>
          <w:lang w:val="hu-HU"/>
        </w:rPr>
        <w:t xml:space="preserve"> </w:t>
      </w:r>
      <w:r>
        <w:rPr>
          <w:lang w:val="hu-HU"/>
        </w:rPr>
        <w:t>kiújulásának</w:t>
      </w:r>
      <w:r>
        <w:rPr>
          <w:spacing w:val="-4"/>
          <w:lang w:val="hu-HU"/>
        </w:rPr>
        <w:t xml:space="preserve"> </w:t>
      </w:r>
      <w:r>
        <w:rPr>
          <w:lang w:val="hu-HU"/>
        </w:rPr>
        <w:t>megelőzése</w:t>
      </w:r>
      <w:r>
        <w:rPr>
          <w:spacing w:val="-4"/>
          <w:lang w:val="hu-HU"/>
        </w:rPr>
        <w:t xml:space="preserve"> </w:t>
      </w:r>
      <w:r>
        <w:rPr>
          <w:lang w:val="hu-HU"/>
        </w:rPr>
        <w:t>gyermekeknél</w:t>
      </w:r>
      <w:r>
        <w:rPr>
          <w:spacing w:val="-4"/>
          <w:lang w:val="hu-HU"/>
        </w:rPr>
        <w:t xml:space="preserve"> </w:t>
      </w:r>
      <w:r>
        <w:rPr>
          <w:lang w:val="hu-HU"/>
        </w:rPr>
        <w:t>és</w:t>
      </w:r>
      <w:r>
        <w:rPr>
          <w:spacing w:val="-4"/>
          <w:lang w:val="hu-HU"/>
        </w:rPr>
        <w:t xml:space="preserve"> </w:t>
      </w:r>
      <w:r>
        <w:rPr>
          <w:lang w:val="hu-HU"/>
        </w:rPr>
        <w:t xml:space="preserve">serdülőknél, attól kezdve, hogy a gyermek képes pépes ételt lenyelni, a 18. életév betöltéséig. </w:t>
      </w:r>
    </w:p>
    <w:p w:rsidR="007D7140" w:rsidRDefault="007D7140">
      <w:pPr>
        <w:rPr>
          <w:lang w:val="hu-HU"/>
        </w:rPr>
      </w:pPr>
    </w:p>
    <w:p w:rsidR="007D7140" w:rsidRDefault="00A207BA">
      <w:pPr>
        <w:rPr>
          <w:lang w:val="hu-HU"/>
        </w:rPr>
      </w:pPr>
      <w:r>
        <w:rPr>
          <w:lang w:val="hu-HU"/>
        </w:rPr>
        <w:t>Az</w:t>
      </w:r>
      <w:r>
        <w:rPr>
          <w:spacing w:val="-4"/>
          <w:lang w:val="hu-HU"/>
        </w:rPr>
        <w:t xml:space="preserve"> </w:t>
      </w:r>
      <w:r>
        <w:rPr>
          <w:lang w:val="hu-HU"/>
        </w:rPr>
        <w:t>életkornak</w:t>
      </w:r>
      <w:r>
        <w:rPr>
          <w:spacing w:val="-4"/>
          <w:lang w:val="hu-HU"/>
        </w:rPr>
        <w:t xml:space="preserve"> </w:t>
      </w:r>
      <w:r>
        <w:rPr>
          <w:lang w:val="hu-HU"/>
        </w:rPr>
        <w:t>megfelelő</w:t>
      </w:r>
      <w:r>
        <w:rPr>
          <w:spacing w:val="-4"/>
          <w:lang w:val="hu-HU"/>
        </w:rPr>
        <w:t xml:space="preserve"> </w:t>
      </w:r>
      <w:r>
        <w:rPr>
          <w:lang w:val="hu-HU"/>
        </w:rPr>
        <w:t>dózisformákért</w:t>
      </w:r>
      <w:r>
        <w:rPr>
          <w:spacing w:val="-4"/>
          <w:lang w:val="hu-HU"/>
        </w:rPr>
        <w:t xml:space="preserve"> </w:t>
      </w:r>
      <w:r>
        <w:rPr>
          <w:lang w:val="hu-HU"/>
        </w:rPr>
        <w:t>lásd</w:t>
      </w:r>
      <w:r>
        <w:rPr>
          <w:spacing w:val="-4"/>
          <w:lang w:val="hu-HU"/>
        </w:rPr>
        <w:t xml:space="preserve"> </w:t>
      </w:r>
      <w:r>
        <w:rPr>
          <w:lang w:val="hu-HU"/>
        </w:rPr>
        <w:t>a</w:t>
      </w:r>
      <w:r>
        <w:rPr>
          <w:spacing w:val="-4"/>
          <w:lang w:val="hu-HU"/>
        </w:rPr>
        <w:t xml:space="preserve"> </w:t>
      </w:r>
      <w:r>
        <w:rPr>
          <w:lang w:val="hu-HU"/>
        </w:rPr>
        <w:t>4.2</w:t>
      </w:r>
      <w:r>
        <w:rPr>
          <w:spacing w:val="-8"/>
          <w:lang w:val="hu-HU"/>
        </w:rPr>
        <w:t> pont</w:t>
      </w:r>
      <w:r>
        <w:rPr>
          <w:lang w:val="hu-HU"/>
        </w:rPr>
        <w:t>ot.</w:t>
      </w:r>
    </w:p>
    <w:p w:rsidR="007D7140" w:rsidRDefault="007D7140">
      <w:pPr>
        <w:rPr>
          <w:lang w:val="hu-HU"/>
        </w:rPr>
      </w:pPr>
    </w:p>
    <w:p w:rsidR="007D7140" w:rsidRDefault="00A207BA">
      <w:pPr>
        <w:tabs>
          <w:tab w:val="left" w:pos="567"/>
        </w:tabs>
        <w:rPr>
          <w:b/>
          <w:bCs/>
          <w:lang w:val="hu-HU"/>
        </w:rPr>
      </w:pPr>
      <w:r>
        <w:rPr>
          <w:b/>
          <w:bCs/>
          <w:lang w:val="hu-HU"/>
        </w:rPr>
        <w:t>4.2</w:t>
      </w:r>
      <w:r>
        <w:rPr>
          <w:b/>
          <w:bCs/>
          <w:lang w:val="hu-HU"/>
        </w:rPr>
        <w:tab/>
        <w:t>Adagolás</w:t>
      </w:r>
      <w:r>
        <w:rPr>
          <w:b/>
          <w:bCs/>
          <w:spacing w:val="-5"/>
          <w:lang w:val="hu-HU"/>
        </w:rPr>
        <w:t xml:space="preserve"> </w:t>
      </w:r>
      <w:r>
        <w:rPr>
          <w:b/>
          <w:bCs/>
          <w:lang w:val="hu-HU"/>
        </w:rPr>
        <w:t>és</w:t>
      </w:r>
      <w:r>
        <w:rPr>
          <w:b/>
          <w:bCs/>
          <w:spacing w:val="-4"/>
          <w:lang w:val="hu-HU"/>
        </w:rPr>
        <w:t xml:space="preserve"> </w:t>
      </w:r>
      <w:r>
        <w:rPr>
          <w:b/>
          <w:bCs/>
          <w:lang w:val="hu-HU"/>
        </w:rPr>
        <w:t>alkalmazás</w:t>
      </w:r>
    </w:p>
    <w:p w:rsidR="007D7140" w:rsidRDefault="007D7140">
      <w:pPr>
        <w:rPr>
          <w:lang w:val="hu-HU"/>
        </w:rPr>
      </w:pPr>
    </w:p>
    <w:p w:rsidR="007D7140" w:rsidRDefault="00A207BA">
      <w:pPr>
        <w:rPr>
          <w:lang w:val="hu-HU"/>
        </w:rPr>
      </w:pPr>
      <w:r>
        <w:rPr>
          <w:u w:val="single"/>
          <w:lang w:val="hu-HU"/>
        </w:rPr>
        <w:t>Adagolás</w:t>
      </w:r>
    </w:p>
    <w:p w:rsidR="007D7140" w:rsidRDefault="007D7140">
      <w:pPr>
        <w:rPr>
          <w:lang w:val="hu-HU"/>
        </w:rPr>
      </w:pPr>
    </w:p>
    <w:p w:rsidR="007D7140" w:rsidRDefault="00A207BA">
      <w:pPr>
        <w:rPr>
          <w:lang w:val="hu-HU"/>
        </w:rPr>
      </w:pPr>
      <w:r>
        <w:rPr>
          <w:lang w:val="hu-HU"/>
        </w:rPr>
        <w:t>A Dabigatran etexilate Sandoz kapszula azoknál a felnőtteknél és 8 éves, valamint idősebb gyermekeknél, illetve serdülőknél alkalmazható, akik</w:t>
      </w:r>
      <w:r>
        <w:rPr>
          <w:spacing w:val="1"/>
          <w:lang w:val="hu-HU"/>
        </w:rPr>
        <w:t xml:space="preserve"> </w:t>
      </w:r>
      <w:r>
        <w:rPr>
          <w:lang w:val="hu-HU"/>
        </w:rPr>
        <w:t>képesek egészben lenyelni a kapszulákat. A dabigatrán</w:t>
      </w:r>
      <w:r>
        <w:rPr>
          <w:lang w:val="hu-HU"/>
        </w:rPr>
        <w:noBreakHyphen/>
        <w:t>etexilát bevont granulátum azoknál a 12 évesnél fiatalabb gyermekeknél alkalmazható, akik képesek a</w:t>
      </w:r>
      <w:r>
        <w:rPr>
          <w:spacing w:val="-2"/>
          <w:lang w:val="hu-HU"/>
        </w:rPr>
        <w:t xml:space="preserve"> </w:t>
      </w:r>
      <w:r>
        <w:rPr>
          <w:lang w:val="hu-HU"/>
        </w:rPr>
        <w:t>pépes</w:t>
      </w:r>
      <w:r>
        <w:rPr>
          <w:spacing w:val="-2"/>
          <w:lang w:val="hu-HU"/>
        </w:rPr>
        <w:t xml:space="preserve"> </w:t>
      </w:r>
      <w:r>
        <w:rPr>
          <w:lang w:val="hu-HU"/>
        </w:rPr>
        <w:t>ételek</w:t>
      </w:r>
      <w:r>
        <w:rPr>
          <w:spacing w:val="-2"/>
          <w:lang w:val="hu-HU"/>
        </w:rPr>
        <w:t xml:space="preserve"> </w:t>
      </w:r>
      <w:r>
        <w:rPr>
          <w:lang w:val="hu-HU"/>
        </w:rPr>
        <w:t>lenyelésére.</w:t>
      </w:r>
    </w:p>
    <w:p w:rsidR="007D7140" w:rsidRDefault="007D7140">
      <w:pPr>
        <w:rPr>
          <w:lang w:val="hu-HU"/>
        </w:rPr>
      </w:pPr>
    </w:p>
    <w:p w:rsidR="007D7140" w:rsidRDefault="00A207BA">
      <w:pPr>
        <w:rPr>
          <w:lang w:val="hu-HU"/>
        </w:rPr>
      </w:pPr>
      <w:r>
        <w:rPr>
          <w:lang w:val="hu-HU"/>
        </w:rPr>
        <w:t>A Dabigatran etexilate Sandoz kizárólag kemény kapszula formában érhető el. Kérjük, hogy 8 éves kor alatti gyermekek számára más gyógyszerformájú készítményt alkalmazzon.</w:t>
      </w:r>
    </w:p>
    <w:p w:rsidR="007D7140" w:rsidRDefault="007D7140">
      <w:pPr>
        <w:rPr>
          <w:lang w:val="hu-HU"/>
        </w:rPr>
      </w:pPr>
    </w:p>
    <w:p w:rsidR="007D7140" w:rsidRDefault="00A207BA">
      <w:pPr>
        <w:rPr>
          <w:lang w:val="hu-HU"/>
        </w:rPr>
      </w:pPr>
      <w:r>
        <w:rPr>
          <w:lang w:val="hu-HU"/>
        </w:rPr>
        <w:t xml:space="preserve">Gyógyszerformák közötti váltás esetén szükséges lehet a felírt dózis módosítása. </w:t>
      </w:r>
    </w:p>
    <w:p w:rsidR="007D7140" w:rsidRDefault="007D7140">
      <w:pPr>
        <w:rPr>
          <w:lang w:val="hu-HU"/>
        </w:rPr>
      </w:pPr>
    </w:p>
    <w:p w:rsidR="007D7140" w:rsidRDefault="00A207BA">
      <w:pPr>
        <w:rPr>
          <w:lang w:val="hu-HU"/>
        </w:rPr>
      </w:pPr>
      <w:bookmarkStart w:id="1" w:name="_Hlk139105145"/>
      <w:r>
        <w:rPr>
          <w:lang w:val="hu-HU"/>
        </w:rPr>
        <w:t>A felírt dózist az adott</w:t>
      </w:r>
      <w:r>
        <w:rPr>
          <w:spacing w:val="1"/>
          <w:lang w:val="hu-HU"/>
        </w:rPr>
        <w:t xml:space="preserve"> </w:t>
      </w:r>
      <w:r>
        <w:rPr>
          <w:lang w:val="hu-HU"/>
        </w:rPr>
        <w:t xml:space="preserve">gyógyszerforma adagolási táblázata alapján, a gyermek testtömegének és </w:t>
      </w:r>
      <w:r>
        <w:rPr>
          <w:lang w:val="hu-HU"/>
        </w:rPr>
        <w:lastRenderedPageBreak/>
        <w:t>életkorának megfelelően kell megállapítani.</w:t>
      </w:r>
    </w:p>
    <w:bookmarkEnd w:id="1"/>
    <w:p w:rsidR="007D7140" w:rsidRDefault="007D7140">
      <w:pPr>
        <w:rPr>
          <w:lang w:val="hu-HU"/>
        </w:rPr>
      </w:pPr>
    </w:p>
    <w:p w:rsidR="007D7140" w:rsidRDefault="00A207BA">
      <w:pPr>
        <w:rPr>
          <w:b/>
          <w:bCs/>
          <w:lang w:val="hu-HU"/>
        </w:rPr>
      </w:pPr>
      <w:r>
        <w:rPr>
          <w:b/>
          <w:bCs/>
          <w:i/>
          <w:u w:val="single"/>
          <w:lang w:val="hu-HU"/>
        </w:rPr>
        <w:t>VTE</w:t>
      </w:r>
      <w:r>
        <w:rPr>
          <w:b/>
          <w:bCs/>
          <w:i/>
          <w:spacing w:val="-5"/>
          <w:u w:val="single"/>
          <w:lang w:val="hu-HU"/>
        </w:rPr>
        <w:t xml:space="preserve"> </w:t>
      </w:r>
      <w:r>
        <w:rPr>
          <w:b/>
          <w:bCs/>
          <w:i/>
          <w:u w:val="single"/>
          <w:lang w:val="hu-HU"/>
        </w:rPr>
        <w:t>primer</w:t>
      </w:r>
      <w:r>
        <w:rPr>
          <w:b/>
          <w:bCs/>
          <w:i/>
          <w:spacing w:val="-5"/>
          <w:u w:val="single"/>
          <w:lang w:val="hu-HU"/>
        </w:rPr>
        <w:t xml:space="preserve"> </w:t>
      </w:r>
      <w:r>
        <w:rPr>
          <w:b/>
          <w:bCs/>
          <w:i/>
          <w:u w:val="single"/>
          <w:lang w:val="hu-HU"/>
        </w:rPr>
        <w:t>prevenciója</w:t>
      </w:r>
      <w:r>
        <w:rPr>
          <w:b/>
          <w:bCs/>
          <w:i/>
          <w:spacing w:val="-5"/>
          <w:u w:val="single"/>
          <w:lang w:val="hu-HU"/>
        </w:rPr>
        <w:t xml:space="preserve"> </w:t>
      </w:r>
      <w:r>
        <w:rPr>
          <w:b/>
          <w:bCs/>
          <w:i/>
          <w:u w:val="single"/>
          <w:lang w:val="hu-HU"/>
        </w:rPr>
        <w:t>ortopédiai</w:t>
      </w:r>
      <w:r>
        <w:rPr>
          <w:b/>
          <w:bCs/>
          <w:i/>
          <w:spacing w:val="-5"/>
          <w:u w:val="single"/>
          <w:lang w:val="hu-HU"/>
        </w:rPr>
        <w:t xml:space="preserve"> </w:t>
      </w:r>
      <w:r>
        <w:rPr>
          <w:b/>
          <w:bCs/>
          <w:i/>
          <w:u w:val="single"/>
          <w:lang w:val="hu-HU"/>
        </w:rPr>
        <w:t>műtéteknél</w:t>
      </w:r>
    </w:p>
    <w:p w:rsidR="007D7140" w:rsidRDefault="007D7140">
      <w:pPr>
        <w:rPr>
          <w:i/>
          <w:lang w:val="hu-HU"/>
        </w:rPr>
      </w:pPr>
    </w:p>
    <w:p w:rsidR="007D7140" w:rsidRDefault="00A207BA">
      <w:pPr>
        <w:rPr>
          <w:lang w:val="hu-HU"/>
        </w:rPr>
      </w:pPr>
      <w:bookmarkStart w:id="2" w:name="_Hlk139028069"/>
      <w:r>
        <w:rPr>
          <w:lang w:val="hu-HU"/>
        </w:rPr>
        <w:t>Az ortopédiai</w:t>
      </w:r>
      <w:r>
        <w:rPr>
          <w:spacing w:val="-2"/>
          <w:lang w:val="hu-HU"/>
        </w:rPr>
        <w:t xml:space="preserve"> </w:t>
      </w:r>
      <w:r>
        <w:rPr>
          <w:lang w:val="hu-HU"/>
        </w:rPr>
        <w:t>műtéteknél</w:t>
      </w:r>
      <w:r>
        <w:rPr>
          <w:spacing w:val="-1"/>
          <w:lang w:val="hu-HU"/>
        </w:rPr>
        <w:t xml:space="preserve"> előforduló vénás thromboembolia</w:t>
      </w:r>
      <w:r>
        <w:rPr>
          <w:lang w:val="hu-HU"/>
        </w:rPr>
        <w:t xml:space="preserve"> primer prevenciójára ajánlott dabigatrán</w:t>
      </w:r>
      <w:r>
        <w:rPr>
          <w:lang w:val="hu-HU"/>
        </w:rPr>
        <w:noBreakHyphen/>
        <w:t>etexilát dózisok és a terápia időtartama az 1.</w:t>
      </w:r>
      <w:r>
        <w:rPr>
          <w:spacing w:val="-1"/>
          <w:lang w:val="hu-HU"/>
        </w:rPr>
        <w:t xml:space="preserve"> </w:t>
      </w:r>
      <w:r>
        <w:rPr>
          <w:lang w:val="hu-HU"/>
        </w:rPr>
        <w:t>táblázatban</w:t>
      </w:r>
      <w:r>
        <w:rPr>
          <w:spacing w:val="-1"/>
          <w:lang w:val="hu-HU"/>
        </w:rPr>
        <w:t xml:space="preserve"> </w:t>
      </w:r>
      <w:r>
        <w:rPr>
          <w:lang w:val="hu-HU"/>
        </w:rPr>
        <w:t>találhatók.</w:t>
      </w:r>
    </w:p>
    <w:p w:rsidR="007D7140" w:rsidRDefault="007D7140">
      <w:pPr>
        <w:rPr>
          <w:lang w:val="hu-HU"/>
        </w:rPr>
      </w:pPr>
    </w:p>
    <w:p w:rsidR="007D7140" w:rsidRDefault="00A207BA">
      <w:pPr>
        <w:ind w:left="1134" w:hanging="1134"/>
        <w:rPr>
          <w:b/>
          <w:bCs/>
          <w:lang w:val="hu-HU"/>
        </w:rPr>
      </w:pPr>
      <w:r>
        <w:rPr>
          <w:b/>
          <w:bCs/>
          <w:lang w:val="hu-HU"/>
        </w:rPr>
        <w:t>1. táblázat:</w:t>
      </w:r>
      <w:r>
        <w:rPr>
          <w:b/>
          <w:bCs/>
          <w:spacing w:val="38"/>
          <w:lang w:val="hu-HU"/>
        </w:rPr>
        <w:t xml:space="preserve"> </w:t>
      </w:r>
      <w:r>
        <w:rPr>
          <w:b/>
          <w:bCs/>
          <w:lang w:val="hu-HU"/>
        </w:rPr>
        <w:t>Adagolási</w:t>
      </w:r>
      <w:r>
        <w:rPr>
          <w:b/>
          <w:bCs/>
          <w:spacing w:val="-4"/>
          <w:lang w:val="hu-HU"/>
        </w:rPr>
        <w:t xml:space="preserve"> </w:t>
      </w:r>
      <w:r>
        <w:rPr>
          <w:b/>
          <w:bCs/>
          <w:lang w:val="hu-HU"/>
        </w:rPr>
        <w:t>javaslat</w:t>
      </w:r>
      <w:r>
        <w:rPr>
          <w:b/>
          <w:bCs/>
          <w:spacing w:val="-4"/>
          <w:lang w:val="hu-HU"/>
        </w:rPr>
        <w:t xml:space="preserve"> </w:t>
      </w:r>
      <w:r>
        <w:rPr>
          <w:b/>
          <w:bCs/>
          <w:lang w:val="hu-HU"/>
        </w:rPr>
        <w:t>és</w:t>
      </w:r>
      <w:r>
        <w:rPr>
          <w:b/>
          <w:bCs/>
          <w:spacing w:val="-4"/>
          <w:lang w:val="hu-HU"/>
        </w:rPr>
        <w:t xml:space="preserve"> </w:t>
      </w:r>
      <w:r>
        <w:rPr>
          <w:b/>
          <w:bCs/>
          <w:lang w:val="hu-HU"/>
        </w:rPr>
        <w:t>a</w:t>
      </w:r>
      <w:r>
        <w:rPr>
          <w:b/>
          <w:bCs/>
          <w:spacing w:val="-3"/>
          <w:lang w:val="hu-HU"/>
        </w:rPr>
        <w:t xml:space="preserve"> </w:t>
      </w:r>
      <w:r>
        <w:rPr>
          <w:b/>
          <w:bCs/>
          <w:lang w:val="hu-HU"/>
        </w:rPr>
        <w:t>terápia</w:t>
      </w:r>
      <w:r>
        <w:rPr>
          <w:b/>
          <w:bCs/>
          <w:spacing w:val="-4"/>
          <w:lang w:val="hu-HU"/>
        </w:rPr>
        <w:t xml:space="preserve"> </w:t>
      </w:r>
      <w:r>
        <w:rPr>
          <w:b/>
          <w:bCs/>
          <w:lang w:val="hu-HU"/>
        </w:rPr>
        <w:t>időtartama</w:t>
      </w:r>
      <w:r>
        <w:rPr>
          <w:b/>
          <w:bCs/>
          <w:spacing w:val="-4"/>
          <w:lang w:val="hu-HU"/>
        </w:rPr>
        <w:t xml:space="preserve"> </w:t>
      </w:r>
      <w:r>
        <w:rPr>
          <w:b/>
          <w:bCs/>
          <w:lang w:val="hu-HU"/>
        </w:rPr>
        <w:t>az</w:t>
      </w:r>
      <w:r>
        <w:rPr>
          <w:b/>
          <w:bCs/>
          <w:spacing w:val="-4"/>
          <w:lang w:val="hu-HU"/>
        </w:rPr>
        <w:t xml:space="preserve"> </w:t>
      </w:r>
      <w:r>
        <w:rPr>
          <w:b/>
          <w:bCs/>
          <w:lang w:val="hu-HU"/>
        </w:rPr>
        <w:t>ortopédiai</w:t>
      </w:r>
      <w:r>
        <w:rPr>
          <w:b/>
          <w:bCs/>
          <w:spacing w:val="-2"/>
          <w:lang w:val="hu-HU"/>
        </w:rPr>
        <w:t xml:space="preserve"> </w:t>
      </w:r>
      <w:r>
        <w:rPr>
          <w:b/>
          <w:bCs/>
          <w:lang w:val="hu-HU"/>
        </w:rPr>
        <w:t xml:space="preserve">műtéteknél előforduló </w:t>
      </w:r>
      <w:r>
        <w:rPr>
          <w:b/>
          <w:bCs/>
          <w:spacing w:val="-1"/>
          <w:lang w:val="hu-HU"/>
        </w:rPr>
        <w:t>vénás thromboembolia</w:t>
      </w:r>
      <w:r>
        <w:rPr>
          <w:lang w:val="hu-HU"/>
        </w:rPr>
        <w:t xml:space="preserve"> </w:t>
      </w:r>
      <w:r>
        <w:rPr>
          <w:b/>
          <w:bCs/>
          <w:lang w:val="hu-HU"/>
        </w:rPr>
        <w:t>primer</w:t>
      </w:r>
      <w:r>
        <w:rPr>
          <w:b/>
          <w:bCs/>
          <w:spacing w:val="-4"/>
          <w:lang w:val="hu-HU"/>
        </w:rPr>
        <w:t xml:space="preserve"> </w:t>
      </w:r>
      <w:r>
        <w:rPr>
          <w:b/>
          <w:bCs/>
          <w:lang w:val="hu-HU"/>
        </w:rPr>
        <w:t xml:space="preserve">prevenciójára </w:t>
      </w:r>
    </w:p>
    <w:bookmarkEnd w:id="2"/>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2268"/>
        <w:gridCol w:w="1932"/>
        <w:gridCol w:w="1328"/>
      </w:tblGrid>
      <w:tr w:rsidR="007D7140">
        <w:trPr>
          <w:trHeight w:val="1132"/>
        </w:trPr>
        <w:tc>
          <w:tcPr>
            <w:tcW w:w="3544" w:type="dxa"/>
          </w:tcPr>
          <w:p w:rsidR="007D7140" w:rsidRDefault="007D7140">
            <w:pPr>
              <w:keepNext/>
              <w:widowControl/>
              <w:rPr>
                <w:lang w:val="hu-HU"/>
              </w:rPr>
            </w:pPr>
          </w:p>
        </w:tc>
        <w:tc>
          <w:tcPr>
            <w:tcW w:w="2268" w:type="dxa"/>
          </w:tcPr>
          <w:p w:rsidR="007D7140" w:rsidRDefault="00A207BA">
            <w:pPr>
              <w:keepNext/>
              <w:widowControl/>
              <w:ind w:left="137"/>
              <w:rPr>
                <w:b/>
                <w:bCs/>
                <w:lang w:val="hu-HU"/>
              </w:rPr>
            </w:pPr>
            <w:r>
              <w:rPr>
                <w:b/>
                <w:bCs/>
                <w:lang w:val="hu-HU"/>
              </w:rPr>
              <w:t>A kezelés elkezdése a</w:t>
            </w:r>
            <w:r>
              <w:rPr>
                <w:b/>
                <w:bCs/>
                <w:spacing w:val="1"/>
                <w:lang w:val="hu-HU"/>
              </w:rPr>
              <w:t xml:space="preserve"> </w:t>
            </w:r>
            <w:r>
              <w:rPr>
                <w:b/>
                <w:bCs/>
                <w:lang w:val="hu-HU"/>
              </w:rPr>
              <w:t>műtét napján, a</w:t>
            </w:r>
            <w:r>
              <w:rPr>
                <w:b/>
                <w:bCs/>
                <w:spacing w:val="1"/>
                <w:lang w:val="hu-HU"/>
              </w:rPr>
              <w:t xml:space="preserve"> </w:t>
            </w:r>
            <w:r>
              <w:rPr>
                <w:b/>
                <w:bCs/>
                <w:lang w:val="hu-HU"/>
              </w:rPr>
              <w:t>műtét befejezése után 1</w:t>
            </w:r>
            <w:r>
              <w:rPr>
                <w:b/>
                <w:bCs/>
                <w:lang w:val="hu-HU"/>
              </w:rPr>
              <w:noBreakHyphen/>
              <w:t>4 órával</w:t>
            </w:r>
          </w:p>
        </w:tc>
        <w:tc>
          <w:tcPr>
            <w:tcW w:w="1932" w:type="dxa"/>
          </w:tcPr>
          <w:p w:rsidR="007D7140" w:rsidRDefault="00A207BA">
            <w:pPr>
              <w:keepNext/>
              <w:widowControl/>
              <w:ind w:left="137"/>
              <w:rPr>
                <w:b/>
                <w:bCs/>
                <w:lang w:val="hu-HU"/>
              </w:rPr>
            </w:pPr>
            <w:r>
              <w:rPr>
                <w:b/>
                <w:bCs/>
                <w:lang w:val="hu-HU"/>
              </w:rPr>
              <w:t>Fenntartó dózis a műtét utáni</w:t>
            </w:r>
            <w:r>
              <w:rPr>
                <w:b/>
                <w:bCs/>
                <w:spacing w:val="1"/>
                <w:lang w:val="hu-HU"/>
              </w:rPr>
              <w:t xml:space="preserve"> </w:t>
            </w:r>
            <w:r>
              <w:rPr>
                <w:b/>
                <w:bCs/>
                <w:lang w:val="hu-HU"/>
              </w:rPr>
              <w:t>első napon</w:t>
            </w:r>
            <w:r>
              <w:rPr>
                <w:b/>
                <w:bCs/>
                <w:spacing w:val="1"/>
                <w:lang w:val="hu-HU"/>
              </w:rPr>
              <w:t xml:space="preserve"> </w:t>
            </w:r>
            <w:r>
              <w:rPr>
                <w:b/>
                <w:bCs/>
                <w:lang w:val="hu-HU"/>
              </w:rPr>
              <w:t>indítva</w:t>
            </w:r>
          </w:p>
        </w:tc>
        <w:tc>
          <w:tcPr>
            <w:tcW w:w="1328" w:type="dxa"/>
          </w:tcPr>
          <w:p w:rsidR="007D7140" w:rsidRDefault="00A207BA">
            <w:pPr>
              <w:keepNext/>
              <w:widowControl/>
              <w:ind w:left="137"/>
              <w:rPr>
                <w:b/>
                <w:bCs/>
                <w:lang w:val="hu-HU"/>
              </w:rPr>
            </w:pPr>
            <w:r>
              <w:rPr>
                <w:b/>
                <w:bCs/>
                <w:lang w:val="hu-HU"/>
              </w:rPr>
              <w:t>A fenntartó dózis időtartama</w:t>
            </w:r>
          </w:p>
        </w:tc>
      </w:tr>
      <w:tr w:rsidR="007D7140">
        <w:trPr>
          <w:trHeight w:val="625"/>
        </w:trPr>
        <w:tc>
          <w:tcPr>
            <w:tcW w:w="3544" w:type="dxa"/>
          </w:tcPr>
          <w:p w:rsidR="007D7140" w:rsidRDefault="00A207BA">
            <w:pPr>
              <w:keepNext/>
              <w:widowControl/>
              <w:ind w:left="142"/>
              <w:rPr>
                <w:lang w:val="hu-HU"/>
              </w:rPr>
            </w:pPr>
            <w:r>
              <w:rPr>
                <w:lang w:val="hu-HU"/>
              </w:rPr>
              <w:t>Elektív térdízületi endoprotézis műtét utáni</w:t>
            </w:r>
            <w:r>
              <w:rPr>
                <w:spacing w:val="-1"/>
                <w:lang w:val="hu-HU"/>
              </w:rPr>
              <w:t xml:space="preserve"> </w:t>
            </w:r>
            <w:r>
              <w:rPr>
                <w:lang w:val="hu-HU"/>
              </w:rPr>
              <w:t>betegek</w:t>
            </w:r>
          </w:p>
        </w:tc>
        <w:tc>
          <w:tcPr>
            <w:tcW w:w="2268" w:type="dxa"/>
            <w:vMerge w:val="restart"/>
          </w:tcPr>
          <w:p w:rsidR="007D7140" w:rsidRDefault="00A207BA">
            <w:pPr>
              <w:keepNext/>
              <w:widowControl/>
              <w:ind w:left="137"/>
              <w:rPr>
                <w:lang w:val="hu-HU"/>
              </w:rPr>
            </w:pPr>
            <w:r>
              <w:rPr>
                <w:lang w:val="hu-HU"/>
              </w:rPr>
              <w:t>1 darab 110 mg-os</w:t>
            </w:r>
            <w:r>
              <w:rPr>
                <w:spacing w:val="-53"/>
                <w:lang w:val="hu-HU"/>
              </w:rPr>
              <w:t xml:space="preserve"> </w:t>
            </w:r>
            <w:r>
              <w:rPr>
                <w:lang w:val="hu-HU"/>
              </w:rPr>
              <w:t>dabigatrán</w:t>
            </w:r>
            <w:r>
              <w:rPr>
                <w:lang w:val="hu-HU"/>
              </w:rPr>
              <w:noBreakHyphen/>
              <w:t>etexilát kapszula</w:t>
            </w:r>
          </w:p>
        </w:tc>
        <w:tc>
          <w:tcPr>
            <w:tcW w:w="1932" w:type="dxa"/>
            <w:vMerge w:val="restart"/>
          </w:tcPr>
          <w:p w:rsidR="007D7140" w:rsidRDefault="00A207BA">
            <w:pPr>
              <w:keepNext/>
              <w:widowControl/>
              <w:ind w:left="136"/>
              <w:rPr>
                <w:lang w:val="hu-HU"/>
              </w:rPr>
            </w:pPr>
            <w:r>
              <w:rPr>
                <w:lang w:val="hu-HU"/>
              </w:rPr>
              <w:t>naponta egyszer 220 mg</w:t>
            </w:r>
            <w:r>
              <w:rPr>
                <w:spacing w:val="1"/>
                <w:lang w:val="hu-HU"/>
              </w:rPr>
              <w:t xml:space="preserve"> </w:t>
            </w:r>
            <w:r>
              <w:rPr>
                <w:lang w:val="hu-HU"/>
              </w:rPr>
              <w:t>dabigatrán</w:t>
            </w:r>
            <w:r>
              <w:rPr>
                <w:lang w:val="hu-HU"/>
              </w:rPr>
              <w:noBreakHyphen/>
              <w:t>etexilát,</w:t>
            </w:r>
            <w:r>
              <w:rPr>
                <w:spacing w:val="-5"/>
                <w:lang w:val="hu-HU"/>
              </w:rPr>
              <w:t xml:space="preserve"> </w:t>
            </w:r>
            <w:r>
              <w:rPr>
                <w:lang w:val="hu-HU"/>
              </w:rPr>
              <w:t>2</w:t>
            </w:r>
            <w:r>
              <w:rPr>
                <w:spacing w:val="-4"/>
                <w:lang w:val="hu-HU"/>
              </w:rPr>
              <w:t xml:space="preserve"> </w:t>
            </w:r>
            <w:r>
              <w:rPr>
                <w:lang w:val="hu-HU"/>
              </w:rPr>
              <w:t>darab 110</w:t>
            </w:r>
            <w:r>
              <w:rPr>
                <w:spacing w:val="-2"/>
                <w:lang w:val="hu-HU"/>
              </w:rPr>
              <w:t> mg</w:t>
            </w:r>
            <w:r>
              <w:rPr>
                <w:spacing w:val="-2"/>
                <w:lang w:val="hu-HU"/>
              </w:rPr>
              <w:noBreakHyphen/>
            </w:r>
            <w:r>
              <w:rPr>
                <w:lang w:val="hu-HU"/>
              </w:rPr>
              <w:t>os kapszula</w:t>
            </w:r>
            <w:r>
              <w:rPr>
                <w:spacing w:val="1"/>
                <w:lang w:val="hu-HU"/>
              </w:rPr>
              <w:t xml:space="preserve"> </w:t>
            </w:r>
            <w:r>
              <w:rPr>
                <w:lang w:val="hu-HU"/>
              </w:rPr>
              <w:t>formájában bevéve</w:t>
            </w:r>
          </w:p>
        </w:tc>
        <w:tc>
          <w:tcPr>
            <w:tcW w:w="1328" w:type="dxa"/>
          </w:tcPr>
          <w:p w:rsidR="007D7140" w:rsidRDefault="00A207BA">
            <w:pPr>
              <w:keepNext/>
              <w:widowControl/>
              <w:ind w:left="56"/>
              <w:rPr>
                <w:lang w:val="hu-HU"/>
              </w:rPr>
            </w:pPr>
            <w:r>
              <w:rPr>
                <w:lang w:val="hu-HU"/>
              </w:rPr>
              <w:t>10 nap</w:t>
            </w:r>
          </w:p>
        </w:tc>
      </w:tr>
      <w:tr w:rsidR="007D7140">
        <w:trPr>
          <w:trHeight w:val="861"/>
        </w:trPr>
        <w:tc>
          <w:tcPr>
            <w:tcW w:w="3544" w:type="dxa"/>
          </w:tcPr>
          <w:p w:rsidR="007D7140" w:rsidRDefault="00A207BA">
            <w:pPr>
              <w:keepNext/>
              <w:widowControl/>
              <w:ind w:left="142"/>
              <w:rPr>
                <w:lang w:val="hu-HU"/>
              </w:rPr>
            </w:pPr>
            <w:r>
              <w:rPr>
                <w:lang w:val="hu-HU"/>
              </w:rPr>
              <w:t>Elektív csípőízületi endoprotézis műtét</w:t>
            </w:r>
            <w:r>
              <w:rPr>
                <w:spacing w:val="-2"/>
                <w:lang w:val="hu-HU"/>
              </w:rPr>
              <w:t xml:space="preserve"> </w:t>
            </w:r>
            <w:r>
              <w:rPr>
                <w:lang w:val="hu-HU"/>
              </w:rPr>
              <w:t>utáni</w:t>
            </w:r>
            <w:r>
              <w:rPr>
                <w:spacing w:val="-1"/>
                <w:lang w:val="hu-HU"/>
              </w:rPr>
              <w:t xml:space="preserve"> </w:t>
            </w:r>
            <w:r>
              <w:rPr>
                <w:lang w:val="hu-HU"/>
              </w:rPr>
              <w:t>betegek</w:t>
            </w:r>
          </w:p>
        </w:tc>
        <w:tc>
          <w:tcPr>
            <w:tcW w:w="2268" w:type="dxa"/>
            <w:vMerge/>
          </w:tcPr>
          <w:p w:rsidR="007D7140" w:rsidRDefault="007D7140">
            <w:pPr>
              <w:keepNext/>
              <w:widowControl/>
              <w:ind w:left="137"/>
              <w:rPr>
                <w:lang w:val="hu-HU"/>
              </w:rPr>
            </w:pPr>
          </w:p>
        </w:tc>
        <w:tc>
          <w:tcPr>
            <w:tcW w:w="1932" w:type="dxa"/>
            <w:vMerge/>
          </w:tcPr>
          <w:p w:rsidR="007D7140" w:rsidRDefault="007D7140">
            <w:pPr>
              <w:keepNext/>
              <w:widowControl/>
              <w:ind w:left="136"/>
              <w:rPr>
                <w:lang w:val="hu-HU"/>
              </w:rPr>
            </w:pPr>
          </w:p>
        </w:tc>
        <w:tc>
          <w:tcPr>
            <w:tcW w:w="1328" w:type="dxa"/>
          </w:tcPr>
          <w:p w:rsidR="007D7140" w:rsidRDefault="00A207BA">
            <w:pPr>
              <w:keepNext/>
              <w:widowControl/>
              <w:ind w:left="56"/>
              <w:rPr>
                <w:lang w:val="hu-HU"/>
              </w:rPr>
            </w:pPr>
            <w:r>
              <w:rPr>
                <w:lang w:val="hu-HU"/>
              </w:rPr>
              <w:t>28</w:t>
            </w:r>
            <w:r>
              <w:rPr>
                <w:lang w:val="hu-HU"/>
              </w:rPr>
              <w:noBreakHyphen/>
              <w:t>35</w:t>
            </w:r>
            <w:r>
              <w:rPr>
                <w:spacing w:val="-1"/>
                <w:lang w:val="hu-HU"/>
              </w:rPr>
              <w:t> nap</w:t>
            </w:r>
          </w:p>
        </w:tc>
      </w:tr>
      <w:tr w:rsidR="007D7140">
        <w:trPr>
          <w:trHeight w:val="491"/>
        </w:trPr>
        <w:tc>
          <w:tcPr>
            <w:tcW w:w="3544" w:type="dxa"/>
          </w:tcPr>
          <w:p w:rsidR="007D7140" w:rsidRDefault="00A207BA">
            <w:pPr>
              <w:ind w:left="142"/>
              <w:rPr>
                <w:b/>
                <w:bCs/>
                <w:i/>
                <w:lang w:val="hu-HU"/>
              </w:rPr>
            </w:pPr>
            <w:r>
              <w:rPr>
                <w:b/>
                <w:bCs/>
                <w:i/>
                <w:u w:val="single"/>
                <w:lang w:val="hu-HU"/>
              </w:rPr>
              <w:t>Dóziscsökkentés</w:t>
            </w:r>
            <w:r>
              <w:rPr>
                <w:b/>
                <w:bCs/>
                <w:i/>
                <w:spacing w:val="-7"/>
                <w:u w:val="single"/>
                <w:lang w:val="hu-HU"/>
              </w:rPr>
              <w:t xml:space="preserve"> </w:t>
            </w:r>
            <w:r>
              <w:rPr>
                <w:b/>
                <w:bCs/>
                <w:i/>
                <w:u w:val="single"/>
                <w:lang w:val="hu-HU"/>
              </w:rPr>
              <w:t>javasolt</w:t>
            </w:r>
          </w:p>
        </w:tc>
        <w:tc>
          <w:tcPr>
            <w:tcW w:w="2268" w:type="dxa"/>
          </w:tcPr>
          <w:p w:rsidR="007D7140" w:rsidRDefault="007D7140">
            <w:pPr>
              <w:ind w:left="137"/>
              <w:rPr>
                <w:lang w:val="hu-HU"/>
              </w:rPr>
            </w:pPr>
          </w:p>
        </w:tc>
        <w:tc>
          <w:tcPr>
            <w:tcW w:w="1932" w:type="dxa"/>
          </w:tcPr>
          <w:p w:rsidR="007D7140" w:rsidRDefault="007D7140">
            <w:pPr>
              <w:ind w:left="136"/>
              <w:rPr>
                <w:lang w:val="hu-HU"/>
              </w:rPr>
            </w:pPr>
          </w:p>
        </w:tc>
        <w:tc>
          <w:tcPr>
            <w:tcW w:w="1328" w:type="dxa"/>
          </w:tcPr>
          <w:p w:rsidR="007D7140" w:rsidRDefault="007D7140">
            <w:pPr>
              <w:ind w:left="56"/>
              <w:rPr>
                <w:lang w:val="hu-HU"/>
              </w:rPr>
            </w:pPr>
          </w:p>
        </w:tc>
      </w:tr>
      <w:tr w:rsidR="007D7140">
        <w:trPr>
          <w:trHeight w:val="1132"/>
        </w:trPr>
        <w:tc>
          <w:tcPr>
            <w:tcW w:w="3544" w:type="dxa"/>
          </w:tcPr>
          <w:p w:rsidR="007D7140" w:rsidRDefault="00A207BA">
            <w:pPr>
              <w:ind w:left="142"/>
              <w:rPr>
                <w:lang w:val="hu-HU"/>
              </w:rPr>
            </w:pPr>
            <w:r>
              <w:rPr>
                <w:lang w:val="hu-HU"/>
              </w:rPr>
              <w:t>Közepesen súlyos fokú</w:t>
            </w:r>
            <w:r>
              <w:rPr>
                <w:spacing w:val="1"/>
                <w:lang w:val="hu-HU"/>
              </w:rPr>
              <w:t xml:space="preserve"> </w:t>
            </w:r>
            <w:r>
              <w:rPr>
                <w:lang w:val="hu-HU"/>
              </w:rPr>
              <w:t>vesekárosodásban</w:t>
            </w:r>
            <w:r>
              <w:rPr>
                <w:spacing w:val="-9"/>
                <w:lang w:val="hu-HU"/>
              </w:rPr>
              <w:t xml:space="preserve"> </w:t>
            </w:r>
            <w:r>
              <w:rPr>
                <w:lang w:val="hu-HU"/>
              </w:rPr>
              <w:t>(kreatinin-clearance [CrCl]</w:t>
            </w:r>
            <w:r>
              <w:rPr>
                <w:spacing w:val="-3"/>
                <w:lang w:val="hu-HU"/>
              </w:rPr>
              <w:t xml:space="preserve"> </w:t>
            </w:r>
            <w:r>
              <w:rPr>
                <w:lang w:val="hu-HU"/>
              </w:rPr>
              <w:t>30</w:t>
            </w:r>
            <w:r>
              <w:rPr>
                <w:lang w:val="hu-HU"/>
              </w:rPr>
              <w:noBreakHyphen/>
              <w:t>50 ml/perc) szenvedő</w:t>
            </w:r>
            <w:r>
              <w:rPr>
                <w:spacing w:val="-8"/>
                <w:lang w:val="hu-HU"/>
              </w:rPr>
              <w:t xml:space="preserve"> </w:t>
            </w:r>
            <w:r>
              <w:rPr>
                <w:lang w:val="hu-HU"/>
              </w:rPr>
              <w:t xml:space="preserve">betegeknél </w:t>
            </w:r>
          </w:p>
        </w:tc>
        <w:tc>
          <w:tcPr>
            <w:tcW w:w="2268" w:type="dxa"/>
            <w:vMerge w:val="restart"/>
          </w:tcPr>
          <w:p w:rsidR="007D7140" w:rsidRDefault="00A207BA">
            <w:pPr>
              <w:ind w:left="137"/>
              <w:rPr>
                <w:lang w:val="hu-HU"/>
              </w:rPr>
            </w:pPr>
            <w:r>
              <w:rPr>
                <w:lang w:val="hu-HU"/>
              </w:rPr>
              <w:t>1 darab 75 mg</w:t>
            </w:r>
            <w:r>
              <w:rPr>
                <w:lang w:val="hu-HU"/>
              </w:rPr>
              <w:noBreakHyphen/>
              <w:t>os</w:t>
            </w:r>
            <w:r>
              <w:rPr>
                <w:rFonts w:eastAsia="Times New Roman"/>
                <w:color w:val="000000"/>
                <w:lang w:val="hu-HU" w:eastAsia="hu-HU"/>
              </w:rPr>
              <w:t>**</w:t>
            </w:r>
            <w:r>
              <w:rPr>
                <w:spacing w:val="1"/>
                <w:lang w:val="hu-HU"/>
              </w:rPr>
              <w:t xml:space="preserve"> </w:t>
            </w:r>
            <w:r>
              <w:rPr>
                <w:lang w:val="hu-HU"/>
              </w:rPr>
              <w:t>dabigatrán</w:t>
            </w:r>
            <w:r>
              <w:rPr>
                <w:lang w:val="hu-HU"/>
              </w:rPr>
              <w:noBreakHyphen/>
              <w:t xml:space="preserve">etexilát kapszula </w:t>
            </w:r>
          </w:p>
        </w:tc>
        <w:tc>
          <w:tcPr>
            <w:tcW w:w="1932" w:type="dxa"/>
            <w:vMerge w:val="restart"/>
          </w:tcPr>
          <w:p w:rsidR="007D7140" w:rsidRDefault="00A207BA">
            <w:pPr>
              <w:ind w:left="136"/>
              <w:rPr>
                <w:lang w:val="hu-HU"/>
              </w:rPr>
            </w:pPr>
            <w:r>
              <w:rPr>
                <w:lang w:val="hu-HU"/>
              </w:rPr>
              <w:t>naponta egyszer 150 mg</w:t>
            </w:r>
            <w:r>
              <w:rPr>
                <w:spacing w:val="1"/>
                <w:lang w:val="hu-HU"/>
              </w:rPr>
              <w:t xml:space="preserve"> </w:t>
            </w:r>
            <w:r>
              <w:rPr>
                <w:lang w:val="hu-HU"/>
              </w:rPr>
              <w:t>dabigatrán</w:t>
            </w:r>
            <w:r>
              <w:rPr>
                <w:lang w:val="hu-HU"/>
              </w:rPr>
              <w:noBreakHyphen/>
              <w:t>etexilát,</w:t>
            </w:r>
            <w:r>
              <w:rPr>
                <w:spacing w:val="-5"/>
                <w:lang w:val="hu-HU"/>
              </w:rPr>
              <w:t xml:space="preserve"> </w:t>
            </w:r>
            <w:r>
              <w:rPr>
                <w:lang w:val="hu-HU"/>
              </w:rPr>
              <w:t>2</w:t>
            </w:r>
            <w:r>
              <w:rPr>
                <w:spacing w:val="-4"/>
                <w:lang w:val="hu-HU"/>
              </w:rPr>
              <w:t xml:space="preserve"> </w:t>
            </w:r>
            <w:r>
              <w:rPr>
                <w:lang w:val="hu-HU"/>
              </w:rPr>
              <w:t>darab 75 mg</w:t>
            </w:r>
            <w:r>
              <w:rPr>
                <w:lang w:val="hu-HU"/>
              </w:rPr>
              <w:noBreakHyphen/>
              <w:t>os</w:t>
            </w:r>
            <w:r>
              <w:rPr>
                <w:rFonts w:eastAsia="Times New Roman"/>
                <w:color w:val="000000"/>
                <w:lang w:val="hu-HU" w:eastAsia="hu-HU"/>
              </w:rPr>
              <w:t>**</w:t>
            </w:r>
            <w:r>
              <w:rPr>
                <w:spacing w:val="1"/>
                <w:lang w:val="hu-HU"/>
              </w:rPr>
              <w:t xml:space="preserve"> </w:t>
            </w:r>
            <w:r>
              <w:rPr>
                <w:lang w:val="hu-HU"/>
              </w:rPr>
              <w:t>kapszula</w:t>
            </w:r>
            <w:r>
              <w:rPr>
                <w:spacing w:val="1"/>
                <w:lang w:val="hu-HU"/>
              </w:rPr>
              <w:t xml:space="preserve"> </w:t>
            </w:r>
            <w:r>
              <w:rPr>
                <w:lang w:val="hu-HU"/>
              </w:rPr>
              <w:t>formájában bevéve</w:t>
            </w:r>
          </w:p>
        </w:tc>
        <w:tc>
          <w:tcPr>
            <w:tcW w:w="1328" w:type="dxa"/>
            <w:vMerge w:val="restart"/>
          </w:tcPr>
          <w:p w:rsidR="007D7140" w:rsidRDefault="00A207BA">
            <w:pPr>
              <w:ind w:left="56"/>
              <w:rPr>
                <w:lang w:val="hu-HU"/>
              </w:rPr>
            </w:pPr>
            <w:r>
              <w:rPr>
                <w:lang w:val="hu-HU"/>
              </w:rPr>
              <w:t>10 nap</w:t>
            </w:r>
            <w:r>
              <w:rPr>
                <w:spacing w:val="1"/>
                <w:lang w:val="hu-HU"/>
              </w:rPr>
              <w:t xml:space="preserve"> </w:t>
            </w:r>
            <w:r>
              <w:rPr>
                <w:lang w:val="hu-HU"/>
              </w:rPr>
              <w:t>(térdprotézis</w:t>
            </w:r>
            <w:r>
              <w:rPr>
                <w:spacing w:val="1"/>
                <w:lang w:val="hu-HU"/>
              </w:rPr>
              <w:t xml:space="preserve"> </w:t>
            </w:r>
            <w:r>
              <w:rPr>
                <w:spacing w:val="-1"/>
                <w:lang w:val="hu-HU"/>
              </w:rPr>
              <w:t xml:space="preserve">beültetés) </w:t>
            </w:r>
            <w:r>
              <w:rPr>
                <w:lang w:val="hu-HU"/>
              </w:rPr>
              <w:t>vagy 28</w:t>
            </w:r>
            <w:r>
              <w:rPr>
                <w:lang w:val="hu-HU"/>
              </w:rPr>
              <w:noBreakHyphen/>
              <w:t>35 nap</w:t>
            </w:r>
            <w:r>
              <w:rPr>
                <w:spacing w:val="1"/>
                <w:lang w:val="hu-HU"/>
              </w:rPr>
              <w:t xml:space="preserve"> </w:t>
            </w:r>
            <w:r>
              <w:rPr>
                <w:lang w:val="hu-HU"/>
              </w:rPr>
              <w:t>(csípőprotézis</w:t>
            </w:r>
            <w:r>
              <w:rPr>
                <w:spacing w:val="1"/>
                <w:lang w:val="hu-HU"/>
              </w:rPr>
              <w:t xml:space="preserve"> </w:t>
            </w:r>
            <w:r>
              <w:rPr>
                <w:lang w:val="hu-HU"/>
              </w:rPr>
              <w:t>beültetés)</w:t>
            </w:r>
          </w:p>
        </w:tc>
      </w:tr>
      <w:tr w:rsidR="007D7140">
        <w:trPr>
          <w:trHeight w:val="626"/>
        </w:trPr>
        <w:tc>
          <w:tcPr>
            <w:tcW w:w="3544" w:type="dxa"/>
          </w:tcPr>
          <w:p w:rsidR="007D7140" w:rsidRDefault="00A207BA">
            <w:pPr>
              <w:ind w:left="142"/>
              <w:rPr>
                <w:lang w:val="hu-HU"/>
              </w:rPr>
            </w:pPr>
            <w:r>
              <w:rPr>
                <w:lang w:val="hu-HU"/>
              </w:rPr>
              <w:t>Egyidejűleg verapamilt*, amiodaront vagy</w:t>
            </w:r>
            <w:r>
              <w:rPr>
                <w:spacing w:val="-2"/>
                <w:lang w:val="hu-HU"/>
              </w:rPr>
              <w:t xml:space="preserve"> </w:t>
            </w:r>
            <w:r>
              <w:rPr>
                <w:lang w:val="hu-HU"/>
              </w:rPr>
              <w:t>kinidint</w:t>
            </w:r>
            <w:r>
              <w:rPr>
                <w:spacing w:val="-2"/>
                <w:lang w:val="hu-HU"/>
              </w:rPr>
              <w:t xml:space="preserve"> </w:t>
            </w:r>
            <w:r>
              <w:rPr>
                <w:lang w:val="hu-HU"/>
              </w:rPr>
              <w:t>szedő</w:t>
            </w:r>
            <w:r>
              <w:rPr>
                <w:spacing w:val="-2"/>
                <w:lang w:val="hu-HU"/>
              </w:rPr>
              <w:t xml:space="preserve"> </w:t>
            </w:r>
            <w:r>
              <w:rPr>
                <w:lang w:val="hu-HU"/>
              </w:rPr>
              <w:t>betegeknél</w:t>
            </w:r>
          </w:p>
        </w:tc>
        <w:tc>
          <w:tcPr>
            <w:tcW w:w="2268" w:type="dxa"/>
            <w:vMerge/>
          </w:tcPr>
          <w:p w:rsidR="007D7140" w:rsidRDefault="007D7140">
            <w:pPr>
              <w:ind w:left="137"/>
              <w:rPr>
                <w:lang w:val="hu-HU"/>
              </w:rPr>
            </w:pPr>
          </w:p>
        </w:tc>
        <w:tc>
          <w:tcPr>
            <w:tcW w:w="1932" w:type="dxa"/>
            <w:vMerge/>
          </w:tcPr>
          <w:p w:rsidR="007D7140" w:rsidRDefault="007D7140">
            <w:pPr>
              <w:ind w:left="136"/>
              <w:rPr>
                <w:lang w:val="hu-HU"/>
              </w:rPr>
            </w:pPr>
          </w:p>
        </w:tc>
        <w:tc>
          <w:tcPr>
            <w:tcW w:w="1328" w:type="dxa"/>
            <w:vMerge/>
          </w:tcPr>
          <w:p w:rsidR="007D7140" w:rsidRDefault="007D7140">
            <w:pPr>
              <w:ind w:left="56"/>
              <w:rPr>
                <w:lang w:val="hu-HU"/>
              </w:rPr>
            </w:pPr>
          </w:p>
        </w:tc>
      </w:tr>
      <w:tr w:rsidR="007D7140">
        <w:trPr>
          <w:trHeight w:val="373"/>
        </w:trPr>
        <w:tc>
          <w:tcPr>
            <w:tcW w:w="3544" w:type="dxa"/>
          </w:tcPr>
          <w:p w:rsidR="007D7140" w:rsidRDefault="00A207BA">
            <w:pPr>
              <w:ind w:left="142"/>
              <w:rPr>
                <w:lang w:val="hu-HU"/>
              </w:rPr>
            </w:pPr>
            <w:r>
              <w:rPr>
                <w:lang w:val="hu-HU"/>
              </w:rPr>
              <w:t>75</w:t>
            </w:r>
            <w:r>
              <w:rPr>
                <w:spacing w:val="-2"/>
                <w:lang w:val="hu-HU"/>
              </w:rPr>
              <w:t> év</w:t>
            </w:r>
            <w:r>
              <w:rPr>
                <w:lang w:val="hu-HU"/>
              </w:rPr>
              <w:t>es</w:t>
            </w:r>
            <w:r>
              <w:rPr>
                <w:spacing w:val="-3"/>
                <w:lang w:val="hu-HU"/>
              </w:rPr>
              <w:t xml:space="preserve"> </w:t>
            </w:r>
            <w:r>
              <w:rPr>
                <w:lang w:val="hu-HU"/>
              </w:rPr>
              <w:t>vagy</w:t>
            </w:r>
            <w:r>
              <w:rPr>
                <w:spacing w:val="-3"/>
                <w:lang w:val="hu-HU"/>
              </w:rPr>
              <w:t xml:space="preserve"> </w:t>
            </w:r>
            <w:r>
              <w:rPr>
                <w:lang w:val="hu-HU"/>
              </w:rPr>
              <w:t>idősebb</w:t>
            </w:r>
            <w:r>
              <w:rPr>
                <w:spacing w:val="-3"/>
                <w:lang w:val="hu-HU"/>
              </w:rPr>
              <w:t xml:space="preserve"> </w:t>
            </w:r>
            <w:r>
              <w:rPr>
                <w:lang w:val="hu-HU"/>
              </w:rPr>
              <w:t>betegek esetében</w:t>
            </w:r>
          </w:p>
        </w:tc>
        <w:tc>
          <w:tcPr>
            <w:tcW w:w="2268" w:type="dxa"/>
            <w:vMerge/>
          </w:tcPr>
          <w:p w:rsidR="007D7140" w:rsidRDefault="007D7140">
            <w:pPr>
              <w:ind w:left="137"/>
              <w:rPr>
                <w:lang w:val="hu-HU"/>
              </w:rPr>
            </w:pPr>
          </w:p>
        </w:tc>
        <w:tc>
          <w:tcPr>
            <w:tcW w:w="1932" w:type="dxa"/>
            <w:vMerge/>
          </w:tcPr>
          <w:p w:rsidR="007D7140" w:rsidRDefault="007D7140">
            <w:pPr>
              <w:ind w:left="136"/>
              <w:rPr>
                <w:lang w:val="hu-HU"/>
              </w:rPr>
            </w:pPr>
          </w:p>
        </w:tc>
        <w:tc>
          <w:tcPr>
            <w:tcW w:w="1328" w:type="dxa"/>
            <w:vMerge/>
          </w:tcPr>
          <w:p w:rsidR="007D7140" w:rsidRDefault="007D7140">
            <w:pPr>
              <w:ind w:left="56"/>
              <w:rPr>
                <w:lang w:val="hu-HU"/>
              </w:rPr>
            </w:pPr>
          </w:p>
        </w:tc>
      </w:tr>
    </w:tbl>
    <w:p w:rsidR="007D7140" w:rsidRDefault="00A207BA">
      <w:pPr>
        <w:rPr>
          <w:lang w:val="hu-HU"/>
        </w:rPr>
      </w:pPr>
      <w:r>
        <w:rPr>
          <w:lang w:val="hu-HU"/>
        </w:rPr>
        <w:t>*Közepesen súlyos fokú vesekárosodásban szenvedő, egyidejűleg verapamil</w:t>
      </w:r>
      <w:r>
        <w:rPr>
          <w:lang w:val="hu-HU"/>
        </w:rPr>
        <w:noBreakHyphen/>
        <w:t>kezelésben részesülő betegek</w:t>
      </w:r>
      <w:r>
        <w:rPr>
          <w:spacing w:val="-2"/>
          <w:lang w:val="hu-HU"/>
        </w:rPr>
        <w:t xml:space="preserve"> </w:t>
      </w:r>
      <w:r>
        <w:rPr>
          <w:lang w:val="hu-HU"/>
        </w:rPr>
        <w:t>esetében</w:t>
      </w:r>
      <w:r>
        <w:rPr>
          <w:spacing w:val="-1"/>
          <w:lang w:val="hu-HU"/>
        </w:rPr>
        <w:t xml:space="preserve"> </w:t>
      </w:r>
      <w:r>
        <w:rPr>
          <w:lang w:val="hu-HU"/>
        </w:rPr>
        <w:t>lásd</w:t>
      </w:r>
      <w:r>
        <w:rPr>
          <w:spacing w:val="-1"/>
          <w:lang w:val="hu-HU"/>
        </w:rPr>
        <w:t xml:space="preserve"> „</w:t>
      </w:r>
      <w:r>
        <w:rPr>
          <w:lang w:val="hu-HU"/>
        </w:rPr>
        <w:t>Különleges</w:t>
      </w:r>
      <w:r>
        <w:rPr>
          <w:spacing w:val="-2"/>
          <w:lang w:val="hu-HU"/>
        </w:rPr>
        <w:t xml:space="preserve"> </w:t>
      </w:r>
      <w:r>
        <w:rPr>
          <w:lang w:val="hu-HU"/>
        </w:rPr>
        <w:t>betegcsoportok” bekezdés.</w:t>
      </w:r>
    </w:p>
    <w:p w:rsidR="007D7140" w:rsidRDefault="00A207BA">
      <w:pPr>
        <w:rPr>
          <w:lang w:val="hu-HU"/>
        </w:rPr>
      </w:pPr>
      <w:bookmarkStart w:id="3" w:name="_Hlk218627007"/>
      <w:r>
        <w:rPr>
          <w:color w:val="000000"/>
          <w:lang w:val="hu-HU" w:eastAsia="hu-HU"/>
        </w:rPr>
        <w:t>** A Dabigatran etexilate Sandoz kemény kapszula 75 mg-os dózisa nem elérhető, ezért ez a gyógyszer nem alkalmas a fentebb említett betegcsoport számára. Ezen betegek esetében más, 75 mg</w:t>
      </w:r>
      <w:r>
        <w:rPr>
          <w:color w:val="000000"/>
          <w:lang w:val="hu-HU" w:eastAsia="hu-HU"/>
        </w:rPr>
        <w:noBreakHyphen/>
        <w:t>os dabigatrán-etexilát-tartalmú gyógyszerkészítményt kell alkalmazni.</w:t>
      </w:r>
      <w:bookmarkEnd w:id="3"/>
    </w:p>
    <w:p w:rsidR="007D7140" w:rsidRDefault="00A207BA">
      <w:pPr>
        <w:rPr>
          <w:lang w:val="hu-HU"/>
        </w:rPr>
      </w:pPr>
      <w:r>
        <w:rPr>
          <w:lang w:val="hu-HU"/>
        </w:rPr>
        <w:t>A kezelés elkezdését mindkét műtét esetében el kell halasztani, ha a haemostasis nem biztosított. Ha a</w:t>
      </w:r>
      <w:r>
        <w:rPr>
          <w:spacing w:val="-2"/>
          <w:lang w:val="hu-HU"/>
        </w:rPr>
        <w:t xml:space="preserve"> </w:t>
      </w:r>
      <w:r>
        <w:rPr>
          <w:lang w:val="hu-HU"/>
        </w:rPr>
        <w:t>kezelést</w:t>
      </w:r>
      <w:r>
        <w:rPr>
          <w:spacing w:val="-2"/>
          <w:lang w:val="hu-HU"/>
        </w:rPr>
        <w:t xml:space="preserve"> </w:t>
      </w:r>
      <w:r>
        <w:rPr>
          <w:lang w:val="hu-HU"/>
        </w:rPr>
        <w:t>nem</w:t>
      </w:r>
      <w:r>
        <w:rPr>
          <w:spacing w:val="-3"/>
          <w:lang w:val="hu-HU"/>
        </w:rPr>
        <w:t xml:space="preserve"> </w:t>
      </w:r>
      <w:r>
        <w:rPr>
          <w:lang w:val="hu-HU"/>
        </w:rPr>
        <w:t>kezdik</w:t>
      </w:r>
      <w:r>
        <w:rPr>
          <w:spacing w:val="-2"/>
          <w:lang w:val="hu-HU"/>
        </w:rPr>
        <w:t xml:space="preserve"> </w:t>
      </w:r>
      <w:r>
        <w:rPr>
          <w:lang w:val="hu-HU"/>
        </w:rPr>
        <w:t>el</w:t>
      </w:r>
      <w:r>
        <w:rPr>
          <w:spacing w:val="-2"/>
          <w:lang w:val="hu-HU"/>
        </w:rPr>
        <w:t xml:space="preserve"> </w:t>
      </w:r>
      <w:r>
        <w:rPr>
          <w:lang w:val="hu-HU"/>
        </w:rPr>
        <w:t>a</w:t>
      </w:r>
      <w:r>
        <w:rPr>
          <w:spacing w:val="-3"/>
          <w:lang w:val="hu-HU"/>
        </w:rPr>
        <w:t xml:space="preserve"> </w:t>
      </w:r>
      <w:r>
        <w:rPr>
          <w:lang w:val="hu-HU"/>
        </w:rPr>
        <w:t>műtét</w:t>
      </w:r>
      <w:r>
        <w:rPr>
          <w:spacing w:val="-1"/>
          <w:lang w:val="hu-HU"/>
        </w:rPr>
        <w:t xml:space="preserve"> nap</w:t>
      </w:r>
      <w:r>
        <w:rPr>
          <w:lang w:val="hu-HU"/>
        </w:rPr>
        <w:t>ján,</w:t>
      </w:r>
      <w:r>
        <w:rPr>
          <w:spacing w:val="-2"/>
          <w:lang w:val="hu-HU"/>
        </w:rPr>
        <w:t xml:space="preserve"> </w:t>
      </w:r>
      <w:r>
        <w:rPr>
          <w:lang w:val="hu-HU"/>
        </w:rPr>
        <w:t>a</w:t>
      </w:r>
      <w:r>
        <w:rPr>
          <w:spacing w:val="-2"/>
          <w:lang w:val="hu-HU"/>
        </w:rPr>
        <w:t xml:space="preserve"> </w:t>
      </w:r>
      <w:r>
        <w:rPr>
          <w:lang w:val="hu-HU"/>
        </w:rPr>
        <w:t>kezelést</w:t>
      </w:r>
      <w:r>
        <w:rPr>
          <w:spacing w:val="-3"/>
          <w:lang w:val="hu-HU"/>
        </w:rPr>
        <w:t xml:space="preserve"> nap</w:t>
      </w:r>
      <w:r>
        <w:rPr>
          <w:lang w:val="hu-HU"/>
        </w:rPr>
        <w:t>i</w:t>
      </w:r>
      <w:r>
        <w:rPr>
          <w:spacing w:val="-2"/>
          <w:lang w:val="hu-HU"/>
        </w:rPr>
        <w:t xml:space="preserve"> </w:t>
      </w:r>
      <w:r>
        <w:rPr>
          <w:lang w:val="hu-HU"/>
        </w:rPr>
        <w:t>egyszer</w:t>
      </w:r>
      <w:r>
        <w:rPr>
          <w:spacing w:val="-2"/>
          <w:lang w:val="hu-HU"/>
        </w:rPr>
        <w:t xml:space="preserve"> </w:t>
      </w:r>
      <w:r>
        <w:rPr>
          <w:lang w:val="hu-HU"/>
        </w:rPr>
        <w:t>2 kapszulával</w:t>
      </w:r>
      <w:r>
        <w:rPr>
          <w:spacing w:val="-2"/>
          <w:lang w:val="hu-HU"/>
        </w:rPr>
        <w:t xml:space="preserve"> </w:t>
      </w:r>
      <w:r>
        <w:rPr>
          <w:lang w:val="hu-HU"/>
        </w:rPr>
        <w:t>kell</w:t>
      </w:r>
      <w:r>
        <w:rPr>
          <w:spacing w:val="-2"/>
          <w:lang w:val="hu-HU"/>
        </w:rPr>
        <w:t xml:space="preserve"> </w:t>
      </w:r>
      <w:r>
        <w:rPr>
          <w:lang w:val="hu-HU"/>
        </w:rPr>
        <w:t>kezdeni.</w:t>
      </w:r>
    </w:p>
    <w:p w:rsidR="007D7140" w:rsidRDefault="007D7140">
      <w:pPr>
        <w:rPr>
          <w:lang w:val="hu-HU"/>
        </w:rPr>
      </w:pPr>
    </w:p>
    <w:p w:rsidR="007D7140" w:rsidRDefault="00A207BA">
      <w:pPr>
        <w:rPr>
          <w:i/>
          <w:lang w:val="hu-HU"/>
        </w:rPr>
      </w:pPr>
      <w:r>
        <w:rPr>
          <w:i/>
          <w:u w:val="single"/>
          <w:lang w:val="hu-HU"/>
        </w:rPr>
        <w:t>A</w:t>
      </w:r>
      <w:r>
        <w:rPr>
          <w:i/>
          <w:spacing w:val="-5"/>
          <w:u w:val="single"/>
          <w:lang w:val="hu-HU"/>
        </w:rPr>
        <w:t xml:space="preserve"> </w:t>
      </w:r>
      <w:r>
        <w:rPr>
          <w:i/>
          <w:u w:val="single"/>
          <w:lang w:val="hu-HU"/>
        </w:rPr>
        <w:t>vesefunkció</w:t>
      </w:r>
      <w:r>
        <w:rPr>
          <w:i/>
          <w:spacing w:val="-4"/>
          <w:u w:val="single"/>
          <w:lang w:val="hu-HU"/>
        </w:rPr>
        <w:t xml:space="preserve"> </w:t>
      </w:r>
      <w:r>
        <w:rPr>
          <w:i/>
          <w:u w:val="single"/>
          <w:lang w:val="hu-HU"/>
        </w:rPr>
        <w:t>ellenőrzése</w:t>
      </w:r>
      <w:r>
        <w:rPr>
          <w:i/>
          <w:spacing w:val="-4"/>
          <w:u w:val="single"/>
          <w:lang w:val="hu-HU"/>
        </w:rPr>
        <w:t xml:space="preserve"> </w:t>
      </w:r>
      <w:r>
        <w:rPr>
          <w:i/>
          <w:u w:val="single"/>
          <w:lang w:val="hu-HU"/>
        </w:rPr>
        <w:t>a</w:t>
      </w:r>
      <w:r>
        <w:rPr>
          <w:i/>
          <w:spacing w:val="-4"/>
          <w:u w:val="single"/>
          <w:lang w:val="hu-HU"/>
        </w:rPr>
        <w:t xml:space="preserve"> </w:t>
      </w:r>
      <w:r>
        <w:rPr>
          <w:i/>
          <w:u w:val="single"/>
          <w:lang w:val="hu-HU"/>
        </w:rPr>
        <w:t>dabigatrán</w:t>
      </w:r>
      <w:r>
        <w:rPr>
          <w:i/>
          <w:u w:val="single"/>
          <w:lang w:val="hu-HU"/>
        </w:rPr>
        <w:noBreakHyphen/>
        <w:t>etexilát</w:t>
      </w:r>
      <w:r>
        <w:rPr>
          <w:i/>
          <w:u w:val="single"/>
          <w:lang w:val="hu-HU"/>
        </w:rPr>
        <w:noBreakHyphen/>
        <w:t>kezelés</w:t>
      </w:r>
      <w:r>
        <w:rPr>
          <w:i/>
          <w:spacing w:val="-4"/>
          <w:u w:val="single"/>
          <w:lang w:val="hu-HU"/>
        </w:rPr>
        <w:t xml:space="preserve"> </w:t>
      </w:r>
      <w:r>
        <w:rPr>
          <w:i/>
          <w:u w:val="single"/>
          <w:lang w:val="hu-HU"/>
        </w:rPr>
        <w:t>megkezdése</w:t>
      </w:r>
      <w:r>
        <w:rPr>
          <w:i/>
          <w:spacing w:val="-4"/>
          <w:u w:val="single"/>
          <w:lang w:val="hu-HU"/>
        </w:rPr>
        <w:t xml:space="preserve"> </w:t>
      </w:r>
      <w:r>
        <w:rPr>
          <w:i/>
          <w:u w:val="single"/>
          <w:lang w:val="hu-HU"/>
        </w:rPr>
        <w:t>előtt</w:t>
      </w:r>
      <w:r>
        <w:rPr>
          <w:i/>
          <w:spacing w:val="-4"/>
          <w:u w:val="single"/>
          <w:lang w:val="hu-HU"/>
        </w:rPr>
        <w:t xml:space="preserve"> </w:t>
      </w:r>
      <w:r>
        <w:rPr>
          <w:i/>
          <w:u w:val="single"/>
          <w:lang w:val="hu-HU"/>
        </w:rPr>
        <w:t>és</w:t>
      </w:r>
      <w:r>
        <w:rPr>
          <w:i/>
          <w:spacing w:val="-4"/>
          <w:u w:val="single"/>
          <w:lang w:val="hu-HU"/>
        </w:rPr>
        <w:t xml:space="preserve"> </w:t>
      </w:r>
      <w:r>
        <w:rPr>
          <w:i/>
          <w:u w:val="single"/>
          <w:lang w:val="hu-HU"/>
        </w:rPr>
        <w:t>a</w:t>
      </w:r>
      <w:r>
        <w:rPr>
          <w:i/>
          <w:spacing w:val="-4"/>
          <w:u w:val="single"/>
          <w:lang w:val="hu-HU"/>
        </w:rPr>
        <w:t xml:space="preserve"> </w:t>
      </w:r>
      <w:r>
        <w:rPr>
          <w:i/>
          <w:u w:val="single"/>
          <w:lang w:val="hu-HU"/>
        </w:rPr>
        <w:t>kezelés</w:t>
      </w:r>
      <w:r>
        <w:rPr>
          <w:i/>
          <w:spacing w:val="-4"/>
          <w:u w:val="single"/>
          <w:lang w:val="hu-HU"/>
        </w:rPr>
        <w:t xml:space="preserve"> </w:t>
      </w:r>
      <w:r>
        <w:rPr>
          <w:i/>
          <w:u w:val="single"/>
          <w:lang w:val="hu-HU"/>
        </w:rPr>
        <w:t>során</w:t>
      </w:r>
    </w:p>
    <w:p w:rsidR="007D7140" w:rsidRDefault="007D7140">
      <w:pPr>
        <w:rPr>
          <w:i/>
          <w:lang w:val="hu-HU"/>
        </w:rPr>
      </w:pPr>
    </w:p>
    <w:p w:rsidR="007D7140" w:rsidRDefault="00A207BA">
      <w:pPr>
        <w:rPr>
          <w:lang w:val="hu-HU"/>
        </w:rPr>
      </w:pPr>
      <w:r>
        <w:rPr>
          <w:lang w:val="hu-HU"/>
        </w:rPr>
        <w:t>Minden betegnél, különösen az idős betegeknél (75 év felett), mivel a vesekárosodás gyakori lehet ebben</w:t>
      </w:r>
      <w:r>
        <w:rPr>
          <w:spacing w:val="-4"/>
          <w:lang w:val="hu-HU"/>
        </w:rPr>
        <w:t xml:space="preserve"> </w:t>
      </w:r>
      <w:r>
        <w:rPr>
          <w:lang w:val="hu-HU"/>
        </w:rPr>
        <w:t>a</w:t>
      </w:r>
      <w:r>
        <w:rPr>
          <w:spacing w:val="-1"/>
          <w:lang w:val="hu-HU"/>
        </w:rPr>
        <w:t xml:space="preserve"> </w:t>
      </w:r>
      <w:r>
        <w:rPr>
          <w:lang w:val="hu-HU"/>
        </w:rPr>
        <w:t>korosztályban:</w:t>
      </w:r>
    </w:p>
    <w:p w:rsidR="007D7140" w:rsidRDefault="007D7140">
      <w:pPr>
        <w:rPr>
          <w:lang w:val="hu-HU"/>
        </w:rPr>
      </w:pPr>
    </w:p>
    <w:p w:rsidR="007D7140" w:rsidRDefault="00A207BA">
      <w:pPr>
        <w:pStyle w:val="Listaszerbekezds"/>
        <w:numPr>
          <w:ilvl w:val="0"/>
          <w:numId w:val="2"/>
        </w:numPr>
        <w:ind w:left="567" w:hanging="567"/>
        <w:rPr>
          <w:lang w:val="hu-HU"/>
        </w:rPr>
      </w:pPr>
      <w:r>
        <w:rPr>
          <w:lang w:val="hu-HU"/>
        </w:rPr>
        <w:t>A dabigatrán</w:t>
      </w:r>
      <w:r>
        <w:rPr>
          <w:lang w:val="hu-HU"/>
        </w:rPr>
        <w:noBreakHyphen/>
        <w:t>etexilát</w:t>
      </w:r>
      <w:r>
        <w:rPr>
          <w:lang w:val="hu-HU"/>
        </w:rPr>
        <w:noBreakHyphen/>
        <w:t>kezelés elkezdése előtt a vesefunkciót a kreatinin</w:t>
      </w:r>
      <w:r>
        <w:rPr>
          <w:lang w:val="hu-HU"/>
        </w:rPr>
        <w:noBreakHyphen/>
        <w:t>clearance (CrCl) meghatározásával kell ellenőrizni, annak érdekében, hogy kizárhatóak legyenek azok a betegek, akik súlyos</w:t>
      </w:r>
      <w:r>
        <w:rPr>
          <w:spacing w:val="-4"/>
          <w:lang w:val="hu-HU"/>
        </w:rPr>
        <w:t xml:space="preserve"> </w:t>
      </w:r>
      <w:r>
        <w:rPr>
          <w:lang w:val="hu-HU"/>
        </w:rPr>
        <w:t>fokú</w:t>
      </w:r>
      <w:r>
        <w:rPr>
          <w:spacing w:val="-3"/>
          <w:lang w:val="hu-HU"/>
        </w:rPr>
        <w:t xml:space="preserve"> </w:t>
      </w:r>
      <w:r>
        <w:rPr>
          <w:lang w:val="hu-HU"/>
        </w:rPr>
        <w:t>vesekárosodásban</w:t>
      </w:r>
      <w:r>
        <w:rPr>
          <w:spacing w:val="-3"/>
          <w:lang w:val="hu-HU"/>
        </w:rPr>
        <w:t xml:space="preserve"> </w:t>
      </w:r>
      <w:r>
        <w:rPr>
          <w:lang w:val="hu-HU"/>
        </w:rPr>
        <w:t>szenvednek</w:t>
      </w:r>
      <w:r>
        <w:rPr>
          <w:spacing w:val="-3"/>
          <w:lang w:val="hu-HU"/>
        </w:rPr>
        <w:t xml:space="preserve"> </w:t>
      </w:r>
      <w:r>
        <w:rPr>
          <w:lang w:val="hu-HU"/>
        </w:rPr>
        <w:t>(vagyis akiknél a CrCl</w:t>
      </w:r>
      <w:r>
        <w:rPr>
          <w:spacing w:val="-2"/>
          <w:lang w:val="hu-HU"/>
        </w:rPr>
        <w:t xml:space="preserve"> </w:t>
      </w:r>
      <w:r>
        <w:rPr>
          <w:lang w:val="hu-HU"/>
        </w:rPr>
        <w:t>&lt; 30</w:t>
      </w:r>
      <w:r>
        <w:rPr>
          <w:spacing w:val="-3"/>
          <w:lang w:val="hu-HU"/>
        </w:rPr>
        <w:t> ml</w:t>
      </w:r>
      <w:r>
        <w:rPr>
          <w:lang w:val="hu-HU"/>
        </w:rPr>
        <w:t>/perc)</w:t>
      </w:r>
      <w:r>
        <w:rPr>
          <w:spacing w:val="-3"/>
          <w:lang w:val="hu-HU"/>
        </w:rPr>
        <w:t xml:space="preserve"> </w:t>
      </w:r>
      <w:r>
        <w:rPr>
          <w:lang w:val="hu-HU"/>
        </w:rPr>
        <w:t>(lásd</w:t>
      </w:r>
      <w:r>
        <w:rPr>
          <w:spacing w:val="-3"/>
          <w:lang w:val="hu-HU"/>
        </w:rPr>
        <w:t xml:space="preserve"> </w:t>
      </w:r>
      <w:r>
        <w:rPr>
          <w:lang w:val="hu-HU"/>
        </w:rPr>
        <w:t>4.3,</w:t>
      </w:r>
      <w:r>
        <w:rPr>
          <w:spacing w:val="-4"/>
          <w:lang w:val="hu-HU"/>
        </w:rPr>
        <w:t xml:space="preserve"> </w:t>
      </w:r>
      <w:r>
        <w:rPr>
          <w:lang w:val="hu-HU"/>
        </w:rPr>
        <w:t>4.4</w:t>
      </w:r>
      <w:r>
        <w:rPr>
          <w:spacing w:val="-3"/>
          <w:lang w:val="hu-HU"/>
        </w:rPr>
        <w:t xml:space="preserve"> </w:t>
      </w:r>
      <w:r>
        <w:rPr>
          <w:lang w:val="hu-HU"/>
        </w:rPr>
        <w:t>és</w:t>
      </w:r>
      <w:r>
        <w:rPr>
          <w:spacing w:val="-4"/>
          <w:lang w:val="hu-HU"/>
        </w:rPr>
        <w:t xml:space="preserve"> </w:t>
      </w:r>
      <w:r>
        <w:rPr>
          <w:lang w:val="hu-HU"/>
        </w:rPr>
        <w:t>5.2</w:t>
      </w:r>
      <w:r>
        <w:rPr>
          <w:spacing w:val="-5"/>
          <w:lang w:val="hu-HU"/>
        </w:rPr>
        <w:t> pont</w:t>
      </w:r>
      <w:r>
        <w:rPr>
          <w:lang w:val="hu-HU"/>
        </w:rPr>
        <w:t>).</w:t>
      </w:r>
    </w:p>
    <w:p w:rsidR="007D7140" w:rsidRDefault="00A207BA">
      <w:pPr>
        <w:pStyle w:val="Listaszerbekezds"/>
        <w:numPr>
          <w:ilvl w:val="0"/>
          <w:numId w:val="2"/>
        </w:numPr>
        <w:ind w:left="567" w:hanging="567"/>
        <w:rPr>
          <w:lang w:val="hu-HU"/>
        </w:rPr>
      </w:pPr>
      <w:r>
        <w:rPr>
          <w:lang w:val="hu-HU"/>
        </w:rPr>
        <w:t>A veseműködést akkor is ellenőrizni kell, ha a kezelés alatt a veseműködés rosszabbodására lehet</w:t>
      </w:r>
      <w:r>
        <w:rPr>
          <w:spacing w:val="1"/>
          <w:lang w:val="hu-HU"/>
        </w:rPr>
        <w:t xml:space="preserve"> </w:t>
      </w:r>
      <w:r>
        <w:rPr>
          <w:lang w:val="hu-HU"/>
        </w:rPr>
        <w:t>számítani</w:t>
      </w:r>
      <w:r>
        <w:rPr>
          <w:spacing w:val="-6"/>
          <w:lang w:val="hu-HU"/>
        </w:rPr>
        <w:t xml:space="preserve"> </w:t>
      </w:r>
      <w:r>
        <w:rPr>
          <w:lang w:val="hu-HU"/>
        </w:rPr>
        <w:t>(pl.</w:t>
      </w:r>
      <w:r>
        <w:rPr>
          <w:spacing w:val="-5"/>
          <w:lang w:val="hu-HU"/>
        </w:rPr>
        <w:t xml:space="preserve"> </w:t>
      </w:r>
      <w:r>
        <w:rPr>
          <w:lang w:val="hu-HU"/>
        </w:rPr>
        <w:t>hypovolaemia,</w:t>
      </w:r>
      <w:r>
        <w:rPr>
          <w:spacing w:val="-6"/>
          <w:lang w:val="hu-HU"/>
        </w:rPr>
        <w:t xml:space="preserve"> </w:t>
      </w:r>
      <w:r>
        <w:rPr>
          <w:lang w:val="hu-HU"/>
        </w:rPr>
        <w:t>dehidráció</w:t>
      </w:r>
      <w:r>
        <w:rPr>
          <w:spacing w:val="-5"/>
          <w:lang w:val="hu-HU"/>
        </w:rPr>
        <w:t xml:space="preserve"> </w:t>
      </w:r>
      <w:r>
        <w:rPr>
          <w:lang w:val="hu-HU"/>
        </w:rPr>
        <w:t>és</w:t>
      </w:r>
      <w:r>
        <w:rPr>
          <w:spacing w:val="-6"/>
          <w:lang w:val="hu-HU"/>
        </w:rPr>
        <w:t xml:space="preserve"> </w:t>
      </w:r>
      <w:r>
        <w:rPr>
          <w:lang w:val="hu-HU"/>
        </w:rPr>
        <w:t>bizonyos</w:t>
      </w:r>
      <w:r>
        <w:rPr>
          <w:spacing w:val="-5"/>
          <w:lang w:val="hu-HU"/>
        </w:rPr>
        <w:t xml:space="preserve"> </w:t>
      </w:r>
      <w:r>
        <w:rPr>
          <w:lang w:val="hu-HU"/>
        </w:rPr>
        <w:t>gyógyszerek</w:t>
      </w:r>
      <w:r>
        <w:rPr>
          <w:spacing w:val="-6"/>
          <w:lang w:val="hu-HU"/>
        </w:rPr>
        <w:t xml:space="preserve"> </w:t>
      </w:r>
      <w:r>
        <w:rPr>
          <w:lang w:val="hu-HU"/>
        </w:rPr>
        <w:t>egyidejű</w:t>
      </w:r>
      <w:r>
        <w:rPr>
          <w:spacing w:val="-5"/>
          <w:lang w:val="hu-HU"/>
        </w:rPr>
        <w:t xml:space="preserve"> </w:t>
      </w:r>
      <w:r>
        <w:rPr>
          <w:lang w:val="hu-HU"/>
        </w:rPr>
        <w:t>alkalmazása</w:t>
      </w:r>
      <w:r>
        <w:rPr>
          <w:spacing w:val="-6"/>
          <w:lang w:val="hu-HU"/>
        </w:rPr>
        <w:t xml:space="preserve"> </w:t>
      </w:r>
      <w:r>
        <w:rPr>
          <w:lang w:val="hu-HU"/>
        </w:rPr>
        <w:t>esetén).</w:t>
      </w:r>
    </w:p>
    <w:p w:rsidR="007D7140" w:rsidRDefault="007D7140">
      <w:pPr>
        <w:rPr>
          <w:lang w:val="hu-HU"/>
        </w:rPr>
      </w:pPr>
    </w:p>
    <w:p w:rsidR="007D7140" w:rsidRDefault="00A207BA">
      <w:pPr>
        <w:rPr>
          <w:lang w:val="hu-HU"/>
        </w:rPr>
      </w:pPr>
      <w:r>
        <w:rPr>
          <w:lang w:val="hu-HU"/>
        </w:rPr>
        <w:t>A</w:t>
      </w:r>
      <w:r>
        <w:rPr>
          <w:spacing w:val="-6"/>
          <w:lang w:val="hu-HU"/>
        </w:rPr>
        <w:t xml:space="preserve"> </w:t>
      </w:r>
      <w:r>
        <w:rPr>
          <w:lang w:val="hu-HU"/>
        </w:rPr>
        <w:t>vesefunkció</w:t>
      </w:r>
      <w:r>
        <w:rPr>
          <w:spacing w:val="-5"/>
          <w:lang w:val="hu-HU"/>
        </w:rPr>
        <w:t xml:space="preserve"> </w:t>
      </w:r>
      <w:r>
        <w:rPr>
          <w:lang w:val="hu-HU"/>
        </w:rPr>
        <w:t>(ml/percben</w:t>
      </w:r>
      <w:r>
        <w:rPr>
          <w:spacing w:val="-5"/>
          <w:lang w:val="hu-HU"/>
        </w:rPr>
        <w:t xml:space="preserve"> </w:t>
      </w:r>
      <w:r>
        <w:rPr>
          <w:lang w:val="hu-HU"/>
        </w:rPr>
        <w:t>mért</w:t>
      </w:r>
      <w:r>
        <w:rPr>
          <w:spacing w:val="-5"/>
          <w:lang w:val="hu-HU"/>
        </w:rPr>
        <w:t xml:space="preserve"> </w:t>
      </w:r>
      <w:r>
        <w:rPr>
          <w:lang w:val="hu-HU"/>
        </w:rPr>
        <w:t>CrCl)</w:t>
      </w:r>
      <w:r>
        <w:rPr>
          <w:spacing w:val="-5"/>
          <w:lang w:val="hu-HU"/>
        </w:rPr>
        <w:t xml:space="preserve"> </w:t>
      </w:r>
      <w:r>
        <w:rPr>
          <w:lang w:val="hu-HU"/>
        </w:rPr>
        <w:t>becslésére</w:t>
      </w:r>
      <w:r>
        <w:rPr>
          <w:spacing w:val="-5"/>
          <w:lang w:val="hu-HU"/>
        </w:rPr>
        <w:t xml:space="preserve"> </w:t>
      </w:r>
      <w:r>
        <w:rPr>
          <w:lang w:val="hu-HU"/>
        </w:rPr>
        <w:t>a</w:t>
      </w:r>
      <w:r>
        <w:rPr>
          <w:spacing w:val="-5"/>
          <w:lang w:val="hu-HU"/>
        </w:rPr>
        <w:t xml:space="preserve"> </w:t>
      </w:r>
      <w:r>
        <w:rPr>
          <w:lang w:val="hu-HU"/>
        </w:rPr>
        <w:t>Cockcroft</w:t>
      </w:r>
      <w:r>
        <w:rPr>
          <w:lang w:val="hu-HU"/>
        </w:rPr>
        <w:noBreakHyphen/>
        <w:t>Gault</w:t>
      </w:r>
      <w:r>
        <w:rPr>
          <w:spacing w:val="-5"/>
          <w:lang w:val="hu-HU"/>
        </w:rPr>
        <w:t xml:space="preserve"> </w:t>
      </w:r>
      <w:r>
        <w:rPr>
          <w:lang w:val="hu-HU"/>
        </w:rPr>
        <w:t>módszert</w:t>
      </w:r>
      <w:r>
        <w:rPr>
          <w:spacing w:val="-5"/>
          <w:lang w:val="hu-HU"/>
        </w:rPr>
        <w:t xml:space="preserve"> kell </w:t>
      </w:r>
      <w:r>
        <w:rPr>
          <w:lang w:val="hu-HU"/>
        </w:rPr>
        <w:t>használni.</w:t>
      </w:r>
    </w:p>
    <w:p w:rsidR="007D7140" w:rsidRDefault="007D7140">
      <w:pPr>
        <w:rPr>
          <w:lang w:val="hu-HU"/>
        </w:rPr>
      </w:pPr>
    </w:p>
    <w:p w:rsidR="007D7140" w:rsidRDefault="00A207BA">
      <w:pPr>
        <w:keepNext/>
        <w:widowControl/>
        <w:rPr>
          <w:i/>
          <w:lang w:val="hu-HU"/>
        </w:rPr>
      </w:pPr>
      <w:r>
        <w:rPr>
          <w:i/>
          <w:u w:val="single"/>
          <w:lang w:val="hu-HU"/>
        </w:rPr>
        <w:lastRenderedPageBreak/>
        <w:t>Kihagyott</w:t>
      </w:r>
      <w:r>
        <w:rPr>
          <w:i/>
          <w:spacing w:val="-5"/>
          <w:u w:val="single"/>
          <w:lang w:val="hu-HU"/>
        </w:rPr>
        <w:t xml:space="preserve"> </w:t>
      </w:r>
      <w:r>
        <w:rPr>
          <w:i/>
          <w:u w:val="single"/>
          <w:lang w:val="hu-HU"/>
        </w:rPr>
        <w:t>dózis</w:t>
      </w:r>
    </w:p>
    <w:p w:rsidR="007D7140" w:rsidRDefault="007D7140">
      <w:pPr>
        <w:keepNext/>
        <w:widowControl/>
        <w:rPr>
          <w:i/>
          <w:lang w:val="hu-HU"/>
        </w:rPr>
      </w:pPr>
    </w:p>
    <w:p w:rsidR="007D7140" w:rsidRDefault="00A207BA">
      <w:pPr>
        <w:keepNext/>
        <w:widowControl/>
        <w:rPr>
          <w:lang w:val="hu-HU"/>
        </w:rPr>
      </w:pPr>
      <w:r>
        <w:rPr>
          <w:lang w:val="hu-HU"/>
        </w:rPr>
        <w:t>Az adagolást a dabigatrán</w:t>
      </w:r>
      <w:r>
        <w:rPr>
          <w:lang w:val="hu-HU"/>
        </w:rPr>
        <w:noBreakHyphen/>
        <w:t>etexilát változatlan napi dózisával javasolt folytatni a következő napon ugyanabban</w:t>
      </w:r>
      <w:r>
        <w:rPr>
          <w:spacing w:val="-2"/>
          <w:lang w:val="hu-HU"/>
        </w:rPr>
        <w:t xml:space="preserve"> </w:t>
      </w:r>
      <w:r>
        <w:rPr>
          <w:lang w:val="hu-HU"/>
        </w:rPr>
        <w:t>az</w:t>
      </w:r>
      <w:r>
        <w:rPr>
          <w:spacing w:val="-1"/>
          <w:lang w:val="hu-HU"/>
        </w:rPr>
        <w:t xml:space="preserve"> </w:t>
      </w:r>
      <w:r>
        <w:rPr>
          <w:lang w:val="hu-HU"/>
        </w:rPr>
        <w:t>időben.</w:t>
      </w:r>
    </w:p>
    <w:p w:rsidR="007D7140" w:rsidRDefault="00A207BA">
      <w:pPr>
        <w:rPr>
          <w:lang w:val="hu-HU"/>
        </w:rPr>
      </w:pPr>
      <w:r>
        <w:rPr>
          <w:lang w:val="hu-HU"/>
        </w:rPr>
        <w:t>Nem</w:t>
      </w:r>
      <w:r>
        <w:rPr>
          <w:spacing w:val="-4"/>
          <w:lang w:val="hu-HU"/>
        </w:rPr>
        <w:t xml:space="preserve"> </w:t>
      </w:r>
      <w:r>
        <w:rPr>
          <w:lang w:val="hu-HU"/>
        </w:rPr>
        <w:t>szabad</w:t>
      </w:r>
      <w:r>
        <w:rPr>
          <w:spacing w:val="-4"/>
          <w:lang w:val="hu-HU"/>
        </w:rPr>
        <w:t xml:space="preserve"> </w:t>
      </w:r>
      <w:r>
        <w:rPr>
          <w:lang w:val="hu-HU"/>
        </w:rPr>
        <w:t>kétszeres</w:t>
      </w:r>
      <w:r>
        <w:rPr>
          <w:spacing w:val="-4"/>
          <w:lang w:val="hu-HU"/>
        </w:rPr>
        <w:t xml:space="preserve"> </w:t>
      </w:r>
      <w:r>
        <w:rPr>
          <w:lang w:val="hu-HU"/>
        </w:rPr>
        <w:t>adagot</w:t>
      </w:r>
      <w:r>
        <w:rPr>
          <w:spacing w:val="-4"/>
          <w:lang w:val="hu-HU"/>
        </w:rPr>
        <w:t xml:space="preserve"> </w:t>
      </w:r>
      <w:r>
        <w:rPr>
          <w:lang w:val="hu-HU"/>
        </w:rPr>
        <w:t>bevenni</w:t>
      </w:r>
      <w:r>
        <w:rPr>
          <w:spacing w:val="-4"/>
          <w:lang w:val="hu-HU"/>
        </w:rPr>
        <w:t xml:space="preserve"> </w:t>
      </w:r>
      <w:r>
        <w:rPr>
          <w:lang w:val="hu-HU"/>
        </w:rPr>
        <w:t>az</w:t>
      </w:r>
      <w:r>
        <w:rPr>
          <w:spacing w:val="-4"/>
          <w:lang w:val="hu-HU"/>
        </w:rPr>
        <w:t xml:space="preserve"> </w:t>
      </w:r>
      <w:r>
        <w:rPr>
          <w:lang w:val="hu-HU"/>
        </w:rPr>
        <w:t>egyes</w:t>
      </w:r>
      <w:r>
        <w:rPr>
          <w:spacing w:val="-4"/>
          <w:lang w:val="hu-HU"/>
        </w:rPr>
        <w:t xml:space="preserve"> </w:t>
      </w:r>
      <w:r>
        <w:rPr>
          <w:lang w:val="hu-HU"/>
        </w:rPr>
        <w:t>kihagyott</w:t>
      </w:r>
      <w:r>
        <w:rPr>
          <w:spacing w:val="-4"/>
          <w:lang w:val="hu-HU"/>
        </w:rPr>
        <w:t xml:space="preserve"> </w:t>
      </w:r>
      <w:r>
        <w:rPr>
          <w:lang w:val="hu-HU"/>
        </w:rPr>
        <w:t>adagok</w:t>
      </w:r>
      <w:r>
        <w:rPr>
          <w:spacing w:val="-4"/>
          <w:lang w:val="hu-HU"/>
        </w:rPr>
        <w:t xml:space="preserve"> </w:t>
      </w:r>
      <w:r>
        <w:rPr>
          <w:lang w:val="hu-HU"/>
        </w:rPr>
        <w:t>pótlására.</w:t>
      </w:r>
    </w:p>
    <w:p w:rsidR="007D7140" w:rsidRDefault="007D7140">
      <w:pPr>
        <w:rPr>
          <w:lang w:val="hu-HU"/>
        </w:rPr>
      </w:pPr>
    </w:p>
    <w:p w:rsidR="007D7140" w:rsidRDefault="00A207BA">
      <w:pPr>
        <w:rPr>
          <w:i/>
          <w:lang w:val="hu-HU"/>
        </w:rPr>
      </w:pPr>
      <w:r>
        <w:rPr>
          <w:i/>
          <w:u w:val="single"/>
          <w:lang w:val="hu-HU"/>
        </w:rPr>
        <w:t>A</w:t>
      </w:r>
      <w:r>
        <w:rPr>
          <w:i/>
          <w:spacing w:val="-5"/>
          <w:u w:val="single"/>
          <w:lang w:val="hu-HU"/>
        </w:rPr>
        <w:t xml:space="preserve"> </w:t>
      </w:r>
      <w:r>
        <w:rPr>
          <w:i/>
          <w:u w:val="single"/>
          <w:lang w:val="hu-HU"/>
        </w:rPr>
        <w:t>dabigatrán</w:t>
      </w:r>
      <w:r>
        <w:rPr>
          <w:i/>
          <w:u w:val="single"/>
          <w:lang w:val="hu-HU"/>
        </w:rPr>
        <w:noBreakHyphen/>
        <w:t>etexilát</w:t>
      </w:r>
      <w:r>
        <w:rPr>
          <w:i/>
          <w:u w:val="single"/>
          <w:lang w:val="hu-HU"/>
        </w:rPr>
        <w:noBreakHyphen/>
        <w:t>kezelés</w:t>
      </w:r>
      <w:r>
        <w:rPr>
          <w:i/>
          <w:spacing w:val="-5"/>
          <w:u w:val="single"/>
          <w:lang w:val="hu-HU"/>
        </w:rPr>
        <w:t xml:space="preserve"> </w:t>
      </w:r>
      <w:r>
        <w:rPr>
          <w:i/>
          <w:u w:val="single"/>
          <w:lang w:val="hu-HU"/>
        </w:rPr>
        <w:t>leállítása</w:t>
      </w:r>
    </w:p>
    <w:p w:rsidR="007D7140" w:rsidRDefault="007D7140">
      <w:pPr>
        <w:rPr>
          <w:i/>
          <w:lang w:val="hu-HU"/>
        </w:rPr>
      </w:pPr>
    </w:p>
    <w:p w:rsidR="007D7140" w:rsidRDefault="00A207BA">
      <w:pPr>
        <w:rPr>
          <w:lang w:val="hu-HU"/>
        </w:rPr>
      </w:pPr>
      <w:r>
        <w:rPr>
          <w:lang w:val="hu-HU"/>
        </w:rPr>
        <w:t>A dabigatrán</w:t>
      </w:r>
      <w:r>
        <w:rPr>
          <w:lang w:val="hu-HU"/>
        </w:rPr>
        <w:noBreakHyphen/>
        <w:t>etexilát</w:t>
      </w:r>
      <w:r>
        <w:rPr>
          <w:lang w:val="hu-HU"/>
        </w:rPr>
        <w:noBreakHyphen/>
        <w:t>kezelés csak orvosi javaslatra állítható le. A betegeknek gastrointestinalis tünetek,</w:t>
      </w:r>
      <w:r>
        <w:rPr>
          <w:spacing w:val="-5"/>
          <w:lang w:val="hu-HU"/>
        </w:rPr>
        <w:t xml:space="preserve"> </w:t>
      </w:r>
      <w:r>
        <w:rPr>
          <w:lang w:val="hu-HU"/>
        </w:rPr>
        <w:t>pl.</w:t>
      </w:r>
      <w:r>
        <w:rPr>
          <w:spacing w:val="-5"/>
          <w:lang w:val="hu-HU"/>
        </w:rPr>
        <w:t xml:space="preserve"> </w:t>
      </w:r>
      <w:r>
        <w:rPr>
          <w:lang w:val="hu-HU"/>
        </w:rPr>
        <w:t>dyspepsia</w:t>
      </w:r>
      <w:r>
        <w:rPr>
          <w:spacing w:val="-5"/>
          <w:lang w:val="hu-HU"/>
        </w:rPr>
        <w:t xml:space="preserve"> </w:t>
      </w:r>
      <w:r>
        <w:rPr>
          <w:lang w:val="hu-HU"/>
        </w:rPr>
        <w:t>megjelenése</w:t>
      </w:r>
      <w:r>
        <w:rPr>
          <w:spacing w:val="-5"/>
          <w:lang w:val="hu-HU"/>
        </w:rPr>
        <w:t xml:space="preserve"> </w:t>
      </w:r>
      <w:r>
        <w:rPr>
          <w:lang w:val="hu-HU"/>
        </w:rPr>
        <w:t>esetén</w:t>
      </w:r>
      <w:r>
        <w:rPr>
          <w:spacing w:val="-5"/>
          <w:lang w:val="hu-HU"/>
        </w:rPr>
        <w:t xml:space="preserve"> </w:t>
      </w:r>
      <w:r>
        <w:rPr>
          <w:lang w:val="hu-HU"/>
        </w:rPr>
        <w:t>tájékoztatniuk</w:t>
      </w:r>
      <w:r>
        <w:rPr>
          <w:spacing w:val="-4"/>
          <w:lang w:val="hu-HU"/>
        </w:rPr>
        <w:t xml:space="preserve"> </w:t>
      </w:r>
      <w:r>
        <w:rPr>
          <w:lang w:val="hu-HU"/>
        </w:rPr>
        <w:t>kell</w:t>
      </w:r>
      <w:r>
        <w:rPr>
          <w:spacing w:val="-5"/>
          <w:lang w:val="hu-HU"/>
        </w:rPr>
        <w:t xml:space="preserve"> </w:t>
      </w:r>
      <w:r>
        <w:rPr>
          <w:lang w:val="hu-HU"/>
        </w:rPr>
        <w:t>kezelőorvosukat</w:t>
      </w:r>
      <w:r>
        <w:rPr>
          <w:spacing w:val="-5"/>
          <w:lang w:val="hu-HU"/>
        </w:rPr>
        <w:t xml:space="preserve"> </w:t>
      </w:r>
      <w:r>
        <w:rPr>
          <w:lang w:val="hu-HU"/>
        </w:rPr>
        <w:t>(lásd</w:t>
      </w:r>
      <w:r>
        <w:rPr>
          <w:spacing w:val="-5"/>
          <w:lang w:val="hu-HU"/>
        </w:rPr>
        <w:t xml:space="preserve"> </w:t>
      </w:r>
      <w:r>
        <w:rPr>
          <w:lang w:val="hu-HU"/>
        </w:rPr>
        <w:t>4.8</w:t>
      </w:r>
      <w:r>
        <w:rPr>
          <w:spacing w:val="-4"/>
          <w:lang w:val="hu-HU"/>
        </w:rPr>
        <w:t> pont</w:t>
      </w:r>
      <w:r>
        <w:rPr>
          <w:lang w:val="hu-HU"/>
        </w:rPr>
        <w:t>).</w:t>
      </w:r>
    </w:p>
    <w:p w:rsidR="007D7140" w:rsidRDefault="007D7140">
      <w:pPr>
        <w:rPr>
          <w:lang w:val="hu-HU"/>
        </w:rPr>
      </w:pPr>
    </w:p>
    <w:p w:rsidR="007D7140" w:rsidRDefault="00A207BA">
      <w:pPr>
        <w:rPr>
          <w:i/>
          <w:lang w:val="hu-HU"/>
        </w:rPr>
      </w:pPr>
      <w:r>
        <w:rPr>
          <w:i/>
          <w:u w:val="single"/>
          <w:lang w:val="hu-HU"/>
        </w:rPr>
        <w:t>Átállítás</w:t>
      </w:r>
    </w:p>
    <w:p w:rsidR="007D7140" w:rsidRDefault="007D7140">
      <w:pPr>
        <w:rPr>
          <w:i/>
          <w:lang w:val="hu-HU"/>
        </w:rPr>
      </w:pPr>
    </w:p>
    <w:p w:rsidR="007D7140" w:rsidRDefault="00A207BA">
      <w:pPr>
        <w:rPr>
          <w:lang w:val="hu-HU"/>
        </w:rPr>
      </w:pPr>
      <w:r>
        <w:rPr>
          <w:lang w:val="hu-HU"/>
        </w:rPr>
        <w:t>Dabigatrán</w:t>
      </w:r>
      <w:r>
        <w:rPr>
          <w:lang w:val="hu-HU"/>
        </w:rPr>
        <w:noBreakHyphen/>
        <w:t>etexilát</w:t>
      </w:r>
      <w:r>
        <w:rPr>
          <w:lang w:val="hu-HU"/>
        </w:rPr>
        <w:noBreakHyphen/>
        <w:t>kezelésről</w:t>
      </w:r>
      <w:r>
        <w:rPr>
          <w:spacing w:val="-9"/>
          <w:lang w:val="hu-HU"/>
        </w:rPr>
        <w:t xml:space="preserve"> </w:t>
      </w:r>
      <w:r>
        <w:rPr>
          <w:lang w:val="hu-HU"/>
        </w:rPr>
        <w:t>parenterális</w:t>
      </w:r>
      <w:r>
        <w:rPr>
          <w:spacing w:val="-8"/>
          <w:lang w:val="hu-HU"/>
        </w:rPr>
        <w:t xml:space="preserve"> </w:t>
      </w:r>
      <w:r>
        <w:rPr>
          <w:lang w:val="hu-HU"/>
        </w:rPr>
        <w:t>antikoaguláns</w:t>
      </w:r>
      <w:r>
        <w:rPr>
          <w:lang w:val="hu-HU"/>
        </w:rPr>
        <w:noBreakHyphen/>
        <w:t>kezelésre:</w:t>
      </w:r>
    </w:p>
    <w:p w:rsidR="007D7140" w:rsidRDefault="00A207BA">
      <w:pPr>
        <w:rPr>
          <w:lang w:val="hu-HU"/>
        </w:rPr>
      </w:pPr>
      <w:r>
        <w:rPr>
          <w:lang w:val="hu-HU"/>
        </w:rPr>
        <w:t>A dabigatrán</w:t>
      </w:r>
      <w:r>
        <w:rPr>
          <w:lang w:val="hu-HU"/>
        </w:rPr>
        <w:noBreakHyphen/>
        <w:t>etexilátról parenterális antikoaguláns</w:t>
      </w:r>
      <w:r>
        <w:rPr>
          <w:lang w:val="hu-HU"/>
        </w:rPr>
        <w:noBreakHyphen/>
        <w:t>kezelésre történő átállításkor javasolt 24 órát várni az</w:t>
      </w:r>
      <w:r>
        <w:rPr>
          <w:spacing w:val="-2"/>
          <w:lang w:val="hu-HU"/>
        </w:rPr>
        <w:t xml:space="preserve"> </w:t>
      </w:r>
      <w:r>
        <w:rPr>
          <w:lang w:val="hu-HU"/>
        </w:rPr>
        <w:t>utolsó</w:t>
      </w:r>
      <w:r>
        <w:rPr>
          <w:spacing w:val="-1"/>
          <w:lang w:val="hu-HU"/>
        </w:rPr>
        <w:t xml:space="preserve"> </w:t>
      </w:r>
      <w:r>
        <w:rPr>
          <w:lang w:val="hu-HU"/>
        </w:rPr>
        <w:t>dabigatran</w:t>
      </w:r>
      <w:r>
        <w:rPr>
          <w:lang w:val="hu-HU"/>
        </w:rPr>
        <w:noBreakHyphen/>
        <w:t>etexilát dózis</w:t>
      </w:r>
      <w:r>
        <w:rPr>
          <w:spacing w:val="-2"/>
          <w:lang w:val="hu-HU"/>
        </w:rPr>
        <w:t xml:space="preserve"> </w:t>
      </w:r>
      <w:r>
        <w:rPr>
          <w:lang w:val="hu-HU"/>
        </w:rPr>
        <w:t>után</w:t>
      </w:r>
      <w:r>
        <w:rPr>
          <w:spacing w:val="-1"/>
          <w:lang w:val="hu-HU"/>
        </w:rPr>
        <w:t xml:space="preserve"> </w:t>
      </w:r>
      <w:r>
        <w:rPr>
          <w:lang w:val="hu-HU"/>
        </w:rPr>
        <w:t>(lásd</w:t>
      </w:r>
      <w:r>
        <w:rPr>
          <w:spacing w:val="-2"/>
          <w:lang w:val="hu-HU"/>
        </w:rPr>
        <w:t xml:space="preserve"> </w:t>
      </w:r>
      <w:r>
        <w:rPr>
          <w:lang w:val="hu-HU"/>
        </w:rPr>
        <w:t>4.5 pont).</w:t>
      </w:r>
    </w:p>
    <w:p w:rsidR="007D7140" w:rsidRDefault="007D7140">
      <w:pPr>
        <w:rPr>
          <w:lang w:val="hu-HU"/>
        </w:rPr>
      </w:pPr>
    </w:p>
    <w:p w:rsidR="007D7140" w:rsidRDefault="00A207BA">
      <w:pPr>
        <w:rPr>
          <w:lang w:val="hu-HU"/>
        </w:rPr>
      </w:pPr>
      <w:r>
        <w:rPr>
          <w:lang w:val="hu-HU"/>
        </w:rPr>
        <w:t>Parenterális</w:t>
      </w:r>
      <w:r>
        <w:rPr>
          <w:spacing w:val="-9"/>
          <w:lang w:val="hu-HU"/>
        </w:rPr>
        <w:t xml:space="preserve"> </w:t>
      </w:r>
      <w:r>
        <w:rPr>
          <w:lang w:val="hu-HU"/>
        </w:rPr>
        <w:t>antikoagulánsokról</w:t>
      </w:r>
      <w:r>
        <w:rPr>
          <w:spacing w:val="-8"/>
          <w:lang w:val="hu-HU"/>
        </w:rPr>
        <w:t xml:space="preserve"> </w:t>
      </w:r>
      <w:r>
        <w:rPr>
          <w:lang w:val="hu-HU"/>
        </w:rPr>
        <w:t>dabigatrán</w:t>
      </w:r>
      <w:r>
        <w:rPr>
          <w:lang w:val="hu-HU"/>
        </w:rPr>
        <w:noBreakHyphen/>
        <w:t>etexilátra:</w:t>
      </w:r>
    </w:p>
    <w:p w:rsidR="007D7140" w:rsidRDefault="00A207BA">
      <w:pPr>
        <w:rPr>
          <w:lang w:val="hu-HU"/>
        </w:rPr>
      </w:pPr>
      <w:r>
        <w:rPr>
          <w:lang w:val="hu-HU"/>
        </w:rPr>
        <w:t>Az antikoaguláns kezelés következő adagjának esedékessége előtt 0</w:t>
      </w:r>
      <w:r>
        <w:rPr>
          <w:lang w:val="hu-HU"/>
        </w:rPr>
        <w:noBreakHyphen/>
        <w:t>2 órával a parenterális</w:t>
      </w:r>
      <w:r>
        <w:rPr>
          <w:spacing w:val="1"/>
          <w:lang w:val="hu-HU"/>
        </w:rPr>
        <w:t xml:space="preserve"> </w:t>
      </w:r>
      <w:r>
        <w:rPr>
          <w:lang w:val="hu-HU"/>
        </w:rPr>
        <w:t>antikoaguláns</w:t>
      </w:r>
      <w:r>
        <w:rPr>
          <w:lang w:val="hu-HU"/>
        </w:rPr>
        <w:noBreakHyphen/>
        <w:t>kezelést le kell állítani, és a dabigatrán</w:t>
      </w:r>
      <w:r>
        <w:rPr>
          <w:lang w:val="hu-HU"/>
        </w:rPr>
        <w:noBreakHyphen/>
        <w:t>etexilát kezelést meg kell kezdeni, illetve a</w:t>
      </w:r>
      <w:r>
        <w:rPr>
          <w:spacing w:val="1"/>
          <w:lang w:val="hu-HU"/>
        </w:rPr>
        <w:t xml:space="preserve"> </w:t>
      </w:r>
      <w:r>
        <w:rPr>
          <w:lang w:val="hu-HU"/>
        </w:rPr>
        <w:t>folyamatos kezelés (pl. intravénás nem frakcionált heparin [Unfractionated Heparin, UFH]) esetén az antikoaguláns terápia leállításakor</w:t>
      </w:r>
      <w:r>
        <w:rPr>
          <w:spacing w:val="-2"/>
          <w:lang w:val="hu-HU"/>
        </w:rPr>
        <w:t xml:space="preserve"> </w:t>
      </w:r>
      <w:r>
        <w:rPr>
          <w:lang w:val="hu-HU"/>
        </w:rPr>
        <w:t>kell</w:t>
      </w:r>
      <w:r>
        <w:rPr>
          <w:spacing w:val="-2"/>
          <w:lang w:val="hu-HU"/>
        </w:rPr>
        <w:t xml:space="preserve"> </w:t>
      </w:r>
      <w:r>
        <w:rPr>
          <w:lang w:val="hu-HU"/>
        </w:rPr>
        <w:t>megkezdeni</w:t>
      </w:r>
      <w:r>
        <w:rPr>
          <w:spacing w:val="-2"/>
          <w:lang w:val="hu-HU"/>
        </w:rPr>
        <w:t xml:space="preserve"> </w:t>
      </w:r>
      <w:r>
        <w:rPr>
          <w:lang w:val="hu-HU"/>
        </w:rPr>
        <w:t>a</w:t>
      </w:r>
      <w:r>
        <w:rPr>
          <w:spacing w:val="-2"/>
          <w:lang w:val="hu-HU"/>
        </w:rPr>
        <w:t xml:space="preserve"> </w:t>
      </w:r>
      <w:r>
        <w:rPr>
          <w:lang w:val="hu-HU"/>
        </w:rPr>
        <w:t>dabigatrán</w:t>
      </w:r>
      <w:r>
        <w:rPr>
          <w:lang w:val="hu-HU"/>
        </w:rPr>
        <w:noBreakHyphen/>
        <w:t>etexilát</w:t>
      </w:r>
      <w:r>
        <w:rPr>
          <w:spacing w:val="-2"/>
          <w:lang w:val="hu-HU"/>
        </w:rPr>
        <w:noBreakHyphen/>
      </w:r>
      <w:r>
        <w:rPr>
          <w:lang w:val="hu-HU"/>
        </w:rPr>
        <w:t>alkalmazását</w:t>
      </w:r>
      <w:r>
        <w:rPr>
          <w:spacing w:val="-2"/>
          <w:lang w:val="hu-HU"/>
        </w:rPr>
        <w:t xml:space="preserve"> </w:t>
      </w:r>
      <w:r>
        <w:rPr>
          <w:lang w:val="hu-HU"/>
        </w:rPr>
        <w:t>(lásd</w:t>
      </w:r>
      <w:r>
        <w:rPr>
          <w:spacing w:val="-2"/>
          <w:lang w:val="hu-HU"/>
        </w:rPr>
        <w:t xml:space="preserve"> </w:t>
      </w:r>
      <w:r>
        <w:rPr>
          <w:lang w:val="hu-HU"/>
        </w:rPr>
        <w:t>4.5</w:t>
      </w:r>
      <w:r>
        <w:rPr>
          <w:spacing w:val="-5"/>
          <w:lang w:val="hu-HU"/>
        </w:rPr>
        <w:t> pont</w:t>
      </w:r>
      <w:r>
        <w:rPr>
          <w:lang w:val="hu-HU"/>
        </w:rPr>
        <w:t>).</w:t>
      </w:r>
    </w:p>
    <w:p w:rsidR="007D7140" w:rsidRDefault="007D7140">
      <w:pPr>
        <w:rPr>
          <w:lang w:val="hu-HU"/>
        </w:rPr>
      </w:pPr>
    </w:p>
    <w:p w:rsidR="007D7140" w:rsidRDefault="00A207BA">
      <w:pPr>
        <w:rPr>
          <w:i/>
          <w:lang w:val="hu-HU"/>
        </w:rPr>
      </w:pPr>
      <w:r>
        <w:rPr>
          <w:i/>
          <w:u w:val="single"/>
          <w:lang w:val="hu-HU"/>
        </w:rPr>
        <w:t>Különleges</w:t>
      </w:r>
      <w:r>
        <w:rPr>
          <w:i/>
          <w:spacing w:val="-8"/>
          <w:u w:val="single"/>
          <w:lang w:val="hu-HU"/>
        </w:rPr>
        <w:t xml:space="preserve"> </w:t>
      </w:r>
      <w:r>
        <w:rPr>
          <w:i/>
          <w:u w:val="single"/>
          <w:lang w:val="hu-HU"/>
        </w:rPr>
        <w:t>betegcsoportok</w:t>
      </w:r>
    </w:p>
    <w:p w:rsidR="007D7140" w:rsidRDefault="007D7140">
      <w:pPr>
        <w:rPr>
          <w:i/>
          <w:lang w:val="hu-HU"/>
        </w:rPr>
      </w:pPr>
    </w:p>
    <w:p w:rsidR="007D7140" w:rsidRDefault="00A207BA">
      <w:pPr>
        <w:rPr>
          <w:i/>
          <w:lang w:val="hu-HU"/>
        </w:rPr>
      </w:pPr>
      <w:r>
        <w:rPr>
          <w:i/>
          <w:lang w:val="hu-HU"/>
        </w:rPr>
        <w:t>Vesekárosodás</w:t>
      </w:r>
    </w:p>
    <w:p w:rsidR="007D7140" w:rsidRDefault="007D7140">
      <w:pPr>
        <w:rPr>
          <w:i/>
          <w:lang w:val="hu-HU"/>
        </w:rPr>
      </w:pPr>
    </w:p>
    <w:p w:rsidR="007D7140" w:rsidRDefault="00A207BA">
      <w:pPr>
        <w:rPr>
          <w:lang w:val="hu-HU"/>
        </w:rPr>
      </w:pPr>
      <w:r>
        <w:rPr>
          <w:lang w:val="hu-HU"/>
        </w:rPr>
        <w:t>A dabigatrán</w:t>
      </w:r>
      <w:r>
        <w:rPr>
          <w:lang w:val="hu-HU"/>
        </w:rPr>
        <w:noBreakHyphen/>
        <w:t>etexilát</w:t>
      </w:r>
      <w:r>
        <w:rPr>
          <w:lang w:val="hu-HU"/>
        </w:rPr>
        <w:noBreakHyphen/>
        <w:t>kezelés a súlyos vesekárosodásban szenvedő betegeknél (30 ml/perc alatti kreatinin</w:t>
      </w:r>
      <w:r>
        <w:rPr>
          <w:lang w:val="hu-HU"/>
        </w:rPr>
        <w:noBreakHyphen/>
        <w:t>clearance</w:t>
      </w:r>
      <w:r>
        <w:rPr>
          <w:spacing w:val="-2"/>
          <w:lang w:val="hu-HU"/>
        </w:rPr>
        <w:t xml:space="preserve"> [</w:t>
      </w:r>
      <w:r>
        <w:rPr>
          <w:lang w:val="hu-HU"/>
        </w:rPr>
        <w:t>CrCl])</w:t>
      </w:r>
      <w:r>
        <w:rPr>
          <w:spacing w:val="-1"/>
          <w:lang w:val="hu-HU"/>
        </w:rPr>
        <w:t xml:space="preserve"> </w:t>
      </w:r>
      <w:r>
        <w:rPr>
          <w:lang w:val="hu-HU"/>
        </w:rPr>
        <w:t>ellenjavallt</w:t>
      </w:r>
      <w:r>
        <w:rPr>
          <w:spacing w:val="-1"/>
          <w:lang w:val="hu-HU"/>
        </w:rPr>
        <w:t xml:space="preserve"> </w:t>
      </w:r>
      <w:r>
        <w:rPr>
          <w:lang w:val="hu-HU"/>
        </w:rPr>
        <w:t>(lásd</w:t>
      </w:r>
      <w:r>
        <w:rPr>
          <w:spacing w:val="-2"/>
          <w:lang w:val="hu-HU"/>
        </w:rPr>
        <w:t xml:space="preserve"> </w:t>
      </w:r>
      <w:r>
        <w:rPr>
          <w:lang w:val="hu-HU"/>
        </w:rPr>
        <w:t>4.3</w:t>
      </w:r>
      <w:r>
        <w:rPr>
          <w:spacing w:val="-2"/>
          <w:lang w:val="hu-HU"/>
        </w:rPr>
        <w:t> pont</w:t>
      </w:r>
      <w:r>
        <w:rPr>
          <w:lang w:val="hu-HU"/>
        </w:rPr>
        <w:t>).</w:t>
      </w:r>
    </w:p>
    <w:p w:rsidR="007D7140" w:rsidRDefault="007D7140">
      <w:pPr>
        <w:rPr>
          <w:lang w:val="hu-HU"/>
        </w:rPr>
      </w:pPr>
    </w:p>
    <w:p w:rsidR="007D7140" w:rsidRDefault="00A207BA">
      <w:pPr>
        <w:rPr>
          <w:lang w:val="hu-HU"/>
        </w:rPr>
      </w:pPr>
      <w:r>
        <w:rPr>
          <w:lang w:val="hu-HU"/>
        </w:rPr>
        <w:t>A közepesen súlyos vesekárosodásban (CrCl: 30-50 ml/perc) szenvedő betegeknél dóziscsökkentés javasolt</w:t>
      </w:r>
      <w:r>
        <w:rPr>
          <w:spacing w:val="-2"/>
          <w:lang w:val="hu-HU"/>
        </w:rPr>
        <w:t xml:space="preserve"> </w:t>
      </w:r>
      <w:r>
        <w:rPr>
          <w:lang w:val="hu-HU"/>
        </w:rPr>
        <w:t>(lásd</w:t>
      </w:r>
      <w:r>
        <w:rPr>
          <w:spacing w:val="-1"/>
          <w:lang w:val="hu-HU"/>
        </w:rPr>
        <w:t xml:space="preserve"> </w:t>
      </w:r>
      <w:r>
        <w:rPr>
          <w:lang w:val="hu-HU"/>
        </w:rPr>
        <w:t>1.</w:t>
      </w:r>
      <w:r>
        <w:rPr>
          <w:spacing w:val="-2"/>
          <w:lang w:val="hu-HU"/>
        </w:rPr>
        <w:t xml:space="preserve"> </w:t>
      </w:r>
      <w:r>
        <w:rPr>
          <w:lang w:val="hu-HU"/>
        </w:rPr>
        <w:t>táblázat</w:t>
      </w:r>
      <w:r>
        <w:rPr>
          <w:spacing w:val="-1"/>
          <w:lang w:val="hu-HU"/>
        </w:rPr>
        <w:t xml:space="preserve"> </w:t>
      </w:r>
      <w:r>
        <w:rPr>
          <w:lang w:val="hu-HU"/>
        </w:rPr>
        <w:t>fent,</w:t>
      </w:r>
      <w:r>
        <w:rPr>
          <w:spacing w:val="-2"/>
          <w:lang w:val="hu-HU"/>
        </w:rPr>
        <w:t xml:space="preserve"> </w:t>
      </w:r>
      <w:r>
        <w:rPr>
          <w:lang w:val="hu-HU"/>
        </w:rPr>
        <w:t>valamint</w:t>
      </w:r>
      <w:r>
        <w:rPr>
          <w:spacing w:val="-1"/>
          <w:lang w:val="hu-HU"/>
        </w:rPr>
        <w:t xml:space="preserve"> </w:t>
      </w:r>
      <w:r>
        <w:rPr>
          <w:lang w:val="hu-HU"/>
        </w:rPr>
        <w:t>4.4</w:t>
      </w:r>
      <w:r>
        <w:rPr>
          <w:spacing w:val="-2"/>
          <w:lang w:val="hu-HU"/>
        </w:rPr>
        <w:t xml:space="preserve"> </w:t>
      </w:r>
      <w:r>
        <w:rPr>
          <w:lang w:val="hu-HU"/>
        </w:rPr>
        <w:t>és</w:t>
      </w:r>
      <w:r>
        <w:rPr>
          <w:spacing w:val="-2"/>
          <w:lang w:val="hu-HU"/>
        </w:rPr>
        <w:t xml:space="preserve"> </w:t>
      </w:r>
      <w:r>
        <w:rPr>
          <w:lang w:val="hu-HU"/>
        </w:rPr>
        <w:t>5.1</w:t>
      </w:r>
      <w:r>
        <w:rPr>
          <w:spacing w:val="-1"/>
          <w:lang w:val="hu-HU"/>
        </w:rPr>
        <w:t> pont</w:t>
      </w:r>
      <w:r>
        <w:rPr>
          <w:lang w:val="hu-HU"/>
        </w:rPr>
        <w:t>).</w:t>
      </w:r>
    </w:p>
    <w:p w:rsidR="007D7140" w:rsidRDefault="007D7140">
      <w:pPr>
        <w:rPr>
          <w:lang w:val="hu-HU"/>
        </w:rPr>
      </w:pPr>
    </w:p>
    <w:p w:rsidR="007D7140" w:rsidRDefault="00A207BA">
      <w:pPr>
        <w:rPr>
          <w:i/>
          <w:lang w:val="hu-HU"/>
        </w:rPr>
      </w:pPr>
      <w:r>
        <w:rPr>
          <w:i/>
          <w:lang w:val="hu-HU"/>
        </w:rPr>
        <w:t>Dabigatrán</w:t>
      </w:r>
      <w:r>
        <w:rPr>
          <w:i/>
          <w:lang w:val="hu-HU"/>
        </w:rPr>
        <w:noBreakHyphen/>
        <w:t>etexilát egyidejű alkalmazása gyenge és közepesen erős P</w:t>
      </w:r>
      <w:r>
        <w:rPr>
          <w:lang w:val="hu-HU"/>
        </w:rPr>
        <w:noBreakHyphen/>
      </w:r>
      <w:r>
        <w:rPr>
          <w:i/>
          <w:lang w:val="hu-HU"/>
        </w:rPr>
        <w:t>glikoprotein (P</w:t>
      </w:r>
      <w:r>
        <w:rPr>
          <w:i/>
          <w:lang w:val="hu-HU"/>
        </w:rPr>
        <w:noBreakHyphen/>
        <w:t>gp) inhibitorokkal,</w:t>
      </w:r>
      <w:r>
        <w:rPr>
          <w:i/>
          <w:spacing w:val="-2"/>
          <w:lang w:val="hu-HU"/>
        </w:rPr>
        <w:t xml:space="preserve"> </w:t>
      </w:r>
      <w:r>
        <w:rPr>
          <w:i/>
          <w:lang w:val="hu-HU"/>
        </w:rPr>
        <w:t>pl.</w:t>
      </w:r>
      <w:r>
        <w:rPr>
          <w:i/>
          <w:spacing w:val="-2"/>
          <w:lang w:val="hu-HU"/>
        </w:rPr>
        <w:t xml:space="preserve"> </w:t>
      </w:r>
      <w:r>
        <w:rPr>
          <w:i/>
          <w:lang w:val="hu-HU"/>
        </w:rPr>
        <w:t>amiodaronnal,</w:t>
      </w:r>
      <w:r>
        <w:rPr>
          <w:i/>
          <w:spacing w:val="-1"/>
          <w:lang w:val="hu-HU"/>
        </w:rPr>
        <w:t xml:space="preserve"> </w:t>
      </w:r>
      <w:r>
        <w:rPr>
          <w:i/>
          <w:lang w:val="hu-HU"/>
        </w:rPr>
        <w:t>kinidinnel</w:t>
      </w:r>
      <w:r>
        <w:rPr>
          <w:i/>
          <w:spacing w:val="-2"/>
          <w:lang w:val="hu-HU"/>
        </w:rPr>
        <w:t xml:space="preserve"> </w:t>
      </w:r>
      <w:r>
        <w:rPr>
          <w:i/>
          <w:lang w:val="hu-HU"/>
        </w:rPr>
        <w:t>vagy</w:t>
      </w:r>
      <w:r>
        <w:rPr>
          <w:i/>
          <w:spacing w:val="-2"/>
          <w:lang w:val="hu-HU"/>
        </w:rPr>
        <w:t xml:space="preserve"> </w:t>
      </w:r>
      <w:r>
        <w:rPr>
          <w:i/>
          <w:lang w:val="hu-HU"/>
        </w:rPr>
        <w:t>verapamillal</w:t>
      </w:r>
    </w:p>
    <w:p w:rsidR="007D7140" w:rsidRDefault="007D7140">
      <w:pPr>
        <w:rPr>
          <w:i/>
          <w:lang w:val="hu-HU"/>
        </w:rPr>
      </w:pPr>
    </w:p>
    <w:p w:rsidR="007D7140" w:rsidRDefault="00A207BA">
      <w:pPr>
        <w:rPr>
          <w:lang w:val="hu-HU"/>
        </w:rPr>
      </w:pPr>
      <w:r>
        <w:rPr>
          <w:lang w:val="hu-HU"/>
        </w:rPr>
        <w:t>A dózist csökkenteni kell az 1. táblázatban foglaltak szerint (lásd még a 4.4 és 4.5 pont). Ilyen esetben a</w:t>
      </w:r>
      <w:r>
        <w:rPr>
          <w:spacing w:val="-2"/>
          <w:lang w:val="hu-HU"/>
        </w:rPr>
        <w:t xml:space="preserve"> </w:t>
      </w:r>
      <w:r>
        <w:rPr>
          <w:lang w:val="hu-HU"/>
        </w:rPr>
        <w:t>dabigatrán</w:t>
      </w:r>
      <w:r>
        <w:rPr>
          <w:lang w:val="hu-HU"/>
        </w:rPr>
        <w:noBreakHyphen/>
        <w:t>etexilátot</w:t>
      </w:r>
      <w:r>
        <w:rPr>
          <w:spacing w:val="-1"/>
          <w:lang w:val="hu-HU"/>
        </w:rPr>
        <w:t xml:space="preserve"> </w:t>
      </w:r>
      <w:r>
        <w:rPr>
          <w:lang w:val="hu-HU"/>
        </w:rPr>
        <w:t>és</w:t>
      </w:r>
      <w:r>
        <w:rPr>
          <w:spacing w:val="-2"/>
          <w:lang w:val="hu-HU"/>
        </w:rPr>
        <w:t xml:space="preserve"> </w:t>
      </w:r>
      <w:r>
        <w:rPr>
          <w:lang w:val="hu-HU"/>
        </w:rPr>
        <w:t>ezeket</w:t>
      </w:r>
      <w:r>
        <w:rPr>
          <w:spacing w:val="-2"/>
          <w:lang w:val="hu-HU"/>
        </w:rPr>
        <w:t xml:space="preserve"> </w:t>
      </w:r>
      <w:r>
        <w:rPr>
          <w:lang w:val="hu-HU"/>
        </w:rPr>
        <w:t>a</w:t>
      </w:r>
      <w:r>
        <w:rPr>
          <w:spacing w:val="-1"/>
          <w:lang w:val="hu-HU"/>
        </w:rPr>
        <w:t xml:space="preserve"> </w:t>
      </w:r>
      <w:r>
        <w:rPr>
          <w:lang w:val="hu-HU"/>
        </w:rPr>
        <w:t>gyógyszereket</w:t>
      </w:r>
      <w:r>
        <w:rPr>
          <w:spacing w:val="-2"/>
          <w:lang w:val="hu-HU"/>
        </w:rPr>
        <w:t xml:space="preserve"> </w:t>
      </w:r>
      <w:r>
        <w:rPr>
          <w:lang w:val="hu-HU"/>
        </w:rPr>
        <w:t>egyidejűleg</w:t>
      </w:r>
      <w:r>
        <w:rPr>
          <w:spacing w:val="-2"/>
          <w:lang w:val="hu-HU"/>
        </w:rPr>
        <w:t xml:space="preserve"> </w:t>
      </w:r>
      <w:r>
        <w:rPr>
          <w:lang w:val="hu-HU"/>
        </w:rPr>
        <w:t>kell</w:t>
      </w:r>
      <w:r>
        <w:rPr>
          <w:spacing w:val="-1"/>
          <w:lang w:val="hu-HU"/>
        </w:rPr>
        <w:t xml:space="preserve"> </w:t>
      </w:r>
      <w:r>
        <w:rPr>
          <w:lang w:val="hu-HU"/>
        </w:rPr>
        <w:t>bevenni.</w:t>
      </w:r>
    </w:p>
    <w:p w:rsidR="007D7140" w:rsidRDefault="007D7140">
      <w:pPr>
        <w:rPr>
          <w:lang w:val="hu-HU"/>
        </w:rPr>
      </w:pPr>
    </w:p>
    <w:p w:rsidR="007D7140" w:rsidRDefault="00A207BA">
      <w:pPr>
        <w:rPr>
          <w:lang w:val="hu-HU"/>
        </w:rPr>
      </w:pPr>
      <w:r>
        <w:rPr>
          <w:lang w:val="hu-HU"/>
        </w:rPr>
        <w:t>Közepesen súlyos vesekárosodásban szenvedő, és egyidejűleg</w:t>
      </w:r>
      <w:r>
        <w:rPr>
          <w:spacing w:val="1"/>
          <w:lang w:val="hu-HU"/>
        </w:rPr>
        <w:t xml:space="preserve"> </w:t>
      </w:r>
      <w:r>
        <w:rPr>
          <w:lang w:val="hu-HU"/>
        </w:rPr>
        <w:t>verapamillal kezelt</w:t>
      </w:r>
      <w:r>
        <w:rPr>
          <w:spacing w:val="-4"/>
          <w:lang w:val="hu-HU"/>
        </w:rPr>
        <w:t xml:space="preserve"> </w:t>
      </w:r>
      <w:r>
        <w:rPr>
          <w:lang w:val="hu-HU"/>
        </w:rPr>
        <w:t>betegeknél meg</w:t>
      </w:r>
      <w:r>
        <w:rPr>
          <w:spacing w:val="-4"/>
          <w:lang w:val="hu-HU"/>
        </w:rPr>
        <w:t xml:space="preserve"> </w:t>
      </w:r>
      <w:r>
        <w:rPr>
          <w:lang w:val="hu-HU"/>
        </w:rPr>
        <w:t>kell</w:t>
      </w:r>
      <w:r>
        <w:rPr>
          <w:spacing w:val="-4"/>
          <w:lang w:val="hu-HU"/>
        </w:rPr>
        <w:t xml:space="preserve"> </w:t>
      </w:r>
      <w:r>
        <w:rPr>
          <w:lang w:val="hu-HU"/>
        </w:rPr>
        <w:t>fontolni</w:t>
      </w:r>
      <w:r>
        <w:rPr>
          <w:spacing w:val="-4"/>
          <w:lang w:val="hu-HU"/>
        </w:rPr>
        <w:t xml:space="preserve"> </w:t>
      </w:r>
      <w:r>
        <w:rPr>
          <w:lang w:val="hu-HU"/>
        </w:rPr>
        <w:t>a</w:t>
      </w:r>
      <w:r>
        <w:rPr>
          <w:spacing w:val="-4"/>
          <w:lang w:val="hu-HU"/>
        </w:rPr>
        <w:t xml:space="preserve"> </w:t>
      </w:r>
      <w:r>
        <w:rPr>
          <w:lang w:val="hu-HU"/>
        </w:rPr>
        <w:t>dabigatrán</w:t>
      </w:r>
      <w:r>
        <w:rPr>
          <w:lang w:val="hu-HU"/>
        </w:rPr>
        <w:noBreakHyphen/>
        <w:t xml:space="preserve">etexilát </w:t>
      </w:r>
      <w:r>
        <w:rPr>
          <w:spacing w:val="-4"/>
          <w:lang w:val="hu-HU"/>
        </w:rPr>
        <w:t>nap</w:t>
      </w:r>
      <w:r>
        <w:rPr>
          <w:lang w:val="hu-HU"/>
        </w:rPr>
        <w:t>i</w:t>
      </w:r>
      <w:r>
        <w:rPr>
          <w:spacing w:val="-4"/>
          <w:lang w:val="hu-HU"/>
        </w:rPr>
        <w:t xml:space="preserve"> </w:t>
      </w:r>
      <w:r>
        <w:rPr>
          <w:lang w:val="hu-HU"/>
        </w:rPr>
        <w:t>dózisának</w:t>
      </w:r>
      <w:r>
        <w:rPr>
          <w:spacing w:val="-4"/>
          <w:lang w:val="hu-HU"/>
        </w:rPr>
        <w:t xml:space="preserve"> </w:t>
      </w:r>
      <w:r>
        <w:rPr>
          <w:lang w:val="hu-HU"/>
        </w:rPr>
        <w:t>75</w:t>
      </w:r>
      <w:r>
        <w:rPr>
          <w:spacing w:val="-4"/>
          <w:lang w:val="hu-HU"/>
        </w:rPr>
        <w:t> mg</w:t>
      </w:r>
      <w:r>
        <w:rPr>
          <w:spacing w:val="-4"/>
          <w:lang w:val="hu-HU"/>
        </w:rPr>
        <w:noBreakHyphen/>
      </w:r>
      <w:r>
        <w:rPr>
          <w:lang w:val="hu-HU"/>
        </w:rPr>
        <w:t>ra</w:t>
      </w:r>
      <w:r>
        <w:rPr>
          <w:spacing w:val="-3"/>
          <w:lang w:val="hu-HU"/>
        </w:rPr>
        <w:t xml:space="preserve"> </w:t>
      </w:r>
      <w:r>
        <w:rPr>
          <w:lang w:val="hu-HU"/>
        </w:rPr>
        <w:t>csökkentését</w:t>
      </w:r>
      <w:r>
        <w:rPr>
          <w:spacing w:val="-3"/>
          <w:lang w:val="hu-HU"/>
        </w:rPr>
        <w:t xml:space="preserve"> </w:t>
      </w:r>
      <w:r>
        <w:rPr>
          <w:lang w:val="hu-HU"/>
        </w:rPr>
        <w:t>(lásd 4.4</w:t>
      </w:r>
      <w:r>
        <w:rPr>
          <w:spacing w:val="-3"/>
          <w:lang w:val="hu-HU"/>
        </w:rPr>
        <w:t xml:space="preserve"> </w:t>
      </w:r>
      <w:r>
        <w:rPr>
          <w:lang w:val="hu-HU"/>
        </w:rPr>
        <w:t>és</w:t>
      </w:r>
      <w:r>
        <w:rPr>
          <w:spacing w:val="-2"/>
          <w:lang w:val="hu-HU"/>
        </w:rPr>
        <w:t xml:space="preserve"> </w:t>
      </w:r>
      <w:r>
        <w:rPr>
          <w:lang w:val="hu-HU"/>
        </w:rPr>
        <w:t>4.5</w:t>
      </w:r>
      <w:r>
        <w:rPr>
          <w:spacing w:val="-3"/>
          <w:lang w:val="hu-HU"/>
        </w:rPr>
        <w:t> pont; a</w:t>
      </w:r>
      <w:r>
        <w:rPr>
          <w:color w:val="000000"/>
          <w:lang w:val="hu-HU" w:eastAsia="hu-HU"/>
        </w:rPr>
        <w:t xml:space="preserve"> Dabigatran etexilate Sandoz kemény kapszula 75 mg-os dózisa nem elérhető, ezért ez a gyógyszer nem alkalmas ennek a betegcsoportnak a kezelésére. Ezen betegek esetében más, 75 mg-os dabigatrán-etexilát-tartalmú gyógyszerkészítményt kell alkalmazni</w:t>
      </w:r>
      <w:r>
        <w:rPr>
          <w:lang w:val="hu-HU"/>
        </w:rPr>
        <w:t>).</w:t>
      </w:r>
    </w:p>
    <w:p w:rsidR="007D7140" w:rsidRDefault="007D7140">
      <w:pPr>
        <w:rPr>
          <w:lang w:val="hu-HU"/>
        </w:rPr>
      </w:pPr>
    </w:p>
    <w:p w:rsidR="007D7140" w:rsidRDefault="00A207BA">
      <w:pPr>
        <w:rPr>
          <w:i/>
          <w:lang w:val="hu-HU"/>
        </w:rPr>
      </w:pPr>
      <w:r>
        <w:rPr>
          <w:i/>
          <w:lang w:val="hu-HU"/>
        </w:rPr>
        <w:t>Idősek</w:t>
      </w:r>
    </w:p>
    <w:p w:rsidR="007D7140" w:rsidRDefault="007D7140">
      <w:pPr>
        <w:rPr>
          <w:i/>
          <w:lang w:val="hu-HU"/>
        </w:rPr>
      </w:pPr>
    </w:p>
    <w:p w:rsidR="007D7140" w:rsidRDefault="00A207BA">
      <w:pPr>
        <w:rPr>
          <w:lang w:val="hu-HU"/>
        </w:rPr>
      </w:pPr>
      <w:bookmarkStart w:id="4" w:name="_Hlk139106188"/>
      <w:r>
        <w:rPr>
          <w:lang w:val="hu-HU"/>
        </w:rPr>
        <w:t>A 75</w:t>
      </w:r>
      <w:r>
        <w:rPr>
          <w:spacing w:val="-3"/>
          <w:lang w:val="hu-HU"/>
        </w:rPr>
        <w:t> éves kor</w:t>
      </w:r>
      <w:r>
        <w:rPr>
          <w:spacing w:val="-4"/>
          <w:lang w:val="hu-HU"/>
        </w:rPr>
        <w:t xml:space="preserve"> </w:t>
      </w:r>
      <w:r>
        <w:rPr>
          <w:lang w:val="hu-HU"/>
        </w:rPr>
        <w:t>feletti idős</w:t>
      </w:r>
      <w:r>
        <w:rPr>
          <w:spacing w:val="-4"/>
          <w:lang w:val="hu-HU"/>
        </w:rPr>
        <w:t xml:space="preserve"> </w:t>
      </w:r>
      <w:r>
        <w:rPr>
          <w:lang w:val="hu-HU"/>
        </w:rPr>
        <w:t>betegeknél</w:t>
      </w:r>
      <w:r>
        <w:rPr>
          <w:spacing w:val="-4"/>
          <w:lang w:val="hu-HU"/>
        </w:rPr>
        <w:t xml:space="preserve"> </w:t>
      </w:r>
      <w:r>
        <w:rPr>
          <w:lang w:val="hu-HU"/>
        </w:rPr>
        <w:t>dóziscsökkentés</w:t>
      </w:r>
      <w:r>
        <w:rPr>
          <w:spacing w:val="-4"/>
          <w:lang w:val="hu-HU"/>
        </w:rPr>
        <w:t xml:space="preserve"> </w:t>
      </w:r>
      <w:r>
        <w:rPr>
          <w:lang w:val="hu-HU"/>
        </w:rPr>
        <w:t>javasolt</w:t>
      </w:r>
      <w:r>
        <w:rPr>
          <w:spacing w:val="-3"/>
          <w:lang w:val="hu-HU"/>
        </w:rPr>
        <w:t xml:space="preserve"> </w:t>
      </w:r>
      <w:r>
        <w:rPr>
          <w:lang w:val="hu-HU"/>
        </w:rPr>
        <w:t>(lásd</w:t>
      </w:r>
      <w:r>
        <w:rPr>
          <w:spacing w:val="-4"/>
          <w:lang w:val="hu-HU"/>
        </w:rPr>
        <w:t xml:space="preserve"> </w:t>
      </w:r>
      <w:r>
        <w:rPr>
          <w:lang w:val="hu-HU"/>
        </w:rPr>
        <w:t>1.</w:t>
      </w:r>
      <w:r>
        <w:rPr>
          <w:spacing w:val="-7"/>
          <w:lang w:val="hu-HU"/>
        </w:rPr>
        <w:t xml:space="preserve"> </w:t>
      </w:r>
      <w:r>
        <w:rPr>
          <w:lang w:val="hu-HU"/>
        </w:rPr>
        <w:t>táblázat</w:t>
      </w:r>
      <w:r>
        <w:rPr>
          <w:spacing w:val="-4"/>
          <w:lang w:val="hu-HU"/>
        </w:rPr>
        <w:t xml:space="preserve"> </w:t>
      </w:r>
      <w:r>
        <w:rPr>
          <w:lang w:val="hu-HU"/>
        </w:rPr>
        <w:t>fent,</w:t>
      </w:r>
      <w:r>
        <w:rPr>
          <w:spacing w:val="-4"/>
          <w:lang w:val="hu-HU"/>
        </w:rPr>
        <w:t xml:space="preserve"> </w:t>
      </w:r>
      <w:r>
        <w:rPr>
          <w:lang w:val="hu-HU"/>
        </w:rPr>
        <w:t>valamint</w:t>
      </w:r>
      <w:r>
        <w:rPr>
          <w:spacing w:val="-3"/>
          <w:lang w:val="hu-HU"/>
        </w:rPr>
        <w:t xml:space="preserve"> </w:t>
      </w:r>
      <w:r>
        <w:rPr>
          <w:lang w:val="hu-HU"/>
        </w:rPr>
        <w:t>4.4</w:t>
      </w:r>
      <w:r>
        <w:rPr>
          <w:spacing w:val="-4"/>
          <w:lang w:val="hu-HU"/>
        </w:rPr>
        <w:t xml:space="preserve"> </w:t>
      </w:r>
      <w:r>
        <w:rPr>
          <w:lang w:val="hu-HU"/>
        </w:rPr>
        <w:t>és</w:t>
      </w:r>
      <w:r>
        <w:rPr>
          <w:spacing w:val="-4"/>
          <w:lang w:val="hu-HU"/>
        </w:rPr>
        <w:t xml:space="preserve"> </w:t>
      </w:r>
      <w:r>
        <w:rPr>
          <w:lang w:val="hu-HU"/>
        </w:rPr>
        <w:t>5.1</w:t>
      </w:r>
      <w:r>
        <w:rPr>
          <w:spacing w:val="-4"/>
          <w:lang w:val="hu-HU"/>
        </w:rPr>
        <w:t> pont</w:t>
      </w:r>
      <w:r>
        <w:rPr>
          <w:lang w:val="hu-HU"/>
        </w:rPr>
        <w:t>).</w:t>
      </w:r>
    </w:p>
    <w:bookmarkEnd w:id="4"/>
    <w:p w:rsidR="007D7140" w:rsidRDefault="007D7140">
      <w:pPr>
        <w:rPr>
          <w:lang w:val="hu-HU"/>
        </w:rPr>
      </w:pPr>
    </w:p>
    <w:p w:rsidR="007D7140" w:rsidRDefault="00A207BA">
      <w:pPr>
        <w:rPr>
          <w:i/>
          <w:lang w:val="hu-HU"/>
        </w:rPr>
      </w:pPr>
      <w:r>
        <w:rPr>
          <w:i/>
          <w:lang w:val="hu-HU"/>
        </w:rPr>
        <w:t>Testtömeg</w:t>
      </w:r>
    </w:p>
    <w:p w:rsidR="007D7140" w:rsidRDefault="007D7140">
      <w:pPr>
        <w:rPr>
          <w:i/>
          <w:lang w:val="hu-HU"/>
        </w:rPr>
      </w:pPr>
    </w:p>
    <w:p w:rsidR="007D7140" w:rsidRDefault="00A207BA">
      <w:pPr>
        <w:rPr>
          <w:lang w:val="hu-HU"/>
        </w:rPr>
      </w:pPr>
      <w:r>
        <w:rPr>
          <w:lang w:val="hu-HU"/>
        </w:rPr>
        <w:t>Nagyon kevés klinikai tapasztalat áll rendelkezésre a javasolt adagolást alkalmazó, 50 kg alatti vagy</w:t>
      </w:r>
      <w:r>
        <w:rPr>
          <w:spacing w:val="1"/>
          <w:lang w:val="hu-HU"/>
        </w:rPr>
        <w:t xml:space="preserve"> </w:t>
      </w:r>
      <w:r>
        <w:rPr>
          <w:lang w:val="hu-HU"/>
        </w:rPr>
        <w:t>110 kg feletti testtömegű betegekre vonatkozóan. A rendelkezésre álló klinikai és kinetikai adatok alapján a dózis módosítása nem szükséges (lásd 5.2 pont), de szoros klinikai megfigyelés javasolt</w:t>
      </w:r>
      <w:r>
        <w:rPr>
          <w:spacing w:val="1"/>
          <w:lang w:val="hu-HU"/>
        </w:rPr>
        <w:t xml:space="preserve"> </w:t>
      </w:r>
      <w:r>
        <w:rPr>
          <w:lang w:val="hu-HU"/>
        </w:rPr>
        <w:t>(lásd</w:t>
      </w:r>
      <w:r>
        <w:rPr>
          <w:spacing w:val="-1"/>
          <w:lang w:val="hu-HU"/>
        </w:rPr>
        <w:t xml:space="preserve"> </w:t>
      </w:r>
      <w:r>
        <w:rPr>
          <w:lang w:val="hu-HU"/>
        </w:rPr>
        <w:t>4.4</w:t>
      </w:r>
      <w:r>
        <w:rPr>
          <w:spacing w:val="-3"/>
          <w:lang w:val="hu-HU"/>
        </w:rPr>
        <w:t> pont</w:t>
      </w:r>
      <w:r>
        <w:rPr>
          <w:lang w:val="hu-HU"/>
        </w:rPr>
        <w:t>).</w:t>
      </w:r>
    </w:p>
    <w:p w:rsidR="007D7140" w:rsidRDefault="007D7140">
      <w:pPr>
        <w:rPr>
          <w:lang w:val="hu-HU"/>
        </w:rPr>
      </w:pPr>
    </w:p>
    <w:p w:rsidR="007D7140" w:rsidRDefault="00A207BA">
      <w:pPr>
        <w:rPr>
          <w:i/>
          <w:lang w:val="hu-HU"/>
        </w:rPr>
      </w:pPr>
      <w:r>
        <w:rPr>
          <w:i/>
          <w:lang w:val="hu-HU"/>
        </w:rPr>
        <w:lastRenderedPageBreak/>
        <w:t>Nem</w:t>
      </w:r>
    </w:p>
    <w:p w:rsidR="007D7140" w:rsidRDefault="007D7140">
      <w:pPr>
        <w:rPr>
          <w:i/>
          <w:lang w:val="hu-HU"/>
        </w:rPr>
      </w:pPr>
    </w:p>
    <w:p w:rsidR="007D7140" w:rsidRDefault="00A207BA">
      <w:pPr>
        <w:rPr>
          <w:lang w:val="hu-HU"/>
        </w:rPr>
      </w:pPr>
      <w:r>
        <w:rPr>
          <w:lang w:val="hu-HU"/>
        </w:rPr>
        <w:t>A</w:t>
      </w:r>
      <w:r>
        <w:rPr>
          <w:spacing w:val="-4"/>
          <w:lang w:val="hu-HU"/>
        </w:rPr>
        <w:t xml:space="preserve"> </w:t>
      </w:r>
      <w:r>
        <w:rPr>
          <w:lang w:val="hu-HU"/>
        </w:rPr>
        <w:t>dózis</w:t>
      </w:r>
      <w:r>
        <w:rPr>
          <w:spacing w:val="-3"/>
          <w:lang w:val="hu-HU"/>
        </w:rPr>
        <w:t xml:space="preserve"> </w:t>
      </w:r>
      <w:r>
        <w:rPr>
          <w:lang w:val="hu-HU"/>
        </w:rPr>
        <w:t>módosítása</w:t>
      </w:r>
      <w:r>
        <w:rPr>
          <w:spacing w:val="-4"/>
          <w:lang w:val="hu-HU"/>
        </w:rPr>
        <w:t xml:space="preserve"> </w:t>
      </w:r>
      <w:r>
        <w:rPr>
          <w:lang w:val="hu-HU"/>
        </w:rPr>
        <w:t>nem</w:t>
      </w:r>
      <w:r>
        <w:rPr>
          <w:spacing w:val="-3"/>
          <w:lang w:val="hu-HU"/>
        </w:rPr>
        <w:t xml:space="preserve"> </w:t>
      </w:r>
      <w:r>
        <w:rPr>
          <w:lang w:val="hu-HU"/>
        </w:rPr>
        <w:t>szükséges</w:t>
      </w:r>
      <w:r>
        <w:rPr>
          <w:spacing w:val="-4"/>
          <w:lang w:val="hu-HU"/>
        </w:rPr>
        <w:t xml:space="preserve"> </w:t>
      </w:r>
      <w:r>
        <w:rPr>
          <w:lang w:val="hu-HU"/>
        </w:rPr>
        <w:t>(lásd</w:t>
      </w:r>
      <w:r>
        <w:rPr>
          <w:spacing w:val="-3"/>
          <w:lang w:val="hu-HU"/>
        </w:rPr>
        <w:t xml:space="preserve"> </w:t>
      </w:r>
      <w:r>
        <w:rPr>
          <w:lang w:val="hu-HU"/>
        </w:rPr>
        <w:t>5.2</w:t>
      </w:r>
      <w:r>
        <w:rPr>
          <w:spacing w:val="-3"/>
          <w:lang w:val="hu-HU"/>
        </w:rPr>
        <w:t> pont</w:t>
      </w:r>
      <w:r>
        <w:rPr>
          <w:lang w:val="hu-HU"/>
        </w:rPr>
        <w:t>).</w:t>
      </w:r>
    </w:p>
    <w:p w:rsidR="007D7140" w:rsidRDefault="007D7140">
      <w:pPr>
        <w:rPr>
          <w:lang w:val="hu-HU"/>
        </w:rPr>
      </w:pPr>
    </w:p>
    <w:p w:rsidR="007D7140" w:rsidRDefault="00A207BA">
      <w:pPr>
        <w:keepNext/>
        <w:widowControl/>
        <w:rPr>
          <w:i/>
          <w:lang w:val="hu-HU"/>
        </w:rPr>
      </w:pPr>
      <w:r>
        <w:rPr>
          <w:i/>
          <w:lang w:val="hu-HU"/>
        </w:rPr>
        <w:t>Gyermekek</w:t>
      </w:r>
      <w:r>
        <w:rPr>
          <w:i/>
          <w:spacing w:val="-4"/>
          <w:lang w:val="hu-HU"/>
        </w:rPr>
        <w:t xml:space="preserve"> </w:t>
      </w:r>
      <w:r>
        <w:rPr>
          <w:i/>
          <w:lang w:val="hu-HU"/>
        </w:rPr>
        <w:t>és</w:t>
      </w:r>
      <w:r>
        <w:rPr>
          <w:i/>
          <w:spacing w:val="-4"/>
          <w:lang w:val="hu-HU"/>
        </w:rPr>
        <w:t xml:space="preserve"> </w:t>
      </w:r>
      <w:r>
        <w:rPr>
          <w:i/>
          <w:lang w:val="hu-HU"/>
        </w:rPr>
        <w:t>serdülők</w:t>
      </w:r>
    </w:p>
    <w:p w:rsidR="007D7140" w:rsidRDefault="007D7140">
      <w:pPr>
        <w:keepNext/>
        <w:widowControl/>
        <w:rPr>
          <w:i/>
          <w:lang w:val="hu-HU"/>
        </w:rPr>
      </w:pPr>
    </w:p>
    <w:p w:rsidR="007D7140" w:rsidRDefault="00A207BA">
      <w:pPr>
        <w:keepNext/>
        <w:widowControl/>
        <w:rPr>
          <w:lang w:val="hu-HU"/>
        </w:rPr>
      </w:pPr>
      <w:r>
        <w:rPr>
          <w:lang w:val="hu-HU"/>
        </w:rPr>
        <w:t>A dabigatrán</w:t>
      </w:r>
      <w:r>
        <w:rPr>
          <w:lang w:val="hu-HU"/>
        </w:rPr>
        <w:noBreakHyphen/>
        <w:t>etexilátnak gyermekeknél, a VTE primer prevenciója elektív, teljes csípőízületi</w:t>
      </w:r>
      <w:r>
        <w:rPr>
          <w:spacing w:val="1"/>
          <w:lang w:val="hu-HU"/>
        </w:rPr>
        <w:t xml:space="preserve"> </w:t>
      </w:r>
      <w:r>
        <w:rPr>
          <w:lang w:val="hu-HU"/>
        </w:rPr>
        <w:t>endoprotézis vagy teljes térdízületi endoprotézis műtéten átesett betegek javallat esetén nincs releváns alkalmazása.</w:t>
      </w:r>
    </w:p>
    <w:p w:rsidR="007D7140" w:rsidRDefault="007D7140">
      <w:pPr>
        <w:rPr>
          <w:lang w:val="hu-HU"/>
        </w:rPr>
      </w:pPr>
    </w:p>
    <w:p w:rsidR="007D7140" w:rsidRDefault="00A207BA">
      <w:pPr>
        <w:ind w:left="7"/>
        <w:rPr>
          <w:lang w:val="hu-HU"/>
        </w:rPr>
      </w:pPr>
      <w:r>
        <w:rPr>
          <w:b/>
          <w:bCs/>
          <w:i/>
          <w:u w:val="single" w:color="000000"/>
          <w:lang w:val="hu-HU"/>
        </w:rPr>
        <w:t>A stroke és a szisztémás embolisatio prevenciója nem billentyű eredetű pitvarfibrillációban</w:t>
      </w:r>
      <w:r>
        <w:rPr>
          <w:b/>
          <w:bCs/>
          <w:i/>
          <w:lang w:val="hu-HU"/>
        </w:rPr>
        <w:t xml:space="preserve"> (NVAF) </w:t>
      </w:r>
      <w:r>
        <w:rPr>
          <w:b/>
          <w:bCs/>
          <w:i/>
          <w:u w:val="single" w:color="000000"/>
          <w:lang w:val="hu-HU"/>
        </w:rPr>
        <w:t>szenvedő, egy vagy több rizikótényezővel rendelkező felnőtt betegeknél (stroke prevenciója atrialis fibrillációban - stroke prevention in atrial fibrillation, SPAF)</w:t>
      </w:r>
    </w:p>
    <w:p w:rsidR="007D7140" w:rsidRDefault="00A207BA">
      <w:pPr>
        <w:ind w:left="7" w:right="354"/>
        <w:rPr>
          <w:b/>
          <w:bCs/>
          <w:i/>
          <w:u w:val="single" w:color="000000"/>
          <w:lang w:val="hu-HU"/>
        </w:rPr>
      </w:pPr>
      <w:r>
        <w:rPr>
          <w:b/>
          <w:bCs/>
          <w:i/>
          <w:u w:val="single" w:color="000000"/>
          <w:lang w:val="hu-HU"/>
        </w:rPr>
        <w:t>MVT és PE kezelése és az MVT, valamint a PE kiújulásának megelőzése felnőtt betegeknél (MVT/PE)</w:t>
      </w:r>
    </w:p>
    <w:p w:rsidR="007D7140" w:rsidRDefault="007D7140">
      <w:pPr>
        <w:ind w:left="7" w:right="354"/>
        <w:rPr>
          <w:lang w:val="hu-HU"/>
        </w:rPr>
      </w:pPr>
    </w:p>
    <w:p w:rsidR="007D7140" w:rsidRDefault="00A207BA">
      <w:pPr>
        <w:ind w:left="7" w:right="354"/>
        <w:rPr>
          <w:lang w:val="hu-HU"/>
        </w:rPr>
      </w:pPr>
      <w:r>
        <w:rPr>
          <w:lang w:val="hu-HU"/>
        </w:rPr>
        <w:t>A dabigatrán</w:t>
      </w:r>
      <w:r>
        <w:rPr>
          <w:lang w:val="hu-HU"/>
        </w:rPr>
        <w:noBreakHyphen/>
        <w:t>etexilát javasolt dózisai SPAF, MVT és PE javallatokban a 2. táblázatban találhatók.</w:t>
      </w:r>
    </w:p>
    <w:p w:rsidR="007D7140" w:rsidRDefault="007D7140">
      <w:pPr>
        <w:ind w:left="7" w:right="354"/>
        <w:rPr>
          <w:lang w:val="hu-HU"/>
        </w:rPr>
      </w:pPr>
    </w:p>
    <w:p w:rsidR="007D7140" w:rsidRDefault="00A207BA">
      <w:pPr>
        <w:ind w:left="5" w:right="352" w:hanging="11"/>
        <w:rPr>
          <w:b/>
          <w:bCs/>
          <w:lang w:val="hu-HU"/>
        </w:rPr>
      </w:pPr>
      <w:r>
        <w:rPr>
          <w:b/>
          <w:bCs/>
          <w:lang w:val="hu-HU"/>
        </w:rPr>
        <w:t>2. táblázat: Adagolási javaslat SPAF, MVT és PE esetén</w:t>
      </w:r>
    </w:p>
    <w:p w:rsidR="007D7140" w:rsidRDefault="007D7140">
      <w:pPr>
        <w:ind w:left="5" w:right="352" w:hanging="11"/>
        <w:rPr>
          <w:lang w:val="hu-HU"/>
        </w:rPr>
      </w:pPr>
    </w:p>
    <w:tbl>
      <w:tblPr>
        <w:tblStyle w:val="TableGrid"/>
        <w:tblW w:w="9322" w:type="dxa"/>
        <w:tblInd w:w="17" w:type="dxa"/>
        <w:tblCellMar>
          <w:top w:w="51" w:type="dxa"/>
          <w:left w:w="108" w:type="dxa"/>
          <w:right w:w="115" w:type="dxa"/>
        </w:tblCellMar>
        <w:tblLook w:val="04A0" w:firstRow="1" w:lastRow="0" w:firstColumn="1" w:lastColumn="0" w:noHBand="0" w:noVBand="1"/>
      </w:tblPr>
      <w:tblGrid>
        <w:gridCol w:w="4219"/>
        <w:gridCol w:w="5103"/>
      </w:tblGrid>
      <w:tr w:rsidR="007D7140">
        <w:trPr>
          <w:trHeight w:val="382"/>
        </w:trPr>
        <w:tc>
          <w:tcPr>
            <w:tcW w:w="4219" w:type="dxa"/>
            <w:tcBorders>
              <w:top w:val="single" w:sz="4" w:space="0" w:color="000000"/>
              <w:left w:val="single" w:sz="4" w:space="0" w:color="000000"/>
              <w:bottom w:val="single" w:sz="4" w:space="0" w:color="000000"/>
              <w:right w:val="single" w:sz="4" w:space="0" w:color="000000"/>
            </w:tcBorders>
          </w:tcPr>
          <w:p w:rsidR="007D7140" w:rsidRDefault="007D7140">
            <w:pPr>
              <w:keepNext/>
              <w:rPr>
                <w:lang w:val="hu-HU"/>
              </w:rPr>
            </w:pPr>
          </w:p>
        </w:tc>
        <w:tc>
          <w:tcPr>
            <w:tcW w:w="5102" w:type="dxa"/>
            <w:tcBorders>
              <w:top w:val="single" w:sz="4" w:space="0" w:color="000000"/>
              <w:left w:val="single" w:sz="4" w:space="0" w:color="000000"/>
              <w:bottom w:val="single" w:sz="4" w:space="0" w:color="000000"/>
              <w:right w:val="single" w:sz="4" w:space="0" w:color="000000"/>
            </w:tcBorders>
          </w:tcPr>
          <w:p w:rsidR="007D7140" w:rsidRDefault="00A207BA">
            <w:pPr>
              <w:keepNext/>
              <w:rPr>
                <w:lang w:val="hu-HU"/>
              </w:rPr>
            </w:pPr>
            <w:r>
              <w:rPr>
                <w:b/>
                <w:bCs/>
                <w:lang w:val="hu-HU"/>
              </w:rPr>
              <w:t>Javasolt dózis</w:t>
            </w:r>
          </w:p>
        </w:tc>
      </w:tr>
      <w:tr w:rsidR="007D7140">
        <w:trPr>
          <w:trHeight w:val="1397"/>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A stroke és a szisztémás embolisatio prevenciója nem billentyű eredetű pitvarfibrillációban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300 mg dabigatrán</w:t>
            </w:r>
            <w:r>
              <w:rPr>
                <w:lang w:val="hu-HU"/>
              </w:rPr>
              <w:noBreakHyphen/>
              <w:t>etexilát, naponta kétszer 1 darab 150 mg-os kapszula formájában bevéve</w:t>
            </w:r>
          </w:p>
        </w:tc>
      </w:tr>
      <w:tr w:rsidR="007D7140">
        <w:trPr>
          <w:trHeight w:val="888"/>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300 mg dabigatrán</w:t>
            </w:r>
            <w:r>
              <w:rPr>
                <w:lang w:val="hu-HU"/>
              </w:rPr>
              <w:noBreakHyphen/>
              <w:t>etexilát naponta kétszer 1 darab 150 mg-os kapszula formájában bevéve, legalább 5 napos parenterális antikoaguláns kezelést követően</w:t>
            </w:r>
          </w:p>
        </w:tc>
      </w:tr>
      <w:tr w:rsidR="007D7140">
        <w:trPr>
          <w:trHeight w:val="504"/>
        </w:trPr>
        <w:tc>
          <w:tcPr>
            <w:tcW w:w="4219" w:type="dxa"/>
            <w:tcBorders>
              <w:top w:val="single" w:sz="4" w:space="0" w:color="000000"/>
              <w:left w:val="single" w:sz="4" w:space="0" w:color="000000"/>
              <w:bottom w:val="single" w:sz="4" w:space="0" w:color="000000"/>
              <w:right w:val="single" w:sz="4" w:space="0" w:color="000000"/>
            </w:tcBorders>
            <w:vAlign w:val="center"/>
          </w:tcPr>
          <w:p w:rsidR="007D7140" w:rsidRDefault="00A207BA">
            <w:pPr>
              <w:rPr>
                <w:lang w:val="hu-HU"/>
              </w:rPr>
            </w:pPr>
            <w:r>
              <w:rPr>
                <w:b/>
                <w:bCs/>
                <w:i/>
                <w:u w:val="single" w:color="000000"/>
                <w:lang w:val="hu-HU"/>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82"/>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80 éves és annál idősebb betegeknél</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rsidR="007D7140" w:rsidRDefault="00A207BA">
            <w:pPr>
              <w:rPr>
                <w:lang w:val="hu-HU"/>
              </w:rPr>
            </w:pPr>
            <w:r>
              <w:rPr>
                <w:lang w:val="hu-HU"/>
              </w:rPr>
              <w:t>220 mg dabigatrán</w:t>
            </w:r>
            <w:r>
              <w:rPr>
                <w:lang w:val="hu-HU"/>
              </w:rPr>
              <w:noBreakHyphen/>
              <w:t>etexilát naponta kétszer 1 darab 110 mg</w:t>
            </w:r>
            <w:r>
              <w:rPr>
                <w:lang w:val="hu-HU"/>
              </w:rPr>
              <w:noBreakHyphen/>
              <w:t>os kapszula formájában bevéve</w:t>
            </w:r>
          </w:p>
        </w:tc>
      </w:tr>
      <w:tr w:rsidR="007D7140">
        <w:trPr>
          <w:trHeight w:val="384"/>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Egyidejűleg verapamilt kapó betegeknél</w:t>
            </w:r>
          </w:p>
        </w:tc>
        <w:tc>
          <w:tcPr>
            <w:tcW w:w="0" w:type="auto"/>
            <w:vMerge/>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502"/>
        </w:trPr>
        <w:tc>
          <w:tcPr>
            <w:tcW w:w="4219" w:type="dxa"/>
            <w:tcBorders>
              <w:top w:val="single" w:sz="4" w:space="0" w:color="000000"/>
              <w:left w:val="single" w:sz="4" w:space="0" w:color="000000"/>
              <w:bottom w:val="single" w:sz="4" w:space="0" w:color="000000"/>
              <w:right w:val="single" w:sz="4" w:space="0" w:color="000000"/>
            </w:tcBorders>
            <w:vAlign w:val="center"/>
          </w:tcPr>
          <w:p w:rsidR="007D7140" w:rsidRDefault="00A207BA">
            <w:pPr>
              <w:rPr>
                <w:lang w:val="hu-HU"/>
              </w:rPr>
            </w:pPr>
            <w:r>
              <w:rPr>
                <w:b/>
                <w:bCs/>
                <w:i/>
                <w:u w:val="single" w:color="000000"/>
                <w:lang w:val="hu-HU"/>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84"/>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75-80 éves kor közötti betegeknél</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rsidR="007D7140" w:rsidRDefault="00A207BA">
            <w:pPr>
              <w:rPr>
                <w:lang w:val="hu-HU"/>
              </w:rPr>
            </w:pPr>
            <w:r>
              <w:rPr>
                <w:lang w:val="hu-HU"/>
              </w:rPr>
              <w:t>a dabigatrán</w:t>
            </w:r>
            <w:r>
              <w:rPr>
                <w:lang w:val="hu-HU"/>
              </w:rPr>
              <w:noBreakHyphen/>
              <w:t xml:space="preserve">etexilát napi dózisa 300 mg vagy 220 mg, amit egyénileg, a thromboemboliás kockázat és a vérzésveszély alapján kell meghatározni </w:t>
            </w:r>
          </w:p>
        </w:tc>
      </w:tr>
      <w:tr w:rsidR="007D7140">
        <w:trPr>
          <w:trHeight w:val="636"/>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Közepesen súlyos vesekárosodásban (CrCl 30</w:t>
            </w:r>
            <w:r>
              <w:rPr>
                <w:lang w:val="hu-HU"/>
              </w:rPr>
              <w:noBreakHyphen/>
              <w:t xml:space="preserve">50 ml/perc) szenvedő betegeknél </w:t>
            </w:r>
          </w:p>
        </w:tc>
        <w:tc>
          <w:tcPr>
            <w:tcW w:w="0" w:type="auto"/>
            <w:vMerge/>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888"/>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Gastritisben, oesophagitisben vagy gastrooesophagealis refluxban szenvedő betegeknél</w:t>
            </w:r>
          </w:p>
        </w:tc>
        <w:tc>
          <w:tcPr>
            <w:tcW w:w="0" w:type="auto"/>
            <w:vMerge/>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84"/>
        </w:trPr>
        <w:tc>
          <w:tcPr>
            <w:tcW w:w="421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További, fokozott vérzési kockázatú betegek esetében</w:t>
            </w:r>
          </w:p>
        </w:tc>
        <w:tc>
          <w:tcPr>
            <w:tcW w:w="0" w:type="auto"/>
            <w:vMerge/>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bl>
    <w:p w:rsidR="007D7140" w:rsidRDefault="007D7140">
      <w:pPr>
        <w:ind w:left="7" w:right="9"/>
        <w:rPr>
          <w:lang w:val="hu-HU"/>
        </w:rPr>
      </w:pPr>
    </w:p>
    <w:p w:rsidR="007D7140" w:rsidRDefault="00A207BA">
      <w:pPr>
        <w:ind w:left="7" w:right="9"/>
        <w:rPr>
          <w:lang w:val="hu-HU"/>
        </w:rPr>
      </w:pPr>
      <w:r>
        <w:rPr>
          <w:lang w:val="hu-HU"/>
        </w:rPr>
        <w:t>MVT/PE esetén a dabigatrán</w:t>
      </w:r>
      <w:r>
        <w:rPr>
          <w:lang w:val="hu-HU"/>
        </w:rPr>
        <w:noBreakHyphen/>
        <w:t>etexilát 220 mg</w:t>
      </w:r>
      <w:r>
        <w:rPr>
          <w:lang w:val="hu-HU"/>
        </w:rPr>
        <w:noBreakHyphen/>
        <w:t>os napi dózisának napi kétszer 1 darab 110 mg-os kapszula formájában történő szedésére vonatkozó javaslat farmakokinetikai és farmakodinámiás elemzéseken alapul, így klinikai körülmények között nem vizsgálták ezt az adagolási módot. Továbbiakat lásd lent, valamint a 4.4, 4.5, 5.1 és 5.2 pontban.</w:t>
      </w:r>
    </w:p>
    <w:p w:rsidR="007D7140" w:rsidRDefault="007D7140">
      <w:pPr>
        <w:ind w:left="7" w:right="9"/>
        <w:rPr>
          <w:lang w:val="hu-HU"/>
        </w:rPr>
      </w:pPr>
    </w:p>
    <w:p w:rsidR="007D7140" w:rsidRDefault="00A207BA" w:rsidP="00527548">
      <w:pPr>
        <w:widowControl/>
        <w:ind w:left="6" w:right="11"/>
        <w:rPr>
          <w:lang w:val="hu-HU"/>
        </w:rPr>
      </w:pPr>
      <w:r>
        <w:rPr>
          <w:lang w:val="hu-HU"/>
        </w:rPr>
        <w:lastRenderedPageBreak/>
        <w:t>A dabigatrán</w:t>
      </w:r>
      <w:r>
        <w:rPr>
          <w:lang w:val="hu-HU"/>
        </w:rPr>
        <w:noBreakHyphen/>
        <w:t>etexiláttal szembeni intolerancia esetében a betegeket utasítani kell, hogy azonnal forduljanak kezelőorvosukhoz, hogy az megfelelő alternatív kezelésre válthasson a pitvarfibrillációval kapcsolatos stroke és szisztémás embolisatio vagy MVT/PE megelőzése érdekében.</w:t>
      </w:r>
    </w:p>
    <w:p w:rsidR="007D7140" w:rsidRDefault="007D7140">
      <w:pPr>
        <w:ind w:left="7" w:right="9"/>
        <w:rPr>
          <w:lang w:val="hu-HU"/>
        </w:rPr>
      </w:pPr>
    </w:p>
    <w:p w:rsidR="007D7140" w:rsidRDefault="00A207BA">
      <w:pPr>
        <w:keepNext/>
        <w:widowControl/>
        <w:ind w:left="6" w:right="11"/>
        <w:rPr>
          <w:lang w:val="hu-HU"/>
        </w:rPr>
      </w:pPr>
      <w:r>
        <w:rPr>
          <w:i/>
          <w:u w:val="single" w:color="000000"/>
          <w:lang w:val="hu-HU"/>
        </w:rPr>
        <w:t>A vesefunkció ellenőrzése a dabigatrán-etexilát-kezelés megkezdése előtt és a kezelés során</w:t>
      </w:r>
    </w:p>
    <w:p w:rsidR="007D7140" w:rsidRDefault="007D7140">
      <w:pPr>
        <w:keepNext/>
        <w:widowControl/>
        <w:ind w:left="6" w:right="11"/>
        <w:rPr>
          <w:lang w:val="hu-HU"/>
        </w:rPr>
      </w:pPr>
    </w:p>
    <w:p w:rsidR="007D7140" w:rsidRDefault="00A207BA">
      <w:pPr>
        <w:keepNext/>
        <w:widowControl/>
        <w:ind w:left="6" w:right="11"/>
        <w:rPr>
          <w:lang w:val="hu-HU"/>
        </w:rPr>
      </w:pPr>
      <w:r>
        <w:rPr>
          <w:lang w:val="hu-HU"/>
        </w:rPr>
        <w:t>Minden betegnél, különösen az idős betegeknél (75 éves kor felett), mivel a vesekárosodás gyakori lehet ebben a korosztályban:</w:t>
      </w:r>
    </w:p>
    <w:p w:rsidR="007D7140" w:rsidRDefault="00A207BA">
      <w:pPr>
        <w:widowControl/>
        <w:numPr>
          <w:ilvl w:val="0"/>
          <w:numId w:val="3"/>
        </w:numPr>
        <w:autoSpaceDE/>
        <w:autoSpaceDN/>
        <w:ind w:right="9" w:hanging="566"/>
        <w:rPr>
          <w:lang w:val="hu-HU"/>
        </w:rPr>
      </w:pPr>
      <w:r>
        <w:rPr>
          <w:lang w:val="hu-HU"/>
        </w:rPr>
        <w:t>A dabigatrán</w:t>
      </w:r>
      <w:r>
        <w:rPr>
          <w:lang w:val="hu-HU"/>
        </w:rPr>
        <w:noBreakHyphen/>
        <w:t>etexilát</w:t>
      </w:r>
      <w:r>
        <w:rPr>
          <w:lang w:val="hu-HU"/>
        </w:rPr>
        <w:noBreakHyphen/>
        <w:t>kezelés elkezdése előtt a vesefunkciót a kreatinin</w:t>
      </w:r>
      <w:r>
        <w:rPr>
          <w:lang w:val="hu-HU"/>
        </w:rPr>
        <w:noBreakHyphen/>
        <w:t xml:space="preserve">clearance (CrCl) meghatározásával kell ellenőrizni, annak érdekében, hogy kizárhatóak legyenek a súlyos vesekárosodásban szenvedő (azaz: CrCl &lt; 30 ml/perc) betegek (lásd 4.3, 4.4 és 5.2 pont). </w:t>
      </w:r>
    </w:p>
    <w:p w:rsidR="007D7140" w:rsidRDefault="00A207BA">
      <w:pPr>
        <w:widowControl/>
        <w:numPr>
          <w:ilvl w:val="0"/>
          <w:numId w:val="3"/>
        </w:numPr>
        <w:autoSpaceDE/>
        <w:autoSpaceDN/>
        <w:ind w:right="9" w:hanging="566"/>
        <w:rPr>
          <w:lang w:val="hu-HU"/>
        </w:rPr>
      </w:pPr>
      <w:r>
        <w:rPr>
          <w:lang w:val="hu-HU"/>
        </w:rPr>
        <w:t>A veseműködést akkor is ellenőrizni kell, ha a kezelés alatt a veseműködés rosszabbodására lehet számítani (pl. hypovolaemia, dehidráció és bizonyos gyógyszerek egyidejű alkalmazása esetén).</w:t>
      </w:r>
    </w:p>
    <w:p w:rsidR="007D7140" w:rsidRDefault="007D7140">
      <w:pPr>
        <w:ind w:left="7" w:right="9"/>
        <w:rPr>
          <w:lang w:val="hu-HU"/>
        </w:rPr>
      </w:pPr>
    </w:p>
    <w:p w:rsidR="007D7140" w:rsidRDefault="00A207BA">
      <w:pPr>
        <w:ind w:left="7" w:right="9"/>
        <w:rPr>
          <w:lang w:val="hu-HU"/>
        </w:rPr>
      </w:pPr>
      <w:r>
        <w:rPr>
          <w:lang w:val="hu-HU"/>
        </w:rPr>
        <w:t>További követelmények enyhe és közepesen súlyos vesekárosodásban szenvedő, valamint 75 éves kor feletti betegeknél:</w:t>
      </w:r>
    </w:p>
    <w:p w:rsidR="007D7140" w:rsidRDefault="00A207BA">
      <w:pPr>
        <w:widowControl/>
        <w:numPr>
          <w:ilvl w:val="0"/>
          <w:numId w:val="4"/>
        </w:numPr>
        <w:autoSpaceDE/>
        <w:autoSpaceDN/>
        <w:ind w:right="9" w:hanging="566"/>
        <w:rPr>
          <w:lang w:val="hu-HU"/>
        </w:rPr>
      </w:pPr>
      <w:r>
        <w:rPr>
          <w:lang w:val="hu-HU"/>
        </w:rPr>
        <w:t>A dabigatrán</w:t>
      </w:r>
      <w:r>
        <w:rPr>
          <w:lang w:val="hu-HU"/>
        </w:rPr>
        <w:noBreakHyphen/>
        <w:t>etexiláttal kezelt betegek veseműködését évente legalább egyszer, bizonyos klinikai helyzetekben pedig - amikor a veseműködés csökkenésére vagy (további) rosszabbodására lehet számítani (pl. hypovolaemia, dehidráció és bizonyos gyógyszerek egyidejű alkalmazása esetén) - szükség szerint gyakrabban kell ellenőrizni.</w:t>
      </w:r>
    </w:p>
    <w:p w:rsidR="007D7140" w:rsidRDefault="007D7140">
      <w:pPr>
        <w:ind w:left="7" w:right="9"/>
        <w:rPr>
          <w:lang w:val="hu-HU"/>
        </w:rPr>
      </w:pPr>
    </w:p>
    <w:p w:rsidR="007D7140" w:rsidRDefault="00A207BA">
      <w:pPr>
        <w:ind w:left="7" w:right="9"/>
        <w:rPr>
          <w:lang w:val="hu-HU"/>
        </w:rPr>
      </w:pPr>
      <w:r>
        <w:rPr>
          <w:lang w:val="hu-HU"/>
        </w:rPr>
        <w:t>A vesefunkció (ml/percben mért CrCl) becslésére a Cockcroft</w:t>
      </w:r>
      <w:r>
        <w:rPr>
          <w:lang w:val="hu-HU"/>
        </w:rPr>
        <w:noBreakHyphen/>
        <w:t>Gault módszert kell használni.</w:t>
      </w:r>
    </w:p>
    <w:p w:rsidR="007D7140" w:rsidRDefault="007D7140">
      <w:pPr>
        <w:ind w:left="7" w:right="9"/>
        <w:rPr>
          <w:lang w:val="hu-HU"/>
        </w:rPr>
      </w:pPr>
    </w:p>
    <w:p w:rsidR="007D7140" w:rsidRDefault="00A207BA">
      <w:pPr>
        <w:ind w:left="7"/>
        <w:rPr>
          <w:lang w:val="hu-HU"/>
        </w:rPr>
      </w:pPr>
      <w:r>
        <w:rPr>
          <w:i/>
          <w:u w:val="single" w:color="000000"/>
          <w:lang w:val="hu-HU"/>
        </w:rPr>
        <w:t>A kezelés időtartama</w:t>
      </w:r>
    </w:p>
    <w:p w:rsidR="007D7140" w:rsidRDefault="007D7140">
      <w:pPr>
        <w:ind w:left="7" w:right="9"/>
        <w:rPr>
          <w:lang w:val="hu-HU"/>
        </w:rPr>
      </w:pPr>
    </w:p>
    <w:p w:rsidR="007D7140" w:rsidRDefault="00A207BA">
      <w:pPr>
        <w:ind w:left="7" w:right="9"/>
        <w:rPr>
          <w:lang w:val="hu-HU"/>
        </w:rPr>
      </w:pPr>
      <w:r>
        <w:rPr>
          <w:lang w:val="hu-HU"/>
        </w:rPr>
        <w:t>A dabigatrán</w:t>
      </w:r>
      <w:r>
        <w:rPr>
          <w:lang w:val="hu-HU"/>
        </w:rPr>
        <w:noBreakHyphen/>
        <w:t>etexilát</w:t>
      </w:r>
      <w:r>
        <w:rPr>
          <w:lang w:val="hu-HU"/>
        </w:rPr>
        <w:noBreakHyphen/>
        <w:t>kezelés időtartamát SPAF, MVT és PE javallatok esetén a 3. táblázat ismerteti.</w:t>
      </w:r>
    </w:p>
    <w:p w:rsidR="007D7140" w:rsidRDefault="007D7140">
      <w:pPr>
        <w:ind w:left="7" w:right="9"/>
        <w:rPr>
          <w:lang w:val="hu-HU"/>
        </w:rPr>
      </w:pPr>
    </w:p>
    <w:p w:rsidR="007D7140" w:rsidRDefault="00A207BA">
      <w:pPr>
        <w:tabs>
          <w:tab w:val="center" w:pos="3521"/>
        </w:tabs>
        <w:ind w:left="-3"/>
        <w:rPr>
          <w:b/>
          <w:bCs/>
          <w:lang w:val="hu-HU"/>
        </w:rPr>
      </w:pPr>
      <w:r>
        <w:rPr>
          <w:b/>
          <w:bCs/>
          <w:lang w:val="hu-HU"/>
        </w:rPr>
        <w:t>3. táblázat: A kezelés időtartama SPAF, MVT/PE esetén</w:t>
      </w:r>
    </w:p>
    <w:p w:rsidR="007D7140" w:rsidRDefault="007D7140">
      <w:pPr>
        <w:tabs>
          <w:tab w:val="center" w:pos="3521"/>
        </w:tabs>
        <w:ind w:left="-3"/>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373"/>
        <w:gridCol w:w="7687"/>
      </w:tblGrid>
      <w:tr w:rsidR="007D7140">
        <w:trPr>
          <w:trHeight w:val="384"/>
        </w:trPr>
        <w:tc>
          <w:tcPr>
            <w:tcW w:w="137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b/>
                <w:bCs/>
                <w:lang w:val="hu-HU"/>
              </w:rPr>
              <w:t>Javallat</w:t>
            </w:r>
          </w:p>
        </w:tc>
        <w:tc>
          <w:tcPr>
            <w:tcW w:w="7687"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b/>
                <w:bCs/>
                <w:lang w:val="hu-HU"/>
              </w:rPr>
              <w:t>A kezelés időtartama</w:t>
            </w:r>
          </w:p>
        </w:tc>
      </w:tr>
      <w:tr w:rsidR="007D7140">
        <w:trPr>
          <w:trHeight w:val="384"/>
        </w:trPr>
        <w:tc>
          <w:tcPr>
            <w:tcW w:w="137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SPAF</w:t>
            </w:r>
          </w:p>
        </w:tc>
        <w:tc>
          <w:tcPr>
            <w:tcW w:w="7687"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A kezelést hosszú távon kell folytatni.</w:t>
            </w:r>
          </w:p>
        </w:tc>
      </w:tr>
      <w:tr w:rsidR="007D7140">
        <w:trPr>
          <w:trHeight w:val="1766"/>
        </w:trPr>
        <w:tc>
          <w:tcPr>
            <w:tcW w:w="137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MVT/PE</w:t>
            </w:r>
          </w:p>
        </w:tc>
        <w:tc>
          <w:tcPr>
            <w:tcW w:w="7687"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A kezelés időtartamát egyénileg, a kezelés előnyeinek és a vérzés kockázatának gondos értékelését követően kell meghatározni (lásd 4.4 pont).</w:t>
            </w:r>
          </w:p>
          <w:p w:rsidR="007D7140" w:rsidRDefault="007D7140">
            <w:pPr>
              <w:rPr>
                <w:lang w:val="hu-HU"/>
              </w:rPr>
            </w:pPr>
          </w:p>
          <w:p w:rsidR="007D7140" w:rsidRDefault="00A207BA">
            <w:pPr>
              <w:rPr>
                <w:lang w:val="hu-HU"/>
              </w:rPr>
            </w:pPr>
            <w:r>
              <w:rPr>
                <w:lang w:val="hu-HU"/>
              </w:rPr>
              <w:t>A rövid időtartamú terápiának (legalább 3 hónap) az átmeneti rizikófaktorokon (pl. műtét a közelmúltban, trauma, immobilizáció), míg a hosszú távú kezelésnek a folyamatosan fennálló kockázati tényezőkön vagy idiopathiás MVT</w:t>
            </w:r>
            <w:r>
              <w:rPr>
                <w:lang w:val="hu-HU"/>
              </w:rPr>
              <w:noBreakHyphen/>
              <w:t>n, illetve PE</w:t>
            </w:r>
            <w:r>
              <w:rPr>
                <w:lang w:val="hu-HU"/>
              </w:rPr>
              <w:noBreakHyphen/>
              <w:t>n kell alapulnia.</w:t>
            </w:r>
          </w:p>
        </w:tc>
      </w:tr>
    </w:tbl>
    <w:p w:rsidR="007D7140" w:rsidRDefault="007D7140">
      <w:pPr>
        <w:ind w:left="7"/>
        <w:rPr>
          <w:lang w:val="hu-HU"/>
        </w:rPr>
      </w:pPr>
    </w:p>
    <w:p w:rsidR="007D7140" w:rsidRDefault="00A207BA">
      <w:pPr>
        <w:ind w:left="7"/>
        <w:rPr>
          <w:lang w:val="hu-HU"/>
        </w:rPr>
      </w:pPr>
      <w:r>
        <w:rPr>
          <w:i/>
          <w:u w:val="single" w:color="000000"/>
          <w:lang w:val="hu-HU"/>
        </w:rPr>
        <w:t>Kihagyott dózis</w:t>
      </w:r>
    </w:p>
    <w:p w:rsidR="007D7140" w:rsidRDefault="007D7140">
      <w:pPr>
        <w:ind w:left="7" w:right="9"/>
        <w:rPr>
          <w:lang w:val="hu-HU"/>
        </w:rPr>
      </w:pPr>
    </w:p>
    <w:p w:rsidR="007D7140" w:rsidRDefault="00A207BA">
      <w:pPr>
        <w:ind w:left="7" w:right="9"/>
        <w:rPr>
          <w:lang w:val="hu-HU"/>
        </w:rPr>
      </w:pPr>
      <w:r>
        <w:rPr>
          <w:lang w:val="hu-HU"/>
        </w:rPr>
        <w:t>A dabigatrán</w:t>
      </w:r>
      <w:r>
        <w:rPr>
          <w:lang w:val="hu-HU"/>
        </w:rPr>
        <w:noBreakHyphen/>
        <w:t>etexilát elfelejtett dózisa még bevehető, legkésőbb 6 órával a következő esedékes adag előtt. A következő esedékes adag előtti 6 órán belül az elfelejtett dózist ki kell hagyni.</w:t>
      </w:r>
    </w:p>
    <w:p w:rsidR="007D7140" w:rsidRDefault="007D7140">
      <w:pPr>
        <w:ind w:left="7" w:right="9"/>
        <w:rPr>
          <w:lang w:val="hu-HU"/>
        </w:rPr>
      </w:pPr>
    </w:p>
    <w:p w:rsidR="007D7140" w:rsidRDefault="00A207BA">
      <w:pPr>
        <w:ind w:left="7" w:right="9"/>
        <w:rPr>
          <w:lang w:val="hu-HU"/>
        </w:rPr>
      </w:pPr>
      <w:r>
        <w:rPr>
          <w:lang w:val="hu-HU"/>
        </w:rPr>
        <w:t>Nem szabad kétszeres adagot bevenni az egyes kihagyott adagok pótlására.</w:t>
      </w:r>
    </w:p>
    <w:p w:rsidR="007D7140" w:rsidRDefault="007D7140">
      <w:pPr>
        <w:ind w:left="7" w:right="9"/>
        <w:rPr>
          <w:lang w:val="hu-HU"/>
        </w:rPr>
      </w:pPr>
    </w:p>
    <w:p w:rsidR="007D7140" w:rsidRDefault="00A207BA">
      <w:pPr>
        <w:ind w:left="7"/>
        <w:rPr>
          <w:lang w:val="hu-HU"/>
        </w:rPr>
      </w:pPr>
      <w:r>
        <w:rPr>
          <w:i/>
          <w:u w:val="single" w:color="000000"/>
          <w:lang w:val="hu-HU"/>
        </w:rPr>
        <w:t>A dabigatrán-etexilát-kezelés leállítása</w:t>
      </w:r>
    </w:p>
    <w:p w:rsidR="007D7140" w:rsidRDefault="007D7140">
      <w:pPr>
        <w:ind w:left="7" w:right="9"/>
        <w:rPr>
          <w:lang w:val="hu-HU"/>
        </w:rPr>
      </w:pPr>
    </w:p>
    <w:p w:rsidR="007D7140" w:rsidRDefault="00A207BA">
      <w:pPr>
        <w:ind w:left="7" w:right="9"/>
        <w:rPr>
          <w:lang w:val="hu-HU"/>
        </w:rPr>
      </w:pPr>
      <w:r>
        <w:rPr>
          <w:lang w:val="hu-HU"/>
        </w:rPr>
        <w:t>A dabigatrán</w:t>
      </w:r>
      <w:r>
        <w:rPr>
          <w:lang w:val="hu-HU"/>
        </w:rPr>
        <w:noBreakHyphen/>
        <w:t>etexilát</w:t>
      </w:r>
      <w:r>
        <w:rPr>
          <w:lang w:val="hu-HU"/>
        </w:rPr>
        <w:noBreakHyphen/>
        <w:t>kezelést nem szabad orvosi javaslat nélkül leállítani. A betegeknek gastrointestinalis tünetek, pl. dyspepsia megjelenése esetén tájékoztatniuk kell a kezelőorvost (lásd 4.8. pont).</w:t>
      </w:r>
    </w:p>
    <w:p w:rsidR="007D7140" w:rsidRDefault="007D7140">
      <w:pPr>
        <w:ind w:left="7" w:right="9"/>
        <w:rPr>
          <w:lang w:val="hu-HU"/>
        </w:rPr>
      </w:pPr>
    </w:p>
    <w:p w:rsidR="007D7140" w:rsidRDefault="00A207BA" w:rsidP="00527548">
      <w:pPr>
        <w:keepNext/>
        <w:ind w:left="6"/>
        <w:rPr>
          <w:lang w:val="hu-HU"/>
        </w:rPr>
      </w:pPr>
      <w:r>
        <w:rPr>
          <w:i/>
          <w:u w:val="single" w:color="000000"/>
          <w:lang w:val="hu-HU"/>
        </w:rPr>
        <w:lastRenderedPageBreak/>
        <w:t>Átállítás</w:t>
      </w:r>
    </w:p>
    <w:p w:rsidR="007D7140" w:rsidRDefault="007D7140" w:rsidP="00527548">
      <w:pPr>
        <w:keepNext/>
        <w:ind w:left="6" w:right="9"/>
        <w:rPr>
          <w:lang w:val="hu-HU"/>
        </w:rPr>
      </w:pPr>
    </w:p>
    <w:p w:rsidR="007D7140" w:rsidRDefault="00A207BA">
      <w:pPr>
        <w:ind w:left="7" w:right="9"/>
        <w:rPr>
          <w:lang w:val="hu-HU"/>
        </w:rPr>
      </w:pPr>
      <w:r>
        <w:rPr>
          <w:lang w:val="hu-HU"/>
        </w:rPr>
        <w:t>Dabigatrán</w:t>
      </w:r>
      <w:r>
        <w:rPr>
          <w:lang w:val="hu-HU"/>
        </w:rPr>
        <w:noBreakHyphen/>
        <w:t>etexilát</w:t>
      </w:r>
      <w:r>
        <w:rPr>
          <w:lang w:val="hu-HU"/>
        </w:rPr>
        <w:noBreakHyphen/>
        <w:t>kezelésről parenterális antikoaguláns</w:t>
      </w:r>
      <w:r>
        <w:rPr>
          <w:lang w:val="hu-HU"/>
        </w:rPr>
        <w:noBreakHyphen/>
        <w:t>kezelésre:</w:t>
      </w:r>
    </w:p>
    <w:p w:rsidR="007D7140" w:rsidRDefault="00A207BA">
      <w:pPr>
        <w:ind w:left="7" w:right="9"/>
        <w:rPr>
          <w:lang w:val="hu-HU"/>
        </w:rPr>
      </w:pPr>
      <w:r>
        <w:rPr>
          <w:lang w:val="hu-HU"/>
        </w:rPr>
        <w:t>A dabigatrán</w:t>
      </w:r>
      <w:r>
        <w:rPr>
          <w:lang w:val="hu-HU"/>
        </w:rPr>
        <w:noBreakHyphen/>
        <w:t>etexilátról parenterális antikoaguláns</w:t>
      </w:r>
      <w:r>
        <w:rPr>
          <w:lang w:val="hu-HU"/>
        </w:rPr>
        <w:noBreakHyphen/>
        <w:t>kezelésre történő átállításkor javasolt 12 órát várni az utolsó adag dabigatrán</w:t>
      </w:r>
      <w:r>
        <w:rPr>
          <w:lang w:val="hu-HU"/>
        </w:rPr>
        <w:noBreakHyphen/>
        <w:t>etexilát után (lásd 4.5 pont).</w:t>
      </w:r>
    </w:p>
    <w:p w:rsidR="007D7140" w:rsidRDefault="007D7140">
      <w:pPr>
        <w:ind w:left="7" w:right="9"/>
        <w:rPr>
          <w:lang w:val="hu-HU"/>
        </w:rPr>
      </w:pPr>
    </w:p>
    <w:p w:rsidR="007D7140" w:rsidRDefault="00A207BA">
      <w:pPr>
        <w:ind w:left="7" w:right="9"/>
        <w:rPr>
          <w:lang w:val="hu-HU"/>
        </w:rPr>
      </w:pPr>
      <w:r>
        <w:rPr>
          <w:lang w:val="hu-HU"/>
        </w:rPr>
        <w:t>Parenterális antikoagulánsokról dabigatrán</w:t>
      </w:r>
      <w:r>
        <w:rPr>
          <w:lang w:val="hu-HU"/>
        </w:rPr>
        <w:noBreakHyphen/>
        <w:t>etexilátra:</w:t>
      </w:r>
    </w:p>
    <w:p w:rsidR="007D7140" w:rsidRDefault="00A207BA">
      <w:pPr>
        <w:ind w:left="7" w:right="9"/>
        <w:rPr>
          <w:lang w:val="hu-HU"/>
        </w:rPr>
      </w:pPr>
      <w:r>
        <w:rPr>
          <w:lang w:val="hu-HU"/>
        </w:rPr>
        <w:t>Az antikoaguláns</w:t>
      </w:r>
      <w:r>
        <w:rPr>
          <w:lang w:val="hu-HU"/>
        </w:rPr>
        <w:noBreakHyphen/>
        <w:t>kezelés következő adagjának esedékessége előtt 0</w:t>
      </w:r>
      <w:r>
        <w:rPr>
          <w:lang w:val="hu-HU"/>
        </w:rPr>
        <w:noBreakHyphen/>
        <w:t>2 órával a parenterális antikoaguláns</w:t>
      </w:r>
      <w:r>
        <w:rPr>
          <w:lang w:val="hu-HU"/>
        </w:rPr>
        <w:noBreakHyphen/>
        <w:t>kezelést le kell állítani, és a dabigatrán</w:t>
      </w:r>
      <w:r>
        <w:rPr>
          <w:lang w:val="hu-HU"/>
        </w:rPr>
        <w:noBreakHyphen/>
        <w:t>etexilát</w:t>
      </w:r>
      <w:r>
        <w:rPr>
          <w:lang w:val="hu-HU"/>
        </w:rPr>
        <w:noBreakHyphen/>
        <w:t>kezelést meg kell kezdeni, illetve a folyamatos kezelés (pl. intravénás nem frakcionált heparin [Unfractionated Heparin, UFH]) esetén az antikoaguláns</w:t>
      </w:r>
      <w:r>
        <w:rPr>
          <w:lang w:val="hu-HU"/>
        </w:rPr>
        <w:noBreakHyphen/>
        <w:t>terápia leállításakor kell megkezdeni a dabigatrán</w:t>
      </w:r>
      <w:r>
        <w:rPr>
          <w:lang w:val="hu-HU"/>
        </w:rPr>
        <w:noBreakHyphen/>
        <w:t>etexilát alkalmazását (lásd 4.5 pont).</w:t>
      </w:r>
    </w:p>
    <w:p w:rsidR="007D7140" w:rsidRDefault="007D7140">
      <w:pPr>
        <w:ind w:left="7" w:right="9"/>
        <w:rPr>
          <w:lang w:val="hu-HU"/>
        </w:rPr>
      </w:pPr>
    </w:p>
    <w:p w:rsidR="007D7140" w:rsidRDefault="00A207BA">
      <w:pPr>
        <w:ind w:left="7" w:right="9"/>
        <w:rPr>
          <w:lang w:val="hu-HU"/>
        </w:rPr>
      </w:pPr>
      <w:r>
        <w:rPr>
          <w:lang w:val="hu-HU"/>
        </w:rPr>
        <w:t>Dabigatrán</w:t>
      </w:r>
      <w:r>
        <w:rPr>
          <w:lang w:val="hu-HU"/>
        </w:rPr>
        <w:noBreakHyphen/>
        <w:t>etexilátról K</w:t>
      </w:r>
      <w:r>
        <w:rPr>
          <w:lang w:val="hu-HU"/>
        </w:rPr>
        <w:noBreakHyphen/>
        <w:t>vitamin</w:t>
      </w:r>
      <w:r>
        <w:rPr>
          <w:lang w:val="hu-HU"/>
        </w:rPr>
        <w:noBreakHyphen/>
        <w:t>antagonistákra (KVA):</w:t>
      </w:r>
    </w:p>
    <w:p w:rsidR="007D7140" w:rsidRDefault="00A207BA">
      <w:pPr>
        <w:ind w:left="7" w:right="9"/>
        <w:rPr>
          <w:lang w:val="hu-HU"/>
        </w:rPr>
      </w:pPr>
      <w:r>
        <w:rPr>
          <w:lang w:val="hu-HU"/>
        </w:rPr>
        <w:t>A KVA adagolásának elkezdését a CrCl alapján kell időzíteni a következők szerint:</w:t>
      </w:r>
    </w:p>
    <w:p w:rsidR="007D7140" w:rsidRDefault="00A207BA">
      <w:pPr>
        <w:widowControl/>
        <w:numPr>
          <w:ilvl w:val="0"/>
          <w:numId w:val="5"/>
        </w:numPr>
        <w:autoSpaceDE/>
        <w:autoSpaceDN/>
        <w:ind w:left="567" w:hanging="567"/>
        <w:rPr>
          <w:lang w:val="hu-HU"/>
        </w:rPr>
      </w:pPr>
      <w:r>
        <w:rPr>
          <w:lang w:val="hu-HU"/>
        </w:rPr>
        <w:t>CrCl ≥ 50 ml/perc, a KVA adagolását 3 nappal a dabigatrán</w:t>
      </w:r>
      <w:r>
        <w:rPr>
          <w:lang w:val="hu-HU"/>
        </w:rPr>
        <w:noBreakHyphen/>
        <w:t>etexilát leállítása előtt kell elkezdeni.</w:t>
      </w:r>
    </w:p>
    <w:p w:rsidR="007D7140" w:rsidRDefault="00A207BA">
      <w:pPr>
        <w:widowControl/>
        <w:numPr>
          <w:ilvl w:val="0"/>
          <w:numId w:val="5"/>
        </w:numPr>
        <w:autoSpaceDE/>
        <w:autoSpaceDN/>
        <w:ind w:left="567" w:hanging="567"/>
        <w:rPr>
          <w:lang w:val="hu-HU"/>
        </w:rPr>
      </w:pPr>
      <w:r>
        <w:rPr>
          <w:lang w:val="hu-HU"/>
        </w:rPr>
        <w:t>CrCl ≥ 30 - &lt; 50 ml/perc, a KVA adagolását 2 nappal a dabigatrán</w:t>
      </w:r>
      <w:r>
        <w:rPr>
          <w:lang w:val="hu-HU"/>
        </w:rPr>
        <w:noBreakHyphen/>
        <w:t>etexilát leállítása előtt kell elkezdeni.</w:t>
      </w:r>
    </w:p>
    <w:p w:rsidR="007D7140" w:rsidRDefault="007D7140">
      <w:pPr>
        <w:ind w:left="7" w:right="9"/>
        <w:rPr>
          <w:lang w:val="hu-HU"/>
        </w:rPr>
      </w:pPr>
    </w:p>
    <w:p w:rsidR="007D7140" w:rsidRDefault="00A207BA">
      <w:pPr>
        <w:ind w:left="7" w:right="9"/>
        <w:rPr>
          <w:lang w:val="hu-HU"/>
        </w:rPr>
      </w:pPr>
      <w:r>
        <w:rPr>
          <w:lang w:val="hu-HU"/>
        </w:rPr>
        <w:t>Mivel a dabigatrán</w:t>
      </w:r>
      <w:r>
        <w:rPr>
          <w:lang w:val="hu-HU"/>
        </w:rPr>
        <w:noBreakHyphen/>
        <w:t>etexilát befolyásolhatja a nemzetközi normalizált arányt (</w:t>
      </w:r>
      <w:bookmarkStart w:id="5" w:name="_Hlk112147051"/>
      <w:r>
        <w:rPr>
          <w:color w:val="000000"/>
          <w:lang w:val="hu-HU" w:bidi="en-US"/>
        </w:rPr>
        <w:t>International Normalised Ratio</w:t>
      </w:r>
      <w:bookmarkEnd w:id="5"/>
      <w:r>
        <w:rPr>
          <w:color w:val="000000"/>
          <w:lang w:val="hu-HU" w:bidi="en-US"/>
        </w:rPr>
        <w:t xml:space="preserve">, </w:t>
      </w:r>
      <w:r>
        <w:rPr>
          <w:lang w:val="hu-HU"/>
        </w:rPr>
        <w:t>INR), az INR csak akkor mutatja megfelelően a KVA hatását, ha a dabigatrán</w:t>
      </w:r>
      <w:r>
        <w:rPr>
          <w:lang w:val="hu-HU"/>
        </w:rPr>
        <w:noBreakHyphen/>
        <w:t>etexilátot már legalább 2 napja leállították. Addig az INR értékeket megfelelő óvatossággal kell értelmezni.</w:t>
      </w:r>
    </w:p>
    <w:p w:rsidR="007D7140" w:rsidRDefault="007D7140">
      <w:pPr>
        <w:ind w:left="7" w:right="9"/>
        <w:rPr>
          <w:lang w:val="hu-HU"/>
        </w:rPr>
      </w:pPr>
    </w:p>
    <w:p w:rsidR="007D7140" w:rsidRDefault="00A207BA">
      <w:pPr>
        <w:ind w:left="7" w:right="9"/>
        <w:rPr>
          <w:lang w:val="hu-HU"/>
        </w:rPr>
      </w:pPr>
      <w:r>
        <w:rPr>
          <w:lang w:val="hu-HU"/>
        </w:rPr>
        <w:t>KVA</w:t>
      </w:r>
      <w:r>
        <w:rPr>
          <w:lang w:val="hu-HU"/>
        </w:rPr>
        <w:noBreakHyphen/>
        <w:t>ról dabigatrán</w:t>
      </w:r>
      <w:r>
        <w:rPr>
          <w:lang w:val="hu-HU"/>
        </w:rPr>
        <w:noBreakHyphen/>
        <w:t>etexilátra:</w:t>
      </w:r>
    </w:p>
    <w:p w:rsidR="007D7140" w:rsidRDefault="00A207BA">
      <w:pPr>
        <w:ind w:left="7" w:right="133"/>
        <w:rPr>
          <w:lang w:val="hu-HU"/>
        </w:rPr>
      </w:pPr>
      <w:r>
        <w:rPr>
          <w:lang w:val="hu-HU"/>
        </w:rPr>
        <w:t>A KVA</w:t>
      </w:r>
      <w:r>
        <w:rPr>
          <w:lang w:val="hu-HU"/>
        </w:rPr>
        <w:noBreakHyphen/>
        <w:t>t le kell állítani. A dabigatrán</w:t>
      </w:r>
      <w:r>
        <w:rPr>
          <w:lang w:val="hu-HU"/>
        </w:rPr>
        <w:noBreakHyphen/>
        <w:t>etexilát adása akkor kezdhető el, ha az INR &lt; 2,0.</w:t>
      </w:r>
    </w:p>
    <w:p w:rsidR="007D7140" w:rsidRDefault="007D7140">
      <w:pPr>
        <w:ind w:left="7" w:right="133"/>
        <w:rPr>
          <w:lang w:val="hu-HU"/>
        </w:rPr>
      </w:pPr>
    </w:p>
    <w:p w:rsidR="007D7140" w:rsidRDefault="00A207BA">
      <w:pPr>
        <w:ind w:left="7" w:right="133"/>
        <w:rPr>
          <w:lang w:val="hu-HU"/>
        </w:rPr>
      </w:pPr>
      <w:r>
        <w:rPr>
          <w:i/>
          <w:u w:val="single" w:color="000000"/>
          <w:lang w:val="hu-HU"/>
        </w:rPr>
        <w:t>Cardioversio (SPAF)</w:t>
      </w:r>
    </w:p>
    <w:p w:rsidR="007D7140" w:rsidRDefault="007D7140">
      <w:pPr>
        <w:ind w:left="7" w:right="9"/>
        <w:rPr>
          <w:lang w:val="hu-HU"/>
        </w:rPr>
      </w:pPr>
    </w:p>
    <w:p w:rsidR="007D7140" w:rsidRDefault="00A207BA">
      <w:pPr>
        <w:ind w:left="7" w:right="9"/>
        <w:rPr>
          <w:lang w:val="hu-HU"/>
        </w:rPr>
      </w:pPr>
      <w:r>
        <w:rPr>
          <w:lang w:val="hu-HU"/>
        </w:rPr>
        <w:t>A betegek a cardioversio alatt folytathatják a dabigatrán</w:t>
      </w:r>
      <w:r>
        <w:rPr>
          <w:lang w:val="hu-HU"/>
        </w:rPr>
        <w:noBreakHyphen/>
        <w:t>etexilát szedését.</w:t>
      </w:r>
    </w:p>
    <w:p w:rsidR="007D7140" w:rsidRDefault="007D7140">
      <w:pPr>
        <w:ind w:left="7" w:right="9"/>
        <w:rPr>
          <w:lang w:val="hu-HU"/>
        </w:rPr>
      </w:pPr>
    </w:p>
    <w:p w:rsidR="007D7140" w:rsidRDefault="00A207BA">
      <w:pPr>
        <w:ind w:left="7"/>
        <w:rPr>
          <w:lang w:val="hu-HU"/>
        </w:rPr>
      </w:pPr>
      <w:r>
        <w:rPr>
          <w:i/>
          <w:u w:val="single" w:color="000000"/>
          <w:lang w:val="hu-HU"/>
        </w:rPr>
        <w:t>Katéteres ablatio pitvarfibrilláció esetén (SPAF)</w:t>
      </w:r>
    </w:p>
    <w:p w:rsidR="007D7140" w:rsidRDefault="007D7140">
      <w:pPr>
        <w:ind w:left="7" w:right="9"/>
        <w:rPr>
          <w:lang w:val="hu-HU"/>
        </w:rPr>
      </w:pPr>
    </w:p>
    <w:p w:rsidR="007D7140" w:rsidRDefault="00A207BA">
      <w:pPr>
        <w:ind w:left="7" w:right="9"/>
        <w:rPr>
          <w:lang w:val="hu-HU"/>
        </w:rPr>
      </w:pPr>
      <w:r>
        <w:rPr>
          <w:lang w:val="hu-HU"/>
        </w:rPr>
        <w:t>Nincsenek rendelkezésre álló adatok napi kétszer 110 mg dabigatrán</w:t>
      </w:r>
      <w:r>
        <w:rPr>
          <w:lang w:val="hu-HU"/>
        </w:rPr>
        <w:noBreakHyphen/>
        <w:t>etexilát</w:t>
      </w:r>
      <w:r>
        <w:rPr>
          <w:lang w:val="hu-HU"/>
        </w:rPr>
        <w:noBreakHyphen/>
        <w:t>kezelésről.</w:t>
      </w:r>
    </w:p>
    <w:p w:rsidR="007D7140" w:rsidRDefault="007D7140">
      <w:pPr>
        <w:ind w:left="7" w:right="9"/>
        <w:rPr>
          <w:lang w:val="hu-HU"/>
        </w:rPr>
      </w:pPr>
    </w:p>
    <w:p w:rsidR="007D7140" w:rsidRDefault="00A207BA">
      <w:pPr>
        <w:ind w:left="7"/>
        <w:rPr>
          <w:lang w:val="hu-HU"/>
        </w:rPr>
      </w:pPr>
      <w:r>
        <w:rPr>
          <w:i/>
          <w:u w:val="single" w:color="000000"/>
          <w:lang w:val="hu-HU"/>
        </w:rPr>
        <w:t>Percutan coronariaintervenció (PCI) stent alkalmazásával (SPAF)</w:t>
      </w:r>
    </w:p>
    <w:p w:rsidR="007D7140" w:rsidRDefault="007D7140">
      <w:pPr>
        <w:ind w:left="7" w:right="9"/>
        <w:rPr>
          <w:lang w:val="hu-HU"/>
        </w:rPr>
      </w:pPr>
    </w:p>
    <w:p w:rsidR="007D7140" w:rsidRDefault="00A207BA">
      <w:pPr>
        <w:ind w:left="7" w:right="9"/>
        <w:rPr>
          <w:lang w:val="hu-HU"/>
        </w:rPr>
      </w:pPr>
      <w:r>
        <w:rPr>
          <w:lang w:val="hu-HU"/>
        </w:rPr>
        <w:t>A nem valvularis pitvarfibrillálóban szenvedő betegek esetén, akiknél stent alkalmazásával végeznek PCI</w:t>
      </w:r>
      <w:r>
        <w:rPr>
          <w:lang w:val="hu-HU"/>
        </w:rPr>
        <w:noBreakHyphen/>
        <w:t>t, a haemostasis elérése után a dabigatrán</w:t>
      </w:r>
      <w:r>
        <w:rPr>
          <w:lang w:val="hu-HU"/>
        </w:rPr>
        <w:noBreakHyphen/>
        <w:t>etexilát más thrombocitaaggregáció</w:t>
      </w:r>
      <w:r>
        <w:rPr>
          <w:lang w:val="hu-HU"/>
        </w:rPr>
        <w:noBreakHyphen/>
        <w:t>gátlókkal együtt is alkalmazható (lásd 5.1 pont).</w:t>
      </w:r>
    </w:p>
    <w:p w:rsidR="007D7140" w:rsidRDefault="007D7140">
      <w:pPr>
        <w:ind w:left="7" w:right="9"/>
        <w:rPr>
          <w:lang w:val="hu-HU"/>
        </w:rPr>
      </w:pPr>
    </w:p>
    <w:p w:rsidR="007D7140" w:rsidRDefault="00A207BA">
      <w:pPr>
        <w:ind w:left="7"/>
        <w:rPr>
          <w:lang w:val="hu-HU"/>
        </w:rPr>
      </w:pPr>
      <w:r>
        <w:rPr>
          <w:i/>
          <w:u w:val="single" w:color="000000"/>
          <w:lang w:val="hu-HU"/>
        </w:rPr>
        <w:t>Különleges betegcsoportok</w:t>
      </w:r>
    </w:p>
    <w:p w:rsidR="007D7140" w:rsidRDefault="007D7140">
      <w:pPr>
        <w:ind w:left="7"/>
        <w:rPr>
          <w:lang w:val="hu-HU"/>
        </w:rPr>
      </w:pPr>
    </w:p>
    <w:p w:rsidR="007D7140" w:rsidRDefault="00A207BA">
      <w:pPr>
        <w:ind w:left="7"/>
        <w:rPr>
          <w:lang w:val="hu-HU"/>
        </w:rPr>
      </w:pPr>
      <w:r>
        <w:rPr>
          <w:i/>
          <w:lang w:val="hu-HU"/>
        </w:rPr>
        <w:t>Idősek</w:t>
      </w:r>
    </w:p>
    <w:p w:rsidR="007D7140" w:rsidRDefault="007D7140">
      <w:pPr>
        <w:ind w:left="7" w:right="9"/>
        <w:rPr>
          <w:lang w:val="hu-HU"/>
        </w:rPr>
      </w:pPr>
    </w:p>
    <w:p w:rsidR="007D7140" w:rsidRDefault="00A207BA">
      <w:pPr>
        <w:ind w:left="7" w:right="9"/>
        <w:rPr>
          <w:lang w:val="hu-HU"/>
        </w:rPr>
      </w:pPr>
      <w:r>
        <w:rPr>
          <w:lang w:val="hu-HU"/>
        </w:rPr>
        <w:t>Az ezen betegpopulációt érintő dózismódosításokat lásd fent a 2. táblázatban.</w:t>
      </w:r>
    </w:p>
    <w:p w:rsidR="007D7140" w:rsidRDefault="007D7140">
      <w:pPr>
        <w:ind w:left="7" w:right="9"/>
        <w:rPr>
          <w:lang w:val="hu-HU"/>
        </w:rPr>
      </w:pPr>
    </w:p>
    <w:p w:rsidR="007D7140" w:rsidRDefault="00A207BA">
      <w:pPr>
        <w:ind w:left="7"/>
        <w:rPr>
          <w:lang w:val="hu-HU"/>
        </w:rPr>
      </w:pPr>
      <w:r>
        <w:rPr>
          <w:i/>
          <w:lang w:val="hu-HU"/>
        </w:rPr>
        <w:t xml:space="preserve">Vérzés kockázatának kitett betegek </w:t>
      </w:r>
    </w:p>
    <w:p w:rsidR="007D7140" w:rsidRDefault="007D7140">
      <w:pPr>
        <w:ind w:left="7" w:right="9"/>
        <w:rPr>
          <w:lang w:val="hu-HU"/>
        </w:rPr>
      </w:pPr>
    </w:p>
    <w:p w:rsidR="007D7140" w:rsidRDefault="00A207BA">
      <w:pPr>
        <w:ind w:left="7" w:right="9"/>
        <w:rPr>
          <w:lang w:val="hu-HU"/>
        </w:rPr>
      </w:pPr>
      <w:r>
        <w:rPr>
          <w:lang w:val="hu-HU"/>
        </w:rPr>
        <w:t>A vérzés fokozott kockázatának kitett betegeket (lásd 4.4, 4.5, 5.1 és 5.2 pont) klinikailag szoros monitorozás alatt kell tartani (figyelni kell a vérzés vagy anaemia jeleit). A dózis módosítását az orvos dönti el a potenciális előnyök és a kockázatok adott betegnél egyénileg történő mérlegelése után (lásd 2. táblázat fent). Az alvadási vizsgálat (lásd 4.4 pont) segíthet azonosítani a túlzott dabigatrán-expozíció miatt a vérzés fokozott kockázatának kitett betegeket. Ha túlzott dabigatrán</w:t>
      </w:r>
      <w:r>
        <w:rPr>
          <w:lang w:val="hu-HU"/>
        </w:rPr>
        <w:noBreakHyphen/>
        <w:t>expozíciót mutatnak ki nagy vérzési kockázatú betegnél, 220 mg-os csökkentett napi dózis adása javasolt napi kétszer egy darab 110 mg</w:t>
      </w:r>
      <w:r>
        <w:rPr>
          <w:lang w:val="hu-HU"/>
        </w:rPr>
        <w:noBreakHyphen/>
        <w:t>os kapszula formájában. Klinikailag jelentős vérzés jelentkezése esetén a kezelést meg kell szakítani.</w:t>
      </w:r>
    </w:p>
    <w:p w:rsidR="007D7140" w:rsidRDefault="007D7140">
      <w:pPr>
        <w:ind w:left="7" w:right="9"/>
        <w:rPr>
          <w:lang w:val="hu-HU"/>
        </w:rPr>
      </w:pPr>
    </w:p>
    <w:p w:rsidR="007D7140" w:rsidRDefault="00A207BA">
      <w:pPr>
        <w:ind w:left="7" w:right="9"/>
        <w:rPr>
          <w:lang w:val="hu-HU"/>
        </w:rPr>
      </w:pPr>
      <w:r>
        <w:rPr>
          <w:lang w:val="hu-HU"/>
        </w:rPr>
        <w:lastRenderedPageBreak/>
        <w:t>Gastritis, oesophagitis vagy gastrooesophagealis reflux esetén a jelentős gastrointestinalis vérzés fokozott kockázata miatt megfontolandó a dózis csökkentése (lásd 2. táblázat fent és 4.4 pont).</w:t>
      </w:r>
    </w:p>
    <w:p w:rsidR="007D7140" w:rsidRDefault="007D7140">
      <w:pPr>
        <w:ind w:left="7" w:right="9"/>
        <w:rPr>
          <w:lang w:val="hu-HU"/>
        </w:rPr>
      </w:pPr>
    </w:p>
    <w:p w:rsidR="007D7140" w:rsidRDefault="00A207BA">
      <w:pPr>
        <w:keepNext/>
        <w:widowControl/>
        <w:ind w:left="6"/>
        <w:rPr>
          <w:lang w:val="hu-HU"/>
        </w:rPr>
      </w:pPr>
      <w:r>
        <w:rPr>
          <w:i/>
          <w:lang w:val="hu-HU"/>
        </w:rPr>
        <w:t>Vesekárosodás</w:t>
      </w:r>
    </w:p>
    <w:p w:rsidR="007D7140" w:rsidRDefault="007D7140">
      <w:pPr>
        <w:keepNext/>
        <w:widowControl/>
        <w:ind w:left="6" w:right="9"/>
        <w:rPr>
          <w:lang w:val="hu-HU"/>
        </w:rPr>
      </w:pPr>
    </w:p>
    <w:p w:rsidR="007D7140" w:rsidRDefault="00A207BA">
      <w:pPr>
        <w:keepNext/>
        <w:widowControl/>
        <w:ind w:left="6" w:right="9"/>
        <w:rPr>
          <w:lang w:val="hu-HU"/>
        </w:rPr>
      </w:pPr>
      <w:r>
        <w:rPr>
          <w:lang w:val="hu-HU"/>
        </w:rPr>
        <w:t>A dabigatrán</w:t>
      </w:r>
      <w:r>
        <w:rPr>
          <w:lang w:val="hu-HU"/>
        </w:rPr>
        <w:noBreakHyphen/>
        <w:t>etexilát</w:t>
      </w:r>
      <w:r>
        <w:rPr>
          <w:lang w:val="hu-HU"/>
        </w:rPr>
        <w:noBreakHyphen/>
        <w:t>kezelés a súlyos vesekárosodásban szenvedő betegeknél (kreatinin-clearance [CrCl] 30 ml/perc alatti) ellenjavallt (lásd 4.3 pont).</w:t>
      </w:r>
    </w:p>
    <w:p w:rsidR="007D7140" w:rsidRDefault="007D7140">
      <w:pPr>
        <w:ind w:left="7" w:right="9"/>
        <w:rPr>
          <w:lang w:val="hu-HU"/>
        </w:rPr>
      </w:pPr>
    </w:p>
    <w:p w:rsidR="007D7140" w:rsidRDefault="00A207BA">
      <w:pPr>
        <w:ind w:left="7" w:right="9"/>
        <w:rPr>
          <w:lang w:val="hu-HU"/>
        </w:rPr>
      </w:pPr>
      <w:r>
        <w:rPr>
          <w:lang w:val="hu-HU"/>
        </w:rPr>
        <w:t>A dózis módosítása enyhe (CrCl 50</w:t>
      </w:r>
      <w:r>
        <w:rPr>
          <w:lang w:val="hu-HU"/>
        </w:rPr>
        <w:noBreakHyphen/>
        <w:t>≤ 80 ml/perc) vesekárosodásban nem szükséges. Közepesen súlyos vesekárosodásban (CrCl 30</w:t>
      </w:r>
      <w:r>
        <w:rPr>
          <w:lang w:val="hu-HU"/>
        </w:rPr>
        <w:noBreakHyphen/>
        <w:t>50 ml/perc) szenvedő betegek számára a dabigatrán</w:t>
      </w:r>
      <w:r>
        <w:rPr>
          <w:lang w:val="hu-HU"/>
        </w:rPr>
        <w:noBreakHyphen/>
        <w:t>etexilát ajánlott dózisa szintén 300 mg, amit naponta kétszer egy darab 150 mg</w:t>
      </w:r>
      <w:r>
        <w:rPr>
          <w:lang w:val="hu-HU"/>
        </w:rPr>
        <w:noBreakHyphen/>
        <w:t>os kapszula formájában kell bevenni. Mindazonáltal a magas vérzési kockázatú betegeknél a dabigatrán-etexilát napi dózisának 220 mg</w:t>
      </w:r>
      <w:r>
        <w:rPr>
          <w:lang w:val="hu-HU"/>
        </w:rPr>
        <w:noBreakHyphen/>
        <w:t>ra (kétszer egy darab 110 mg</w:t>
      </w:r>
      <w:r>
        <w:rPr>
          <w:lang w:val="hu-HU"/>
        </w:rPr>
        <w:noBreakHyphen/>
        <w:t>os kapszula formájában) való csökkentése is megfontolandó (lásd 4.4 és 5.2 pont). A vesekárosodásban szenvedő betegek szoros klinikai megfigyelése javasolt.</w:t>
      </w:r>
    </w:p>
    <w:p w:rsidR="007D7140" w:rsidRDefault="007D7140">
      <w:pPr>
        <w:ind w:left="7" w:right="9"/>
        <w:rPr>
          <w:lang w:val="hu-HU"/>
        </w:rPr>
      </w:pPr>
    </w:p>
    <w:p w:rsidR="007D7140" w:rsidRDefault="00A207BA">
      <w:pPr>
        <w:ind w:left="7"/>
        <w:rPr>
          <w:lang w:val="hu-HU"/>
        </w:rPr>
      </w:pPr>
      <w:r>
        <w:rPr>
          <w:i/>
          <w:lang w:val="hu-HU"/>
        </w:rPr>
        <w:t>A dabigatrán-etexilát egyidejű alkalmazása gyenge és közepesen erős P-glikoprotein- (P-gp-) inhibitorokkal, pl. amiodaronnal, kinidinnel vagy verapamillal</w:t>
      </w:r>
    </w:p>
    <w:p w:rsidR="007D7140" w:rsidRDefault="007D7140">
      <w:pPr>
        <w:ind w:left="7" w:right="9"/>
        <w:rPr>
          <w:lang w:val="hu-HU"/>
        </w:rPr>
      </w:pPr>
    </w:p>
    <w:p w:rsidR="007D7140" w:rsidRDefault="00A207BA">
      <w:pPr>
        <w:ind w:left="7" w:right="9"/>
        <w:rPr>
          <w:lang w:val="hu-HU"/>
        </w:rPr>
      </w:pPr>
      <w:r>
        <w:rPr>
          <w:lang w:val="hu-HU"/>
        </w:rPr>
        <w:t>A dózis módosítása nem szükséges amiodaronnal vagy kinidinnel történő együttes alkalmazáskor (lásd 4.4, 4.5 és 5.2 pont).</w:t>
      </w:r>
    </w:p>
    <w:p w:rsidR="007D7140" w:rsidRDefault="007D7140">
      <w:pPr>
        <w:ind w:left="7" w:right="9"/>
        <w:rPr>
          <w:lang w:val="hu-HU"/>
        </w:rPr>
      </w:pPr>
    </w:p>
    <w:p w:rsidR="007D7140" w:rsidRDefault="00A207BA">
      <w:pPr>
        <w:ind w:left="7" w:right="9"/>
        <w:rPr>
          <w:lang w:val="hu-HU"/>
        </w:rPr>
      </w:pPr>
      <w:r>
        <w:rPr>
          <w:lang w:val="hu-HU"/>
        </w:rPr>
        <w:t>Dóziscsökkentés javasolt azoknál a betegeknél, akik egyidejűleg verapamilt is kapnak (lásd 2. táblázat fent, valamint 4.4 és 4.5 pont). Ebben az esetben a dabigatrán</w:t>
      </w:r>
      <w:r>
        <w:rPr>
          <w:lang w:val="hu-HU"/>
        </w:rPr>
        <w:noBreakHyphen/>
        <w:t>etexilátot és a verapamilt egyszerre kell bevenni.</w:t>
      </w:r>
    </w:p>
    <w:p w:rsidR="007D7140" w:rsidRDefault="007D7140">
      <w:pPr>
        <w:ind w:left="7" w:right="9"/>
        <w:rPr>
          <w:lang w:val="hu-HU"/>
        </w:rPr>
      </w:pPr>
    </w:p>
    <w:p w:rsidR="007D7140" w:rsidRDefault="00A207BA">
      <w:pPr>
        <w:ind w:left="7"/>
        <w:rPr>
          <w:lang w:val="hu-HU"/>
        </w:rPr>
      </w:pPr>
      <w:r>
        <w:rPr>
          <w:i/>
          <w:lang w:val="hu-HU"/>
        </w:rPr>
        <w:t>Testtömeg</w:t>
      </w:r>
    </w:p>
    <w:p w:rsidR="007D7140" w:rsidRDefault="007D7140">
      <w:pPr>
        <w:ind w:left="7" w:right="9"/>
        <w:rPr>
          <w:lang w:val="hu-HU"/>
        </w:rPr>
      </w:pPr>
    </w:p>
    <w:p w:rsidR="007D7140" w:rsidRDefault="00A207BA">
      <w:pPr>
        <w:ind w:left="7" w:right="9"/>
        <w:rPr>
          <w:lang w:val="hu-HU"/>
        </w:rPr>
      </w:pPr>
      <w:r>
        <w:rPr>
          <w:lang w:val="hu-HU"/>
        </w:rPr>
        <w:t>A dózis módosítása nem szükséges (lásd 5.2 pont), de az 50 kg alatti testtömegű betegeknél szoros klinikai felügyelet javasolt (lásd 4.4 pont).</w:t>
      </w:r>
    </w:p>
    <w:p w:rsidR="007D7140" w:rsidRDefault="007D7140">
      <w:pPr>
        <w:ind w:left="7" w:right="9"/>
        <w:rPr>
          <w:lang w:val="hu-HU"/>
        </w:rPr>
      </w:pPr>
    </w:p>
    <w:p w:rsidR="007D7140" w:rsidRDefault="00A207BA">
      <w:pPr>
        <w:ind w:left="7"/>
        <w:rPr>
          <w:lang w:val="hu-HU"/>
        </w:rPr>
      </w:pPr>
      <w:r>
        <w:rPr>
          <w:i/>
          <w:lang w:val="hu-HU"/>
        </w:rPr>
        <w:t>Nem</w:t>
      </w:r>
    </w:p>
    <w:p w:rsidR="007D7140" w:rsidRDefault="007D7140">
      <w:pPr>
        <w:ind w:left="7" w:right="9"/>
        <w:rPr>
          <w:lang w:val="hu-HU"/>
        </w:rPr>
      </w:pPr>
    </w:p>
    <w:p w:rsidR="007D7140" w:rsidRDefault="00A207BA">
      <w:pPr>
        <w:ind w:left="7" w:right="9"/>
        <w:rPr>
          <w:lang w:val="hu-HU"/>
        </w:rPr>
      </w:pPr>
      <w:r>
        <w:rPr>
          <w:lang w:val="hu-HU"/>
        </w:rPr>
        <w:t>A dózis módosítása nem szükséges (lásd 5.2 pont).</w:t>
      </w:r>
    </w:p>
    <w:p w:rsidR="007D7140" w:rsidRDefault="007D7140">
      <w:pPr>
        <w:ind w:left="7" w:right="9"/>
        <w:rPr>
          <w:lang w:val="hu-HU"/>
        </w:rPr>
      </w:pPr>
    </w:p>
    <w:p w:rsidR="007D7140" w:rsidRDefault="00A207BA">
      <w:pPr>
        <w:ind w:left="7"/>
        <w:rPr>
          <w:lang w:val="hu-HU"/>
        </w:rPr>
      </w:pPr>
      <w:r>
        <w:rPr>
          <w:i/>
          <w:lang w:val="hu-HU"/>
        </w:rPr>
        <w:t>Gyermekek és serdülők</w:t>
      </w:r>
    </w:p>
    <w:p w:rsidR="007D7140" w:rsidRDefault="007D7140">
      <w:pPr>
        <w:ind w:left="7" w:right="9"/>
        <w:rPr>
          <w:lang w:val="hu-HU"/>
        </w:rPr>
      </w:pPr>
    </w:p>
    <w:p w:rsidR="007D7140" w:rsidRDefault="00A207BA">
      <w:pPr>
        <w:ind w:left="7" w:right="9"/>
        <w:rPr>
          <w:lang w:val="hu-HU"/>
        </w:rPr>
      </w:pPr>
      <w:r>
        <w:rPr>
          <w:lang w:val="hu-HU"/>
        </w:rPr>
        <w:t>A dabigatrán</w:t>
      </w:r>
      <w:r>
        <w:rPr>
          <w:lang w:val="hu-HU"/>
        </w:rPr>
        <w:noBreakHyphen/>
        <w:t>etexilátnak gyermekeknél és serdülőknél nincs releváns alkalmazása a következő indikációban: stroke és szisztémás embolisatio prevenciója nem billentyű eredetű pitvarfibrillációban szenvedő betegeknél.</w:t>
      </w:r>
    </w:p>
    <w:p w:rsidR="007D7140" w:rsidRDefault="007D7140">
      <w:pPr>
        <w:rPr>
          <w:lang w:val="hu-HU"/>
        </w:rPr>
      </w:pPr>
    </w:p>
    <w:p w:rsidR="007D7140" w:rsidRDefault="00A207BA">
      <w:pPr>
        <w:rPr>
          <w:b/>
          <w:bCs/>
          <w:lang w:val="hu-HU"/>
        </w:rPr>
      </w:pPr>
      <w:r>
        <w:rPr>
          <w:b/>
          <w:bCs/>
          <w:i/>
          <w:u w:val="single"/>
          <w:lang w:val="hu-HU"/>
        </w:rPr>
        <w:t>VTE</w:t>
      </w:r>
      <w:r>
        <w:rPr>
          <w:b/>
          <w:bCs/>
          <w:i/>
          <w:spacing w:val="-5"/>
          <w:u w:val="single"/>
          <w:lang w:val="hu-HU"/>
        </w:rPr>
        <w:t xml:space="preserve"> </w:t>
      </w:r>
      <w:r>
        <w:rPr>
          <w:b/>
          <w:bCs/>
          <w:i/>
          <w:u w:val="single"/>
          <w:lang w:val="hu-HU"/>
        </w:rPr>
        <w:t>kezelése</w:t>
      </w:r>
      <w:r>
        <w:rPr>
          <w:b/>
          <w:bCs/>
          <w:i/>
          <w:spacing w:val="-4"/>
          <w:u w:val="single"/>
          <w:lang w:val="hu-HU"/>
        </w:rPr>
        <w:t xml:space="preserve"> </w:t>
      </w:r>
      <w:r>
        <w:rPr>
          <w:b/>
          <w:bCs/>
          <w:i/>
          <w:u w:val="single"/>
          <w:lang w:val="hu-HU"/>
        </w:rPr>
        <w:t>és</w:t>
      </w:r>
      <w:r>
        <w:rPr>
          <w:b/>
          <w:bCs/>
          <w:i/>
          <w:spacing w:val="-5"/>
          <w:u w:val="single"/>
          <w:lang w:val="hu-HU"/>
        </w:rPr>
        <w:t xml:space="preserve"> </w:t>
      </w:r>
      <w:r>
        <w:rPr>
          <w:b/>
          <w:bCs/>
          <w:i/>
          <w:u w:val="single"/>
          <w:lang w:val="hu-HU"/>
        </w:rPr>
        <w:t>VTE</w:t>
      </w:r>
      <w:r>
        <w:rPr>
          <w:b/>
          <w:bCs/>
          <w:i/>
          <w:spacing w:val="-4"/>
          <w:u w:val="single"/>
          <w:lang w:val="hu-HU"/>
        </w:rPr>
        <w:t xml:space="preserve"> </w:t>
      </w:r>
      <w:r>
        <w:rPr>
          <w:b/>
          <w:bCs/>
          <w:i/>
          <w:u w:val="single"/>
          <w:lang w:val="hu-HU"/>
        </w:rPr>
        <w:t>kiújulásának</w:t>
      </w:r>
      <w:r>
        <w:rPr>
          <w:b/>
          <w:bCs/>
          <w:i/>
          <w:spacing w:val="-4"/>
          <w:u w:val="single"/>
          <w:lang w:val="hu-HU"/>
        </w:rPr>
        <w:t xml:space="preserve"> </w:t>
      </w:r>
      <w:r>
        <w:rPr>
          <w:b/>
          <w:bCs/>
          <w:i/>
          <w:u w:val="single"/>
          <w:lang w:val="hu-HU"/>
        </w:rPr>
        <w:t>megelőzése</w:t>
      </w:r>
      <w:r>
        <w:rPr>
          <w:b/>
          <w:bCs/>
          <w:i/>
          <w:spacing w:val="-5"/>
          <w:u w:val="single"/>
          <w:lang w:val="hu-HU"/>
        </w:rPr>
        <w:t xml:space="preserve"> </w:t>
      </w:r>
      <w:r>
        <w:rPr>
          <w:b/>
          <w:bCs/>
          <w:i/>
          <w:u w:val="single"/>
          <w:lang w:val="hu-HU"/>
        </w:rPr>
        <w:t>gyermekeknél</w:t>
      </w:r>
      <w:r>
        <w:rPr>
          <w:b/>
          <w:bCs/>
          <w:i/>
          <w:spacing w:val="-4"/>
          <w:u w:val="single"/>
          <w:lang w:val="hu-HU"/>
        </w:rPr>
        <w:t xml:space="preserve"> </w:t>
      </w:r>
      <w:r>
        <w:rPr>
          <w:b/>
          <w:bCs/>
          <w:i/>
          <w:u w:val="single"/>
          <w:lang w:val="hu-HU"/>
        </w:rPr>
        <w:t>és</w:t>
      </w:r>
      <w:r>
        <w:rPr>
          <w:b/>
          <w:bCs/>
          <w:i/>
          <w:spacing w:val="-4"/>
          <w:u w:val="single"/>
          <w:lang w:val="hu-HU"/>
        </w:rPr>
        <w:t xml:space="preserve"> </w:t>
      </w:r>
      <w:r>
        <w:rPr>
          <w:b/>
          <w:bCs/>
          <w:i/>
          <w:u w:val="single"/>
          <w:lang w:val="hu-HU"/>
        </w:rPr>
        <w:t>serdülőknél</w:t>
      </w:r>
    </w:p>
    <w:p w:rsidR="007D7140" w:rsidRDefault="007D7140">
      <w:pPr>
        <w:rPr>
          <w:i/>
          <w:lang w:val="hu-HU"/>
        </w:rPr>
      </w:pPr>
    </w:p>
    <w:p w:rsidR="007D7140" w:rsidRDefault="00A207BA">
      <w:pPr>
        <w:rPr>
          <w:lang w:val="hu-HU"/>
        </w:rPr>
      </w:pPr>
      <w:r>
        <w:rPr>
          <w:lang w:val="hu-HU"/>
        </w:rPr>
        <w:t>VTE kezelésekor gyermekeknél és serdülőknél a kezelést legalább 5 napos parenterális antikoaguláns</w:t>
      </w:r>
      <w:r>
        <w:rPr>
          <w:lang w:val="hu-HU"/>
        </w:rPr>
        <w:noBreakHyphen/>
        <w:t>kezelést követően kell megkezdeni. A VTE kiújulásának megelőzése érdekében végzett kezelést a</w:t>
      </w:r>
      <w:r>
        <w:rPr>
          <w:spacing w:val="1"/>
          <w:lang w:val="hu-HU"/>
        </w:rPr>
        <w:t xml:space="preserve"> </w:t>
      </w:r>
      <w:r>
        <w:rPr>
          <w:lang w:val="hu-HU"/>
        </w:rPr>
        <w:t>korábbi</w:t>
      </w:r>
      <w:r>
        <w:rPr>
          <w:spacing w:val="-2"/>
          <w:lang w:val="hu-HU"/>
        </w:rPr>
        <w:t xml:space="preserve"> </w:t>
      </w:r>
      <w:r>
        <w:rPr>
          <w:lang w:val="hu-HU"/>
        </w:rPr>
        <w:t>kezelés</w:t>
      </w:r>
      <w:r>
        <w:rPr>
          <w:spacing w:val="-1"/>
          <w:lang w:val="hu-HU"/>
        </w:rPr>
        <w:t xml:space="preserve"> </w:t>
      </w:r>
      <w:r>
        <w:rPr>
          <w:lang w:val="hu-HU"/>
        </w:rPr>
        <w:t>folytatásaként</w:t>
      </w:r>
      <w:r>
        <w:rPr>
          <w:spacing w:val="-1"/>
          <w:lang w:val="hu-HU"/>
        </w:rPr>
        <w:t xml:space="preserve"> </w:t>
      </w:r>
      <w:r>
        <w:rPr>
          <w:lang w:val="hu-HU"/>
        </w:rPr>
        <w:t>kell</w:t>
      </w:r>
      <w:r>
        <w:rPr>
          <w:spacing w:val="-2"/>
          <w:lang w:val="hu-HU"/>
        </w:rPr>
        <w:t xml:space="preserve"> </w:t>
      </w:r>
      <w:r>
        <w:rPr>
          <w:lang w:val="hu-HU"/>
        </w:rPr>
        <w:t>alkalmazni.</w:t>
      </w:r>
    </w:p>
    <w:p w:rsidR="007D7140" w:rsidRDefault="007D7140">
      <w:pPr>
        <w:rPr>
          <w:lang w:val="hu-HU"/>
        </w:rPr>
      </w:pPr>
    </w:p>
    <w:p w:rsidR="007D7140" w:rsidRDefault="00A207BA">
      <w:pPr>
        <w:rPr>
          <w:u w:val="single"/>
          <w:lang w:val="hu-HU"/>
        </w:rPr>
      </w:pPr>
      <w:r>
        <w:rPr>
          <w:b/>
          <w:bCs/>
          <w:lang w:val="hu-HU"/>
        </w:rPr>
        <w:t>A dabigatrán</w:t>
      </w:r>
      <w:r>
        <w:rPr>
          <w:b/>
          <w:bCs/>
          <w:lang w:val="hu-HU"/>
        </w:rPr>
        <w:noBreakHyphen/>
        <w:t>etexilát kapszulát naponta kétszer kell bevenni</w:t>
      </w:r>
      <w:r>
        <w:rPr>
          <w:lang w:val="hu-HU"/>
        </w:rPr>
        <w:t>, egy adagot reggel és egy adagot</w:t>
      </w:r>
      <w:r>
        <w:rPr>
          <w:u w:val="single"/>
          <w:lang w:val="hu-HU"/>
        </w:rPr>
        <w:t xml:space="preserve"> </w:t>
      </w:r>
      <w:r>
        <w:rPr>
          <w:lang w:val="hu-HU"/>
        </w:rPr>
        <w:t xml:space="preserve">este, minden </w:t>
      </w:r>
      <w:r>
        <w:rPr>
          <w:spacing w:val="4"/>
          <w:lang w:val="hu-HU"/>
        </w:rPr>
        <w:t>nap</w:t>
      </w:r>
      <w:r>
        <w:rPr>
          <w:spacing w:val="5"/>
          <w:lang w:val="hu-HU"/>
        </w:rPr>
        <w:t xml:space="preserve"> </w:t>
      </w:r>
      <w:r>
        <w:rPr>
          <w:lang w:val="hu-HU"/>
        </w:rPr>
        <w:t>körülbelül</w:t>
      </w:r>
      <w:r>
        <w:rPr>
          <w:spacing w:val="5"/>
          <w:lang w:val="hu-HU"/>
        </w:rPr>
        <w:t xml:space="preserve"> </w:t>
      </w:r>
      <w:r>
        <w:rPr>
          <w:lang w:val="hu-HU"/>
        </w:rPr>
        <w:t>azonos</w:t>
      </w:r>
      <w:r>
        <w:rPr>
          <w:spacing w:val="5"/>
          <w:lang w:val="hu-HU"/>
        </w:rPr>
        <w:t xml:space="preserve"> </w:t>
      </w:r>
      <w:r>
        <w:rPr>
          <w:lang w:val="hu-HU"/>
        </w:rPr>
        <w:t>időben.</w:t>
      </w:r>
      <w:r>
        <w:rPr>
          <w:spacing w:val="4"/>
          <w:lang w:val="hu-HU"/>
        </w:rPr>
        <w:t xml:space="preserve"> </w:t>
      </w:r>
      <w:r>
        <w:rPr>
          <w:lang w:val="hu-HU"/>
        </w:rPr>
        <w:t>A</w:t>
      </w:r>
      <w:r>
        <w:rPr>
          <w:spacing w:val="5"/>
          <w:lang w:val="hu-HU"/>
        </w:rPr>
        <w:t xml:space="preserve"> </w:t>
      </w:r>
      <w:r>
        <w:rPr>
          <w:lang w:val="hu-HU"/>
        </w:rPr>
        <w:t>bevételek</w:t>
      </w:r>
      <w:r>
        <w:rPr>
          <w:spacing w:val="5"/>
          <w:lang w:val="hu-HU"/>
        </w:rPr>
        <w:t xml:space="preserve"> </w:t>
      </w:r>
      <w:r>
        <w:rPr>
          <w:lang w:val="hu-HU"/>
        </w:rPr>
        <w:t>között</w:t>
      </w:r>
      <w:r>
        <w:rPr>
          <w:spacing w:val="5"/>
          <w:lang w:val="hu-HU"/>
        </w:rPr>
        <w:t xml:space="preserve"> </w:t>
      </w:r>
      <w:r>
        <w:rPr>
          <w:lang w:val="hu-HU"/>
        </w:rPr>
        <w:t>eltelt</w:t>
      </w:r>
      <w:r>
        <w:rPr>
          <w:spacing w:val="4"/>
          <w:lang w:val="hu-HU"/>
        </w:rPr>
        <w:t xml:space="preserve"> </w:t>
      </w:r>
      <w:r>
        <w:rPr>
          <w:lang w:val="hu-HU"/>
        </w:rPr>
        <w:t>időnek</w:t>
      </w:r>
      <w:r>
        <w:rPr>
          <w:spacing w:val="5"/>
          <w:lang w:val="hu-HU"/>
        </w:rPr>
        <w:t xml:space="preserve"> </w:t>
      </w:r>
      <w:r>
        <w:rPr>
          <w:lang w:val="hu-HU"/>
        </w:rPr>
        <w:t>a</w:t>
      </w:r>
      <w:r>
        <w:rPr>
          <w:spacing w:val="5"/>
          <w:lang w:val="hu-HU"/>
        </w:rPr>
        <w:t xml:space="preserve"> </w:t>
      </w:r>
      <w:r>
        <w:rPr>
          <w:lang w:val="hu-HU"/>
        </w:rPr>
        <w:t>lehető</w:t>
      </w:r>
      <w:r>
        <w:rPr>
          <w:spacing w:val="5"/>
          <w:lang w:val="hu-HU"/>
        </w:rPr>
        <w:t xml:space="preserve"> </w:t>
      </w:r>
      <w:r>
        <w:rPr>
          <w:lang w:val="hu-HU"/>
        </w:rPr>
        <w:t>legközelebb</w:t>
      </w:r>
      <w:r>
        <w:rPr>
          <w:spacing w:val="4"/>
          <w:lang w:val="hu-HU"/>
        </w:rPr>
        <w:t xml:space="preserve"> </w:t>
      </w:r>
      <w:r>
        <w:rPr>
          <w:lang w:val="hu-HU"/>
        </w:rPr>
        <w:t>kell</w:t>
      </w:r>
      <w:r>
        <w:rPr>
          <w:spacing w:val="1"/>
          <w:lang w:val="hu-HU"/>
        </w:rPr>
        <w:t xml:space="preserve"> </w:t>
      </w:r>
      <w:r>
        <w:rPr>
          <w:lang w:val="hu-HU"/>
        </w:rPr>
        <w:t>lennie</w:t>
      </w:r>
      <w:r>
        <w:rPr>
          <w:spacing w:val="-1"/>
          <w:lang w:val="hu-HU"/>
        </w:rPr>
        <w:t xml:space="preserve"> </w:t>
      </w:r>
      <w:r>
        <w:rPr>
          <w:lang w:val="hu-HU"/>
        </w:rPr>
        <w:t>12 órához.</w:t>
      </w:r>
    </w:p>
    <w:p w:rsidR="007D7140" w:rsidRDefault="007D7140">
      <w:pPr>
        <w:rPr>
          <w:lang w:val="hu-HU"/>
        </w:rPr>
      </w:pPr>
    </w:p>
    <w:p w:rsidR="007D7140" w:rsidRDefault="00A207BA">
      <w:pPr>
        <w:rPr>
          <w:lang w:val="hu-HU"/>
        </w:rPr>
      </w:pPr>
      <w:r>
        <w:rPr>
          <w:lang w:val="hu-HU"/>
        </w:rPr>
        <w:t>A</w:t>
      </w:r>
      <w:r>
        <w:rPr>
          <w:spacing w:val="-4"/>
          <w:lang w:val="hu-HU"/>
        </w:rPr>
        <w:t xml:space="preserve"> </w:t>
      </w:r>
      <w:r>
        <w:rPr>
          <w:lang w:val="hu-HU"/>
        </w:rPr>
        <w:t>dabigatrán</w:t>
      </w:r>
      <w:r>
        <w:rPr>
          <w:lang w:val="hu-HU"/>
        </w:rPr>
        <w:noBreakHyphen/>
        <w:t>etexilát</w:t>
      </w:r>
      <w:r>
        <w:rPr>
          <w:spacing w:val="-4"/>
          <w:lang w:val="hu-HU"/>
        </w:rPr>
        <w:t xml:space="preserve"> </w:t>
      </w:r>
      <w:r>
        <w:rPr>
          <w:lang w:val="hu-HU"/>
        </w:rPr>
        <w:t>kapszula</w:t>
      </w:r>
      <w:r>
        <w:rPr>
          <w:spacing w:val="-4"/>
          <w:lang w:val="hu-HU"/>
        </w:rPr>
        <w:t xml:space="preserve"> </w:t>
      </w:r>
      <w:r>
        <w:rPr>
          <w:lang w:val="hu-HU"/>
        </w:rPr>
        <w:t>javasolt</w:t>
      </w:r>
      <w:r>
        <w:rPr>
          <w:spacing w:val="-4"/>
          <w:lang w:val="hu-HU"/>
        </w:rPr>
        <w:t xml:space="preserve"> </w:t>
      </w:r>
      <w:r>
        <w:rPr>
          <w:lang w:val="hu-HU"/>
        </w:rPr>
        <w:t>dózisa</w:t>
      </w:r>
      <w:r>
        <w:rPr>
          <w:spacing w:val="-3"/>
          <w:lang w:val="hu-HU"/>
        </w:rPr>
        <w:t xml:space="preserve"> </w:t>
      </w:r>
      <w:r>
        <w:rPr>
          <w:lang w:val="hu-HU"/>
        </w:rPr>
        <w:t>a</w:t>
      </w:r>
      <w:r>
        <w:rPr>
          <w:spacing w:val="-4"/>
          <w:lang w:val="hu-HU"/>
        </w:rPr>
        <w:t xml:space="preserve"> </w:t>
      </w:r>
      <w:r>
        <w:rPr>
          <w:lang w:val="hu-HU"/>
        </w:rPr>
        <w:t>beteg</w:t>
      </w:r>
      <w:r>
        <w:rPr>
          <w:spacing w:val="-6"/>
          <w:lang w:val="hu-HU"/>
        </w:rPr>
        <w:t xml:space="preserve"> </w:t>
      </w:r>
      <w:r>
        <w:rPr>
          <w:lang w:val="hu-HU"/>
        </w:rPr>
        <w:t>testtömegétől</w:t>
      </w:r>
      <w:r>
        <w:rPr>
          <w:spacing w:val="-4"/>
          <w:lang w:val="hu-HU"/>
        </w:rPr>
        <w:t xml:space="preserve"> </w:t>
      </w:r>
      <w:r>
        <w:rPr>
          <w:lang w:val="hu-HU"/>
        </w:rPr>
        <w:t>és</w:t>
      </w:r>
      <w:r>
        <w:rPr>
          <w:spacing w:val="-3"/>
          <w:lang w:val="hu-HU"/>
        </w:rPr>
        <w:t xml:space="preserve"> </w:t>
      </w:r>
      <w:r>
        <w:rPr>
          <w:lang w:val="hu-HU"/>
        </w:rPr>
        <w:t>életkorától</w:t>
      </w:r>
      <w:r>
        <w:rPr>
          <w:spacing w:val="-4"/>
          <w:lang w:val="hu-HU"/>
        </w:rPr>
        <w:t xml:space="preserve"> </w:t>
      </w:r>
      <w:r>
        <w:rPr>
          <w:lang w:val="hu-HU"/>
        </w:rPr>
        <w:t>függ,</w:t>
      </w:r>
      <w:r>
        <w:rPr>
          <w:spacing w:val="-4"/>
          <w:lang w:val="hu-HU"/>
        </w:rPr>
        <w:t xml:space="preserve"> </w:t>
      </w:r>
      <w:r>
        <w:rPr>
          <w:lang w:val="hu-HU"/>
        </w:rPr>
        <w:t>amint</w:t>
      </w:r>
      <w:r>
        <w:rPr>
          <w:spacing w:val="-4"/>
          <w:lang w:val="hu-HU"/>
        </w:rPr>
        <w:t xml:space="preserve"> </w:t>
      </w:r>
      <w:r>
        <w:rPr>
          <w:lang w:val="hu-HU"/>
        </w:rPr>
        <w:t>azt</w:t>
      </w:r>
      <w:r>
        <w:rPr>
          <w:spacing w:val="-4"/>
          <w:lang w:val="hu-HU"/>
        </w:rPr>
        <w:t xml:space="preserve"> </w:t>
      </w:r>
      <w:r>
        <w:rPr>
          <w:lang w:val="hu-HU"/>
        </w:rPr>
        <w:t>a 4. táblázat</w:t>
      </w:r>
      <w:r>
        <w:rPr>
          <w:spacing w:val="-5"/>
          <w:lang w:val="hu-HU"/>
        </w:rPr>
        <w:t xml:space="preserve"> </w:t>
      </w:r>
      <w:r>
        <w:rPr>
          <w:lang w:val="hu-HU"/>
        </w:rPr>
        <w:t>mutatja.</w:t>
      </w:r>
      <w:r>
        <w:rPr>
          <w:spacing w:val="-4"/>
          <w:lang w:val="hu-HU"/>
        </w:rPr>
        <w:t xml:space="preserve"> </w:t>
      </w:r>
      <w:r>
        <w:rPr>
          <w:lang w:val="hu-HU"/>
        </w:rPr>
        <w:t>A</w:t>
      </w:r>
      <w:r>
        <w:rPr>
          <w:spacing w:val="-5"/>
          <w:lang w:val="hu-HU"/>
        </w:rPr>
        <w:t xml:space="preserve"> </w:t>
      </w:r>
      <w:r>
        <w:rPr>
          <w:lang w:val="hu-HU"/>
        </w:rPr>
        <w:t>dózist</w:t>
      </w:r>
      <w:r>
        <w:rPr>
          <w:spacing w:val="-4"/>
          <w:lang w:val="hu-HU"/>
        </w:rPr>
        <w:t xml:space="preserve"> </w:t>
      </w:r>
      <w:r>
        <w:rPr>
          <w:lang w:val="hu-HU"/>
        </w:rPr>
        <w:t>a</w:t>
      </w:r>
      <w:r>
        <w:rPr>
          <w:spacing w:val="-5"/>
          <w:lang w:val="hu-HU"/>
        </w:rPr>
        <w:t xml:space="preserve"> </w:t>
      </w:r>
      <w:r>
        <w:rPr>
          <w:lang w:val="hu-HU"/>
        </w:rPr>
        <w:t>kezelés</w:t>
      </w:r>
      <w:r>
        <w:rPr>
          <w:spacing w:val="-4"/>
          <w:lang w:val="hu-HU"/>
        </w:rPr>
        <w:t xml:space="preserve"> </w:t>
      </w:r>
      <w:r>
        <w:rPr>
          <w:lang w:val="hu-HU"/>
        </w:rPr>
        <w:t>előrehaladtával</w:t>
      </w:r>
      <w:r>
        <w:rPr>
          <w:spacing w:val="-4"/>
          <w:lang w:val="hu-HU"/>
        </w:rPr>
        <w:t xml:space="preserve"> </w:t>
      </w:r>
      <w:r>
        <w:rPr>
          <w:lang w:val="hu-HU"/>
        </w:rPr>
        <w:t>testtömeg</w:t>
      </w:r>
      <w:r>
        <w:rPr>
          <w:spacing w:val="-5"/>
          <w:lang w:val="hu-HU"/>
        </w:rPr>
        <w:t xml:space="preserve"> </w:t>
      </w:r>
      <w:r>
        <w:rPr>
          <w:lang w:val="hu-HU"/>
        </w:rPr>
        <w:t>és</w:t>
      </w:r>
      <w:r>
        <w:rPr>
          <w:spacing w:val="-4"/>
          <w:lang w:val="hu-HU"/>
        </w:rPr>
        <w:t xml:space="preserve"> </w:t>
      </w:r>
      <w:r>
        <w:rPr>
          <w:lang w:val="hu-HU"/>
        </w:rPr>
        <w:t>életkor</w:t>
      </w:r>
      <w:r>
        <w:rPr>
          <w:spacing w:val="-5"/>
          <w:lang w:val="hu-HU"/>
        </w:rPr>
        <w:t xml:space="preserve"> </w:t>
      </w:r>
      <w:r>
        <w:rPr>
          <w:lang w:val="hu-HU"/>
        </w:rPr>
        <w:t>szerint</w:t>
      </w:r>
      <w:r>
        <w:rPr>
          <w:spacing w:val="-4"/>
          <w:lang w:val="hu-HU"/>
        </w:rPr>
        <w:t xml:space="preserve"> </w:t>
      </w:r>
      <w:r>
        <w:rPr>
          <w:lang w:val="hu-HU"/>
        </w:rPr>
        <w:t>módosítani</w:t>
      </w:r>
      <w:r>
        <w:rPr>
          <w:spacing w:val="-5"/>
          <w:lang w:val="hu-HU"/>
        </w:rPr>
        <w:t xml:space="preserve"> </w:t>
      </w:r>
      <w:r>
        <w:rPr>
          <w:lang w:val="hu-HU"/>
        </w:rPr>
        <w:t>kell.</w:t>
      </w:r>
    </w:p>
    <w:p w:rsidR="007D7140" w:rsidRDefault="007D7140">
      <w:pPr>
        <w:rPr>
          <w:lang w:val="hu-HU"/>
        </w:rPr>
      </w:pPr>
    </w:p>
    <w:p w:rsidR="007D7140" w:rsidRDefault="00A207BA">
      <w:pPr>
        <w:rPr>
          <w:lang w:val="hu-HU"/>
        </w:rPr>
      </w:pPr>
      <w:r>
        <w:rPr>
          <w:lang w:val="hu-HU"/>
        </w:rPr>
        <w:t>Az adagolási táblázatban nem szereplő testtömeg</w:t>
      </w:r>
      <w:r>
        <w:rPr>
          <w:lang w:val="hu-HU"/>
        </w:rPr>
        <w:noBreakHyphen/>
        <w:t xml:space="preserve"> és életkor</w:t>
      </w:r>
      <w:r>
        <w:rPr>
          <w:lang w:val="hu-HU"/>
        </w:rPr>
        <w:noBreakHyphen/>
        <w:t>kombinációk esetén nem adható adagolási javaslat.</w:t>
      </w:r>
    </w:p>
    <w:p w:rsidR="007D7140" w:rsidRDefault="007D7140">
      <w:pPr>
        <w:rPr>
          <w:lang w:val="hu-HU"/>
        </w:rPr>
      </w:pPr>
    </w:p>
    <w:p w:rsidR="007D7140" w:rsidRDefault="00A207BA">
      <w:pPr>
        <w:keepNext/>
        <w:widowControl/>
        <w:ind w:left="1134" w:hanging="1134"/>
        <w:rPr>
          <w:b/>
          <w:bCs/>
          <w:lang w:val="hu-HU"/>
        </w:rPr>
      </w:pPr>
      <w:r>
        <w:rPr>
          <w:b/>
          <w:bCs/>
          <w:lang w:val="hu-HU"/>
        </w:rPr>
        <w:lastRenderedPageBreak/>
        <w:t>4. táblázat:</w:t>
      </w:r>
      <w:r>
        <w:rPr>
          <w:lang w:val="hu-HU"/>
        </w:rPr>
        <w:t xml:space="preserve"> </w:t>
      </w:r>
      <w:r>
        <w:rPr>
          <w:b/>
          <w:bCs/>
          <w:lang w:val="hu-HU"/>
        </w:rPr>
        <w:t>A dabigatrán</w:t>
      </w:r>
      <w:r>
        <w:rPr>
          <w:b/>
          <w:bCs/>
          <w:lang w:val="hu-HU"/>
        </w:rPr>
        <w:noBreakHyphen/>
        <w:t>etexilát egyszeri és teljes napi dózisa milligrammban (mg), a beteg kilogrammban megadott testtömege (kg) és</w:t>
      </w:r>
      <w:r>
        <w:rPr>
          <w:b/>
          <w:bCs/>
          <w:spacing w:val="1"/>
          <w:lang w:val="hu-HU"/>
        </w:rPr>
        <w:t xml:space="preserve"> év</w:t>
      </w:r>
      <w:r>
        <w:rPr>
          <w:b/>
          <w:bCs/>
          <w:lang w:val="hu-HU"/>
        </w:rPr>
        <w:t>ben</w:t>
      </w:r>
      <w:r>
        <w:rPr>
          <w:b/>
          <w:bCs/>
          <w:spacing w:val="-2"/>
          <w:lang w:val="hu-HU"/>
        </w:rPr>
        <w:t xml:space="preserve"> </w:t>
      </w:r>
      <w:r>
        <w:rPr>
          <w:b/>
          <w:bCs/>
          <w:lang w:val="hu-HU"/>
        </w:rPr>
        <w:t>megadott</w:t>
      </w:r>
      <w:r>
        <w:rPr>
          <w:b/>
          <w:bCs/>
          <w:spacing w:val="-1"/>
          <w:lang w:val="hu-HU"/>
        </w:rPr>
        <w:t xml:space="preserve"> </w:t>
      </w:r>
      <w:r>
        <w:rPr>
          <w:b/>
          <w:bCs/>
          <w:lang w:val="hu-HU"/>
        </w:rPr>
        <w:t>életkora</w:t>
      </w:r>
      <w:r>
        <w:rPr>
          <w:b/>
          <w:bCs/>
          <w:spacing w:val="-1"/>
          <w:lang w:val="hu-HU"/>
        </w:rPr>
        <w:t xml:space="preserve"> </w:t>
      </w:r>
      <w:r>
        <w:rPr>
          <w:b/>
          <w:bCs/>
          <w:lang w:val="hu-HU"/>
        </w:rPr>
        <w:t>alapján.</w:t>
      </w:r>
    </w:p>
    <w:p w:rsidR="007D7140" w:rsidRDefault="007D7140">
      <w:pPr>
        <w:keepNext/>
        <w:widowControl/>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842"/>
        <w:gridCol w:w="2552"/>
        <w:gridCol w:w="2551"/>
      </w:tblGrid>
      <w:tr w:rsidR="007D7140">
        <w:trPr>
          <w:trHeight w:val="251"/>
        </w:trPr>
        <w:tc>
          <w:tcPr>
            <w:tcW w:w="3969" w:type="dxa"/>
            <w:gridSpan w:val="2"/>
          </w:tcPr>
          <w:p w:rsidR="007D7140" w:rsidRDefault="00A207BA">
            <w:pPr>
              <w:keepNext/>
              <w:widowControl/>
              <w:ind w:left="142"/>
              <w:rPr>
                <w:b/>
                <w:bCs/>
                <w:lang w:val="hu-HU"/>
              </w:rPr>
            </w:pPr>
            <w:r>
              <w:rPr>
                <w:b/>
                <w:bCs/>
                <w:lang w:val="hu-HU"/>
              </w:rPr>
              <w:t>Testtömeg/életkor</w:t>
            </w:r>
            <w:r>
              <w:rPr>
                <w:b/>
                <w:bCs/>
                <w:spacing w:val="-8"/>
                <w:lang w:val="hu-HU"/>
              </w:rPr>
              <w:t xml:space="preserve"> </w:t>
            </w:r>
            <w:r>
              <w:rPr>
                <w:b/>
                <w:bCs/>
                <w:lang w:val="hu-HU"/>
              </w:rPr>
              <w:t>kombinációk</w:t>
            </w:r>
          </w:p>
        </w:tc>
        <w:tc>
          <w:tcPr>
            <w:tcW w:w="2552" w:type="dxa"/>
            <w:vMerge w:val="restart"/>
          </w:tcPr>
          <w:p w:rsidR="007D7140" w:rsidRDefault="00A207BA">
            <w:pPr>
              <w:keepNext/>
              <w:widowControl/>
              <w:ind w:left="159"/>
              <w:rPr>
                <w:b/>
                <w:bCs/>
                <w:lang w:val="hu-HU"/>
              </w:rPr>
            </w:pPr>
            <w:r>
              <w:rPr>
                <w:b/>
                <w:bCs/>
                <w:lang w:val="hu-HU"/>
              </w:rPr>
              <w:t>Egyszeri</w:t>
            </w:r>
            <w:r>
              <w:rPr>
                <w:b/>
                <w:bCs/>
                <w:spacing w:val="-4"/>
                <w:lang w:val="hu-HU"/>
              </w:rPr>
              <w:t xml:space="preserve"> </w:t>
            </w:r>
            <w:r>
              <w:rPr>
                <w:b/>
                <w:bCs/>
                <w:lang w:val="hu-HU"/>
              </w:rPr>
              <w:t>dózis</w:t>
            </w:r>
            <w:r>
              <w:rPr>
                <w:b/>
                <w:bCs/>
                <w:spacing w:val="-2"/>
                <w:lang w:val="hu-HU"/>
              </w:rPr>
              <w:t xml:space="preserve"> </w:t>
            </w:r>
            <w:r>
              <w:rPr>
                <w:b/>
                <w:bCs/>
                <w:lang w:val="hu-HU"/>
              </w:rPr>
              <w:t>mg</w:t>
            </w:r>
            <w:r>
              <w:rPr>
                <w:b/>
                <w:bCs/>
                <w:lang w:val="hu-HU"/>
              </w:rPr>
              <w:noBreakHyphen/>
              <w:t>ban</w:t>
            </w:r>
          </w:p>
        </w:tc>
        <w:tc>
          <w:tcPr>
            <w:tcW w:w="2551" w:type="dxa"/>
            <w:vMerge w:val="restart"/>
          </w:tcPr>
          <w:p w:rsidR="007D7140" w:rsidRDefault="00A207BA">
            <w:pPr>
              <w:keepNext/>
              <w:widowControl/>
              <w:ind w:left="160"/>
              <w:rPr>
                <w:b/>
                <w:bCs/>
                <w:lang w:val="hu-HU"/>
              </w:rPr>
            </w:pPr>
            <w:r>
              <w:rPr>
                <w:b/>
                <w:bCs/>
                <w:lang w:val="hu-HU"/>
              </w:rPr>
              <w:t xml:space="preserve">Teljes </w:t>
            </w:r>
            <w:r>
              <w:rPr>
                <w:b/>
                <w:bCs/>
                <w:spacing w:val="-3"/>
                <w:lang w:val="hu-HU"/>
              </w:rPr>
              <w:t>nap</w:t>
            </w:r>
            <w:r>
              <w:rPr>
                <w:b/>
                <w:bCs/>
                <w:lang w:val="hu-HU"/>
              </w:rPr>
              <w:t>i</w:t>
            </w:r>
            <w:r>
              <w:rPr>
                <w:b/>
                <w:bCs/>
                <w:spacing w:val="-3"/>
                <w:lang w:val="hu-HU"/>
              </w:rPr>
              <w:t xml:space="preserve"> </w:t>
            </w:r>
            <w:r>
              <w:rPr>
                <w:b/>
                <w:bCs/>
                <w:lang w:val="hu-HU"/>
              </w:rPr>
              <w:t>dózis</w:t>
            </w:r>
            <w:r>
              <w:rPr>
                <w:b/>
                <w:bCs/>
                <w:spacing w:val="-3"/>
                <w:lang w:val="hu-HU"/>
              </w:rPr>
              <w:t xml:space="preserve"> </w:t>
            </w:r>
            <w:r>
              <w:rPr>
                <w:b/>
                <w:bCs/>
                <w:lang w:val="hu-HU"/>
              </w:rPr>
              <w:t>mg</w:t>
            </w:r>
            <w:r>
              <w:rPr>
                <w:b/>
                <w:bCs/>
                <w:lang w:val="hu-HU"/>
              </w:rPr>
              <w:noBreakHyphen/>
              <w:t>ban</w:t>
            </w:r>
          </w:p>
        </w:tc>
      </w:tr>
      <w:tr w:rsidR="007D7140">
        <w:trPr>
          <w:trHeight w:val="253"/>
        </w:trPr>
        <w:tc>
          <w:tcPr>
            <w:tcW w:w="2127" w:type="dxa"/>
          </w:tcPr>
          <w:p w:rsidR="007D7140" w:rsidRDefault="00A207BA">
            <w:pPr>
              <w:ind w:left="142"/>
              <w:rPr>
                <w:b/>
                <w:bCs/>
                <w:lang w:val="hu-HU"/>
              </w:rPr>
            </w:pPr>
            <w:r>
              <w:rPr>
                <w:b/>
                <w:bCs/>
                <w:lang w:val="hu-HU"/>
              </w:rPr>
              <w:t>Testtömeg</w:t>
            </w:r>
            <w:r>
              <w:rPr>
                <w:b/>
                <w:bCs/>
                <w:spacing w:val="-4"/>
                <w:lang w:val="hu-HU"/>
              </w:rPr>
              <w:t xml:space="preserve"> </w:t>
            </w:r>
            <w:r>
              <w:rPr>
                <w:b/>
                <w:bCs/>
                <w:lang w:val="hu-HU"/>
              </w:rPr>
              <w:t>kg</w:t>
            </w:r>
            <w:r>
              <w:rPr>
                <w:b/>
                <w:bCs/>
                <w:lang w:val="hu-HU"/>
              </w:rPr>
              <w:noBreakHyphen/>
              <w:t>ban</w:t>
            </w:r>
          </w:p>
        </w:tc>
        <w:tc>
          <w:tcPr>
            <w:tcW w:w="1842" w:type="dxa"/>
          </w:tcPr>
          <w:p w:rsidR="007D7140" w:rsidRDefault="00A207BA">
            <w:pPr>
              <w:ind w:left="142"/>
              <w:rPr>
                <w:b/>
                <w:bCs/>
                <w:lang w:val="hu-HU"/>
              </w:rPr>
            </w:pPr>
            <w:r>
              <w:rPr>
                <w:b/>
                <w:bCs/>
                <w:lang w:val="hu-HU"/>
              </w:rPr>
              <w:t>Életkor</w:t>
            </w:r>
            <w:r>
              <w:rPr>
                <w:b/>
                <w:bCs/>
                <w:spacing w:val="-4"/>
                <w:lang w:val="hu-HU"/>
              </w:rPr>
              <w:t xml:space="preserve"> </w:t>
            </w:r>
            <w:r>
              <w:rPr>
                <w:b/>
                <w:bCs/>
                <w:lang w:val="hu-HU"/>
              </w:rPr>
              <w:t>években</w:t>
            </w:r>
          </w:p>
        </w:tc>
        <w:tc>
          <w:tcPr>
            <w:tcW w:w="2552" w:type="dxa"/>
            <w:vMerge/>
          </w:tcPr>
          <w:p w:rsidR="007D7140" w:rsidRDefault="007D7140">
            <w:pPr>
              <w:keepNext/>
              <w:widowControl/>
              <w:ind w:left="159"/>
              <w:rPr>
                <w:b/>
                <w:bCs/>
                <w:lang w:val="hu-HU"/>
              </w:rPr>
            </w:pPr>
          </w:p>
        </w:tc>
        <w:tc>
          <w:tcPr>
            <w:tcW w:w="2551" w:type="dxa"/>
            <w:vMerge/>
          </w:tcPr>
          <w:p w:rsidR="007D7140" w:rsidRDefault="007D7140">
            <w:pPr>
              <w:keepNext/>
              <w:widowControl/>
              <w:ind w:left="160"/>
              <w:rPr>
                <w:b/>
                <w:bCs/>
                <w:lang w:val="hu-HU"/>
              </w:rPr>
            </w:pPr>
          </w:p>
        </w:tc>
      </w:tr>
      <w:tr w:rsidR="007D7140">
        <w:trPr>
          <w:trHeight w:val="251"/>
        </w:trPr>
        <w:tc>
          <w:tcPr>
            <w:tcW w:w="2127" w:type="dxa"/>
          </w:tcPr>
          <w:p w:rsidR="007D7140" w:rsidRDefault="00A207BA">
            <w:pPr>
              <w:ind w:left="142"/>
              <w:rPr>
                <w:lang w:val="hu-HU"/>
              </w:rPr>
            </w:pPr>
            <w:r>
              <w:t>11 – &lt; 13</w:t>
            </w:r>
          </w:p>
        </w:tc>
        <w:tc>
          <w:tcPr>
            <w:tcW w:w="1842" w:type="dxa"/>
          </w:tcPr>
          <w:p w:rsidR="007D7140" w:rsidRDefault="00A207BA">
            <w:pPr>
              <w:ind w:left="142"/>
              <w:rPr>
                <w:lang w:val="hu-HU"/>
              </w:rPr>
            </w:pPr>
            <w:r>
              <w:t>8 – &lt; 9</w:t>
            </w:r>
          </w:p>
        </w:tc>
        <w:tc>
          <w:tcPr>
            <w:tcW w:w="2552" w:type="dxa"/>
          </w:tcPr>
          <w:p w:rsidR="007D7140" w:rsidRDefault="00A207BA">
            <w:pPr>
              <w:jc w:val="center"/>
              <w:rPr>
                <w:lang w:val="hu-HU"/>
              </w:rPr>
            </w:pPr>
            <w:r>
              <w:t>75</w:t>
            </w:r>
            <w:bookmarkStart w:id="6" w:name="_Hlk218503532"/>
            <w:r>
              <w:rPr>
                <w:lang w:val="hu-HU"/>
              </w:rPr>
              <w:t>*</w:t>
            </w:r>
            <w:bookmarkEnd w:id="6"/>
          </w:p>
        </w:tc>
        <w:tc>
          <w:tcPr>
            <w:tcW w:w="2551" w:type="dxa"/>
          </w:tcPr>
          <w:p w:rsidR="007D7140" w:rsidRDefault="00A207BA">
            <w:pPr>
              <w:jc w:val="center"/>
              <w:rPr>
                <w:lang w:val="hu-HU"/>
              </w:rPr>
            </w:pPr>
            <w:r>
              <w:t>150</w:t>
            </w:r>
          </w:p>
        </w:tc>
      </w:tr>
      <w:tr w:rsidR="007D7140">
        <w:trPr>
          <w:trHeight w:val="254"/>
        </w:trPr>
        <w:tc>
          <w:tcPr>
            <w:tcW w:w="2127" w:type="dxa"/>
          </w:tcPr>
          <w:p w:rsidR="007D7140" w:rsidRDefault="00A207BA">
            <w:pPr>
              <w:ind w:left="142"/>
              <w:rPr>
                <w:lang w:val="hu-HU"/>
              </w:rPr>
            </w:pPr>
            <w:r>
              <w:t>13 – &lt; 16</w:t>
            </w:r>
          </w:p>
        </w:tc>
        <w:tc>
          <w:tcPr>
            <w:tcW w:w="1842" w:type="dxa"/>
          </w:tcPr>
          <w:p w:rsidR="007D7140" w:rsidRDefault="00A207BA">
            <w:pPr>
              <w:ind w:left="142"/>
              <w:rPr>
                <w:lang w:val="hu-HU"/>
              </w:rPr>
            </w:pPr>
            <w:r>
              <w:t>8 – &lt; 11</w:t>
            </w:r>
          </w:p>
        </w:tc>
        <w:tc>
          <w:tcPr>
            <w:tcW w:w="2552" w:type="dxa"/>
          </w:tcPr>
          <w:p w:rsidR="007D7140" w:rsidRDefault="00A207BA">
            <w:pPr>
              <w:jc w:val="center"/>
              <w:rPr>
                <w:lang w:val="hu-HU"/>
              </w:rPr>
            </w:pPr>
            <w:r>
              <w:t>110</w:t>
            </w:r>
          </w:p>
        </w:tc>
        <w:tc>
          <w:tcPr>
            <w:tcW w:w="2551" w:type="dxa"/>
          </w:tcPr>
          <w:p w:rsidR="007D7140" w:rsidRDefault="00A207BA">
            <w:pPr>
              <w:jc w:val="center"/>
              <w:rPr>
                <w:lang w:val="hu-HU"/>
              </w:rPr>
            </w:pPr>
            <w:r>
              <w:t>220</w:t>
            </w:r>
          </w:p>
        </w:tc>
      </w:tr>
      <w:tr w:rsidR="007D7140">
        <w:trPr>
          <w:trHeight w:val="253"/>
        </w:trPr>
        <w:tc>
          <w:tcPr>
            <w:tcW w:w="2127" w:type="dxa"/>
          </w:tcPr>
          <w:p w:rsidR="007D7140" w:rsidRDefault="00A207BA">
            <w:pPr>
              <w:ind w:left="142"/>
              <w:rPr>
                <w:lang w:val="hu-HU"/>
              </w:rPr>
            </w:pPr>
            <w:r>
              <w:t>16 – &lt; 21</w:t>
            </w:r>
          </w:p>
        </w:tc>
        <w:tc>
          <w:tcPr>
            <w:tcW w:w="1842" w:type="dxa"/>
          </w:tcPr>
          <w:p w:rsidR="007D7140" w:rsidRDefault="00A207BA">
            <w:pPr>
              <w:ind w:left="142"/>
              <w:rPr>
                <w:lang w:val="hu-HU"/>
              </w:rPr>
            </w:pPr>
            <w:r>
              <w:t>8 – &lt; 14</w:t>
            </w:r>
          </w:p>
        </w:tc>
        <w:tc>
          <w:tcPr>
            <w:tcW w:w="2552" w:type="dxa"/>
          </w:tcPr>
          <w:p w:rsidR="007D7140" w:rsidRDefault="00A207BA">
            <w:pPr>
              <w:jc w:val="center"/>
              <w:rPr>
                <w:lang w:val="hu-HU"/>
              </w:rPr>
            </w:pPr>
            <w:r>
              <w:t>110</w:t>
            </w:r>
          </w:p>
        </w:tc>
        <w:tc>
          <w:tcPr>
            <w:tcW w:w="2551" w:type="dxa"/>
          </w:tcPr>
          <w:p w:rsidR="007D7140" w:rsidRDefault="00A207BA">
            <w:pPr>
              <w:jc w:val="center"/>
              <w:rPr>
                <w:lang w:val="hu-HU"/>
              </w:rPr>
            </w:pPr>
            <w:r>
              <w:t>220</w:t>
            </w:r>
          </w:p>
        </w:tc>
      </w:tr>
      <w:tr w:rsidR="007D7140">
        <w:trPr>
          <w:trHeight w:val="251"/>
        </w:trPr>
        <w:tc>
          <w:tcPr>
            <w:tcW w:w="2127" w:type="dxa"/>
          </w:tcPr>
          <w:p w:rsidR="007D7140" w:rsidRDefault="00A207BA">
            <w:pPr>
              <w:ind w:left="142"/>
              <w:rPr>
                <w:lang w:val="hu-HU"/>
              </w:rPr>
            </w:pPr>
            <w:r>
              <w:t>21 – &lt; 26</w:t>
            </w:r>
          </w:p>
        </w:tc>
        <w:tc>
          <w:tcPr>
            <w:tcW w:w="1842" w:type="dxa"/>
          </w:tcPr>
          <w:p w:rsidR="007D7140" w:rsidRDefault="00A207BA">
            <w:pPr>
              <w:ind w:left="142"/>
              <w:rPr>
                <w:lang w:val="hu-HU"/>
              </w:rPr>
            </w:pPr>
            <w:r>
              <w:t>8 – &lt; 16</w:t>
            </w:r>
          </w:p>
        </w:tc>
        <w:tc>
          <w:tcPr>
            <w:tcW w:w="2552" w:type="dxa"/>
          </w:tcPr>
          <w:p w:rsidR="007D7140" w:rsidRDefault="00A207BA">
            <w:pPr>
              <w:jc w:val="center"/>
              <w:rPr>
                <w:lang w:val="hu-HU"/>
              </w:rPr>
            </w:pPr>
            <w:r>
              <w:t>150</w:t>
            </w:r>
          </w:p>
        </w:tc>
        <w:tc>
          <w:tcPr>
            <w:tcW w:w="2551" w:type="dxa"/>
          </w:tcPr>
          <w:p w:rsidR="007D7140" w:rsidRDefault="00A207BA">
            <w:pPr>
              <w:jc w:val="center"/>
              <w:rPr>
                <w:lang w:val="hu-HU"/>
              </w:rPr>
            </w:pPr>
            <w:r>
              <w:t>300</w:t>
            </w:r>
          </w:p>
        </w:tc>
      </w:tr>
      <w:tr w:rsidR="007D7140">
        <w:trPr>
          <w:trHeight w:val="253"/>
        </w:trPr>
        <w:tc>
          <w:tcPr>
            <w:tcW w:w="2127" w:type="dxa"/>
          </w:tcPr>
          <w:p w:rsidR="007D7140" w:rsidRDefault="00A207BA">
            <w:pPr>
              <w:ind w:left="142"/>
              <w:rPr>
                <w:lang w:val="hu-HU"/>
              </w:rPr>
            </w:pPr>
            <w:r>
              <w:t>26 – &lt; 31</w:t>
            </w:r>
          </w:p>
        </w:tc>
        <w:tc>
          <w:tcPr>
            <w:tcW w:w="1842" w:type="dxa"/>
          </w:tcPr>
          <w:p w:rsidR="007D7140" w:rsidRDefault="00A207BA">
            <w:pPr>
              <w:ind w:left="142"/>
              <w:rPr>
                <w:lang w:val="hu-HU"/>
              </w:rPr>
            </w:pPr>
            <w:r>
              <w:t>8 – &lt; 18</w:t>
            </w:r>
          </w:p>
        </w:tc>
        <w:tc>
          <w:tcPr>
            <w:tcW w:w="2552" w:type="dxa"/>
          </w:tcPr>
          <w:p w:rsidR="007D7140" w:rsidRDefault="00A207BA">
            <w:pPr>
              <w:jc w:val="center"/>
              <w:rPr>
                <w:lang w:val="hu-HU"/>
              </w:rPr>
            </w:pPr>
            <w:r>
              <w:t>150</w:t>
            </w:r>
          </w:p>
        </w:tc>
        <w:tc>
          <w:tcPr>
            <w:tcW w:w="2551" w:type="dxa"/>
          </w:tcPr>
          <w:p w:rsidR="007D7140" w:rsidRDefault="00A207BA">
            <w:pPr>
              <w:jc w:val="center"/>
              <w:rPr>
                <w:lang w:val="hu-HU"/>
              </w:rPr>
            </w:pPr>
            <w:r>
              <w:t>300</w:t>
            </w:r>
          </w:p>
        </w:tc>
      </w:tr>
      <w:tr w:rsidR="007D7140">
        <w:trPr>
          <w:trHeight w:val="251"/>
        </w:trPr>
        <w:tc>
          <w:tcPr>
            <w:tcW w:w="2127" w:type="dxa"/>
          </w:tcPr>
          <w:p w:rsidR="007D7140" w:rsidRDefault="00A207BA">
            <w:pPr>
              <w:ind w:left="142"/>
              <w:rPr>
                <w:lang w:val="hu-HU"/>
              </w:rPr>
            </w:pPr>
            <w:r>
              <w:t>31 – &lt; 41</w:t>
            </w:r>
          </w:p>
        </w:tc>
        <w:tc>
          <w:tcPr>
            <w:tcW w:w="1842" w:type="dxa"/>
          </w:tcPr>
          <w:p w:rsidR="007D7140" w:rsidRDefault="00A207BA">
            <w:pPr>
              <w:ind w:left="142"/>
              <w:rPr>
                <w:lang w:val="hu-HU"/>
              </w:rPr>
            </w:pPr>
            <w:r>
              <w:t>8 – &lt; 18</w:t>
            </w:r>
          </w:p>
        </w:tc>
        <w:tc>
          <w:tcPr>
            <w:tcW w:w="2552" w:type="dxa"/>
          </w:tcPr>
          <w:p w:rsidR="007D7140" w:rsidRDefault="00A207BA">
            <w:pPr>
              <w:jc w:val="center"/>
              <w:rPr>
                <w:lang w:val="hu-HU"/>
              </w:rPr>
            </w:pPr>
            <w:r>
              <w:t>185</w:t>
            </w:r>
          </w:p>
        </w:tc>
        <w:tc>
          <w:tcPr>
            <w:tcW w:w="2551" w:type="dxa"/>
          </w:tcPr>
          <w:p w:rsidR="007D7140" w:rsidRDefault="00A207BA">
            <w:pPr>
              <w:jc w:val="center"/>
              <w:rPr>
                <w:lang w:val="hu-HU"/>
              </w:rPr>
            </w:pPr>
            <w:r>
              <w:t>370</w:t>
            </w:r>
          </w:p>
        </w:tc>
      </w:tr>
      <w:tr w:rsidR="007D7140">
        <w:trPr>
          <w:trHeight w:val="253"/>
        </w:trPr>
        <w:tc>
          <w:tcPr>
            <w:tcW w:w="2127" w:type="dxa"/>
          </w:tcPr>
          <w:p w:rsidR="007D7140" w:rsidRDefault="00A207BA">
            <w:pPr>
              <w:ind w:left="142"/>
              <w:rPr>
                <w:lang w:val="hu-HU"/>
              </w:rPr>
            </w:pPr>
            <w:r>
              <w:t>41 – &lt; 51</w:t>
            </w:r>
          </w:p>
        </w:tc>
        <w:tc>
          <w:tcPr>
            <w:tcW w:w="1842" w:type="dxa"/>
          </w:tcPr>
          <w:p w:rsidR="007D7140" w:rsidRDefault="00A207BA">
            <w:pPr>
              <w:ind w:left="142"/>
              <w:rPr>
                <w:lang w:val="hu-HU"/>
              </w:rPr>
            </w:pPr>
            <w:r>
              <w:t>8 – &lt; 18</w:t>
            </w:r>
          </w:p>
        </w:tc>
        <w:tc>
          <w:tcPr>
            <w:tcW w:w="2552" w:type="dxa"/>
          </w:tcPr>
          <w:p w:rsidR="007D7140" w:rsidRDefault="00A207BA">
            <w:pPr>
              <w:jc w:val="center"/>
              <w:rPr>
                <w:lang w:val="hu-HU"/>
              </w:rPr>
            </w:pPr>
            <w:r>
              <w:t>220</w:t>
            </w:r>
          </w:p>
        </w:tc>
        <w:tc>
          <w:tcPr>
            <w:tcW w:w="2551" w:type="dxa"/>
          </w:tcPr>
          <w:p w:rsidR="007D7140" w:rsidRDefault="00A207BA">
            <w:pPr>
              <w:jc w:val="center"/>
              <w:rPr>
                <w:lang w:val="hu-HU"/>
              </w:rPr>
            </w:pPr>
            <w:r>
              <w:t>440</w:t>
            </w:r>
          </w:p>
        </w:tc>
      </w:tr>
      <w:tr w:rsidR="007D7140">
        <w:trPr>
          <w:trHeight w:val="251"/>
        </w:trPr>
        <w:tc>
          <w:tcPr>
            <w:tcW w:w="2127" w:type="dxa"/>
          </w:tcPr>
          <w:p w:rsidR="007D7140" w:rsidRDefault="00A207BA">
            <w:pPr>
              <w:ind w:left="142"/>
              <w:rPr>
                <w:lang w:val="hu-HU"/>
              </w:rPr>
            </w:pPr>
            <w:r>
              <w:t>51 – &lt; 61</w:t>
            </w:r>
          </w:p>
        </w:tc>
        <w:tc>
          <w:tcPr>
            <w:tcW w:w="1842" w:type="dxa"/>
          </w:tcPr>
          <w:p w:rsidR="007D7140" w:rsidRDefault="00A207BA">
            <w:pPr>
              <w:ind w:left="142"/>
              <w:rPr>
                <w:lang w:val="hu-HU"/>
              </w:rPr>
            </w:pPr>
            <w:r>
              <w:t>8 – &lt; 18</w:t>
            </w:r>
          </w:p>
        </w:tc>
        <w:tc>
          <w:tcPr>
            <w:tcW w:w="2552" w:type="dxa"/>
          </w:tcPr>
          <w:p w:rsidR="007D7140" w:rsidRDefault="00A207BA">
            <w:pPr>
              <w:jc w:val="center"/>
              <w:rPr>
                <w:lang w:val="hu-HU"/>
              </w:rPr>
            </w:pPr>
            <w:r>
              <w:t>260</w:t>
            </w:r>
          </w:p>
        </w:tc>
        <w:tc>
          <w:tcPr>
            <w:tcW w:w="2551" w:type="dxa"/>
          </w:tcPr>
          <w:p w:rsidR="007D7140" w:rsidRDefault="00A207BA">
            <w:pPr>
              <w:jc w:val="center"/>
              <w:rPr>
                <w:lang w:val="hu-HU"/>
              </w:rPr>
            </w:pPr>
            <w:r>
              <w:t>520</w:t>
            </w:r>
          </w:p>
        </w:tc>
      </w:tr>
      <w:tr w:rsidR="007D7140">
        <w:trPr>
          <w:trHeight w:val="253"/>
        </w:trPr>
        <w:tc>
          <w:tcPr>
            <w:tcW w:w="2127" w:type="dxa"/>
          </w:tcPr>
          <w:p w:rsidR="007D7140" w:rsidRDefault="00A207BA">
            <w:pPr>
              <w:ind w:left="142"/>
              <w:rPr>
                <w:lang w:val="hu-HU"/>
              </w:rPr>
            </w:pPr>
            <w:r>
              <w:t>61 – &lt; 71</w:t>
            </w:r>
          </w:p>
        </w:tc>
        <w:tc>
          <w:tcPr>
            <w:tcW w:w="1842" w:type="dxa"/>
          </w:tcPr>
          <w:p w:rsidR="007D7140" w:rsidRDefault="00A207BA">
            <w:pPr>
              <w:ind w:left="142"/>
              <w:rPr>
                <w:lang w:val="hu-HU"/>
              </w:rPr>
            </w:pPr>
            <w:r>
              <w:t>8 – &lt; 18</w:t>
            </w:r>
          </w:p>
        </w:tc>
        <w:tc>
          <w:tcPr>
            <w:tcW w:w="2552" w:type="dxa"/>
          </w:tcPr>
          <w:p w:rsidR="007D7140" w:rsidRDefault="00A207BA">
            <w:pPr>
              <w:jc w:val="center"/>
              <w:rPr>
                <w:lang w:val="hu-HU"/>
              </w:rPr>
            </w:pPr>
            <w:r>
              <w:t>300</w:t>
            </w:r>
          </w:p>
        </w:tc>
        <w:tc>
          <w:tcPr>
            <w:tcW w:w="2551" w:type="dxa"/>
          </w:tcPr>
          <w:p w:rsidR="007D7140" w:rsidRDefault="00A207BA">
            <w:pPr>
              <w:jc w:val="center"/>
              <w:rPr>
                <w:lang w:val="hu-HU"/>
              </w:rPr>
            </w:pPr>
            <w:r>
              <w:t>600</w:t>
            </w:r>
          </w:p>
        </w:tc>
      </w:tr>
      <w:tr w:rsidR="007D7140">
        <w:trPr>
          <w:trHeight w:val="254"/>
        </w:trPr>
        <w:tc>
          <w:tcPr>
            <w:tcW w:w="2127" w:type="dxa"/>
          </w:tcPr>
          <w:p w:rsidR="007D7140" w:rsidRDefault="00A207BA">
            <w:pPr>
              <w:ind w:left="142"/>
              <w:rPr>
                <w:lang w:val="hu-HU"/>
              </w:rPr>
            </w:pPr>
            <w:r>
              <w:t>71 – &lt; 81</w:t>
            </w:r>
          </w:p>
        </w:tc>
        <w:tc>
          <w:tcPr>
            <w:tcW w:w="1842" w:type="dxa"/>
          </w:tcPr>
          <w:p w:rsidR="007D7140" w:rsidRDefault="00A207BA">
            <w:pPr>
              <w:ind w:left="142"/>
              <w:rPr>
                <w:lang w:val="hu-HU"/>
              </w:rPr>
            </w:pPr>
            <w:r>
              <w:t>8 – &lt; 18</w:t>
            </w:r>
          </w:p>
        </w:tc>
        <w:tc>
          <w:tcPr>
            <w:tcW w:w="2552" w:type="dxa"/>
          </w:tcPr>
          <w:p w:rsidR="007D7140" w:rsidRDefault="00A207BA">
            <w:pPr>
              <w:jc w:val="center"/>
              <w:rPr>
                <w:lang w:val="hu-HU"/>
              </w:rPr>
            </w:pPr>
            <w:r>
              <w:t>300</w:t>
            </w:r>
          </w:p>
        </w:tc>
        <w:tc>
          <w:tcPr>
            <w:tcW w:w="2551" w:type="dxa"/>
          </w:tcPr>
          <w:p w:rsidR="007D7140" w:rsidRDefault="00A207BA">
            <w:pPr>
              <w:jc w:val="center"/>
              <w:rPr>
                <w:lang w:val="hu-HU"/>
              </w:rPr>
            </w:pPr>
            <w:r>
              <w:t>600</w:t>
            </w:r>
          </w:p>
        </w:tc>
      </w:tr>
      <w:tr w:rsidR="007D7140">
        <w:trPr>
          <w:trHeight w:val="251"/>
        </w:trPr>
        <w:tc>
          <w:tcPr>
            <w:tcW w:w="2127" w:type="dxa"/>
          </w:tcPr>
          <w:p w:rsidR="007D7140" w:rsidRDefault="00A207BA">
            <w:pPr>
              <w:ind w:left="142"/>
              <w:rPr>
                <w:lang w:val="hu-HU"/>
              </w:rPr>
            </w:pPr>
            <w:r>
              <w:t>&gt; 81</w:t>
            </w:r>
          </w:p>
        </w:tc>
        <w:tc>
          <w:tcPr>
            <w:tcW w:w="1842" w:type="dxa"/>
          </w:tcPr>
          <w:p w:rsidR="007D7140" w:rsidRDefault="00A207BA">
            <w:pPr>
              <w:ind w:left="142"/>
              <w:rPr>
                <w:lang w:val="hu-HU"/>
              </w:rPr>
            </w:pPr>
            <w:r>
              <w:t>10 – &lt; 18</w:t>
            </w:r>
          </w:p>
        </w:tc>
        <w:tc>
          <w:tcPr>
            <w:tcW w:w="2552" w:type="dxa"/>
          </w:tcPr>
          <w:p w:rsidR="007D7140" w:rsidRDefault="00A207BA">
            <w:pPr>
              <w:jc w:val="center"/>
              <w:rPr>
                <w:lang w:val="hu-HU"/>
              </w:rPr>
            </w:pPr>
            <w:r>
              <w:t>300</w:t>
            </w:r>
          </w:p>
        </w:tc>
        <w:tc>
          <w:tcPr>
            <w:tcW w:w="2551" w:type="dxa"/>
          </w:tcPr>
          <w:p w:rsidR="007D7140" w:rsidRDefault="00A207BA">
            <w:pPr>
              <w:jc w:val="center"/>
              <w:rPr>
                <w:lang w:val="hu-HU"/>
              </w:rPr>
            </w:pPr>
            <w:r>
              <w:t>600</w:t>
            </w:r>
          </w:p>
        </w:tc>
      </w:tr>
    </w:tbl>
    <w:p w:rsidR="007D7140" w:rsidRDefault="007D7140">
      <w:pPr>
        <w:rPr>
          <w:lang w:val="hu-HU"/>
        </w:rPr>
      </w:pPr>
    </w:p>
    <w:p w:rsidR="007D7140" w:rsidRDefault="00A207BA">
      <w:pPr>
        <w:rPr>
          <w:lang w:val="hu-HU"/>
        </w:rPr>
      </w:pPr>
      <w:r>
        <w:rPr>
          <w:lang w:val="hu-HU"/>
        </w:rPr>
        <w:t xml:space="preserve">Több kapszula kombinálását igénylő egyszeri adagok: </w:t>
      </w:r>
    </w:p>
    <w:p w:rsidR="007D7140" w:rsidRDefault="00A207BA">
      <w:pPr>
        <w:tabs>
          <w:tab w:val="left" w:pos="1418"/>
        </w:tabs>
        <w:rPr>
          <w:lang w:val="hu-HU"/>
        </w:rPr>
      </w:pPr>
      <w:r>
        <w:rPr>
          <w:lang w:val="hu-HU"/>
        </w:rPr>
        <w:t>300</w:t>
      </w:r>
      <w:r>
        <w:rPr>
          <w:spacing w:val="-1"/>
          <w:lang w:val="hu-HU"/>
        </w:rPr>
        <w:t> mg</w:t>
      </w:r>
      <w:r>
        <w:rPr>
          <w:lang w:val="hu-HU"/>
        </w:rPr>
        <w:t>:</w:t>
      </w:r>
      <w:r>
        <w:rPr>
          <w:lang w:val="hu-HU"/>
        </w:rPr>
        <w:tab/>
        <w:t>két</w:t>
      </w:r>
      <w:r>
        <w:rPr>
          <w:spacing w:val="-2"/>
          <w:lang w:val="hu-HU"/>
        </w:rPr>
        <w:t xml:space="preserve"> </w:t>
      </w:r>
      <w:r>
        <w:rPr>
          <w:lang w:val="hu-HU"/>
        </w:rPr>
        <w:t>150 mg</w:t>
      </w:r>
      <w:r>
        <w:rPr>
          <w:lang w:val="hu-HU"/>
        </w:rPr>
        <w:noBreakHyphen/>
        <w:t>os</w:t>
      </w:r>
      <w:r>
        <w:rPr>
          <w:spacing w:val="-1"/>
          <w:lang w:val="hu-HU"/>
        </w:rPr>
        <w:t xml:space="preserve"> </w:t>
      </w:r>
      <w:r>
        <w:rPr>
          <w:lang w:val="hu-HU"/>
        </w:rPr>
        <w:t xml:space="preserve">kapszula vagy </w:t>
      </w:r>
    </w:p>
    <w:p w:rsidR="007D7140" w:rsidRDefault="00A207BA" w:rsidP="00527548">
      <w:pPr>
        <w:tabs>
          <w:tab w:val="left" w:pos="1418"/>
        </w:tabs>
        <w:ind w:left="1440" w:hanging="22"/>
        <w:rPr>
          <w:lang w:val="hu-HU"/>
        </w:rPr>
      </w:pPr>
      <w:r>
        <w:rPr>
          <w:lang w:val="hu-HU"/>
        </w:rPr>
        <w:t>négy</w:t>
      </w:r>
      <w:r>
        <w:rPr>
          <w:spacing w:val="-6"/>
          <w:lang w:val="hu-HU"/>
        </w:rPr>
        <w:t xml:space="preserve"> </w:t>
      </w:r>
      <w:r>
        <w:rPr>
          <w:lang w:val="hu-HU"/>
        </w:rPr>
        <w:t>75</w:t>
      </w:r>
      <w:r>
        <w:rPr>
          <w:spacing w:val="-2"/>
          <w:lang w:val="hu-HU"/>
        </w:rPr>
        <w:t> mg</w:t>
      </w:r>
      <w:r>
        <w:rPr>
          <w:spacing w:val="-2"/>
          <w:lang w:val="hu-HU"/>
        </w:rPr>
        <w:noBreakHyphen/>
      </w:r>
      <w:r>
        <w:rPr>
          <w:lang w:val="hu-HU"/>
        </w:rPr>
        <w:t>os*</w:t>
      </w:r>
      <w:r>
        <w:rPr>
          <w:spacing w:val="-3"/>
          <w:lang w:val="hu-HU"/>
        </w:rPr>
        <w:t xml:space="preserve"> </w:t>
      </w:r>
      <w:r>
        <w:rPr>
          <w:lang w:val="hu-HU"/>
        </w:rPr>
        <w:t xml:space="preserve">kapszula </w:t>
      </w:r>
      <w:bookmarkStart w:id="7" w:name="_Hlk218503551"/>
    </w:p>
    <w:bookmarkEnd w:id="7"/>
    <w:p w:rsidR="007D7140" w:rsidRDefault="00A207BA">
      <w:pPr>
        <w:tabs>
          <w:tab w:val="left" w:pos="1418"/>
        </w:tabs>
        <w:rPr>
          <w:lang w:val="hu-HU"/>
        </w:rPr>
      </w:pPr>
      <w:r>
        <w:rPr>
          <w:lang w:val="hu-HU"/>
        </w:rPr>
        <w:t>260</w:t>
      </w:r>
      <w:r>
        <w:rPr>
          <w:spacing w:val="-1"/>
          <w:lang w:val="hu-HU"/>
        </w:rPr>
        <w:t> mg</w:t>
      </w:r>
      <w:r>
        <w:rPr>
          <w:lang w:val="hu-HU"/>
        </w:rPr>
        <w:t>:</w:t>
      </w:r>
      <w:r>
        <w:rPr>
          <w:lang w:val="hu-HU"/>
        </w:rPr>
        <w:tab/>
        <w:t>egy 110 mg</w:t>
      </w:r>
      <w:r>
        <w:rPr>
          <w:lang w:val="hu-HU"/>
        </w:rPr>
        <w:noBreakHyphen/>
        <w:t>os és egy 150 mg</w:t>
      </w:r>
      <w:r>
        <w:rPr>
          <w:lang w:val="hu-HU"/>
        </w:rPr>
        <w:noBreakHyphen/>
        <w:t>os kapszula vagy</w:t>
      </w:r>
    </w:p>
    <w:p w:rsidR="007D7140" w:rsidRDefault="00A207BA">
      <w:pPr>
        <w:tabs>
          <w:tab w:val="left" w:pos="1418"/>
        </w:tabs>
        <w:ind w:left="1418"/>
        <w:rPr>
          <w:lang w:val="hu-HU"/>
        </w:rPr>
      </w:pPr>
      <w:r>
        <w:rPr>
          <w:lang w:val="hu-HU"/>
        </w:rPr>
        <w:t xml:space="preserve"> egy</w:t>
      </w:r>
      <w:r>
        <w:rPr>
          <w:spacing w:val="-3"/>
          <w:lang w:val="hu-HU"/>
        </w:rPr>
        <w:t xml:space="preserve"> </w:t>
      </w:r>
      <w:r>
        <w:rPr>
          <w:lang w:val="hu-HU"/>
        </w:rPr>
        <w:t>110</w:t>
      </w:r>
      <w:r>
        <w:rPr>
          <w:spacing w:val="1"/>
          <w:lang w:val="hu-HU"/>
        </w:rPr>
        <w:t> mg</w:t>
      </w:r>
      <w:r>
        <w:rPr>
          <w:lang w:val="hu-HU"/>
        </w:rPr>
        <w:noBreakHyphen/>
        <w:t>os</w:t>
      </w:r>
      <w:r>
        <w:rPr>
          <w:spacing w:val="-1"/>
          <w:lang w:val="hu-HU"/>
        </w:rPr>
        <w:t xml:space="preserve"> </w:t>
      </w:r>
      <w:r>
        <w:rPr>
          <w:lang w:val="hu-HU"/>
        </w:rPr>
        <w:t>és</w:t>
      </w:r>
      <w:r>
        <w:rPr>
          <w:spacing w:val="-1"/>
          <w:lang w:val="hu-HU"/>
        </w:rPr>
        <w:t xml:space="preserve"> </w:t>
      </w:r>
      <w:r>
        <w:rPr>
          <w:lang w:val="hu-HU"/>
        </w:rPr>
        <w:t>két</w:t>
      </w:r>
      <w:r>
        <w:rPr>
          <w:spacing w:val="-1"/>
          <w:lang w:val="hu-HU"/>
        </w:rPr>
        <w:t xml:space="preserve"> </w:t>
      </w:r>
      <w:r>
        <w:rPr>
          <w:lang w:val="hu-HU"/>
        </w:rPr>
        <w:t>75</w:t>
      </w:r>
      <w:r>
        <w:rPr>
          <w:spacing w:val="-1"/>
          <w:lang w:val="hu-HU"/>
        </w:rPr>
        <w:t> mg</w:t>
      </w:r>
      <w:r>
        <w:rPr>
          <w:spacing w:val="-1"/>
          <w:lang w:val="hu-HU"/>
        </w:rPr>
        <w:noBreakHyphen/>
      </w:r>
      <w:r>
        <w:rPr>
          <w:lang w:val="hu-HU"/>
        </w:rPr>
        <w:t>os*</w:t>
      </w:r>
      <w:r>
        <w:rPr>
          <w:spacing w:val="-1"/>
          <w:lang w:val="hu-HU"/>
        </w:rPr>
        <w:t xml:space="preserve"> </w:t>
      </w:r>
      <w:r>
        <w:rPr>
          <w:lang w:val="hu-HU"/>
        </w:rPr>
        <w:t>kapszula</w:t>
      </w:r>
    </w:p>
    <w:p w:rsidR="007D7140" w:rsidRDefault="00A207BA">
      <w:pPr>
        <w:tabs>
          <w:tab w:val="left" w:pos="1418"/>
        </w:tabs>
        <w:rPr>
          <w:lang w:val="hu-HU"/>
        </w:rPr>
      </w:pPr>
      <w:r>
        <w:rPr>
          <w:lang w:val="hu-HU"/>
        </w:rPr>
        <w:t>220</w:t>
      </w:r>
      <w:r>
        <w:rPr>
          <w:spacing w:val="-1"/>
          <w:lang w:val="hu-HU"/>
        </w:rPr>
        <w:t> mg</w:t>
      </w:r>
      <w:r>
        <w:rPr>
          <w:lang w:val="hu-HU"/>
        </w:rPr>
        <w:t>:</w:t>
      </w:r>
      <w:r>
        <w:rPr>
          <w:lang w:val="hu-HU"/>
        </w:rPr>
        <w:tab/>
        <w:t>két</w:t>
      </w:r>
      <w:r>
        <w:rPr>
          <w:spacing w:val="-5"/>
          <w:lang w:val="hu-HU"/>
        </w:rPr>
        <w:t xml:space="preserve"> </w:t>
      </w:r>
      <w:r>
        <w:rPr>
          <w:lang w:val="hu-HU"/>
        </w:rPr>
        <w:t>110</w:t>
      </w:r>
      <w:r>
        <w:rPr>
          <w:spacing w:val="-3"/>
          <w:lang w:val="hu-HU"/>
        </w:rPr>
        <w:t> mg</w:t>
      </w:r>
      <w:r>
        <w:rPr>
          <w:lang w:val="hu-HU"/>
        </w:rPr>
        <w:noBreakHyphen/>
        <w:t>os</w:t>
      </w:r>
      <w:r>
        <w:rPr>
          <w:spacing w:val="-4"/>
          <w:lang w:val="hu-HU"/>
        </w:rPr>
        <w:t xml:space="preserve"> </w:t>
      </w:r>
      <w:r>
        <w:rPr>
          <w:lang w:val="hu-HU"/>
        </w:rPr>
        <w:t>kapszula</w:t>
      </w:r>
    </w:p>
    <w:p w:rsidR="007D7140" w:rsidRDefault="00A207BA">
      <w:pPr>
        <w:tabs>
          <w:tab w:val="left" w:pos="1418"/>
        </w:tabs>
        <w:rPr>
          <w:lang w:val="hu-HU"/>
        </w:rPr>
      </w:pPr>
      <w:r>
        <w:rPr>
          <w:lang w:val="hu-HU"/>
        </w:rPr>
        <w:t>185</w:t>
      </w:r>
      <w:r>
        <w:rPr>
          <w:spacing w:val="-1"/>
          <w:lang w:val="hu-HU"/>
        </w:rPr>
        <w:t> mg</w:t>
      </w:r>
      <w:r>
        <w:rPr>
          <w:lang w:val="hu-HU"/>
        </w:rPr>
        <w:t>:</w:t>
      </w:r>
      <w:r>
        <w:rPr>
          <w:lang w:val="hu-HU"/>
        </w:rPr>
        <w:tab/>
        <w:t>egy 75 mg</w:t>
      </w:r>
      <w:r>
        <w:rPr>
          <w:lang w:val="hu-HU"/>
        </w:rPr>
        <w:noBreakHyphen/>
        <w:t>os* és egy 110 mg</w:t>
      </w:r>
      <w:r>
        <w:rPr>
          <w:lang w:val="hu-HU"/>
        </w:rPr>
        <w:noBreakHyphen/>
        <w:t>os kapszula150</w:t>
      </w:r>
      <w:r>
        <w:rPr>
          <w:spacing w:val="-1"/>
          <w:lang w:val="hu-HU"/>
        </w:rPr>
        <w:t> mg</w:t>
      </w:r>
      <w:r>
        <w:rPr>
          <w:lang w:val="hu-HU"/>
        </w:rPr>
        <w:t>:</w:t>
      </w:r>
      <w:r>
        <w:rPr>
          <w:lang w:val="hu-HU"/>
        </w:rPr>
        <w:tab/>
        <w:t>egy</w:t>
      </w:r>
      <w:r>
        <w:rPr>
          <w:spacing w:val="-3"/>
          <w:lang w:val="hu-HU"/>
        </w:rPr>
        <w:t xml:space="preserve"> </w:t>
      </w:r>
      <w:r>
        <w:rPr>
          <w:lang w:val="hu-HU"/>
        </w:rPr>
        <w:t>150</w:t>
      </w:r>
      <w:r>
        <w:rPr>
          <w:spacing w:val="2"/>
          <w:lang w:val="hu-HU"/>
        </w:rPr>
        <w:t> mg</w:t>
      </w:r>
      <w:r>
        <w:rPr>
          <w:spacing w:val="2"/>
          <w:lang w:val="hu-HU"/>
        </w:rPr>
        <w:noBreakHyphen/>
      </w:r>
      <w:r>
        <w:rPr>
          <w:lang w:val="hu-HU"/>
        </w:rPr>
        <w:t>os</w:t>
      </w:r>
      <w:r>
        <w:rPr>
          <w:spacing w:val="-1"/>
          <w:lang w:val="hu-HU"/>
        </w:rPr>
        <w:t xml:space="preserve"> </w:t>
      </w:r>
      <w:r>
        <w:rPr>
          <w:lang w:val="hu-HU"/>
        </w:rPr>
        <w:t>kapszula</w:t>
      </w:r>
      <w:r>
        <w:rPr>
          <w:spacing w:val="-1"/>
          <w:lang w:val="hu-HU"/>
        </w:rPr>
        <w:t xml:space="preserve"> </w:t>
      </w:r>
      <w:r>
        <w:rPr>
          <w:lang w:val="hu-HU"/>
        </w:rPr>
        <w:t xml:space="preserve">vagy </w:t>
      </w:r>
    </w:p>
    <w:p w:rsidR="007D7140" w:rsidRDefault="00A207BA">
      <w:pPr>
        <w:tabs>
          <w:tab w:val="left" w:pos="1418"/>
        </w:tabs>
        <w:ind w:left="1440"/>
        <w:rPr>
          <w:lang w:val="hu-HU"/>
        </w:rPr>
      </w:pPr>
      <w:r>
        <w:rPr>
          <w:lang w:val="hu-HU"/>
        </w:rPr>
        <w:t>két</w:t>
      </w:r>
      <w:r>
        <w:rPr>
          <w:spacing w:val="-5"/>
          <w:lang w:val="hu-HU"/>
        </w:rPr>
        <w:t xml:space="preserve"> </w:t>
      </w:r>
      <w:r>
        <w:rPr>
          <w:lang w:val="hu-HU"/>
        </w:rPr>
        <w:t>75</w:t>
      </w:r>
      <w:r>
        <w:rPr>
          <w:spacing w:val="-3"/>
          <w:lang w:val="hu-HU"/>
        </w:rPr>
        <w:t> mg</w:t>
      </w:r>
      <w:r>
        <w:rPr>
          <w:lang w:val="hu-HU"/>
        </w:rPr>
        <w:noBreakHyphen/>
        <w:t>os*</w:t>
      </w:r>
      <w:r>
        <w:rPr>
          <w:spacing w:val="-5"/>
          <w:lang w:val="hu-HU"/>
        </w:rPr>
        <w:t xml:space="preserve"> </w:t>
      </w:r>
      <w:r>
        <w:rPr>
          <w:lang w:val="hu-HU"/>
        </w:rPr>
        <w:t>kapszula</w:t>
      </w:r>
    </w:p>
    <w:p w:rsidR="007D7140" w:rsidRDefault="007D7140" w:rsidP="00527548">
      <w:pPr>
        <w:tabs>
          <w:tab w:val="left" w:pos="1418"/>
        </w:tabs>
        <w:ind w:left="1440"/>
        <w:rPr>
          <w:lang w:val="hu-HU"/>
        </w:rPr>
      </w:pPr>
    </w:p>
    <w:p w:rsidR="007D7140" w:rsidRDefault="00A207BA">
      <w:pPr>
        <w:rPr>
          <w:color w:val="000000"/>
          <w:lang w:val="hu-HU" w:eastAsia="hu-HU"/>
        </w:rPr>
      </w:pPr>
      <w:r>
        <w:rPr>
          <w:color w:val="000000"/>
          <w:lang w:val="hu-HU" w:eastAsia="hu-HU"/>
        </w:rPr>
        <w:t>* A Dabigatran etexilate Sandoz kemény kapszula 75 mg-os dózisa nem elérhető, ezért ez a gyógyszer nem alkalmas a fentebb említett betegcsoport számára. Ezen betegek esetében más, 75 mg-os dabigatrán-etexilát-tartalmú gyógyszerkészítményt kell alkalmazni.</w:t>
      </w:r>
    </w:p>
    <w:p w:rsidR="007D7140" w:rsidRDefault="007D7140">
      <w:pPr>
        <w:rPr>
          <w:lang w:val="hu-HU"/>
        </w:rPr>
      </w:pPr>
    </w:p>
    <w:p w:rsidR="007D7140" w:rsidRDefault="00A207BA">
      <w:pPr>
        <w:rPr>
          <w:i/>
          <w:lang w:val="hu-HU"/>
        </w:rPr>
      </w:pPr>
      <w:r>
        <w:rPr>
          <w:i/>
          <w:u w:val="single"/>
          <w:lang w:val="hu-HU"/>
        </w:rPr>
        <w:t>A</w:t>
      </w:r>
      <w:r>
        <w:rPr>
          <w:i/>
          <w:spacing w:val="-4"/>
          <w:u w:val="single"/>
          <w:lang w:val="hu-HU"/>
        </w:rPr>
        <w:t xml:space="preserve"> </w:t>
      </w:r>
      <w:r>
        <w:rPr>
          <w:i/>
          <w:u w:val="single"/>
          <w:lang w:val="hu-HU"/>
        </w:rPr>
        <w:t>vesefunkció</w:t>
      </w:r>
      <w:r>
        <w:rPr>
          <w:i/>
          <w:spacing w:val="-5"/>
          <w:u w:val="single"/>
          <w:lang w:val="hu-HU"/>
        </w:rPr>
        <w:t xml:space="preserve"> </w:t>
      </w:r>
      <w:r>
        <w:rPr>
          <w:i/>
          <w:u w:val="single"/>
          <w:lang w:val="hu-HU"/>
        </w:rPr>
        <w:t>ellenőrzése</w:t>
      </w:r>
      <w:r>
        <w:rPr>
          <w:i/>
          <w:spacing w:val="-4"/>
          <w:u w:val="single"/>
          <w:lang w:val="hu-HU"/>
        </w:rPr>
        <w:t xml:space="preserve"> </w:t>
      </w:r>
      <w:r>
        <w:rPr>
          <w:i/>
          <w:u w:val="single"/>
          <w:lang w:val="hu-HU"/>
        </w:rPr>
        <w:t>a</w:t>
      </w:r>
      <w:r>
        <w:rPr>
          <w:i/>
          <w:spacing w:val="-4"/>
          <w:u w:val="single"/>
          <w:lang w:val="hu-HU"/>
        </w:rPr>
        <w:t xml:space="preserve"> </w:t>
      </w:r>
      <w:r>
        <w:rPr>
          <w:i/>
          <w:u w:val="single"/>
          <w:lang w:val="hu-HU"/>
        </w:rPr>
        <w:t>kezelés</w:t>
      </w:r>
      <w:r>
        <w:rPr>
          <w:i/>
          <w:spacing w:val="-4"/>
          <w:u w:val="single"/>
          <w:lang w:val="hu-HU"/>
        </w:rPr>
        <w:t xml:space="preserve"> </w:t>
      </w:r>
      <w:r>
        <w:rPr>
          <w:i/>
          <w:u w:val="single"/>
          <w:lang w:val="hu-HU"/>
        </w:rPr>
        <w:t>megkezdése</w:t>
      </w:r>
      <w:r>
        <w:rPr>
          <w:i/>
          <w:spacing w:val="-4"/>
          <w:u w:val="single"/>
          <w:lang w:val="hu-HU"/>
        </w:rPr>
        <w:t xml:space="preserve"> </w:t>
      </w:r>
      <w:r>
        <w:rPr>
          <w:i/>
          <w:u w:val="single"/>
          <w:lang w:val="hu-HU"/>
        </w:rPr>
        <w:t>előtt</w:t>
      </w:r>
      <w:r>
        <w:rPr>
          <w:i/>
          <w:spacing w:val="-4"/>
          <w:u w:val="single"/>
          <w:lang w:val="hu-HU"/>
        </w:rPr>
        <w:t xml:space="preserve"> </w:t>
      </w:r>
      <w:r>
        <w:rPr>
          <w:i/>
          <w:u w:val="single"/>
          <w:lang w:val="hu-HU"/>
        </w:rPr>
        <w:t>és</w:t>
      </w:r>
      <w:r>
        <w:rPr>
          <w:i/>
          <w:spacing w:val="-4"/>
          <w:u w:val="single"/>
          <w:lang w:val="hu-HU"/>
        </w:rPr>
        <w:t xml:space="preserve"> </w:t>
      </w:r>
      <w:r>
        <w:rPr>
          <w:i/>
          <w:u w:val="single"/>
          <w:lang w:val="hu-HU"/>
        </w:rPr>
        <w:t>a</w:t>
      </w:r>
      <w:r>
        <w:rPr>
          <w:i/>
          <w:spacing w:val="-4"/>
          <w:u w:val="single"/>
          <w:lang w:val="hu-HU"/>
        </w:rPr>
        <w:t xml:space="preserve"> </w:t>
      </w:r>
      <w:r>
        <w:rPr>
          <w:i/>
          <w:u w:val="single"/>
          <w:lang w:val="hu-HU"/>
        </w:rPr>
        <w:t>kezelés</w:t>
      </w:r>
      <w:r>
        <w:rPr>
          <w:i/>
          <w:spacing w:val="-4"/>
          <w:u w:val="single"/>
          <w:lang w:val="hu-HU"/>
        </w:rPr>
        <w:t xml:space="preserve"> </w:t>
      </w:r>
      <w:r>
        <w:rPr>
          <w:i/>
          <w:u w:val="single"/>
          <w:lang w:val="hu-HU"/>
        </w:rPr>
        <w:t>során</w:t>
      </w:r>
    </w:p>
    <w:p w:rsidR="007D7140" w:rsidRDefault="007D7140">
      <w:pPr>
        <w:rPr>
          <w:i/>
          <w:lang w:val="hu-HU"/>
        </w:rPr>
      </w:pPr>
    </w:p>
    <w:p w:rsidR="007D7140" w:rsidRDefault="00A207BA">
      <w:pPr>
        <w:rPr>
          <w:lang w:val="hu-HU"/>
        </w:rPr>
      </w:pPr>
      <w:r>
        <w:rPr>
          <w:lang w:val="hu-HU"/>
        </w:rPr>
        <w:t>A kezelés megkezdése előtt a becsült glomeruláris filtrációs rátát (eGFR) a Schwartz</w:t>
      </w:r>
      <w:r>
        <w:rPr>
          <w:lang w:val="hu-HU"/>
        </w:rPr>
        <w:noBreakHyphen/>
        <w:t>formula</w:t>
      </w:r>
      <w:r>
        <w:rPr>
          <w:spacing w:val="1"/>
          <w:lang w:val="hu-HU"/>
        </w:rPr>
        <w:t xml:space="preserve"> </w:t>
      </w:r>
      <w:r>
        <w:rPr>
          <w:lang w:val="hu-HU"/>
        </w:rPr>
        <w:t>segítségével kell meghatározni. (a kreatinin vizsgálatára szolgáló módszert a helyi laboratóriummal kell</w:t>
      </w:r>
      <w:r>
        <w:rPr>
          <w:spacing w:val="-2"/>
          <w:lang w:val="hu-HU"/>
        </w:rPr>
        <w:t xml:space="preserve"> </w:t>
      </w:r>
      <w:r>
        <w:rPr>
          <w:lang w:val="hu-HU"/>
        </w:rPr>
        <w:t>egyeztetni).</w:t>
      </w:r>
    </w:p>
    <w:p w:rsidR="007D7140" w:rsidRDefault="007D7140">
      <w:pPr>
        <w:rPr>
          <w:lang w:val="hu-HU"/>
        </w:rPr>
      </w:pPr>
    </w:p>
    <w:p w:rsidR="007D7140" w:rsidRDefault="00A207BA">
      <w:pPr>
        <w:rPr>
          <w:lang w:val="hu-HU"/>
        </w:rPr>
      </w:pPr>
      <w:r>
        <w:rPr>
          <w:lang w:val="hu-HU"/>
        </w:rPr>
        <w:t>A dabigatrán</w:t>
      </w:r>
      <w:r>
        <w:rPr>
          <w:lang w:val="hu-HU"/>
        </w:rPr>
        <w:noBreakHyphen/>
        <w:t>etexilát</w:t>
      </w:r>
      <w:r>
        <w:rPr>
          <w:lang w:val="hu-HU"/>
        </w:rPr>
        <w:noBreakHyphen/>
        <w:t>kezelés ellenjavallt</w:t>
      </w:r>
      <w:r>
        <w:rPr>
          <w:spacing w:val="-1"/>
          <w:lang w:val="hu-HU"/>
        </w:rPr>
        <w:t xml:space="preserve"> </w:t>
      </w:r>
      <w:r>
        <w:rPr>
          <w:lang w:val="hu-HU"/>
        </w:rPr>
        <w:t>azoknál a gyermekeknél és serdülőknél, akiknél az eGFR értéke &lt; 50 ml/perc/1,73m</w:t>
      </w:r>
      <w:r>
        <w:rPr>
          <w:vertAlign w:val="superscript"/>
          <w:lang w:val="hu-HU"/>
        </w:rPr>
        <w:t>2</w:t>
      </w:r>
      <w:r>
        <w:rPr>
          <w:lang w:val="hu-HU"/>
        </w:rPr>
        <w:t xml:space="preserve"> (lásd</w:t>
      </w:r>
      <w:r>
        <w:rPr>
          <w:spacing w:val="-1"/>
          <w:lang w:val="hu-HU"/>
        </w:rPr>
        <w:t xml:space="preserve"> </w:t>
      </w:r>
      <w:r>
        <w:rPr>
          <w:lang w:val="hu-HU"/>
        </w:rPr>
        <w:t>4.3</w:t>
      </w:r>
      <w:r>
        <w:rPr>
          <w:spacing w:val="-1"/>
          <w:lang w:val="hu-HU"/>
        </w:rPr>
        <w:t> pont</w:t>
      </w:r>
      <w:r>
        <w:rPr>
          <w:lang w:val="hu-HU"/>
        </w:rPr>
        <w:t>).</w:t>
      </w:r>
    </w:p>
    <w:p w:rsidR="007D7140" w:rsidRDefault="007D7140">
      <w:pPr>
        <w:rPr>
          <w:lang w:val="hu-HU"/>
        </w:rPr>
      </w:pPr>
    </w:p>
    <w:p w:rsidR="007D7140" w:rsidRDefault="00A207BA">
      <w:pPr>
        <w:rPr>
          <w:lang w:val="hu-HU"/>
        </w:rPr>
      </w:pPr>
      <w:r>
        <w:rPr>
          <w:lang w:val="hu-HU"/>
        </w:rPr>
        <w:t>Azokat a</w:t>
      </w:r>
      <w:r>
        <w:rPr>
          <w:spacing w:val="-6"/>
          <w:lang w:val="hu-HU"/>
        </w:rPr>
        <w:t xml:space="preserve"> </w:t>
      </w:r>
      <w:r>
        <w:rPr>
          <w:lang w:val="hu-HU"/>
        </w:rPr>
        <w:t>betegeket, akiknél az</w:t>
      </w:r>
      <w:r>
        <w:rPr>
          <w:spacing w:val="-4"/>
          <w:lang w:val="hu-HU"/>
        </w:rPr>
        <w:t xml:space="preserve"> </w:t>
      </w:r>
      <w:r>
        <w:rPr>
          <w:lang w:val="hu-HU"/>
        </w:rPr>
        <w:t>eGFR értéke</w:t>
      </w:r>
      <w:r>
        <w:rPr>
          <w:spacing w:val="-4"/>
          <w:lang w:val="hu-HU"/>
        </w:rPr>
        <w:t xml:space="preserve"> </w:t>
      </w:r>
      <w:r>
        <w:rPr>
          <w:lang w:val="hu-HU"/>
        </w:rPr>
        <w:t>≥ 50 ml/perc/1,73m</w:t>
      </w:r>
      <w:r>
        <w:rPr>
          <w:vertAlign w:val="superscript"/>
          <w:lang w:val="hu-HU"/>
        </w:rPr>
        <w:t>2</w:t>
      </w:r>
      <w:r>
        <w:rPr>
          <w:spacing w:val="-3"/>
          <w:lang w:val="hu-HU"/>
        </w:rPr>
        <w:t xml:space="preserve">, </w:t>
      </w:r>
      <w:r>
        <w:rPr>
          <w:lang w:val="hu-HU"/>
        </w:rPr>
        <w:t>a</w:t>
      </w:r>
      <w:r>
        <w:rPr>
          <w:spacing w:val="-5"/>
          <w:lang w:val="hu-HU"/>
        </w:rPr>
        <w:t xml:space="preserve"> </w:t>
      </w:r>
      <w:r>
        <w:rPr>
          <w:lang w:val="hu-HU"/>
        </w:rPr>
        <w:t>4.</w:t>
      </w:r>
      <w:r>
        <w:rPr>
          <w:spacing w:val="-4"/>
          <w:lang w:val="hu-HU"/>
        </w:rPr>
        <w:t xml:space="preserve"> </w:t>
      </w:r>
      <w:r>
        <w:rPr>
          <w:lang w:val="hu-HU"/>
        </w:rPr>
        <w:t>táblázat</w:t>
      </w:r>
      <w:r>
        <w:rPr>
          <w:spacing w:val="-5"/>
          <w:lang w:val="hu-HU"/>
        </w:rPr>
        <w:t xml:space="preserve"> </w:t>
      </w:r>
      <w:r>
        <w:rPr>
          <w:lang w:val="hu-HU"/>
        </w:rPr>
        <w:t>szerinti</w:t>
      </w:r>
      <w:r>
        <w:rPr>
          <w:spacing w:val="-4"/>
          <w:lang w:val="hu-HU"/>
        </w:rPr>
        <w:t xml:space="preserve"> </w:t>
      </w:r>
      <w:r>
        <w:rPr>
          <w:lang w:val="hu-HU"/>
        </w:rPr>
        <w:t>dózissal</w:t>
      </w:r>
      <w:r>
        <w:rPr>
          <w:spacing w:val="-4"/>
          <w:lang w:val="hu-HU"/>
        </w:rPr>
        <w:t xml:space="preserve"> </w:t>
      </w:r>
      <w:r>
        <w:rPr>
          <w:lang w:val="hu-HU"/>
        </w:rPr>
        <w:t>kell</w:t>
      </w:r>
      <w:r>
        <w:rPr>
          <w:spacing w:val="-5"/>
          <w:lang w:val="hu-HU"/>
        </w:rPr>
        <w:t xml:space="preserve"> </w:t>
      </w:r>
      <w:r>
        <w:rPr>
          <w:lang w:val="hu-HU"/>
        </w:rPr>
        <w:t>kezelni.</w:t>
      </w:r>
    </w:p>
    <w:p w:rsidR="007D7140" w:rsidRDefault="007D7140">
      <w:pPr>
        <w:rPr>
          <w:lang w:val="hu-HU"/>
        </w:rPr>
      </w:pPr>
    </w:p>
    <w:p w:rsidR="007D7140" w:rsidRDefault="00A207BA">
      <w:pPr>
        <w:rPr>
          <w:lang w:val="hu-HU"/>
        </w:rPr>
      </w:pPr>
      <w:r>
        <w:rPr>
          <w:lang w:val="hu-HU"/>
        </w:rPr>
        <w:t>A kezelés alatt bizonyos klinikai helyzetekben ellenőrizni kell a vesefunkciót, amikor a vesefunkció csökkenését vagy romlását lehet feltételezni (pl. hypovolaemia, dehidráció, valamint bizonyos gyógyszerek</w:t>
      </w:r>
      <w:r>
        <w:rPr>
          <w:spacing w:val="-2"/>
          <w:lang w:val="hu-HU"/>
        </w:rPr>
        <w:t xml:space="preserve"> </w:t>
      </w:r>
      <w:r>
        <w:rPr>
          <w:lang w:val="hu-HU"/>
        </w:rPr>
        <w:t>együttes alkalmazása</w:t>
      </w:r>
      <w:r>
        <w:rPr>
          <w:spacing w:val="1"/>
          <w:lang w:val="hu-HU"/>
        </w:rPr>
        <w:t xml:space="preserve"> </w:t>
      </w:r>
      <w:r>
        <w:rPr>
          <w:lang w:val="hu-HU"/>
        </w:rPr>
        <w:t>stb.).</w:t>
      </w:r>
    </w:p>
    <w:p w:rsidR="007D7140" w:rsidRDefault="007D7140">
      <w:pPr>
        <w:rPr>
          <w:lang w:val="hu-HU"/>
        </w:rPr>
      </w:pPr>
    </w:p>
    <w:p w:rsidR="007D7140" w:rsidRDefault="00A207BA">
      <w:pPr>
        <w:rPr>
          <w:i/>
          <w:lang w:val="hu-HU"/>
        </w:rPr>
      </w:pPr>
      <w:r>
        <w:rPr>
          <w:i/>
          <w:u w:val="single"/>
          <w:lang w:val="hu-HU"/>
        </w:rPr>
        <w:t>A</w:t>
      </w:r>
      <w:r>
        <w:rPr>
          <w:i/>
          <w:spacing w:val="-4"/>
          <w:u w:val="single"/>
          <w:lang w:val="hu-HU"/>
        </w:rPr>
        <w:t xml:space="preserve"> </w:t>
      </w:r>
      <w:r>
        <w:rPr>
          <w:i/>
          <w:u w:val="single"/>
          <w:lang w:val="hu-HU"/>
        </w:rPr>
        <w:t>kezelés</w:t>
      </w:r>
      <w:r>
        <w:rPr>
          <w:i/>
          <w:spacing w:val="-4"/>
          <w:u w:val="single"/>
          <w:lang w:val="hu-HU"/>
        </w:rPr>
        <w:t xml:space="preserve"> </w:t>
      </w:r>
      <w:r>
        <w:rPr>
          <w:i/>
          <w:u w:val="single"/>
          <w:lang w:val="hu-HU"/>
        </w:rPr>
        <w:t>időtartama</w:t>
      </w:r>
    </w:p>
    <w:p w:rsidR="007D7140" w:rsidRDefault="007D7140">
      <w:pPr>
        <w:rPr>
          <w:i/>
          <w:lang w:val="hu-HU"/>
        </w:rPr>
      </w:pPr>
    </w:p>
    <w:p w:rsidR="007D7140" w:rsidRDefault="00A207BA">
      <w:pPr>
        <w:rPr>
          <w:lang w:val="hu-HU"/>
        </w:rPr>
      </w:pPr>
      <w:r>
        <w:rPr>
          <w:lang w:val="hu-HU"/>
        </w:rPr>
        <w:t>A</w:t>
      </w:r>
      <w:r>
        <w:rPr>
          <w:spacing w:val="-5"/>
          <w:lang w:val="hu-HU"/>
        </w:rPr>
        <w:t xml:space="preserve"> </w:t>
      </w:r>
      <w:r>
        <w:rPr>
          <w:lang w:val="hu-HU"/>
        </w:rPr>
        <w:t>kezelés</w:t>
      </w:r>
      <w:r>
        <w:rPr>
          <w:spacing w:val="-5"/>
          <w:lang w:val="hu-HU"/>
        </w:rPr>
        <w:t xml:space="preserve"> </w:t>
      </w:r>
      <w:r>
        <w:rPr>
          <w:lang w:val="hu-HU"/>
        </w:rPr>
        <w:t>időtartamát</w:t>
      </w:r>
      <w:r>
        <w:rPr>
          <w:spacing w:val="-5"/>
          <w:lang w:val="hu-HU"/>
        </w:rPr>
        <w:t xml:space="preserve"> </w:t>
      </w:r>
      <w:r>
        <w:rPr>
          <w:lang w:val="hu-HU"/>
        </w:rPr>
        <w:t>az</w:t>
      </w:r>
      <w:r>
        <w:rPr>
          <w:spacing w:val="-5"/>
          <w:lang w:val="hu-HU"/>
        </w:rPr>
        <w:t xml:space="preserve"> </w:t>
      </w:r>
      <w:r>
        <w:rPr>
          <w:lang w:val="hu-HU"/>
        </w:rPr>
        <w:t>előny/kockázat</w:t>
      </w:r>
      <w:r>
        <w:rPr>
          <w:spacing w:val="-5"/>
          <w:lang w:val="hu-HU"/>
        </w:rPr>
        <w:t xml:space="preserve"> </w:t>
      </w:r>
      <w:r>
        <w:rPr>
          <w:lang w:val="hu-HU"/>
        </w:rPr>
        <w:t>arány</w:t>
      </w:r>
      <w:r>
        <w:rPr>
          <w:spacing w:val="-5"/>
          <w:lang w:val="hu-HU"/>
        </w:rPr>
        <w:t xml:space="preserve"> </w:t>
      </w:r>
      <w:r>
        <w:rPr>
          <w:lang w:val="hu-HU"/>
        </w:rPr>
        <w:t>mérlegelése</w:t>
      </w:r>
      <w:r>
        <w:rPr>
          <w:spacing w:val="-5"/>
          <w:lang w:val="hu-HU"/>
        </w:rPr>
        <w:t xml:space="preserve"> </w:t>
      </w:r>
      <w:r>
        <w:rPr>
          <w:lang w:val="hu-HU"/>
        </w:rPr>
        <w:t>után</w:t>
      </w:r>
      <w:r>
        <w:rPr>
          <w:spacing w:val="-5"/>
          <w:lang w:val="hu-HU"/>
        </w:rPr>
        <w:t xml:space="preserve"> </w:t>
      </w:r>
      <w:r>
        <w:rPr>
          <w:lang w:val="hu-HU"/>
        </w:rPr>
        <w:t>egyénenként</w:t>
      </w:r>
      <w:r>
        <w:rPr>
          <w:spacing w:val="-5"/>
          <w:lang w:val="hu-HU"/>
        </w:rPr>
        <w:t xml:space="preserve"> </w:t>
      </w:r>
      <w:r>
        <w:rPr>
          <w:lang w:val="hu-HU"/>
        </w:rPr>
        <w:t>kell</w:t>
      </w:r>
      <w:r>
        <w:rPr>
          <w:spacing w:val="-5"/>
          <w:lang w:val="hu-HU"/>
        </w:rPr>
        <w:t xml:space="preserve"> </w:t>
      </w:r>
      <w:r>
        <w:rPr>
          <w:lang w:val="hu-HU"/>
        </w:rPr>
        <w:t>meghatározni.</w:t>
      </w:r>
    </w:p>
    <w:p w:rsidR="007D7140" w:rsidRDefault="007D7140">
      <w:pPr>
        <w:rPr>
          <w:lang w:val="hu-HU"/>
        </w:rPr>
      </w:pPr>
    </w:p>
    <w:p w:rsidR="007D7140" w:rsidRDefault="00A207BA">
      <w:pPr>
        <w:rPr>
          <w:i/>
          <w:lang w:val="hu-HU"/>
        </w:rPr>
      </w:pPr>
      <w:r>
        <w:rPr>
          <w:i/>
          <w:u w:val="single"/>
          <w:lang w:val="hu-HU"/>
        </w:rPr>
        <w:t>Kihagyott</w:t>
      </w:r>
      <w:r>
        <w:rPr>
          <w:i/>
          <w:spacing w:val="-5"/>
          <w:u w:val="single"/>
          <w:lang w:val="hu-HU"/>
        </w:rPr>
        <w:t xml:space="preserve"> </w:t>
      </w:r>
      <w:r>
        <w:rPr>
          <w:i/>
          <w:u w:val="single"/>
          <w:lang w:val="hu-HU"/>
        </w:rPr>
        <w:t>dózis</w:t>
      </w:r>
    </w:p>
    <w:p w:rsidR="007D7140" w:rsidRDefault="007D7140">
      <w:pPr>
        <w:rPr>
          <w:i/>
          <w:lang w:val="hu-HU"/>
        </w:rPr>
      </w:pPr>
    </w:p>
    <w:p w:rsidR="007D7140" w:rsidRDefault="00A207BA">
      <w:pPr>
        <w:rPr>
          <w:lang w:val="hu-HU"/>
        </w:rPr>
      </w:pPr>
      <w:r>
        <w:rPr>
          <w:lang w:val="hu-HU"/>
        </w:rPr>
        <w:t>A dabigatrán</w:t>
      </w:r>
      <w:r>
        <w:rPr>
          <w:lang w:val="hu-HU"/>
        </w:rPr>
        <w:noBreakHyphen/>
        <w:t>etexilát egy elfelejtett adagja még bevehető legkésőbb 6 órával a következő esedékes dózis előtt.</w:t>
      </w:r>
      <w:r>
        <w:rPr>
          <w:spacing w:val="-3"/>
          <w:lang w:val="hu-HU"/>
        </w:rPr>
        <w:t xml:space="preserve"> </w:t>
      </w:r>
      <w:r>
        <w:rPr>
          <w:lang w:val="hu-HU"/>
        </w:rPr>
        <w:t>A</w:t>
      </w:r>
      <w:r>
        <w:rPr>
          <w:spacing w:val="-2"/>
          <w:lang w:val="hu-HU"/>
        </w:rPr>
        <w:t xml:space="preserve"> </w:t>
      </w:r>
      <w:r>
        <w:rPr>
          <w:lang w:val="hu-HU"/>
        </w:rPr>
        <w:t>következő</w:t>
      </w:r>
      <w:r>
        <w:rPr>
          <w:spacing w:val="-2"/>
          <w:lang w:val="hu-HU"/>
        </w:rPr>
        <w:t xml:space="preserve"> </w:t>
      </w:r>
      <w:r>
        <w:rPr>
          <w:lang w:val="hu-HU"/>
        </w:rPr>
        <w:t>esedékes</w:t>
      </w:r>
      <w:r>
        <w:rPr>
          <w:spacing w:val="-2"/>
          <w:lang w:val="hu-HU"/>
        </w:rPr>
        <w:t xml:space="preserve"> </w:t>
      </w:r>
      <w:r>
        <w:rPr>
          <w:lang w:val="hu-HU"/>
        </w:rPr>
        <w:t>adag</w:t>
      </w:r>
      <w:r>
        <w:rPr>
          <w:spacing w:val="-2"/>
          <w:lang w:val="hu-HU"/>
        </w:rPr>
        <w:t xml:space="preserve"> </w:t>
      </w:r>
      <w:r>
        <w:rPr>
          <w:lang w:val="hu-HU"/>
        </w:rPr>
        <w:t>előtti</w:t>
      </w:r>
      <w:r>
        <w:rPr>
          <w:spacing w:val="-2"/>
          <w:lang w:val="hu-HU"/>
        </w:rPr>
        <w:t xml:space="preserve"> </w:t>
      </w:r>
      <w:r>
        <w:rPr>
          <w:lang w:val="hu-HU"/>
        </w:rPr>
        <w:t>6 órán</w:t>
      </w:r>
      <w:r>
        <w:rPr>
          <w:spacing w:val="-2"/>
          <w:lang w:val="hu-HU"/>
        </w:rPr>
        <w:t xml:space="preserve"> </w:t>
      </w:r>
      <w:r>
        <w:rPr>
          <w:lang w:val="hu-HU"/>
        </w:rPr>
        <w:t>belül</w:t>
      </w:r>
      <w:r>
        <w:rPr>
          <w:spacing w:val="-2"/>
          <w:lang w:val="hu-HU"/>
        </w:rPr>
        <w:t xml:space="preserve"> </w:t>
      </w:r>
      <w:r>
        <w:rPr>
          <w:lang w:val="hu-HU"/>
        </w:rPr>
        <w:t>az</w:t>
      </w:r>
      <w:r>
        <w:rPr>
          <w:spacing w:val="-2"/>
          <w:lang w:val="hu-HU"/>
        </w:rPr>
        <w:t xml:space="preserve"> </w:t>
      </w:r>
      <w:r>
        <w:rPr>
          <w:lang w:val="hu-HU"/>
        </w:rPr>
        <w:t>elfelejtett</w:t>
      </w:r>
      <w:r>
        <w:rPr>
          <w:spacing w:val="-2"/>
          <w:lang w:val="hu-HU"/>
        </w:rPr>
        <w:t xml:space="preserve"> </w:t>
      </w:r>
      <w:r>
        <w:rPr>
          <w:lang w:val="hu-HU"/>
        </w:rPr>
        <w:t>dózist</w:t>
      </w:r>
      <w:r>
        <w:rPr>
          <w:spacing w:val="-2"/>
          <w:lang w:val="hu-HU"/>
        </w:rPr>
        <w:t xml:space="preserve"> </w:t>
      </w:r>
      <w:r>
        <w:rPr>
          <w:lang w:val="hu-HU"/>
        </w:rPr>
        <w:t>ki</w:t>
      </w:r>
      <w:r>
        <w:rPr>
          <w:spacing w:val="-2"/>
          <w:lang w:val="hu-HU"/>
        </w:rPr>
        <w:t xml:space="preserve"> </w:t>
      </w:r>
      <w:r>
        <w:rPr>
          <w:lang w:val="hu-HU"/>
        </w:rPr>
        <w:t>kell</w:t>
      </w:r>
      <w:r>
        <w:rPr>
          <w:spacing w:val="-2"/>
          <w:lang w:val="hu-HU"/>
        </w:rPr>
        <w:t xml:space="preserve"> </w:t>
      </w:r>
      <w:r>
        <w:rPr>
          <w:lang w:val="hu-HU"/>
        </w:rPr>
        <w:t>hagyni.</w:t>
      </w:r>
    </w:p>
    <w:p w:rsidR="007D7140" w:rsidRDefault="00A207BA">
      <w:pPr>
        <w:rPr>
          <w:lang w:val="hu-HU"/>
        </w:rPr>
      </w:pPr>
      <w:r>
        <w:rPr>
          <w:lang w:val="hu-HU"/>
        </w:rPr>
        <w:t>Soha</w:t>
      </w:r>
      <w:r>
        <w:rPr>
          <w:spacing w:val="-5"/>
          <w:lang w:val="hu-HU"/>
        </w:rPr>
        <w:t xml:space="preserve"> </w:t>
      </w:r>
      <w:r>
        <w:rPr>
          <w:lang w:val="hu-HU"/>
        </w:rPr>
        <w:t>nem</w:t>
      </w:r>
      <w:r>
        <w:rPr>
          <w:spacing w:val="-4"/>
          <w:lang w:val="hu-HU"/>
        </w:rPr>
        <w:t xml:space="preserve"> </w:t>
      </w:r>
      <w:r>
        <w:rPr>
          <w:lang w:val="hu-HU"/>
        </w:rPr>
        <w:t>szabad</w:t>
      </w:r>
      <w:r>
        <w:rPr>
          <w:spacing w:val="-4"/>
          <w:lang w:val="hu-HU"/>
        </w:rPr>
        <w:t xml:space="preserve"> </w:t>
      </w:r>
      <w:r>
        <w:rPr>
          <w:lang w:val="hu-HU"/>
        </w:rPr>
        <w:t>kétszeres</w:t>
      </w:r>
      <w:r>
        <w:rPr>
          <w:spacing w:val="-4"/>
          <w:lang w:val="hu-HU"/>
        </w:rPr>
        <w:t xml:space="preserve"> </w:t>
      </w:r>
      <w:r>
        <w:rPr>
          <w:lang w:val="hu-HU"/>
        </w:rPr>
        <w:t>adagot</w:t>
      </w:r>
      <w:r>
        <w:rPr>
          <w:spacing w:val="-4"/>
          <w:lang w:val="hu-HU"/>
        </w:rPr>
        <w:t xml:space="preserve"> </w:t>
      </w:r>
      <w:r>
        <w:rPr>
          <w:lang w:val="hu-HU"/>
        </w:rPr>
        <w:t>bevenni</w:t>
      </w:r>
      <w:r>
        <w:rPr>
          <w:spacing w:val="-5"/>
          <w:lang w:val="hu-HU"/>
        </w:rPr>
        <w:t xml:space="preserve"> </w:t>
      </w:r>
      <w:r>
        <w:rPr>
          <w:lang w:val="hu-HU"/>
        </w:rPr>
        <w:t>a kihagyott</w:t>
      </w:r>
      <w:r>
        <w:rPr>
          <w:spacing w:val="-4"/>
          <w:lang w:val="hu-HU"/>
        </w:rPr>
        <w:t xml:space="preserve"> </w:t>
      </w:r>
      <w:r>
        <w:rPr>
          <w:lang w:val="hu-HU"/>
        </w:rPr>
        <w:t>dózis</w:t>
      </w:r>
      <w:r>
        <w:rPr>
          <w:spacing w:val="-4"/>
          <w:lang w:val="hu-HU"/>
        </w:rPr>
        <w:t xml:space="preserve"> </w:t>
      </w:r>
      <w:r>
        <w:rPr>
          <w:lang w:val="hu-HU"/>
        </w:rPr>
        <w:t>pótlására.</w:t>
      </w:r>
    </w:p>
    <w:p w:rsidR="007D7140" w:rsidRDefault="007D7140">
      <w:pPr>
        <w:rPr>
          <w:lang w:val="hu-HU"/>
        </w:rPr>
      </w:pPr>
    </w:p>
    <w:p w:rsidR="007D7140" w:rsidRDefault="00A207BA">
      <w:pPr>
        <w:keepNext/>
        <w:rPr>
          <w:i/>
          <w:lang w:val="hu-HU"/>
        </w:rPr>
      </w:pPr>
      <w:r>
        <w:rPr>
          <w:i/>
          <w:u w:val="single"/>
          <w:lang w:val="hu-HU"/>
        </w:rPr>
        <w:lastRenderedPageBreak/>
        <w:t>A</w:t>
      </w:r>
      <w:r>
        <w:rPr>
          <w:i/>
          <w:spacing w:val="-5"/>
          <w:u w:val="single"/>
          <w:lang w:val="hu-HU"/>
        </w:rPr>
        <w:t xml:space="preserve"> </w:t>
      </w:r>
      <w:r>
        <w:rPr>
          <w:i/>
          <w:u w:val="single"/>
          <w:lang w:val="hu-HU"/>
        </w:rPr>
        <w:t>dabigatrán</w:t>
      </w:r>
      <w:r>
        <w:rPr>
          <w:i/>
          <w:u w:val="single"/>
          <w:lang w:val="hu-HU"/>
        </w:rPr>
        <w:noBreakHyphen/>
        <w:t>etexilát</w:t>
      </w:r>
      <w:r>
        <w:rPr>
          <w:i/>
          <w:spacing w:val="-5"/>
          <w:u w:val="single"/>
          <w:lang w:val="hu-HU"/>
        </w:rPr>
        <w:t xml:space="preserve"> </w:t>
      </w:r>
      <w:r>
        <w:rPr>
          <w:i/>
          <w:u w:val="single"/>
          <w:lang w:val="hu-HU"/>
        </w:rPr>
        <w:t>kezelés</w:t>
      </w:r>
      <w:r>
        <w:rPr>
          <w:i/>
          <w:spacing w:val="-5"/>
          <w:u w:val="single"/>
          <w:lang w:val="hu-HU"/>
        </w:rPr>
        <w:t xml:space="preserve"> </w:t>
      </w:r>
      <w:r>
        <w:rPr>
          <w:i/>
          <w:u w:val="single"/>
          <w:lang w:val="hu-HU"/>
        </w:rPr>
        <w:t>leállítása</w:t>
      </w:r>
    </w:p>
    <w:p w:rsidR="007D7140" w:rsidRDefault="007D7140">
      <w:pPr>
        <w:keepNext/>
        <w:rPr>
          <w:i/>
          <w:lang w:val="hu-HU"/>
        </w:rPr>
      </w:pPr>
    </w:p>
    <w:p w:rsidR="007D7140" w:rsidRDefault="00A207BA">
      <w:pPr>
        <w:widowControl/>
        <w:rPr>
          <w:lang w:val="hu-HU"/>
        </w:rPr>
      </w:pPr>
      <w:r>
        <w:rPr>
          <w:lang w:val="hu-HU"/>
        </w:rPr>
        <w:t>A dabigatrán</w:t>
      </w:r>
      <w:r>
        <w:rPr>
          <w:lang w:val="hu-HU"/>
        </w:rPr>
        <w:noBreakHyphen/>
        <w:t>etexilát</w:t>
      </w:r>
      <w:r>
        <w:rPr>
          <w:lang w:val="hu-HU"/>
        </w:rPr>
        <w:noBreakHyphen/>
        <w:t>kezelést nem szabad orvosi javaslat nélkül leállítani. A betegeknek vagy gondozóiknak</w:t>
      </w:r>
      <w:r>
        <w:rPr>
          <w:spacing w:val="1"/>
          <w:lang w:val="hu-HU"/>
        </w:rPr>
        <w:t xml:space="preserve"> </w:t>
      </w:r>
      <w:r>
        <w:rPr>
          <w:lang w:val="hu-HU"/>
        </w:rPr>
        <w:t>gastrointestinalis</w:t>
      </w:r>
      <w:r>
        <w:rPr>
          <w:spacing w:val="-6"/>
          <w:lang w:val="hu-HU"/>
        </w:rPr>
        <w:t xml:space="preserve"> </w:t>
      </w:r>
      <w:r>
        <w:rPr>
          <w:lang w:val="hu-HU"/>
        </w:rPr>
        <w:t>tünetek,</w:t>
      </w:r>
      <w:r>
        <w:rPr>
          <w:spacing w:val="-5"/>
          <w:lang w:val="hu-HU"/>
        </w:rPr>
        <w:t xml:space="preserve"> </w:t>
      </w:r>
      <w:r>
        <w:rPr>
          <w:lang w:val="hu-HU"/>
        </w:rPr>
        <w:t>pl.</w:t>
      </w:r>
      <w:r>
        <w:rPr>
          <w:spacing w:val="-6"/>
          <w:lang w:val="hu-HU"/>
        </w:rPr>
        <w:t xml:space="preserve"> d</w:t>
      </w:r>
      <w:r>
        <w:rPr>
          <w:lang w:val="hu-HU"/>
        </w:rPr>
        <w:t>yspepsia</w:t>
      </w:r>
      <w:r>
        <w:rPr>
          <w:spacing w:val="-5"/>
          <w:lang w:val="hu-HU"/>
        </w:rPr>
        <w:t xml:space="preserve"> </w:t>
      </w:r>
      <w:r>
        <w:rPr>
          <w:lang w:val="hu-HU"/>
        </w:rPr>
        <w:t>megjelenése</w:t>
      </w:r>
      <w:r>
        <w:rPr>
          <w:spacing w:val="-6"/>
          <w:lang w:val="hu-HU"/>
        </w:rPr>
        <w:t xml:space="preserve"> </w:t>
      </w:r>
      <w:r>
        <w:rPr>
          <w:lang w:val="hu-HU"/>
        </w:rPr>
        <w:t>esetén</w:t>
      </w:r>
      <w:r>
        <w:rPr>
          <w:spacing w:val="-5"/>
          <w:lang w:val="hu-HU"/>
        </w:rPr>
        <w:t xml:space="preserve"> </w:t>
      </w:r>
      <w:r>
        <w:rPr>
          <w:lang w:val="hu-HU"/>
        </w:rPr>
        <w:t>tájékoztatniuk</w:t>
      </w:r>
      <w:r>
        <w:rPr>
          <w:spacing w:val="-6"/>
          <w:lang w:val="hu-HU"/>
        </w:rPr>
        <w:t xml:space="preserve"> </w:t>
      </w:r>
      <w:r>
        <w:rPr>
          <w:lang w:val="hu-HU"/>
        </w:rPr>
        <w:t>kell</w:t>
      </w:r>
      <w:r>
        <w:rPr>
          <w:spacing w:val="-5"/>
          <w:lang w:val="hu-HU"/>
        </w:rPr>
        <w:t xml:space="preserve"> </w:t>
      </w:r>
      <w:r>
        <w:rPr>
          <w:lang w:val="hu-HU"/>
        </w:rPr>
        <w:t>a</w:t>
      </w:r>
      <w:r>
        <w:rPr>
          <w:spacing w:val="-6"/>
          <w:lang w:val="hu-HU"/>
        </w:rPr>
        <w:t xml:space="preserve"> </w:t>
      </w:r>
      <w:r>
        <w:rPr>
          <w:lang w:val="hu-HU"/>
        </w:rPr>
        <w:t>kezelőorvost</w:t>
      </w:r>
      <w:r>
        <w:rPr>
          <w:spacing w:val="-5"/>
          <w:lang w:val="hu-HU"/>
        </w:rPr>
        <w:t xml:space="preserve"> </w:t>
      </w:r>
      <w:r>
        <w:rPr>
          <w:lang w:val="hu-HU"/>
        </w:rPr>
        <w:t>(lásd 4.8</w:t>
      </w:r>
      <w:r>
        <w:rPr>
          <w:spacing w:val="-2"/>
          <w:lang w:val="hu-HU"/>
        </w:rPr>
        <w:t> pont</w:t>
      </w:r>
      <w:r>
        <w:rPr>
          <w:lang w:val="hu-HU"/>
        </w:rPr>
        <w:t>).</w:t>
      </w:r>
    </w:p>
    <w:p w:rsidR="007D7140" w:rsidRDefault="007D7140">
      <w:pPr>
        <w:rPr>
          <w:lang w:val="hu-HU"/>
        </w:rPr>
      </w:pPr>
    </w:p>
    <w:p w:rsidR="007D7140" w:rsidRDefault="00A207BA">
      <w:pPr>
        <w:rPr>
          <w:i/>
          <w:lang w:val="hu-HU"/>
        </w:rPr>
      </w:pPr>
      <w:r>
        <w:rPr>
          <w:i/>
          <w:u w:val="single"/>
          <w:lang w:val="hu-HU"/>
        </w:rPr>
        <w:t>Átállítás</w:t>
      </w:r>
    </w:p>
    <w:p w:rsidR="007D7140" w:rsidRDefault="007D7140">
      <w:pPr>
        <w:rPr>
          <w:i/>
          <w:lang w:val="hu-HU"/>
        </w:rPr>
      </w:pPr>
    </w:p>
    <w:p w:rsidR="007D7140" w:rsidRDefault="00A207BA">
      <w:pPr>
        <w:rPr>
          <w:lang w:val="hu-HU"/>
        </w:rPr>
      </w:pPr>
      <w:r>
        <w:rPr>
          <w:lang w:val="hu-HU"/>
        </w:rPr>
        <w:t>Dabigatrán</w:t>
      </w:r>
      <w:r>
        <w:rPr>
          <w:lang w:val="hu-HU"/>
        </w:rPr>
        <w:noBreakHyphen/>
        <w:t>etexilát</w:t>
      </w:r>
      <w:r>
        <w:rPr>
          <w:lang w:val="hu-HU"/>
        </w:rPr>
        <w:noBreakHyphen/>
        <w:t>kezelésről</w:t>
      </w:r>
      <w:r>
        <w:rPr>
          <w:spacing w:val="-9"/>
          <w:lang w:val="hu-HU"/>
        </w:rPr>
        <w:t xml:space="preserve"> </w:t>
      </w:r>
      <w:r>
        <w:rPr>
          <w:lang w:val="hu-HU"/>
        </w:rPr>
        <w:t>parenterális</w:t>
      </w:r>
      <w:r>
        <w:rPr>
          <w:spacing w:val="-8"/>
          <w:lang w:val="hu-HU"/>
        </w:rPr>
        <w:t xml:space="preserve"> </w:t>
      </w:r>
      <w:r>
        <w:rPr>
          <w:lang w:val="hu-HU"/>
        </w:rPr>
        <w:t>antikoaguláns</w:t>
      </w:r>
      <w:r>
        <w:rPr>
          <w:lang w:val="hu-HU"/>
        </w:rPr>
        <w:noBreakHyphen/>
        <w:t>kezelésre:</w:t>
      </w:r>
    </w:p>
    <w:p w:rsidR="007D7140" w:rsidRDefault="00A207BA">
      <w:pPr>
        <w:rPr>
          <w:lang w:val="hu-HU"/>
        </w:rPr>
      </w:pPr>
      <w:r>
        <w:rPr>
          <w:lang w:val="hu-HU"/>
        </w:rPr>
        <w:t>A dabigatrán</w:t>
      </w:r>
      <w:r>
        <w:rPr>
          <w:lang w:val="hu-HU"/>
        </w:rPr>
        <w:noBreakHyphen/>
        <w:t>etexilátról parenterális antikoaguláns</w:t>
      </w:r>
      <w:r>
        <w:rPr>
          <w:lang w:val="hu-HU"/>
        </w:rPr>
        <w:noBreakHyphen/>
        <w:t>kezelésre történő átállításkor javasolt 12 órát várni az</w:t>
      </w:r>
      <w:r>
        <w:rPr>
          <w:spacing w:val="-2"/>
          <w:lang w:val="hu-HU"/>
        </w:rPr>
        <w:t xml:space="preserve"> </w:t>
      </w:r>
      <w:r>
        <w:rPr>
          <w:lang w:val="hu-HU"/>
        </w:rPr>
        <w:t>utolsó</w:t>
      </w:r>
      <w:r>
        <w:rPr>
          <w:spacing w:val="-1"/>
          <w:lang w:val="hu-HU"/>
        </w:rPr>
        <w:t xml:space="preserve"> </w:t>
      </w:r>
      <w:r>
        <w:rPr>
          <w:lang w:val="hu-HU"/>
        </w:rPr>
        <w:t>adag</w:t>
      </w:r>
      <w:r>
        <w:rPr>
          <w:spacing w:val="-1"/>
          <w:lang w:val="hu-HU"/>
        </w:rPr>
        <w:t xml:space="preserve"> </w:t>
      </w:r>
      <w:r>
        <w:rPr>
          <w:lang w:val="hu-HU"/>
        </w:rPr>
        <w:t>dabigatrán</w:t>
      </w:r>
      <w:r>
        <w:rPr>
          <w:lang w:val="hu-HU"/>
        </w:rPr>
        <w:noBreakHyphen/>
        <w:t>etexilát</w:t>
      </w:r>
      <w:r>
        <w:rPr>
          <w:spacing w:val="-1"/>
          <w:lang w:val="hu-HU"/>
        </w:rPr>
        <w:t xml:space="preserve"> </w:t>
      </w:r>
      <w:r>
        <w:rPr>
          <w:lang w:val="hu-HU"/>
        </w:rPr>
        <w:t>után</w:t>
      </w:r>
      <w:r>
        <w:rPr>
          <w:spacing w:val="-1"/>
          <w:lang w:val="hu-HU"/>
        </w:rPr>
        <w:t xml:space="preserve"> </w:t>
      </w:r>
      <w:r>
        <w:rPr>
          <w:lang w:val="hu-HU"/>
        </w:rPr>
        <w:t>(lásd</w:t>
      </w:r>
      <w:r>
        <w:rPr>
          <w:spacing w:val="-1"/>
          <w:lang w:val="hu-HU"/>
        </w:rPr>
        <w:t xml:space="preserve"> </w:t>
      </w:r>
      <w:r>
        <w:rPr>
          <w:lang w:val="hu-HU"/>
        </w:rPr>
        <w:t>4.5</w:t>
      </w:r>
      <w:r>
        <w:rPr>
          <w:spacing w:val="-3"/>
          <w:lang w:val="hu-HU"/>
        </w:rPr>
        <w:t> pont</w:t>
      </w:r>
      <w:r>
        <w:rPr>
          <w:lang w:val="hu-HU"/>
        </w:rPr>
        <w:t>).</w:t>
      </w:r>
    </w:p>
    <w:p w:rsidR="007D7140" w:rsidRDefault="007D7140">
      <w:pPr>
        <w:rPr>
          <w:lang w:val="hu-HU"/>
        </w:rPr>
      </w:pPr>
    </w:p>
    <w:p w:rsidR="007D7140" w:rsidRDefault="00A207BA">
      <w:pPr>
        <w:rPr>
          <w:lang w:val="hu-HU"/>
        </w:rPr>
      </w:pPr>
      <w:r>
        <w:rPr>
          <w:lang w:val="hu-HU"/>
        </w:rPr>
        <w:t>Parenterális</w:t>
      </w:r>
      <w:r>
        <w:rPr>
          <w:spacing w:val="-9"/>
          <w:lang w:val="hu-HU"/>
        </w:rPr>
        <w:t xml:space="preserve"> </w:t>
      </w:r>
      <w:r>
        <w:rPr>
          <w:lang w:val="hu-HU"/>
        </w:rPr>
        <w:t>antikoagulánsokról</w:t>
      </w:r>
      <w:r>
        <w:rPr>
          <w:spacing w:val="-8"/>
          <w:lang w:val="hu-HU"/>
        </w:rPr>
        <w:t xml:space="preserve"> </w:t>
      </w:r>
      <w:r>
        <w:rPr>
          <w:lang w:val="hu-HU"/>
        </w:rPr>
        <w:t>dabigatrán</w:t>
      </w:r>
      <w:r>
        <w:rPr>
          <w:lang w:val="hu-HU"/>
        </w:rPr>
        <w:noBreakHyphen/>
        <w:t>etexilátra:</w:t>
      </w:r>
    </w:p>
    <w:p w:rsidR="007D7140" w:rsidRDefault="00A207BA">
      <w:pPr>
        <w:rPr>
          <w:lang w:val="hu-HU"/>
        </w:rPr>
      </w:pPr>
      <w:r>
        <w:rPr>
          <w:lang w:val="hu-HU"/>
        </w:rPr>
        <w:t>Az antikoaguláns kezelés következő dózisának esedékessége előtt 0</w:t>
      </w:r>
      <w:r>
        <w:rPr>
          <w:lang w:val="hu-HU"/>
        </w:rPr>
        <w:noBreakHyphen/>
        <w:t>2 órával a parenterális</w:t>
      </w:r>
      <w:r>
        <w:rPr>
          <w:spacing w:val="1"/>
          <w:lang w:val="hu-HU"/>
        </w:rPr>
        <w:t xml:space="preserve"> </w:t>
      </w:r>
      <w:r>
        <w:rPr>
          <w:lang w:val="hu-HU"/>
        </w:rPr>
        <w:t>antikoaguláns</w:t>
      </w:r>
      <w:r>
        <w:rPr>
          <w:lang w:val="hu-HU"/>
        </w:rPr>
        <w:noBreakHyphen/>
        <w:t>kezelést le kell állítani, és a dabigatrán</w:t>
      </w:r>
      <w:r>
        <w:rPr>
          <w:lang w:val="hu-HU"/>
        </w:rPr>
        <w:noBreakHyphen/>
        <w:t>etexilát</w:t>
      </w:r>
      <w:r>
        <w:rPr>
          <w:lang w:val="hu-HU"/>
        </w:rPr>
        <w:noBreakHyphen/>
        <w:t>kezelést meg kell kezdeni, illetve a</w:t>
      </w:r>
      <w:r>
        <w:rPr>
          <w:spacing w:val="1"/>
          <w:lang w:val="hu-HU"/>
        </w:rPr>
        <w:t xml:space="preserve"> </w:t>
      </w:r>
      <w:r>
        <w:rPr>
          <w:lang w:val="hu-HU"/>
        </w:rPr>
        <w:t>folyamatos kezelés (pl. intravénás nem frakcionált heparin [UFH]) esetén az antikoaguláns terápia leállításakor</w:t>
      </w:r>
      <w:r>
        <w:rPr>
          <w:spacing w:val="-2"/>
          <w:lang w:val="hu-HU"/>
        </w:rPr>
        <w:t xml:space="preserve"> </w:t>
      </w:r>
      <w:r>
        <w:rPr>
          <w:lang w:val="hu-HU"/>
        </w:rPr>
        <w:t>kell</w:t>
      </w:r>
      <w:r>
        <w:rPr>
          <w:spacing w:val="-2"/>
          <w:lang w:val="hu-HU"/>
        </w:rPr>
        <w:t xml:space="preserve"> </w:t>
      </w:r>
      <w:r>
        <w:rPr>
          <w:lang w:val="hu-HU"/>
        </w:rPr>
        <w:t>megkezdeni</w:t>
      </w:r>
      <w:r>
        <w:rPr>
          <w:spacing w:val="-2"/>
          <w:lang w:val="hu-HU"/>
        </w:rPr>
        <w:t xml:space="preserve"> </w:t>
      </w:r>
      <w:r>
        <w:rPr>
          <w:lang w:val="hu-HU"/>
        </w:rPr>
        <w:t>a</w:t>
      </w:r>
      <w:r>
        <w:rPr>
          <w:spacing w:val="-2"/>
          <w:lang w:val="hu-HU"/>
        </w:rPr>
        <w:t xml:space="preserve"> </w:t>
      </w:r>
      <w:r>
        <w:rPr>
          <w:lang w:val="hu-HU"/>
        </w:rPr>
        <w:t>dabigatrán</w:t>
      </w:r>
      <w:r>
        <w:rPr>
          <w:lang w:val="hu-HU"/>
        </w:rPr>
        <w:noBreakHyphen/>
        <w:t>etexilát</w:t>
      </w:r>
      <w:r>
        <w:rPr>
          <w:spacing w:val="-2"/>
          <w:lang w:val="hu-HU"/>
        </w:rPr>
        <w:t xml:space="preserve"> </w:t>
      </w:r>
      <w:r>
        <w:rPr>
          <w:lang w:val="hu-HU"/>
        </w:rPr>
        <w:t>alkalmazását</w:t>
      </w:r>
      <w:r>
        <w:rPr>
          <w:spacing w:val="-2"/>
          <w:lang w:val="hu-HU"/>
        </w:rPr>
        <w:t xml:space="preserve"> </w:t>
      </w:r>
      <w:r>
        <w:rPr>
          <w:lang w:val="hu-HU"/>
        </w:rPr>
        <w:t>(lásd</w:t>
      </w:r>
      <w:r>
        <w:rPr>
          <w:spacing w:val="-2"/>
          <w:lang w:val="hu-HU"/>
        </w:rPr>
        <w:t xml:space="preserve"> </w:t>
      </w:r>
      <w:r>
        <w:rPr>
          <w:lang w:val="hu-HU"/>
        </w:rPr>
        <w:t>4.5</w:t>
      </w:r>
      <w:r>
        <w:rPr>
          <w:spacing w:val="-5"/>
          <w:lang w:val="hu-HU"/>
        </w:rPr>
        <w:t> pont</w:t>
      </w:r>
      <w:r>
        <w:rPr>
          <w:lang w:val="hu-HU"/>
        </w:rPr>
        <w:t>).</w:t>
      </w:r>
    </w:p>
    <w:p w:rsidR="007D7140" w:rsidRDefault="007D7140">
      <w:pPr>
        <w:rPr>
          <w:lang w:val="hu-HU"/>
        </w:rPr>
      </w:pPr>
    </w:p>
    <w:p w:rsidR="007D7140" w:rsidRDefault="00A207BA">
      <w:pPr>
        <w:rPr>
          <w:lang w:val="hu-HU"/>
        </w:rPr>
      </w:pPr>
      <w:r>
        <w:rPr>
          <w:lang w:val="hu-HU"/>
        </w:rPr>
        <w:t>Dabigatrán</w:t>
      </w:r>
      <w:r>
        <w:rPr>
          <w:lang w:val="hu-HU"/>
        </w:rPr>
        <w:noBreakHyphen/>
        <w:t>etexilátról</w:t>
      </w:r>
      <w:r>
        <w:rPr>
          <w:spacing w:val="-6"/>
          <w:lang w:val="hu-HU"/>
        </w:rPr>
        <w:t xml:space="preserve"> </w:t>
      </w:r>
      <w:r>
        <w:rPr>
          <w:lang w:val="hu-HU"/>
        </w:rPr>
        <w:t>K</w:t>
      </w:r>
      <w:r>
        <w:rPr>
          <w:lang w:val="hu-HU"/>
        </w:rPr>
        <w:noBreakHyphen/>
        <w:t>vitamin</w:t>
      </w:r>
      <w:r>
        <w:rPr>
          <w:spacing w:val="-7"/>
          <w:lang w:val="hu-HU"/>
        </w:rPr>
        <w:t xml:space="preserve"> </w:t>
      </w:r>
      <w:r>
        <w:rPr>
          <w:lang w:val="hu-HU"/>
        </w:rPr>
        <w:t>antagonistákra</w:t>
      </w:r>
      <w:r>
        <w:rPr>
          <w:spacing w:val="-6"/>
          <w:lang w:val="hu-HU"/>
        </w:rPr>
        <w:t xml:space="preserve"> </w:t>
      </w:r>
      <w:r>
        <w:rPr>
          <w:lang w:val="hu-HU"/>
        </w:rPr>
        <w:t>(KVA):</w:t>
      </w:r>
    </w:p>
    <w:p w:rsidR="007D7140" w:rsidRDefault="00A207BA">
      <w:pPr>
        <w:rPr>
          <w:lang w:val="hu-HU"/>
        </w:rPr>
      </w:pPr>
      <w:r>
        <w:rPr>
          <w:lang w:val="hu-HU"/>
        </w:rPr>
        <w:t>A betegeknél a KVA adagolását 3 nappal a dabigatrán</w:t>
      </w:r>
      <w:r>
        <w:rPr>
          <w:lang w:val="hu-HU"/>
        </w:rPr>
        <w:noBreakHyphen/>
        <w:t>etexilát adagolásának abbahagyása előtt kell elkezdeni.</w:t>
      </w:r>
    </w:p>
    <w:p w:rsidR="007D7140" w:rsidRDefault="00A207BA">
      <w:pPr>
        <w:rPr>
          <w:lang w:val="hu-HU"/>
        </w:rPr>
      </w:pPr>
      <w:r>
        <w:rPr>
          <w:lang w:val="hu-HU"/>
        </w:rPr>
        <w:t>Mivel a dabigatrán</w:t>
      </w:r>
      <w:r>
        <w:rPr>
          <w:lang w:val="hu-HU"/>
        </w:rPr>
        <w:noBreakHyphen/>
        <w:t>etexilát befolyásolhatja a nemzetközi normalizált arányt (</w:t>
      </w:r>
      <w:r>
        <w:rPr>
          <w:color w:val="000000"/>
          <w:lang w:bidi="en-US"/>
        </w:rPr>
        <w:t>International Normalised Ratio</w:t>
      </w:r>
      <w:r>
        <w:rPr>
          <w:lang w:val="hu-HU"/>
        </w:rPr>
        <w:t>, INR), az INR csak</w:t>
      </w:r>
      <w:r>
        <w:rPr>
          <w:spacing w:val="1"/>
          <w:lang w:val="hu-HU"/>
        </w:rPr>
        <w:t xml:space="preserve"> </w:t>
      </w:r>
      <w:r>
        <w:rPr>
          <w:lang w:val="hu-HU"/>
        </w:rPr>
        <w:t>akkor mutatja megfelelően a KVA hatását, ha a dabigatrán</w:t>
      </w:r>
      <w:r>
        <w:rPr>
          <w:lang w:val="hu-HU"/>
        </w:rPr>
        <w:noBreakHyphen/>
        <w:t>etexilátot már legalább 2 napja leállították. Addig az</w:t>
      </w:r>
      <w:r>
        <w:rPr>
          <w:spacing w:val="-1"/>
          <w:lang w:val="hu-HU"/>
        </w:rPr>
        <w:t xml:space="preserve"> </w:t>
      </w:r>
      <w:r>
        <w:rPr>
          <w:lang w:val="hu-HU"/>
        </w:rPr>
        <w:t>INR</w:t>
      </w:r>
      <w:r>
        <w:rPr>
          <w:spacing w:val="-1"/>
          <w:lang w:val="hu-HU"/>
        </w:rPr>
        <w:t xml:space="preserve"> </w:t>
      </w:r>
      <w:r>
        <w:rPr>
          <w:lang w:val="hu-HU"/>
        </w:rPr>
        <w:t>értékeket</w:t>
      </w:r>
      <w:r>
        <w:rPr>
          <w:spacing w:val="-2"/>
          <w:lang w:val="hu-HU"/>
        </w:rPr>
        <w:t xml:space="preserve"> </w:t>
      </w:r>
      <w:r>
        <w:rPr>
          <w:lang w:val="hu-HU"/>
        </w:rPr>
        <w:t>megfelelő óvatossággal</w:t>
      </w:r>
      <w:r>
        <w:rPr>
          <w:spacing w:val="-1"/>
          <w:lang w:val="hu-HU"/>
        </w:rPr>
        <w:t xml:space="preserve"> </w:t>
      </w:r>
      <w:r>
        <w:rPr>
          <w:lang w:val="hu-HU"/>
        </w:rPr>
        <w:t>kell</w:t>
      </w:r>
      <w:r>
        <w:rPr>
          <w:spacing w:val="-1"/>
          <w:lang w:val="hu-HU"/>
        </w:rPr>
        <w:t xml:space="preserve"> </w:t>
      </w:r>
      <w:r>
        <w:rPr>
          <w:lang w:val="hu-HU"/>
        </w:rPr>
        <w:t>értelmezni.</w:t>
      </w:r>
    </w:p>
    <w:p w:rsidR="007D7140" w:rsidRDefault="007D7140">
      <w:pPr>
        <w:rPr>
          <w:lang w:val="hu-HU"/>
        </w:rPr>
      </w:pPr>
    </w:p>
    <w:p w:rsidR="007D7140" w:rsidRDefault="00A207BA">
      <w:pPr>
        <w:rPr>
          <w:lang w:val="hu-HU"/>
        </w:rPr>
      </w:pPr>
      <w:r>
        <w:rPr>
          <w:lang w:val="hu-HU"/>
        </w:rPr>
        <w:t>KVA</w:t>
      </w:r>
      <w:r>
        <w:rPr>
          <w:lang w:val="hu-HU"/>
        </w:rPr>
        <w:noBreakHyphen/>
        <w:t>ról</w:t>
      </w:r>
      <w:r>
        <w:rPr>
          <w:spacing w:val="-7"/>
          <w:lang w:val="hu-HU"/>
        </w:rPr>
        <w:t xml:space="preserve"> </w:t>
      </w:r>
      <w:r>
        <w:rPr>
          <w:lang w:val="hu-HU"/>
        </w:rPr>
        <w:t>dabigatrán</w:t>
      </w:r>
      <w:r>
        <w:rPr>
          <w:lang w:val="hu-HU"/>
        </w:rPr>
        <w:noBreakHyphen/>
        <w:t>etexilátra:</w:t>
      </w:r>
    </w:p>
    <w:p w:rsidR="007D7140" w:rsidRDefault="00A207BA">
      <w:pPr>
        <w:rPr>
          <w:lang w:val="hu-HU"/>
        </w:rPr>
      </w:pPr>
      <w:r>
        <w:rPr>
          <w:lang w:val="hu-HU"/>
        </w:rPr>
        <w:t>A KVA</w:t>
      </w:r>
      <w:r>
        <w:rPr>
          <w:lang w:val="hu-HU"/>
        </w:rPr>
        <w:noBreakHyphen/>
        <w:t>t le kell állítani. A dabigatrán</w:t>
      </w:r>
      <w:r>
        <w:rPr>
          <w:lang w:val="hu-HU"/>
        </w:rPr>
        <w:noBreakHyphen/>
        <w:t>etexilát adása akkor kezdhető el, ha az INR &lt; 2,0.</w:t>
      </w:r>
    </w:p>
    <w:p w:rsidR="007D7140" w:rsidRDefault="007D7140">
      <w:pPr>
        <w:rPr>
          <w:lang w:val="hu-HU"/>
        </w:rPr>
      </w:pPr>
    </w:p>
    <w:p w:rsidR="007D7140" w:rsidRDefault="00A207BA">
      <w:pPr>
        <w:rPr>
          <w:u w:val="single"/>
          <w:lang w:val="hu-HU"/>
        </w:rPr>
      </w:pPr>
      <w:r>
        <w:rPr>
          <w:u w:val="single"/>
          <w:lang w:val="hu-HU"/>
        </w:rPr>
        <w:t>Az alkalmazás</w:t>
      </w:r>
      <w:r>
        <w:rPr>
          <w:spacing w:val="-1"/>
          <w:u w:val="single"/>
          <w:lang w:val="hu-HU"/>
        </w:rPr>
        <w:t xml:space="preserve"> </w:t>
      </w:r>
      <w:r>
        <w:rPr>
          <w:u w:val="single"/>
          <w:lang w:val="hu-HU"/>
        </w:rPr>
        <w:t>módja</w:t>
      </w:r>
    </w:p>
    <w:p w:rsidR="007D7140" w:rsidRDefault="007D7140">
      <w:pPr>
        <w:rPr>
          <w:lang w:val="hu-HU"/>
        </w:rPr>
      </w:pPr>
    </w:p>
    <w:p w:rsidR="007D7140" w:rsidRDefault="00A207BA">
      <w:pPr>
        <w:rPr>
          <w:lang w:val="hu-HU"/>
        </w:rPr>
      </w:pPr>
      <w:r>
        <w:rPr>
          <w:lang w:val="hu-HU"/>
        </w:rPr>
        <w:t>A</w:t>
      </w:r>
      <w:r>
        <w:rPr>
          <w:spacing w:val="-4"/>
          <w:lang w:val="hu-HU"/>
        </w:rPr>
        <w:t xml:space="preserve"> </w:t>
      </w:r>
      <w:r>
        <w:rPr>
          <w:lang w:val="hu-HU"/>
        </w:rPr>
        <w:t>gyógyszer</w:t>
      </w:r>
      <w:r>
        <w:rPr>
          <w:spacing w:val="-4"/>
          <w:lang w:val="hu-HU"/>
        </w:rPr>
        <w:t xml:space="preserve"> </w:t>
      </w:r>
      <w:r>
        <w:rPr>
          <w:lang w:val="hu-HU"/>
        </w:rPr>
        <w:t>szájon</w:t>
      </w:r>
      <w:r>
        <w:rPr>
          <w:spacing w:val="-4"/>
          <w:lang w:val="hu-HU"/>
        </w:rPr>
        <w:t xml:space="preserve"> </w:t>
      </w:r>
      <w:r>
        <w:rPr>
          <w:lang w:val="hu-HU"/>
        </w:rPr>
        <w:t>át</w:t>
      </w:r>
      <w:r>
        <w:rPr>
          <w:spacing w:val="-4"/>
          <w:lang w:val="hu-HU"/>
        </w:rPr>
        <w:t xml:space="preserve"> </w:t>
      </w:r>
      <w:r>
        <w:rPr>
          <w:lang w:val="hu-HU"/>
        </w:rPr>
        <w:t>történő</w:t>
      </w:r>
      <w:r>
        <w:rPr>
          <w:spacing w:val="-4"/>
          <w:lang w:val="hu-HU"/>
        </w:rPr>
        <w:t xml:space="preserve"> </w:t>
      </w:r>
      <w:r>
        <w:rPr>
          <w:lang w:val="hu-HU"/>
        </w:rPr>
        <w:t>alkalmazásra</w:t>
      </w:r>
      <w:r>
        <w:rPr>
          <w:spacing w:val="-4"/>
          <w:lang w:val="hu-HU"/>
        </w:rPr>
        <w:t xml:space="preserve"> </w:t>
      </w:r>
      <w:r>
        <w:rPr>
          <w:lang w:val="hu-HU"/>
        </w:rPr>
        <w:t>való.</w:t>
      </w:r>
    </w:p>
    <w:p w:rsidR="007D7140" w:rsidRDefault="00A207BA">
      <w:pPr>
        <w:rPr>
          <w:lang w:val="hu-HU"/>
        </w:rPr>
      </w:pPr>
      <w:r>
        <w:rPr>
          <w:lang w:val="hu-HU"/>
        </w:rPr>
        <w:t>A kapszulák étkezés közben, vagy étkezéstől függetlenül is bevehetőek. A kapszulákat egészben,</w:t>
      </w:r>
      <w:r>
        <w:rPr>
          <w:spacing w:val="-2"/>
          <w:lang w:val="hu-HU"/>
        </w:rPr>
        <w:t xml:space="preserve"> </w:t>
      </w:r>
      <w:r>
        <w:rPr>
          <w:lang w:val="hu-HU"/>
        </w:rPr>
        <w:t>a</w:t>
      </w:r>
      <w:r>
        <w:rPr>
          <w:spacing w:val="-2"/>
          <w:lang w:val="hu-HU"/>
        </w:rPr>
        <w:t xml:space="preserve"> </w:t>
      </w:r>
      <w:r>
        <w:rPr>
          <w:lang w:val="hu-HU"/>
        </w:rPr>
        <w:t>gyomorba</w:t>
      </w:r>
      <w:r>
        <w:rPr>
          <w:spacing w:val="-2"/>
          <w:lang w:val="hu-HU"/>
        </w:rPr>
        <w:t xml:space="preserve"> </w:t>
      </w:r>
      <w:r>
        <w:rPr>
          <w:lang w:val="hu-HU"/>
        </w:rPr>
        <w:t>jutás</w:t>
      </w:r>
      <w:r>
        <w:rPr>
          <w:spacing w:val="-2"/>
          <w:lang w:val="hu-HU"/>
        </w:rPr>
        <w:t xml:space="preserve"> </w:t>
      </w:r>
      <w:r>
        <w:rPr>
          <w:lang w:val="hu-HU"/>
        </w:rPr>
        <w:t>elősegítése</w:t>
      </w:r>
      <w:r>
        <w:rPr>
          <w:spacing w:val="-2"/>
          <w:lang w:val="hu-HU"/>
        </w:rPr>
        <w:t xml:space="preserve"> </w:t>
      </w:r>
      <w:r>
        <w:rPr>
          <w:lang w:val="hu-HU"/>
        </w:rPr>
        <w:t>érdekében</w:t>
      </w:r>
      <w:r>
        <w:rPr>
          <w:spacing w:val="-2"/>
          <w:lang w:val="hu-HU"/>
        </w:rPr>
        <w:t xml:space="preserve"> </w:t>
      </w:r>
      <w:r>
        <w:rPr>
          <w:lang w:val="hu-HU"/>
        </w:rPr>
        <w:t>egy</w:t>
      </w:r>
      <w:r>
        <w:rPr>
          <w:spacing w:val="-2"/>
          <w:lang w:val="hu-HU"/>
        </w:rPr>
        <w:t xml:space="preserve"> </w:t>
      </w:r>
      <w:r>
        <w:rPr>
          <w:lang w:val="hu-HU"/>
        </w:rPr>
        <w:t>pohár</w:t>
      </w:r>
      <w:r>
        <w:rPr>
          <w:spacing w:val="-2"/>
          <w:lang w:val="hu-HU"/>
        </w:rPr>
        <w:t xml:space="preserve"> </w:t>
      </w:r>
      <w:r>
        <w:rPr>
          <w:lang w:val="hu-HU"/>
        </w:rPr>
        <w:t>vízzel</w:t>
      </w:r>
      <w:r>
        <w:rPr>
          <w:spacing w:val="-2"/>
          <w:lang w:val="hu-HU"/>
        </w:rPr>
        <w:t xml:space="preserve"> </w:t>
      </w:r>
      <w:r>
        <w:rPr>
          <w:lang w:val="hu-HU"/>
        </w:rPr>
        <w:t>kell</w:t>
      </w:r>
      <w:r>
        <w:rPr>
          <w:spacing w:val="-2"/>
          <w:lang w:val="hu-HU"/>
        </w:rPr>
        <w:t xml:space="preserve"> </w:t>
      </w:r>
      <w:r>
        <w:rPr>
          <w:lang w:val="hu-HU"/>
        </w:rPr>
        <w:t>bevenni.</w:t>
      </w:r>
    </w:p>
    <w:p w:rsidR="007D7140" w:rsidRDefault="00A207BA">
      <w:pPr>
        <w:rPr>
          <w:lang w:val="hu-HU"/>
        </w:rPr>
      </w:pPr>
      <w:r>
        <w:rPr>
          <w:lang w:val="hu-HU"/>
        </w:rPr>
        <w:t>A betegek figyelmét fel kell hívni arra, hogy ne nyissák fel a kapszulát, mivel ez fokozhatja a vérzés veszélyét</w:t>
      </w:r>
      <w:r>
        <w:rPr>
          <w:spacing w:val="-2"/>
          <w:lang w:val="hu-HU"/>
        </w:rPr>
        <w:t xml:space="preserve"> </w:t>
      </w:r>
      <w:r>
        <w:rPr>
          <w:lang w:val="hu-HU"/>
        </w:rPr>
        <w:t>(lásd</w:t>
      </w:r>
      <w:r>
        <w:rPr>
          <w:spacing w:val="-1"/>
          <w:lang w:val="hu-HU"/>
        </w:rPr>
        <w:t xml:space="preserve"> </w:t>
      </w:r>
      <w:r>
        <w:rPr>
          <w:lang w:val="hu-HU"/>
        </w:rPr>
        <w:t>5.2</w:t>
      </w:r>
      <w:r>
        <w:rPr>
          <w:spacing w:val="-1"/>
          <w:lang w:val="hu-HU"/>
        </w:rPr>
        <w:t xml:space="preserve"> </w:t>
      </w:r>
      <w:r>
        <w:rPr>
          <w:lang w:val="hu-HU"/>
        </w:rPr>
        <w:t>és</w:t>
      </w:r>
      <w:r>
        <w:rPr>
          <w:spacing w:val="-1"/>
          <w:lang w:val="hu-HU"/>
        </w:rPr>
        <w:t xml:space="preserve"> </w:t>
      </w:r>
      <w:r>
        <w:rPr>
          <w:lang w:val="hu-HU"/>
        </w:rPr>
        <w:t>6.6 pont).</w:t>
      </w:r>
    </w:p>
    <w:p w:rsidR="007D7140" w:rsidRDefault="007D7140">
      <w:pPr>
        <w:rPr>
          <w:lang w:val="hu-HU"/>
        </w:rPr>
      </w:pPr>
    </w:p>
    <w:p w:rsidR="007D7140" w:rsidRDefault="00A207BA">
      <w:pPr>
        <w:rPr>
          <w:lang w:val="hu-HU"/>
        </w:rPr>
      </w:pPr>
      <w:r>
        <w:rPr>
          <w:lang w:val="hu-HU"/>
        </w:rPr>
        <w:t xml:space="preserve">8 évesnél fiatalabb gyermekgyógyászati betegek, illetve olyan idősebb betegek kezelésére, akiknek a nyelés nehézséget okoz, vagy nem képesek lenyelni a kapszulát, további, koruknak megfelelő dózisformák állnak rendelkezésre, mint például az alábbiak: </w:t>
      </w:r>
    </w:p>
    <w:p w:rsidR="007D7140" w:rsidRDefault="00A207BA">
      <w:pPr>
        <w:pStyle w:val="Listaszerbekezds"/>
        <w:numPr>
          <w:ilvl w:val="0"/>
          <w:numId w:val="6"/>
        </w:numPr>
        <w:ind w:left="567" w:hanging="567"/>
        <w:rPr>
          <w:lang w:val="hu-HU"/>
        </w:rPr>
      </w:pPr>
      <w:r>
        <w:rPr>
          <w:lang w:val="hu-HU"/>
        </w:rPr>
        <w:t>Dabigatrán</w:t>
      </w:r>
      <w:r>
        <w:rPr>
          <w:lang w:val="hu-HU"/>
        </w:rPr>
        <w:noBreakHyphen/>
        <w:t xml:space="preserve">etexilát bevont granulátum, amely 12 éves kor alatti gyermekeknél alkalmazható, amint a gyermek képes pépes ételek lenyelésére. </w:t>
      </w:r>
    </w:p>
    <w:p w:rsidR="007D7140" w:rsidRDefault="00A207BA">
      <w:pPr>
        <w:pStyle w:val="Listaszerbekezds"/>
        <w:numPr>
          <w:ilvl w:val="0"/>
          <w:numId w:val="6"/>
        </w:numPr>
        <w:ind w:left="567" w:hanging="567"/>
        <w:rPr>
          <w:lang w:val="hu-HU"/>
        </w:rPr>
      </w:pPr>
      <w:r>
        <w:rPr>
          <w:lang w:val="hu-HU"/>
        </w:rPr>
        <w:t>A dabigatrán</w:t>
      </w:r>
      <w:r>
        <w:rPr>
          <w:lang w:val="hu-HU"/>
        </w:rPr>
        <w:noBreakHyphen/>
        <w:t xml:space="preserve">etexilát por és oldószer belsőleges oldathoz kizárólag 1 évesnél fiatalabb gyermekeknél alkalmazható. </w:t>
      </w:r>
    </w:p>
    <w:p w:rsidR="007D7140" w:rsidRDefault="007D7140">
      <w:pPr>
        <w:rPr>
          <w:lang w:val="hu-HU"/>
        </w:rPr>
      </w:pPr>
    </w:p>
    <w:p w:rsidR="007D7140" w:rsidRDefault="00A207BA">
      <w:pPr>
        <w:tabs>
          <w:tab w:val="left" w:pos="567"/>
        </w:tabs>
        <w:rPr>
          <w:b/>
          <w:bCs/>
          <w:lang w:val="hu-HU"/>
        </w:rPr>
      </w:pPr>
      <w:r>
        <w:rPr>
          <w:b/>
          <w:bCs/>
          <w:lang w:val="hu-HU"/>
        </w:rPr>
        <w:t xml:space="preserve">4.3 </w:t>
      </w:r>
      <w:r>
        <w:rPr>
          <w:b/>
          <w:bCs/>
          <w:lang w:val="hu-HU"/>
        </w:rPr>
        <w:tab/>
        <w:t>Ellenjavallatok</w:t>
      </w:r>
    </w:p>
    <w:p w:rsidR="007D7140" w:rsidRDefault="007D7140">
      <w:pPr>
        <w:rPr>
          <w:lang w:val="hu-HU"/>
        </w:rPr>
      </w:pPr>
    </w:p>
    <w:p w:rsidR="007D7140" w:rsidRDefault="00A207BA">
      <w:pPr>
        <w:pStyle w:val="Listaszerbekezds"/>
        <w:numPr>
          <w:ilvl w:val="0"/>
          <w:numId w:val="7"/>
        </w:numPr>
        <w:ind w:left="567" w:hanging="567"/>
        <w:rPr>
          <w:lang w:val="hu-HU"/>
        </w:rPr>
      </w:pPr>
      <w:r>
        <w:rPr>
          <w:lang w:val="hu-HU"/>
        </w:rPr>
        <w:t>A készítmény hatóanyagával vagy a 6.1 pontban felsorolt bármely segédanyagával szembeni túlérzékenység.</w:t>
      </w:r>
    </w:p>
    <w:p w:rsidR="007D7140" w:rsidRDefault="00A207BA">
      <w:pPr>
        <w:pStyle w:val="Listaszerbekezds"/>
        <w:numPr>
          <w:ilvl w:val="0"/>
          <w:numId w:val="7"/>
        </w:numPr>
        <w:ind w:left="567" w:hanging="567"/>
        <w:rPr>
          <w:lang w:val="hu-HU"/>
        </w:rPr>
      </w:pPr>
      <w:r>
        <w:rPr>
          <w:lang w:val="hu-HU"/>
        </w:rPr>
        <w:t>Súlyos</w:t>
      </w:r>
      <w:r>
        <w:rPr>
          <w:spacing w:val="-5"/>
          <w:lang w:val="hu-HU"/>
        </w:rPr>
        <w:t xml:space="preserve"> </w:t>
      </w:r>
      <w:r>
        <w:rPr>
          <w:lang w:val="hu-HU"/>
        </w:rPr>
        <w:t>fokú</w:t>
      </w:r>
      <w:r>
        <w:rPr>
          <w:spacing w:val="-5"/>
          <w:lang w:val="hu-HU"/>
        </w:rPr>
        <w:t xml:space="preserve"> </w:t>
      </w:r>
      <w:r>
        <w:rPr>
          <w:lang w:val="hu-HU"/>
        </w:rPr>
        <w:t>vesekárosodás</w:t>
      </w:r>
      <w:r>
        <w:rPr>
          <w:spacing w:val="-4"/>
          <w:lang w:val="hu-HU"/>
        </w:rPr>
        <w:t xml:space="preserve"> </w:t>
      </w:r>
      <w:r>
        <w:rPr>
          <w:lang w:val="hu-HU"/>
        </w:rPr>
        <w:t>(CrCl</w:t>
      </w:r>
      <w:r>
        <w:rPr>
          <w:spacing w:val="-5"/>
          <w:lang w:val="hu-HU"/>
        </w:rPr>
        <w:t xml:space="preserve"> </w:t>
      </w:r>
      <w:r>
        <w:rPr>
          <w:lang w:val="hu-HU"/>
        </w:rPr>
        <w:t>&lt; 30</w:t>
      </w:r>
      <w:r>
        <w:rPr>
          <w:spacing w:val="-3"/>
          <w:lang w:val="hu-HU"/>
        </w:rPr>
        <w:t> ml</w:t>
      </w:r>
      <w:r>
        <w:rPr>
          <w:lang w:val="hu-HU"/>
        </w:rPr>
        <w:t>/perc)</w:t>
      </w:r>
      <w:r>
        <w:rPr>
          <w:spacing w:val="-5"/>
          <w:lang w:val="hu-HU"/>
        </w:rPr>
        <w:t xml:space="preserve"> </w:t>
      </w:r>
      <w:r>
        <w:rPr>
          <w:lang w:val="hu-HU"/>
        </w:rPr>
        <w:t>felnőtt</w:t>
      </w:r>
      <w:r>
        <w:rPr>
          <w:spacing w:val="-4"/>
          <w:lang w:val="hu-HU"/>
        </w:rPr>
        <w:t xml:space="preserve"> </w:t>
      </w:r>
      <w:r>
        <w:rPr>
          <w:lang w:val="hu-HU"/>
        </w:rPr>
        <w:t>betegeknél.</w:t>
      </w:r>
    </w:p>
    <w:p w:rsidR="007D7140" w:rsidRDefault="00A207BA">
      <w:pPr>
        <w:pStyle w:val="Listaszerbekezds"/>
        <w:numPr>
          <w:ilvl w:val="0"/>
          <w:numId w:val="7"/>
        </w:numPr>
        <w:ind w:left="567" w:hanging="567"/>
        <w:rPr>
          <w:lang w:val="hu-HU"/>
        </w:rPr>
      </w:pPr>
      <w:r>
        <w:rPr>
          <w:lang w:val="hu-HU"/>
        </w:rPr>
        <w:t>eGFR</w:t>
      </w:r>
      <w:r>
        <w:rPr>
          <w:spacing w:val="-5"/>
          <w:lang w:val="hu-HU"/>
        </w:rPr>
        <w:t xml:space="preserve"> </w:t>
      </w:r>
      <w:r>
        <w:rPr>
          <w:lang w:val="hu-HU"/>
        </w:rPr>
        <w:t>&lt; 50</w:t>
      </w:r>
      <w:r>
        <w:rPr>
          <w:spacing w:val="-3"/>
          <w:lang w:val="hu-HU"/>
        </w:rPr>
        <w:t> ml</w:t>
      </w:r>
      <w:r>
        <w:rPr>
          <w:lang w:val="hu-HU"/>
        </w:rPr>
        <w:t>/perc/1,73m</w:t>
      </w:r>
      <w:r>
        <w:rPr>
          <w:vertAlign w:val="superscript"/>
          <w:lang w:val="hu-HU"/>
        </w:rPr>
        <w:t>2</w:t>
      </w:r>
      <w:r>
        <w:rPr>
          <w:spacing w:val="-4"/>
          <w:lang w:val="hu-HU"/>
        </w:rPr>
        <w:t xml:space="preserve"> </w:t>
      </w:r>
      <w:r>
        <w:rPr>
          <w:lang w:val="hu-HU"/>
        </w:rPr>
        <w:t>gyermeknél</w:t>
      </w:r>
      <w:r>
        <w:rPr>
          <w:spacing w:val="-4"/>
          <w:lang w:val="hu-HU"/>
        </w:rPr>
        <w:t xml:space="preserve"> </w:t>
      </w:r>
      <w:r>
        <w:rPr>
          <w:lang w:val="hu-HU"/>
        </w:rPr>
        <w:t>és</w:t>
      </w:r>
      <w:r>
        <w:rPr>
          <w:spacing w:val="-5"/>
          <w:lang w:val="hu-HU"/>
        </w:rPr>
        <w:t xml:space="preserve"> </w:t>
      </w:r>
      <w:r>
        <w:rPr>
          <w:lang w:val="hu-HU"/>
        </w:rPr>
        <w:t>serdülőknél.</w:t>
      </w:r>
    </w:p>
    <w:p w:rsidR="007D7140" w:rsidRDefault="00A207BA">
      <w:pPr>
        <w:pStyle w:val="Listaszerbekezds"/>
        <w:numPr>
          <w:ilvl w:val="0"/>
          <w:numId w:val="7"/>
        </w:numPr>
        <w:ind w:left="567" w:hanging="567"/>
        <w:rPr>
          <w:lang w:val="hu-HU"/>
        </w:rPr>
      </w:pPr>
      <w:r>
        <w:rPr>
          <w:lang w:val="hu-HU"/>
        </w:rPr>
        <w:t>Aktív,</w:t>
      </w:r>
      <w:r>
        <w:rPr>
          <w:spacing w:val="-6"/>
          <w:lang w:val="hu-HU"/>
        </w:rPr>
        <w:t xml:space="preserve"> </w:t>
      </w:r>
      <w:r>
        <w:rPr>
          <w:lang w:val="hu-HU"/>
        </w:rPr>
        <w:t>klinikailag</w:t>
      </w:r>
      <w:r>
        <w:rPr>
          <w:spacing w:val="-5"/>
          <w:lang w:val="hu-HU"/>
        </w:rPr>
        <w:t xml:space="preserve"> </w:t>
      </w:r>
      <w:r>
        <w:rPr>
          <w:lang w:val="hu-HU"/>
        </w:rPr>
        <w:t>jelentős</w:t>
      </w:r>
      <w:r>
        <w:rPr>
          <w:spacing w:val="-5"/>
          <w:lang w:val="hu-HU"/>
        </w:rPr>
        <w:t xml:space="preserve"> </w:t>
      </w:r>
      <w:r>
        <w:rPr>
          <w:lang w:val="hu-HU"/>
        </w:rPr>
        <w:t>vérzés.</w:t>
      </w:r>
    </w:p>
    <w:p w:rsidR="007D7140" w:rsidRDefault="00A207BA">
      <w:pPr>
        <w:pStyle w:val="Listaszerbekezds"/>
        <w:numPr>
          <w:ilvl w:val="0"/>
          <w:numId w:val="7"/>
        </w:numPr>
        <w:ind w:left="567" w:hanging="567"/>
        <w:rPr>
          <w:lang w:val="hu-HU"/>
        </w:rPr>
      </w:pPr>
      <w:r>
        <w:rPr>
          <w:lang w:val="hu-HU"/>
        </w:rPr>
        <w:t>A vérzés megnövekedett kockázatával járónak ítélt léziók vagy egyéb állapotok. Ezek közé</w:t>
      </w:r>
      <w:r>
        <w:rPr>
          <w:spacing w:val="1"/>
          <w:lang w:val="hu-HU"/>
        </w:rPr>
        <w:t xml:space="preserve"> </w:t>
      </w:r>
      <w:r>
        <w:rPr>
          <w:lang w:val="hu-HU"/>
        </w:rPr>
        <w:t>tartozhat a fennálló vagy közelmúltban kialakult gastrointestinalis fekélybetegség, nagyfokú vérzés veszélyével járó rosszindulatú daganat, közelmúltban bekövetkezett agy</w:t>
      </w:r>
      <w:r>
        <w:rPr>
          <w:lang w:val="hu-HU"/>
        </w:rPr>
        <w:noBreakHyphen/>
        <w:t xml:space="preserve"> vagy gerincvelősérülés, közelmúltban elvégzett agy</w:t>
      </w:r>
      <w:r>
        <w:rPr>
          <w:lang w:val="hu-HU"/>
        </w:rPr>
        <w:noBreakHyphen/>
        <w:t>,</w:t>
      </w:r>
      <w:r>
        <w:rPr>
          <w:spacing w:val="1"/>
          <w:lang w:val="hu-HU"/>
        </w:rPr>
        <w:t xml:space="preserve"> </w:t>
      </w:r>
      <w:r>
        <w:rPr>
          <w:lang w:val="hu-HU"/>
        </w:rPr>
        <w:t>gerinc</w:t>
      </w:r>
      <w:r>
        <w:rPr>
          <w:lang w:val="hu-HU"/>
        </w:rPr>
        <w:noBreakHyphen/>
        <w:t xml:space="preserve"> vagy szemműtét, közelmúltbeli intracranialis vérzés, ismert vagy feltételezett nyelőcső</w:t>
      </w:r>
      <w:r>
        <w:rPr>
          <w:spacing w:val="1"/>
          <w:lang w:val="hu-HU"/>
        </w:rPr>
        <w:t xml:space="preserve"> </w:t>
      </w:r>
      <w:r>
        <w:rPr>
          <w:lang w:val="hu-HU"/>
        </w:rPr>
        <w:t>varixok, arteriovenosus malformatiók, ér</w:t>
      </w:r>
      <w:r>
        <w:rPr>
          <w:lang w:val="hu-HU"/>
        </w:rPr>
        <w:noBreakHyphen/>
        <w:t>aneurizmák, vagy jelentős intraspinalis vagy</w:t>
      </w:r>
      <w:r>
        <w:rPr>
          <w:spacing w:val="1"/>
          <w:lang w:val="hu-HU"/>
        </w:rPr>
        <w:t xml:space="preserve"> </w:t>
      </w:r>
      <w:r>
        <w:rPr>
          <w:lang w:val="hu-HU"/>
        </w:rPr>
        <w:t>intracerebralis</w:t>
      </w:r>
      <w:r>
        <w:rPr>
          <w:spacing w:val="-2"/>
          <w:lang w:val="hu-HU"/>
        </w:rPr>
        <w:t xml:space="preserve"> </w:t>
      </w:r>
      <w:r>
        <w:rPr>
          <w:lang w:val="hu-HU"/>
        </w:rPr>
        <w:t>érrendellenességek.</w:t>
      </w:r>
    </w:p>
    <w:p w:rsidR="007D7140" w:rsidRDefault="00A207BA">
      <w:pPr>
        <w:pStyle w:val="Listaszerbekezds"/>
        <w:numPr>
          <w:ilvl w:val="0"/>
          <w:numId w:val="7"/>
        </w:numPr>
        <w:ind w:left="567" w:hanging="567"/>
        <w:rPr>
          <w:lang w:val="hu-HU"/>
        </w:rPr>
      </w:pPr>
      <w:r>
        <w:rPr>
          <w:lang w:val="hu-HU"/>
        </w:rPr>
        <w:lastRenderedPageBreak/>
        <w:t>Más antikoagulánssal, pl. nem frakcionált heparinnal (UFH), alacsony molekulatömegű</w:t>
      </w:r>
      <w:r>
        <w:rPr>
          <w:spacing w:val="1"/>
          <w:lang w:val="hu-HU"/>
        </w:rPr>
        <w:t xml:space="preserve"> </w:t>
      </w:r>
      <w:r>
        <w:rPr>
          <w:lang w:val="hu-HU"/>
        </w:rPr>
        <w:t>heparinokkal (enoxaparin, dalteparin, stb.), heparin</w:t>
      </w:r>
      <w:r>
        <w:rPr>
          <w:lang w:val="hu-HU"/>
        </w:rPr>
        <w:noBreakHyphen/>
        <w:t>származékokkal (fondaparinux, stb.), orális antikoagulánsokkal (warfarin, rivaroxabán, apixabán, stb.) történő egyidejű kezelés, kivéve</w:t>
      </w:r>
      <w:r>
        <w:rPr>
          <w:spacing w:val="1"/>
          <w:lang w:val="hu-HU"/>
        </w:rPr>
        <w:t xml:space="preserve"> </w:t>
      </w:r>
      <w:r>
        <w:rPr>
          <w:lang w:val="hu-HU"/>
        </w:rPr>
        <w:t>bizonyos</w:t>
      </w:r>
      <w:r>
        <w:rPr>
          <w:spacing w:val="-4"/>
          <w:lang w:val="hu-HU"/>
        </w:rPr>
        <w:t xml:space="preserve"> </w:t>
      </w:r>
      <w:r>
        <w:rPr>
          <w:lang w:val="hu-HU"/>
        </w:rPr>
        <w:t>speciális</w:t>
      </w:r>
      <w:r>
        <w:rPr>
          <w:spacing w:val="-3"/>
          <w:lang w:val="hu-HU"/>
        </w:rPr>
        <w:t xml:space="preserve"> </w:t>
      </w:r>
      <w:r>
        <w:rPr>
          <w:lang w:val="hu-HU"/>
        </w:rPr>
        <w:t>körülményeket.</w:t>
      </w:r>
      <w:r>
        <w:rPr>
          <w:spacing w:val="-3"/>
          <w:lang w:val="hu-HU"/>
        </w:rPr>
        <w:t xml:space="preserve"> </w:t>
      </w:r>
      <w:r>
        <w:rPr>
          <w:lang w:val="hu-HU"/>
        </w:rPr>
        <w:t>Ezek</w:t>
      </w:r>
      <w:r>
        <w:rPr>
          <w:spacing w:val="-3"/>
          <w:lang w:val="hu-HU"/>
        </w:rPr>
        <w:t xml:space="preserve"> </w:t>
      </w:r>
      <w:r>
        <w:rPr>
          <w:lang w:val="hu-HU"/>
        </w:rPr>
        <w:t>lehetnek</w:t>
      </w:r>
      <w:r>
        <w:rPr>
          <w:spacing w:val="-4"/>
          <w:lang w:val="hu-HU"/>
        </w:rPr>
        <w:t xml:space="preserve"> </w:t>
      </w:r>
      <w:r>
        <w:rPr>
          <w:lang w:val="hu-HU"/>
        </w:rPr>
        <w:t>az</w:t>
      </w:r>
      <w:r>
        <w:rPr>
          <w:spacing w:val="-3"/>
          <w:lang w:val="hu-HU"/>
        </w:rPr>
        <w:t xml:space="preserve"> </w:t>
      </w:r>
      <w:r>
        <w:rPr>
          <w:lang w:val="hu-HU"/>
        </w:rPr>
        <w:t>antikoaguláns</w:t>
      </w:r>
      <w:r>
        <w:rPr>
          <w:lang w:val="hu-HU"/>
        </w:rPr>
        <w:noBreakHyphen/>
        <w:t>terápia</w:t>
      </w:r>
      <w:r>
        <w:rPr>
          <w:spacing w:val="-3"/>
          <w:lang w:val="hu-HU"/>
        </w:rPr>
        <w:t xml:space="preserve"> </w:t>
      </w:r>
      <w:r>
        <w:rPr>
          <w:lang w:val="hu-HU"/>
        </w:rPr>
        <w:t>átállítás</w:t>
      </w:r>
      <w:r>
        <w:rPr>
          <w:spacing w:val="-4"/>
          <w:lang w:val="hu-HU"/>
        </w:rPr>
        <w:t xml:space="preserve"> </w:t>
      </w:r>
      <w:r>
        <w:rPr>
          <w:lang w:val="hu-HU"/>
        </w:rPr>
        <w:t>időszakai</w:t>
      </w:r>
      <w:r>
        <w:rPr>
          <w:spacing w:val="-7"/>
          <w:lang w:val="hu-HU"/>
        </w:rPr>
        <w:t xml:space="preserve"> </w:t>
      </w:r>
      <w:r>
        <w:rPr>
          <w:lang w:val="hu-HU"/>
        </w:rPr>
        <w:t>(lásd 4.2 pont), amikor az UFH</w:t>
      </w:r>
      <w:r>
        <w:rPr>
          <w:lang w:val="hu-HU"/>
        </w:rPr>
        <w:noBreakHyphen/>
        <w:t xml:space="preserve">t a centrális vénás vagy artériás kanül </w:t>
      </w:r>
      <w:bookmarkStart w:id="8" w:name="_Hlk112154426"/>
      <w:r>
        <w:rPr>
          <w:lang w:val="hu-HU"/>
        </w:rPr>
        <w:t xml:space="preserve">átjárhatóságának fenntartásához szükséges </w:t>
      </w:r>
      <w:bookmarkEnd w:id="8"/>
      <w:r>
        <w:rPr>
          <w:lang w:val="hu-HU"/>
        </w:rPr>
        <w:t xml:space="preserve">dózisban adják vagy ha </w:t>
      </w:r>
      <w:bookmarkStart w:id="9" w:name="_Hlk112154464"/>
      <w:r>
        <w:rPr>
          <w:lang w:val="hu-HU"/>
        </w:rPr>
        <w:t>az UFH</w:t>
      </w:r>
      <w:r>
        <w:rPr>
          <w:lang w:val="hu-HU"/>
        </w:rPr>
        <w:noBreakHyphen/>
        <w:t>t pitvarfibrilláció miatt</w:t>
      </w:r>
      <w:r>
        <w:rPr>
          <w:spacing w:val="-1"/>
          <w:lang w:val="hu-HU"/>
        </w:rPr>
        <w:t xml:space="preserve"> végzett </w:t>
      </w:r>
      <w:r>
        <w:rPr>
          <w:lang w:val="hu-HU"/>
        </w:rPr>
        <w:t>katéteres ablatio alatt alkalmazzák</w:t>
      </w:r>
      <w:bookmarkEnd w:id="9"/>
      <w:r>
        <w:rPr>
          <w:lang w:val="hu-HU"/>
        </w:rPr>
        <w:t xml:space="preserve"> (lásd 4.5</w:t>
      </w:r>
      <w:r>
        <w:rPr>
          <w:spacing w:val="-3"/>
          <w:lang w:val="hu-HU"/>
        </w:rPr>
        <w:t> pont</w:t>
      </w:r>
      <w:r>
        <w:rPr>
          <w:lang w:val="hu-HU"/>
        </w:rPr>
        <w:t>).</w:t>
      </w:r>
    </w:p>
    <w:p w:rsidR="007D7140" w:rsidRDefault="00A207BA">
      <w:pPr>
        <w:pStyle w:val="Listaszerbekezds"/>
        <w:numPr>
          <w:ilvl w:val="0"/>
          <w:numId w:val="7"/>
        </w:numPr>
        <w:ind w:left="567" w:hanging="567"/>
        <w:rPr>
          <w:lang w:val="hu-HU"/>
        </w:rPr>
      </w:pPr>
      <w:r>
        <w:rPr>
          <w:lang w:val="hu-HU"/>
        </w:rPr>
        <w:t>Májkárosodás</w:t>
      </w:r>
      <w:r>
        <w:rPr>
          <w:spacing w:val="-5"/>
          <w:lang w:val="hu-HU"/>
        </w:rPr>
        <w:t xml:space="preserve"> </w:t>
      </w:r>
      <w:r>
        <w:rPr>
          <w:lang w:val="hu-HU"/>
        </w:rPr>
        <w:t>vagy</w:t>
      </w:r>
      <w:r>
        <w:rPr>
          <w:spacing w:val="-5"/>
          <w:lang w:val="hu-HU"/>
        </w:rPr>
        <w:t xml:space="preserve"> </w:t>
      </w:r>
      <w:r>
        <w:rPr>
          <w:lang w:val="hu-HU"/>
        </w:rPr>
        <w:t>májbetegség,</w:t>
      </w:r>
      <w:r>
        <w:rPr>
          <w:spacing w:val="-5"/>
          <w:lang w:val="hu-HU"/>
        </w:rPr>
        <w:t xml:space="preserve"> </w:t>
      </w:r>
      <w:r>
        <w:rPr>
          <w:lang w:val="hu-HU"/>
        </w:rPr>
        <w:t>aminek</w:t>
      </w:r>
      <w:r>
        <w:rPr>
          <w:spacing w:val="-4"/>
          <w:lang w:val="hu-HU"/>
        </w:rPr>
        <w:t xml:space="preserve"> </w:t>
      </w:r>
      <w:r>
        <w:rPr>
          <w:lang w:val="hu-HU"/>
        </w:rPr>
        <w:t>hatása</w:t>
      </w:r>
      <w:r>
        <w:rPr>
          <w:spacing w:val="-5"/>
          <w:lang w:val="hu-HU"/>
        </w:rPr>
        <w:t xml:space="preserve"> </w:t>
      </w:r>
      <w:r>
        <w:rPr>
          <w:lang w:val="hu-HU"/>
        </w:rPr>
        <w:t>lehet</w:t>
      </w:r>
      <w:r>
        <w:rPr>
          <w:spacing w:val="-5"/>
          <w:lang w:val="hu-HU"/>
        </w:rPr>
        <w:t xml:space="preserve"> </w:t>
      </w:r>
      <w:r>
        <w:rPr>
          <w:lang w:val="hu-HU"/>
        </w:rPr>
        <w:t>a</w:t>
      </w:r>
      <w:r>
        <w:rPr>
          <w:spacing w:val="-4"/>
          <w:lang w:val="hu-HU"/>
        </w:rPr>
        <w:t xml:space="preserve"> </w:t>
      </w:r>
      <w:r>
        <w:rPr>
          <w:lang w:val="hu-HU"/>
        </w:rPr>
        <w:t xml:space="preserve">túlélésre. </w:t>
      </w:r>
    </w:p>
    <w:p w:rsidR="007D7140" w:rsidRDefault="00A207BA">
      <w:pPr>
        <w:pStyle w:val="Listaszerbekezds"/>
        <w:numPr>
          <w:ilvl w:val="0"/>
          <w:numId w:val="7"/>
        </w:numPr>
        <w:ind w:left="567" w:hanging="567"/>
        <w:rPr>
          <w:lang w:val="hu-HU"/>
        </w:rPr>
      </w:pPr>
      <w:r>
        <w:rPr>
          <w:lang w:val="hu-HU"/>
        </w:rPr>
        <w:t>Egyidejű kezelés a következő, erős P</w:t>
      </w:r>
      <w:r>
        <w:rPr>
          <w:lang w:val="hu-HU"/>
        </w:rPr>
        <w:noBreakHyphen/>
        <w:t>gp</w:t>
      </w:r>
      <w:r>
        <w:rPr>
          <w:lang w:val="hu-HU"/>
        </w:rPr>
        <w:noBreakHyphen/>
        <w:t>inhibitorokkal: szisztémás ketokonazol,</w:t>
      </w:r>
      <w:r>
        <w:rPr>
          <w:spacing w:val="1"/>
          <w:lang w:val="hu-HU"/>
        </w:rPr>
        <w:t xml:space="preserve"> </w:t>
      </w:r>
      <w:r>
        <w:rPr>
          <w:lang w:val="hu-HU"/>
        </w:rPr>
        <w:t xml:space="preserve">ciklosporin, itrakonazol, dronedaron és fix dózisú kombinációban alkalmazott </w:t>
      </w:r>
      <w:r>
        <w:t>glekaprevir/pibrentaszvir</w:t>
      </w:r>
      <w:r>
        <w:rPr>
          <w:lang w:val="hu-HU"/>
        </w:rPr>
        <w:t xml:space="preserve"> (lásd</w:t>
      </w:r>
      <w:r>
        <w:rPr>
          <w:spacing w:val="-1"/>
          <w:lang w:val="hu-HU"/>
        </w:rPr>
        <w:t xml:space="preserve"> </w:t>
      </w:r>
      <w:r>
        <w:rPr>
          <w:lang w:val="hu-HU"/>
        </w:rPr>
        <w:t>4.5</w:t>
      </w:r>
      <w:r>
        <w:rPr>
          <w:spacing w:val="-2"/>
          <w:lang w:val="hu-HU"/>
        </w:rPr>
        <w:t> pont</w:t>
      </w:r>
      <w:r>
        <w:rPr>
          <w:lang w:val="hu-HU"/>
        </w:rPr>
        <w:t>).</w:t>
      </w:r>
    </w:p>
    <w:p w:rsidR="007D7140" w:rsidRDefault="00A207BA">
      <w:pPr>
        <w:pStyle w:val="Listaszerbekezds"/>
        <w:numPr>
          <w:ilvl w:val="0"/>
          <w:numId w:val="7"/>
        </w:numPr>
        <w:ind w:left="567" w:hanging="567"/>
        <w:rPr>
          <w:lang w:val="hu-HU"/>
        </w:rPr>
      </w:pPr>
      <w:r>
        <w:rPr>
          <w:lang w:val="hu-HU"/>
        </w:rPr>
        <w:t>Antikoaguláns</w:t>
      </w:r>
      <w:r>
        <w:rPr>
          <w:spacing w:val="-5"/>
          <w:lang w:val="hu-HU"/>
        </w:rPr>
        <w:t xml:space="preserve"> </w:t>
      </w:r>
      <w:r>
        <w:rPr>
          <w:lang w:val="hu-HU"/>
        </w:rPr>
        <w:t>kezelést</w:t>
      </w:r>
      <w:r>
        <w:rPr>
          <w:spacing w:val="-4"/>
          <w:lang w:val="hu-HU"/>
        </w:rPr>
        <w:t xml:space="preserve"> </w:t>
      </w:r>
      <w:r>
        <w:rPr>
          <w:lang w:val="hu-HU"/>
        </w:rPr>
        <w:t>igénylő</w:t>
      </w:r>
      <w:r>
        <w:rPr>
          <w:spacing w:val="-5"/>
          <w:lang w:val="hu-HU"/>
        </w:rPr>
        <w:t xml:space="preserve"> </w:t>
      </w:r>
      <w:r>
        <w:rPr>
          <w:lang w:val="hu-HU"/>
        </w:rPr>
        <w:t>műbillentyű</w:t>
      </w:r>
      <w:r>
        <w:rPr>
          <w:spacing w:val="-4"/>
          <w:lang w:val="hu-HU"/>
        </w:rPr>
        <w:t xml:space="preserve"> </w:t>
      </w:r>
      <w:r>
        <w:rPr>
          <w:lang w:val="hu-HU"/>
        </w:rPr>
        <w:t>beültetés</w:t>
      </w:r>
      <w:r>
        <w:rPr>
          <w:spacing w:val="-5"/>
          <w:lang w:val="hu-HU"/>
        </w:rPr>
        <w:t xml:space="preserve"> </w:t>
      </w:r>
      <w:r>
        <w:rPr>
          <w:lang w:val="hu-HU"/>
        </w:rPr>
        <w:t>(lásd</w:t>
      </w:r>
      <w:r>
        <w:rPr>
          <w:spacing w:val="-5"/>
          <w:lang w:val="hu-HU"/>
        </w:rPr>
        <w:t xml:space="preserve"> </w:t>
      </w:r>
      <w:r>
        <w:rPr>
          <w:lang w:val="hu-HU"/>
        </w:rPr>
        <w:t>5.1</w:t>
      </w:r>
      <w:r>
        <w:rPr>
          <w:spacing w:val="-6"/>
          <w:lang w:val="hu-HU"/>
        </w:rPr>
        <w:t> pont</w:t>
      </w:r>
      <w:r>
        <w:rPr>
          <w:lang w:val="hu-HU"/>
        </w:rPr>
        <w:t>).</w:t>
      </w:r>
    </w:p>
    <w:p w:rsidR="007D7140" w:rsidRDefault="007D7140">
      <w:pPr>
        <w:ind w:left="567" w:hanging="567"/>
        <w:rPr>
          <w:lang w:val="hu-HU"/>
        </w:rPr>
      </w:pPr>
    </w:p>
    <w:p w:rsidR="007D7140" w:rsidRDefault="00A207BA">
      <w:pPr>
        <w:tabs>
          <w:tab w:val="left" w:pos="567"/>
        </w:tabs>
        <w:rPr>
          <w:b/>
          <w:bCs/>
          <w:lang w:val="hu-HU"/>
        </w:rPr>
      </w:pPr>
      <w:r>
        <w:rPr>
          <w:b/>
          <w:bCs/>
          <w:lang w:val="hu-HU"/>
        </w:rPr>
        <w:t>4.4</w:t>
      </w:r>
      <w:r>
        <w:rPr>
          <w:b/>
          <w:bCs/>
          <w:lang w:val="hu-HU"/>
        </w:rPr>
        <w:tab/>
        <w:t>Különleges</w:t>
      </w:r>
      <w:r>
        <w:rPr>
          <w:b/>
          <w:bCs/>
          <w:spacing w:val="-7"/>
          <w:lang w:val="hu-HU"/>
        </w:rPr>
        <w:t xml:space="preserve"> </w:t>
      </w:r>
      <w:r>
        <w:rPr>
          <w:b/>
          <w:bCs/>
          <w:lang w:val="hu-HU"/>
        </w:rPr>
        <w:t>figyelmeztetések</w:t>
      </w:r>
      <w:r>
        <w:rPr>
          <w:b/>
          <w:bCs/>
          <w:spacing w:val="-6"/>
          <w:lang w:val="hu-HU"/>
        </w:rPr>
        <w:t xml:space="preserve"> </w:t>
      </w:r>
      <w:r>
        <w:rPr>
          <w:b/>
          <w:bCs/>
          <w:lang w:val="hu-HU"/>
        </w:rPr>
        <w:t>és</w:t>
      </w:r>
      <w:r>
        <w:rPr>
          <w:b/>
          <w:bCs/>
          <w:spacing w:val="-6"/>
          <w:lang w:val="hu-HU"/>
        </w:rPr>
        <w:t xml:space="preserve"> </w:t>
      </w:r>
      <w:r>
        <w:rPr>
          <w:b/>
          <w:bCs/>
          <w:lang w:val="hu-HU"/>
        </w:rPr>
        <w:t>az</w:t>
      </w:r>
      <w:r>
        <w:rPr>
          <w:b/>
          <w:bCs/>
          <w:spacing w:val="-6"/>
          <w:lang w:val="hu-HU"/>
        </w:rPr>
        <w:t xml:space="preserve"> </w:t>
      </w:r>
      <w:r>
        <w:rPr>
          <w:b/>
          <w:bCs/>
          <w:lang w:val="hu-HU"/>
        </w:rPr>
        <w:t>alkalmazással</w:t>
      </w:r>
      <w:r>
        <w:rPr>
          <w:b/>
          <w:bCs/>
          <w:spacing w:val="-6"/>
          <w:lang w:val="hu-HU"/>
        </w:rPr>
        <w:t xml:space="preserve"> </w:t>
      </w:r>
      <w:r>
        <w:rPr>
          <w:b/>
          <w:bCs/>
          <w:lang w:val="hu-HU"/>
        </w:rPr>
        <w:t>kapcsolatos</w:t>
      </w:r>
      <w:r>
        <w:rPr>
          <w:b/>
          <w:bCs/>
          <w:spacing w:val="-6"/>
          <w:lang w:val="hu-HU"/>
        </w:rPr>
        <w:t xml:space="preserve"> </w:t>
      </w:r>
      <w:r>
        <w:rPr>
          <w:b/>
          <w:bCs/>
          <w:lang w:val="hu-HU"/>
        </w:rPr>
        <w:t>óvintézkedések</w:t>
      </w:r>
    </w:p>
    <w:p w:rsidR="007D7140" w:rsidRDefault="007D7140">
      <w:pPr>
        <w:rPr>
          <w:lang w:val="hu-HU"/>
        </w:rPr>
      </w:pPr>
    </w:p>
    <w:p w:rsidR="007D7140" w:rsidRDefault="00A207BA">
      <w:pPr>
        <w:rPr>
          <w:lang w:val="hu-HU"/>
        </w:rPr>
      </w:pPr>
      <w:r>
        <w:rPr>
          <w:u w:val="single"/>
          <w:lang w:val="hu-HU"/>
        </w:rPr>
        <w:t>Vérzésveszély</w:t>
      </w:r>
    </w:p>
    <w:p w:rsidR="007D7140" w:rsidRDefault="007D7140">
      <w:pPr>
        <w:rPr>
          <w:lang w:val="hu-HU"/>
        </w:rPr>
      </w:pPr>
    </w:p>
    <w:p w:rsidR="007D7140" w:rsidRDefault="00A207BA">
      <w:pPr>
        <w:rPr>
          <w:lang w:val="hu-HU"/>
        </w:rPr>
      </w:pPr>
      <w:r>
        <w:rPr>
          <w:lang w:val="hu-HU"/>
        </w:rPr>
        <w:t>A dabigatrán</w:t>
      </w:r>
      <w:r>
        <w:rPr>
          <w:lang w:val="hu-HU"/>
        </w:rPr>
        <w:noBreakHyphen/>
        <w:t>etexilátot óvatosan kell alkalmazni olyan állapotokban, amelyek a vérzés fokozott</w:t>
      </w:r>
      <w:r>
        <w:rPr>
          <w:spacing w:val="1"/>
          <w:lang w:val="hu-HU"/>
        </w:rPr>
        <w:t xml:space="preserve"> </w:t>
      </w:r>
      <w:r>
        <w:rPr>
          <w:lang w:val="hu-HU"/>
        </w:rPr>
        <w:t>veszélyével járnak, illetve azokban az esetekben, amikor az egyidejűleg adott gyógyszerek a</w:t>
      </w:r>
      <w:r>
        <w:rPr>
          <w:spacing w:val="1"/>
          <w:lang w:val="hu-HU"/>
        </w:rPr>
        <w:t xml:space="preserve"> </w:t>
      </w:r>
      <w:r>
        <w:rPr>
          <w:lang w:val="hu-HU"/>
        </w:rPr>
        <w:t>thrombocytaaggregáció gátlásával befolyásolják a haemostasist. A vérzés a kezelés során bárhol jelentkezhet. A haemoglobinszint és/vagy a haematocrit</w:t>
      </w:r>
      <w:r>
        <w:rPr>
          <w:lang w:val="hu-HU"/>
        </w:rPr>
        <w:noBreakHyphen/>
        <w:t>érték tisztázatlan csökkenése, vagy</w:t>
      </w:r>
      <w:r>
        <w:rPr>
          <w:spacing w:val="1"/>
          <w:lang w:val="hu-HU"/>
        </w:rPr>
        <w:t xml:space="preserve"> </w:t>
      </w:r>
      <w:r>
        <w:rPr>
          <w:lang w:val="hu-HU"/>
        </w:rPr>
        <w:t>vérnyomásesés</w:t>
      </w:r>
      <w:r>
        <w:rPr>
          <w:spacing w:val="-2"/>
          <w:lang w:val="hu-HU"/>
        </w:rPr>
        <w:t xml:space="preserve"> </w:t>
      </w:r>
      <w:r>
        <w:rPr>
          <w:lang w:val="hu-HU"/>
        </w:rPr>
        <w:t>esetén</w:t>
      </w:r>
      <w:r>
        <w:rPr>
          <w:spacing w:val="-1"/>
          <w:lang w:val="hu-HU"/>
        </w:rPr>
        <w:t xml:space="preserve"> </w:t>
      </w:r>
      <w:r>
        <w:rPr>
          <w:lang w:val="hu-HU"/>
        </w:rPr>
        <w:t>vérzésforrást</w:t>
      </w:r>
      <w:r>
        <w:rPr>
          <w:spacing w:val="-1"/>
          <w:lang w:val="hu-HU"/>
        </w:rPr>
        <w:t xml:space="preserve"> </w:t>
      </w:r>
      <w:r>
        <w:rPr>
          <w:lang w:val="hu-HU"/>
        </w:rPr>
        <w:t>kell</w:t>
      </w:r>
      <w:r>
        <w:rPr>
          <w:spacing w:val="-2"/>
          <w:lang w:val="hu-HU"/>
        </w:rPr>
        <w:t xml:space="preserve"> </w:t>
      </w:r>
      <w:r>
        <w:rPr>
          <w:lang w:val="hu-HU"/>
        </w:rPr>
        <w:t>keresni.</w:t>
      </w:r>
    </w:p>
    <w:p w:rsidR="007D7140" w:rsidRDefault="007D7140">
      <w:pPr>
        <w:rPr>
          <w:lang w:val="hu-HU"/>
        </w:rPr>
      </w:pPr>
    </w:p>
    <w:p w:rsidR="007D7140" w:rsidRDefault="00A207BA">
      <w:pPr>
        <w:rPr>
          <w:lang w:val="hu-HU"/>
        </w:rPr>
      </w:pPr>
      <w:r>
        <w:rPr>
          <w:lang w:val="hu-HU"/>
        </w:rPr>
        <w:t>Felnőtt betegeknél, életveszélyes vagy nem kontrollálható vérzések esetén, amikor a dabigatrán</w:t>
      </w:r>
      <w:r>
        <w:rPr>
          <w:spacing w:val="1"/>
          <w:lang w:val="hu-HU"/>
        </w:rPr>
        <w:t xml:space="preserve"> </w:t>
      </w:r>
      <w:r>
        <w:rPr>
          <w:lang w:val="hu-HU"/>
        </w:rPr>
        <w:t>antikoaguláns hatásának gyors felfüggesztésére van szükség, specifikus antagonista szer, az idarucizumab áll rendelkezésre. Az idarucizumab hatásosságát és biztonságosságát gyermekeknél és serdülőknél még nem igazolták.</w:t>
      </w:r>
    </w:p>
    <w:p w:rsidR="007D7140" w:rsidRDefault="00A207BA">
      <w:pPr>
        <w:rPr>
          <w:lang w:val="hu-HU"/>
        </w:rPr>
      </w:pPr>
      <w:r>
        <w:rPr>
          <w:lang w:val="hu-HU"/>
        </w:rPr>
        <w:t>A dabigatrán haemodialízissel eltávolítható. Felnőtt</w:t>
      </w:r>
      <w:r>
        <w:rPr>
          <w:spacing w:val="1"/>
          <w:lang w:val="hu-HU"/>
        </w:rPr>
        <w:t xml:space="preserve"> </w:t>
      </w:r>
      <w:r>
        <w:rPr>
          <w:lang w:val="hu-HU"/>
        </w:rPr>
        <w:t>betegeknél további választható lehetőségek a friss teljes vér vagy a friss fagyasztott plazma, az</w:t>
      </w:r>
      <w:r>
        <w:rPr>
          <w:spacing w:val="1"/>
          <w:lang w:val="hu-HU"/>
        </w:rPr>
        <w:t xml:space="preserve"> </w:t>
      </w:r>
      <w:r>
        <w:rPr>
          <w:lang w:val="hu-HU"/>
        </w:rPr>
        <w:t>alvadási faktor koncentrátum (aktivált vagy nem aktivált), a rekombináns VIIa faktor vagy a</w:t>
      </w:r>
      <w:r>
        <w:rPr>
          <w:spacing w:val="1"/>
          <w:lang w:val="hu-HU"/>
        </w:rPr>
        <w:t xml:space="preserve"> </w:t>
      </w:r>
      <w:r>
        <w:rPr>
          <w:lang w:val="hu-HU"/>
        </w:rPr>
        <w:t>thrombocytakoncentrátum</w:t>
      </w:r>
      <w:r>
        <w:rPr>
          <w:spacing w:val="-2"/>
          <w:lang w:val="hu-HU"/>
        </w:rPr>
        <w:t xml:space="preserve"> </w:t>
      </w:r>
      <w:r>
        <w:rPr>
          <w:lang w:val="hu-HU"/>
        </w:rPr>
        <w:t>(lásd</w:t>
      </w:r>
      <w:r>
        <w:rPr>
          <w:spacing w:val="-1"/>
          <w:lang w:val="hu-HU"/>
        </w:rPr>
        <w:t xml:space="preserve"> </w:t>
      </w:r>
      <w:r>
        <w:rPr>
          <w:lang w:val="hu-HU"/>
        </w:rPr>
        <w:t>még</w:t>
      </w:r>
      <w:r>
        <w:rPr>
          <w:spacing w:val="-1"/>
          <w:lang w:val="hu-HU"/>
        </w:rPr>
        <w:t xml:space="preserve"> 4.9 pont</w:t>
      </w:r>
      <w:r>
        <w:rPr>
          <w:lang w:val="hu-HU"/>
        </w:rPr>
        <w:t>).</w:t>
      </w:r>
    </w:p>
    <w:p w:rsidR="007D7140" w:rsidRDefault="007D7140">
      <w:pPr>
        <w:rPr>
          <w:lang w:val="hu-HU"/>
        </w:rPr>
      </w:pPr>
    </w:p>
    <w:p w:rsidR="007D7140" w:rsidRDefault="00A207BA">
      <w:pPr>
        <w:ind w:left="7" w:right="9"/>
        <w:rPr>
          <w:lang w:val="hu-HU"/>
        </w:rPr>
      </w:pPr>
      <w:r>
        <w:rPr>
          <w:lang w:val="hu-HU"/>
        </w:rPr>
        <w:t>Klinikai vizsgálatokban a dabigatrán</w:t>
      </w:r>
      <w:r>
        <w:rPr>
          <w:lang w:val="hu-HU"/>
        </w:rPr>
        <w:noBreakHyphen/>
        <w:t>etexiláttal összefüggésben nagyobb arányban észleltek jelentős gastrointestinalis (GI) vérzést időseknél (≥ 75 év) a napi kétszer 150 mg dabigatrán</w:t>
      </w:r>
      <w:r>
        <w:rPr>
          <w:lang w:val="hu-HU"/>
        </w:rPr>
        <w:noBreakHyphen/>
        <w:t>etexilát esetében. További kockázati tényezők (lásd 5. táblázat) többek között a thrombocytaaggregáció</w:t>
      </w:r>
      <w:r>
        <w:rPr>
          <w:lang w:val="hu-HU"/>
        </w:rPr>
        <w:noBreakHyphen/>
        <w:t>gátló gyógyszerek, pl. a klopidogrel és az acetilszalicilsav (ASA) vagy a nem szteroid gyulladáscsökkentő szerek (NSAID</w:t>
      </w:r>
      <w:r>
        <w:rPr>
          <w:lang w:val="hu-HU"/>
        </w:rPr>
        <w:noBreakHyphen/>
        <w:t>ok) egyidejű alkalmazása, valamint az oesophagitis, gastritis vagy gastrooesophagealis reflux fennállása.</w:t>
      </w:r>
    </w:p>
    <w:p w:rsidR="007D7140" w:rsidRDefault="007D7140">
      <w:pPr>
        <w:rPr>
          <w:lang w:val="hu-HU"/>
        </w:rPr>
      </w:pPr>
    </w:p>
    <w:p w:rsidR="007D7140" w:rsidRDefault="00A207BA">
      <w:pPr>
        <w:rPr>
          <w:i/>
          <w:lang w:val="hu-HU"/>
        </w:rPr>
      </w:pPr>
      <w:r>
        <w:rPr>
          <w:i/>
          <w:u w:val="single"/>
          <w:lang w:val="hu-HU"/>
        </w:rPr>
        <w:t>Kockázati</w:t>
      </w:r>
      <w:r>
        <w:rPr>
          <w:i/>
          <w:spacing w:val="-6"/>
          <w:u w:val="single"/>
          <w:lang w:val="hu-HU"/>
        </w:rPr>
        <w:t xml:space="preserve"> </w:t>
      </w:r>
      <w:r>
        <w:rPr>
          <w:i/>
          <w:u w:val="single"/>
          <w:lang w:val="hu-HU"/>
        </w:rPr>
        <w:t>tényezők</w:t>
      </w:r>
    </w:p>
    <w:p w:rsidR="007D7140" w:rsidRDefault="007D7140">
      <w:pPr>
        <w:rPr>
          <w:i/>
          <w:lang w:val="hu-HU"/>
        </w:rPr>
      </w:pPr>
    </w:p>
    <w:p w:rsidR="007D7140" w:rsidRDefault="00A207BA">
      <w:pPr>
        <w:rPr>
          <w:lang w:val="hu-HU"/>
        </w:rPr>
      </w:pPr>
      <w:r>
        <w:rPr>
          <w:lang w:val="hu-HU"/>
        </w:rPr>
        <w:t>Az</w:t>
      </w:r>
      <w:r>
        <w:rPr>
          <w:spacing w:val="-5"/>
          <w:lang w:val="hu-HU"/>
        </w:rPr>
        <w:t xml:space="preserve"> </w:t>
      </w:r>
      <w:r>
        <w:rPr>
          <w:lang w:val="hu-HU"/>
        </w:rPr>
        <w:t>5.</w:t>
      </w:r>
      <w:r>
        <w:rPr>
          <w:spacing w:val="-4"/>
          <w:lang w:val="hu-HU"/>
        </w:rPr>
        <w:t xml:space="preserve"> </w:t>
      </w:r>
      <w:r>
        <w:rPr>
          <w:lang w:val="hu-HU"/>
        </w:rPr>
        <w:t>táblázat</w:t>
      </w:r>
      <w:r>
        <w:rPr>
          <w:spacing w:val="-4"/>
          <w:lang w:val="hu-HU"/>
        </w:rPr>
        <w:t xml:space="preserve"> </w:t>
      </w:r>
      <w:r>
        <w:rPr>
          <w:lang w:val="hu-HU"/>
        </w:rPr>
        <w:t>összefoglalja</w:t>
      </w:r>
      <w:r>
        <w:rPr>
          <w:spacing w:val="-5"/>
          <w:lang w:val="hu-HU"/>
        </w:rPr>
        <w:t xml:space="preserve"> </w:t>
      </w:r>
      <w:r>
        <w:rPr>
          <w:lang w:val="hu-HU"/>
        </w:rPr>
        <w:t>azokat a tényezőket, amelyek növelhetik a vérzés veszélyét.</w:t>
      </w:r>
    </w:p>
    <w:p w:rsidR="007D7140" w:rsidRDefault="007D7140">
      <w:pPr>
        <w:rPr>
          <w:lang w:val="hu-HU"/>
        </w:rPr>
      </w:pPr>
    </w:p>
    <w:p w:rsidR="007D7140" w:rsidRDefault="00A207BA">
      <w:pPr>
        <w:rPr>
          <w:b/>
          <w:bCs/>
          <w:lang w:val="hu-HU"/>
        </w:rPr>
      </w:pPr>
      <w:r>
        <w:rPr>
          <w:b/>
          <w:bCs/>
          <w:lang w:val="hu-HU"/>
        </w:rPr>
        <w:t>5. táblázat:</w:t>
      </w:r>
      <w:r>
        <w:rPr>
          <w:b/>
          <w:bCs/>
          <w:spacing w:val="38"/>
          <w:lang w:val="hu-HU"/>
        </w:rPr>
        <w:t xml:space="preserve"> </w:t>
      </w:r>
      <w:r>
        <w:rPr>
          <w:b/>
          <w:bCs/>
          <w:lang w:val="hu-HU"/>
        </w:rPr>
        <w:t>A</w:t>
      </w:r>
      <w:r>
        <w:rPr>
          <w:b/>
          <w:bCs/>
          <w:spacing w:val="-5"/>
          <w:lang w:val="hu-HU"/>
        </w:rPr>
        <w:t xml:space="preserve"> </w:t>
      </w:r>
      <w:r>
        <w:rPr>
          <w:b/>
          <w:bCs/>
          <w:lang w:val="hu-HU"/>
        </w:rPr>
        <w:t>vérzés veszélyét</w:t>
      </w:r>
      <w:r>
        <w:rPr>
          <w:b/>
          <w:bCs/>
          <w:spacing w:val="-5"/>
          <w:lang w:val="hu-HU"/>
        </w:rPr>
        <w:t xml:space="preserve"> esetleg </w:t>
      </w:r>
      <w:r>
        <w:rPr>
          <w:b/>
          <w:bCs/>
          <w:lang w:val="hu-HU"/>
        </w:rPr>
        <w:t>növelő</w:t>
      </w:r>
      <w:r>
        <w:rPr>
          <w:b/>
          <w:bCs/>
          <w:spacing w:val="-4"/>
          <w:lang w:val="hu-HU"/>
        </w:rPr>
        <w:t xml:space="preserve"> </w:t>
      </w:r>
      <w:r>
        <w:rPr>
          <w:b/>
          <w:bCs/>
          <w:lang w:val="hu-HU"/>
        </w:rPr>
        <w:t>tényezők</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5103"/>
      </w:tblGrid>
      <w:tr w:rsidR="007D7140">
        <w:trPr>
          <w:trHeight w:val="254"/>
        </w:trPr>
        <w:tc>
          <w:tcPr>
            <w:tcW w:w="3969" w:type="dxa"/>
          </w:tcPr>
          <w:p w:rsidR="007D7140" w:rsidRDefault="007D7140">
            <w:pPr>
              <w:keepNext/>
              <w:widowControl/>
              <w:rPr>
                <w:lang w:val="hu-HU"/>
              </w:rPr>
            </w:pPr>
          </w:p>
        </w:tc>
        <w:tc>
          <w:tcPr>
            <w:tcW w:w="5103" w:type="dxa"/>
          </w:tcPr>
          <w:p w:rsidR="007D7140" w:rsidRDefault="00A207BA">
            <w:pPr>
              <w:keepNext/>
              <w:widowControl/>
              <w:ind w:left="146"/>
              <w:rPr>
                <w:lang w:val="hu-HU"/>
              </w:rPr>
            </w:pPr>
            <w:r>
              <w:rPr>
                <w:lang w:val="hu-HU"/>
              </w:rPr>
              <w:t>Kockázati</w:t>
            </w:r>
            <w:r>
              <w:rPr>
                <w:spacing w:val="-5"/>
                <w:lang w:val="hu-HU"/>
              </w:rPr>
              <w:t xml:space="preserve"> </w:t>
            </w:r>
            <w:r>
              <w:rPr>
                <w:lang w:val="hu-HU"/>
              </w:rPr>
              <w:t>tényező</w:t>
            </w:r>
          </w:p>
        </w:tc>
      </w:tr>
      <w:tr w:rsidR="007D7140">
        <w:trPr>
          <w:trHeight w:val="251"/>
        </w:trPr>
        <w:tc>
          <w:tcPr>
            <w:tcW w:w="3969" w:type="dxa"/>
          </w:tcPr>
          <w:p w:rsidR="007D7140" w:rsidRDefault="00A207BA">
            <w:pPr>
              <w:keepNext/>
              <w:widowControl/>
              <w:ind w:left="142"/>
              <w:rPr>
                <w:lang w:val="hu-HU"/>
              </w:rPr>
            </w:pPr>
            <w:r>
              <w:rPr>
                <w:lang w:val="hu-HU"/>
              </w:rPr>
              <w:t>Farmakodinámiás</w:t>
            </w:r>
            <w:r>
              <w:rPr>
                <w:spacing w:val="-6"/>
                <w:lang w:val="hu-HU"/>
              </w:rPr>
              <w:t xml:space="preserve"> </w:t>
            </w:r>
            <w:r>
              <w:rPr>
                <w:lang w:val="hu-HU"/>
              </w:rPr>
              <w:t>és</w:t>
            </w:r>
            <w:r>
              <w:rPr>
                <w:spacing w:val="-5"/>
                <w:lang w:val="hu-HU"/>
              </w:rPr>
              <w:t xml:space="preserve"> </w:t>
            </w:r>
            <w:r>
              <w:rPr>
                <w:lang w:val="hu-HU"/>
              </w:rPr>
              <w:t>kinetikai</w:t>
            </w:r>
            <w:r>
              <w:rPr>
                <w:spacing w:val="-6"/>
                <w:lang w:val="hu-HU"/>
              </w:rPr>
              <w:t xml:space="preserve"> </w:t>
            </w:r>
            <w:r>
              <w:rPr>
                <w:lang w:val="hu-HU"/>
              </w:rPr>
              <w:t>tényezők</w:t>
            </w:r>
          </w:p>
        </w:tc>
        <w:tc>
          <w:tcPr>
            <w:tcW w:w="5103" w:type="dxa"/>
          </w:tcPr>
          <w:p w:rsidR="007D7140" w:rsidRDefault="00A207BA">
            <w:pPr>
              <w:keepNext/>
              <w:widowControl/>
              <w:ind w:left="146"/>
              <w:rPr>
                <w:lang w:val="hu-HU"/>
              </w:rPr>
            </w:pPr>
            <w:r>
              <w:rPr>
                <w:lang w:val="hu-HU"/>
              </w:rPr>
              <w:t>Életkor</w:t>
            </w:r>
            <w:r>
              <w:t xml:space="preserve"> ≥ </w:t>
            </w:r>
            <w:r>
              <w:rPr>
                <w:lang w:val="hu-HU"/>
              </w:rPr>
              <w:t>75</w:t>
            </w:r>
            <w:r>
              <w:rPr>
                <w:spacing w:val="-1"/>
                <w:lang w:val="hu-HU"/>
              </w:rPr>
              <w:t> év</w:t>
            </w:r>
            <w:r>
              <w:rPr>
                <w:spacing w:val="15"/>
                <w:lang w:val="hu-HU"/>
              </w:rPr>
              <w:t xml:space="preserve"> </w:t>
            </w:r>
          </w:p>
        </w:tc>
      </w:tr>
      <w:tr w:rsidR="007D7140">
        <w:trPr>
          <w:trHeight w:val="2782"/>
        </w:trPr>
        <w:tc>
          <w:tcPr>
            <w:tcW w:w="3969" w:type="dxa"/>
          </w:tcPr>
          <w:p w:rsidR="007D7140" w:rsidRDefault="00A207BA">
            <w:pPr>
              <w:ind w:left="142"/>
              <w:rPr>
                <w:lang w:val="hu-HU"/>
              </w:rPr>
            </w:pPr>
            <w:r>
              <w:rPr>
                <w:lang w:val="hu-HU"/>
              </w:rPr>
              <w:t>A</w:t>
            </w:r>
            <w:r>
              <w:rPr>
                <w:spacing w:val="-5"/>
                <w:lang w:val="hu-HU"/>
              </w:rPr>
              <w:t xml:space="preserve"> </w:t>
            </w:r>
            <w:r>
              <w:rPr>
                <w:lang w:val="hu-HU"/>
              </w:rPr>
              <w:t>dabigatrán</w:t>
            </w:r>
            <w:r>
              <w:rPr>
                <w:spacing w:val="-5"/>
                <w:lang w:val="hu-HU"/>
              </w:rPr>
              <w:t xml:space="preserve"> </w:t>
            </w:r>
            <w:r>
              <w:rPr>
                <w:lang w:val="hu-HU"/>
              </w:rPr>
              <w:t>plazmaszintjét</w:t>
            </w:r>
            <w:r>
              <w:rPr>
                <w:spacing w:val="-5"/>
                <w:lang w:val="hu-HU"/>
              </w:rPr>
              <w:t xml:space="preserve"> </w:t>
            </w:r>
            <w:r>
              <w:rPr>
                <w:lang w:val="hu-HU"/>
              </w:rPr>
              <w:t>emelő</w:t>
            </w:r>
            <w:r>
              <w:rPr>
                <w:spacing w:val="-5"/>
                <w:lang w:val="hu-HU"/>
              </w:rPr>
              <w:t xml:space="preserve"> </w:t>
            </w:r>
            <w:r>
              <w:rPr>
                <w:lang w:val="hu-HU"/>
              </w:rPr>
              <w:t>tényezők</w:t>
            </w:r>
          </w:p>
        </w:tc>
        <w:tc>
          <w:tcPr>
            <w:tcW w:w="5103" w:type="dxa"/>
          </w:tcPr>
          <w:p w:rsidR="007D7140" w:rsidRDefault="00A207BA">
            <w:pPr>
              <w:ind w:left="146"/>
              <w:rPr>
                <w:lang w:val="hu-HU"/>
              </w:rPr>
            </w:pPr>
            <w:r>
              <w:rPr>
                <w:u w:val="single"/>
                <w:lang w:val="hu-HU"/>
              </w:rPr>
              <w:t>Jelentős</w:t>
            </w:r>
            <w:r>
              <w:rPr>
                <w:lang w:val="hu-HU"/>
              </w:rPr>
              <w:t>:</w:t>
            </w:r>
          </w:p>
          <w:p w:rsidR="007D7140" w:rsidRDefault="00A207BA">
            <w:pPr>
              <w:pStyle w:val="Listaszerbekezds"/>
              <w:numPr>
                <w:ilvl w:val="0"/>
                <w:numId w:val="8"/>
              </w:numPr>
              <w:ind w:left="713" w:hanging="567"/>
              <w:rPr>
                <w:lang w:val="hu-HU"/>
              </w:rPr>
            </w:pPr>
            <w:r>
              <w:rPr>
                <w:lang w:val="hu-HU"/>
              </w:rPr>
              <w:t>Közepes fokú vesekárosodás felnőtt betegeknél (30</w:t>
            </w:r>
            <w:r>
              <w:rPr>
                <w:lang w:val="hu-HU"/>
              </w:rPr>
              <w:noBreakHyphen/>
              <w:t>50</w:t>
            </w:r>
            <w:r>
              <w:rPr>
                <w:spacing w:val="-2"/>
                <w:lang w:val="hu-HU"/>
              </w:rPr>
              <w:t> ml</w:t>
            </w:r>
            <w:r>
              <w:rPr>
                <w:lang w:val="hu-HU"/>
              </w:rPr>
              <w:t>/perc</w:t>
            </w:r>
            <w:r>
              <w:rPr>
                <w:spacing w:val="-2"/>
                <w:lang w:val="hu-HU"/>
              </w:rPr>
              <w:t xml:space="preserve"> </w:t>
            </w:r>
            <w:r>
              <w:rPr>
                <w:lang w:val="hu-HU"/>
              </w:rPr>
              <w:t>CrCl);</w:t>
            </w:r>
          </w:p>
          <w:p w:rsidR="007D7140" w:rsidRDefault="00A207BA">
            <w:pPr>
              <w:pStyle w:val="Listaszerbekezds"/>
              <w:numPr>
                <w:ilvl w:val="0"/>
                <w:numId w:val="8"/>
              </w:numPr>
              <w:ind w:left="713" w:hanging="567"/>
              <w:rPr>
                <w:lang w:val="hu-HU"/>
              </w:rPr>
            </w:pPr>
            <w:r>
              <w:rPr>
                <w:lang w:val="hu-HU"/>
              </w:rPr>
              <w:t>Erős</w:t>
            </w:r>
            <w:r>
              <w:rPr>
                <w:spacing w:val="-3"/>
                <w:lang w:val="hu-HU"/>
              </w:rPr>
              <w:t xml:space="preserve"> </w:t>
            </w:r>
            <w:r>
              <w:rPr>
                <w:lang w:val="hu-HU"/>
              </w:rPr>
              <w:t>P</w:t>
            </w:r>
            <w:r>
              <w:rPr>
                <w:lang w:val="hu-HU"/>
              </w:rPr>
              <w:noBreakHyphen/>
              <w:t>gp</w:t>
            </w:r>
            <w:r>
              <w:rPr>
                <w:lang w:val="hu-HU"/>
              </w:rPr>
              <w:noBreakHyphen/>
              <w:t>inhibitorok</w:t>
            </w:r>
            <w:r>
              <w:rPr>
                <w:spacing w:val="-3"/>
                <w:lang w:val="hu-HU"/>
              </w:rPr>
              <w:t xml:space="preserve"> </w:t>
            </w:r>
            <w:r>
              <w:rPr>
                <w:lang w:val="hu-HU"/>
              </w:rPr>
              <w:t>(lásd</w:t>
            </w:r>
            <w:r>
              <w:rPr>
                <w:spacing w:val="-3"/>
                <w:lang w:val="hu-HU"/>
              </w:rPr>
              <w:t xml:space="preserve"> </w:t>
            </w:r>
            <w:r>
              <w:rPr>
                <w:lang w:val="hu-HU"/>
              </w:rPr>
              <w:t>4.3</w:t>
            </w:r>
            <w:r>
              <w:rPr>
                <w:spacing w:val="-3"/>
                <w:lang w:val="hu-HU"/>
              </w:rPr>
              <w:t xml:space="preserve"> </w:t>
            </w:r>
            <w:r>
              <w:rPr>
                <w:lang w:val="hu-HU"/>
              </w:rPr>
              <w:t>és</w:t>
            </w:r>
            <w:r>
              <w:rPr>
                <w:spacing w:val="-3"/>
                <w:lang w:val="hu-HU"/>
              </w:rPr>
              <w:t xml:space="preserve"> </w:t>
            </w:r>
            <w:r>
              <w:rPr>
                <w:lang w:val="hu-HU"/>
              </w:rPr>
              <w:t>4.5</w:t>
            </w:r>
            <w:r>
              <w:rPr>
                <w:spacing w:val="-3"/>
                <w:lang w:val="hu-HU"/>
              </w:rPr>
              <w:t> pont</w:t>
            </w:r>
            <w:r>
              <w:rPr>
                <w:lang w:val="hu-HU"/>
              </w:rPr>
              <w:t>);</w:t>
            </w:r>
          </w:p>
          <w:p w:rsidR="007D7140" w:rsidRDefault="00A207BA">
            <w:pPr>
              <w:pStyle w:val="Listaszerbekezds"/>
              <w:numPr>
                <w:ilvl w:val="0"/>
                <w:numId w:val="8"/>
              </w:numPr>
              <w:ind w:left="713" w:hanging="567"/>
              <w:rPr>
                <w:lang w:val="hu-HU"/>
              </w:rPr>
            </w:pPr>
            <w:r>
              <w:rPr>
                <w:lang w:val="hu-HU"/>
              </w:rPr>
              <w:t>Egyidejű gyógyszerelés gyenge és</w:t>
            </w:r>
            <w:r>
              <w:rPr>
                <w:spacing w:val="1"/>
                <w:lang w:val="hu-HU"/>
              </w:rPr>
              <w:t xml:space="preserve"> </w:t>
            </w:r>
            <w:r>
              <w:rPr>
                <w:lang w:val="hu-HU"/>
              </w:rPr>
              <w:t>közepesen erős P</w:t>
            </w:r>
            <w:r>
              <w:rPr>
                <w:lang w:val="hu-HU"/>
              </w:rPr>
              <w:noBreakHyphen/>
              <w:t>gp</w:t>
            </w:r>
            <w:r>
              <w:rPr>
                <w:lang w:val="hu-HU"/>
              </w:rPr>
              <w:noBreakHyphen/>
              <w:t>inhibitorokkal (pl. amiodaron, verapamil, kinidin és</w:t>
            </w:r>
            <w:r>
              <w:rPr>
                <w:spacing w:val="1"/>
                <w:lang w:val="hu-HU"/>
              </w:rPr>
              <w:t xml:space="preserve"> </w:t>
            </w:r>
            <w:r>
              <w:rPr>
                <w:lang w:val="hu-HU"/>
              </w:rPr>
              <w:t>tikagrelor,</w:t>
            </w:r>
            <w:r>
              <w:rPr>
                <w:spacing w:val="-2"/>
                <w:lang w:val="hu-HU"/>
              </w:rPr>
              <w:t xml:space="preserve"> </w:t>
            </w:r>
            <w:r>
              <w:rPr>
                <w:lang w:val="hu-HU"/>
              </w:rPr>
              <w:t>lásd</w:t>
            </w:r>
            <w:r>
              <w:rPr>
                <w:spacing w:val="-1"/>
                <w:lang w:val="hu-HU"/>
              </w:rPr>
              <w:t xml:space="preserve"> </w:t>
            </w:r>
            <w:r>
              <w:rPr>
                <w:lang w:val="hu-HU"/>
              </w:rPr>
              <w:t>4.5</w:t>
            </w:r>
            <w:r>
              <w:rPr>
                <w:spacing w:val="-3"/>
                <w:lang w:val="hu-HU"/>
              </w:rPr>
              <w:t> pont</w:t>
            </w:r>
            <w:r>
              <w:rPr>
                <w:lang w:val="hu-HU"/>
              </w:rPr>
              <w:t>).</w:t>
            </w:r>
          </w:p>
          <w:p w:rsidR="007D7140" w:rsidRDefault="007D7140">
            <w:pPr>
              <w:ind w:left="146"/>
              <w:rPr>
                <w:lang w:val="hu-HU"/>
              </w:rPr>
            </w:pPr>
          </w:p>
          <w:p w:rsidR="007D7140" w:rsidRDefault="00A207BA">
            <w:pPr>
              <w:ind w:left="146"/>
              <w:rPr>
                <w:u w:val="single"/>
                <w:lang w:val="hu-HU"/>
              </w:rPr>
            </w:pPr>
            <w:r>
              <w:rPr>
                <w:u w:val="single"/>
                <w:lang w:val="hu-HU"/>
              </w:rPr>
              <w:t>Kisebb jelentőségű:</w:t>
            </w:r>
          </w:p>
          <w:p w:rsidR="007D7140" w:rsidRDefault="00A207BA">
            <w:pPr>
              <w:pStyle w:val="Listaszerbekezds"/>
              <w:numPr>
                <w:ilvl w:val="0"/>
                <w:numId w:val="9"/>
              </w:numPr>
              <w:ind w:left="713" w:hanging="567"/>
              <w:rPr>
                <w:lang w:val="hu-HU"/>
              </w:rPr>
            </w:pPr>
            <w:r>
              <w:rPr>
                <w:lang w:val="hu-HU"/>
              </w:rPr>
              <w:t>Alacsony testtömeg (&lt; 50 kg), felnőtt betegeknél.</w:t>
            </w:r>
          </w:p>
        </w:tc>
      </w:tr>
      <w:tr w:rsidR="007D7140">
        <w:trPr>
          <w:trHeight w:val="1326"/>
        </w:trPr>
        <w:tc>
          <w:tcPr>
            <w:tcW w:w="3969" w:type="dxa"/>
          </w:tcPr>
          <w:p w:rsidR="007D7140" w:rsidRDefault="00A207BA">
            <w:pPr>
              <w:ind w:left="142"/>
              <w:rPr>
                <w:lang w:val="hu-HU"/>
              </w:rPr>
            </w:pPr>
            <w:r>
              <w:rPr>
                <w:lang w:val="hu-HU"/>
              </w:rPr>
              <w:lastRenderedPageBreak/>
              <w:t>Farmakodinámiás</w:t>
            </w:r>
            <w:r>
              <w:rPr>
                <w:spacing w:val="-5"/>
                <w:lang w:val="hu-HU"/>
              </w:rPr>
              <w:t xml:space="preserve"> </w:t>
            </w:r>
            <w:r>
              <w:rPr>
                <w:lang w:val="hu-HU"/>
              </w:rPr>
              <w:t>interakciók</w:t>
            </w:r>
            <w:r>
              <w:rPr>
                <w:spacing w:val="-5"/>
                <w:lang w:val="hu-HU"/>
              </w:rPr>
              <w:t xml:space="preserve"> </w:t>
            </w:r>
            <w:r>
              <w:rPr>
                <w:lang w:val="hu-HU"/>
              </w:rPr>
              <w:t>(lásd</w:t>
            </w:r>
            <w:r>
              <w:rPr>
                <w:spacing w:val="-5"/>
                <w:lang w:val="hu-HU"/>
              </w:rPr>
              <w:t xml:space="preserve"> </w:t>
            </w:r>
            <w:r>
              <w:rPr>
                <w:lang w:val="hu-HU"/>
              </w:rPr>
              <w:t>4.5</w:t>
            </w:r>
            <w:r>
              <w:rPr>
                <w:spacing w:val="-4"/>
                <w:lang w:val="hu-HU"/>
              </w:rPr>
              <w:t> pont</w:t>
            </w:r>
            <w:r>
              <w:rPr>
                <w:lang w:val="hu-HU"/>
              </w:rPr>
              <w:t>)</w:t>
            </w:r>
          </w:p>
        </w:tc>
        <w:tc>
          <w:tcPr>
            <w:tcW w:w="5103" w:type="dxa"/>
          </w:tcPr>
          <w:p w:rsidR="007D7140" w:rsidRDefault="00A207BA">
            <w:pPr>
              <w:pStyle w:val="Listaszerbekezds"/>
              <w:numPr>
                <w:ilvl w:val="0"/>
                <w:numId w:val="10"/>
              </w:numPr>
              <w:ind w:left="713" w:hanging="567"/>
              <w:rPr>
                <w:lang w:val="hu-HU"/>
              </w:rPr>
            </w:pPr>
            <w:r>
              <w:rPr>
                <w:lang w:val="hu-HU"/>
              </w:rPr>
              <w:t>ASA és egyéb thrombocyta</w:t>
            </w:r>
            <w:r>
              <w:rPr>
                <w:lang w:val="hu-HU"/>
              </w:rPr>
              <w:noBreakHyphen/>
              <w:t>aggregáció</w:t>
            </w:r>
            <w:r>
              <w:rPr>
                <w:lang w:val="hu-HU"/>
              </w:rPr>
              <w:noBreakHyphen/>
              <w:t xml:space="preserve"> gátló</w:t>
            </w:r>
            <w:r>
              <w:rPr>
                <w:spacing w:val="-3"/>
                <w:lang w:val="hu-HU"/>
              </w:rPr>
              <w:t xml:space="preserve"> </w:t>
            </w:r>
            <w:r>
              <w:rPr>
                <w:lang w:val="hu-HU"/>
              </w:rPr>
              <w:t>gyógyszerek,</w:t>
            </w:r>
            <w:r>
              <w:rPr>
                <w:spacing w:val="-3"/>
                <w:lang w:val="hu-HU"/>
              </w:rPr>
              <w:t xml:space="preserve"> </w:t>
            </w:r>
            <w:r>
              <w:rPr>
                <w:lang w:val="hu-HU"/>
              </w:rPr>
              <w:t>pl.</w:t>
            </w:r>
            <w:r>
              <w:rPr>
                <w:spacing w:val="-3"/>
                <w:lang w:val="hu-HU"/>
              </w:rPr>
              <w:t xml:space="preserve"> </w:t>
            </w:r>
            <w:r>
              <w:rPr>
                <w:lang w:val="hu-HU"/>
              </w:rPr>
              <w:t>a</w:t>
            </w:r>
            <w:r>
              <w:rPr>
                <w:spacing w:val="-3"/>
                <w:lang w:val="hu-HU"/>
              </w:rPr>
              <w:t xml:space="preserve"> </w:t>
            </w:r>
            <w:r>
              <w:rPr>
                <w:lang w:val="hu-HU"/>
              </w:rPr>
              <w:t>klopidogrel;</w:t>
            </w:r>
          </w:p>
          <w:p w:rsidR="007D7140" w:rsidRDefault="00A207BA">
            <w:pPr>
              <w:pStyle w:val="Listaszerbekezds"/>
              <w:numPr>
                <w:ilvl w:val="0"/>
                <w:numId w:val="10"/>
              </w:numPr>
              <w:ind w:left="713" w:hanging="567"/>
              <w:rPr>
                <w:lang w:val="hu-HU"/>
              </w:rPr>
            </w:pPr>
            <w:r>
              <w:rPr>
                <w:lang w:val="hu-HU"/>
              </w:rPr>
              <w:t>NSAID</w:t>
            </w:r>
            <w:r>
              <w:rPr>
                <w:lang w:val="hu-HU"/>
              </w:rPr>
              <w:noBreakHyphen/>
              <w:t>ok;</w:t>
            </w:r>
          </w:p>
          <w:p w:rsidR="007D7140" w:rsidRDefault="00A207BA">
            <w:pPr>
              <w:pStyle w:val="Listaszerbekezds"/>
              <w:numPr>
                <w:ilvl w:val="0"/>
                <w:numId w:val="10"/>
              </w:numPr>
              <w:ind w:left="713" w:hanging="567"/>
              <w:rPr>
                <w:lang w:val="hu-HU"/>
              </w:rPr>
            </w:pPr>
            <w:r>
              <w:rPr>
                <w:lang w:val="hu-HU"/>
              </w:rPr>
              <w:t>SSRI</w:t>
            </w:r>
            <w:r>
              <w:rPr>
                <w:lang w:val="hu-HU"/>
              </w:rPr>
              <w:noBreakHyphen/>
              <w:t>k</w:t>
            </w:r>
            <w:r>
              <w:rPr>
                <w:spacing w:val="-4"/>
                <w:lang w:val="hu-HU"/>
              </w:rPr>
              <w:t xml:space="preserve"> </w:t>
            </w:r>
            <w:r>
              <w:rPr>
                <w:lang w:val="hu-HU"/>
              </w:rPr>
              <w:t>vagy</w:t>
            </w:r>
            <w:r>
              <w:rPr>
                <w:spacing w:val="-3"/>
                <w:lang w:val="hu-HU"/>
              </w:rPr>
              <w:t xml:space="preserve"> </w:t>
            </w:r>
            <w:r>
              <w:rPr>
                <w:lang w:val="hu-HU"/>
              </w:rPr>
              <w:t>SNRI</w:t>
            </w:r>
            <w:r>
              <w:rPr>
                <w:lang w:val="hu-HU"/>
              </w:rPr>
              <w:noBreakHyphen/>
              <w:t>k;</w:t>
            </w:r>
          </w:p>
          <w:p w:rsidR="007D7140" w:rsidRDefault="00A207BA">
            <w:pPr>
              <w:pStyle w:val="Listaszerbekezds"/>
              <w:numPr>
                <w:ilvl w:val="0"/>
                <w:numId w:val="10"/>
              </w:numPr>
              <w:ind w:left="713" w:hanging="567"/>
              <w:rPr>
                <w:lang w:val="hu-HU"/>
              </w:rPr>
            </w:pPr>
            <w:r>
              <w:rPr>
                <w:lang w:val="hu-HU"/>
              </w:rPr>
              <w:t>Egyéb,</w:t>
            </w:r>
            <w:r>
              <w:rPr>
                <w:spacing w:val="-5"/>
                <w:lang w:val="hu-HU"/>
              </w:rPr>
              <w:t xml:space="preserve"> </w:t>
            </w:r>
            <w:r>
              <w:rPr>
                <w:lang w:val="hu-HU"/>
              </w:rPr>
              <w:t>a</w:t>
            </w:r>
            <w:r>
              <w:rPr>
                <w:spacing w:val="-4"/>
                <w:lang w:val="hu-HU"/>
              </w:rPr>
              <w:t xml:space="preserve"> </w:t>
            </w:r>
            <w:r>
              <w:rPr>
                <w:lang w:val="hu-HU"/>
              </w:rPr>
              <w:t>haemostasist</w:t>
            </w:r>
            <w:r>
              <w:rPr>
                <w:spacing w:val="-5"/>
                <w:lang w:val="hu-HU"/>
              </w:rPr>
              <w:t xml:space="preserve"> esetleg </w:t>
            </w:r>
            <w:r>
              <w:rPr>
                <w:lang w:val="hu-HU"/>
              </w:rPr>
              <w:t>rontó</w:t>
            </w:r>
            <w:r>
              <w:rPr>
                <w:spacing w:val="-4"/>
                <w:lang w:val="hu-HU"/>
              </w:rPr>
              <w:t xml:space="preserve"> </w:t>
            </w:r>
            <w:r>
              <w:rPr>
                <w:lang w:val="hu-HU"/>
              </w:rPr>
              <w:t>gyógyszerek.</w:t>
            </w:r>
          </w:p>
        </w:tc>
      </w:tr>
      <w:tr w:rsidR="007D7140">
        <w:trPr>
          <w:trHeight w:val="1765"/>
        </w:trPr>
        <w:tc>
          <w:tcPr>
            <w:tcW w:w="3969" w:type="dxa"/>
          </w:tcPr>
          <w:p w:rsidR="007D7140" w:rsidRDefault="00A207BA">
            <w:pPr>
              <w:ind w:left="142"/>
              <w:rPr>
                <w:lang w:val="hu-HU"/>
              </w:rPr>
            </w:pPr>
            <w:r>
              <w:rPr>
                <w:lang w:val="hu-HU"/>
              </w:rPr>
              <w:t>Speciális, vérzésveszéllyel járó betegségek / beavatkozások</w:t>
            </w:r>
          </w:p>
        </w:tc>
        <w:tc>
          <w:tcPr>
            <w:tcW w:w="5103" w:type="dxa"/>
          </w:tcPr>
          <w:p w:rsidR="007D7140" w:rsidRDefault="00A207BA">
            <w:pPr>
              <w:pStyle w:val="Listaszerbekezds"/>
              <w:numPr>
                <w:ilvl w:val="0"/>
                <w:numId w:val="10"/>
              </w:numPr>
              <w:ind w:left="713" w:hanging="567"/>
              <w:rPr>
                <w:lang w:val="hu-HU"/>
              </w:rPr>
            </w:pPr>
            <w:r>
              <w:rPr>
                <w:lang w:val="hu-HU"/>
              </w:rPr>
              <w:t>A véralvadás veleszületett</w:t>
            </w:r>
            <w:r>
              <w:rPr>
                <w:spacing w:val="-8"/>
                <w:lang w:val="hu-HU"/>
              </w:rPr>
              <w:t xml:space="preserve"> </w:t>
            </w:r>
            <w:r>
              <w:rPr>
                <w:lang w:val="hu-HU"/>
              </w:rPr>
              <w:t>vagy</w:t>
            </w:r>
            <w:r>
              <w:rPr>
                <w:spacing w:val="-7"/>
                <w:lang w:val="hu-HU"/>
              </w:rPr>
              <w:t xml:space="preserve"> </w:t>
            </w:r>
            <w:r>
              <w:rPr>
                <w:lang w:val="hu-HU"/>
              </w:rPr>
              <w:t>szerzett</w:t>
            </w:r>
            <w:r>
              <w:rPr>
                <w:spacing w:val="-7"/>
                <w:lang w:val="hu-HU"/>
              </w:rPr>
              <w:t xml:space="preserve"> zavarai;</w:t>
            </w:r>
          </w:p>
          <w:p w:rsidR="007D7140" w:rsidRDefault="00A207BA">
            <w:pPr>
              <w:pStyle w:val="Listaszerbekezds"/>
              <w:numPr>
                <w:ilvl w:val="0"/>
                <w:numId w:val="10"/>
              </w:numPr>
              <w:ind w:left="713" w:hanging="567"/>
              <w:rPr>
                <w:lang w:val="hu-HU"/>
              </w:rPr>
            </w:pPr>
            <w:r>
              <w:rPr>
                <w:lang w:val="hu-HU"/>
              </w:rPr>
              <w:t>Thrombocytopenia vagy funkcionális thrombocyta</w:t>
            </w:r>
            <w:r>
              <w:rPr>
                <w:spacing w:val="-2"/>
                <w:lang w:val="hu-HU"/>
              </w:rPr>
              <w:t xml:space="preserve"> </w:t>
            </w:r>
            <w:r>
              <w:rPr>
                <w:lang w:val="hu-HU"/>
              </w:rPr>
              <w:t>károsodások;</w:t>
            </w:r>
          </w:p>
          <w:p w:rsidR="007D7140" w:rsidRDefault="00A207BA">
            <w:pPr>
              <w:pStyle w:val="Listaszerbekezds"/>
              <w:numPr>
                <w:ilvl w:val="0"/>
                <w:numId w:val="10"/>
              </w:numPr>
              <w:ind w:left="713" w:hanging="567"/>
              <w:rPr>
                <w:lang w:val="hu-HU"/>
              </w:rPr>
            </w:pPr>
            <w:r>
              <w:rPr>
                <w:lang w:val="hu-HU"/>
              </w:rPr>
              <w:t>Közelmúltban</w:t>
            </w:r>
            <w:r>
              <w:rPr>
                <w:spacing w:val="-6"/>
                <w:lang w:val="hu-HU"/>
              </w:rPr>
              <w:t xml:space="preserve"> </w:t>
            </w:r>
            <w:r>
              <w:rPr>
                <w:lang w:val="hu-HU"/>
              </w:rPr>
              <w:t>végzett</w:t>
            </w:r>
            <w:r>
              <w:rPr>
                <w:spacing w:val="-6"/>
                <w:lang w:val="hu-HU"/>
              </w:rPr>
              <w:t xml:space="preserve"> </w:t>
            </w:r>
            <w:r>
              <w:rPr>
                <w:lang w:val="hu-HU"/>
              </w:rPr>
              <w:t>biopszia</w:t>
            </w:r>
            <w:r>
              <w:rPr>
                <w:spacing w:val="-7"/>
                <w:lang w:val="hu-HU"/>
              </w:rPr>
              <w:t xml:space="preserve"> </w:t>
            </w:r>
            <w:r>
              <w:rPr>
                <w:lang w:val="hu-HU"/>
              </w:rPr>
              <w:t>vagy közelmúltban bekövetkezett jelentős trauma;</w:t>
            </w:r>
          </w:p>
          <w:p w:rsidR="007D7140" w:rsidRDefault="00A207BA">
            <w:pPr>
              <w:pStyle w:val="Listaszerbekezds"/>
              <w:numPr>
                <w:ilvl w:val="0"/>
                <w:numId w:val="10"/>
              </w:numPr>
              <w:ind w:left="713" w:hanging="567"/>
              <w:rPr>
                <w:lang w:val="hu-HU"/>
              </w:rPr>
            </w:pPr>
            <w:r>
              <w:rPr>
                <w:lang w:val="hu-HU"/>
              </w:rPr>
              <w:t>Bakteriális</w:t>
            </w:r>
            <w:r>
              <w:rPr>
                <w:spacing w:val="-8"/>
                <w:lang w:val="hu-HU"/>
              </w:rPr>
              <w:t xml:space="preserve"> </w:t>
            </w:r>
            <w:r>
              <w:rPr>
                <w:lang w:val="hu-HU"/>
              </w:rPr>
              <w:t>endocarditis;</w:t>
            </w:r>
          </w:p>
          <w:p w:rsidR="007D7140" w:rsidRDefault="00A207BA">
            <w:pPr>
              <w:pStyle w:val="Listaszerbekezds"/>
              <w:numPr>
                <w:ilvl w:val="0"/>
                <w:numId w:val="10"/>
              </w:numPr>
              <w:ind w:left="713" w:hanging="567"/>
              <w:rPr>
                <w:lang w:val="hu-HU"/>
              </w:rPr>
            </w:pPr>
            <w:r>
              <w:rPr>
                <w:lang w:val="hu-HU"/>
              </w:rPr>
              <w:t>Oesophagitis,</w:t>
            </w:r>
            <w:r>
              <w:rPr>
                <w:spacing w:val="-8"/>
                <w:lang w:val="hu-HU"/>
              </w:rPr>
              <w:t xml:space="preserve"> </w:t>
            </w:r>
            <w:r>
              <w:rPr>
                <w:lang w:val="hu-HU"/>
              </w:rPr>
              <w:t>gastritis</w:t>
            </w:r>
            <w:r>
              <w:rPr>
                <w:spacing w:val="-8"/>
                <w:lang w:val="hu-HU"/>
              </w:rPr>
              <w:t xml:space="preserve"> </w:t>
            </w:r>
            <w:r>
              <w:rPr>
                <w:lang w:val="hu-HU"/>
              </w:rPr>
              <w:t>vagy  gastrooesophagealis</w:t>
            </w:r>
            <w:r>
              <w:rPr>
                <w:spacing w:val="-7"/>
                <w:lang w:val="hu-HU"/>
              </w:rPr>
              <w:t xml:space="preserve"> </w:t>
            </w:r>
            <w:r>
              <w:rPr>
                <w:lang w:val="hu-HU"/>
              </w:rPr>
              <w:t>reflux.</w:t>
            </w:r>
          </w:p>
        </w:tc>
      </w:tr>
    </w:tbl>
    <w:p w:rsidR="007D7140" w:rsidRDefault="007D7140">
      <w:pPr>
        <w:rPr>
          <w:lang w:val="hu-HU"/>
        </w:rPr>
      </w:pPr>
    </w:p>
    <w:p w:rsidR="007D7140" w:rsidRDefault="00A207BA">
      <w:pPr>
        <w:rPr>
          <w:lang w:val="hu-HU"/>
        </w:rPr>
      </w:pPr>
      <w:r>
        <w:rPr>
          <w:lang w:val="hu-HU"/>
        </w:rPr>
        <w:t>50 kilogrammnál kisebb testtömegű felnőtt betegekre vonatkozóan kevés adat áll rendelkezésre (lásd</w:t>
      </w:r>
      <w:r>
        <w:rPr>
          <w:spacing w:val="-1"/>
          <w:lang w:val="hu-HU"/>
        </w:rPr>
        <w:t xml:space="preserve"> </w:t>
      </w:r>
      <w:r>
        <w:rPr>
          <w:lang w:val="hu-HU"/>
        </w:rPr>
        <w:t>5.2</w:t>
      </w:r>
      <w:r>
        <w:rPr>
          <w:spacing w:val="-3"/>
          <w:lang w:val="hu-HU"/>
        </w:rPr>
        <w:t> pont</w:t>
      </w:r>
      <w:r>
        <w:rPr>
          <w:lang w:val="hu-HU"/>
        </w:rPr>
        <w:t>).</w:t>
      </w:r>
    </w:p>
    <w:p w:rsidR="007D7140" w:rsidRDefault="007D7140">
      <w:pPr>
        <w:rPr>
          <w:lang w:val="hu-HU"/>
        </w:rPr>
      </w:pPr>
    </w:p>
    <w:p w:rsidR="007D7140" w:rsidRDefault="00A207BA">
      <w:pPr>
        <w:rPr>
          <w:lang w:val="hu-HU"/>
        </w:rPr>
      </w:pPr>
      <w:r>
        <w:rPr>
          <w:lang w:val="hu-HU"/>
        </w:rPr>
        <w:t>A dabigatrán</w:t>
      </w:r>
      <w:r>
        <w:rPr>
          <w:lang w:val="hu-HU"/>
        </w:rPr>
        <w:noBreakHyphen/>
        <w:t>etexilát és P</w:t>
      </w:r>
      <w:r>
        <w:rPr>
          <w:lang w:val="hu-HU"/>
        </w:rPr>
        <w:noBreakHyphen/>
        <w:t>gp</w:t>
      </w:r>
      <w:r>
        <w:rPr>
          <w:lang w:val="hu-HU"/>
        </w:rPr>
        <w:noBreakHyphen/>
        <w:t>inhibitorok együttes alkalmazását nem vizsgálták gyermekeknél, és serdülőknél,</w:t>
      </w:r>
      <w:r>
        <w:rPr>
          <w:spacing w:val="-2"/>
          <w:lang w:val="hu-HU"/>
        </w:rPr>
        <w:t xml:space="preserve"> </w:t>
      </w:r>
      <w:r>
        <w:rPr>
          <w:lang w:val="hu-HU"/>
        </w:rPr>
        <w:t>azonban</w:t>
      </w:r>
      <w:r>
        <w:rPr>
          <w:spacing w:val="-2"/>
          <w:lang w:val="hu-HU"/>
        </w:rPr>
        <w:t xml:space="preserve"> </w:t>
      </w:r>
      <w:r>
        <w:rPr>
          <w:lang w:val="hu-HU"/>
        </w:rPr>
        <w:t>fokozódhat</w:t>
      </w:r>
      <w:r>
        <w:rPr>
          <w:spacing w:val="-1"/>
          <w:lang w:val="hu-HU"/>
        </w:rPr>
        <w:t xml:space="preserve"> </w:t>
      </w:r>
      <w:r>
        <w:rPr>
          <w:lang w:val="hu-HU"/>
        </w:rPr>
        <w:t>a</w:t>
      </w:r>
      <w:r>
        <w:rPr>
          <w:spacing w:val="-2"/>
          <w:lang w:val="hu-HU"/>
        </w:rPr>
        <w:t xml:space="preserve"> </w:t>
      </w:r>
      <w:r>
        <w:rPr>
          <w:lang w:val="hu-HU"/>
        </w:rPr>
        <w:t>vérzés</w:t>
      </w:r>
      <w:r>
        <w:rPr>
          <w:spacing w:val="-1"/>
          <w:lang w:val="hu-HU"/>
        </w:rPr>
        <w:t xml:space="preserve"> </w:t>
      </w:r>
      <w:r>
        <w:rPr>
          <w:lang w:val="hu-HU"/>
        </w:rPr>
        <w:t>kockázata</w:t>
      </w:r>
      <w:r>
        <w:rPr>
          <w:spacing w:val="-2"/>
          <w:lang w:val="hu-HU"/>
        </w:rPr>
        <w:t xml:space="preserve"> </w:t>
      </w:r>
      <w:r>
        <w:rPr>
          <w:lang w:val="hu-HU"/>
        </w:rPr>
        <w:t>(lásd</w:t>
      </w:r>
      <w:r>
        <w:rPr>
          <w:spacing w:val="-1"/>
          <w:lang w:val="hu-HU"/>
        </w:rPr>
        <w:t xml:space="preserve"> </w:t>
      </w:r>
      <w:r>
        <w:rPr>
          <w:lang w:val="hu-HU"/>
        </w:rPr>
        <w:t>4.5</w:t>
      </w:r>
      <w:r>
        <w:rPr>
          <w:spacing w:val="-3"/>
          <w:lang w:val="hu-HU"/>
        </w:rPr>
        <w:t> pont</w:t>
      </w:r>
      <w:r>
        <w:rPr>
          <w:lang w:val="hu-HU"/>
        </w:rPr>
        <w:t>).</w:t>
      </w:r>
    </w:p>
    <w:p w:rsidR="007D7140" w:rsidRDefault="007D7140">
      <w:pPr>
        <w:rPr>
          <w:lang w:val="hu-HU"/>
        </w:rPr>
      </w:pPr>
    </w:p>
    <w:p w:rsidR="007D7140" w:rsidRDefault="00A207BA">
      <w:pPr>
        <w:rPr>
          <w:i/>
          <w:lang w:val="hu-HU"/>
        </w:rPr>
      </w:pPr>
      <w:r>
        <w:rPr>
          <w:i/>
          <w:u w:val="single"/>
          <w:lang w:val="hu-HU"/>
        </w:rPr>
        <w:t>Óvintézkedések</w:t>
      </w:r>
      <w:r>
        <w:rPr>
          <w:i/>
          <w:spacing w:val="-5"/>
          <w:u w:val="single"/>
          <w:lang w:val="hu-HU"/>
        </w:rPr>
        <w:t xml:space="preserve"> </w:t>
      </w:r>
      <w:r>
        <w:rPr>
          <w:i/>
          <w:u w:val="single"/>
          <w:lang w:val="hu-HU"/>
        </w:rPr>
        <w:t>és</w:t>
      </w:r>
      <w:r>
        <w:rPr>
          <w:i/>
          <w:spacing w:val="-5"/>
          <w:u w:val="single"/>
          <w:lang w:val="hu-HU"/>
        </w:rPr>
        <w:t xml:space="preserve"> </w:t>
      </w:r>
      <w:r>
        <w:rPr>
          <w:i/>
          <w:u w:val="single"/>
          <w:lang w:val="hu-HU"/>
        </w:rPr>
        <w:t>a</w:t>
      </w:r>
      <w:r>
        <w:rPr>
          <w:i/>
          <w:spacing w:val="-5"/>
          <w:u w:val="single"/>
          <w:lang w:val="hu-HU"/>
        </w:rPr>
        <w:t xml:space="preserve"> </w:t>
      </w:r>
      <w:r>
        <w:rPr>
          <w:i/>
          <w:u w:val="single"/>
          <w:lang w:val="hu-HU"/>
        </w:rPr>
        <w:t>vérzésveszély</w:t>
      </w:r>
      <w:r>
        <w:rPr>
          <w:i/>
          <w:spacing w:val="-5"/>
          <w:u w:val="single"/>
          <w:lang w:val="hu-HU"/>
        </w:rPr>
        <w:t xml:space="preserve"> </w:t>
      </w:r>
      <w:r>
        <w:rPr>
          <w:i/>
          <w:u w:val="single"/>
          <w:lang w:val="hu-HU"/>
        </w:rPr>
        <w:t>kezelése</w:t>
      </w:r>
    </w:p>
    <w:p w:rsidR="007D7140" w:rsidRDefault="007D7140">
      <w:pPr>
        <w:rPr>
          <w:i/>
          <w:lang w:val="hu-HU"/>
        </w:rPr>
      </w:pPr>
    </w:p>
    <w:p w:rsidR="007D7140" w:rsidRDefault="00A207BA">
      <w:pPr>
        <w:rPr>
          <w:lang w:val="hu-HU"/>
        </w:rPr>
      </w:pPr>
      <w:r>
        <w:rPr>
          <w:lang w:val="hu-HU"/>
        </w:rPr>
        <w:t>A</w:t>
      </w:r>
      <w:r>
        <w:rPr>
          <w:spacing w:val="-3"/>
          <w:lang w:val="hu-HU"/>
        </w:rPr>
        <w:t xml:space="preserve"> </w:t>
      </w:r>
      <w:r>
        <w:rPr>
          <w:lang w:val="hu-HU"/>
        </w:rPr>
        <w:t>vérzéses</w:t>
      </w:r>
      <w:r>
        <w:rPr>
          <w:spacing w:val="-3"/>
          <w:lang w:val="hu-HU"/>
        </w:rPr>
        <w:t xml:space="preserve"> </w:t>
      </w:r>
      <w:r>
        <w:rPr>
          <w:lang w:val="hu-HU"/>
        </w:rPr>
        <w:t>szövődmények</w:t>
      </w:r>
      <w:r>
        <w:rPr>
          <w:spacing w:val="-2"/>
          <w:lang w:val="hu-HU"/>
        </w:rPr>
        <w:t xml:space="preserve"> </w:t>
      </w:r>
      <w:r>
        <w:rPr>
          <w:lang w:val="hu-HU"/>
        </w:rPr>
        <w:t>kezelését</w:t>
      </w:r>
      <w:r>
        <w:rPr>
          <w:spacing w:val="-3"/>
          <w:lang w:val="hu-HU"/>
        </w:rPr>
        <w:t xml:space="preserve"> </w:t>
      </w:r>
      <w:r>
        <w:rPr>
          <w:lang w:val="hu-HU"/>
        </w:rPr>
        <w:t>lásd</w:t>
      </w:r>
      <w:r>
        <w:rPr>
          <w:spacing w:val="-3"/>
          <w:lang w:val="hu-HU"/>
        </w:rPr>
        <w:t xml:space="preserve"> </w:t>
      </w:r>
      <w:r>
        <w:rPr>
          <w:lang w:val="hu-HU"/>
        </w:rPr>
        <w:t>még</w:t>
      </w:r>
      <w:r>
        <w:rPr>
          <w:spacing w:val="-2"/>
          <w:lang w:val="hu-HU"/>
        </w:rPr>
        <w:t xml:space="preserve"> </w:t>
      </w:r>
      <w:r>
        <w:rPr>
          <w:lang w:val="hu-HU"/>
        </w:rPr>
        <w:t>a</w:t>
      </w:r>
      <w:r>
        <w:rPr>
          <w:spacing w:val="-3"/>
          <w:lang w:val="hu-HU"/>
        </w:rPr>
        <w:t xml:space="preserve"> </w:t>
      </w:r>
      <w:r>
        <w:rPr>
          <w:lang w:val="hu-HU"/>
        </w:rPr>
        <w:t>4.9</w:t>
      </w:r>
      <w:r>
        <w:rPr>
          <w:spacing w:val="-1"/>
          <w:lang w:val="hu-HU"/>
        </w:rPr>
        <w:t> pont</w:t>
      </w:r>
      <w:r>
        <w:rPr>
          <w:lang w:val="hu-HU"/>
        </w:rPr>
        <w:t>ban.</w:t>
      </w:r>
    </w:p>
    <w:p w:rsidR="007D7140" w:rsidRDefault="007D7140">
      <w:pPr>
        <w:rPr>
          <w:lang w:val="hu-HU"/>
        </w:rPr>
      </w:pPr>
    </w:p>
    <w:p w:rsidR="007D7140" w:rsidRDefault="00A207BA">
      <w:pPr>
        <w:rPr>
          <w:i/>
          <w:lang w:val="hu-HU"/>
        </w:rPr>
      </w:pPr>
      <w:r>
        <w:rPr>
          <w:i/>
          <w:lang w:val="hu-HU"/>
        </w:rPr>
        <w:t>Előny</w:t>
      </w:r>
      <w:r>
        <w:rPr>
          <w:i/>
          <w:lang w:val="hu-HU"/>
        </w:rPr>
        <w:noBreakHyphen/>
        <w:t>kockázat</w:t>
      </w:r>
      <w:r>
        <w:rPr>
          <w:i/>
          <w:spacing w:val="-7"/>
          <w:lang w:val="hu-HU"/>
        </w:rPr>
        <w:t xml:space="preserve"> </w:t>
      </w:r>
      <w:r>
        <w:rPr>
          <w:i/>
          <w:lang w:val="hu-HU"/>
        </w:rPr>
        <w:t>arány</w:t>
      </w:r>
      <w:r>
        <w:rPr>
          <w:i/>
          <w:spacing w:val="-6"/>
          <w:lang w:val="hu-HU"/>
        </w:rPr>
        <w:t xml:space="preserve"> </w:t>
      </w:r>
      <w:r>
        <w:rPr>
          <w:i/>
          <w:lang w:val="hu-HU"/>
        </w:rPr>
        <w:t>mérlegelése</w:t>
      </w:r>
    </w:p>
    <w:p w:rsidR="007D7140" w:rsidRDefault="007D7140">
      <w:pPr>
        <w:rPr>
          <w:i/>
          <w:lang w:val="hu-HU"/>
        </w:rPr>
      </w:pPr>
    </w:p>
    <w:p w:rsidR="007D7140" w:rsidRDefault="00A207BA">
      <w:pPr>
        <w:rPr>
          <w:lang w:val="hu-HU"/>
        </w:rPr>
      </w:pPr>
      <w:r>
        <w:rPr>
          <w:lang w:val="hu-HU"/>
        </w:rPr>
        <w:t>Az előny</w:t>
      </w:r>
      <w:r>
        <w:rPr>
          <w:lang w:val="hu-HU"/>
        </w:rPr>
        <w:noBreakHyphen/>
        <w:t>kockázat arány gondos elemzésére van szükség olyan léziók, állapotok, eljárások és/vagy gyógyszeres kezelés (pl. NSAID</w:t>
      </w:r>
      <w:r>
        <w:rPr>
          <w:lang w:val="hu-HU"/>
        </w:rPr>
        <w:noBreakHyphen/>
        <w:t>ok,</w:t>
      </w:r>
      <w:r>
        <w:rPr>
          <w:spacing w:val="1"/>
          <w:lang w:val="hu-HU"/>
        </w:rPr>
        <w:t xml:space="preserve"> </w:t>
      </w:r>
      <w:r>
        <w:rPr>
          <w:lang w:val="hu-HU"/>
        </w:rPr>
        <w:t>thrombocyta</w:t>
      </w:r>
      <w:r>
        <w:rPr>
          <w:lang w:val="hu-HU"/>
        </w:rPr>
        <w:noBreakHyphen/>
        <w:t>aggregáció</w:t>
      </w:r>
      <w:r>
        <w:rPr>
          <w:lang w:val="hu-HU"/>
        </w:rPr>
        <w:noBreakHyphen/>
        <w:t>gátlók, SSRI</w:t>
      </w:r>
      <w:r>
        <w:rPr>
          <w:lang w:val="hu-HU"/>
        </w:rPr>
        <w:noBreakHyphen/>
        <w:t>k és SNRI</w:t>
      </w:r>
      <w:r>
        <w:rPr>
          <w:lang w:val="hu-HU"/>
        </w:rPr>
        <w:noBreakHyphen/>
        <w:t>k, lásd 4.5 pont) esetén, amelyek nagymértékben fokozzák a jelentős vérzés veszélyét. A</w:t>
      </w:r>
      <w:r>
        <w:rPr>
          <w:spacing w:val="1"/>
          <w:lang w:val="hu-HU"/>
        </w:rPr>
        <w:t xml:space="preserve"> </w:t>
      </w:r>
      <w:r>
        <w:rPr>
          <w:lang w:val="hu-HU"/>
        </w:rPr>
        <w:t>dabigatrán</w:t>
      </w:r>
      <w:r>
        <w:rPr>
          <w:lang w:val="hu-HU"/>
        </w:rPr>
        <w:noBreakHyphen/>
        <w:t>etexilát</w:t>
      </w:r>
      <w:r>
        <w:rPr>
          <w:spacing w:val="-2"/>
          <w:lang w:val="hu-HU"/>
        </w:rPr>
        <w:t xml:space="preserve"> </w:t>
      </w:r>
      <w:r>
        <w:rPr>
          <w:lang w:val="hu-HU"/>
        </w:rPr>
        <w:t>csak</w:t>
      </w:r>
      <w:r>
        <w:rPr>
          <w:spacing w:val="-2"/>
          <w:lang w:val="hu-HU"/>
        </w:rPr>
        <w:t xml:space="preserve"> </w:t>
      </w:r>
      <w:r>
        <w:rPr>
          <w:lang w:val="hu-HU"/>
        </w:rPr>
        <w:t>akkor</w:t>
      </w:r>
      <w:r>
        <w:rPr>
          <w:spacing w:val="-2"/>
          <w:lang w:val="hu-HU"/>
        </w:rPr>
        <w:t xml:space="preserve"> </w:t>
      </w:r>
      <w:r>
        <w:rPr>
          <w:lang w:val="hu-HU"/>
        </w:rPr>
        <w:t>adható,</w:t>
      </w:r>
      <w:r>
        <w:rPr>
          <w:spacing w:val="-2"/>
          <w:lang w:val="hu-HU"/>
        </w:rPr>
        <w:t xml:space="preserve"> </w:t>
      </w:r>
      <w:r>
        <w:rPr>
          <w:lang w:val="hu-HU"/>
        </w:rPr>
        <w:t>ha</w:t>
      </w:r>
      <w:r>
        <w:rPr>
          <w:spacing w:val="-2"/>
          <w:lang w:val="hu-HU"/>
        </w:rPr>
        <w:t xml:space="preserve"> </w:t>
      </w:r>
      <w:r>
        <w:rPr>
          <w:lang w:val="hu-HU"/>
        </w:rPr>
        <w:t>az</w:t>
      </w:r>
      <w:r>
        <w:rPr>
          <w:spacing w:val="-2"/>
          <w:lang w:val="hu-HU"/>
        </w:rPr>
        <w:t xml:space="preserve"> </w:t>
      </w:r>
      <w:r>
        <w:rPr>
          <w:lang w:val="hu-HU"/>
        </w:rPr>
        <w:t>előny</w:t>
      </w:r>
      <w:r>
        <w:rPr>
          <w:spacing w:val="-2"/>
          <w:lang w:val="hu-HU"/>
        </w:rPr>
        <w:t xml:space="preserve"> </w:t>
      </w:r>
      <w:r>
        <w:rPr>
          <w:lang w:val="hu-HU"/>
        </w:rPr>
        <w:t>felülmúlja</w:t>
      </w:r>
      <w:r>
        <w:rPr>
          <w:spacing w:val="-2"/>
          <w:lang w:val="hu-HU"/>
        </w:rPr>
        <w:t xml:space="preserve"> </w:t>
      </w:r>
      <w:r>
        <w:rPr>
          <w:lang w:val="hu-HU"/>
        </w:rPr>
        <w:t>a</w:t>
      </w:r>
      <w:r>
        <w:rPr>
          <w:spacing w:val="-2"/>
          <w:lang w:val="hu-HU"/>
        </w:rPr>
        <w:t xml:space="preserve"> </w:t>
      </w:r>
      <w:r>
        <w:rPr>
          <w:lang w:val="hu-HU"/>
        </w:rPr>
        <w:t>vérzési</w:t>
      </w:r>
      <w:r>
        <w:rPr>
          <w:spacing w:val="-2"/>
          <w:lang w:val="hu-HU"/>
        </w:rPr>
        <w:t xml:space="preserve"> </w:t>
      </w:r>
      <w:r>
        <w:rPr>
          <w:lang w:val="hu-HU"/>
        </w:rPr>
        <w:t>kockázatokat.</w:t>
      </w:r>
    </w:p>
    <w:p w:rsidR="007D7140" w:rsidRDefault="007D7140">
      <w:pPr>
        <w:rPr>
          <w:lang w:val="hu-HU"/>
        </w:rPr>
      </w:pPr>
    </w:p>
    <w:p w:rsidR="007D7140" w:rsidRDefault="00A207BA">
      <w:pPr>
        <w:rPr>
          <w:lang w:val="hu-HU"/>
        </w:rPr>
      </w:pPr>
      <w:r>
        <w:rPr>
          <w:lang w:val="hu-HU"/>
        </w:rPr>
        <w:t>Korlátozott klinikai adatok állnak rendelkezésre olyan gyermekgyógyászati betegekről, akiknél kockázati tényezők vannak jelen, beleértve az aktív</w:t>
      </w:r>
      <w:r>
        <w:rPr>
          <w:spacing w:val="1"/>
          <w:lang w:val="hu-HU"/>
        </w:rPr>
        <w:t xml:space="preserve"> </w:t>
      </w:r>
      <w:r>
        <w:rPr>
          <w:lang w:val="hu-HU"/>
        </w:rPr>
        <w:t>meningitisben, encephalitisben és intracranialis abscessusban szenvedő betegeket (lásd 5.1 pont). Ezeknek a betegeknek a dabigatrán</w:t>
      </w:r>
      <w:r>
        <w:rPr>
          <w:lang w:val="hu-HU"/>
        </w:rPr>
        <w:noBreakHyphen/>
        <w:t>etexilát csak akkor adható, ha a</w:t>
      </w:r>
      <w:r>
        <w:rPr>
          <w:spacing w:val="-1"/>
          <w:lang w:val="hu-HU"/>
        </w:rPr>
        <w:t xml:space="preserve"> </w:t>
      </w:r>
      <w:r>
        <w:rPr>
          <w:lang w:val="hu-HU"/>
        </w:rPr>
        <w:t>várt</w:t>
      </w:r>
      <w:r>
        <w:rPr>
          <w:spacing w:val="-1"/>
          <w:lang w:val="hu-HU"/>
        </w:rPr>
        <w:t xml:space="preserve"> </w:t>
      </w:r>
      <w:r>
        <w:rPr>
          <w:lang w:val="hu-HU"/>
        </w:rPr>
        <w:t>előny</w:t>
      </w:r>
      <w:r>
        <w:rPr>
          <w:spacing w:val="-1"/>
          <w:lang w:val="hu-HU"/>
        </w:rPr>
        <w:t xml:space="preserve"> </w:t>
      </w:r>
      <w:r>
        <w:rPr>
          <w:lang w:val="hu-HU"/>
        </w:rPr>
        <w:t>felülmúlja</w:t>
      </w:r>
      <w:r>
        <w:rPr>
          <w:spacing w:val="-2"/>
          <w:lang w:val="hu-HU"/>
        </w:rPr>
        <w:t xml:space="preserve"> </w:t>
      </w:r>
      <w:r>
        <w:rPr>
          <w:lang w:val="hu-HU"/>
        </w:rPr>
        <w:t>a</w:t>
      </w:r>
      <w:r>
        <w:rPr>
          <w:spacing w:val="-1"/>
          <w:lang w:val="hu-HU"/>
        </w:rPr>
        <w:t xml:space="preserve"> </w:t>
      </w:r>
      <w:r>
        <w:rPr>
          <w:lang w:val="hu-HU"/>
        </w:rPr>
        <w:t>vérzési</w:t>
      </w:r>
      <w:r>
        <w:rPr>
          <w:spacing w:val="-1"/>
          <w:lang w:val="hu-HU"/>
        </w:rPr>
        <w:t xml:space="preserve"> </w:t>
      </w:r>
      <w:r>
        <w:rPr>
          <w:lang w:val="hu-HU"/>
        </w:rPr>
        <w:t>kockázatokat.</w:t>
      </w:r>
    </w:p>
    <w:p w:rsidR="007D7140" w:rsidRDefault="007D7140">
      <w:pPr>
        <w:rPr>
          <w:lang w:val="hu-HU"/>
        </w:rPr>
      </w:pPr>
    </w:p>
    <w:p w:rsidR="007D7140" w:rsidRDefault="00A207BA">
      <w:pPr>
        <w:rPr>
          <w:i/>
          <w:lang w:val="hu-HU"/>
        </w:rPr>
      </w:pPr>
      <w:r>
        <w:rPr>
          <w:i/>
          <w:lang w:val="hu-HU"/>
        </w:rPr>
        <w:t>Szoros</w:t>
      </w:r>
      <w:r>
        <w:rPr>
          <w:i/>
          <w:spacing w:val="-6"/>
          <w:lang w:val="hu-HU"/>
        </w:rPr>
        <w:t xml:space="preserve"> </w:t>
      </w:r>
      <w:r>
        <w:rPr>
          <w:i/>
          <w:lang w:val="hu-HU"/>
        </w:rPr>
        <w:t>klinikai</w:t>
      </w:r>
      <w:r>
        <w:rPr>
          <w:i/>
          <w:spacing w:val="-5"/>
          <w:lang w:val="hu-HU"/>
        </w:rPr>
        <w:t xml:space="preserve"> </w:t>
      </w:r>
      <w:r>
        <w:rPr>
          <w:i/>
          <w:lang w:val="hu-HU"/>
        </w:rPr>
        <w:t>megfigyelés</w:t>
      </w:r>
    </w:p>
    <w:p w:rsidR="007D7140" w:rsidRDefault="007D7140">
      <w:pPr>
        <w:rPr>
          <w:i/>
          <w:lang w:val="hu-HU"/>
        </w:rPr>
      </w:pPr>
    </w:p>
    <w:p w:rsidR="007D7140" w:rsidRDefault="00A207BA">
      <w:pPr>
        <w:rPr>
          <w:lang w:val="hu-HU"/>
        </w:rPr>
      </w:pPr>
      <w:r>
        <w:rPr>
          <w:lang w:val="hu-HU"/>
        </w:rPr>
        <w:t>A vérzés vagy anaemia jeleinek szoros megfigyelése javasolt a teljes kezelési időszakban, különösen a kockázati tényezők együttes fennállása esetén (lásd a fenti 5. táblázat). Fokozott odafigyelés szükséges a</w:t>
      </w:r>
      <w:r>
        <w:rPr>
          <w:spacing w:val="1"/>
          <w:lang w:val="hu-HU"/>
        </w:rPr>
        <w:t xml:space="preserve"> </w:t>
      </w:r>
      <w:r>
        <w:rPr>
          <w:lang w:val="hu-HU"/>
        </w:rPr>
        <w:t>dabigatrán</w:t>
      </w:r>
      <w:r>
        <w:rPr>
          <w:lang w:val="hu-HU"/>
        </w:rPr>
        <w:noBreakHyphen/>
        <w:t>etexilát, és verapamil, amiodaron, kinidin vagy klaritromicin (P-gp</w:t>
      </w:r>
      <w:r>
        <w:rPr>
          <w:lang w:val="hu-HU"/>
        </w:rPr>
        <w:noBreakHyphen/>
        <w:t>inhibitorok) egyidejű alkalmazásakor, különösen vérzés esetén, elsősorban a vesekárosodásban szenvedő betegeknél (lásd</w:t>
      </w:r>
      <w:r>
        <w:rPr>
          <w:spacing w:val="-1"/>
          <w:lang w:val="hu-HU"/>
        </w:rPr>
        <w:t xml:space="preserve"> </w:t>
      </w:r>
      <w:r>
        <w:rPr>
          <w:lang w:val="hu-HU"/>
        </w:rPr>
        <w:t>4.5</w:t>
      </w:r>
      <w:r>
        <w:rPr>
          <w:spacing w:val="-3"/>
          <w:lang w:val="hu-HU"/>
        </w:rPr>
        <w:t> pont</w:t>
      </w:r>
      <w:r>
        <w:rPr>
          <w:lang w:val="hu-HU"/>
        </w:rPr>
        <w:t>).</w:t>
      </w:r>
    </w:p>
    <w:p w:rsidR="007D7140" w:rsidRDefault="00A207BA">
      <w:pPr>
        <w:rPr>
          <w:lang w:val="hu-HU"/>
        </w:rPr>
      </w:pPr>
      <w:r>
        <w:rPr>
          <w:lang w:val="hu-HU"/>
        </w:rPr>
        <w:t>A vérzés jeleinek szoros megfigyelése javasolt a NSAID</w:t>
      </w:r>
      <w:r>
        <w:rPr>
          <w:lang w:val="hu-HU"/>
        </w:rPr>
        <w:noBreakHyphen/>
        <w:t>okkal egyidejűleg kezelt betegek esetében (lásd</w:t>
      </w:r>
      <w:r>
        <w:rPr>
          <w:spacing w:val="-1"/>
          <w:lang w:val="hu-HU"/>
        </w:rPr>
        <w:t xml:space="preserve"> </w:t>
      </w:r>
      <w:r>
        <w:rPr>
          <w:lang w:val="hu-HU"/>
        </w:rPr>
        <w:t>4.5</w:t>
      </w:r>
      <w:r>
        <w:rPr>
          <w:spacing w:val="-3"/>
          <w:lang w:val="hu-HU"/>
        </w:rPr>
        <w:t> pont</w:t>
      </w:r>
      <w:r>
        <w:rPr>
          <w:lang w:val="hu-HU"/>
        </w:rPr>
        <w:t>).</w:t>
      </w:r>
    </w:p>
    <w:p w:rsidR="007D7140" w:rsidRDefault="007D7140">
      <w:pPr>
        <w:rPr>
          <w:lang w:val="hu-HU"/>
        </w:rPr>
      </w:pPr>
    </w:p>
    <w:p w:rsidR="007D7140" w:rsidRDefault="00A207BA">
      <w:pPr>
        <w:rPr>
          <w:i/>
          <w:lang w:val="hu-HU"/>
        </w:rPr>
      </w:pPr>
      <w:r>
        <w:rPr>
          <w:i/>
          <w:lang w:val="hu-HU"/>
        </w:rPr>
        <w:t>A</w:t>
      </w:r>
      <w:r>
        <w:rPr>
          <w:i/>
          <w:spacing w:val="-5"/>
          <w:lang w:val="hu-HU"/>
        </w:rPr>
        <w:t xml:space="preserve"> </w:t>
      </w:r>
      <w:r>
        <w:rPr>
          <w:i/>
          <w:lang w:val="hu-HU"/>
        </w:rPr>
        <w:t>dabigatrán</w:t>
      </w:r>
      <w:r>
        <w:rPr>
          <w:i/>
          <w:lang w:val="hu-HU"/>
        </w:rPr>
        <w:noBreakHyphen/>
        <w:t>etexilát</w:t>
      </w:r>
      <w:r>
        <w:rPr>
          <w:i/>
          <w:spacing w:val="-5"/>
          <w:lang w:val="hu-HU"/>
        </w:rPr>
        <w:t xml:space="preserve"> </w:t>
      </w:r>
      <w:r>
        <w:rPr>
          <w:i/>
          <w:lang w:val="hu-HU"/>
        </w:rPr>
        <w:t>kezelés</w:t>
      </w:r>
      <w:r>
        <w:rPr>
          <w:i/>
          <w:spacing w:val="-5"/>
          <w:lang w:val="hu-HU"/>
        </w:rPr>
        <w:t xml:space="preserve"> </w:t>
      </w:r>
      <w:r>
        <w:rPr>
          <w:i/>
          <w:lang w:val="hu-HU"/>
        </w:rPr>
        <w:t>leállítása</w:t>
      </w:r>
    </w:p>
    <w:p w:rsidR="007D7140" w:rsidRDefault="007D7140">
      <w:pPr>
        <w:rPr>
          <w:i/>
          <w:lang w:val="hu-HU"/>
        </w:rPr>
      </w:pPr>
    </w:p>
    <w:p w:rsidR="007D7140" w:rsidRDefault="00A207BA">
      <w:pPr>
        <w:rPr>
          <w:lang w:val="hu-HU"/>
        </w:rPr>
      </w:pPr>
      <w:r>
        <w:rPr>
          <w:lang w:val="hu-HU"/>
        </w:rPr>
        <w:t>Azoknál a betegeknél, akiknél akut</w:t>
      </w:r>
      <w:r>
        <w:rPr>
          <w:spacing w:val="-5"/>
          <w:lang w:val="hu-HU"/>
        </w:rPr>
        <w:t xml:space="preserve"> </w:t>
      </w:r>
      <w:r>
        <w:rPr>
          <w:lang w:val="hu-HU"/>
        </w:rPr>
        <w:t>veseelégtelenség</w:t>
      </w:r>
      <w:r>
        <w:rPr>
          <w:spacing w:val="-4"/>
          <w:lang w:val="hu-HU"/>
        </w:rPr>
        <w:t xml:space="preserve"> </w:t>
      </w:r>
      <w:r>
        <w:rPr>
          <w:lang w:val="hu-HU"/>
        </w:rPr>
        <w:t>alakul ki, a</w:t>
      </w:r>
      <w:r>
        <w:rPr>
          <w:spacing w:val="-4"/>
          <w:lang w:val="hu-HU"/>
        </w:rPr>
        <w:t xml:space="preserve"> </w:t>
      </w:r>
      <w:r>
        <w:rPr>
          <w:lang w:val="hu-HU"/>
        </w:rPr>
        <w:t>dabigatrán</w:t>
      </w:r>
      <w:r>
        <w:rPr>
          <w:lang w:val="hu-HU"/>
        </w:rPr>
        <w:noBreakHyphen/>
        <w:t>etexilát</w:t>
      </w:r>
      <w:r>
        <w:rPr>
          <w:lang w:val="hu-HU"/>
        </w:rPr>
        <w:noBreakHyphen/>
        <w:t>kezelést</w:t>
      </w:r>
      <w:r>
        <w:rPr>
          <w:spacing w:val="-4"/>
          <w:lang w:val="hu-HU"/>
        </w:rPr>
        <w:t xml:space="preserve"> </w:t>
      </w:r>
      <w:r>
        <w:rPr>
          <w:lang w:val="hu-HU"/>
        </w:rPr>
        <w:t>le</w:t>
      </w:r>
      <w:r>
        <w:rPr>
          <w:spacing w:val="-5"/>
          <w:lang w:val="hu-HU"/>
        </w:rPr>
        <w:t xml:space="preserve"> </w:t>
      </w:r>
      <w:r>
        <w:rPr>
          <w:lang w:val="hu-HU"/>
        </w:rPr>
        <w:t>kell</w:t>
      </w:r>
      <w:r>
        <w:rPr>
          <w:spacing w:val="-4"/>
          <w:lang w:val="hu-HU"/>
        </w:rPr>
        <w:t xml:space="preserve"> </w:t>
      </w:r>
      <w:r>
        <w:rPr>
          <w:lang w:val="hu-HU"/>
        </w:rPr>
        <w:t>állítani</w:t>
      </w:r>
      <w:r>
        <w:rPr>
          <w:spacing w:val="-4"/>
          <w:lang w:val="hu-HU"/>
        </w:rPr>
        <w:t xml:space="preserve"> </w:t>
      </w:r>
      <w:r>
        <w:rPr>
          <w:lang w:val="hu-HU"/>
        </w:rPr>
        <w:t>(lásd</w:t>
      </w:r>
      <w:r>
        <w:rPr>
          <w:spacing w:val="-5"/>
          <w:lang w:val="hu-HU"/>
        </w:rPr>
        <w:t xml:space="preserve"> </w:t>
      </w:r>
      <w:r>
        <w:rPr>
          <w:lang w:val="hu-HU"/>
        </w:rPr>
        <w:t>4.3</w:t>
      </w:r>
      <w:r>
        <w:rPr>
          <w:spacing w:val="-8"/>
          <w:lang w:val="hu-HU"/>
        </w:rPr>
        <w:t> pont</w:t>
      </w:r>
      <w:r>
        <w:rPr>
          <w:lang w:val="hu-HU"/>
        </w:rPr>
        <w:t>).</w:t>
      </w:r>
    </w:p>
    <w:p w:rsidR="007D7140" w:rsidRDefault="007D7140">
      <w:pPr>
        <w:rPr>
          <w:lang w:val="hu-HU"/>
        </w:rPr>
      </w:pPr>
    </w:p>
    <w:p w:rsidR="007D7140" w:rsidRDefault="00A207BA">
      <w:pPr>
        <w:rPr>
          <w:lang w:val="hu-HU"/>
        </w:rPr>
      </w:pPr>
      <w:r>
        <w:rPr>
          <w:lang w:val="hu-HU"/>
        </w:rPr>
        <w:t>Súlyos vérzés jelentkezésekor a kezelést le kell állítani, meg kell keresni a vérzés forrását, és</w:t>
      </w:r>
      <w:r>
        <w:rPr>
          <w:spacing w:val="1"/>
          <w:lang w:val="hu-HU"/>
        </w:rPr>
        <w:t xml:space="preserve"> </w:t>
      </w:r>
      <w:r>
        <w:rPr>
          <w:lang w:val="hu-HU"/>
        </w:rPr>
        <w:t>felnőtt betegeknél megfontolandó egy specifikus antidotum (idarucizumab) alkalmazása. Az</w:t>
      </w:r>
      <w:r>
        <w:rPr>
          <w:spacing w:val="1"/>
          <w:lang w:val="hu-HU"/>
        </w:rPr>
        <w:t xml:space="preserve"> </w:t>
      </w:r>
      <w:r>
        <w:rPr>
          <w:lang w:val="hu-HU"/>
        </w:rPr>
        <w:t xml:space="preserve">idarucizumab hatásosságát és biztonságosságát gyermekeknél és serdülőknél még nem állapították meg. </w:t>
      </w:r>
      <w:bookmarkStart w:id="10" w:name="_Hlk112162826"/>
      <w:r>
        <w:rPr>
          <w:lang w:val="hu-HU"/>
        </w:rPr>
        <w:t>A dabigatrán</w:t>
      </w:r>
      <w:r>
        <w:rPr>
          <w:spacing w:val="-2"/>
          <w:lang w:val="hu-HU"/>
        </w:rPr>
        <w:t xml:space="preserve"> </w:t>
      </w:r>
      <w:r>
        <w:rPr>
          <w:lang w:val="hu-HU"/>
        </w:rPr>
        <w:t>haemodialízissel eltávolítható.</w:t>
      </w:r>
      <w:bookmarkEnd w:id="10"/>
    </w:p>
    <w:p w:rsidR="007D7140" w:rsidRDefault="007D7140">
      <w:pPr>
        <w:rPr>
          <w:lang w:val="hu-HU"/>
        </w:rPr>
      </w:pPr>
    </w:p>
    <w:p w:rsidR="007D7140" w:rsidRDefault="00A207BA">
      <w:pPr>
        <w:rPr>
          <w:i/>
          <w:lang w:val="hu-HU"/>
        </w:rPr>
      </w:pPr>
      <w:r>
        <w:rPr>
          <w:i/>
          <w:lang w:val="hu-HU"/>
        </w:rPr>
        <w:lastRenderedPageBreak/>
        <w:t>Protonpumpa-inhibitorok</w:t>
      </w:r>
      <w:r>
        <w:rPr>
          <w:i/>
          <w:spacing w:val="-11"/>
          <w:lang w:val="hu-HU"/>
        </w:rPr>
        <w:t xml:space="preserve"> </w:t>
      </w:r>
      <w:r>
        <w:rPr>
          <w:i/>
          <w:lang w:val="hu-HU"/>
        </w:rPr>
        <w:t>alkalmazása</w:t>
      </w:r>
    </w:p>
    <w:p w:rsidR="007D7140" w:rsidRDefault="007D7140">
      <w:pPr>
        <w:rPr>
          <w:i/>
          <w:lang w:val="hu-HU"/>
        </w:rPr>
      </w:pPr>
    </w:p>
    <w:p w:rsidR="007D7140" w:rsidRDefault="00A207BA">
      <w:pPr>
        <w:rPr>
          <w:lang w:val="hu-HU"/>
        </w:rPr>
      </w:pPr>
      <w:r>
        <w:rPr>
          <w:lang w:val="hu-HU"/>
        </w:rPr>
        <w:t>A gastrointestinalis vérzés megelőzésére mérlegelhető egy protonpumpa</w:t>
      </w:r>
      <w:r>
        <w:rPr>
          <w:lang w:val="hu-HU"/>
        </w:rPr>
        <w:noBreakHyphen/>
        <w:t>inhibitor (PPI) adása.</w:t>
      </w:r>
      <w:r>
        <w:rPr>
          <w:spacing w:val="1"/>
          <w:lang w:val="hu-HU"/>
        </w:rPr>
        <w:t xml:space="preserve"> </w:t>
      </w:r>
      <w:r>
        <w:rPr>
          <w:lang w:val="hu-HU"/>
        </w:rPr>
        <w:t>Gyermekek</w:t>
      </w:r>
      <w:r>
        <w:rPr>
          <w:spacing w:val="-6"/>
          <w:lang w:val="hu-HU"/>
        </w:rPr>
        <w:t xml:space="preserve"> </w:t>
      </w:r>
      <w:r>
        <w:rPr>
          <w:lang w:val="hu-HU"/>
        </w:rPr>
        <w:t>és</w:t>
      </w:r>
      <w:r>
        <w:rPr>
          <w:spacing w:val="-6"/>
          <w:lang w:val="hu-HU"/>
        </w:rPr>
        <w:t xml:space="preserve"> </w:t>
      </w:r>
      <w:r>
        <w:rPr>
          <w:lang w:val="hu-HU"/>
        </w:rPr>
        <w:t>serdülők esetében</w:t>
      </w:r>
      <w:r>
        <w:rPr>
          <w:spacing w:val="-6"/>
          <w:lang w:val="hu-HU"/>
        </w:rPr>
        <w:t xml:space="preserve"> </w:t>
      </w:r>
      <w:r>
        <w:rPr>
          <w:lang w:val="hu-HU"/>
        </w:rPr>
        <w:t>a</w:t>
      </w:r>
      <w:r>
        <w:rPr>
          <w:spacing w:val="-6"/>
          <w:lang w:val="hu-HU"/>
        </w:rPr>
        <w:t xml:space="preserve"> </w:t>
      </w:r>
      <w:r>
        <w:rPr>
          <w:lang w:val="hu-HU"/>
        </w:rPr>
        <w:t>protonpumpa</w:t>
      </w:r>
      <w:r>
        <w:rPr>
          <w:lang w:val="hu-HU"/>
        </w:rPr>
        <w:noBreakHyphen/>
        <w:t>inhibitorokra</w:t>
      </w:r>
      <w:r>
        <w:rPr>
          <w:spacing w:val="-6"/>
          <w:lang w:val="hu-HU"/>
        </w:rPr>
        <w:t xml:space="preserve"> </w:t>
      </w:r>
      <w:r>
        <w:rPr>
          <w:lang w:val="hu-HU"/>
        </w:rPr>
        <w:t>vonatkozó</w:t>
      </w:r>
      <w:r>
        <w:rPr>
          <w:spacing w:val="-6"/>
          <w:lang w:val="hu-HU"/>
        </w:rPr>
        <w:t xml:space="preserve"> </w:t>
      </w:r>
      <w:r>
        <w:rPr>
          <w:lang w:val="hu-HU"/>
        </w:rPr>
        <w:t>helyi</w:t>
      </w:r>
      <w:r>
        <w:rPr>
          <w:spacing w:val="-6"/>
          <w:lang w:val="hu-HU"/>
        </w:rPr>
        <w:t xml:space="preserve"> </w:t>
      </w:r>
      <w:r>
        <w:rPr>
          <w:lang w:val="hu-HU"/>
        </w:rPr>
        <w:t>ajánlásokat</w:t>
      </w:r>
      <w:r>
        <w:rPr>
          <w:spacing w:val="-6"/>
          <w:lang w:val="hu-HU"/>
        </w:rPr>
        <w:t xml:space="preserve"> </w:t>
      </w:r>
      <w:r>
        <w:rPr>
          <w:lang w:val="hu-HU"/>
        </w:rPr>
        <w:t>kell</w:t>
      </w:r>
      <w:r>
        <w:rPr>
          <w:spacing w:val="-5"/>
          <w:lang w:val="hu-HU"/>
        </w:rPr>
        <w:t xml:space="preserve"> </w:t>
      </w:r>
      <w:r>
        <w:rPr>
          <w:lang w:val="hu-HU"/>
        </w:rPr>
        <w:t>követni.</w:t>
      </w:r>
    </w:p>
    <w:p w:rsidR="007D7140" w:rsidRDefault="007D7140">
      <w:pPr>
        <w:rPr>
          <w:lang w:val="hu-HU"/>
        </w:rPr>
      </w:pPr>
    </w:p>
    <w:p w:rsidR="007D7140" w:rsidRDefault="00A207BA">
      <w:pPr>
        <w:rPr>
          <w:i/>
          <w:lang w:val="hu-HU"/>
        </w:rPr>
      </w:pPr>
      <w:r>
        <w:rPr>
          <w:i/>
          <w:lang w:val="hu-HU"/>
        </w:rPr>
        <w:t>Laboratóriumi</w:t>
      </w:r>
      <w:r>
        <w:rPr>
          <w:i/>
          <w:spacing w:val="-8"/>
          <w:lang w:val="hu-HU"/>
        </w:rPr>
        <w:t xml:space="preserve"> </w:t>
      </w:r>
      <w:r>
        <w:rPr>
          <w:i/>
          <w:lang w:val="hu-HU"/>
        </w:rPr>
        <w:t>koagulációs</w:t>
      </w:r>
      <w:r>
        <w:rPr>
          <w:i/>
          <w:spacing w:val="-7"/>
          <w:lang w:val="hu-HU"/>
        </w:rPr>
        <w:t xml:space="preserve"> </w:t>
      </w:r>
      <w:r>
        <w:rPr>
          <w:i/>
          <w:lang w:val="hu-HU"/>
        </w:rPr>
        <w:t>paraméterek</w:t>
      </w:r>
    </w:p>
    <w:p w:rsidR="007D7140" w:rsidRDefault="007D7140">
      <w:pPr>
        <w:rPr>
          <w:i/>
          <w:lang w:val="hu-HU"/>
        </w:rPr>
      </w:pPr>
    </w:p>
    <w:p w:rsidR="007D7140" w:rsidRDefault="00A207BA">
      <w:pPr>
        <w:rPr>
          <w:lang w:val="hu-HU"/>
        </w:rPr>
      </w:pPr>
      <w:r>
        <w:rPr>
          <w:lang w:val="hu-HU"/>
        </w:rPr>
        <w:t>Bár ez a gyógyszer általánosságban nem teszi szükségessé a rutinszerű antikoaguláns monitorozást, további kockázati tényezők jelenléte esetén a dabigatránnal összefüggő alvadásgátlás mérése segíthet észlelni</w:t>
      </w:r>
      <w:r>
        <w:rPr>
          <w:spacing w:val="-2"/>
          <w:lang w:val="hu-HU"/>
        </w:rPr>
        <w:t xml:space="preserve"> </w:t>
      </w:r>
      <w:r>
        <w:rPr>
          <w:lang w:val="hu-HU"/>
        </w:rPr>
        <w:t>a</w:t>
      </w:r>
      <w:r>
        <w:rPr>
          <w:spacing w:val="-1"/>
          <w:lang w:val="hu-HU"/>
        </w:rPr>
        <w:t xml:space="preserve"> </w:t>
      </w:r>
      <w:r>
        <w:rPr>
          <w:lang w:val="hu-HU"/>
        </w:rPr>
        <w:t>rendkívül magas</w:t>
      </w:r>
      <w:r>
        <w:rPr>
          <w:spacing w:val="-1"/>
          <w:lang w:val="hu-HU"/>
        </w:rPr>
        <w:t xml:space="preserve"> </w:t>
      </w:r>
      <w:r>
        <w:rPr>
          <w:lang w:val="hu-HU"/>
        </w:rPr>
        <w:t>dabigatrán</w:t>
      </w:r>
      <w:r>
        <w:rPr>
          <w:lang w:val="hu-HU"/>
        </w:rPr>
        <w:noBreakHyphen/>
        <w:t>expozíciót.</w:t>
      </w:r>
    </w:p>
    <w:p w:rsidR="007D7140" w:rsidRDefault="00A207BA">
      <w:pPr>
        <w:rPr>
          <w:lang w:val="hu-HU"/>
        </w:rPr>
      </w:pPr>
      <w:r>
        <w:rPr>
          <w:lang w:val="hu-HU"/>
        </w:rPr>
        <w:t>Hasznos információval szolgálhat a hígított thrombin idő (d</w:t>
      </w:r>
      <w:r>
        <w:t xml:space="preserve">iluted thrombin time, </w:t>
      </w:r>
      <w:r>
        <w:rPr>
          <w:lang w:val="hu-HU"/>
        </w:rPr>
        <w:t>dTT), az ekarin alvadási idő (ecarin clotting time, ECT), és az aktivált parciális thromboplastinidő (activated partial pro</w:t>
      </w:r>
      <w:r>
        <w:t>thrombin time,</w:t>
      </w:r>
      <w:r>
        <w:rPr>
          <w:lang w:val="hu-HU"/>
        </w:rPr>
        <w:t xml:space="preserve"> aPTT), de az eredményeket körültekintően kell értékelni a</w:t>
      </w:r>
      <w:r>
        <w:rPr>
          <w:spacing w:val="1"/>
          <w:lang w:val="hu-HU"/>
        </w:rPr>
        <w:t xml:space="preserve"> </w:t>
      </w:r>
      <w:r>
        <w:rPr>
          <w:lang w:val="hu-HU"/>
        </w:rPr>
        <w:t>vizsgálatok</w:t>
      </w:r>
      <w:r>
        <w:rPr>
          <w:spacing w:val="-2"/>
          <w:lang w:val="hu-HU"/>
        </w:rPr>
        <w:t xml:space="preserve"> </w:t>
      </w:r>
      <w:r>
        <w:rPr>
          <w:lang w:val="hu-HU"/>
        </w:rPr>
        <w:t>közötti</w:t>
      </w:r>
      <w:r>
        <w:rPr>
          <w:spacing w:val="-1"/>
          <w:lang w:val="hu-HU"/>
        </w:rPr>
        <w:t xml:space="preserve"> </w:t>
      </w:r>
      <w:r>
        <w:rPr>
          <w:lang w:val="hu-HU"/>
        </w:rPr>
        <w:t>variabilitás</w:t>
      </w:r>
      <w:r>
        <w:rPr>
          <w:spacing w:val="-1"/>
          <w:lang w:val="hu-HU"/>
        </w:rPr>
        <w:t xml:space="preserve"> </w:t>
      </w:r>
      <w:r>
        <w:rPr>
          <w:lang w:val="hu-HU"/>
        </w:rPr>
        <w:t>miatt</w:t>
      </w:r>
      <w:r>
        <w:rPr>
          <w:spacing w:val="-2"/>
          <w:lang w:val="hu-HU"/>
        </w:rPr>
        <w:t xml:space="preserve"> </w:t>
      </w:r>
      <w:r>
        <w:rPr>
          <w:lang w:val="hu-HU"/>
        </w:rPr>
        <w:t>(lásd</w:t>
      </w:r>
      <w:r>
        <w:rPr>
          <w:spacing w:val="-1"/>
          <w:lang w:val="hu-HU"/>
        </w:rPr>
        <w:t xml:space="preserve"> </w:t>
      </w:r>
      <w:r>
        <w:rPr>
          <w:lang w:val="hu-HU"/>
        </w:rPr>
        <w:t>5.1</w:t>
      </w:r>
      <w:r>
        <w:rPr>
          <w:spacing w:val="-1"/>
          <w:lang w:val="hu-HU"/>
        </w:rPr>
        <w:t> pont</w:t>
      </w:r>
      <w:r>
        <w:rPr>
          <w:lang w:val="hu-HU"/>
        </w:rPr>
        <w:t>). A nemzetközi normalizált arány (INR) mérése a dabigatrán</w:t>
      </w:r>
      <w:r>
        <w:rPr>
          <w:lang w:val="hu-HU"/>
        </w:rPr>
        <w:noBreakHyphen/>
        <w:t>etexilátot kapó betegeknél nem</w:t>
      </w:r>
      <w:r>
        <w:rPr>
          <w:spacing w:val="1"/>
          <w:lang w:val="hu-HU"/>
        </w:rPr>
        <w:t xml:space="preserve"> </w:t>
      </w:r>
      <w:r>
        <w:rPr>
          <w:lang w:val="hu-HU"/>
        </w:rPr>
        <w:t>megbízható és hamis pozitív INR emelkedésről számoltak be. Ezért INR vizsgálatot nem szabad végezni.</w:t>
      </w:r>
    </w:p>
    <w:p w:rsidR="007D7140" w:rsidRDefault="007D7140">
      <w:pPr>
        <w:rPr>
          <w:lang w:val="hu-HU"/>
        </w:rPr>
      </w:pPr>
    </w:p>
    <w:p w:rsidR="007D7140" w:rsidRDefault="00A207BA">
      <w:pPr>
        <w:rPr>
          <w:lang w:val="hu-HU"/>
        </w:rPr>
      </w:pPr>
      <w:r>
        <w:rPr>
          <w:lang w:val="hu-HU"/>
        </w:rPr>
        <w:t>A 6. táblázat a véralvadási vizsgálatoknak azokat a mélyponti küszöbértékeit mutatja felnőtt</w:t>
      </w:r>
      <w:r>
        <w:rPr>
          <w:spacing w:val="1"/>
          <w:lang w:val="hu-HU"/>
        </w:rPr>
        <w:t xml:space="preserve"> </w:t>
      </w:r>
      <w:r>
        <w:rPr>
          <w:lang w:val="hu-HU"/>
        </w:rPr>
        <w:t>betegeknél, amelyek fokozott vérzésveszélyt jelenthetnek. A gyermekekre és serdülőkre vonatkozó küszöbértékek nem</w:t>
      </w:r>
      <w:r>
        <w:rPr>
          <w:spacing w:val="-1"/>
          <w:lang w:val="hu-HU"/>
        </w:rPr>
        <w:t xml:space="preserve"> </w:t>
      </w:r>
      <w:r>
        <w:rPr>
          <w:lang w:val="hu-HU"/>
        </w:rPr>
        <w:t>ismertek</w:t>
      </w:r>
      <w:r>
        <w:rPr>
          <w:spacing w:val="-1"/>
          <w:lang w:val="hu-HU"/>
        </w:rPr>
        <w:t xml:space="preserve"> </w:t>
      </w:r>
      <w:r>
        <w:rPr>
          <w:lang w:val="hu-HU"/>
        </w:rPr>
        <w:t>(lásd</w:t>
      </w:r>
      <w:r>
        <w:rPr>
          <w:spacing w:val="-1"/>
          <w:lang w:val="hu-HU"/>
        </w:rPr>
        <w:t xml:space="preserve"> </w:t>
      </w:r>
      <w:r>
        <w:rPr>
          <w:lang w:val="hu-HU"/>
        </w:rPr>
        <w:t>5.1</w:t>
      </w:r>
      <w:r>
        <w:rPr>
          <w:spacing w:val="-2"/>
          <w:lang w:val="hu-HU"/>
        </w:rPr>
        <w:t> pont</w:t>
      </w:r>
      <w:r>
        <w:rPr>
          <w:lang w:val="hu-HU"/>
        </w:rPr>
        <w:t>).</w:t>
      </w:r>
    </w:p>
    <w:p w:rsidR="007D7140" w:rsidRDefault="007D7140">
      <w:pPr>
        <w:rPr>
          <w:lang w:val="hu-HU"/>
        </w:rPr>
      </w:pPr>
    </w:p>
    <w:p w:rsidR="007D7140" w:rsidRDefault="00A207BA">
      <w:pPr>
        <w:tabs>
          <w:tab w:val="left" w:pos="284"/>
          <w:tab w:val="left" w:pos="1134"/>
        </w:tabs>
        <w:ind w:left="1134" w:hanging="1134"/>
        <w:rPr>
          <w:b/>
          <w:bCs/>
          <w:lang w:val="hu-HU"/>
        </w:rPr>
      </w:pPr>
      <w:r>
        <w:rPr>
          <w:b/>
          <w:bCs/>
          <w:lang w:val="hu-HU"/>
        </w:rPr>
        <w:t>6. táblázat:</w:t>
      </w:r>
      <w:r>
        <w:rPr>
          <w:b/>
          <w:bCs/>
          <w:spacing w:val="38"/>
          <w:lang w:val="hu-HU"/>
        </w:rPr>
        <w:t xml:space="preserve"> </w:t>
      </w:r>
      <w:r>
        <w:rPr>
          <w:b/>
          <w:bCs/>
          <w:lang w:val="hu-HU"/>
        </w:rPr>
        <w:t>A véralvadási vizsgálatok mélyponti küszöbértékei felnőtt betegeknél, amelyek fokozott</w:t>
      </w:r>
      <w:r>
        <w:rPr>
          <w:b/>
          <w:bCs/>
          <w:spacing w:val="-2"/>
          <w:lang w:val="hu-HU"/>
        </w:rPr>
        <w:t xml:space="preserve"> </w:t>
      </w:r>
      <w:r>
        <w:rPr>
          <w:b/>
          <w:bCs/>
          <w:lang w:val="hu-HU"/>
        </w:rPr>
        <w:t>vérzésveszélyt</w:t>
      </w:r>
      <w:r>
        <w:rPr>
          <w:b/>
          <w:bCs/>
          <w:spacing w:val="-1"/>
          <w:lang w:val="hu-HU"/>
        </w:rPr>
        <w:t xml:space="preserve"> </w:t>
      </w:r>
      <w:r>
        <w:rPr>
          <w:b/>
          <w:bCs/>
          <w:lang w:val="hu-HU"/>
        </w:rPr>
        <w:t>jelenthetnek</w:t>
      </w:r>
    </w:p>
    <w:p w:rsidR="007D7140" w:rsidRDefault="007D7140">
      <w:pPr>
        <w:ind w:left="991" w:hanging="994"/>
        <w:rPr>
          <w:lang w:val="hu-HU"/>
        </w:rPr>
      </w:pPr>
    </w:p>
    <w:tbl>
      <w:tblPr>
        <w:tblStyle w:val="TableGrid"/>
        <w:tblW w:w="9072" w:type="dxa"/>
        <w:tblInd w:w="10" w:type="dxa"/>
        <w:tblCellMar>
          <w:top w:w="51" w:type="dxa"/>
          <w:left w:w="108" w:type="dxa"/>
          <w:right w:w="106" w:type="dxa"/>
        </w:tblCellMar>
        <w:tblLook w:val="04A0" w:firstRow="1" w:lastRow="0" w:firstColumn="1" w:lastColumn="0" w:noHBand="0" w:noVBand="1"/>
      </w:tblPr>
      <w:tblGrid>
        <w:gridCol w:w="4521"/>
        <w:gridCol w:w="2410"/>
        <w:gridCol w:w="2141"/>
      </w:tblGrid>
      <w:tr w:rsidR="007D7140">
        <w:trPr>
          <w:trHeight w:val="264"/>
        </w:trPr>
        <w:tc>
          <w:tcPr>
            <w:tcW w:w="452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Vizsgálat (mélyponti érték)</w:t>
            </w:r>
          </w:p>
        </w:tc>
        <w:tc>
          <w:tcPr>
            <w:tcW w:w="4551" w:type="dxa"/>
            <w:gridSpan w:val="2"/>
            <w:tcBorders>
              <w:top w:val="single" w:sz="4" w:space="0" w:color="000000"/>
              <w:left w:val="single" w:sz="4" w:space="0" w:color="000000"/>
              <w:bottom w:val="single" w:sz="4" w:space="0" w:color="000000"/>
              <w:right w:val="single" w:sz="4" w:space="0" w:color="000000"/>
            </w:tcBorders>
          </w:tcPr>
          <w:p w:rsidR="007D7140" w:rsidRDefault="00A207BA">
            <w:pPr>
              <w:ind w:left="3"/>
              <w:jc w:val="center"/>
              <w:rPr>
                <w:lang w:val="hu-HU"/>
              </w:rPr>
            </w:pPr>
            <w:r>
              <w:rPr>
                <w:lang w:val="hu-HU"/>
              </w:rPr>
              <w:t>Indikáció</w:t>
            </w:r>
          </w:p>
        </w:tc>
      </w:tr>
      <w:tr w:rsidR="007D7140">
        <w:trPr>
          <w:trHeight w:val="516"/>
        </w:trPr>
        <w:tc>
          <w:tcPr>
            <w:tcW w:w="452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2"/>
              <w:rPr>
                <w:lang w:val="hu-HU"/>
              </w:rPr>
            </w:pPr>
            <w:r>
              <w:rPr>
                <w:lang w:val="hu-HU"/>
              </w:rPr>
              <w:t>VTE primer prevenciója ortopédiai műtéteknél</w:t>
            </w:r>
          </w:p>
        </w:tc>
        <w:tc>
          <w:tcPr>
            <w:tcW w:w="21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SPAF és MVT/PE</w:t>
            </w:r>
          </w:p>
        </w:tc>
      </w:tr>
      <w:tr w:rsidR="007D7140">
        <w:trPr>
          <w:trHeight w:val="262"/>
        </w:trPr>
        <w:tc>
          <w:tcPr>
            <w:tcW w:w="452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dTT [ng/ml]</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2"/>
              <w:rPr>
                <w:lang w:val="hu-HU"/>
              </w:rPr>
            </w:pPr>
            <w:r>
              <w:rPr>
                <w:lang w:val="hu-HU"/>
              </w:rPr>
              <w:t>&gt; 67</w:t>
            </w:r>
          </w:p>
        </w:tc>
        <w:tc>
          <w:tcPr>
            <w:tcW w:w="21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&gt; 200</w:t>
            </w:r>
          </w:p>
        </w:tc>
      </w:tr>
      <w:tr w:rsidR="007D7140">
        <w:trPr>
          <w:trHeight w:val="311"/>
        </w:trPr>
        <w:tc>
          <w:tcPr>
            <w:tcW w:w="452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ECT [a normálérték felső határának x</w:t>
            </w:r>
            <w:r>
              <w:rPr>
                <w:lang w:val="hu-HU"/>
              </w:rPr>
              <w:noBreakHyphen/>
              <w:t>szerese]</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2"/>
              <w:rPr>
                <w:lang w:val="hu-HU"/>
              </w:rPr>
            </w:pPr>
            <w:r>
              <w:rPr>
                <w:lang w:val="hu-HU"/>
              </w:rPr>
              <w:t>nincs adat</w:t>
            </w:r>
          </w:p>
        </w:tc>
        <w:tc>
          <w:tcPr>
            <w:tcW w:w="21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&gt; 3</w:t>
            </w:r>
          </w:p>
        </w:tc>
      </w:tr>
      <w:tr w:rsidR="007D7140">
        <w:trPr>
          <w:trHeight w:val="358"/>
        </w:trPr>
        <w:tc>
          <w:tcPr>
            <w:tcW w:w="452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aPTT [a normálérték felső határának x</w:t>
            </w:r>
            <w:r>
              <w:rPr>
                <w:lang w:val="hu-HU"/>
              </w:rPr>
              <w:noBreakHyphen/>
              <w:t>szerese]</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2"/>
              <w:rPr>
                <w:lang w:val="hu-HU"/>
              </w:rPr>
            </w:pPr>
            <w:r>
              <w:rPr>
                <w:lang w:val="hu-HU"/>
              </w:rPr>
              <w:t>&gt; 1,3</w:t>
            </w:r>
          </w:p>
        </w:tc>
        <w:tc>
          <w:tcPr>
            <w:tcW w:w="21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&gt; 2</w:t>
            </w:r>
          </w:p>
        </w:tc>
      </w:tr>
      <w:tr w:rsidR="007D7140">
        <w:trPr>
          <w:trHeight w:val="264"/>
        </w:trPr>
        <w:tc>
          <w:tcPr>
            <w:tcW w:w="452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INR</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2"/>
              <w:rPr>
                <w:lang w:val="hu-HU"/>
              </w:rPr>
            </w:pPr>
            <w:r>
              <w:rPr>
                <w:lang w:val="hu-HU"/>
              </w:rPr>
              <w:t>Nem szabad végezni</w:t>
            </w:r>
          </w:p>
        </w:tc>
        <w:tc>
          <w:tcPr>
            <w:tcW w:w="21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Nem szabad végezni</w:t>
            </w:r>
          </w:p>
        </w:tc>
      </w:tr>
    </w:tbl>
    <w:p w:rsidR="007D7140" w:rsidRDefault="007D7140">
      <w:pPr>
        <w:pStyle w:val="Cmsor2"/>
        <w:ind w:left="5" w:hanging="11"/>
        <w:rPr>
          <w:b w:val="0"/>
          <w:bCs w:val="0"/>
          <w:lang w:val="hu-HU"/>
        </w:rPr>
      </w:pPr>
    </w:p>
    <w:p w:rsidR="007D7140" w:rsidRDefault="00A207BA">
      <w:pPr>
        <w:rPr>
          <w:lang w:val="hu-HU"/>
        </w:rPr>
      </w:pPr>
      <w:r>
        <w:rPr>
          <w:u w:val="single"/>
          <w:lang w:val="hu-HU"/>
        </w:rPr>
        <w:t>Fibrinolítikus</w:t>
      </w:r>
      <w:r>
        <w:rPr>
          <w:spacing w:val="-6"/>
          <w:u w:val="single"/>
          <w:lang w:val="hu-HU"/>
        </w:rPr>
        <w:t xml:space="preserve"> </w:t>
      </w:r>
      <w:r>
        <w:rPr>
          <w:u w:val="single"/>
          <w:lang w:val="hu-HU"/>
        </w:rPr>
        <w:t>hatású</w:t>
      </w:r>
      <w:r>
        <w:rPr>
          <w:spacing w:val="-4"/>
          <w:u w:val="single"/>
          <w:lang w:val="hu-HU"/>
        </w:rPr>
        <w:t xml:space="preserve"> </w:t>
      </w:r>
      <w:r>
        <w:rPr>
          <w:u w:val="single"/>
          <w:lang w:val="hu-HU"/>
        </w:rPr>
        <w:t>gyógyszerek</w:t>
      </w:r>
      <w:r>
        <w:rPr>
          <w:spacing w:val="-6"/>
          <w:u w:val="single"/>
          <w:lang w:val="hu-HU"/>
        </w:rPr>
        <w:t xml:space="preserve"> </w:t>
      </w:r>
      <w:r>
        <w:rPr>
          <w:u w:val="single"/>
          <w:lang w:val="hu-HU"/>
        </w:rPr>
        <w:t>alkalmazása</w:t>
      </w:r>
      <w:r>
        <w:rPr>
          <w:spacing w:val="-5"/>
          <w:u w:val="single"/>
          <w:lang w:val="hu-HU"/>
        </w:rPr>
        <w:t xml:space="preserve"> </w:t>
      </w:r>
      <w:r>
        <w:rPr>
          <w:u w:val="single"/>
          <w:lang w:val="hu-HU"/>
        </w:rPr>
        <w:t>az</w:t>
      </w:r>
      <w:r>
        <w:rPr>
          <w:spacing w:val="-5"/>
          <w:u w:val="single"/>
          <w:lang w:val="hu-HU"/>
        </w:rPr>
        <w:t xml:space="preserve"> </w:t>
      </w:r>
      <w:r>
        <w:rPr>
          <w:u w:val="single"/>
          <w:lang w:val="hu-HU"/>
        </w:rPr>
        <w:t>akut</w:t>
      </w:r>
      <w:r>
        <w:rPr>
          <w:spacing w:val="-6"/>
          <w:u w:val="single"/>
          <w:lang w:val="hu-HU"/>
        </w:rPr>
        <w:t xml:space="preserve"> </w:t>
      </w:r>
      <w:r>
        <w:rPr>
          <w:u w:val="single"/>
          <w:lang w:val="hu-HU"/>
        </w:rPr>
        <w:t>ischaemiás</w:t>
      </w:r>
      <w:r>
        <w:rPr>
          <w:spacing w:val="-5"/>
          <w:u w:val="single"/>
          <w:lang w:val="hu-HU"/>
        </w:rPr>
        <w:t xml:space="preserve"> </w:t>
      </w:r>
      <w:r>
        <w:rPr>
          <w:u w:val="single"/>
          <w:lang w:val="hu-HU"/>
        </w:rPr>
        <w:t>stroke</w:t>
      </w:r>
      <w:r>
        <w:rPr>
          <w:spacing w:val="-5"/>
          <w:u w:val="single"/>
          <w:lang w:val="hu-HU"/>
        </w:rPr>
        <w:t xml:space="preserve"> </w:t>
      </w:r>
      <w:r>
        <w:rPr>
          <w:u w:val="single"/>
          <w:lang w:val="hu-HU"/>
        </w:rPr>
        <w:t>kezelésére</w:t>
      </w:r>
    </w:p>
    <w:p w:rsidR="007D7140" w:rsidRDefault="007D7140">
      <w:pPr>
        <w:rPr>
          <w:lang w:val="hu-HU"/>
        </w:rPr>
      </w:pPr>
    </w:p>
    <w:p w:rsidR="007D7140" w:rsidRDefault="00A207BA">
      <w:pPr>
        <w:rPr>
          <w:lang w:val="hu-HU"/>
        </w:rPr>
      </w:pPr>
      <w:r>
        <w:rPr>
          <w:lang w:val="hu-HU"/>
        </w:rPr>
        <w:t>Fibrinolítikus hatású gyógyszerek alkalmazása mérlegelhető az akut ischaemiás stroke kezelésére, ha  a beteg dTT</w:t>
      </w:r>
      <w:r>
        <w:rPr>
          <w:lang w:val="hu-HU"/>
        </w:rPr>
        <w:noBreakHyphen/>
        <w:t>, ECT</w:t>
      </w:r>
      <w:r>
        <w:rPr>
          <w:lang w:val="hu-HU"/>
        </w:rPr>
        <w:noBreakHyphen/>
        <w:t xml:space="preserve"> vagy PTT-értéke nem haladja meg a</w:t>
      </w:r>
      <w:r>
        <w:rPr>
          <w:spacing w:val="1"/>
          <w:lang w:val="hu-HU"/>
        </w:rPr>
        <w:t xml:space="preserve"> </w:t>
      </w:r>
      <w:r>
        <w:rPr>
          <w:lang w:val="hu-HU"/>
        </w:rPr>
        <w:t>helyi</w:t>
      </w:r>
      <w:r>
        <w:rPr>
          <w:spacing w:val="-3"/>
          <w:lang w:val="hu-HU"/>
        </w:rPr>
        <w:t xml:space="preserve"> </w:t>
      </w:r>
      <w:r>
        <w:rPr>
          <w:lang w:val="hu-HU"/>
        </w:rPr>
        <w:t>referencia</w:t>
      </w:r>
      <w:r>
        <w:rPr>
          <w:spacing w:val="-2"/>
          <w:lang w:val="hu-HU"/>
        </w:rPr>
        <w:t xml:space="preserve"> </w:t>
      </w:r>
      <w:r>
        <w:rPr>
          <w:lang w:val="hu-HU"/>
        </w:rPr>
        <w:t>tartomány</w:t>
      </w:r>
      <w:r>
        <w:rPr>
          <w:spacing w:val="-2"/>
          <w:lang w:val="hu-HU"/>
        </w:rPr>
        <w:t xml:space="preserve"> </w:t>
      </w:r>
      <w:r>
        <w:rPr>
          <w:lang w:val="hu-HU"/>
        </w:rPr>
        <w:t>szerinti</w:t>
      </w:r>
      <w:r>
        <w:rPr>
          <w:spacing w:val="-3"/>
          <w:lang w:val="hu-HU"/>
        </w:rPr>
        <w:t xml:space="preserve"> </w:t>
      </w:r>
      <w:r>
        <w:rPr>
          <w:lang w:val="hu-HU"/>
        </w:rPr>
        <w:t>normálérték</w:t>
      </w:r>
      <w:r>
        <w:rPr>
          <w:spacing w:val="-2"/>
          <w:lang w:val="hu-HU"/>
        </w:rPr>
        <w:t xml:space="preserve"> </w:t>
      </w:r>
      <w:r>
        <w:rPr>
          <w:lang w:val="hu-HU"/>
        </w:rPr>
        <w:t>felső</w:t>
      </w:r>
      <w:r>
        <w:rPr>
          <w:spacing w:val="-2"/>
          <w:lang w:val="hu-HU"/>
        </w:rPr>
        <w:t xml:space="preserve"> </w:t>
      </w:r>
      <w:r>
        <w:rPr>
          <w:lang w:val="hu-HU"/>
        </w:rPr>
        <w:t>határát</w:t>
      </w:r>
      <w:r>
        <w:rPr>
          <w:spacing w:val="-3"/>
          <w:lang w:val="hu-HU"/>
        </w:rPr>
        <w:t xml:space="preserve"> </w:t>
      </w:r>
      <w:r>
        <w:rPr>
          <w:lang w:val="hu-HU"/>
        </w:rPr>
        <w:t>(upper</w:t>
      </w:r>
      <w:r>
        <w:rPr>
          <w:spacing w:val="-2"/>
          <w:lang w:val="hu-HU"/>
        </w:rPr>
        <w:t xml:space="preserve"> </w:t>
      </w:r>
      <w:r>
        <w:rPr>
          <w:lang w:val="hu-HU"/>
        </w:rPr>
        <w:t>limit</w:t>
      </w:r>
      <w:r>
        <w:rPr>
          <w:spacing w:val="-2"/>
          <w:lang w:val="hu-HU"/>
        </w:rPr>
        <w:t xml:space="preserve"> </w:t>
      </w:r>
      <w:r>
        <w:rPr>
          <w:lang w:val="hu-HU"/>
        </w:rPr>
        <w:t>of</w:t>
      </w:r>
      <w:r>
        <w:rPr>
          <w:spacing w:val="-3"/>
          <w:lang w:val="hu-HU"/>
        </w:rPr>
        <w:t xml:space="preserve"> </w:t>
      </w:r>
      <w:r>
        <w:rPr>
          <w:lang w:val="hu-HU"/>
        </w:rPr>
        <w:t>normal,</w:t>
      </w:r>
      <w:r>
        <w:rPr>
          <w:spacing w:val="-2"/>
          <w:lang w:val="hu-HU"/>
        </w:rPr>
        <w:t xml:space="preserve"> </w:t>
      </w:r>
      <w:r>
        <w:rPr>
          <w:lang w:val="hu-HU"/>
        </w:rPr>
        <w:t>ULN).</w:t>
      </w:r>
    </w:p>
    <w:p w:rsidR="007D7140" w:rsidRDefault="007D7140">
      <w:pPr>
        <w:rPr>
          <w:lang w:val="hu-HU"/>
        </w:rPr>
      </w:pPr>
    </w:p>
    <w:p w:rsidR="007D7140" w:rsidRDefault="00A207BA">
      <w:pPr>
        <w:rPr>
          <w:lang w:val="hu-HU"/>
        </w:rPr>
      </w:pPr>
      <w:r>
        <w:rPr>
          <w:u w:val="single"/>
          <w:lang w:val="hu-HU"/>
        </w:rPr>
        <w:t>Műtét</w:t>
      </w:r>
      <w:r>
        <w:rPr>
          <w:spacing w:val="-5"/>
          <w:u w:val="single"/>
          <w:lang w:val="hu-HU"/>
        </w:rPr>
        <w:t xml:space="preserve"> </w:t>
      </w:r>
      <w:r>
        <w:rPr>
          <w:u w:val="single"/>
          <w:lang w:val="hu-HU"/>
        </w:rPr>
        <w:t>és</w:t>
      </w:r>
      <w:r>
        <w:rPr>
          <w:spacing w:val="-4"/>
          <w:u w:val="single"/>
          <w:lang w:val="hu-HU"/>
        </w:rPr>
        <w:t xml:space="preserve"> egyéb </w:t>
      </w:r>
      <w:r>
        <w:rPr>
          <w:u w:val="single"/>
          <w:lang w:val="hu-HU"/>
        </w:rPr>
        <w:t>beavatkozások</w:t>
      </w:r>
    </w:p>
    <w:p w:rsidR="007D7140" w:rsidRDefault="007D7140">
      <w:pPr>
        <w:rPr>
          <w:lang w:val="hu-HU"/>
        </w:rPr>
      </w:pPr>
    </w:p>
    <w:p w:rsidR="007D7140" w:rsidRDefault="00A207BA">
      <w:pPr>
        <w:rPr>
          <w:lang w:val="hu-HU"/>
        </w:rPr>
      </w:pPr>
      <w:r>
        <w:rPr>
          <w:lang w:val="hu-HU"/>
        </w:rPr>
        <w:t>Dabigatrán</w:t>
      </w:r>
      <w:r>
        <w:rPr>
          <w:lang w:val="hu-HU"/>
        </w:rPr>
        <w:noBreakHyphen/>
        <w:t>etexilátot kapó betegeknél műtét vagy invazív beavatkozás esetén fokozott a</w:t>
      </w:r>
      <w:r>
        <w:rPr>
          <w:spacing w:val="1"/>
          <w:lang w:val="hu-HU"/>
        </w:rPr>
        <w:t xml:space="preserve"> </w:t>
      </w:r>
      <w:r>
        <w:rPr>
          <w:lang w:val="hu-HU"/>
        </w:rPr>
        <w:t>vérzésveszély. Ezért a műtéti beavatkozások a dabigatrán</w:t>
      </w:r>
      <w:r>
        <w:rPr>
          <w:lang w:val="hu-HU"/>
        </w:rPr>
        <w:noBreakHyphen/>
        <w:t>etexilát ideiglenes leállítását tehetik szükségessé.</w:t>
      </w:r>
    </w:p>
    <w:p w:rsidR="007D7140" w:rsidRDefault="007D7140">
      <w:pPr>
        <w:rPr>
          <w:lang w:val="hu-HU"/>
        </w:rPr>
      </w:pPr>
    </w:p>
    <w:p w:rsidR="007D7140" w:rsidRDefault="00A207BA">
      <w:pPr>
        <w:ind w:left="7" w:right="9"/>
        <w:rPr>
          <w:lang w:val="hu-HU"/>
        </w:rPr>
      </w:pPr>
      <w:r>
        <w:rPr>
          <w:lang w:val="hu-HU"/>
        </w:rPr>
        <w:t>A betegek a cardioversio alatt folytathatják a dabigatrán</w:t>
      </w:r>
      <w:r>
        <w:rPr>
          <w:lang w:val="hu-HU"/>
        </w:rPr>
        <w:noBreakHyphen/>
        <w:t>etexilát szedését. Nincsenek rendelkezésre álló adatok a napi kétszer 110 mg dabigatrán</w:t>
      </w:r>
      <w:r>
        <w:rPr>
          <w:lang w:val="hu-HU"/>
        </w:rPr>
        <w:noBreakHyphen/>
        <w:t>etexilát</w:t>
      </w:r>
      <w:r>
        <w:rPr>
          <w:lang w:val="hu-HU"/>
        </w:rPr>
        <w:noBreakHyphen/>
        <w:t>kezelésről, a pitvarfibrilláció miatt katéteres ablatióban részesülő betegeknél (lásd 4.2 pont).</w:t>
      </w:r>
    </w:p>
    <w:p w:rsidR="007D7140" w:rsidRDefault="007D7140">
      <w:pPr>
        <w:rPr>
          <w:lang w:val="hu-HU"/>
        </w:rPr>
      </w:pPr>
    </w:p>
    <w:p w:rsidR="007D7140" w:rsidRDefault="00A207BA">
      <w:pPr>
        <w:rPr>
          <w:lang w:val="hu-HU"/>
        </w:rPr>
      </w:pPr>
      <w:r>
        <w:rPr>
          <w:lang w:val="hu-HU"/>
        </w:rPr>
        <w:t>Óvatosság szükséges, és az alvadásgátló hatás ellenőrzése elengedhetetlen, ha a kezelést valamilyen beavatkozás miatt ideiglenesen leállítják. A dabigatrán clearance</w:t>
      </w:r>
      <w:r>
        <w:rPr>
          <w:lang w:val="hu-HU"/>
        </w:rPr>
        <w:noBreakHyphen/>
        <w:t>e veseelégtelenségben szenvedő betegeknél</w:t>
      </w:r>
      <w:r>
        <w:rPr>
          <w:spacing w:val="1"/>
          <w:lang w:val="hu-HU"/>
        </w:rPr>
        <w:t xml:space="preserve"> </w:t>
      </w:r>
      <w:r>
        <w:rPr>
          <w:lang w:val="hu-HU"/>
        </w:rPr>
        <w:t>megnyúlhat (lásd 5.2 pont). Ezt minden beavatkozás előtt figyelembe kell venni. Ilyen esetben</w:t>
      </w:r>
      <w:r>
        <w:rPr>
          <w:spacing w:val="1"/>
          <w:lang w:val="hu-HU"/>
        </w:rPr>
        <w:t xml:space="preserve"> </w:t>
      </w:r>
      <w:r>
        <w:rPr>
          <w:lang w:val="hu-HU"/>
        </w:rPr>
        <w:t>véralvadási</w:t>
      </w:r>
      <w:r>
        <w:rPr>
          <w:spacing w:val="-5"/>
          <w:lang w:val="hu-HU"/>
        </w:rPr>
        <w:t xml:space="preserve"> </w:t>
      </w:r>
      <w:r>
        <w:rPr>
          <w:lang w:val="hu-HU"/>
        </w:rPr>
        <w:t>vizsgálat</w:t>
      </w:r>
      <w:r>
        <w:rPr>
          <w:spacing w:val="-4"/>
          <w:lang w:val="hu-HU"/>
        </w:rPr>
        <w:t xml:space="preserve"> </w:t>
      </w:r>
      <w:r>
        <w:rPr>
          <w:lang w:val="hu-HU"/>
        </w:rPr>
        <w:t>(lásd</w:t>
      </w:r>
      <w:r>
        <w:rPr>
          <w:spacing w:val="-4"/>
          <w:lang w:val="hu-HU"/>
        </w:rPr>
        <w:t xml:space="preserve"> </w:t>
      </w:r>
      <w:r>
        <w:rPr>
          <w:lang w:val="hu-HU"/>
        </w:rPr>
        <w:t>4.4</w:t>
      </w:r>
      <w:r>
        <w:rPr>
          <w:spacing w:val="-4"/>
          <w:lang w:val="hu-HU"/>
        </w:rPr>
        <w:t xml:space="preserve"> </w:t>
      </w:r>
      <w:r>
        <w:rPr>
          <w:lang w:val="hu-HU"/>
        </w:rPr>
        <w:t>és</w:t>
      </w:r>
      <w:r>
        <w:rPr>
          <w:spacing w:val="-4"/>
          <w:lang w:val="hu-HU"/>
        </w:rPr>
        <w:t xml:space="preserve"> </w:t>
      </w:r>
      <w:r>
        <w:rPr>
          <w:lang w:val="hu-HU"/>
        </w:rPr>
        <w:t>5.1</w:t>
      </w:r>
      <w:r>
        <w:rPr>
          <w:spacing w:val="-4"/>
          <w:lang w:val="hu-HU"/>
        </w:rPr>
        <w:t> pont</w:t>
      </w:r>
      <w:r>
        <w:rPr>
          <w:lang w:val="hu-HU"/>
        </w:rPr>
        <w:t>)</w:t>
      </w:r>
      <w:r>
        <w:rPr>
          <w:spacing w:val="-4"/>
          <w:lang w:val="hu-HU"/>
        </w:rPr>
        <w:t xml:space="preserve"> </w:t>
      </w:r>
      <w:r>
        <w:rPr>
          <w:lang w:val="hu-HU"/>
        </w:rPr>
        <w:t>segíthet</w:t>
      </w:r>
      <w:r>
        <w:rPr>
          <w:spacing w:val="-4"/>
          <w:lang w:val="hu-HU"/>
        </w:rPr>
        <w:t xml:space="preserve"> </w:t>
      </w:r>
      <w:r>
        <w:rPr>
          <w:lang w:val="hu-HU"/>
        </w:rPr>
        <w:t>eldönteni,</w:t>
      </w:r>
      <w:r>
        <w:rPr>
          <w:spacing w:val="-4"/>
          <w:lang w:val="hu-HU"/>
        </w:rPr>
        <w:t xml:space="preserve"> </w:t>
      </w:r>
      <w:r>
        <w:rPr>
          <w:lang w:val="hu-HU"/>
        </w:rPr>
        <w:t>hogy</w:t>
      </w:r>
      <w:r>
        <w:rPr>
          <w:spacing w:val="-4"/>
          <w:lang w:val="hu-HU"/>
        </w:rPr>
        <w:t xml:space="preserve"> </w:t>
      </w:r>
      <w:r>
        <w:rPr>
          <w:lang w:val="hu-HU"/>
        </w:rPr>
        <w:t>a</w:t>
      </w:r>
      <w:r>
        <w:rPr>
          <w:spacing w:val="-4"/>
          <w:lang w:val="hu-HU"/>
        </w:rPr>
        <w:t xml:space="preserve"> </w:t>
      </w:r>
      <w:r>
        <w:rPr>
          <w:lang w:val="hu-HU"/>
        </w:rPr>
        <w:t>haemostasis</w:t>
      </w:r>
      <w:r>
        <w:rPr>
          <w:spacing w:val="-5"/>
          <w:lang w:val="hu-HU"/>
        </w:rPr>
        <w:t xml:space="preserve"> </w:t>
      </w:r>
      <w:r>
        <w:rPr>
          <w:lang w:val="hu-HU"/>
        </w:rPr>
        <w:t>még</w:t>
      </w:r>
      <w:r>
        <w:rPr>
          <w:spacing w:val="-4"/>
          <w:lang w:val="hu-HU"/>
        </w:rPr>
        <w:t xml:space="preserve"> mindig </w:t>
      </w:r>
      <w:r>
        <w:rPr>
          <w:lang w:val="hu-HU"/>
        </w:rPr>
        <w:t>károsodott</w:t>
      </w:r>
      <w:r>
        <w:rPr>
          <w:lang w:val="hu-HU"/>
        </w:rPr>
        <w:noBreakHyphen/>
        <w:t>e.</w:t>
      </w:r>
    </w:p>
    <w:p w:rsidR="007D7140" w:rsidRDefault="007D7140">
      <w:pPr>
        <w:rPr>
          <w:lang w:val="hu-HU"/>
        </w:rPr>
      </w:pPr>
    </w:p>
    <w:p w:rsidR="007D7140" w:rsidRDefault="00A207BA">
      <w:pPr>
        <w:rPr>
          <w:i/>
          <w:lang w:val="hu-HU"/>
        </w:rPr>
      </w:pPr>
      <w:r>
        <w:rPr>
          <w:i/>
          <w:u w:val="single"/>
          <w:lang w:val="hu-HU"/>
        </w:rPr>
        <w:lastRenderedPageBreak/>
        <w:t>Akut</w:t>
      </w:r>
      <w:r>
        <w:rPr>
          <w:i/>
          <w:spacing w:val="-5"/>
          <w:u w:val="single"/>
          <w:lang w:val="hu-HU"/>
        </w:rPr>
        <w:t xml:space="preserve"> </w:t>
      </w:r>
      <w:r>
        <w:rPr>
          <w:i/>
          <w:u w:val="single"/>
          <w:lang w:val="hu-HU"/>
        </w:rPr>
        <w:t>műtét</w:t>
      </w:r>
      <w:r>
        <w:rPr>
          <w:i/>
          <w:spacing w:val="-4"/>
          <w:u w:val="single"/>
          <w:lang w:val="hu-HU"/>
        </w:rPr>
        <w:t xml:space="preserve"> </w:t>
      </w:r>
      <w:r>
        <w:rPr>
          <w:i/>
          <w:u w:val="single"/>
          <w:lang w:val="hu-HU"/>
        </w:rPr>
        <w:t>vagy</w:t>
      </w:r>
      <w:r>
        <w:rPr>
          <w:i/>
          <w:spacing w:val="-4"/>
          <w:u w:val="single"/>
          <w:lang w:val="hu-HU"/>
        </w:rPr>
        <w:t xml:space="preserve"> </w:t>
      </w:r>
      <w:r>
        <w:rPr>
          <w:i/>
          <w:u w:val="single"/>
          <w:lang w:val="hu-HU"/>
        </w:rPr>
        <w:t>sürgős</w:t>
      </w:r>
      <w:r>
        <w:rPr>
          <w:i/>
          <w:spacing w:val="-4"/>
          <w:u w:val="single"/>
          <w:lang w:val="hu-HU"/>
        </w:rPr>
        <w:t xml:space="preserve"> </w:t>
      </w:r>
      <w:r>
        <w:rPr>
          <w:i/>
          <w:u w:val="single"/>
          <w:lang w:val="hu-HU"/>
        </w:rPr>
        <w:t>beavatkozások</w:t>
      </w:r>
    </w:p>
    <w:p w:rsidR="007D7140" w:rsidRDefault="007D7140">
      <w:pPr>
        <w:rPr>
          <w:i/>
          <w:lang w:val="hu-HU"/>
        </w:rPr>
      </w:pPr>
    </w:p>
    <w:p w:rsidR="007D7140" w:rsidRDefault="00A207BA">
      <w:pPr>
        <w:rPr>
          <w:spacing w:val="-5"/>
          <w:lang w:val="hu-HU"/>
        </w:rPr>
      </w:pPr>
      <w:r>
        <w:rPr>
          <w:lang w:val="hu-HU"/>
        </w:rPr>
        <w:t>A dabigatrán</w:t>
      </w:r>
      <w:r>
        <w:rPr>
          <w:lang w:val="hu-HU"/>
        </w:rPr>
        <w:noBreakHyphen/>
        <w:t>etexilát adását átmenetileg le kell állítani. Ha az antikoaguláns hatás gyors</w:t>
      </w:r>
      <w:r>
        <w:rPr>
          <w:spacing w:val="1"/>
          <w:lang w:val="hu-HU"/>
        </w:rPr>
        <w:t xml:space="preserve"> </w:t>
      </w:r>
      <w:r>
        <w:rPr>
          <w:lang w:val="hu-HU"/>
        </w:rPr>
        <w:t>felfüggesztésére van szükség, a felnőtt betegek számára rendelkezésre áll a dabigatrán specifikus antagonista szere</w:t>
      </w:r>
      <w:r>
        <w:rPr>
          <w:spacing w:val="1"/>
          <w:lang w:val="hu-HU"/>
        </w:rPr>
        <w:t xml:space="preserve"> </w:t>
      </w:r>
      <w:r>
        <w:rPr>
          <w:lang w:val="hu-HU"/>
        </w:rPr>
        <w:t>(idarucizumab). Az idarucizumab hatásosságát és biztonságosságát gyermekeknél</w:t>
      </w:r>
      <w:r>
        <w:rPr>
          <w:spacing w:val="-4"/>
          <w:lang w:val="hu-HU"/>
        </w:rPr>
        <w:t xml:space="preserve"> </w:t>
      </w:r>
      <w:r>
        <w:rPr>
          <w:lang w:val="hu-HU"/>
        </w:rPr>
        <w:t>és</w:t>
      </w:r>
      <w:r>
        <w:rPr>
          <w:spacing w:val="-5"/>
          <w:lang w:val="hu-HU"/>
        </w:rPr>
        <w:t xml:space="preserve"> </w:t>
      </w:r>
      <w:r>
        <w:rPr>
          <w:lang w:val="hu-HU"/>
        </w:rPr>
        <w:t>serdülőknél még nem igazolták.</w:t>
      </w:r>
      <w:r>
        <w:rPr>
          <w:spacing w:val="-5"/>
          <w:lang w:val="hu-HU"/>
        </w:rPr>
        <w:t xml:space="preserve"> </w:t>
      </w:r>
    </w:p>
    <w:p w:rsidR="007D7140" w:rsidRDefault="00A207BA">
      <w:pPr>
        <w:rPr>
          <w:lang w:val="hu-HU"/>
        </w:rPr>
      </w:pPr>
      <w:r>
        <w:rPr>
          <w:lang w:val="hu-HU"/>
        </w:rPr>
        <w:t>A</w:t>
      </w:r>
      <w:r>
        <w:rPr>
          <w:spacing w:val="-4"/>
          <w:lang w:val="hu-HU"/>
        </w:rPr>
        <w:t xml:space="preserve"> </w:t>
      </w:r>
      <w:r>
        <w:rPr>
          <w:lang w:val="hu-HU"/>
        </w:rPr>
        <w:t>dabigatrán</w:t>
      </w:r>
      <w:r>
        <w:rPr>
          <w:spacing w:val="-5"/>
          <w:lang w:val="hu-HU"/>
        </w:rPr>
        <w:t xml:space="preserve"> </w:t>
      </w:r>
      <w:r>
        <w:rPr>
          <w:lang w:val="hu-HU"/>
        </w:rPr>
        <w:t>haemodialízissel eltávolítható.</w:t>
      </w:r>
    </w:p>
    <w:p w:rsidR="007D7140" w:rsidRDefault="007D7140">
      <w:pPr>
        <w:rPr>
          <w:lang w:val="hu-HU"/>
        </w:rPr>
      </w:pPr>
    </w:p>
    <w:p w:rsidR="007D7140" w:rsidRDefault="00A207BA">
      <w:pPr>
        <w:rPr>
          <w:lang w:val="hu-HU"/>
        </w:rPr>
      </w:pPr>
      <w:r>
        <w:rPr>
          <w:lang w:val="hu-HU"/>
        </w:rPr>
        <w:t>A dabigatrán</w:t>
      </w:r>
      <w:r>
        <w:rPr>
          <w:lang w:val="hu-HU"/>
        </w:rPr>
        <w:noBreakHyphen/>
        <w:t>kezelés felfüggesztése a betegeket az alapbetegségük miatti thrombotikus kockázatnak</w:t>
      </w:r>
      <w:r>
        <w:rPr>
          <w:spacing w:val="1"/>
          <w:lang w:val="hu-HU"/>
        </w:rPr>
        <w:t xml:space="preserve"> </w:t>
      </w:r>
      <w:r>
        <w:rPr>
          <w:lang w:val="hu-HU"/>
        </w:rPr>
        <w:t>teszi ki. A dabigatrán</w:t>
      </w:r>
      <w:r>
        <w:rPr>
          <w:lang w:val="hu-HU"/>
        </w:rPr>
        <w:noBreakHyphen/>
        <w:t>etexilát</w:t>
      </w:r>
      <w:r>
        <w:rPr>
          <w:lang w:val="hu-HU"/>
        </w:rPr>
        <w:noBreakHyphen/>
        <w:t>kezelés az idarucizumab adása után 24 órával újra elkezdhető, ha a beteg klinikailag stabil</w:t>
      </w:r>
      <w:r>
        <w:rPr>
          <w:spacing w:val="-2"/>
          <w:lang w:val="hu-HU"/>
        </w:rPr>
        <w:t xml:space="preserve"> </w:t>
      </w:r>
      <w:r>
        <w:rPr>
          <w:lang w:val="hu-HU"/>
        </w:rPr>
        <w:t>állapotban</w:t>
      </w:r>
      <w:r>
        <w:rPr>
          <w:spacing w:val="-1"/>
          <w:lang w:val="hu-HU"/>
        </w:rPr>
        <w:t xml:space="preserve"> </w:t>
      </w:r>
      <w:r>
        <w:rPr>
          <w:lang w:val="hu-HU"/>
        </w:rPr>
        <w:t>van,</w:t>
      </w:r>
      <w:r>
        <w:rPr>
          <w:spacing w:val="-2"/>
          <w:lang w:val="hu-HU"/>
        </w:rPr>
        <w:t xml:space="preserve"> </w:t>
      </w:r>
      <w:r>
        <w:rPr>
          <w:lang w:val="hu-HU"/>
        </w:rPr>
        <w:t>és</w:t>
      </w:r>
      <w:r>
        <w:rPr>
          <w:spacing w:val="-1"/>
          <w:lang w:val="hu-HU"/>
        </w:rPr>
        <w:t xml:space="preserve"> </w:t>
      </w:r>
      <w:r>
        <w:rPr>
          <w:lang w:val="hu-HU"/>
        </w:rPr>
        <w:t>a</w:t>
      </w:r>
      <w:r>
        <w:rPr>
          <w:spacing w:val="-2"/>
          <w:lang w:val="hu-HU"/>
        </w:rPr>
        <w:t xml:space="preserve"> </w:t>
      </w:r>
      <w:r>
        <w:rPr>
          <w:lang w:val="hu-HU"/>
        </w:rPr>
        <w:t>megfelelő</w:t>
      </w:r>
      <w:r>
        <w:rPr>
          <w:spacing w:val="-1"/>
          <w:lang w:val="hu-HU"/>
        </w:rPr>
        <w:t xml:space="preserve"> </w:t>
      </w:r>
      <w:r>
        <w:rPr>
          <w:lang w:val="hu-HU"/>
        </w:rPr>
        <w:t>haemostasis</w:t>
      </w:r>
      <w:r>
        <w:rPr>
          <w:spacing w:val="-2"/>
          <w:lang w:val="hu-HU"/>
        </w:rPr>
        <w:t xml:space="preserve"> </w:t>
      </w:r>
      <w:r>
        <w:rPr>
          <w:lang w:val="hu-HU"/>
        </w:rPr>
        <w:t>kialakult.</w:t>
      </w:r>
    </w:p>
    <w:p w:rsidR="007D7140" w:rsidRDefault="007D7140">
      <w:pPr>
        <w:rPr>
          <w:lang w:val="hu-HU"/>
        </w:rPr>
      </w:pPr>
    </w:p>
    <w:p w:rsidR="007D7140" w:rsidRDefault="00A207BA">
      <w:pPr>
        <w:rPr>
          <w:i/>
          <w:lang w:val="hu-HU"/>
        </w:rPr>
      </w:pPr>
      <w:r>
        <w:rPr>
          <w:i/>
          <w:u w:val="single"/>
          <w:lang w:val="hu-HU"/>
        </w:rPr>
        <w:t>Szubakut</w:t>
      </w:r>
      <w:r>
        <w:rPr>
          <w:i/>
          <w:spacing w:val="-8"/>
          <w:u w:val="single"/>
          <w:lang w:val="hu-HU"/>
        </w:rPr>
        <w:t xml:space="preserve"> </w:t>
      </w:r>
      <w:r>
        <w:rPr>
          <w:i/>
          <w:u w:val="single"/>
          <w:lang w:val="hu-HU"/>
        </w:rPr>
        <w:t>műtét/beavatkozások</w:t>
      </w:r>
    </w:p>
    <w:p w:rsidR="007D7140" w:rsidRDefault="007D7140">
      <w:pPr>
        <w:rPr>
          <w:i/>
          <w:lang w:val="hu-HU"/>
        </w:rPr>
      </w:pPr>
    </w:p>
    <w:p w:rsidR="007D7140" w:rsidRDefault="00A207BA">
      <w:pPr>
        <w:rPr>
          <w:lang w:val="hu-HU"/>
        </w:rPr>
      </w:pPr>
      <w:r>
        <w:rPr>
          <w:lang w:val="hu-HU"/>
        </w:rPr>
        <w:t>A dabigatrán</w:t>
      </w:r>
      <w:r>
        <w:rPr>
          <w:lang w:val="hu-HU"/>
        </w:rPr>
        <w:noBreakHyphen/>
        <w:t>etexilát adását átmenetileg le kell állítani. A műtétet/beavatkozást lehetőség szerint az utolsó dózis után legalább 12 óráig halasztani kell. Ha a műtét nem halasztható, a vérzés veszélye megnövekedhet. A vérzés kockázatát és a beavatkozás sürgősségét mérlegelni kell</w:t>
      </w:r>
      <w:r>
        <w:rPr>
          <w:spacing w:val="1"/>
          <w:lang w:val="hu-HU"/>
        </w:rPr>
        <w:t xml:space="preserve"> </w:t>
      </w:r>
      <w:r>
        <w:rPr>
          <w:lang w:val="hu-HU"/>
        </w:rPr>
        <w:t>egymással</w:t>
      </w:r>
      <w:r>
        <w:rPr>
          <w:spacing w:val="-2"/>
          <w:lang w:val="hu-HU"/>
        </w:rPr>
        <w:t xml:space="preserve"> </w:t>
      </w:r>
      <w:r>
        <w:rPr>
          <w:lang w:val="hu-HU"/>
        </w:rPr>
        <w:t>szemben.</w:t>
      </w:r>
    </w:p>
    <w:p w:rsidR="007D7140" w:rsidRDefault="007D7140">
      <w:pPr>
        <w:rPr>
          <w:lang w:val="hu-HU"/>
        </w:rPr>
      </w:pPr>
    </w:p>
    <w:p w:rsidR="007D7140" w:rsidRDefault="00A207BA">
      <w:pPr>
        <w:rPr>
          <w:i/>
          <w:lang w:val="hu-HU"/>
        </w:rPr>
      </w:pPr>
      <w:r>
        <w:rPr>
          <w:i/>
          <w:u w:val="single"/>
          <w:lang w:val="hu-HU"/>
        </w:rPr>
        <w:t>Elektív</w:t>
      </w:r>
      <w:r>
        <w:rPr>
          <w:i/>
          <w:spacing w:val="-4"/>
          <w:u w:val="single"/>
          <w:lang w:val="hu-HU"/>
        </w:rPr>
        <w:t xml:space="preserve"> </w:t>
      </w:r>
      <w:r>
        <w:rPr>
          <w:i/>
          <w:u w:val="single"/>
          <w:lang w:val="hu-HU"/>
        </w:rPr>
        <w:t>műtét</w:t>
      </w:r>
    </w:p>
    <w:p w:rsidR="007D7140" w:rsidRDefault="007D7140">
      <w:pPr>
        <w:rPr>
          <w:i/>
          <w:lang w:val="hu-HU"/>
        </w:rPr>
      </w:pPr>
    </w:p>
    <w:p w:rsidR="007D7140" w:rsidRDefault="00A207BA">
      <w:pPr>
        <w:rPr>
          <w:lang w:val="hu-HU"/>
        </w:rPr>
      </w:pPr>
      <w:r>
        <w:rPr>
          <w:lang w:val="hu-HU"/>
        </w:rPr>
        <w:t>Ha lehetséges, a dabigatrán</w:t>
      </w:r>
      <w:r>
        <w:rPr>
          <w:lang w:val="hu-HU"/>
        </w:rPr>
        <w:noBreakHyphen/>
        <w:t>etexilátot az invazív vagy műtéti beavatkozás előtt legalább 24 órával le kell állítani. Nagyobb vérzésveszély vagy nagy műtét esetén, amikor teljes haemostasisra lehet</w:t>
      </w:r>
      <w:r>
        <w:rPr>
          <w:spacing w:val="1"/>
          <w:lang w:val="hu-HU"/>
        </w:rPr>
        <w:t xml:space="preserve"> </w:t>
      </w:r>
      <w:r>
        <w:rPr>
          <w:lang w:val="hu-HU"/>
        </w:rPr>
        <w:t>szükség,</w:t>
      </w:r>
      <w:r>
        <w:rPr>
          <w:spacing w:val="-3"/>
          <w:lang w:val="hu-HU"/>
        </w:rPr>
        <w:t xml:space="preserve"> </w:t>
      </w:r>
      <w:r>
        <w:rPr>
          <w:lang w:val="hu-HU"/>
        </w:rPr>
        <w:t>mérlegelni</w:t>
      </w:r>
      <w:r>
        <w:rPr>
          <w:spacing w:val="-3"/>
          <w:lang w:val="hu-HU"/>
        </w:rPr>
        <w:t xml:space="preserve"> </w:t>
      </w:r>
      <w:r>
        <w:rPr>
          <w:lang w:val="hu-HU"/>
        </w:rPr>
        <w:t>kell</w:t>
      </w:r>
      <w:r>
        <w:rPr>
          <w:spacing w:val="-2"/>
          <w:lang w:val="hu-HU"/>
        </w:rPr>
        <w:t xml:space="preserve"> </w:t>
      </w:r>
      <w:r>
        <w:rPr>
          <w:lang w:val="hu-HU"/>
        </w:rPr>
        <w:t>a</w:t>
      </w:r>
      <w:r>
        <w:rPr>
          <w:spacing w:val="-3"/>
          <w:lang w:val="hu-HU"/>
        </w:rPr>
        <w:t xml:space="preserve"> </w:t>
      </w:r>
      <w:r>
        <w:rPr>
          <w:lang w:val="hu-HU"/>
        </w:rPr>
        <w:t>dabigatrán</w:t>
      </w:r>
      <w:r>
        <w:rPr>
          <w:spacing w:val="-2"/>
          <w:lang w:val="hu-HU"/>
        </w:rPr>
        <w:noBreakHyphen/>
      </w:r>
      <w:r>
        <w:rPr>
          <w:lang w:val="hu-HU"/>
        </w:rPr>
        <w:t>etexilát</w:t>
      </w:r>
      <w:r>
        <w:rPr>
          <w:spacing w:val="-3"/>
          <w:lang w:val="hu-HU"/>
        </w:rPr>
        <w:t xml:space="preserve"> </w:t>
      </w:r>
      <w:r>
        <w:rPr>
          <w:lang w:val="hu-HU"/>
        </w:rPr>
        <w:t>leállítását 2</w:t>
      </w:r>
      <w:r>
        <w:rPr>
          <w:lang w:val="hu-HU"/>
        </w:rPr>
        <w:noBreakHyphen/>
        <w:t>4</w:t>
      </w:r>
      <w:r>
        <w:rPr>
          <w:spacing w:val="-1"/>
          <w:lang w:val="hu-HU"/>
        </w:rPr>
        <w:t> nap</w:t>
      </w:r>
      <w:r>
        <w:rPr>
          <w:lang w:val="hu-HU"/>
        </w:rPr>
        <w:t>pal</w:t>
      </w:r>
      <w:r>
        <w:rPr>
          <w:spacing w:val="-3"/>
          <w:lang w:val="hu-HU"/>
        </w:rPr>
        <w:t xml:space="preserve"> </w:t>
      </w:r>
      <w:r>
        <w:rPr>
          <w:lang w:val="hu-HU"/>
        </w:rPr>
        <w:t>a</w:t>
      </w:r>
      <w:r>
        <w:rPr>
          <w:spacing w:val="-2"/>
          <w:lang w:val="hu-HU"/>
        </w:rPr>
        <w:t xml:space="preserve"> </w:t>
      </w:r>
      <w:r>
        <w:rPr>
          <w:lang w:val="hu-HU"/>
        </w:rPr>
        <w:t>műtét</w:t>
      </w:r>
      <w:r>
        <w:rPr>
          <w:spacing w:val="-3"/>
          <w:lang w:val="hu-HU"/>
        </w:rPr>
        <w:t xml:space="preserve"> </w:t>
      </w:r>
      <w:r>
        <w:rPr>
          <w:lang w:val="hu-HU"/>
        </w:rPr>
        <w:t>előtt.</w:t>
      </w:r>
    </w:p>
    <w:p w:rsidR="007D7140" w:rsidRDefault="007D7140">
      <w:pPr>
        <w:rPr>
          <w:lang w:val="hu-HU"/>
        </w:rPr>
      </w:pPr>
    </w:p>
    <w:p w:rsidR="007D7140" w:rsidRDefault="00A207BA">
      <w:pPr>
        <w:rPr>
          <w:lang w:val="hu-HU"/>
        </w:rPr>
      </w:pPr>
      <w:r>
        <w:rPr>
          <w:lang w:val="hu-HU"/>
        </w:rPr>
        <w:t>Az 7. táblázat összefoglalja az invazív vagy sebészi beavatkozások előtti leállításra vonatkozó szabályokat</w:t>
      </w:r>
      <w:r>
        <w:rPr>
          <w:spacing w:val="-2"/>
          <w:lang w:val="hu-HU"/>
        </w:rPr>
        <w:t xml:space="preserve"> </w:t>
      </w:r>
      <w:r>
        <w:rPr>
          <w:lang w:val="hu-HU"/>
        </w:rPr>
        <w:t>felnőtt</w:t>
      </w:r>
      <w:r>
        <w:rPr>
          <w:spacing w:val="-1"/>
          <w:lang w:val="hu-HU"/>
        </w:rPr>
        <w:t xml:space="preserve"> </w:t>
      </w:r>
      <w:r>
        <w:rPr>
          <w:lang w:val="hu-HU"/>
        </w:rPr>
        <w:t>betegeknél.</w:t>
      </w:r>
    </w:p>
    <w:p w:rsidR="007D7140" w:rsidRDefault="007D7140">
      <w:pPr>
        <w:rPr>
          <w:lang w:val="hu-HU"/>
        </w:rPr>
      </w:pPr>
    </w:p>
    <w:p w:rsidR="007D7140" w:rsidRDefault="00A207BA">
      <w:pPr>
        <w:tabs>
          <w:tab w:val="left" w:pos="284"/>
        </w:tabs>
        <w:ind w:left="1134" w:hanging="1134"/>
        <w:rPr>
          <w:lang w:val="hu-HU"/>
        </w:rPr>
      </w:pPr>
      <w:r>
        <w:rPr>
          <w:b/>
          <w:bCs/>
          <w:lang w:val="hu-HU"/>
        </w:rPr>
        <w:t>7. táblázat:</w:t>
      </w:r>
      <w:r>
        <w:rPr>
          <w:b/>
          <w:bCs/>
          <w:spacing w:val="38"/>
          <w:lang w:val="hu-HU"/>
        </w:rPr>
        <w:t xml:space="preserve"> </w:t>
      </w:r>
      <w:r>
        <w:rPr>
          <w:b/>
          <w:bCs/>
          <w:lang w:val="hu-HU"/>
        </w:rPr>
        <w:t>Az invazív vagy sebészi beavatkozások előtti leállításra vonatkozó szabályok felnőtt</w:t>
      </w:r>
      <w:r>
        <w:rPr>
          <w:lang w:val="hu-HU"/>
        </w:rPr>
        <w:t xml:space="preserve"> </w:t>
      </w:r>
      <w:r>
        <w:rPr>
          <w:b/>
          <w:bCs/>
          <w:lang w:val="hu-HU"/>
        </w:rPr>
        <w:t>betegeknél</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7"/>
        <w:gridCol w:w="1867"/>
        <w:gridCol w:w="2832"/>
        <w:gridCol w:w="2516"/>
      </w:tblGrid>
      <w:tr w:rsidR="007D7140">
        <w:trPr>
          <w:trHeight w:val="441"/>
        </w:trPr>
        <w:tc>
          <w:tcPr>
            <w:tcW w:w="1857" w:type="dxa"/>
            <w:vMerge w:val="restart"/>
          </w:tcPr>
          <w:p w:rsidR="007D7140" w:rsidRDefault="00A207BA">
            <w:pPr>
              <w:ind w:left="142"/>
              <w:rPr>
                <w:lang w:val="hu-HU"/>
              </w:rPr>
            </w:pPr>
            <w:r>
              <w:rPr>
                <w:lang w:val="hu-HU"/>
              </w:rPr>
              <w:t>Vesefunkció</w:t>
            </w:r>
            <w:r>
              <w:rPr>
                <w:spacing w:val="1"/>
                <w:lang w:val="hu-HU"/>
              </w:rPr>
              <w:t xml:space="preserve"> </w:t>
            </w:r>
            <w:r>
              <w:rPr>
                <w:lang w:val="hu-HU"/>
              </w:rPr>
              <w:t>(CrCl</w:t>
            </w:r>
            <w:r>
              <w:rPr>
                <w:spacing w:val="-7"/>
                <w:lang w:val="hu-HU"/>
              </w:rPr>
              <w:t> ml</w:t>
            </w:r>
            <w:r>
              <w:rPr>
                <w:lang w:val="hu-HU"/>
              </w:rPr>
              <w:t>/perc)</w:t>
            </w:r>
          </w:p>
        </w:tc>
        <w:tc>
          <w:tcPr>
            <w:tcW w:w="1867" w:type="dxa"/>
            <w:vMerge w:val="restart"/>
          </w:tcPr>
          <w:p w:rsidR="007D7140" w:rsidRDefault="00A207BA">
            <w:pPr>
              <w:ind w:left="127"/>
              <w:rPr>
                <w:lang w:val="hu-HU"/>
              </w:rPr>
            </w:pPr>
            <w:r>
              <w:rPr>
                <w:lang w:val="hu-HU"/>
              </w:rPr>
              <w:t xml:space="preserve">Becsült felezési idő </w:t>
            </w:r>
          </w:p>
          <w:p w:rsidR="007D7140" w:rsidRDefault="00A207BA">
            <w:pPr>
              <w:ind w:left="127"/>
              <w:rPr>
                <w:lang w:val="hu-HU"/>
              </w:rPr>
            </w:pPr>
            <w:r>
              <w:rPr>
                <w:lang w:val="hu-HU"/>
              </w:rPr>
              <w:t>(óra)</w:t>
            </w:r>
          </w:p>
        </w:tc>
        <w:tc>
          <w:tcPr>
            <w:tcW w:w="5348" w:type="dxa"/>
            <w:gridSpan w:val="2"/>
          </w:tcPr>
          <w:p w:rsidR="007D7140" w:rsidRDefault="00A207BA">
            <w:pPr>
              <w:ind w:left="127"/>
              <w:rPr>
                <w:lang w:val="hu-HU"/>
              </w:rPr>
            </w:pPr>
            <w:r>
              <w:rPr>
                <w:lang w:val="hu-HU"/>
              </w:rPr>
              <w:t>A</w:t>
            </w:r>
            <w:r>
              <w:rPr>
                <w:spacing w:val="-4"/>
                <w:lang w:val="hu-HU"/>
              </w:rPr>
              <w:t xml:space="preserve"> </w:t>
            </w:r>
            <w:r>
              <w:rPr>
                <w:lang w:val="hu-HU"/>
              </w:rPr>
              <w:t>dabigatrán</w:t>
            </w:r>
            <w:r>
              <w:rPr>
                <w:lang w:val="hu-HU"/>
              </w:rPr>
              <w:noBreakHyphen/>
              <w:t>etexilátot</w:t>
            </w:r>
            <w:r>
              <w:rPr>
                <w:spacing w:val="-4"/>
                <w:lang w:val="hu-HU"/>
              </w:rPr>
              <w:t xml:space="preserve"> </w:t>
            </w:r>
            <w:r>
              <w:rPr>
                <w:lang w:val="hu-HU"/>
              </w:rPr>
              <w:t>elektív</w:t>
            </w:r>
            <w:r>
              <w:rPr>
                <w:spacing w:val="-4"/>
                <w:lang w:val="hu-HU"/>
              </w:rPr>
              <w:t xml:space="preserve"> </w:t>
            </w:r>
            <w:r>
              <w:rPr>
                <w:lang w:val="hu-HU"/>
              </w:rPr>
              <w:t>műtét</w:t>
            </w:r>
            <w:r>
              <w:rPr>
                <w:spacing w:val="-4"/>
                <w:lang w:val="hu-HU"/>
              </w:rPr>
              <w:t xml:space="preserve"> </w:t>
            </w:r>
            <w:r>
              <w:rPr>
                <w:lang w:val="hu-HU"/>
              </w:rPr>
              <w:t>előtt</w:t>
            </w:r>
            <w:r>
              <w:rPr>
                <w:spacing w:val="-4"/>
                <w:lang w:val="hu-HU"/>
              </w:rPr>
              <w:t xml:space="preserve"> </w:t>
            </w:r>
            <w:r>
              <w:rPr>
                <w:lang w:val="hu-HU"/>
              </w:rPr>
              <w:t>le</w:t>
            </w:r>
            <w:r>
              <w:rPr>
                <w:spacing w:val="-4"/>
                <w:lang w:val="hu-HU"/>
              </w:rPr>
              <w:t xml:space="preserve"> </w:t>
            </w:r>
            <w:r>
              <w:rPr>
                <w:lang w:val="hu-HU"/>
              </w:rPr>
              <w:t>kell</w:t>
            </w:r>
            <w:r>
              <w:rPr>
                <w:spacing w:val="-4"/>
                <w:lang w:val="hu-HU"/>
              </w:rPr>
              <w:t xml:space="preserve"> </w:t>
            </w:r>
            <w:r>
              <w:rPr>
                <w:lang w:val="hu-HU"/>
              </w:rPr>
              <w:t>állítani</w:t>
            </w:r>
          </w:p>
        </w:tc>
      </w:tr>
      <w:tr w:rsidR="007D7140">
        <w:trPr>
          <w:trHeight w:val="506"/>
        </w:trPr>
        <w:tc>
          <w:tcPr>
            <w:tcW w:w="1857" w:type="dxa"/>
            <w:vMerge/>
          </w:tcPr>
          <w:p w:rsidR="007D7140" w:rsidRDefault="007D7140">
            <w:pPr>
              <w:ind w:left="142"/>
              <w:rPr>
                <w:lang w:val="hu-HU"/>
              </w:rPr>
            </w:pPr>
          </w:p>
        </w:tc>
        <w:tc>
          <w:tcPr>
            <w:tcW w:w="1867" w:type="dxa"/>
            <w:vMerge/>
          </w:tcPr>
          <w:p w:rsidR="007D7140" w:rsidRDefault="007D7140">
            <w:pPr>
              <w:ind w:left="127"/>
              <w:rPr>
                <w:lang w:val="hu-HU"/>
              </w:rPr>
            </w:pPr>
          </w:p>
        </w:tc>
        <w:tc>
          <w:tcPr>
            <w:tcW w:w="2832" w:type="dxa"/>
          </w:tcPr>
          <w:p w:rsidR="007D7140" w:rsidRDefault="00A207BA">
            <w:pPr>
              <w:ind w:left="127"/>
              <w:rPr>
                <w:lang w:val="hu-HU"/>
              </w:rPr>
            </w:pPr>
            <w:r>
              <w:rPr>
                <w:lang w:val="hu-HU"/>
              </w:rPr>
              <w:t>Nagy</w:t>
            </w:r>
            <w:r>
              <w:rPr>
                <w:spacing w:val="-4"/>
                <w:lang w:val="hu-HU"/>
              </w:rPr>
              <w:t xml:space="preserve"> </w:t>
            </w:r>
            <w:r>
              <w:rPr>
                <w:lang w:val="hu-HU"/>
              </w:rPr>
              <w:t>vérzési</w:t>
            </w:r>
            <w:r>
              <w:rPr>
                <w:spacing w:val="-4"/>
                <w:lang w:val="hu-HU"/>
              </w:rPr>
              <w:t xml:space="preserve"> </w:t>
            </w:r>
            <w:r>
              <w:rPr>
                <w:lang w:val="hu-HU"/>
              </w:rPr>
              <w:t>kockázat</w:t>
            </w:r>
            <w:r>
              <w:rPr>
                <w:spacing w:val="-3"/>
                <w:lang w:val="hu-HU"/>
              </w:rPr>
              <w:t xml:space="preserve"> </w:t>
            </w:r>
            <w:r>
              <w:rPr>
                <w:lang w:val="hu-HU"/>
              </w:rPr>
              <w:t>vagy nagy műtét</w:t>
            </w:r>
          </w:p>
        </w:tc>
        <w:tc>
          <w:tcPr>
            <w:tcW w:w="2516" w:type="dxa"/>
          </w:tcPr>
          <w:p w:rsidR="007D7140" w:rsidRDefault="00A207BA">
            <w:pPr>
              <w:ind w:left="127"/>
              <w:rPr>
                <w:lang w:val="hu-HU"/>
              </w:rPr>
            </w:pPr>
            <w:r>
              <w:rPr>
                <w:lang w:val="hu-HU"/>
              </w:rPr>
              <w:t>Átlagos</w:t>
            </w:r>
            <w:r>
              <w:rPr>
                <w:spacing w:val="-5"/>
                <w:lang w:val="hu-HU"/>
              </w:rPr>
              <w:t xml:space="preserve"> </w:t>
            </w:r>
            <w:r>
              <w:rPr>
                <w:lang w:val="hu-HU"/>
              </w:rPr>
              <w:t>kockázat</w:t>
            </w:r>
          </w:p>
        </w:tc>
      </w:tr>
      <w:tr w:rsidR="007D7140">
        <w:trPr>
          <w:trHeight w:val="253"/>
        </w:trPr>
        <w:tc>
          <w:tcPr>
            <w:tcW w:w="1857" w:type="dxa"/>
          </w:tcPr>
          <w:p w:rsidR="007D7140" w:rsidRDefault="00A207BA">
            <w:pPr>
              <w:ind w:left="142"/>
              <w:rPr>
                <w:lang w:val="hu-HU"/>
              </w:rPr>
            </w:pPr>
            <w:r>
              <w:rPr>
                <w:lang w:val="hu-HU"/>
              </w:rPr>
              <w:t>≥ 80</w:t>
            </w:r>
          </w:p>
        </w:tc>
        <w:tc>
          <w:tcPr>
            <w:tcW w:w="1867" w:type="dxa"/>
          </w:tcPr>
          <w:p w:rsidR="007D7140" w:rsidRDefault="00A207BA">
            <w:pPr>
              <w:ind w:left="127"/>
              <w:jc w:val="center"/>
              <w:rPr>
                <w:lang w:val="hu-HU"/>
              </w:rPr>
            </w:pPr>
            <w:r>
              <w:rPr>
                <w:lang w:val="hu-HU"/>
              </w:rPr>
              <w:t>~ 13</w:t>
            </w:r>
          </w:p>
        </w:tc>
        <w:tc>
          <w:tcPr>
            <w:tcW w:w="2832" w:type="dxa"/>
          </w:tcPr>
          <w:p w:rsidR="007D7140" w:rsidRDefault="00A207BA">
            <w:pPr>
              <w:ind w:left="127"/>
              <w:rPr>
                <w:lang w:val="hu-HU"/>
              </w:rPr>
            </w:pPr>
            <w:r>
              <w:rPr>
                <w:lang w:val="hu-HU"/>
              </w:rPr>
              <w:t>2</w:t>
            </w:r>
            <w:r>
              <w:rPr>
                <w:spacing w:val="-3"/>
                <w:lang w:val="hu-HU"/>
              </w:rPr>
              <w:t> nap</w:t>
            </w:r>
            <w:r>
              <w:rPr>
                <w:lang w:val="hu-HU"/>
              </w:rPr>
              <w:t>pal</w:t>
            </w:r>
            <w:r>
              <w:rPr>
                <w:spacing w:val="-2"/>
                <w:lang w:val="hu-HU"/>
              </w:rPr>
              <w:t xml:space="preserve"> </w:t>
            </w:r>
            <w:r>
              <w:rPr>
                <w:lang w:val="hu-HU"/>
              </w:rPr>
              <w:t>előtte</w:t>
            </w:r>
          </w:p>
        </w:tc>
        <w:tc>
          <w:tcPr>
            <w:tcW w:w="2516" w:type="dxa"/>
          </w:tcPr>
          <w:p w:rsidR="007D7140" w:rsidRDefault="00A207BA">
            <w:pPr>
              <w:ind w:left="127"/>
              <w:rPr>
                <w:lang w:val="hu-HU"/>
              </w:rPr>
            </w:pPr>
            <w:r>
              <w:rPr>
                <w:lang w:val="hu-HU"/>
              </w:rPr>
              <w:t>24 órával</w:t>
            </w:r>
            <w:r>
              <w:rPr>
                <w:spacing w:val="-3"/>
                <w:lang w:val="hu-HU"/>
              </w:rPr>
              <w:t xml:space="preserve"> </w:t>
            </w:r>
            <w:r>
              <w:rPr>
                <w:lang w:val="hu-HU"/>
              </w:rPr>
              <w:t>előtte</w:t>
            </w:r>
          </w:p>
        </w:tc>
      </w:tr>
      <w:tr w:rsidR="007D7140">
        <w:trPr>
          <w:trHeight w:val="251"/>
        </w:trPr>
        <w:tc>
          <w:tcPr>
            <w:tcW w:w="1857" w:type="dxa"/>
          </w:tcPr>
          <w:p w:rsidR="007D7140" w:rsidRDefault="00A207BA">
            <w:pPr>
              <w:ind w:left="142"/>
              <w:rPr>
                <w:lang w:val="hu-HU"/>
              </w:rPr>
            </w:pPr>
            <w:r>
              <w:rPr>
                <w:lang w:val="hu-HU"/>
              </w:rPr>
              <w:t>≥</w:t>
            </w:r>
            <w:r>
              <w:rPr>
                <w:spacing w:val="1"/>
                <w:lang w:val="hu-HU"/>
              </w:rPr>
              <w:t> </w:t>
            </w:r>
            <w:r>
              <w:rPr>
                <w:lang w:val="hu-HU"/>
              </w:rPr>
              <w:t>50 </w:t>
            </w:r>
            <w:r>
              <w:rPr>
                <w:lang w:val="hu-HU"/>
              </w:rPr>
              <w:noBreakHyphen/>
              <w:t> &lt;</w:t>
            </w:r>
            <w:r>
              <w:rPr>
                <w:spacing w:val="1"/>
                <w:lang w:val="hu-HU"/>
              </w:rPr>
              <w:t> </w:t>
            </w:r>
            <w:r>
              <w:rPr>
                <w:lang w:val="hu-HU"/>
              </w:rPr>
              <w:t>80</w:t>
            </w:r>
          </w:p>
        </w:tc>
        <w:tc>
          <w:tcPr>
            <w:tcW w:w="1867" w:type="dxa"/>
          </w:tcPr>
          <w:p w:rsidR="007D7140" w:rsidRDefault="00A207BA">
            <w:pPr>
              <w:ind w:left="127"/>
              <w:jc w:val="center"/>
              <w:rPr>
                <w:lang w:val="hu-HU"/>
              </w:rPr>
            </w:pPr>
            <w:r>
              <w:rPr>
                <w:lang w:val="hu-HU"/>
              </w:rPr>
              <w:t>~ 15</w:t>
            </w:r>
          </w:p>
        </w:tc>
        <w:tc>
          <w:tcPr>
            <w:tcW w:w="2832" w:type="dxa"/>
          </w:tcPr>
          <w:p w:rsidR="007D7140" w:rsidRDefault="00A207BA">
            <w:pPr>
              <w:ind w:left="127"/>
              <w:rPr>
                <w:lang w:val="hu-HU"/>
              </w:rPr>
            </w:pPr>
            <w:r>
              <w:rPr>
                <w:lang w:val="hu-HU"/>
              </w:rPr>
              <w:t>2</w:t>
            </w:r>
            <w:r>
              <w:rPr>
                <w:lang w:val="hu-HU"/>
              </w:rPr>
              <w:noBreakHyphen/>
              <w:t>3 nappal előtte</w:t>
            </w:r>
          </w:p>
        </w:tc>
        <w:tc>
          <w:tcPr>
            <w:tcW w:w="2516" w:type="dxa"/>
          </w:tcPr>
          <w:p w:rsidR="007D7140" w:rsidRDefault="00A207BA">
            <w:pPr>
              <w:ind w:left="127"/>
              <w:rPr>
                <w:lang w:val="hu-HU"/>
              </w:rPr>
            </w:pPr>
            <w:r>
              <w:rPr>
                <w:lang w:val="hu-HU"/>
              </w:rPr>
              <w:t>1</w:t>
            </w:r>
            <w:r>
              <w:rPr>
                <w:lang w:val="hu-HU"/>
              </w:rPr>
              <w:noBreakHyphen/>
              <w:t>2 nappal előtte</w:t>
            </w:r>
          </w:p>
        </w:tc>
      </w:tr>
      <w:tr w:rsidR="007D7140">
        <w:trPr>
          <w:trHeight w:val="253"/>
        </w:trPr>
        <w:tc>
          <w:tcPr>
            <w:tcW w:w="1857" w:type="dxa"/>
          </w:tcPr>
          <w:p w:rsidR="007D7140" w:rsidRDefault="00A207BA">
            <w:pPr>
              <w:ind w:left="142"/>
              <w:rPr>
                <w:lang w:val="hu-HU"/>
              </w:rPr>
            </w:pPr>
            <w:r>
              <w:rPr>
                <w:lang w:val="hu-HU"/>
              </w:rPr>
              <w:t>≥ 30 </w:t>
            </w:r>
            <w:r>
              <w:rPr>
                <w:lang w:val="hu-HU"/>
              </w:rPr>
              <w:noBreakHyphen/>
              <w:t> &lt; 50</w:t>
            </w:r>
          </w:p>
        </w:tc>
        <w:tc>
          <w:tcPr>
            <w:tcW w:w="1867" w:type="dxa"/>
          </w:tcPr>
          <w:p w:rsidR="007D7140" w:rsidRDefault="00A207BA">
            <w:pPr>
              <w:ind w:left="127"/>
              <w:jc w:val="center"/>
              <w:rPr>
                <w:lang w:val="hu-HU"/>
              </w:rPr>
            </w:pPr>
            <w:r>
              <w:rPr>
                <w:lang w:val="hu-HU"/>
              </w:rPr>
              <w:t>~ 18</w:t>
            </w:r>
          </w:p>
        </w:tc>
        <w:tc>
          <w:tcPr>
            <w:tcW w:w="2832" w:type="dxa"/>
          </w:tcPr>
          <w:p w:rsidR="007D7140" w:rsidRDefault="00A207BA">
            <w:pPr>
              <w:ind w:left="127"/>
              <w:rPr>
                <w:lang w:val="hu-HU"/>
              </w:rPr>
            </w:pPr>
            <w:r>
              <w:rPr>
                <w:lang w:val="hu-HU"/>
              </w:rPr>
              <w:t>4</w:t>
            </w:r>
            <w:r>
              <w:rPr>
                <w:spacing w:val="-3"/>
                <w:lang w:val="hu-HU"/>
              </w:rPr>
              <w:t> nap</w:t>
            </w:r>
            <w:r>
              <w:rPr>
                <w:lang w:val="hu-HU"/>
              </w:rPr>
              <w:t>pal</w:t>
            </w:r>
            <w:r>
              <w:rPr>
                <w:spacing w:val="-2"/>
                <w:lang w:val="hu-HU"/>
              </w:rPr>
              <w:t xml:space="preserve"> </w:t>
            </w:r>
            <w:r>
              <w:rPr>
                <w:lang w:val="hu-HU"/>
              </w:rPr>
              <w:t>előtte</w:t>
            </w:r>
          </w:p>
        </w:tc>
        <w:tc>
          <w:tcPr>
            <w:tcW w:w="2516" w:type="dxa"/>
          </w:tcPr>
          <w:p w:rsidR="007D7140" w:rsidRDefault="00A207BA">
            <w:pPr>
              <w:ind w:left="127"/>
              <w:rPr>
                <w:lang w:val="hu-HU"/>
              </w:rPr>
            </w:pPr>
            <w:r>
              <w:rPr>
                <w:lang w:val="hu-HU"/>
              </w:rPr>
              <w:t>2</w:t>
            </w:r>
            <w:r>
              <w:rPr>
                <w:lang w:val="hu-HU"/>
              </w:rPr>
              <w:noBreakHyphen/>
              <w:t>3 </w:t>
            </w:r>
            <w:r>
              <w:rPr>
                <w:spacing w:val="-2"/>
                <w:lang w:val="hu-HU"/>
              </w:rPr>
              <w:t>nap</w:t>
            </w:r>
            <w:r>
              <w:rPr>
                <w:lang w:val="hu-HU"/>
              </w:rPr>
              <w:t>pal</w:t>
            </w:r>
            <w:r>
              <w:rPr>
                <w:spacing w:val="-2"/>
                <w:lang w:val="hu-HU"/>
              </w:rPr>
              <w:t xml:space="preserve"> </w:t>
            </w:r>
            <w:r>
              <w:rPr>
                <w:lang w:val="hu-HU"/>
              </w:rPr>
              <w:t>előtte</w:t>
            </w:r>
            <w:r>
              <w:rPr>
                <w:spacing w:val="-1"/>
                <w:lang w:val="hu-HU"/>
              </w:rPr>
              <w:t xml:space="preserve"> </w:t>
            </w:r>
            <w:r>
              <w:rPr>
                <w:lang w:val="hu-HU"/>
              </w:rPr>
              <w:t>(&gt; 48</w:t>
            </w:r>
            <w:r>
              <w:rPr>
                <w:spacing w:val="-2"/>
                <w:lang w:val="hu-HU"/>
              </w:rPr>
              <w:t> óra</w:t>
            </w:r>
            <w:r>
              <w:rPr>
                <w:lang w:val="hu-HU"/>
              </w:rPr>
              <w:t>)</w:t>
            </w:r>
          </w:p>
        </w:tc>
      </w:tr>
    </w:tbl>
    <w:p w:rsidR="007D7140" w:rsidRDefault="007D7140">
      <w:pPr>
        <w:rPr>
          <w:lang w:val="hu-HU"/>
        </w:rPr>
      </w:pPr>
    </w:p>
    <w:p w:rsidR="007D7140" w:rsidRDefault="00A207BA">
      <w:pPr>
        <w:rPr>
          <w:lang w:val="hu-HU"/>
        </w:rPr>
      </w:pPr>
      <w:r>
        <w:rPr>
          <w:lang w:val="hu-HU"/>
        </w:rPr>
        <w:t>Az invazív vagy sebészi beavatkozások előtti leállításra vonatkozó szabályokat gyermekeknél és serdülőknél</w:t>
      </w:r>
      <w:r>
        <w:rPr>
          <w:spacing w:val="-2"/>
          <w:lang w:val="hu-HU"/>
        </w:rPr>
        <w:t xml:space="preserve"> </w:t>
      </w:r>
      <w:r>
        <w:rPr>
          <w:lang w:val="hu-HU"/>
        </w:rPr>
        <w:t>a</w:t>
      </w:r>
      <w:r>
        <w:rPr>
          <w:spacing w:val="-1"/>
          <w:lang w:val="hu-HU"/>
        </w:rPr>
        <w:t xml:space="preserve"> </w:t>
      </w:r>
      <w:r>
        <w:rPr>
          <w:lang w:val="hu-HU"/>
        </w:rPr>
        <w:t>8.</w:t>
      </w:r>
      <w:r>
        <w:rPr>
          <w:spacing w:val="-2"/>
          <w:lang w:val="hu-HU"/>
        </w:rPr>
        <w:t xml:space="preserve"> </w:t>
      </w:r>
      <w:r>
        <w:rPr>
          <w:lang w:val="hu-HU"/>
        </w:rPr>
        <w:t>táblázat</w:t>
      </w:r>
      <w:r>
        <w:rPr>
          <w:spacing w:val="-1"/>
          <w:lang w:val="hu-HU"/>
        </w:rPr>
        <w:t xml:space="preserve"> </w:t>
      </w:r>
      <w:r>
        <w:rPr>
          <w:lang w:val="hu-HU"/>
        </w:rPr>
        <w:t>foglalja</w:t>
      </w:r>
      <w:r>
        <w:rPr>
          <w:spacing w:val="-1"/>
          <w:lang w:val="hu-HU"/>
        </w:rPr>
        <w:t xml:space="preserve"> </w:t>
      </w:r>
      <w:r>
        <w:rPr>
          <w:lang w:val="hu-HU"/>
        </w:rPr>
        <w:t>össze.</w:t>
      </w:r>
    </w:p>
    <w:p w:rsidR="007D7140" w:rsidRDefault="007D7140">
      <w:pPr>
        <w:rPr>
          <w:lang w:val="hu-HU"/>
        </w:rPr>
      </w:pPr>
    </w:p>
    <w:p w:rsidR="007D7140" w:rsidRDefault="00A207BA">
      <w:pPr>
        <w:tabs>
          <w:tab w:val="left" w:pos="284"/>
        </w:tabs>
        <w:ind w:left="1134" w:hanging="1134"/>
        <w:rPr>
          <w:b/>
          <w:bCs/>
          <w:lang w:val="hu-HU"/>
        </w:rPr>
      </w:pPr>
      <w:r>
        <w:rPr>
          <w:b/>
          <w:bCs/>
          <w:lang w:val="hu-HU"/>
        </w:rPr>
        <w:t>8. táblázat:</w:t>
      </w:r>
      <w:r>
        <w:rPr>
          <w:b/>
          <w:bCs/>
          <w:spacing w:val="38"/>
          <w:lang w:val="hu-HU"/>
        </w:rPr>
        <w:t xml:space="preserve"> </w:t>
      </w:r>
      <w:r>
        <w:rPr>
          <w:b/>
          <w:bCs/>
          <w:lang w:val="hu-HU"/>
        </w:rPr>
        <w:t>Az invazív vagy sebészi beavatkozások előtti leállításra vonatkozó szabályok gyermekeknél</w:t>
      </w:r>
      <w:r>
        <w:rPr>
          <w:b/>
          <w:bCs/>
          <w:spacing w:val="-2"/>
          <w:lang w:val="hu-HU"/>
        </w:rPr>
        <w:t xml:space="preserve"> </w:t>
      </w:r>
      <w:r>
        <w:rPr>
          <w:b/>
          <w:bCs/>
          <w:lang w:val="hu-HU"/>
        </w:rPr>
        <w:t>és</w:t>
      </w:r>
      <w:r>
        <w:rPr>
          <w:b/>
          <w:bCs/>
          <w:spacing w:val="-1"/>
          <w:lang w:val="hu-HU"/>
        </w:rPr>
        <w:t xml:space="preserve"> </w:t>
      </w:r>
      <w:r>
        <w:rPr>
          <w:b/>
          <w:bCs/>
          <w:lang w:val="hu-HU"/>
        </w:rPr>
        <w:t>serdülőknél</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2"/>
        <w:gridCol w:w="5300"/>
      </w:tblGrid>
      <w:tr w:rsidR="007D7140">
        <w:trPr>
          <w:trHeight w:val="505"/>
        </w:trPr>
        <w:tc>
          <w:tcPr>
            <w:tcW w:w="3772" w:type="dxa"/>
          </w:tcPr>
          <w:p w:rsidR="007D7140" w:rsidRDefault="00A207BA">
            <w:pPr>
              <w:keepNext/>
              <w:widowControl/>
              <w:ind w:left="142"/>
              <w:rPr>
                <w:lang w:val="hu-HU"/>
              </w:rPr>
            </w:pPr>
            <w:r>
              <w:rPr>
                <w:lang w:val="hu-HU"/>
              </w:rPr>
              <w:t>Vesefunkció</w:t>
            </w:r>
          </w:p>
          <w:p w:rsidR="007D7140" w:rsidRDefault="00A207BA">
            <w:pPr>
              <w:keepNext/>
              <w:widowControl/>
              <w:ind w:left="142"/>
              <w:rPr>
                <w:lang w:val="hu-HU"/>
              </w:rPr>
            </w:pPr>
            <w:r>
              <w:rPr>
                <w:lang w:val="hu-HU"/>
              </w:rPr>
              <w:t>(eGFR</w:t>
            </w:r>
            <w:r>
              <w:rPr>
                <w:spacing w:val="-8"/>
                <w:lang w:val="hu-HU"/>
              </w:rPr>
              <w:t> ml</w:t>
            </w:r>
            <w:r>
              <w:rPr>
                <w:lang w:val="hu-HU"/>
              </w:rPr>
              <w:t>/perc/1,73m</w:t>
            </w:r>
            <w:r>
              <w:rPr>
                <w:vertAlign w:val="superscript"/>
                <w:lang w:val="hu-HU"/>
              </w:rPr>
              <w:t>2</w:t>
            </w:r>
            <w:r>
              <w:rPr>
                <w:spacing w:val="-6"/>
                <w:lang w:val="hu-HU"/>
              </w:rPr>
              <w:t xml:space="preserve"> </w:t>
            </w:r>
            <w:r>
              <w:rPr>
                <w:lang w:val="hu-HU"/>
              </w:rPr>
              <w:t>értékben)</w:t>
            </w:r>
          </w:p>
        </w:tc>
        <w:tc>
          <w:tcPr>
            <w:tcW w:w="5300" w:type="dxa"/>
          </w:tcPr>
          <w:p w:rsidR="007D7140" w:rsidRDefault="00A207BA">
            <w:pPr>
              <w:keepNext/>
              <w:widowControl/>
              <w:ind w:left="202"/>
              <w:rPr>
                <w:lang w:val="hu-HU"/>
              </w:rPr>
            </w:pPr>
            <w:r>
              <w:rPr>
                <w:lang w:val="hu-HU"/>
              </w:rPr>
              <w:t>Dabigatrán</w:t>
            </w:r>
            <w:r>
              <w:rPr>
                <w:spacing w:val="-5"/>
                <w:lang w:val="hu-HU"/>
              </w:rPr>
              <w:t xml:space="preserve"> </w:t>
            </w:r>
            <w:r>
              <w:rPr>
                <w:lang w:val="hu-HU"/>
              </w:rPr>
              <w:t>leállítása</w:t>
            </w:r>
            <w:r>
              <w:rPr>
                <w:spacing w:val="-5"/>
                <w:lang w:val="hu-HU"/>
              </w:rPr>
              <w:t xml:space="preserve"> </w:t>
            </w:r>
            <w:r>
              <w:rPr>
                <w:lang w:val="hu-HU"/>
              </w:rPr>
              <w:t>elektív</w:t>
            </w:r>
            <w:r>
              <w:rPr>
                <w:spacing w:val="-5"/>
                <w:lang w:val="hu-HU"/>
              </w:rPr>
              <w:t xml:space="preserve"> </w:t>
            </w:r>
            <w:r>
              <w:rPr>
                <w:lang w:val="hu-HU"/>
              </w:rPr>
              <w:t>műtét</w:t>
            </w:r>
            <w:r>
              <w:rPr>
                <w:spacing w:val="-5"/>
                <w:lang w:val="hu-HU"/>
              </w:rPr>
              <w:t xml:space="preserve"> </w:t>
            </w:r>
            <w:r>
              <w:rPr>
                <w:lang w:val="hu-HU"/>
              </w:rPr>
              <w:t>előtt</w:t>
            </w:r>
          </w:p>
        </w:tc>
      </w:tr>
      <w:tr w:rsidR="007D7140">
        <w:trPr>
          <w:trHeight w:val="251"/>
        </w:trPr>
        <w:tc>
          <w:tcPr>
            <w:tcW w:w="3772" w:type="dxa"/>
          </w:tcPr>
          <w:p w:rsidR="007D7140" w:rsidRDefault="00A207BA">
            <w:pPr>
              <w:ind w:left="142"/>
              <w:rPr>
                <w:lang w:val="hu-HU"/>
              </w:rPr>
            </w:pPr>
            <w:r>
              <w:rPr>
                <w:lang w:val="hu-HU"/>
              </w:rPr>
              <w:t>&gt; 80</w:t>
            </w:r>
          </w:p>
        </w:tc>
        <w:tc>
          <w:tcPr>
            <w:tcW w:w="5300" w:type="dxa"/>
          </w:tcPr>
          <w:p w:rsidR="007D7140" w:rsidRDefault="00A207BA">
            <w:pPr>
              <w:ind w:left="202"/>
              <w:rPr>
                <w:lang w:val="hu-HU"/>
              </w:rPr>
            </w:pPr>
            <w:r>
              <w:rPr>
                <w:lang w:val="hu-HU"/>
              </w:rPr>
              <w:t>24 órával</w:t>
            </w:r>
            <w:r>
              <w:rPr>
                <w:spacing w:val="-3"/>
                <w:lang w:val="hu-HU"/>
              </w:rPr>
              <w:t xml:space="preserve"> </w:t>
            </w:r>
            <w:r>
              <w:rPr>
                <w:lang w:val="hu-HU"/>
              </w:rPr>
              <w:t>előtte</w:t>
            </w:r>
          </w:p>
        </w:tc>
      </w:tr>
      <w:tr w:rsidR="007D7140">
        <w:trPr>
          <w:trHeight w:val="254"/>
        </w:trPr>
        <w:tc>
          <w:tcPr>
            <w:tcW w:w="3772" w:type="dxa"/>
          </w:tcPr>
          <w:p w:rsidR="007D7140" w:rsidRDefault="00A207BA">
            <w:pPr>
              <w:ind w:left="142"/>
              <w:rPr>
                <w:lang w:val="hu-HU"/>
              </w:rPr>
            </w:pPr>
            <w:r>
              <w:rPr>
                <w:lang w:val="hu-HU"/>
              </w:rPr>
              <w:t>50 </w:t>
            </w:r>
            <w:r>
              <w:rPr>
                <w:lang w:val="hu-HU"/>
              </w:rPr>
              <w:noBreakHyphen/>
              <w:t> 80</w:t>
            </w:r>
          </w:p>
        </w:tc>
        <w:tc>
          <w:tcPr>
            <w:tcW w:w="5300" w:type="dxa"/>
          </w:tcPr>
          <w:p w:rsidR="007D7140" w:rsidRDefault="00A207BA">
            <w:pPr>
              <w:ind w:left="202"/>
              <w:rPr>
                <w:lang w:val="hu-HU"/>
              </w:rPr>
            </w:pPr>
            <w:r>
              <w:rPr>
                <w:lang w:val="hu-HU"/>
              </w:rPr>
              <w:t>2</w:t>
            </w:r>
            <w:r>
              <w:rPr>
                <w:spacing w:val="-3"/>
                <w:lang w:val="hu-HU"/>
              </w:rPr>
              <w:t> nap</w:t>
            </w:r>
            <w:r>
              <w:rPr>
                <w:lang w:val="hu-HU"/>
              </w:rPr>
              <w:t>pal</w:t>
            </w:r>
            <w:r>
              <w:rPr>
                <w:spacing w:val="-2"/>
                <w:lang w:val="hu-HU"/>
              </w:rPr>
              <w:t xml:space="preserve"> </w:t>
            </w:r>
            <w:r>
              <w:rPr>
                <w:lang w:val="hu-HU"/>
              </w:rPr>
              <w:t>előtte</w:t>
            </w:r>
          </w:p>
        </w:tc>
      </w:tr>
      <w:tr w:rsidR="007D7140">
        <w:trPr>
          <w:trHeight w:val="253"/>
        </w:trPr>
        <w:tc>
          <w:tcPr>
            <w:tcW w:w="3772" w:type="dxa"/>
          </w:tcPr>
          <w:p w:rsidR="007D7140" w:rsidRDefault="00A207BA">
            <w:pPr>
              <w:ind w:left="142"/>
              <w:rPr>
                <w:lang w:val="hu-HU"/>
              </w:rPr>
            </w:pPr>
            <w:r>
              <w:rPr>
                <w:lang w:val="hu-HU"/>
              </w:rPr>
              <w:t>&lt; 50</w:t>
            </w:r>
          </w:p>
        </w:tc>
        <w:tc>
          <w:tcPr>
            <w:tcW w:w="5300" w:type="dxa"/>
          </w:tcPr>
          <w:p w:rsidR="007D7140" w:rsidRDefault="00A207BA">
            <w:pPr>
              <w:ind w:left="202"/>
              <w:rPr>
                <w:lang w:val="hu-HU"/>
              </w:rPr>
            </w:pPr>
            <w:r>
              <w:rPr>
                <w:lang w:val="hu-HU"/>
              </w:rPr>
              <w:t>Nem</w:t>
            </w:r>
            <w:r>
              <w:rPr>
                <w:spacing w:val="-4"/>
                <w:lang w:val="hu-HU"/>
              </w:rPr>
              <w:t xml:space="preserve"> </w:t>
            </w:r>
            <w:r>
              <w:rPr>
                <w:lang w:val="hu-HU"/>
              </w:rPr>
              <w:t>vizsgálták</w:t>
            </w:r>
            <w:r>
              <w:rPr>
                <w:spacing w:val="-4"/>
                <w:lang w:val="hu-HU"/>
              </w:rPr>
              <w:t xml:space="preserve"> </w:t>
            </w:r>
            <w:r>
              <w:rPr>
                <w:lang w:val="hu-HU"/>
              </w:rPr>
              <w:t>ezeket</w:t>
            </w:r>
            <w:r>
              <w:rPr>
                <w:spacing w:val="-3"/>
                <w:lang w:val="hu-HU"/>
              </w:rPr>
              <w:t xml:space="preserve"> </w:t>
            </w:r>
            <w:r>
              <w:rPr>
                <w:lang w:val="hu-HU"/>
              </w:rPr>
              <w:t>a</w:t>
            </w:r>
            <w:r>
              <w:rPr>
                <w:spacing w:val="-4"/>
                <w:lang w:val="hu-HU"/>
              </w:rPr>
              <w:t xml:space="preserve"> </w:t>
            </w:r>
            <w:r>
              <w:rPr>
                <w:lang w:val="hu-HU"/>
              </w:rPr>
              <w:t>betegeket</w:t>
            </w:r>
            <w:r>
              <w:rPr>
                <w:spacing w:val="-3"/>
                <w:lang w:val="hu-HU"/>
              </w:rPr>
              <w:t xml:space="preserve"> </w:t>
            </w:r>
            <w:r>
              <w:rPr>
                <w:lang w:val="hu-HU"/>
              </w:rPr>
              <w:t>(lásd</w:t>
            </w:r>
            <w:r>
              <w:rPr>
                <w:spacing w:val="-4"/>
                <w:lang w:val="hu-HU"/>
              </w:rPr>
              <w:t xml:space="preserve"> </w:t>
            </w:r>
            <w:r>
              <w:rPr>
                <w:lang w:val="hu-HU"/>
              </w:rPr>
              <w:t>4.3</w:t>
            </w:r>
            <w:r>
              <w:rPr>
                <w:spacing w:val="-2"/>
                <w:lang w:val="hu-HU"/>
              </w:rPr>
              <w:t> pont</w:t>
            </w:r>
            <w:r>
              <w:rPr>
                <w:lang w:val="hu-HU"/>
              </w:rPr>
              <w:t>).</w:t>
            </w:r>
          </w:p>
        </w:tc>
      </w:tr>
    </w:tbl>
    <w:p w:rsidR="007D7140" w:rsidRDefault="007D7140">
      <w:pPr>
        <w:rPr>
          <w:lang w:val="hu-HU"/>
        </w:rPr>
      </w:pPr>
    </w:p>
    <w:p w:rsidR="007D7140" w:rsidRDefault="00A207BA">
      <w:pPr>
        <w:rPr>
          <w:i/>
          <w:lang w:val="hu-HU"/>
        </w:rPr>
      </w:pPr>
      <w:r>
        <w:rPr>
          <w:i/>
          <w:u w:val="single"/>
          <w:lang w:val="hu-HU"/>
        </w:rPr>
        <w:t>Spinalis</w:t>
      </w:r>
      <w:r>
        <w:rPr>
          <w:i/>
          <w:spacing w:val="-8"/>
          <w:u w:val="single"/>
          <w:lang w:val="hu-HU"/>
        </w:rPr>
        <w:t xml:space="preserve"> </w:t>
      </w:r>
      <w:r>
        <w:rPr>
          <w:i/>
          <w:u w:val="single"/>
          <w:lang w:val="hu-HU"/>
        </w:rPr>
        <w:t>anaesthesia</w:t>
      </w:r>
      <w:r>
        <w:rPr>
          <w:i/>
          <w:spacing w:val="-7"/>
          <w:u w:val="single"/>
          <w:lang w:val="hu-HU"/>
        </w:rPr>
        <w:t xml:space="preserve"> </w:t>
      </w:r>
      <w:r>
        <w:rPr>
          <w:i/>
          <w:u w:val="single"/>
          <w:lang w:val="hu-HU"/>
        </w:rPr>
        <w:t>/epiduralis</w:t>
      </w:r>
      <w:r>
        <w:rPr>
          <w:i/>
          <w:spacing w:val="-7"/>
          <w:u w:val="single"/>
          <w:lang w:val="hu-HU"/>
        </w:rPr>
        <w:t xml:space="preserve"> </w:t>
      </w:r>
      <w:r>
        <w:rPr>
          <w:i/>
          <w:u w:val="single"/>
          <w:lang w:val="hu-HU"/>
        </w:rPr>
        <w:t>anaesthesia</w:t>
      </w:r>
      <w:r>
        <w:rPr>
          <w:i/>
          <w:spacing w:val="-7"/>
          <w:u w:val="single"/>
          <w:lang w:val="hu-HU"/>
        </w:rPr>
        <w:t xml:space="preserve"> </w:t>
      </w:r>
      <w:r>
        <w:rPr>
          <w:i/>
          <w:u w:val="single"/>
          <w:lang w:val="hu-HU"/>
        </w:rPr>
        <w:t>/lumbalpunctio</w:t>
      </w:r>
    </w:p>
    <w:p w:rsidR="007D7140" w:rsidRDefault="007D7140">
      <w:pPr>
        <w:rPr>
          <w:i/>
          <w:lang w:val="hu-HU"/>
        </w:rPr>
      </w:pPr>
    </w:p>
    <w:p w:rsidR="007D7140" w:rsidRDefault="00A207BA">
      <w:pPr>
        <w:rPr>
          <w:lang w:val="hu-HU"/>
        </w:rPr>
      </w:pPr>
      <w:r>
        <w:rPr>
          <w:lang w:val="hu-HU"/>
        </w:rPr>
        <w:t>Az olyan beavatkozások esetén, mint a spinalis anaesthesia, a haemostasis rendszer teljes működésére szükség</w:t>
      </w:r>
      <w:r>
        <w:rPr>
          <w:spacing w:val="-2"/>
          <w:lang w:val="hu-HU"/>
        </w:rPr>
        <w:t xml:space="preserve"> </w:t>
      </w:r>
      <w:r>
        <w:rPr>
          <w:lang w:val="hu-HU"/>
        </w:rPr>
        <w:t>lehet.</w:t>
      </w:r>
    </w:p>
    <w:p w:rsidR="007D7140" w:rsidRDefault="007D7140">
      <w:pPr>
        <w:rPr>
          <w:lang w:val="hu-HU"/>
        </w:rPr>
      </w:pPr>
    </w:p>
    <w:p w:rsidR="007D7140" w:rsidRDefault="00A207BA">
      <w:pPr>
        <w:rPr>
          <w:lang w:val="hu-HU"/>
        </w:rPr>
      </w:pPr>
      <w:r>
        <w:rPr>
          <w:lang w:val="hu-HU"/>
        </w:rPr>
        <w:lastRenderedPageBreak/>
        <w:t>A spinalis vagy epidurális haematoma veszélye fokozott lehet traumás, vagy ismételt punctio, valamint epiduralis kanülök</w:t>
      </w:r>
      <w:r>
        <w:rPr>
          <w:spacing w:val="2"/>
          <w:lang w:val="hu-HU"/>
        </w:rPr>
        <w:t xml:space="preserve"> </w:t>
      </w:r>
      <w:r>
        <w:rPr>
          <w:lang w:val="hu-HU"/>
        </w:rPr>
        <w:t>tartós</w:t>
      </w:r>
      <w:r>
        <w:rPr>
          <w:spacing w:val="2"/>
          <w:lang w:val="hu-HU"/>
        </w:rPr>
        <w:t xml:space="preserve"> </w:t>
      </w:r>
      <w:r>
        <w:rPr>
          <w:lang w:val="hu-HU"/>
        </w:rPr>
        <w:t>alkalmazása</w:t>
      </w:r>
      <w:r>
        <w:rPr>
          <w:spacing w:val="2"/>
          <w:lang w:val="hu-HU"/>
        </w:rPr>
        <w:t xml:space="preserve"> </w:t>
      </w:r>
      <w:r>
        <w:rPr>
          <w:lang w:val="hu-HU"/>
        </w:rPr>
        <w:t>esetén.</w:t>
      </w:r>
      <w:r>
        <w:rPr>
          <w:spacing w:val="2"/>
          <w:lang w:val="hu-HU"/>
        </w:rPr>
        <w:t xml:space="preserve"> </w:t>
      </w:r>
      <w:r>
        <w:rPr>
          <w:lang w:val="hu-HU"/>
        </w:rPr>
        <w:t>A</w:t>
      </w:r>
      <w:r>
        <w:rPr>
          <w:spacing w:val="2"/>
          <w:lang w:val="hu-HU"/>
        </w:rPr>
        <w:t xml:space="preserve"> </w:t>
      </w:r>
      <w:r>
        <w:rPr>
          <w:lang w:val="hu-HU"/>
        </w:rPr>
        <w:t>kanül</w:t>
      </w:r>
      <w:r>
        <w:rPr>
          <w:spacing w:val="2"/>
          <w:lang w:val="hu-HU"/>
        </w:rPr>
        <w:t xml:space="preserve"> </w:t>
      </w:r>
      <w:r>
        <w:rPr>
          <w:lang w:val="hu-HU"/>
        </w:rPr>
        <w:t>eltávolítása</w:t>
      </w:r>
      <w:r>
        <w:rPr>
          <w:spacing w:val="2"/>
          <w:lang w:val="hu-HU"/>
        </w:rPr>
        <w:t xml:space="preserve"> </w:t>
      </w:r>
      <w:r>
        <w:rPr>
          <w:lang w:val="hu-HU"/>
        </w:rPr>
        <w:t>után</w:t>
      </w:r>
      <w:r>
        <w:rPr>
          <w:spacing w:val="2"/>
          <w:lang w:val="hu-HU"/>
        </w:rPr>
        <w:t xml:space="preserve"> </w:t>
      </w:r>
      <w:r>
        <w:rPr>
          <w:lang w:val="hu-HU"/>
        </w:rPr>
        <w:t>legalább</w:t>
      </w:r>
      <w:r>
        <w:rPr>
          <w:spacing w:val="2"/>
          <w:lang w:val="hu-HU"/>
        </w:rPr>
        <w:t xml:space="preserve"> </w:t>
      </w:r>
      <w:r>
        <w:rPr>
          <w:lang w:val="hu-HU"/>
        </w:rPr>
        <w:t>2 órának</w:t>
      </w:r>
      <w:r>
        <w:rPr>
          <w:spacing w:val="2"/>
          <w:lang w:val="hu-HU"/>
        </w:rPr>
        <w:t xml:space="preserve"> </w:t>
      </w:r>
      <w:r>
        <w:rPr>
          <w:lang w:val="hu-HU"/>
        </w:rPr>
        <w:t>kell</w:t>
      </w:r>
      <w:r>
        <w:rPr>
          <w:spacing w:val="2"/>
          <w:lang w:val="hu-HU"/>
        </w:rPr>
        <w:t xml:space="preserve"> </w:t>
      </w:r>
      <w:r>
        <w:rPr>
          <w:lang w:val="hu-HU"/>
        </w:rPr>
        <w:t>eltelnie</w:t>
      </w:r>
      <w:r>
        <w:rPr>
          <w:spacing w:val="1"/>
          <w:lang w:val="hu-HU"/>
        </w:rPr>
        <w:t xml:space="preserve"> </w:t>
      </w:r>
      <w:r>
        <w:rPr>
          <w:lang w:val="hu-HU"/>
        </w:rPr>
        <w:t>a dabigatrán</w:t>
      </w:r>
      <w:r>
        <w:rPr>
          <w:lang w:val="hu-HU"/>
        </w:rPr>
        <w:noBreakHyphen/>
        <w:t>etexilát első dózisának a beadásáig. Ezeknél a betegeknél gyakran kell ellenőrizni a</w:t>
      </w:r>
      <w:r>
        <w:rPr>
          <w:spacing w:val="1"/>
          <w:lang w:val="hu-HU"/>
        </w:rPr>
        <w:t xml:space="preserve"> </w:t>
      </w:r>
      <w:r>
        <w:rPr>
          <w:lang w:val="hu-HU"/>
        </w:rPr>
        <w:t>spinalis</w:t>
      </w:r>
      <w:r>
        <w:rPr>
          <w:spacing w:val="-2"/>
          <w:lang w:val="hu-HU"/>
        </w:rPr>
        <w:t xml:space="preserve"> </w:t>
      </w:r>
      <w:r>
        <w:rPr>
          <w:lang w:val="hu-HU"/>
        </w:rPr>
        <w:t>vagy</w:t>
      </w:r>
      <w:r>
        <w:rPr>
          <w:spacing w:val="-1"/>
          <w:lang w:val="hu-HU"/>
        </w:rPr>
        <w:t xml:space="preserve"> </w:t>
      </w:r>
      <w:r>
        <w:rPr>
          <w:lang w:val="hu-HU"/>
        </w:rPr>
        <w:t>epiduralis</w:t>
      </w:r>
      <w:r>
        <w:rPr>
          <w:spacing w:val="-2"/>
          <w:lang w:val="hu-HU"/>
        </w:rPr>
        <w:t xml:space="preserve"> </w:t>
      </w:r>
      <w:r>
        <w:rPr>
          <w:lang w:val="hu-HU"/>
        </w:rPr>
        <w:t>haematoma</w:t>
      </w:r>
      <w:r>
        <w:rPr>
          <w:spacing w:val="-1"/>
          <w:lang w:val="hu-HU"/>
        </w:rPr>
        <w:t xml:space="preserve"> </w:t>
      </w:r>
      <w:r>
        <w:rPr>
          <w:lang w:val="hu-HU"/>
        </w:rPr>
        <w:t>neurológiai</w:t>
      </w:r>
      <w:r>
        <w:rPr>
          <w:spacing w:val="-2"/>
          <w:lang w:val="hu-HU"/>
        </w:rPr>
        <w:t xml:space="preserve"> </w:t>
      </w:r>
      <w:r>
        <w:rPr>
          <w:lang w:val="hu-HU"/>
        </w:rPr>
        <w:t>jeleit</w:t>
      </w:r>
      <w:r>
        <w:rPr>
          <w:spacing w:val="-1"/>
          <w:lang w:val="hu-HU"/>
        </w:rPr>
        <w:t xml:space="preserve"> </w:t>
      </w:r>
      <w:r>
        <w:rPr>
          <w:lang w:val="hu-HU"/>
        </w:rPr>
        <w:t>és</w:t>
      </w:r>
      <w:r>
        <w:rPr>
          <w:spacing w:val="-2"/>
          <w:lang w:val="hu-HU"/>
        </w:rPr>
        <w:t xml:space="preserve"> </w:t>
      </w:r>
      <w:r>
        <w:rPr>
          <w:lang w:val="hu-HU"/>
        </w:rPr>
        <w:t>tüneteit.</w:t>
      </w:r>
    </w:p>
    <w:p w:rsidR="007D7140" w:rsidRDefault="007D7140">
      <w:pPr>
        <w:rPr>
          <w:lang w:val="hu-HU"/>
        </w:rPr>
      </w:pPr>
    </w:p>
    <w:p w:rsidR="007D7140" w:rsidRDefault="00A207BA">
      <w:pPr>
        <w:rPr>
          <w:i/>
          <w:lang w:val="hu-HU"/>
        </w:rPr>
      </w:pPr>
      <w:r>
        <w:rPr>
          <w:i/>
          <w:u w:val="single"/>
          <w:lang w:val="hu-HU"/>
        </w:rPr>
        <w:t>Posztopertív</w:t>
      </w:r>
      <w:r>
        <w:rPr>
          <w:i/>
          <w:spacing w:val="-6"/>
          <w:u w:val="single"/>
          <w:lang w:val="hu-HU"/>
        </w:rPr>
        <w:t xml:space="preserve"> </w:t>
      </w:r>
      <w:r>
        <w:rPr>
          <w:i/>
          <w:u w:val="single"/>
          <w:lang w:val="hu-HU"/>
        </w:rPr>
        <w:t>időszak</w:t>
      </w:r>
    </w:p>
    <w:p w:rsidR="007D7140" w:rsidRDefault="007D7140">
      <w:pPr>
        <w:rPr>
          <w:i/>
          <w:lang w:val="hu-HU"/>
        </w:rPr>
      </w:pPr>
    </w:p>
    <w:p w:rsidR="007D7140" w:rsidRDefault="00A207BA">
      <w:pPr>
        <w:rPr>
          <w:lang w:val="hu-HU"/>
        </w:rPr>
      </w:pPr>
      <w:r>
        <w:rPr>
          <w:lang w:val="hu-HU"/>
        </w:rPr>
        <w:t>Az invazív eljárást vagy sebészi beavatkozást követően a dabigatrán</w:t>
      </w:r>
      <w:r>
        <w:rPr>
          <w:lang w:val="hu-HU"/>
        </w:rPr>
        <w:noBreakHyphen/>
        <w:t>etexilát</w:t>
      </w:r>
      <w:r>
        <w:rPr>
          <w:lang w:val="hu-HU"/>
        </w:rPr>
        <w:noBreakHyphen/>
        <w:t>kezelést olyan hamar kell</w:t>
      </w:r>
      <w:r>
        <w:rPr>
          <w:spacing w:val="-5"/>
          <w:lang w:val="hu-HU"/>
        </w:rPr>
        <w:t xml:space="preserve"> </w:t>
      </w:r>
      <w:r>
        <w:rPr>
          <w:lang w:val="hu-HU"/>
        </w:rPr>
        <w:t>folytatni/újrakezdeni,</w:t>
      </w:r>
      <w:r>
        <w:rPr>
          <w:spacing w:val="-5"/>
          <w:lang w:val="hu-HU"/>
        </w:rPr>
        <w:t xml:space="preserve"> </w:t>
      </w:r>
      <w:r>
        <w:rPr>
          <w:lang w:val="hu-HU"/>
        </w:rPr>
        <w:t>amennyire</w:t>
      </w:r>
      <w:r>
        <w:rPr>
          <w:spacing w:val="-4"/>
          <w:lang w:val="hu-HU"/>
        </w:rPr>
        <w:t xml:space="preserve"> </w:t>
      </w:r>
      <w:r>
        <w:rPr>
          <w:lang w:val="hu-HU"/>
        </w:rPr>
        <w:t>a</w:t>
      </w:r>
      <w:r>
        <w:rPr>
          <w:spacing w:val="-5"/>
          <w:lang w:val="hu-HU"/>
        </w:rPr>
        <w:t xml:space="preserve"> </w:t>
      </w:r>
      <w:r>
        <w:rPr>
          <w:lang w:val="hu-HU"/>
        </w:rPr>
        <w:t>klinikai</w:t>
      </w:r>
      <w:r>
        <w:rPr>
          <w:spacing w:val="-4"/>
          <w:lang w:val="hu-HU"/>
        </w:rPr>
        <w:t xml:space="preserve"> </w:t>
      </w:r>
      <w:r>
        <w:rPr>
          <w:lang w:val="hu-HU"/>
        </w:rPr>
        <w:t>helyzet</w:t>
      </w:r>
      <w:r>
        <w:rPr>
          <w:spacing w:val="-5"/>
          <w:lang w:val="hu-HU"/>
        </w:rPr>
        <w:t xml:space="preserve"> </w:t>
      </w:r>
      <w:r>
        <w:rPr>
          <w:lang w:val="hu-HU"/>
        </w:rPr>
        <w:t>megengedi,</w:t>
      </w:r>
      <w:r>
        <w:rPr>
          <w:spacing w:val="-4"/>
          <w:lang w:val="hu-HU"/>
        </w:rPr>
        <w:t xml:space="preserve"> </w:t>
      </w:r>
      <w:r>
        <w:rPr>
          <w:lang w:val="hu-HU"/>
        </w:rPr>
        <w:t>illetve</w:t>
      </w:r>
      <w:r>
        <w:rPr>
          <w:spacing w:val="-7"/>
          <w:lang w:val="hu-HU"/>
        </w:rPr>
        <w:t xml:space="preserve"> </w:t>
      </w:r>
      <w:r>
        <w:rPr>
          <w:lang w:val="hu-HU"/>
        </w:rPr>
        <w:t>amikor</w:t>
      </w:r>
      <w:r>
        <w:rPr>
          <w:spacing w:val="-4"/>
          <w:lang w:val="hu-HU"/>
        </w:rPr>
        <w:t xml:space="preserve"> </w:t>
      </w:r>
      <w:r>
        <w:rPr>
          <w:lang w:val="hu-HU"/>
        </w:rPr>
        <w:t>a megfelelő</w:t>
      </w:r>
      <w:r>
        <w:rPr>
          <w:spacing w:val="-5"/>
          <w:lang w:val="hu-HU"/>
        </w:rPr>
        <w:t xml:space="preserve"> </w:t>
      </w:r>
      <w:r>
        <w:rPr>
          <w:lang w:val="hu-HU"/>
        </w:rPr>
        <w:t>haemostasis</w:t>
      </w:r>
      <w:r>
        <w:rPr>
          <w:spacing w:val="-4"/>
          <w:lang w:val="hu-HU"/>
        </w:rPr>
        <w:t xml:space="preserve"> </w:t>
      </w:r>
      <w:r>
        <w:rPr>
          <w:lang w:val="hu-HU"/>
        </w:rPr>
        <w:t>kialakult.</w:t>
      </w:r>
    </w:p>
    <w:p w:rsidR="007D7140" w:rsidRDefault="007D7140">
      <w:pPr>
        <w:rPr>
          <w:i/>
          <w:lang w:val="hu-HU"/>
        </w:rPr>
      </w:pPr>
    </w:p>
    <w:p w:rsidR="007D7140" w:rsidRDefault="00A207BA">
      <w:pPr>
        <w:rPr>
          <w:lang w:val="hu-HU"/>
        </w:rPr>
      </w:pPr>
      <w:bookmarkStart w:id="11" w:name="_Hlk139562036"/>
      <w:r>
        <w:rPr>
          <w:lang w:val="hu-HU"/>
        </w:rPr>
        <w:t>A vérzés veszélyének vagy a túlzott expozíció kockázatának kitett, különösen a csökkent veseműködésű</w:t>
      </w:r>
      <w:r>
        <w:rPr>
          <w:spacing w:val="-2"/>
          <w:lang w:val="hu-HU"/>
        </w:rPr>
        <w:t xml:space="preserve"> </w:t>
      </w:r>
      <w:r>
        <w:rPr>
          <w:lang w:val="hu-HU"/>
        </w:rPr>
        <w:t>betegeket</w:t>
      </w:r>
      <w:r>
        <w:rPr>
          <w:spacing w:val="-2"/>
          <w:lang w:val="hu-HU"/>
        </w:rPr>
        <w:t xml:space="preserve"> </w:t>
      </w:r>
      <w:bookmarkEnd w:id="11"/>
      <w:r>
        <w:rPr>
          <w:lang w:val="hu-HU"/>
        </w:rPr>
        <w:t>(lásd</w:t>
      </w:r>
      <w:r>
        <w:rPr>
          <w:spacing w:val="-2"/>
          <w:lang w:val="hu-HU"/>
        </w:rPr>
        <w:t xml:space="preserve"> </w:t>
      </w:r>
      <w:r>
        <w:rPr>
          <w:lang w:val="hu-HU"/>
        </w:rPr>
        <w:t>még</w:t>
      </w:r>
      <w:r>
        <w:rPr>
          <w:spacing w:val="-2"/>
          <w:lang w:val="hu-HU"/>
        </w:rPr>
        <w:t xml:space="preserve"> </w:t>
      </w:r>
      <w:r>
        <w:rPr>
          <w:lang w:val="hu-HU"/>
        </w:rPr>
        <w:t>5.</w:t>
      </w:r>
      <w:r>
        <w:rPr>
          <w:spacing w:val="-1"/>
          <w:lang w:val="hu-HU"/>
        </w:rPr>
        <w:t xml:space="preserve"> </w:t>
      </w:r>
      <w:r>
        <w:rPr>
          <w:lang w:val="hu-HU"/>
        </w:rPr>
        <w:t>táblázat)</w:t>
      </w:r>
      <w:r>
        <w:rPr>
          <w:spacing w:val="-1"/>
          <w:lang w:val="hu-HU"/>
        </w:rPr>
        <w:t xml:space="preserve"> </w:t>
      </w:r>
      <w:r>
        <w:rPr>
          <w:lang w:val="hu-HU"/>
        </w:rPr>
        <w:t>kellő körültekintéssel kell kezelni (lásd</w:t>
      </w:r>
      <w:r>
        <w:rPr>
          <w:spacing w:val="-2"/>
          <w:lang w:val="hu-HU"/>
        </w:rPr>
        <w:t xml:space="preserve"> </w:t>
      </w:r>
      <w:r>
        <w:rPr>
          <w:lang w:val="hu-HU"/>
        </w:rPr>
        <w:t>4.4</w:t>
      </w:r>
      <w:r>
        <w:rPr>
          <w:spacing w:val="-2"/>
          <w:lang w:val="hu-HU"/>
        </w:rPr>
        <w:t xml:space="preserve"> </w:t>
      </w:r>
      <w:r>
        <w:rPr>
          <w:lang w:val="hu-HU"/>
        </w:rPr>
        <w:t>és</w:t>
      </w:r>
      <w:r>
        <w:rPr>
          <w:spacing w:val="-2"/>
          <w:lang w:val="hu-HU"/>
        </w:rPr>
        <w:t xml:space="preserve"> </w:t>
      </w:r>
      <w:r>
        <w:rPr>
          <w:lang w:val="hu-HU"/>
        </w:rPr>
        <w:t>5.1</w:t>
      </w:r>
      <w:r>
        <w:rPr>
          <w:spacing w:val="-4"/>
          <w:lang w:val="hu-HU"/>
        </w:rPr>
        <w:t> pont</w:t>
      </w:r>
      <w:r>
        <w:rPr>
          <w:lang w:val="hu-HU"/>
        </w:rPr>
        <w:t>).</w:t>
      </w:r>
    </w:p>
    <w:p w:rsidR="007D7140" w:rsidRDefault="007D7140">
      <w:pPr>
        <w:rPr>
          <w:lang w:val="hu-HU"/>
        </w:rPr>
      </w:pPr>
    </w:p>
    <w:p w:rsidR="007D7140" w:rsidRDefault="00A207BA">
      <w:pPr>
        <w:rPr>
          <w:lang w:val="hu-HU"/>
        </w:rPr>
      </w:pPr>
      <w:r>
        <w:rPr>
          <w:u w:val="single"/>
          <w:lang w:val="hu-HU"/>
        </w:rPr>
        <w:t>Nagy műtéti mortalitási kockázatú és thromboemboliás eseményre hajlamosító intrinzik rizikófaktorral rendelkező betegek</w:t>
      </w:r>
    </w:p>
    <w:p w:rsidR="007D7140" w:rsidRDefault="007D7140">
      <w:pPr>
        <w:rPr>
          <w:lang w:val="hu-HU"/>
        </w:rPr>
      </w:pPr>
    </w:p>
    <w:p w:rsidR="007D7140" w:rsidRDefault="00A207BA">
      <w:pPr>
        <w:rPr>
          <w:lang w:val="hu-HU"/>
        </w:rPr>
      </w:pPr>
      <w:r>
        <w:rPr>
          <w:lang w:val="hu-HU"/>
        </w:rPr>
        <w:t>Ezen betegekre vonatkozóan a dabigatrán</w:t>
      </w:r>
      <w:r>
        <w:rPr>
          <w:lang w:val="hu-HU"/>
        </w:rPr>
        <w:noBreakHyphen/>
        <w:t>etexilát hatásosságára és biztonságosságára vonatkozó adatok</w:t>
      </w:r>
      <w:r>
        <w:rPr>
          <w:spacing w:val="-2"/>
          <w:lang w:val="hu-HU"/>
        </w:rPr>
        <w:t xml:space="preserve"> </w:t>
      </w:r>
      <w:r>
        <w:rPr>
          <w:lang w:val="hu-HU"/>
        </w:rPr>
        <w:t>korlátozottak,</w:t>
      </w:r>
      <w:r>
        <w:rPr>
          <w:spacing w:val="-1"/>
          <w:lang w:val="hu-HU"/>
        </w:rPr>
        <w:t xml:space="preserve"> </w:t>
      </w:r>
      <w:r>
        <w:rPr>
          <w:lang w:val="hu-HU"/>
        </w:rPr>
        <w:t>ezért</w:t>
      </w:r>
      <w:r>
        <w:rPr>
          <w:spacing w:val="-2"/>
          <w:lang w:val="hu-HU"/>
        </w:rPr>
        <w:t xml:space="preserve"> az ilyen betegek </w:t>
      </w:r>
      <w:r>
        <w:rPr>
          <w:lang w:val="hu-HU"/>
        </w:rPr>
        <w:t>csak</w:t>
      </w:r>
      <w:r>
        <w:rPr>
          <w:spacing w:val="-1"/>
          <w:lang w:val="hu-HU"/>
        </w:rPr>
        <w:t xml:space="preserve"> </w:t>
      </w:r>
      <w:r>
        <w:rPr>
          <w:lang w:val="hu-HU"/>
        </w:rPr>
        <w:t>kellő körültekintéssel</w:t>
      </w:r>
      <w:r>
        <w:rPr>
          <w:spacing w:val="-1"/>
          <w:lang w:val="hu-HU"/>
        </w:rPr>
        <w:t xml:space="preserve"> </w:t>
      </w:r>
      <w:r>
        <w:rPr>
          <w:lang w:val="hu-HU"/>
        </w:rPr>
        <w:t>kezelhetők.</w:t>
      </w:r>
    </w:p>
    <w:p w:rsidR="007D7140" w:rsidRDefault="007D7140">
      <w:pPr>
        <w:rPr>
          <w:lang w:val="hu-HU"/>
        </w:rPr>
      </w:pPr>
    </w:p>
    <w:p w:rsidR="007D7140" w:rsidRDefault="00A207BA">
      <w:pPr>
        <w:rPr>
          <w:lang w:val="hu-HU"/>
        </w:rPr>
      </w:pPr>
      <w:r>
        <w:rPr>
          <w:u w:val="single"/>
          <w:lang w:val="hu-HU"/>
        </w:rPr>
        <w:t>Csípőtáji</w:t>
      </w:r>
      <w:r>
        <w:rPr>
          <w:spacing w:val="-5"/>
          <w:u w:val="single"/>
          <w:lang w:val="hu-HU"/>
        </w:rPr>
        <w:t xml:space="preserve"> </w:t>
      </w:r>
      <w:r>
        <w:rPr>
          <w:u w:val="single"/>
          <w:lang w:val="hu-HU"/>
        </w:rPr>
        <w:t>törés</w:t>
      </w:r>
      <w:r>
        <w:rPr>
          <w:spacing w:val="-5"/>
          <w:u w:val="single"/>
          <w:lang w:val="hu-HU"/>
        </w:rPr>
        <w:t xml:space="preserve"> </w:t>
      </w:r>
      <w:r>
        <w:rPr>
          <w:u w:val="single"/>
          <w:lang w:val="hu-HU"/>
        </w:rPr>
        <w:t>műtéti</w:t>
      </w:r>
      <w:r>
        <w:rPr>
          <w:spacing w:val="-4"/>
          <w:u w:val="single"/>
          <w:lang w:val="hu-HU"/>
        </w:rPr>
        <w:t xml:space="preserve"> </w:t>
      </w:r>
      <w:r>
        <w:rPr>
          <w:u w:val="single"/>
          <w:lang w:val="hu-HU"/>
        </w:rPr>
        <w:t>kezelése</w:t>
      </w:r>
    </w:p>
    <w:p w:rsidR="007D7140" w:rsidRDefault="007D7140">
      <w:pPr>
        <w:rPr>
          <w:lang w:val="hu-HU"/>
        </w:rPr>
      </w:pPr>
    </w:p>
    <w:p w:rsidR="007D7140" w:rsidRDefault="00A207BA">
      <w:pPr>
        <w:rPr>
          <w:lang w:val="hu-HU"/>
        </w:rPr>
      </w:pPr>
      <w:r>
        <w:rPr>
          <w:lang w:val="hu-HU"/>
        </w:rPr>
        <w:t>Nincs adat a dabigatrán</w:t>
      </w:r>
      <w:r>
        <w:rPr>
          <w:lang w:val="hu-HU"/>
        </w:rPr>
        <w:noBreakHyphen/>
        <w:t>etexilát csípőtáji törés miatt műtétre kerülő betegeknél történő alkalmazására vonatkozóan.</w:t>
      </w:r>
      <w:r>
        <w:rPr>
          <w:spacing w:val="-2"/>
          <w:lang w:val="hu-HU"/>
        </w:rPr>
        <w:t xml:space="preserve"> </w:t>
      </w:r>
      <w:r>
        <w:rPr>
          <w:lang w:val="hu-HU"/>
        </w:rPr>
        <w:t>Ezért</w:t>
      </w:r>
      <w:r>
        <w:rPr>
          <w:spacing w:val="-1"/>
          <w:lang w:val="hu-HU"/>
        </w:rPr>
        <w:t xml:space="preserve"> </w:t>
      </w:r>
      <w:r>
        <w:rPr>
          <w:lang w:val="hu-HU"/>
        </w:rPr>
        <w:t>ez</w:t>
      </w:r>
      <w:r>
        <w:rPr>
          <w:spacing w:val="-1"/>
          <w:lang w:val="hu-HU"/>
        </w:rPr>
        <w:t xml:space="preserve"> </w:t>
      </w:r>
      <w:r>
        <w:rPr>
          <w:lang w:val="hu-HU"/>
        </w:rPr>
        <w:t>a</w:t>
      </w:r>
      <w:r>
        <w:rPr>
          <w:spacing w:val="-1"/>
          <w:lang w:val="hu-HU"/>
        </w:rPr>
        <w:t xml:space="preserve"> </w:t>
      </w:r>
      <w:r>
        <w:rPr>
          <w:lang w:val="hu-HU"/>
        </w:rPr>
        <w:t>kezelés</w:t>
      </w:r>
      <w:r>
        <w:rPr>
          <w:spacing w:val="-1"/>
          <w:lang w:val="hu-HU"/>
        </w:rPr>
        <w:t xml:space="preserve"> </w:t>
      </w:r>
      <w:r>
        <w:rPr>
          <w:lang w:val="hu-HU"/>
        </w:rPr>
        <w:t>nem</w:t>
      </w:r>
      <w:r>
        <w:rPr>
          <w:spacing w:val="-2"/>
          <w:lang w:val="hu-HU"/>
        </w:rPr>
        <w:t xml:space="preserve"> </w:t>
      </w:r>
      <w:r>
        <w:rPr>
          <w:lang w:val="hu-HU"/>
        </w:rPr>
        <w:t>javasolt.</w:t>
      </w:r>
    </w:p>
    <w:p w:rsidR="007D7140" w:rsidRDefault="007D7140">
      <w:pPr>
        <w:rPr>
          <w:lang w:val="hu-HU"/>
        </w:rPr>
      </w:pPr>
    </w:p>
    <w:p w:rsidR="007D7140" w:rsidRDefault="00A207BA">
      <w:pPr>
        <w:rPr>
          <w:lang w:val="hu-HU"/>
        </w:rPr>
      </w:pPr>
      <w:r>
        <w:rPr>
          <w:u w:val="single"/>
          <w:lang w:val="hu-HU"/>
        </w:rPr>
        <w:t>Májkárosodás</w:t>
      </w:r>
    </w:p>
    <w:p w:rsidR="007D7140" w:rsidRDefault="007D7140">
      <w:pPr>
        <w:rPr>
          <w:lang w:val="hu-HU"/>
        </w:rPr>
      </w:pPr>
    </w:p>
    <w:p w:rsidR="007D7140" w:rsidRDefault="00A207BA">
      <w:pPr>
        <w:rPr>
          <w:lang w:val="hu-HU"/>
        </w:rPr>
      </w:pPr>
      <w:r>
        <w:rPr>
          <w:lang w:val="hu-HU"/>
        </w:rPr>
        <w:t>A fő vizsgálatokból kizárták azokat a betegeket, akiknek a májenzimértékei meghaladták a normálérték felső</w:t>
      </w:r>
      <w:r>
        <w:rPr>
          <w:spacing w:val="1"/>
          <w:lang w:val="hu-HU"/>
        </w:rPr>
        <w:t xml:space="preserve"> </w:t>
      </w:r>
      <w:r>
        <w:rPr>
          <w:lang w:val="hu-HU"/>
        </w:rPr>
        <w:t>határának (ULN) kétszeresét. Ebben a beteg alcsoportban nem áll rendelkezésre klinikai vizsgálati tapasztalat, ezért a dabigatrán</w:t>
      </w:r>
      <w:r>
        <w:rPr>
          <w:lang w:val="hu-HU"/>
        </w:rPr>
        <w:noBreakHyphen/>
        <w:t>etexilát alkalmazása ebben a betegcsoportban nem javasolt.</w:t>
      </w:r>
      <w:r>
        <w:rPr>
          <w:spacing w:val="1"/>
          <w:lang w:val="hu-HU"/>
        </w:rPr>
        <w:t xml:space="preserve"> </w:t>
      </w:r>
      <w:r>
        <w:rPr>
          <w:lang w:val="hu-HU"/>
        </w:rPr>
        <w:t>Ellenjavallatot jelent bármilyen májkárosodás vagy májbetegség, aminek várhatóan valamilyen hatása lehet a</w:t>
      </w:r>
      <w:r>
        <w:rPr>
          <w:spacing w:val="1"/>
          <w:lang w:val="hu-HU"/>
        </w:rPr>
        <w:t xml:space="preserve"> </w:t>
      </w:r>
      <w:r>
        <w:rPr>
          <w:lang w:val="hu-HU"/>
        </w:rPr>
        <w:t>túlélésre</w:t>
      </w:r>
      <w:r>
        <w:rPr>
          <w:spacing w:val="-2"/>
          <w:lang w:val="hu-HU"/>
        </w:rPr>
        <w:t xml:space="preserve"> </w:t>
      </w:r>
      <w:r>
        <w:rPr>
          <w:lang w:val="hu-HU"/>
        </w:rPr>
        <w:t>(lásd</w:t>
      </w:r>
      <w:r>
        <w:rPr>
          <w:spacing w:val="-1"/>
          <w:lang w:val="hu-HU"/>
        </w:rPr>
        <w:t xml:space="preserve"> </w:t>
      </w:r>
      <w:r>
        <w:rPr>
          <w:lang w:val="hu-HU"/>
        </w:rPr>
        <w:t>4.3</w:t>
      </w:r>
      <w:r>
        <w:rPr>
          <w:spacing w:val="-1"/>
          <w:lang w:val="hu-HU"/>
        </w:rPr>
        <w:t> pont</w:t>
      </w:r>
      <w:r>
        <w:rPr>
          <w:lang w:val="hu-HU"/>
        </w:rPr>
        <w:t>).</w:t>
      </w:r>
    </w:p>
    <w:p w:rsidR="007D7140" w:rsidRDefault="007D7140">
      <w:pPr>
        <w:rPr>
          <w:lang w:val="hu-HU"/>
        </w:rPr>
      </w:pPr>
    </w:p>
    <w:p w:rsidR="007D7140" w:rsidRDefault="00A207BA">
      <w:pPr>
        <w:rPr>
          <w:lang w:val="hu-HU"/>
        </w:rPr>
      </w:pPr>
      <w:r>
        <w:rPr>
          <w:u w:val="single"/>
          <w:lang w:val="hu-HU"/>
        </w:rPr>
        <w:t>Interakció</w:t>
      </w:r>
      <w:r>
        <w:rPr>
          <w:spacing w:val="-4"/>
          <w:u w:val="single"/>
          <w:lang w:val="hu-HU"/>
        </w:rPr>
        <w:t xml:space="preserve"> </w:t>
      </w:r>
      <w:r>
        <w:rPr>
          <w:u w:val="single"/>
          <w:lang w:val="hu-HU"/>
        </w:rPr>
        <w:t>P</w:t>
      </w:r>
      <w:r>
        <w:rPr>
          <w:u w:val="single"/>
          <w:lang w:val="hu-HU"/>
        </w:rPr>
        <w:noBreakHyphen/>
        <w:t>gp</w:t>
      </w:r>
      <w:r>
        <w:rPr>
          <w:u w:val="single"/>
          <w:lang w:val="hu-HU"/>
        </w:rPr>
        <w:noBreakHyphen/>
        <w:t>induktorokkal</w:t>
      </w:r>
    </w:p>
    <w:p w:rsidR="007D7140" w:rsidRDefault="007D7140">
      <w:pPr>
        <w:rPr>
          <w:lang w:val="hu-HU"/>
        </w:rPr>
      </w:pPr>
    </w:p>
    <w:p w:rsidR="007D7140" w:rsidRDefault="00A207BA">
      <w:pPr>
        <w:rPr>
          <w:lang w:val="hu-HU"/>
        </w:rPr>
      </w:pPr>
      <w:r>
        <w:rPr>
          <w:lang w:val="hu-HU"/>
        </w:rPr>
        <w:t>A P</w:t>
      </w:r>
      <w:r>
        <w:rPr>
          <w:lang w:val="hu-HU"/>
        </w:rPr>
        <w:noBreakHyphen/>
        <w:t>gp</w:t>
      </w:r>
      <w:r>
        <w:rPr>
          <w:lang w:val="hu-HU"/>
        </w:rPr>
        <w:noBreakHyphen/>
        <w:t>induktorok egyidejű adása várhatóan csökkenti a dabigatrán plazmakoncentrációit, ezért együttadásuk</w:t>
      </w:r>
      <w:r>
        <w:rPr>
          <w:spacing w:val="-2"/>
          <w:lang w:val="hu-HU"/>
        </w:rPr>
        <w:t xml:space="preserve"> </w:t>
      </w:r>
      <w:r>
        <w:rPr>
          <w:lang w:val="hu-HU"/>
        </w:rPr>
        <w:t>kerülendő</w:t>
      </w:r>
      <w:r>
        <w:rPr>
          <w:spacing w:val="-1"/>
          <w:lang w:val="hu-HU"/>
        </w:rPr>
        <w:t xml:space="preserve"> </w:t>
      </w:r>
      <w:r>
        <w:rPr>
          <w:lang w:val="hu-HU"/>
        </w:rPr>
        <w:t>(lásd</w:t>
      </w:r>
      <w:r>
        <w:rPr>
          <w:spacing w:val="-2"/>
          <w:lang w:val="hu-HU"/>
        </w:rPr>
        <w:t xml:space="preserve"> </w:t>
      </w:r>
      <w:r>
        <w:rPr>
          <w:lang w:val="hu-HU"/>
        </w:rPr>
        <w:t>4.5</w:t>
      </w:r>
      <w:r>
        <w:rPr>
          <w:spacing w:val="-1"/>
          <w:lang w:val="hu-HU"/>
        </w:rPr>
        <w:t xml:space="preserve"> </w:t>
      </w:r>
      <w:r>
        <w:rPr>
          <w:lang w:val="hu-HU"/>
        </w:rPr>
        <w:t>és</w:t>
      </w:r>
      <w:r>
        <w:rPr>
          <w:spacing w:val="-1"/>
          <w:lang w:val="hu-HU"/>
        </w:rPr>
        <w:t xml:space="preserve"> </w:t>
      </w:r>
      <w:r>
        <w:rPr>
          <w:lang w:val="hu-HU"/>
        </w:rPr>
        <w:t>5.2</w:t>
      </w:r>
      <w:r>
        <w:rPr>
          <w:spacing w:val="-4"/>
          <w:lang w:val="hu-HU"/>
        </w:rPr>
        <w:t> pont</w:t>
      </w:r>
      <w:r>
        <w:rPr>
          <w:lang w:val="hu-HU"/>
        </w:rPr>
        <w:t>).</w:t>
      </w:r>
    </w:p>
    <w:p w:rsidR="007D7140" w:rsidRDefault="007D7140">
      <w:pPr>
        <w:rPr>
          <w:lang w:val="hu-HU"/>
        </w:rPr>
      </w:pPr>
    </w:p>
    <w:p w:rsidR="007D7140" w:rsidRDefault="00A207BA">
      <w:pPr>
        <w:rPr>
          <w:lang w:val="hu-HU"/>
        </w:rPr>
      </w:pPr>
      <w:r>
        <w:rPr>
          <w:u w:val="single"/>
          <w:lang w:val="hu-HU"/>
        </w:rPr>
        <w:t>Antifoszfolipid</w:t>
      </w:r>
      <w:r>
        <w:rPr>
          <w:spacing w:val="-7"/>
          <w:u w:val="single"/>
          <w:lang w:val="hu-HU"/>
        </w:rPr>
        <w:t xml:space="preserve"> </w:t>
      </w:r>
      <w:r>
        <w:rPr>
          <w:u w:val="single"/>
          <w:lang w:val="hu-HU"/>
        </w:rPr>
        <w:t>szindrómában</w:t>
      </w:r>
      <w:r>
        <w:rPr>
          <w:spacing w:val="-7"/>
          <w:u w:val="single"/>
          <w:lang w:val="hu-HU"/>
        </w:rPr>
        <w:t xml:space="preserve"> </w:t>
      </w:r>
      <w:r>
        <w:rPr>
          <w:u w:val="single"/>
          <w:lang w:val="hu-HU"/>
        </w:rPr>
        <w:t>szenvedő</w:t>
      </w:r>
      <w:r>
        <w:rPr>
          <w:spacing w:val="-7"/>
          <w:u w:val="single"/>
          <w:lang w:val="hu-HU"/>
        </w:rPr>
        <w:t xml:space="preserve"> </w:t>
      </w:r>
      <w:r>
        <w:rPr>
          <w:u w:val="single"/>
          <w:lang w:val="hu-HU"/>
        </w:rPr>
        <w:t>betegek</w:t>
      </w:r>
    </w:p>
    <w:p w:rsidR="007D7140" w:rsidRDefault="007D7140">
      <w:pPr>
        <w:rPr>
          <w:lang w:val="hu-HU"/>
        </w:rPr>
      </w:pPr>
    </w:p>
    <w:p w:rsidR="007D7140" w:rsidRDefault="00A207BA">
      <w:pPr>
        <w:rPr>
          <w:lang w:val="hu-HU"/>
        </w:rPr>
      </w:pPr>
      <w:r>
        <w:rPr>
          <w:lang w:val="hu-HU"/>
        </w:rPr>
        <w:t>A direkt orális antikoagulánsok (</w:t>
      </w:r>
      <w:r>
        <w:t>direct oral anticoagulants</w:t>
      </w:r>
      <w:r>
        <w:rPr>
          <w:lang w:val="hu-HU"/>
        </w:rPr>
        <w:t>, DOAC), köztük a dabigatrán</w:t>
      </w:r>
      <w:r>
        <w:rPr>
          <w:lang w:val="hu-HU"/>
        </w:rPr>
        <w:noBreakHyphen/>
        <w:t>etexilát, nem javasoltak olyan, korábban thrombosison</w:t>
      </w:r>
      <w:r>
        <w:rPr>
          <w:spacing w:val="-4"/>
          <w:lang w:val="hu-HU"/>
        </w:rPr>
        <w:t xml:space="preserve"> </w:t>
      </w:r>
      <w:r>
        <w:rPr>
          <w:lang w:val="hu-HU"/>
        </w:rPr>
        <w:t>átesett</w:t>
      </w:r>
      <w:r>
        <w:rPr>
          <w:spacing w:val="-4"/>
          <w:lang w:val="hu-HU"/>
        </w:rPr>
        <w:t xml:space="preserve"> </w:t>
      </w:r>
      <w:r>
        <w:rPr>
          <w:lang w:val="hu-HU"/>
        </w:rPr>
        <w:t>betegeknél,</w:t>
      </w:r>
      <w:r>
        <w:rPr>
          <w:spacing w:val="-4"/>
          <w:lang w:val="hu-HU"/>
        </w:rPr>
        <w:t xml:space="preserve"> </w:t>
      </w:r>
      <w:r>
        <w:rPr>
          <w:lang w:val="hu-HU"/>
        </w:rPr>
        <w:t>akiknél</w:t>
      </w:r>
      <w:r>
        <w:rPr>
          <w:spacing w:val="-4"/>
          <w:lang w:val="hu-HU"/>
        </w:rPr>
        <w:t xml:space="preserve"> </w:t>
      </w:r>
      <w:r>
        <w:rPr>
          <w:lang w:val="hu-HU"/>
        </w:rPr>
        <w:t>antifoszfolipid</w:t>
      </w:r>
      <w:r>
        <w:rPr>
          <w:spacing w:val="-4"/>
          <w:lang w:val="hu-HU"/>
        </w:rPr>
        <w:t xml:space="preserve"> </w:t>
      </w:r>
      <w:r>
        <w:rPr>
          <w:lang w:val="hu-HU"/>
        </w:rPr>
        <w:t>szindrómát</w:t>
      </w:r>
      <w:r>
        <w:rPr>
          <w:spacing w:val="-4"/>
          <w:lang w:val="hu-HU"/>
        </w:rPr>
        <w:t xml:space="preserve"> </w:t>
      </w:r>
      <w:r>
        <w:rPr>
          <w:lang w:val="hu-HU"/>
        </w:rPr>
        <w:t>diagnosztizáltak. Különösen</w:t>
      </w:r>
      <w:r>
        <w:rPr>
          <w:spacing w:val="-6"/>
          <w:lang w:val="hu-HU"/>
        </w:rPr>
        <w:t xml:space="preserve"> </w:t>
      </w:r>
      <w:r>
        <w:rPr>
          <w:lang w:val="hu-HU"/>
        </w:rPr>
        <w:t>azon</w:t>
      </w:r>
      <w:r>
        <w:rPr>
          <w:spacing w:val="-6"/>
          <w:lang w:val="hu-HU"/>
        </w:rPr>
        <w:t xml:space="preserve"> </w:t>
      </w:r>
      <w:r>
        <w:rPr>
          <w:lang w:val="hu-HU"/>
        </w:rPr>
        <w:t>betegeknél,</w:t>
      </w:r>
      <w:r>
        <w:rPr>
          <w:spacing w:val="-6"/>
          <w:lang w:val="hu-HU"/>
        </w:rPr>
        <w:t xml:space="preserve"> </w:t>
      </w:r>
      <w:r>
        <w:rPr>
          <w:lang w:val="hu-HU"/>
        </w:rPr>
        <w:t>akik</w:t>
      </w:r>
      <w:r>
        <w:rPr>
          <w:spacing w:val="-6"/>
          <w:lang w:val="hu-HU"/>
        </w:rPr>
        <w:t xml:space="preserve"> </w:t>
      </w:r>
      <w:r>
        <w:rPr>
          <w:lang w:val="hu-HU"/>
        </w:rPr>
        <w:t>mindhárom</w:t>
      </w:r>
      <w:r>
        <w:rPr>
          <w:spacing w:val="-6"/>
          <w:lang w:val="hu-HU"/>
        </w:rPr>
        <w:t xml:space="preserve"> </w:t>
      </w:r>
      <w:r>
        <w:rPr>
          <w:lang w:val="hu-HU"/>
        </w:rPr>
        <w:t>antifoszfolipid</w:t>
      </w:r>
      <w:r>
        <w:rPr>
          <w:spacing w:val="-6"/>
          <w:lang w:val="hu-HU"/>
        </w:rPr>
        <w:t xml:space="preserve"> </w:t>
      </w:r>
      <w:r>
        <w:rPr>
          <w:lang w:val="hu-HU"/>
        </w:rPr>
        <w:t>vizsgálatra</w:t>
      </w:r>
      <w:r>
        <w:rPr>
          <w:spacing w:val="-6"/>
          <w:lang w:val="hu-HU"/>
        </w:rPr>
        <w:t xml:space="preserve"> </w:t>
      </w:r>
      <w:r>
        <w:rPr>
          <w:lang w:val="hu-HU"/>
        </w:rPr>
        <w:t>pozitívnak</w:t>
      </w:r>
      <w:r>
        <w:rPr>
          <w:spacing w:val="-6"/>
          <w:lang w:val="hu-HU"/>
        </w:rPr>
        <w:t xml:space="preserve"> </w:t>
      </w:r>
      <w:r>
        <w:rPr>
          <w:lang w:val="hu-HU"/>
        </w:rPr>
        <w:t>bizonyultak (lupusz antikoaguláns, antikardiolipin antitestek és anti</w:t>
      </w:r>
      <w:r>
        <w:rPr>
          <w:lang w:val="hu-HU"/>
        </w:rPr>
        <w:noBreakHyphen/>
        <w:t>béta</w:t>
      </w:r>
      <w:r>
        <w:rPr>
          <w:lang w:val="hu-HU"/>
        </w:rPr>
        <w:noBreakHyphen/>
        <w:t>2</w:t>
      </w:r>
      <w:r>
        <w:rPr>
          <w:lang w:val="hu-HU"/>
        </w:rPr>
        <w:noBreakHyphen/>
        <w:t>glikoprotein</w:t>
      </w:r>
      <w:r>
        <w:rPr>
          <w:lang w:val="hu-HU"/>
        </w:rPr>
        <w:noBreakHyphen/>
        <w:t>I antitestek) a DOAC</w:t>
      </w:r>
      <w:r>
        <w:rPr>
          <w:lang w:val="hu-HU"/>
        </w:rPr>
        <w:noBreakHyphen/>
        <w:t xml:space="preserve"> terápia az ismételt thrombotikus események magasabb gyakoriságával társulhat, összehasonlítva a</w:t>
      </w:r>
      <w:r>
        <w:rPr>
          <w:spacing w:val="1"/>
          <w:lang w:val="hu-HU"/>
        </w:rPr>
        <w:t xml:space="preserve"> </w:t>
      </w:r>
      <w:r>
        <w:rPr>
          <w:lang w:val="hu-HU"/>
        </w:rPr>
        <w:t>K</w:t>
      </w:r>
      <w:r>
        <w:rPr>
          <w:lang w:val="hu-HU"/>
        </w:rPr>
        <w:noBreakHyphen/>
        <w:t>vitamin</w:t>
      </w:r>
      <w:r>
        <w:rPr>
          <w:lang w:val="hu-HU"/>
        </w:rPr>
        <w:noBreakHyphen/>
        <w:t>antagonista</w:t>
      </w:r>
      <w:r>
        <w:rPr>
          <w:lang w:val="hu-HU"/>
        </w:rPr>
        <w:noBreakHyphen/>
        <w:t>kezeléssel.</w:t>
      </w:r>
    </w:p>
    <w:p w:rsidR="007D7140" w:rsidRDefault="007D7140">
      <w:pPr>
        <w:rPr>
          <w:lang w:val="hu-HU"/>
        </w:rPr>
      </w:pPr>
    </w:p>
    <w:p w:rsidR="007D7140" w:rsidRDefault="00A207BA">
      <w:pPr>
        <w:pStyle w:val="Cmsor2"/>
        <w:ind w:left="5" w:hanging="11"/>
        <w:rPr>
          <w:b w:val="0"/>
          <w:bCs w:val="0"/>
          <w:u w:val="single"/>
          <w:lang w:val="hu-HU"/>
        </w:rPr>
      </w:pPr>
      <w:r>
        <w:rPr>
          <w:b w:val="0"/>
          <w:bCs w:val="0"/>
          <w:u w:val="single"/>
          <w:lang w:val="hu-HU"/>
        </w:rPr>
        <w:t>Myocardialis infarctus (MI)</w:t>
      </w:r>
    </w:p>
    <w:p w:rsidR="007D7140" w:rsidRDefault="007D7140">
      <w:pPr>
        <w:ind w:left="7" w:right="9"/>
        <w:rPr>
          <w:lang w:val="hu-HU"/>
        </w:rPr>
      </w:pPr>
    </w:p>
    <w:p w:rsidR="007D7140" w:rsidRDefault="00A207BA">
      <w:pPr>
        <w:ind w:left="7" w:right="9"/>
        <w:rPr>
          <w:lang w:val="hu-HU"/>
        </w:rPr>
      </w:pPr>
      <w:r>
        <w:rPr>
          <w:lang w:val="hu-HU"/>
        </w:rPr>
        <w:t>A III. fázisú RE</w:t>
      </w:r>
      <w:r>
        <w:rPr>
          <w:lang w:val="hu-HU"/>
        </w:rPr>
        <w:noBreakHyphen/>
        <w:t>LY vizsgálatban (SPAF, lásd 5.1 pont) a myocardialis infarctus éves abszolút aránya 0,82% volt a napi kétszer 110 mg dabigatrán</w:t>
      </w:r>
      <w:r>
        <w:rPr>
          <w:lang w:val="hu-HU"/>
        </w:rPr>
        <w:noBreakHyphen/>
        <w:t>etexilátot, 0,81% a napi kétszer 150 mg dabigatrán</w:t>
      </w:r>
      <w:r>
        <w:rPr>
          <w:lang w:val="hu-HU"/>
        </w:rPr>
        <w:noBreakHyphen/>
        <w:t>etexilátot és 0,64% a warfarint kapó betegeknél, ami a dabigatrán esetében sorrendben 29, illetve 27%</w:t>
      </w:r>
      <w:r>
        <w:rPr>
          <w:lang w:val="hu-HU"/>
        </w:rPr>
        <w:noBreakHyphen/>
        <w:t>os relatív kockázatnövekedést jelent a warfarinhoz képest. A kezeléstől függetlenül a myocardialis infarctus legmagasabb abszolút kockázatát találták a következő alcsoportokban, hasonló relatív kockázattal: korábban myocardialis infarctuson átesett betegek; 65 év feletti, diabeteses vagy koszorúér betegségben szenvedő betegek; 40%</w:t>
      </w:r>
      <w:r>
        <w:rPr>
          <w:lang w:val="hu-HU"/>
        </w:rPr>
        <w:noBreakHyphen/>
        <w:t xml:space="preserve">nál alacsonyabb bal kamrai ejekciós frakciójú betegek; </w:t>
      </w:r>
      <w:r>
        <w:rPr>
          <w:lang w:val="hu-HU"/>
        </w:rPr>
        <w:lastRenderedPageBreak/>
        <w:t>és közepesen súlyos veseműködési zavarban szenvedő betegek. Továbbá a myocardialis infarctus nagyobb kockázatát találtak az egyidejűleg ASA</w:t>
      </w:r>
      <w:r>
        <w:rPr>
          <w:lang w:val="hu-HU"/>
        </w:rPr>
        <w:noBreakHyphen/>
        <w:t>t és klopidogrelt vagy klopidogrelt önmagában szedő betegeknél.</w:t>
      </w:r>
    </w:p>
    <w:p w:rsidR="007D7140" w:rsidRDefault="007D7140">
      <w:pPr>
        <w:ind w:left="7" w:right="9"/>
        <w:rPr>
          <w:lang w:val="hu-HU"/>
        </w:rPr>
      </w:pPr>
    </w:p>
    <w:p w:rsidR="007D7140" w:rsidRDefault="00A207BA">
      <w:pPr>
        <w:ind w:left="7" w:right="9"/>
        <w:rPr>
          <w:lang w:val="hu-HU"/>
        </w:rPr>
      </w:pPr>
      <w:r>
        <w:rPr>
          <w:lang w:val="hu-HU"/>
        </w:rPr>
        <w:t>A három aktív kontrollos, MVT/PE III. fázisú vizsgálatban nagyobb gyakorisággal észlelték myocardialis infarctus jelentkezését azoknál a betegeknél, akik dabigatrán</w:t>
      </w:r>
      <w:r>
        <w:rPr>
          <w:lang w:val="hu-HU"/>
        </w:rPr>
        <w:noBreakHyphen/>
        <w:t>etexilátot kaptak, mint azoknál, akiket warfarinnal kezeltek: 0,4% vs. 0,2% a rövid távú RE</w:t>
      </w:r>
      <w:r>
        <w:rPr>
          <w:lang w:val="hu-HU"/>
        </w:rPr>
        <w:noBreakHyphen/>
        <w:t>COVER és RE</w:t>
      </w:r>
      <w:r>
        <w:rPr>
          <w:lang w:val="hu-HU"/>
        </w:rPr>
        <w:noBreakHyphen/>
        <w:t>COVER II vizsgálatokban; és 0,8% vs. 0,1% a hosszú távú RE</w:t>
      </w:r>
      <w:r>
        <w:rPr>
          <w:lang w:val="hu-HU"/>
        </w:rPr>
        <w:noBreakHyphen/>
        <w:t>MEDY vizsgálatban. A növekedés ebben a vizsgálatban statisztikailag szignifikáns volt (p = 0,022).</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SONATE vizsgálatban, amelyben a dabigatrán</w:t>
      </w:r>
      <w:r>
        <w:rPr>
          <w:lang w:val="hu-HU"/>
        </w:rPr>
        <w:noBreakHyphen/>
        <w:t>etexilátot placebóval hasonlították össze, a myocardialis infarctus gyakorisága 0,1% volt a dabigatrán</w:t>
      </w:r>
      <w:r>
        <w:rPr>
          <w:lang w:val="hu-HU"/>
        </w:rPr>
        <w:noBreakHyphen/>
        <w:t>etexilátot kapó, és 0,2% a placebót kapó betegeknél.</w:t>
      </w:r>
    </w:p>
    <w:p w:rsidR="007D7140" w:rsidRDefault="007D7140">
      <w:pPr>
        <w:rPr>
          <w:lang w:val="hu-HU"/>
        </w:rPr>
      </w:pPr>
    </w:p>
    <w:p w:rsidR="007D7140" w:rsidRDefault="00A207BA">
      <w:pPr>
        <w:pStyle w:val="Cmsor2"/>
        <w:ind w:left="5" w:hanging="11"/>
        <w:rPr>
          <w:b w:val="0"/>
          <w:bCs w:val="0"/>
          <w:u w:val="single"/>
          <w:lang w:val="hu-HU"/>
        </w:rPr>
      </w:pPr>
      <w:r>
        <w:rPr>
          <w:b w:val="0"/>
          <w:bCs w:val="0"/>
          <w:u w:val="single"/>
          <w:lang w:val="hu-HU"/>
        </w:rPr>
        <w:t>Aktív daganatos betegségben szenvedők (MVT/PE, VTE gyermekeknél és serdülőknél)</w:t>
      </w:r>
    </w:p>
    <w:p w:rsidR="007D7140" w:rsidRDefault="007D7140">
      <w:pPr>
        <w:ind w:left="5" w:right="9" w:hanging="11"/>
        <w:rPr>
          <w:lang w:val="hu-HU"/>
        </w:rPr>
      </w:pPr>
    </w:p>
    <w:p w:rsidR="007D7140" w:rsidRDefault="00A207BA">
      <w:pPr>
        <w:ind w:left="5" w:right="9" w:hanging="11"/>
        <w:rPr>
          <w:lang w:val="hu-HU"/>
        </w:rPr>
      </w:pPr>
      <w:r>
        <w:rPr>
          <w:lang w:val="hu-HU"/>
        </w:rPr>
        <w:t>A hatásosságot és biztonságosságot aktív daganatos betegségben szenvedő betegek MVT/PE kezelésére nem igazolták. Aktív daganatos betegségben szenvedő gyermekeknél és serdülőknél korlátozottan állnak rendelkezésre adatok a hatásosságra és biztonságosságra vonatkozóan.</w:t>
      </w:r>
    </w:p>
    <w:p w:rsidR="007D7140" w:rsidRDefault="007D7140">
      <w:pPr>
        <w:rPr>
          <w:lang w:val="hu-HU"/>
        </w:rPr>
      </w:pPr>
    </w:p>
    <w:p w:rsidR="007D7140" w:rsidRDefault="00A207BA">
      <w:pPr>
        <w:rPr>
          <w:lang w:val="hu-HU"/>
        </w:rPr>
      </w:pPr>
      <w:r>
        <w:rPr>
          <w:u w:val="single"/>
          <w:lang w:val="hu-HU"/>
        </w:rPr>
        <w:t>Gyermekek</w:t>
      </w:r>
      <w:r>
        <w:rPr>
          <w:spacing w:val="-4"/>
          <w:u w:val="single"/>
          <w:lang w:val="hu-HU"/>
        </w:rPr>
        <w:t xml:space="preserve"> </w:t>
      </w:r>
      <w:r>
        <w:rPr>
          <w:u w:val="single"/>
          <w:lang w:val="hu-HU"/>
        </w:rPr>
        <w:t>és</w:t>
      </w:r>
      <w:r>
        <w:rPr>
          <w:spacing w:val="-4"/>
          <w:u w:val="single"/>
          <w:lang w:val="hu-HU"/>
        </w:rPr>
        <w:t xml:space="preserve"> </w:t>
      </w:r>
      <w:r>
        <w:rPr>
          <w:u w:val="single"/>
          <w:lang w:val="hu-HU"/>
        </w:rPr>
        <w:t>serdülők</w:t>
      </w:r>
    </w:p>
    <w:p w:rsidR="007D7140" w:rsidRDefault="00A207BA">
      <w:pPr>
        <w:rPr>
          <w:lang w:val="hu-HU"/>
        </w:rPr>
      </w:pPr>
      <w:r>
        <w:rPr>
          <w:lang w:val="hu-HU"/>
        </w:rPr>
        <w:t>Néhány nagyon specifikus gyermekgyógyászati beteg esetében – pl. vékonybélbetegségben szenvedő betegeknél, akiknél a betegség a felszívódást érintheti – meg kell fontolni egy parenterálisan</w:t>
      </w:r>
      <w:r>
        <w:rPr>
          <w:spacing w:val="1"/>
          <w:lang w:val="hu-HU"/>
        </w:rPr>
        <w:t xml:space="preserve"> </w:t>
      </w:r>
      <w:r>
        <w:rPr>
          <w:lang w:val="hu-HU"/>
        </w:rPr>
        <w:t>alkalmazott</w:t>
      </w:r>
      <w:r>
        <w:rPr>
          <w:spacing w:val="-2"/>
          <w:lang w:val="hu-HU"/>
        </w:rPr>
        <w:t xml:space="preserve"> </w:t>
      </w:r>
      <w:r>
        <w:rPr>
          <w:lang w:val="hu-HU"/>
        </w:rPr>
        <w:t>antikoaguláns</w:t>
      </w:r>
      <w:r>
        <w:rPr>
          <w:spacing w:val="-1"/>
          <w:lang w:val="hu-HU"/>
        </w:rPr>
        <w:t xml:space="preserve"> </w:t>
      </w:r>
      <w:r>
        <w:rPr>
          <w:lang w:val="hu-HU"/>
        </w:rPr>
        <w:t>készítmény</w:t>
      </w:r>
      <w:r>
        <w:rPr>
          <w:spacing w:val="-2"/>
          <w:lang w:val="hu-HU"/>
        </w:rPr>
        <w:t xml:space="preserve"> </w:t>
      </w:r>
      <w:r>
        <w:rPr>
          <w:lang w:val="hu-HU"/>
        </w:rPr>
        <w:t>használatát.</w:t>
      </w:r>
    </w:p>
    <w:p w:rsidR="007D7140" w:rsidRDefault="007D7140">
      <w:pPr>
        <w:rPr>
          <w:lang w:val="hu-HU"/>
        </w:rPr>
      </w:pPr>
    </w:p>
    <w:p w:rsidR="007D7140" w:rsidRDefault="00A207BA">
      <w:pPr>
        <w:rPr>
          <w:u w:val="single"/>
          <w:lang w:val="hu-HU"/>
        </w:rPr>
      </w:pPr>
      <w:r>
        <w:rPr>
          <w:u w:val="single"/>
          <w:lang w:val="hu-HU"/>
        </w:rPr>
        <w:t>Információk egyéb összetevőkről</w:t>
      </w:r>
    </w:p>
    <w:p w:rsidR="007D7140" w:rsidRDefault="00A207BA">
      <w:pPr>
        <w:tabs>
          <w:tab w:val="left" w:pos="142"/>
        </w:tabs>
        <w:outlineLvl w:val="0"/>
        <w:rPr>
          <w:lang w:val="hu-HU"/>
        </w:rPr>
      </w:pPr>
      <w:r>
        <w:rPr>
          <w:lang w:val="hu-HU"/>
        </w:rPr>
        <w:t>Ez a gyógyszer kevesebb mint 1 mmol (23 mg) nátriumot tartalmaz kemény kapszulánként, azaz gyakorlatilag „nátriummentes”.</w:t>
      </w:r>
    </w:p>
    <w:p w:rsidR="007D7140" w:rsidRDefault="007D7140">
      <w:pPr>
        <w:rPr>
          <w:lang w:val="hu-HU"/>
        </w:rPr>
      </w:pPr>
    </w:p>
    <w:p w:rsidR="007D7140" w:rsidRDefault="00A207BA">
      <w:pPr>
        <w:tabs>
          <w:tab w:val="left" w:pos="567"/>
        </w:tabs>
        <w:rPr>
          <w:b/>
          <w:bCs/>
          <w:lang w:val="hu-HU"/>
        </w:rPr>
      </w:pPr>
      <w:r>
        <w:rPr>
          <w:b/>
          <w:bCs/>
          <w:lang w:val="hu-HU"/>
        </w:rPr>
        <w:t xml:space="preserve">4.5 </w:t>
      </w:r>
      <w:r>
        <w:rPr>
          <w:b/>
          <w:bCs/>
          <w:lang w:val="hu-HU"/>
        </w:rPr>
        <w:tab/>
        <w:t>Gyógyszerkölcsönhatások</w:t>
      </w:r>
      <w:r>
        <w:rPr>
          <w:b/>
          <w:bCs/>
          <w:spacing w:val="-7"/>
          <w:lang w:val="hu-HU"/>
        </w:rPr>
        <w:t xml:space="preserve"> </w:t>
      </w:r>
      <w:r>
        <w:rPr>
          <w:b/>
          <w:bCs/>
          <w:lang w:val="hu-HU"/>
        </w:rPr>
        <w:t>és</w:t>
      </w:r>
      <w:r>
        <w:rPr>
          <w:b/>
          <w:bCs/>
          <w:spacing w:val="-6"/>
          <w:lang w:val="hu-HU"/>
        </w:rPr>
        <w:t xml:space="preserve"> </w:t>
      </w:r>
      <w:r>
        <w:rPr>
          <w:b/>
          <w:bCs/>
          <w:lang w:val="hu-HU"/>
        </w:rPr>
        <w:t>egyéb</w:t>
      </w:r>
      <w:r>
        <w:rPr>
          <w:b/>
          <w:bCs/>
          <w:spacing w:val="-6"/>
          <w:lang w:val="hu-HU"/>
        </w:rPr>
        <w:t xml:space="preserve"> </w:t>
      </w:r>
      <w:r>
        <w:rPr>
          <w:b/>
          <w:bCs/>
          <w:lang w:val="hu-HU"/>
        </w:rPr>
        <w:t>interakciók</w:t>
      </w:r>
    </w:p>
    <w:p w:rsidR="007D7140" w:rsidRDefault="007D7140">
      <w:pPr>
        <w:rPr>
          <w:lang w:val="hu-HU"/>
        </w:rPr>
      </w:pPr>
    </w:p>
    <w:p w:rsidR="007D7140" w:rsidRDefault="00A207BA">
      <w:pPr>
        <w:rPr>
          <w:lang w:val="hu-HU"/>
        </w:rPr>
      </w:pPr>
      <w:r>
        <w:rPr>
          <w:u w:val="single"/>
          <w:lang w:val="hu-HU"/>
        </w:rPr>
        <w:t>Transzporter</w:t>
      </w:r>
      <w:r>
        <w:rPr>
          <w:spacing w:val="-8"/>
          <w:u w:val="single"/>
          <w:lang w:val="hu-HU"/>
        </w:rPr>
        <w:t xml:space="preserve"> </w:t>
      </w:r>
      <w:r>
        <w:rPr>
          <w:u w:val="single"/>
          <w:lang w:val="hu-HU"/>
        </w:rPr>
        <w:t>interakciók</w:t>
      </w:r>
    </w:p>
    <w:p w:rsidR="007D7140" w:rsidRDefault="007D7140">
      <w:pPr>
        <w:rPr>
          <w:lang w:val="hu-HU"/>
        </w:rPr>
      </w:pPr>
    </w:p>
    <w:p w:rsidR="007D7140" w:rsidRDefault="00A207BA">
      <w:pPr>
        <w:rPr>
          <w:lang w:val="hu-HU"/>
        </w:rPr>
      </w:pPr>
      <w:r>
        <w:rPr>
          <w:lang w:val="hu-HU"/>
        </w:rPr>
        <w:t>A dabigatrán</w:t>
      </w:r>
      <w:r>
        <w:rPr>
          <w:lang w:val="hu-HU"/>
        </w:rPr>
        <w:noBreakHyphen/>
        <w:t>etexilát az efflux transzporter P</w:t>
      </w:r>
      <w:r>
        <w:rPr>
          <w:lang w:val="hu-HU"/>
        </w:rPr>
        <w:noBreakHyphen/>
        <w:t>gp szubsztrátja. A P</w:t>
      </w:r>
      <w:r>
        <w:rPr>
          <w:lang w:val="hu-HU"/>
        </w:rPr>
        <w:noBreakHyphen/>
        <w:t>gp</w:t>
      </w:r>
      <w:r>
        <w:rPr>
          <w:lang w:val="hu-HU"/>
        </w:rPr>
        <w:noBreakHyphen/>
        <w:t>inhibitorok egyidejű</w:t>
      </w:r>
      <w:r>
        <w:rPr>
          <w:spacing w:val="-3"/>
          <w:lang w:val="hu-HU"/>
        </w:rPr>
        <w:t xml:space="preserve"> </w:t>
      </w:r>
      <w:r>
        <w:rPr>
          <w:lang w:val="hu-HU"/>
        </w:rPr>
        <w:t>alkalmazása (lásd 9. táblázat) várhatóan emelkedett</w:t>
      </w:r>
      <w:r>
        <w:rPr>
          <w:spacing w:val="-2"/>
          <w:lang w:val="hu-HU"/>
        </w:rPr>
        <w:t xml:space="preserve"> </w:t>
      </w:r>
      <w:r>
        <w:rPr>
          <w:lang w:val="hu-HU"/>
        </w:rPr>
        <w:t>dabigatrán</w:t>
      </w:r>
      <w:r>
        <w:rPr>
          <w:spacing w:val="-5"/>
          <w:lang w:val="hu-HU"/>
        </w:rPr>
        <w:t xml:space="preserve"> </w:t>
      </w:r>
      <w:r>
        <w:rPr>
          <w:lang w:val="hu-HU"/>
        </w:rPr>
        <w:t>plazmakoncentrációkat</w:t>
      </w:r>
      <w:r>
        <w:rPr>
          <w:spacing w:val="-2"/>
          <w:lang w:val="hu-HU"/>
        </w:rPr>
        <w:t xml:space="preserve"> </w:t>
      </w:r>
      <w:r>
        <w:rPr>
          <w:lang w:val="hu-HU"/>
        </w:rPr>
        <w:t>eredményez.</w:t>
      </w:r>
    </w:p>
    <w:p w:rsidR="007D7140" w:rsidRDefault="007D7140">
      <w:pPr>
        <w:rPr>
          <w:lang w:val="hu-HU"/>
        </w:rPr>
      </w:pPr>
    </w:p>
    <w:p w:rsidR="007D7140" w:rsidRDefault="00A207BA">
      <w:pPr>
        <w:rPr>
          <w:lang w:val="hu-HU"/>
        </w:rPr>
      </w:pPr>
      <w:r>
        <w:rPr>
          <w:lang w:val="hu-HU"/>
        </w:rPr>
        <w:t>Amennyiben a leírásban nem szerepel más utasítás, a dabigatrán és erős P</w:t>
      </w:r>
      <w:r>
        <w:rPr>
          <w:lang w:val="hu-HU"/>
        </w:rPr>
        <w:noBreakHyphen/>
        <w:t>gp</w:t>
      </w:r>
      <w:r>
        <w:rPr>
          <w:lang w:val="hu-HU"/>
        </w:rPr>
        <w:noBreakHyphen/>
        <w:t>inhibitor együttadása esetén szoros klinikai ellenőrzés (vérzés vagy anaemia jeleinek figyelése) szükséges. Egyes P</w:t>
      </w:r>
      <w:r>
        <w:rPr>
          <w:lang w:val="hu-HU"/>
        </w:rPr>
        <w:noBreakHyphen/>
        <w:t>gp</w:t>
      </w:r>
      <w:r>
        <w:rPr>
          <w:lang w:val="hu-HU"/>
        </w:rPr>
        <w:noBreakHyphen/>
        <w:t>inhibitorok</w:t>
      </w:r>
      <w:r>
        <w:rPr>
          <w:spacing w:val="1"/>
          <w:lang w:val="hu-HU"/>
        </w:rPr>
        <w:t xml:space="preserve"> </w:t>
      </w:r>
      <w:r>
        <w:rPr>
          <w:lang w:val="hu-HU"/>
        </w:rPr>
        <w:t>együttadása</w:t>
      </w:r>
      <w:r>
        <w:rPr>
          <w:spacing w:val="-3"/>
          <w:lang w:val="hu-HU"/>
        </w:rPr>
        <w:t xml:space="preserve"> </w:t>
      </w:r>
      <w:r>
        <w:rPr>
          <w:lang w:val="hu-HU"/>
        </w:rPr>
        <w:t>esetén</w:t>
      </w:r>
      <w:r>
        <w:rPr>
          <w:spacing w:val="-2"/>
          <w:lang w:val="hu-HU"/>
        </w:rPr>
        <w:t xml:space="preserve"> </w:t>
      </w:r>
      <w:r>
        <w:rPr>
          <w:lang w:val="hu-HU"/>
        </w:rPr>
        <w:t>dóziscsökkentésre</w:t>
      </w:r>
      <w:r>
        <w:rPr>
          <w:spacing w:val="-2"/>
          <w:lang w:val="hu-HU"/>
        </w:rPr>
        <w:t xml:space="preserve"> </w:t>
      </w:r>
      <w:r>
        <w:rPr>
          <w:lang w:val="hu-HU"/>
        </w:rPr>
        <w:t>lehet</w:t>
      </w:r>
      <w:r>
        <w:rPr>
          <w:spacing w:val="-2"/>
          <w:lang w:val="hu-HU"/>
        </w:rPr>
        <w:t xml:space="preserve"> </w:t>
      </w:r>
      <w:r>
        <w:rPr>
          <w:lang w:val="hu-HU"/>
        </w:rPr>
        <w:t>szükség</w:t>
      </w:r>
      <w:r>
        <w:rPr>
          <w:spacing w:val="-2"/>
          <w:lang w:val="hu-HU"/>
        </w:rPr>
        <w:t xml:space="preserve"> </w:t>
      </w:r>
      <w:r>
        <w:rPr>
          <w:lang w:val="hu-HU"/>
        </w:rPr>
        <w:t>(lásd</w:t>
      </w:r>
      <w:r>
        <w:rPr>
          <w:spacing w:val="-2"/>
          <w:lang w:val="hu-HU"/>
        </w:rPr>
        <w:t xml:space="preserve"> </w:t>
      </w:r>
      <w:r>
        <w:rPr>
          <w:lang w:val="hu-HU"/>
        </w:rPr>
        <w:t>4.2,</w:t>
      </w:r>
      <w:r>
        <w:rPr>
          <w:spacing w:val="-2"/>
          <w:lang w:val="hu-HU"/>
        </w:rPr>
        <w:t xml:space="preserve"> </w:t>
      </w:r>
      <w:r>
        <w:rPr>
          <w:lang w:val="hu-HU"/>
        </w:rPr>
        <w:t>4.3,</w:t>
      </w:r>
      <w:r>
        <w:rPr>
          <w:spacing w:val="-2"/>
          <w:lang w:val="hu-HU"/>
        </w:rPr>
        <w:t xml:space="preserve"> </w:t>
      </w:r>
      <w:r>
        <w:rPr>
          <w:lang w:val="hu-HU"/>
        </w:rPr>
        <w:t>4.4</w:t>
      </w:r>
      <w:r>
        <w:rPr>
          <w:spacing w:val="-2"/>
          <w:lang w:val="hu-HU"/>
        </w:rPr>
        <w:t xml:space="preserve"> </w:t>
      </w:r>
      <w:r>
        <w:rPr>
          <w:lang w:val="hu-HU"/>
        </w:rPr>
        <w:t>és</w:t>
      </w:r>
      <w:r>
        <w:rPr>
          <w:spacing w:val="-2"/>
          <w:lang w:val="hu-HU"/>
        </w:rPr>
        <w:t xml:space="preserve"> </w:t>
      </w:r>
      <w:r>
        <w:rPr>
          <w:lang w:val="hu-HU"/>
        </w:rPr>
        <w:t>5.1</w:t>
      </w:r>
      <w:r>
        <w:rPr>
          <w:spacing w:val="-2"/>
          <w:lang w:val="hu-HU"/>
        </w:rPr>
        <w:t> pont</w:t>
      </w:r>
      <w:r>
        <w:rPr>
          <w:lang w:val="hu-HU"/>
        </w:rPr>
        <w:t>).</w:t>
      </w:r>
    </w:p>
    <w:p w:rsidR="007D7140" w:rsidRDefault="007D7140">
      <w:pPr>
        <w:rPr>
          <w:lang w:val="hu-HU"/>
        </w:rPr>
      </w:pPr>
    </w:p>
    <w:p w:rsidR="007D7140" w:rsidRDefault="00A207BA">
      <w:pPr>
        <w:tabs>
          <w:tab w:val="left" w:pos="284"/>
        </w:tabs>
        <w:rPr>
          <w:b/>
          <w:bCs/>
          <w:lang w:val="hu-HU"/>
        </w:rPr>
      </w:pPr>
      <w:r>
        <w:rPr>
          <w:b/>
          <w:bCs/>
          <w:lang w:val="hu-HU"/>
        </w:rPr>
        <w:t>9. táblázat:</w:t>
      </w:r>
      <w:r>
        <w:rPr>
          <w:b/>
          <w:bCs/>
          <w:spacing w:val="38"/>
          <w:lang w:val="hu-HU"/>
        </w:rPr>
        <w:t xml:space="preserve"> </w:t>
      </w:r>
      <w:r>
        <w:rPr>
          <w:b/>
          <w:bCs/>
          <w:lang w:val="hu-HU"/>
        </w:rPr>
        <w:t>Transzporter</w:t>
      </w:r>
      <w:r>
        <w:rPr>
          <w:b/>
          <w:bCs/>
          <w:spacing w:val="-7"/>
          <w:lang w:val="hu-HU"/>
        </w:rPr>
        <w:t xml:space="preserve"> </w:t>
      </w:r>
      <w:r>
        <w:rPr>
          <w:b/>
          <w:bCs/>
          <w:lang w:val="hu-HU"/>
        </w:rPr>
        <w:t>interakciók</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520"/>
      </w:tblGrid>
      <w:tr w:rsidR="007D7140">
        <w:trPr>
          <w:trHeight w:val="384"/>
        </w:trPr>
        <w:tc>
          <w:tcPr>
            <w:tcW w:w="9072" w:type="dxa"/>
            <w:gridSpan w:val="2"/>
          </w:tcPr>
          <w:p w:rsidR="007D7140" w:rsidRDefault="00A207BA">
            <w:pPr>
              <w:ind w:left="142"/>
              <w:rPr>
                <w:i/>
                <w:lang w:val="hu-HU"/>
              </w:rPr>
            </w:pPr>
            <w:r>
              <w:rPr>
                <w:i/>
                <w:u w:val="single"/>
                <w:lang w:val="hu-HU"/>
              </w:rPr>
              <w:t>P-gp</w:t>
            </w:r>
            <w:r>
              <w:rPr>
                <w:i/>
                <w:u w:val="single"/>
                <w:lang w:val="hu-HU"/>
              </w:rPr>
              <w:noBreakHyphen/>
              <w:t>inhibitorok</w:t>
            </w:r>
          </w:p>
        </w:tc>
      </w:tr>
      <w:tr w:rsidR="007D7140">
        <w:trPr>
          <w:trHeight w:val="417"/>
        </w:trPr>
        <w:tc>
          <w:tcPr>
            <w:tcW w:w="9072" w:type="dxa"/>
            <w:gridSpan w:val="2"/>
          </w:tcPr>
          <w:p w:rsidR="007D7140" w:rsidRDefault="00A207BA">
            <w:pPr>
              <w:ind w:left="142"/>
              <w:rPr>
                <w:i/>
                <w:lang w:val="hu-HU"/>
              </w:rPr>
            </w:pPr>
            <w:r>
              <w:rPr>
                <w:i/>
                <w:lang w:val="hu-HU"/>
              </w:rPr>
              <w:t>Az</w:t>
            </w:r>
            <w:r>
              <w:rPr>
                <w:i/>
                <w:spacing w:val="-5"/>
                <w:lang w:val="hu-HU"/>
              </w:rPr>
              <w:t xml:space="preserve"> </w:t>
            </w:r>
            <w:r>
              <w:rPr>
                <w:i/>
                <w:lang w:val="hu-HU"/>
              </w:rPr>
              <w:t>egyidejű</w:t>
            </w:r>
            <w:r>
              <w:rPr>
                <w:i/>
                <w:spacing w:val="-4"/>
                <w:lang w:val="hu-HU"/>
              </w:rPr>
              <w:t xml:space="preserve"> </w:t>
            </w:r>
            <w:r>
              <w:rPr>
                <w:i/>
                <w:lang w:val="hu-HU"/>
              </w:rPr>
              <w:t>alkalmazás</w:t>
            </w:r>
            <w:r>
              <w:rPr>
                <w:i/>
                <w:spacing w:val="-4"/>
                <w:lang w:val="hu-HU"/>
              </w:rPr>
              <w:t xml:space="preserve"> </w:t>
            </w:r>
            <w:r>
              <w:rPr>
                <w:i/>
                <w:lang w:val="hu-HU"/>
              </w:rPr>
              <w:t>ellenjavallt</w:t>
            </w:r>
            <w:r>
              <w:rPr>
                <w:i/>
                <w:spacing w:val="-4"/>
                <w:lang w:val="hu-HU"/>
              </w:rPr>
              <w:t xml:space="preserve"> </w:t>
            </w:r>
            <w:r>
              <w:rPr>
                <w:i/>
                <w:lang w:val="hu-HU"/>
              </w:rPr>
              <w:t>(lásd</w:t>
            </w:r>
            <w:r>
              <w:rPr>
                <w:i/>
                <w:spacing w:val="-5"/>
                <w:lang w:val="hu-HU"/>
              </w:rPr>
              <w:t xml:space="preserve"> </w:t>
            </w:r>
            <w:r>
              <w:rPr>
                <w:i/>
                <w:lang w:val="hu-HU"/>
              </w:rPr>
              <w:t>4.3</w:t>
            </w:r>
            <w:r>
              <w:rPr>
                <w:i/>
                <w:spacing w:val="-5"/>
                <w:lang w:val="hu-HU"/>
              </w:rPr>
              <w:t> pont</w:t>
            </w:r>
            <w:r>
              <w:rPr>
                <w:i/>
                <w:lang w:val="hu-HU"/>
              </w:rPr>
              <w:t>)</w:t>
            </w:r>
          </w:p>
        </w:tc>
      </w:tr>
      <w:tr w:rsidR="007D7140">
        <w:trPr>
          <w:trHeight w:val="1012"/>
        </w:trPr>
        <w:tc>
          <w:tcPr>
            <w:tcW w:w="2552" w:type="dxa"/>
          </w:tcPr>
          <w:p w:rsidR="007D7140" w:rsidRDefault="00A207BA">
            <w:pPr>
              <w:ind w:left="142"/>
              <w:rPr>
                <w:lang w:val="hu-HU"/>
              </w:rPr>
            </w:pPr>
            <w:r>
              <w:rPr>
                <w:lang w:val="hu-HU"/>
              </w:rPr>
              <w:t>Ketokonazol</w:t>
            </w:r>
          </w:p>
        </w:tc>
        <w:tc>
          <w:tcPr>
            <w:tcW w:w="6520" w:type="dxa"/>
          </w:tcPr>
          <w:p w:rsidR="007D7140" w:rsidRDefault="00A207BA">
            <w:pPr>
              <w:ind w:left="147"/>
              <w:rPr>
                <w:lang w:val="hu-HU"/>
              </w:rPr>
            </w:pPr>
            <w:r>
              <w:rPr>
                <w:lang w:val="hu-HU"/>
              </w:rPr>
              <w:t>Ketokonazol egyetlen 400 mg</w:t>
            </w:r>
            <w:r>
              <w:rPr>
                <w:lang w:val="hu-HU"/>
              </w:rPr>
              <w:noBreakHyphen/>
              <w:t>os orális dózisát követően 2,38</w:t>
            </w:r>
            <w:r>
              <w:rPr>
                <w:lang w:val="hu-HU"/>
              </w:rPr>
              <w:noBreakHyphen/>
              <w:t>szorosára</w:t>
            </w:r>
            <w:r>
              <w:rPr>
                <w:spacing w:val="1"/>
                <w:lang w:val="hu-HU"/>
              </w:rPr>
              <w:t xml:space="preserve"> </w:t>
            </w:r>
            <w:r>
              <w:rPr>
                <w:position w:val="2"/>
                <w:lang w:val="hu-HU"/>
              </w:rPr>
              <w:t>emelkedett a dabigatrán AUC</w:t>
            </w:r>
            <w:r>
              <w:rPr>
                <w:position w:val="2"/>
                <w:vertAlign w:val="subscript"/>
                <w:lang w:val="hu-HU"/>
              </w:rPr>
              <w:t>0</w:t>
            </w:r>
            <w:r>
              <w:rPr>
                <w:position w:val="2"/>
                <w:vertAlign w:val="subscript"/>
                <w:lang w:val="hu-HU"/>
              </w:rPr>
              <w:noBreakHyphen/>
              <w:t>∞</w:t>
            </w:r>
            <w:r>
              <w:rPr>
                <w:lang w:val="hu-HU"/>
              </w:rPr>
              <w:t xml:space="preserve"> </w:t>
            </w:r>
            <w:r>
              <w:rPr>
                <w:position w:val="2"/>
                <w:lang w:val="hu-HU"/>
              </w:rPr>
              <w:t>és 2,35</w:t>
            </w:r>
            <w:r>
              <w:rPr>
                <w:position w:val="2"/>
                <w:lang w:val="hu-HU"/>
              </w:rPr>
              <w:noBreakHyphen/>
              <w:t>szorosára a C</w:t>
            </w:r>
            <w:r>
              <w:rPr>
                <w:position w:val="2"/>
                <w:vertAlign w:val="subscript"/>
                <w:lang w:val="hu-HU"/>
              </w:rPr>
              <w:t>max</w:t>
            </w:r>
            <w:r>
              <w:rPr>
                <w:spacing w:val="1"/>
                <w:lang w:val="hu-HU"/>
              </w:rPr>
              <w:t xml:space="preserve"> </w:t>
            </w:r>
            <w:r>
              <w:rPr>
                <w:position w:val="2"/>
                <w:lang w:val="hu-HU"/>
              </w:rPr>
              <w:t>értéke, napi</w:t>
            </w:r>
            <w:r>
              <w:rPr>
                <w:spacing w:val="1"/>
                <w:position w:val="2"/>
                <w:lang w:val="hu-HU"/>
              </w:rPr>
              <w:t xml:space="preserve"> </w:t>
            </w:r>
            <w:r>
              <w:rPr>
                <w:lang w:val="hu-HU"/>
              </w:rPr>
              <w:t>egyszer</w:t>
            </w:r>
            <w:r>
              <w:rPr>
                <w:spacing w:val="-5"/>
                <w:lang w:val="hu-HU"/>
              </w:rPr>
              <w:t xml:space="preserve"> </w:t>
            </w:r>
            <w:r>
              <w:rPr>
                <w:lang w:val="hu-HU"/>
              </w:rPr>
              <w:t>400</w:t>
            </w:r>
            <w:r>
              <w:rPr>
                <w:spacing w:val="-4"/>
                <w:lang w:val="hu-HU"/>
              </w:rPr>
              <w:t xml:space="preserve"> mg </w:t>
            </w:r>
            <w:r>
              <w:rPr>
                <w:lang w:val="hu-HU"/>
              </w:rPr>
              <w:t>ketokonazol</w:t>
            </w:r>
            <w:r>
              <w:rPr>
                <w:spacing w:val="-4"/>
                <w:lang w:val="hu-HU"/>
              </w:rPr>
              <w:t xml:space="preserve"> </w:t>
            </w:r>
            <w:r>
              <w:rPr>
                <w:lang w:val="hu-HU"/>
              </w:rPr>
              <w:t>ismételt</w:t>
            </w:r>
            <w:r>
              <w:rPr>
                <w:spacing w:val="-4"/>
                <w:lang w:val="hu-HU"/>
              </w:rPr>
              <w:t xml:space="preserve"> </w:t>
            </w:r>
            <w:r>
              <w:rPr>
                <w:lang w:val="hu-HU"/>
              </w:rPr>
              <w:t>orális</w:t>
            </w:r>
            <w:r>
              <w:rPr>
                <w:spacing w:val="-4"/>
                <w:lang w:val="hu-HU"/>
              </w:rPr>
              <w:t xml:space="preserve"> </w:t>
            </w:r>
            <w:r>
              <w:rPr>
                <w:lang w:val="hu-HU"/>
              </w:rPr>
              <w:t>adása</w:t>
            </w:r>
            <w:r>
              <w:rPr>
                <w:spacing w:val="-4"/>
                <w:lang w:val="hu-HU"/>
              </w:rPr>
              <w:t xml:space="preserve"> </w:t>
            </w:r>
            <w:r>
              <w:rPr>
                <w:lang w:val="hu-HU"/>
              </w:rPr>
              <w:t>esetén</w:t>
            </w:r>
            <w:r>
              <w:rPr>
                <w:spacing w:val="-4"/>
                <w:lang w:val="hu-HU"/>
              </w:rPr>
              <w:t xml:space="preserve"> </w:t>
            </w:r>
            <w:r>
              <w:rPr>
                <w:lang w:val="hu-HU"/>
              </w:rPr>
              <w:t>pedig</w:t>
            </w:r>
            <w:r>
              <w:rPr>
                <w:spacing w:val="-4"/>
                <w:lang w:val="hu-HU"/>
              </w:rPr>
              <w:t xml:space="preserve"> </w:t>
            </w:r>
            <w:r>
              <w:rPr>
                <w:lang w:val="hu-HU"/>
              </w:rPr>
              <w:t>a</w:t>
            </w:r>
            <w:r>
              <w:rPr>
                <w:spacing w:val="-4"/>
                <w:lang w:val="hu-HU"/>
              </w:rPr>
              <w:t xml:space="preserve"> </w:t>
            </w:r>
            <w:r>
              <w:rPr>
                <w:lang w:val="hu-HU"/>
              </w:rPr>
              <w:t xml:space="preserve">dabigatrán </w:t>
            </w:r>
            <w:r>
              <w:rPr>
                <w:position w:val="2"/>
                <w:lang w:val="hu-HU"/>
              </w:rPr>
              <w:t>AUC</w:t>
            </w:r>
            <w:r>
              <w:rPr>
                <w:position w:val="2"/>
                <w:vertAlign w:val="subscript"/>
                <w:lang w:val="hu-HU"/>
              </w:rPr>
              <w:t>0</w:t>
            </w:r>
            <w:r>
              <w:rPr>
                <w:position w:val="2"/>
                <w:vertAlign w:val="subscript"/>
                <w:lang w:val="hu-HU"/>
              </w:rPr>
              <w:noBreakHyphen/>
              <w:t>∞</w:t>
            </w:r>
            <w:r>
              <w:rPr>
                <w:lang w:val="hu-HU"/>
              </w:rPr>
              <w:t xml:space="preserve"> </w:t>
            </w:r>
            <w:r>
              <w:rPr>
                <w:position w:val="2"/>
                <w:lang w:val="hu-HU"/>
              </w:rPr>
              <w:t>2,53</w:t>
            </w:r>
            <w:r>
              <w:rPr>
                <w:position w:val="2"/>
                <w:lang w:val="hu-HU"/>
              </w:rPr>
              <w:noBreakHyphen/>
              <w:t>szorosára</w:t>
            </w:r>
            <w:r>
              <w:rPr>
                <w:spacing w:val="-3"/>
                <w:position w:val="2"/>
                <w:lang w:val="hu-HU"/>
              </w:rPr>
              <w:t xml:space="preserve"> </w:t>
            </w:r>
            <w:r>
              <w:rPr>
                <w:position w:val="2"/>
                <w:lang w:val="hu-HU"/>
              </w:rPr>
              <w:t>a</w:t>
            </w:r>
            <w:r>
              <w:rPr>
                <w:spacing w:val="-3"/>
                <w:position w:val="2"/>
                <w:lang w:val="hu-HU"/>
              </w:rPr>
              <w:t xml:space="preserve"> </w:t>
            </w:r>
            <w:r>
              <w:rPr>
                <w:position w:val="2"/>
                <w:lang w:val="hu-HU"/>
              </w:rPr>
              <w:t>C</w:t>
            </w:r>
            <w:r>
              <w:rPr>
                <w:position w:val="2"/>
                <w:vertAlign w:val="subscript"/>
                <w:lang w:val="hu-HU"/>
              </w:rPr>
              <w:t>max</w:t>
            </w:r>
            <w:r>
              <w:rPr>
                <w:spacing w:val="14"/>
                <w:lang w:val="hu-HU"/>
              </w:rPr>
              <w:t xml:space="preserve"> </w:t>
            </w:r>
            <w:r>
              <w:rPr>
                <w:position w:val="2"/>
                <w:lang w:val="hu-HU"/>
              </w:rPr>
              <w:t>pedig</w:t>
            </w:r>
            <w:r>
              <w:rPr>
                <w:spacing w:val="-3"/>
                <w:position w:val="2"/>
                <w:lang w:val="hu-HU"/>
              </w:rPr>
              <w:t xml:space="preserve"> </w:t>
            </w:r>
            <w:r>
              <w:rPr>
                <w:position w:val="2"/>
                <w:lang w:val="hu-HU"/>
              </w:rPr>
              <w:t>2,49</w:t>
            </w:r>
            <w:r>
              <w:rPr>
                <w:position w:val="2"/>
                <w:lang w:val="hu-HU"/>
              </w:rPr>
              <w:noBreakHyphen/>
              <w:t>szorosára</w:t>
            </w:r>
            <w:r>
              <w:rPr>
                <w:spacing w:val="-3"/>
                <w:position w:val="2"/>
                <w:lang w:val="hu-HU"/>
              </w:rPr>
              <w:t xml:space="preserve"> </w:t>
            </w:r>
            <w:r>
              <w:rPr>
                <w:position w:val="2"/>
                <w:lang w:val="hu-HU"/>
              </w:rPr>
              <w:t>nőtt.</w:t>
            </w:r>
          </w:p>
        </w:tc>
      </w:tr>
      <w:tr w:rsidR="007D7140">
        <w:trPr>
          <w:trHeight w:val="1264"/>
        </w:trPr>
        <w:tc>
          <w:tcPr>
            <w:tcW w:w="2552" w:type="dxa"/>
          </w:tcPr>
          <w:p w:rsidR="007D7140" w:rsidRDefault="00A207BA">
            <w:pPr>
              <w:ind w:left="142"/>
              <w:rPr>
                <w:lang w:val="hu-HU"/>
              </w:rPr>
            </w:pPr>
            <w:r>
              <w:rPr>
                <w:lang w:val="hu-HU"/>
              </w:rPr>
              <w:t>Dronedaron</w:t>
            </w:r>
          </w:p>
        </w:tc>
        <w:tc>
          <w:tcPr>
            <w:tcW w:w="6520" w:type="dxa"/>
          </w:tcPr>
          <w:p w:rsidR="007D7140" w:rsidRDefault="00A207BA">
            <w:pPr>
              <w:ind w:left="147"/>
              <w:rPr>
                <w:lang w:val="hu-HU"/>
              </w:rPr>
            </w:pPr>
            <w:r>
              <w:rPr>
                <w:lang w:val="hu-HU"/>
              </w:rPr>
              <w:t>Dabigatrán</w:t>
            </w:r>
            <w:r>
              <w:rPr>
                <w:lang w:val="hu-HU"/>
              </w:rPr>
              <w:noBreakHyphen/>
              <w:t>etexilát és dronedaron együttes adása esetén 400 mg</w:t>
            </w:r>
            <w:r>
              <w:rPr>
                <w:spacing w:val="1"/>
                <w:lang w:val="hu-HU"/>
              </w:rPr>
              <w:t xml:space="preserve"> </w:t>
            </w:r>
            <w:r>
              <w:rPr>
                <w:lang w:val="hu-HU"/>
              </w:rPr>
              <w:t>dronedaron ismételt, napi kétszeri adagolása mellett a dabigatrán AUC</w:t>
            </w:r>
            <w:r>
              <w:rPr>
                <w:vertAlign w:val="subscript"/>
                <w:lang w:val="hu-HU"/>
              </w:rPr>
              <w:t>0</w:t>
            </w:r>
            <w:r>
              <w:rPr>
                <w:vertAlign w:val="subscript"/>
                <w:lang w:val="hu-HU"/>
              </w:rPr>
              <w:noBreakHyphen/>
              <w:t>∞</w:t>
            </w:r>
            <w:r>
              <w:rPr>
                <w:lang w:val="hu-HU"/>
              </w:rPr>
              <w:t xml:space="preserve"> és C</w:t>
            </w:r>
            <w:r>
              <w:rPr>
                <w:vertAlign w:val="subscript"/>
                <w:lang w:val="hu-HU"/>
              </w:rPr>
              <w:t>max</w:t>
            </w:r>
            <w:r>
              <w:rPr>
                <w:lang w:val="hu-HU"/>
              </w:rPr>
              <w:t xml:space="preserve"> értékei</w:t>
            </w:r>
            <w:r>
              <w:rPr>
                <w:spacing w:val="-4"/>
                <w:lang w:val="hu-HU"/>
              </w:rPr>
              <w:t xml:space="preserve"> </w:t>
            </w:r>
            <w:r>
              <w:rPr>
                <w:lang w:val="hu-HU"/>
              </w:rPr>
              <w:t>sorrendben</w:t>
            </w:r>
            <w:r>
              <w:rPr>
                <w:spacing w:val="-4"/>
                <w:lang w:val="hu-HU"/>
              </w:rPr>
              <w:t xml:space="preserve"> </w:t>
            </w:r>
            <w:r>
              <w:rPr>
                <w:lang w:val="hu-HU"/>
              </w:rPr>
              <w:t>kb.</w:t>
            </w:r>
            <w:r>
              <w:rPr>
                <w:spacing w:val="-3"/>
                <w:lang w:val="hu-HU"/>
              </w:rPr>
              <w:t xml:space="preserve"> </w:t>
            </w:r>
            <w:r>
              <w:rPr>
                <w:lang w:val="hu-HU"/>
              </w:rPr>
              <w:t>2,4</w:t>
            </w:r>
            <w:r>
              <w:rPr>
                <w:lang w:val="hu-HU"/>
              </w:rPr>
              <w:noBreakHyphen/>
              <w:t>szeresére,</w:t>
            </w:r>
            <w:r>
              <w:rPr>
                <w:spacing w:val="-4"/>
                <w:lang w:val="hu-HU"/>
              </w:rPr>
              <w:t xml:space="preserve"> </w:t>
            </w:r>
            <w:r>
              <w:rPr>
                <w:lang w:val="hu-HU"/>
              </w:rPr>
              <w:t>illetve</w:t>
            </w:r>
            <w:r>
              <w:rPr>
                <w:spacing w:val="-3"/>
                <w:lang w:val="hu-HU"/>
              </w:rPr>
              <w:t xml:space="preserve"> </w:t>
            </w:r>
            <w:r>
              <w:rPr>
                <w:lang w:val="hu-HU"/>
              </w:rPr>
              <w:t>2,3</w:t>
            </w:r>
            <w:r>
              <w:rPr>
                <w:lang w:val="hu-HU"/>
              </w:rPr>
              <w:noBreakHyphen/>
              <w:t>szeresére,</w:t>
            </w:r>
            <w:r>
              <w:rPr>
                <w:spacing w:val="-2"/>
                <w:lang w:val="hu-HU"/>
              </w:rPr>
              <w:t xml:space="preserve"> </w:t>
            </w:r>
            <w:r>
              <w:rPr>
                <w:lang w:val="hu-HU"/>
              </w:rPr>
              <w:t>400</w:t>
            </w:r>
            <w:r>
              <w:rPr>
                <w:spacing w:val="-3"/>
                <w:lang w:val="hu-HU"/>
              </w:rPr>
              <w:t xml:space="preserve"> mg </w:t>
            </w:r>
            <w:r>
              <w:rPr>
                <w:lang w:val="hu-HU"/>
              </w:rPr>
              <w:t>dronedaron egyszeri alkalmazása után pedig sorrendben kb. 2,1</w:t>
            </w:r>
            <w:r>
              <w:rPr>
                <w:lang w:val="hu-HU"/>
              </w:rPr>
              <w:noBreakHyphen/>
              <w:t>szeresére, illetve</w:t>
            </w:r>
            <w:r>
              <w:rPr>
                <w:spacing w:val="-1"/>
                <w:lang w:val="hu-HU"/>
              </w:rPr>
              <w:t xml:space="preserve"> </w:t>
            </w:r>
            <w:r>
              <w:rPr>
                <w:lang w:val="hu-HU"/>
              </w:rPr>
              <w:t>1,9</w:t>
            </w:r>
            <w:r>
              <w:rPr>
                <w:lang w:val="hu-HU"/>
              </w:rPr>
              <w:noBreakHyphen/>
              <w:t>szeresére</w:t>
            </w:r>
            <w:r>
              <w:rPr>
                <w:spacing w:val="-1"/>
                <w:lang w:val="hu-HU"/>
              </w:rPr>
              <w:t xml:space="preserve"> </w:t>
            </w:r>
            <w:r>
              <w:rPr>
                <w:lang w:val="hu-HU"/>
              </w:rPr>
              <w:t>nőttek.</w:t>
            </w:r>
          </w:p>
        </w:tc>
      </w:tr>
      <w:tr w:rsidR="007D7140">
        <w:trPr>
          <w:trHeight w:val="506"/>
        </w:trPr>
        <w:tc>
          <w:tcPr>
            <w:tcW w:w="2552" w:type="dxa"/>
          </w:tcPr>
          <w:p w:rsidR="007D7140" w:rsidRDefault="00A207BA">
            <w:pPr>
              <w:ind w:left="142"/>
              <w:rPr>
                <w:lang w:val="hu-HU"/>
              </w:rPr>
            </w:pPr>
            <w:r>
              <w:rPr>
                <w:lang w:val="hu-HU"/>
              </w:rPr>
              <w:t>Itrakonazol, ciklosporin</w:t>
            </w:r>
          </w:p>
        </w:tc>
        <w:tc>
          <w:tcPr>
            <w:tcW w:w="6520" w:type="dxa"/>
          </w:tcPr>
          <w:p w:rsidR="007D7140" w:rsidRDefault="00A207BA">
            <w:pPr>
              <w:ind w:left="147"/>
              <w:rPr>
                <w:lang w:val="hu-HU"/>
              </w:rPr>
            </w:pPr>
            <w:r>
              <w:rPr>
                <w:i/>
                <w:lang w:val="hu-HU"/>
              </w:rPr>
              <w:t>In</w:t>
            </w:r>
            <w:r>
              <w:rPr>
                <w:i/>
                <w:spacing w:val="-4"/>
                <w:lang w:val="hu-HU"/>
              </w:rPr>
              <w:t xml:space="preserve"> </w:t>
            </w:r>
            <w:r>
              <w:rPr>
                <w:i/>
                <w:lang w:val="hu-HU"/>
              </w:rPr>
              <w:t>vitro</w:t>
            </w:r>
            <w:r>
              <w:rPr>
                <w:i/>
                <w:spacing w:val="-4"/>
                <w:lang w:val="hu-HU"/>
              </w:rPr>
              <w:t xml:space="preserve"> </w:t>
            </w:r>
            <w:r>
              <w:rPr>
                <w:lang w:val="hu-HU"/>
              </w:rPr>
              <w:t>vizsgálatok</w:t>
            </w:r>
            <w:r>
              <w:rPr>
                <w:spacing w:val="-4"/>
                <w:lang w:val="hu-HU"/>
              </w:rPr>
              <w:t xml:space="preserve"> </w:t>
            </w:r>
            <w:r>
              <w:rPr>
                <w:lang w:val="hu-HU"/>
              </w:rPr>
              <w:t>eredményei</w:t>
            </w:r>
            <w:r>
              <w:rPr>
                <w:spacing w:val="-5"/>
                <w:lang w:val="hu-HU"/>
              </w:rPr>
              <w:t xml:space="preserve"> </w:t>
            </w:r>
            <w:r>
              <w:rPr>
                <w:lang w:val="hu-HU"/>
              </w:rPr>
              <w:t>alapján</w:t>
            </w:r>
            <w:r>
              <w:rPr>
                <w:spacing w:val="-4"/>
                <w:lang w:val="hu-HU"/>
              </w:rPr>
              <w:t xml:space="preserve"> </w:t>
            </w:r>
            <w:r>
              <w:rPr>
                <w:lang w:val="hu-HU"/>
              </w:rPr>
              <w:t>a</w:t>
            </w:r>
            <w:r>
              <w:rPr>
                <w:spacing w:val="-5"/>
                <w:lang w:val="hu-HU"/>
              </w:rPr>
              <w:t xml:space="preserve"> </w:t>
            </w:r>
            <w:r>
              <w:rPr>
                <w:lang w:val="hu-HU"/>
              </w:rPr>
              <w:t>ketokonazolhoz</w:t>
            </w:r>
            <w:r>
              <w:rPr>
                <w:spacing w:val="-4"/>
                <w:lang w:val="hu-HU"/>
              </w:rPr>
              <w:t xml:space="preserve"> </w:t>
            </w:r>
            <w:r>
              <w:rPr>
                <w:lang w:val="hu-HU"/>
              </w:rPr>
              <w:t>hasonló</w:t>
            </w:r>
            <w:r>
              <w:rPr>
                <w:spacing w:val="-5"/>
                <w:lang w:val="hu-HU"/>
              </w:rPr>
              <w:t xml:space="preserve"> </w:t>
            </w:r>
            <w:r>
              <w:rPr>
                <w:lang w:val="hu-HU"/>
              </w:rPr>
              <w:t>hatások várhatók.</w:t>
            </w:r>
          </w:p>
        </w:tc>
      </w:tr>
      <w:tr w:rsidR="007D7140">
        <w:trPr>
          <w:trHeight w:val="760"/>
        </w:trPr>
        <w:tc>
          <w:tcPr>
            <w:tcW w:w="2552" w:type="dxa"/>
          </w:tcPr>
          <w:p w:rsidR="007D7140" w:rsidRDefault="00A207BA">
            <w:pPr>
              <w:ind w:left="142"/>
              <w:rPr>
                <w:lang w:val="hu-HU"/>
              </w:rPr>
            </w:pPr>
            <w:r>
              <w:rPr>
                <w:lang w:val="hu-HU"/>
              </w:rPr>
              <w:lastRenderedPageBreak/>
              <w:t>Glekaprevir / pibrentaszvir</w:t>
            </w:r>
          </w:p>
        </w:tc>
        <w:tc>
          <w:tcPr>
            <w:tcW w:w="6520" w:type="dxa"/>
          </w:tcPr>
          <w:p w:rsidR="007D7140" w:rsidRDefault="00A207BA">
            <w:pPr>
              <w:ind w:left="147"/>
              <w:rPr>
                <w:lang w:val="hu-HU"/>
              </w:rPr>
            </w:pPr>
            <w:r>
              <w:rPr>
                <w:lang w:val="hu-HU"/>
              </w:rPr>
              <w:t>Megállapították,</w:t>
            </w:r>
            <w:r>
              <w:rPr>
                <w:spacing w:val="-5"/>
                <w:lang w:val="hu-HU"/>
              </w:rPr>
              <w:t xml:space="preserve"> </w:t>
            </w:r>
            <w:r>
              <w:rPr>
                <w:lang w:val="hu-HU"/>
              </w:rPr>
              <w:t>hogy</w:t>
            </w:r>
            <w:r>
              <w:rPr>
                <w:spacing w:val="-4"/>
                <w:lang w:val="hu-HU"/>
              </w:rPr>
              <w:t xml:space="preserve"> </w:t>
            </w:r>
            <w:r>
              <w:rPr>
                <w:lang w:val="hu-HU"/>
              </w:rPr>
              <w:t>a</w:t>
            </w:r>
            <w:r>
              <w:rPr>
                <w:spacing w:val="-4"/>
                <w:lang w:val="hu-HU"/>
              </w:rPr>
              <w:t xml:space="preserve"> </w:t>
            </w:r>
            <w:r>
              <w:rPr>
                <w:lang w:val="hu-HU"/>
              </w:rPr>
              <w:t>dabigatrán</w:t>
            </w:r>
            <w:r>
              <w:rPr>
                <w:lang w:val="hu-HU"/>
              </w:rPr>
              <w:noBreakHyphen/>
              <w:t>etexilát</w:t>
            </w:r>
            <w:r>
              <w:rPr>
                <w:spacing w:val="-4"/>
                <w:lang w:val="hu-HU"/>
              </w:rPr>
              <w:t xml:space="preserve"> </w:t>
            </w:r>
            <w:r>
              <w:rPr>
                <w:lang w:val="hu-HU"/>
              </w:rPr>
              <w:t>és</w:t>
            </w:r>
            <w:r>
              <w:rPr>
                <w:spacing w:val="-5"/>
                <w:lang w:val="hu-HU"/>
              </w:rPr>
              <w:t xml:space="preserve"> </w:t>
            </w:r>
            <w:r>
              <w:rPr>
                <w:lang w:val="hu-HU"/>
              </w:rPr>
              <w:t>a</w:t>
            </w:r>
            <w:r>
              <w:rPr>
                <w:spacing w:val="-4"/>
                <w:lang w:val="hu-HU"/>
              </w:rPr>
              <w:t xml:space="preserve"> </w:t>
            </w:r>
            <w:r>
              <w:rPr>
                <w:lang w:val="hu-HU"/>
              </w:rPr>
              <w:t>fix</w:t>
            </w:r>
            <w:r>
              <w:rPr>
                <w:spacing w:val="-4"/>
                <w:lang w:val="hu-HU"/>
              </w:rPr>
              <w:t xml:space="preserve"> </w:t>
            </w:r>
            <w:r>
              <w:rPr>
                <w:lang w:val="hu-HU"/>
              </w:rPr>
              <w:t>dózisú</w:t>
            </w:r>
            <w:r>
              <w:rPr>
                <w:spacing w:val="-4"/>
                <w:lang w:val="hu-HU"/>
              </w:rPr>
              <w:t xml:space="preserve"> </w:t>
            </w:r>
            <w:r>
              <w:rPr>
                <w:lang w:val="hu-HU"/>
              </w:rPr>
              <w:t>kombinációban alkalmazott, P-gp</w:t>
            </w:r>
            <w:r>
              <w:rPr>
                <w:lang w:val="hu-HU"/>
              </w:rPr>
              <w:noBreakHyphen/>
              <w:t>inhibitor glekaprevir/pibrentaszvir együttes adása esetén megnő</w:t>
            </w:r>
            <w:r>
              <w:rPr>
                <w:spacing w:val="-4"/>
                <w:lang w:val="hu-HU"/>
              </w:rPr>
              <w:t xml:space="preserve"> </w:t>
            </w:r>
            <w:r>
              <w:rPr>
                <w:lang w:val="hu-HU"/>
              </w:rPr>
              <w:t>a</w:t>
            </w:r>
            <w:r>
              <w:rPr>
                <w:spacing w:val="-3"/>
                <w:lang w:val="hu-HU"/>
              </w:rPr>
              <w:t xml:space="preserve"> </w:t>
            </w:r>
            <w:r>
              <w:rPr>
                <w:lang w:val="hu-HU"/>
              </w:rPr>
              <w:t>dabigatrán</w:t>
            </w:r>
            <w:r>
              <w:rPr>
                <w:spacing w:val="-3"/>
                <w:lang w:val="hu-HU"/>
              </w:rPr>
              <w:t xml:space="preserve"> </w:t>
            </w:r>
            <w:r>
              <w:rPr>
                <w:lang w:val="hu-HU"/>
              </w:rPr>
              <w:t>expozíciója</w:t>
            </w:r>
            <w:r>
              <w:rPr>
                <w:spacing w:val="-4"/>
                <w:lang w:val="hu-HU"/>
              </w:rPr>
              <w:t xml:space="preserve"> </w:t>
            </w:r>
            <w:r>
              <w:rPr>
                <w:lang w:val="hu-HU"/>
              </w:rPr>
              <w:t>és</w:t>
            </w:r>
            <w:r>
              <w:rPr>
                <w:spacing w:val="-3"/>
                <w:lang w:val="hu-HU"/>
              </w:rPr>
              <w:t xml:space="preserve"> </w:t>
            </w:r>
            <w:r>
              <w:rPr>
                <w:lang w:val="hu-HU"/>
              </w:rPr>
              <w:t>megnövekedhet</w:t>
            </w:r>
            <w:r>
              <w:rPr>
                <w:spacing w:val="-3"/>
                <w:lang w:val="hu-HU"/>
              </w:rPr>
              <w:t xml:space="preserve"> </w:t>
            </w:r>
            <w:r>
              <w:rPr>
                <w:lang w:val="hu-HU"/>
              </w:rPr>
              <w:t>a</w:t>
            </w:r>
            <w:r>
              <w:rPr>
                <w:spacing w:val="-4"/>
                <w:lang w:val="hu-HU"/>
              </w:rPr>
              <w:t xml:space="preserve"> </w:t>
            </w:r>
            <w:r>
              <w:rPr>
                <w:lang w:val="hu-HU"/>
              </w:rPr>
              <w:t>vérzés</w:t>
            </w:r>
            <w:r>
              <w:rPr>
                <w:spacing w:val="-3"/>
                <w:lang w:val="hu-HU"/>
              </w:rPr>
              <w:t xml:space="preserve"> </w:t>
            </w:r>
            <w:r>
              <w:rPr>
                <w:lang w:val="hu-HU"/>
              </w:rPr>
              <w:t>kockázata.</w:t>
            </w:r>
          </w:p>
        </w:tc>
      </w:tr>
      <w:tr w:rsidR="007D7140">
        <w:trPr>
          <w:trHeight w:val="511"/>
        </w:trPr>
        <w:tc>
          <w:tcPr>
            <w:tcW w:w="9072" w:type="dxa"/>
            <w:gridSpan w:val="2"/>
          </w:tcPr>
          <w:p w:rsidR="007D7140" w:rsidRDefault="00A207BA">
            <w:pPr>
              <w:ind w:left="142"/>
              <w:rPr>
                <w:i/>
                <w:lang w:val="hu-HU"/>
              </w:rPr>
            </w:pPr>
            <w:r>
              <w:rPr>
                <w:i/>
                <w:lang w:val="hu-HU"/>
              </w:rPr>
              <w:t>Az</w:t>
            </w:r>
            <w:r>
              <w:rPr>
                <w:i/>
                <w:spacing w:val="-4"/>
                <w:lang w:val="hu-HU"/>
              </w:rPr>
              <w:t xml:space="preserve"> </w:t>
            </w:r>
            <w:r>
              <w:rPr>
                <w:i/>
                <w:lang w:val="hu-HU"/>
              </w:rPr>
              <w:t>egyidejű</w:t>
            </w:r>
            <w:r>
              <w:rPr>
                <w:i/>
                <w:spacing w:val="-4"/>
                <w:lang w:val="hu-HU"/>
              </w:rPr>
              <w:t xml:space="preserve"> </w:t>
            </w:r>
            <w:r>
              <w:rPr>
                <w:i/>
                <w:lang w:val="hu-HU"/>
              </w:rPr>
              <w:t>alkalmazás</w:t>
            </w:r>
            <w:r>
              <w:rPr>
                <w:i/>
                <w:spacing w:val="-4"/>
                <w:lang w:val="hu-HU"/>
              </w:rPr>
              <w:t xml:space="preserve"> </w:t>
            </w:r>
            <w:r>
              <w:rPr>
                <w:i/>
                <w:lang w:val="hu-HU"/>
              </w:rPr>
              <w:t>nem</w:t>
            </w:r>
            <w:r>
              <w:rPr>
                <w:i/>
                <w:spacing w:val="-4"/>
                <w:lang w:val="hu-HU"/>
              </w:rPr>
              <w:t xml:space="preserve"> </w:t>
            </w:r>
            <w:r>
              <w:rPr>
                <w:i/>
                <w:lang w:val="hu-HU"/>
              </w:rPr>
              <w:t>javasolt</w:t>
            </w:r>
          </w:p>
        </w:tc>
      </w:tr>
      <w:tr w:rsidR="007D7140">
        <w:trPr>
          <w:trHeight w:val="1012"/>
        </w:trPr>
        <w:tc>
          <w:tcPr>
            <w:tcW w:w="2552" w:type="dxa"/>
          </w:tcPr>
          <w:p w:rsidR="007D7140" w:rsidRDefault="00A207BA">
            <w:pPr>
              <w:ind w:left="142"/>
              <w:rPr>
                <w:lang w:val="hu-HU"/>
              </w:rPr>
            </w:pPr>
            <w:r>
              <w:rPr>
                <w:lang w:val="hu-HU"/>
              </w:rPr>
              <w:t>Takrolimusz</w:t>
            </w:r>
          </w:p>
        </w:tc>
        <w:tc>
          <w:tcPr>
            <w:tcW w:w="6520" w:type="dxa"/>
          </w:tcPr>
          <w:p w:rsidR="007D7140" w:rsidRDefault="00A207BA">
            <w:pPr>
              <w:ind w:left="147"/>
              <w:rPr>
                <w:lang w:val="hu-HU"/>
              </w:rPr>
            </w:pPr>
            <w:r>
              <w:rPr>
                <w:lang w:val="hu-HU"/>
              </w:rPr>
              <w:t xml:space="preserve">Megállapították, hogy a takrolimusz </w:t>
            </w:r>
            <w:r>
              <w:rPr>
                <w:i/>
                <w:lang w:val="hu-HU"/>
              </w:rPr>
              <w:t xml:space="preserve">in vitro </w:t>
            </w:r>
            <w:r>
              <w:rPr>
                <w:lang w:val="hu-HU"/>
              </w:rPr>
              <w:t>hasonló mértékű gátló</w:t>
            </w:r>
            <w:r>
              <w:rPr>
                <w:spacing w:val="1"/>
                <w:lang w:val="hu-HU"/>
              </w:rPr>
              <w:t xml:space="preserve"> </w:t>
            </w:r>
            <w:r>
              <w:rPr>
                <w:lang w:val="hu-HU"/>
              </w:rPr>
              <w:t>hatással van a P</w:t>
            </w:r>
            <w:r>
              <w:rPr>
                <w:lang w:val="hu-HU"/>
              </w:rPr>
              <w:noBreakHyphen/>
              <w:t>gp-re, mint amit az itrakonazol és a ciklosporin esetén</w:t>
            </w:r>
            <w:r>
              <w:rPr>
                <w:spacing w:val="1"/>
                <w:lang w:val="hu-HU"/>
              </w:rPr>
              <w:t xml:space="preserve"> </w:t>
            </w:r>
            <w:r>
              <w:rPr>
                <w:lang w:val="hu-HU"/>
              </w:rPr>
              <w:t>észleltek.</w:t>
            </w:r>
            <w:r>
              <w:rPr>
                <w:spacing w:val="-6"/>
                <w:lang w:val="hu-HU"/>
              </w:rPr>
              <w:t xml:space="preserve"> </w:t>
            </w:r>
            <w:r>
              <w:rPr>
                <w:lang w:val="hu-HU"/>
              </w:rPr>
              <w:t>A</w:t>
            </w:r>
            <w:r>
              <w:rPr>
                <w:spacing w:val="-6"/>
                <w:lang w:val="hu-HU"/>
              </w:rPr>
              <w:t xml:space="preserve"> </w:t>
            </w:r>
            <w:r>
              <w:rPr>
                <w:lang w:val="hu-HU"/>
              </w:rPr>
              <w:t>dabigatrán</w:t>
            </w:r>
            <w:r>
              <w:rPr>
                <w:lang w:val="hu-HU"/>
              </w:rPr>
              <w:noBreakHyphen/>
              <w:t>etexilátot</w:t>
            </w:r>
            <w:r>
              <w:rPr>
                <w:spacing w:val="-6"/>
                <w:lang w:val="hu-HU"/>
              </w:rPr>
              <w:t xml:space="preserve"> </w:t>
            </w:r>
            <w:r>
              <w:rPr>
                <w:lang w:val="hu-HU"/>
              </w:rPr>
              <w:t>klinikailag</w:t>
            </w:r>
            <w:r>
              <w:rPr>
                <w:spacing w:val="-6"/>
                <w:lang w:val="hu-HU"/>
              </w:rPr>
              <w:t xml:space="preserve"> </w:t>
            </w:r>
            <w:r>
              <w:rPr>
                <w:lang w:val="hu-HU"/>
              </w:rPr>
              <w:t>nem</w:t>
            </w:r>
            <w:r>
              <w:rPr>
                <w:spacing w:val="-6"/>
                <w:lang w:val="hu-HU"/>
              </w:rPr>
              <w:t xml:space="preserve"> </w:t>
            </w:r>
            <w:r>
              <w:rPr>
                <w:lang w:val="hu-HU"/>
              </w:rPr>
              <w:t>vizsgálták</w:t>
            </w:r>
            <w:r>
              <w:rPr>
                <w:spacing w:val="-6"/>
                <w:lang w:val="hu-HU"/>
              </w:rPr>
              <w:t xml:space="preserve"> </w:t>
            </w:r>
            <w:r>
              <w:rPr>
                <w:lang w:val="hu-HU"/>
              </w:rPr>
              <w:t>takrolimusszal együtt.</w:t>
            </w:r>
            <w:r>
              <w:rPr>
                <w:spacing w:val="-5"/>
                <w:lang w:val="hu-HU"/>
              </w:rPr>
              <w:t xml:space="preserve"> </w:t>
            </w:r>
            <w:r>
              <w:rPr>
                <w:lang w:val="hu-HU"/>
              </w:rPr>
              <w:t>Ugyanakkor</w:t>
            </w:r>
            <w:r>
              <w:rPr>
                <w:spacing w:val="-5"/>
                <w:lang w:val="hu-HU"/>
              </w:rPr>
              <w:t xml:space="preserve"> </w:t>
            </w:r>
            <w:r>
              <w:rPr>
                <w:lang w:val="hu-HU"/>
              </w:rPr>
              <w:t>egy</w:t>
            </w:r>
            <w:r>
              <w:rPr>
                <w:spacing w:val="-5"/>
                <w:lang w:val="hu-HU"/>
              </w:rPr>
              <w:t xml:space="preserve"> </w:t>
            </w:r>
            <w:r>
              <w:rPr>
                <w:lang w:val="hu-HU"/>
              </w:rPr>
              <w:t>másik</w:t>
            </w:r>
            <w:r>
              <w:rPr>
                <w:spacing w:val="-5"/>
                <w:lang w:val="hu-HU"/>
              </w:rPr>
              <w:t xml:space="preserve"> </w:t>
            </w:r>
            <w:r>
              <w:rPr>
                <w:lang w:val="hu-HU"/>
              </w:rPr>
              <w:t>P</w:t>
            </w:r>
            <w:r>
              <w:rPr>
                <w:lang w:val="hu-HU"/>
              </w:rPr>
              <w:noBreakHyphen/>
              <w:t>gp</w:t>
            </w:r>
            <w:r>
              <w:rPr>
                <w:spacing w:val="-5"/>
                <w:lang w:val="hu-HU"/>
              </w:rPr>
              <w:t xml:space="preserve"> </w:t>
            </w:r>
            <w:r>
              <w:rPr>
                <w:lang w:val="hu-HU"/>
              </w:rPr>
              <w:t>szubsztráttal</w:t>
            </w:r>
            <w:r>
              <w:rPr>
                <w:spacing w:val="-5"/>
                <w:lang w:val="hu-HU"/>
              </w:rPr>
              <w:t xml:space="preserve"> </w:t>
            </w:r>
            <w:r>
              <w:rPr>
                <w:lang w:val="hu-HU"/>
              </w:rPr>
              <w:t>(everolimusz)</w:t>
            </w:r>
            <w:r>
              <w:rPr>
                <w:spacing w:val="-5"/>
                <w:lang w:val="hu-HU"/>
              </w:rPr>
              <w:t xml:space="preserve"> </w:t>
            </w:r>
            <w:r>
              <w:rPr>
                <w:lang w:val="hu-HU"/>
              </w:rPr>
              <w:t>nyert</w:t>
            </w:r>
            <w:r>
              <w:rPr>
                <w:spacing w:val="-5"/>
                <w:lang w:val="hu-HU"/>
              </w:rPr>
              <w:t xml:space="preserve"> </w:t>
            </w:r>
            <w:r>
              <w:rPr>
                <w:lang w:val="hu-HU"/>
              </w:rPr>
              <w:t>kevés klinikai</w:t>
            </w:r>
            <w:r>
              <w:rPr>
                <w:spacing w:val="-4"/>
                <w:lang w:val="hu-HU"/>
              </w:rPr>
              <w:t xml:space="preserve"> </w:t>
            </w:r>
            <w:r>
              <w:rPr>
                <w:lang w:val="hu-HU"/>
              </w:rPr>
              <w:t>adat</w:t>
            </w:r>
            <w:r>
              <w:rPr>
                <w:spacing w:val="-4"/>
                <w:lang w:val="hu-HU"/>
              </w:rPr>
              <w:t xml:space="preserve"> </w:t>
            </w:r>
            <w:r>
              <w:rPr>
                <w:lang w:val="hu-HU"/>
              </w:rPr>
              <w:t>arra</w:t>
            </w:r>
            <w:r>
              <w:rPr>
                <w:spacing w:val="-4"/>
                <w:lang w:val="hu-HU"/>
              </w:rPr>
              <w:t xml:space="preserve"> </w:t>
            </w:r>
            <w:r>
              <w:rPr>
                <w:lang w:val="hu-HU"/>
              </w:rPr>
              <w:t>utal,</w:t>
            </w:r>
            <w:r>
              <w:rPr>
                <w:spacing w:val="-4"/>
                <w:lang w:val="hu-HU"/>
              </w:rPr>
              <w:t xml:space="preserve"> </w:t>
            </w:r>
            <w:r>
              <w:rPr>
                <w:lang w:val="hu-HU"/>
              </w:rPr>
              <w:t>hogy</w:t>
            </w:r>
            <w:r>
              <w:rPr>
                <w:spacing w:val="-4"/>
                <w:lang w:val="hu-HU"/>
              </w:rPr>
              <w:t xml:space="preserve"> </w:t>
            </w:r>
            <w:r>
              <w:rPr>
                <w:lang w:val="hu-HU"/>
              </w:rPr>
              <w:t>a</w:t>
            </w:r>
            <w:r>
              <w:rPr>
                <w:spacing w:val="-4"/>
                <w:lang w:val="hu-HU"/>
              </w:rPr>
              <w:t xml:space="preserve"> </w:t>
            </w:r>
            <w:r>
              <w:rPr>
                <w:lang w:val="hu-HU"/>
              </w:rPr>
              <w:t>takrolimusszal</w:t>
            </w:r>
            <w:r>
              <w:rPr>
                <w:spacing w:val="-4"/>
                <w:lang w:val="hu-HU"/>
              </w:rPr>
              <w:t xml:space="preserve"> </w:t>
            </w:r>
            <w:r>
              <w:rPr>
                <w:lang w:val="hu-HU"/>
              </w:rPr>
              <w:t>történő</w:t>
            </w:r>
            <w:r>
              <w:rPr>
                <w:spacing w:val="-4"/>
                <w:lang w:val="hu-HU"/>
              </w:rPr>
              <w:t xml:space="preserve"> </w:t>
            </w:r>
            <w:r>
              <w:rPr>
                <w:lang w:val="hu-HU"/>
              </w:rPr>
              <w:t>P</w:t>
            </w:r>
            <w:r>
              <w:rPr>
                <w:lang w:val="hu-HU"/>
              </w:rPr>
              <w:noBreakHyphen/>
              <w:t>gp</w:t>
            </w:r>
            <w:r>
              <w:rPr>
                <w:spacing w:val="-4"/>
                <w:lang w:val="hu-HU"/>
              </w:rPr>
              <w:t xml:space="preserve"> </w:t>
            </w:r>
            <w:r>
              <w:rPr>
                <w:lang w:val="hu-HU"/>
              </w:rPr>
              <w:t>gátlás</w:t>
            </w:r>
            <w:r>
              <w:rPr>
                <w:spacing w:val="-4"/>
                <w:lang w:val="hu-HU"/>
              </w:rPr>
              <w:t xml:space="preserve"> </w:t>
            </w:r>
            <w:r>
              <w:rPr>
                <w:lang w:val="hu-HU"/>
              </w:rPr>
              <w:t>gyengébb, mint</w:t>
            </w:r>
            <w:r>
              <w:rPr>
                <w:spacing w:val="-4"/>
                <w:lang w:val="hu-HU"/>
              </w:rPr>
              <w:t xml:space="preserve"> </w:t>
            </w:r>
            <w:r>
              <w:rPr>
                <w:lang w:val="hu-HU"/>
              </w:rPr>
              <w:t>amit</w:t>
            </w:r>
            <w:r>
              <w:rPr>
                <w:spacing w:val="-4"/>
                <w:lang w:val="hu-HU"/>
              </w:rPr>
              <w:t xml:space="preserve"> </w:t>
            </w:r>
            <w:r>
              <w:rPr>
                <w:lang w:val="hu-HU"/>
              </w:rPr>
              <w:t>az</w:t>
            </w:r>
            <w:r>
              <w:rPr>
                <w:spacing w:val="-4"/>
                <w:lang w:val="hu-HU"/>
              </w:rPr>
              <w:t xml:space="preserve"> </w:t>
            </w:r>
            <w:r>
              <w:rPr>
                <w:lang w:val="hu-HU"/>
              </w:rPr>
              <w:t>erős</w:t>
            </w:r>
            <w:r>
              <w:rPr>
                <w:spacing w:val="-5"/>
                <w:lang w:val="hu-HU"/>
              </w:rPr>
              <w:t xml:space="preserve"> </w:t>
            </w:r>
            <w:r>
              <w:rPr>
                <w:lang w:val="hu-HU"/>
              </w:rPr>
              <w:t>P</w:t>
            </w:r>
            <w:r>
              <w:rPr>
                <w:lang w:val="hu-HU"/>
              </w:rPr>
              <w:noBreakHyphen/>
              <w:t>gp</w:t>
            </w:r>
            <w:r>
              <w:rPr>
                <w:lang w:val="hu-HU"/>
              </w:rPr>
              <w:noBreakHyphen/>
              <w:t>inhibitorok</w:t>
            </w:r>
            <w:r>
              <w:rPr>
                <w:spacing w:val="-4"/>
                <w:lang w:val="hu-HU"/>
              </w:rPr>
              <w:t xml:space="preserve"> </w:t>
            </w:r>
            <w:r>
              <w:rPr>
                <w:lang w:val="hu-HU"/>
              </w:rPr>
              <w:t>mellett</w:t>
            </w:r>
            <w:r>
              <w:rPr>
                <w:spacing w:val="-5"/>
                <w:lang w:val="hu-HU"/>
              </w:rPr>
              <w:t xml:space="preserve"> </w:t>
            </w:r>
            <w:r>
              <w:rPr>
                <w:lang w:val="hu-HU"/>
              </w:rPr>
              <w:t>észleltek.</w:t>
            </w:r>
          </w:p>
        </w:tc>
      </w:tr>
      <w:tr w:rsidR="007D7140">
        <w:trPr>
          <w:trHeight w:val="415"/>
        </w:trPr>
        <w:tc>
          <w:tcPr>
            <w:tcW w:w="9072" w:type="dxa"/>
            <w:gridSpan w:val="2"/>
          </w:tcPr>
          <w:p w:rsidR="007D7140" w:rsidRDefault="00A207BA">
            <w:pPr>
              <w:keepNext/>
              <w:widowControl/>
              <w:ind w:left="142"/>
              <w:rPr>
                <w:i/>
                <w:lang w:val="hu-HU"/>
              </w:rPr>
            </w:pPr>
            <w:r>
              <w:rPr>
                <w:i/>
                <w:lang w:val="hu-HU"/>
              </w:rPr>
              <w:t>Egyidejű</w:t>
            </w:r>
            <w:r>
              <w:rPr>
                <w:i/>
                <w:spacing w:val="-3"/>
                <w:lang w:val="hu-HU"/>
              </w:rPr>
              <w:t xml:space="preserve"> </w:t>
            </w:r>
            <w:r>
              <w:rPr>
                <w:i/>
                <w:lang w:val="hu-HU"/>
              </w:rPr>
              <w:t>alkalmazás</w:t>
            </w:r>
            <w:r>
              <w:rPr>
                <w:i/>
                <w:spacing w:val="-4"/>
                <w:lang w:val="hu-HU"/>
              </w:rPr>
              <w:t xml:space="preserve"> </w:t>
            </w:r>
            <w:r>
              <w:rPr>
                <w:i/>
                <w:lang w:val="hu-HU"/>
              </w:rPr>
              <w:t>esetén</w:t>
            </w:r>
            <w:r>
              <w:rPr>
                <w:i/>
                <w:spacing w:val="-4"/>
                <w:lang w:val="hu-HU"/>
              </w:rPr>
              <w:t xml:space="preserve"> </w:t>
            </w:r>
            <w:r>
              <w:rPr>
                <w:i/>
                <w:lang w:val="hu-HU"/>
              </w:rPr>
              <w:t>óvatosság</w:t>
            </w:r>
            <w:r>
              <w:rPr>
                <w:i/>
                <w:spacing w:val="-4"/>
                <w:lang w:val="hu-HU"/>
              </w:rPr>
              <w:t xml:space="preserve"> </w:t>
            </w:r>
            <w:r>
              <w:rPr>
                <w:i/>
                <w:lang w:val="hu-HU"/>
              </w:rPr>
              <w:t>szükséges</w:t>
            </w:r>
            <w:r>
              <w:rPr>
                <w:i/>
                <w:spacing w:val="-4"/>
                <w:lang w:val="hu-HU"/>
              </w:rPr>
              <w:t xml:space="preserve"> </w:t>
            </w:r>
            <w:r>
              <w:rPr>
                <w:i/>
                <w:lang w:val="hu-HU"/>
              </w:rPr>
              <w:t>(lásd</w:t>
            </w:r>
            <w:r>
              <w:rPr>
                <w:i/>
                <w:spacing w:val="-3"/>
                <w:lang w:val="hu-HU"/>
              </w:rPr>
              <w:t xml:space="preserve"> </w:t>
            </w:r>
            <w:r>
              <w:rPr>
                <w:i/>
                <w:lang w:val="hu-HU"/>
              </w:rPr>
              <w:t>4.2</w:t>
            </w:r>
            <w:r>
              <w:rPr>
                <w:i/>
                <w:spacing w:val="-4"/>
                <w:lang w:val="hu-HU"/>
              </w:rPr>
              <w:t xml:space="preserve"> </w:t>
            </w:r>
            <w:r>
              <w:rPr>
                <w:i/>
                <w:lang w:val="hu-HU"/>
              </w:rPr>
              <w:t>és</w:t>
            </w:r>
            <w:r>
              <w:rPr>
                <w:i/>
                <w:spacing w:val="-4"/>
                <w:lang w:val="hu-HU"/>
              </w:rPr>
              <w:t xml:space="preserve"> </w:t>
            </w:r>
            <w:r>
              <w:rPr>
                <w:i/>
                <w:lang w:val="hu-HU"/>
              </w:rPr>
              <w:t>4.4</w:t>
            </w:r>
            <w:r>
              <w:rPr>
                <w:i/>
                <w:spacing w:val="-2"/>
                <w:lang w:val="hu-HU"/>
              </w:rPr>
              <w:t> pont</w:t>
            </w:r>
            <w:r>
              <w:rPr>
                <w:i/>
                <w:lang w:val="hu-HU"/>
              </w:rPr>
              <w:t>)</w:t>
            </w:r>
          </w:p>
        </w:tc>
      </w:tr>
      <w:tr w:rsidR="007D7140">
        <w:trPr>
          <w:trHeight w:val="4759"/>
        </w:trPr>
        <w:tc>
          <w:tcPr>
            <w:tcW w:w="2552" w:type="dxa"/>
          </w:tcPr>
          <w:p w:rsidR="007D7140" w:rsidRDefault="00A207BA">
            <w:pPr>
              <w:keepNext/>
              <w:widowControl/>
              <w:ind w:left="142"/>
              <w:rPr>
                <w:lang w:val="hu-HU"/>
              </w:rPr>
            </w:pPr>
            <w:r>
              <w:rPr>
                <w:lang w:val="hu-HU"/>
              </w:rPr>
              <w:t>Verapamil</w:t>
            </w:r>
          </w:p>
        </w:tc>
        <w:tc>
          <w:tcPr>
            <w:tcW w:w="6520" w:type="dxa"/>
          </w:tcPr>
          <w:p w:rsidR="007D7140" w:rsidRDefault="00A207BA">
            <w:pPr>
              <w:keepNext/>
              <w:widowControl/>
              <w:ind w:left="156"/>
              <w:rPr>
                <w:lang w:val="hu-HU"/>
              </w:rPr>
            </w:pPr>
            <w:r>
              <w:rPr>
                <w:lang w:val="hu-HU"/>
              </w:rPr>
              <w:t>Ha a dabigatrán</w:t>
            </w:r>
            <w:r>
              <w:rPr>
                <w:lang w:val="hu-HU"/>
              </w:rPr>
              <w:noBreakHyphen/>
              <w:t>etexilátot (150 mg) szájon át adagolt verapamillal adták együtt, a dabigatrán C</w:t>
            </w:r>
            <w:r>
              <w:rPr>
                <w:vertAlign w:val="subscript"/>
                <w:lang w:val="hu-HU"/>
              </w:rPr>
              <w:t>max</w:t>
            </w:r>
            <w:r>
              <w:rPr>
                <w:lang w:val="hu-HU"/>
              </w:rPr>
              <w:t xml:space="preserve"> és AUC értékei megnövekedtek, a változás</w:t>
            </w:r>
            <w:r>
              <w:rPr>
                <w:spacing w:val="1"/>
                <w:position w:val="2"/>
                <w:lang w:val="hu-HU"/>
              </w:rPr>
              <w:t xml:space="preserve"> </w:t>
            </w:r>
            <w:r>
              <w:rPr>
                <w:lang w:val="hu-HU"/>
              </w:rPr>
              <w:t>nagysága azonban a beadás idejétől és a verapamil gyógyszerformájától függően eltérő</w:t>
            </w:r>
            <w:r>
              <w:rPr>
                <w:spacing w:val="-1"/>
                <w:lang w:val="hu-HU"/>
              </w:rPr>
              <w:t xml:space="preserve"> </w:t>
            </w:r>
            <w:r>
              <w:rPr>
                <w:lang w:val="hu-HU"/>
              </w:rPr>
              <w:t>volt</w:t>
            </w:r>
            <w:r>
              <w:rPr>
                <w:spacing w:val="-1"/>
                <w:lang w:val="hu-HU"/>
              </w:rPr>
              <w:t xml:space="preserve"> </w:t>
            </w:r>
            <w:r>
              <w:rPr>
                <w:lang w:val="hu-HU"/>
              </w:rPr>
              <w:t>(lásd</w:t>
            </w:r>
            <w:r>
              <w:rPr>
                <w:spacing w:val="-2"/>
                <w:lang w:val="hu-HU"/>
              </w:rPr>
              <w:t xml:space="preserve"> </w:t>
            </w:r>
            <w:r>
              <w:rPr>
                <w:lang w:val="hu-HU"/>
              </w:rPr>
              <w:t>4.2</w:t>
            </w:r>
            <w:r>
              <w:rPr>
                <w:spacing w:val="-1"/>
                <w:lang w:val="hu-HU"/>
              </w:rPr>
              <w:t xml:space="preserve"> </w:t>
            </w:r>
            <w:r>
              <w:rPr>
                <w:lang w:val="hu-HU"/>
              </w:rPr>
              <w:t>és</w:t>
            </w:r>
            <w:r>
              <w:rPr>
                <w:spacing w:val="-1"/>
                <w:lang w:val="hu-HU"/>
              </w:rPr>
              <w:t xml:space="preserve"> </w:t>
            </w:r>
            <w:r>
              <w:rPr>
                <w:lang w:val="hu-HU"/>
              </w:rPr>
              <w:t>4.4</w:t>
            </w:r>
            <w:r>
              <w:rPr>
                <w:spacing w:val="-4"/>
                <w:lang w:val="hu-HU"/>
              </w:rPr>
              <w:t> pont</w:t>
            </w:r>
            <w:r>
              <w:rPr>
                <w:lang w:val="hu-HU"/>
              </w:rPr>
              <w:t>).</w:t>
            </w:r>
          </w:p>
          <w:p w:rsidR="007D7140" w:rsidRDefault="007D7140">
            <w:pPr>
              <w:ind w:left="189"/>
              <w:rPr>
                <w:lang w:val="hu-HU"/>
              </w:rPr>
            </w:pPr>
          </w:p>
          <w:p w:rsidR="007D7140" w:rsidRDefault="00A207BA">
            <w:pPr>
              <w:ind w:left="189"/>
              <w:rPr>
                <w:lang w:val="hu-HU"/>
              </w:rPr>
            </w:pPr>
            <w:r>
              <w:rPr>
                <w:lang w:val="hu-HU"/>
              </w:rPr>
              <w:t>A dabigatrán</w:t>
            </w:r>
            <w:r>
              <w:rPr>
                <w:lang w:val="hu-HU"/>
              </w:rPr>
              <w:noBreakHyphen/>
              <w:t>expozíció legnagyobb mértékű növekedését akkor figyelték</w:t>
            </w:r>
            <w:r>
              <w:rPr>
                <w:spacing w:val="1"/>
                <w:lang w:val="hu-HU"/>
              </w:rPr>
              <w:t xml:space="preserve"> </w:t>
            </w:r>
            <w:r>
              <w:rPr>
                <w:lang w:val="hu-HU"/>
              </w:rPr>
              <w:t>meg, amikor a verapamil azonnali hatóanyagleadású gyógyszerformájának</w:t>
            </w:r>
            <w:r>
              <w:rPr>
                <w:spacing w:val="1"/>
                <w:lang w:val="hu-HU"/>
              </w:rPr>
              <w:t xml:space="preserve"> </w:t>
            </w:r>
            <w:r>
              <w:rPr>
                <w:lang w:val="hu-HU"/>
              </w:rPr>
              <w:t>első dózisát a dabigatrán</w:t>
            </w:r>
            <w:r>
              <w:rPr>
                <w:lang w:val="hu-HU"/>
              </w:rPr>
              <w:noBreakHyphen/>
              <w:t>etexilát bevétele előtt 1 órával alkalmazták (a C</w:t>
            </w:r>
            <w:r>
              <w:rPr>
                <w:vertAlign w:val="subscript"/>
                <w:lang w:val="hu-HU"/>
              </w:rPr>
              <w:t xml:space="preserve">max </w:t>
            </w:r>
            <w:r>
              <w:rPr>
                <w:lang w:val="hu-HU"/>
              </w:rPr>
              <w:t>kb. 2,8</w:t>
            </w:r>
            <w:r>
              <w:rPr>
                <w:lang w:val="hu-HU"/>
              </w:rPr>
              <w:noBreakHyphen/>
              <w:t>szeresére, az AUC kb. 2,5</w:t>
            </w:r>
            <w:r>
              <w:rPr>
                <w:lang w:val="hu-HU"/>
              </w:rPr>
              <w:noBreakHyphen/>
              <w:t>szeresére növekedett). A hatás</w:t>
            </w:r>
            <w:r>
              <w:rPr>
                <w:spacing w:val="1"/>
                <w:lang w:val="hu-HU"/>
              </w:rPr>
              <w:t xml:space="preserve"> </w:t>
            </w:r>
            <w:r>
              <w:rPr>
                <w:lang w:val="hu-HU"/>
              </w:rPr>
              <w:t>progresszíven csökkent egy retard gyógyszerforma alkalmazásakor (a C</w:t>
            </w:r>
            <w:r>
              <w:rPr>
                <w:vertAlign w:val="subscript"/>
                <w:lang w:val="hu-HU"/>
              </w:rPr>
              <w:t>max</w:t>
            </w:r>
            <w:r>
              <w:rPr>
                <w:lang w:val="hu-HU"/>
              </w:rPr>
              <w:t xml:space="preserve"> kb. 1,9</w:t>
            </w:r>
            <w:r>
              <w:rPr>
                <w:lang w:val="hu-HU"/>
              </w:rPr>
              <w:noBreakHyphen/>
              <w:t>szeresére, az AUC kb. 1,7</w:t>
            </w:r>
            <w:r>
              <w:rPr>
                <w:lang w:val="hu-HU"/>
              </w:rPr>
              <w:noBreakHyphen/>
              <w:t>szeresére nőtt), illetve a verapamil ismételt</w:t>
            </w:r>
            <w:r>
              <w:rPr>
                <w:spacing w:val="1"/>
                <w:lang w:val="hu-HU"/>
              </w:rPr>
              <w:t xml:space="preserve"> </w:t>
            </w:r>
            <w:r>
              <w:rPr>
                <w:lang w:val="hu-HU"/>
              </w:rPr>
              <w:t>adagolásakor</w:t>
            </w:r>
            <w:r>
              <w:rPr>
                <w:spacing w:val="-2"/>
                <w:lang w:val="hu-HU"/>
              </w:rPr>
              <w:t xml:space="preserve"> </w:t>
            </w:r>
            <w:r>
              <w:rPr>
                <w:lang w:val="hu-HU"/>
              </w:rPr>
              <w:t>(a</w:t>
            </w:r>
            <w:r>
              <w:rPr>
                <w:spacing w:val="-3"/>
                <w:lang w:val="hu-HU"/>
              </w:rPr>
              <w:t xml:space="preserve"> </w:t>
            </w:r>
            <w:r>
              <w:rPr>
                <w:lang w:val="hu-HU"/>
              </w:rPr>
              <w:t>C</w:t>
            </w:r>
            <w:r>
              <w:rPr>
                <w:vertAlign w:val="subscript"/>
                <w:lang w:val="hu-HU"/>
              </w:rPr>
              <w:t>max</w:t>
            </w:r>
            <w:r>
              <w:rPr>
                <w:spacing w:val="18"/>
                <w:lang w:val="hu-HU"/>
              </w:rPr>
              <w:t xml:space="preserve"> </w:t>
            </w:r>
            <w:r>
              <w:rPr>
                <w:lang w:val="hu-HU"/>
              </w:rPr>
              <w:t>kb.</w:t>
            </w:r>
            <w:r>
              <w:rPr>
                <w:spacing w:val="-3"/>
                <w:lang w:val="hu-HU"/>
              </w:rPr>
              <w:t xml:space="preserve"> </w:t>
            </w:r>
            <w:r>
              <w:rPr>
                <w:lang w:val="hu-HU"/>
              </w:rPr>
              <w:t>1,6</w:t>
            </w:r>
            <w:r>
              <w:rPr>
                <w:lang w:val="hu-HU"/>
              </w:rPr>
              <w:noBreakHyphen/>
              <w:t>szeresére,</w:t>
            </w:r>
            <w:r>
              <w:rPr>
                <w:spacing w:val="-3"/>
                <w:lang w:val="hu-HU"/>
              </w:rPr>
              <w:t xml:space="preserve"> </w:t>
            </w:r>
            <w:r>
              <w:rPr>
                <w:lang w:val="hu-HU"/>
              </w:rPr>
              <w:t>az</w:t>
            </w:r>
            <w:r>
              <w:rPr>
                <w:spacing w:val="-3"/>
                <w:lang w:val="hu-HU"/>
              </w:rPr>
              <w:t xml:space="preserve"> </w:t>
            </w:r>
            <w:r>
              <w:rPr>
                <w:lang w:val="hu-HU"/>
              </w:rPr>
              <w:t>AUC</w:t>
            </w:r>
            <w:r>
              <w:rPr>
                <w:spacing w:val="-3"/>
                <w:lang w:val="hu-HU"/>
              </w:rPr>
              <w:t xml:space="preserve"> </w:t>
            </w:r>
            <w:r>
              <w:rPr>
                <w:lang w:val="hu-HU"/>
              </w:rPr>
              <w:t>kb.</w:t>
            </w:r>
            <w:r>
              <w:rPr>
                <w:spacing w:val="-2"/>
                <w:lang w:val="hu-HU"/>
              </w:rPr>
              <w:t xml:space="preserve"> </w:t>
            </w:r>
            <w:r>
              <w:rPr>
                <w:lang w:val="hu-HU"/>
              </w:rPr>
              <w:t>1,5</w:t>
            </w:r>
            <w:r>
              <w:rPr>
                <w:lang w:val="hu-HU"/>
              </w:rPr>
              <w:noBreakHyphen/>
              <w:t>szeresére</w:t>
            </w:r>
            <w:r>
              <w:rPr>
                <w:spacing w:val="-2"/>
                <w:lang w:val="hu-HU"/>
              </w:rPr>
              <w:t xml:space="preserve"> </w:t>
            </w:r>
            <w:r>
              <w:rPr>
                <w:lang w:val="hu-HU"/>
              </w:rPr>
              <w:t>nőtt).</w:t>
            </w:r>
          </w:p>
          <w:p w:rsidR="007D7140" w:rsidRDefault="007D7140">
            <w:pPr>
              <w:ind w:firstLine="143"/>
              <w:rPr>
                <w:lang w:val="hu-HU"/>
              </w:rPr>
            </w:pPr>
          </w:p>
          <w:p w:rsidR="007D7140" w:rsidRDefault="00A207BA">
            <w:pPr>
              <w:pStyle w:val="Nincstrkz"/>
              <w:ind w:left="189"/>
              <w:rPr>
                <w:lang w:val="hu-HU"/>
              </w:rPr>
            </w:pPr>
            <w:r>
              <w:rPr>
                <w:lang w:val="hu-HU"/>
              </w:rPr>
              <w:t>Nem volt megfigyelhető számottevő kölcsönhatás, ha a dabigatrán</w:t>
            </w:r>
            <w:r>
              <w:rPr>
                <w:lang w:val="hu-HU"/>
              </w:rPr>
              <w:noBreakHyphen/>
              <w:t>etexilát alkalmazása után 2 órával később adták a verapamilt (a C</w:t>
            </w:r>
            <w:r>
              <w:rPr>
                <w:vertAlign w:val="subscript"/>
                <w:lang w:val="hu-HU"/>
              </w:rPr>
              <w:t>max</w:t>
            </w:r>
            <w:r>
              <w:rPr>
                <w:lang w:val="hu-HU"/>
              </w:rPr>
              <w:t xml:space="preserve"> kb. 1,1</w:t>
            </w:r>
            <w:r>
              <w:rPr>
                <w:lang w:val="hu-HU"/>
              </w:rPr>
              <w:noBreakHyphen/>
              <w:t>szeresére, az AUC kb. 1,2</w:t>
            </w:r>
            <w:r>
              <w:rPr>
                <w:lang w:val="hu-HU"/>
              </w:rPr>
              <w:noBreakHyphen/>
              <w:t>szeresére növekedett). Ezt azzal magyarázzák, hogy a dabigatrán felszívódása 2 óra alatt lezajlik.</w:t>
            </w:r>
          </w:p>
        </w:tc>
      </w:tr>
      <w:tr w:rsidR="007D7140">
        <w:trPr>
          <w:trHeight w:val="2122"/>
        </w:trPr>
        <w:tc>
          <w:tcPr>
            <w:tcW w:w="2552" w:type="dxa"/>
          </w:tcPr>
          <w:p w:rsidR="007D7140" w:rsidRDefault="00A207BA">
            <w:pPr>
              <w:ind w:left="142"/>
              <w:rPr>
                <w:lang w:val="hu-HU"/>
              </w:rPr>
            </w:pPr>
            <w:r>
              <w:rPr>
                <w:lang w:val="hu-HU"/>
              </w:rPr>
              <w:t>Amiodaron</w:t>
            </w:r>
          </w:p>
        </w:tc>
        <w:tc>
          <w:tcPr>
            <w:tcW w:w="6520" w:type="dxa"/>
          </w:tcPr>
          <w:p w:rsidR="007D7140" w:rsidRDefault="00A207BA">
            <w:pPr>
              <w:ind w:left="156"/>
              <w:rPr>
                <w:lang w:val="hu-HU"/>
              </w:rPr>
            </w:pPr>
            <w:r>
              <w:rPr>
                <w:lang w:val="hu-HU"/>
              </w:rPr>
              <w:t>Amikor a dabigatrán</w:t>
            </w:r>
            <w:r>
              <w:rPr>
                <w:lang w:val="hu-HU"/>
              </w:rPr>
              <w:noBreakHyphen/>
              <w:t>etexilátot 600 mg</w:t>
            </w:r>
            <w:r>
              <w:rPr>
                <w:lang w:val="hu-HU"/>
              </w:rPr>
              <w:noBreakHyphen/>
              <w:t xml:space="preserve">os egyszeri dózisú </w:t>
            </w:r>
            <w:r>
              <w:rPr>
                <w:i/>
                <w:lang w:val="hu-HU"/>
              </w:rPr>
              <w:t>per os</w:t>
            </w:r>
            <w:r>
              <w:rPr>
                <w:spacing w:val="1"/>
                <w:lang w:val="hu-HU"/>
              </w:rPr>
              <w:t xml:space="preserve"> </w:t>
            </w:r>
            <w:r>
              <w:rPr>
                <w:lang w:val="hu-HU"/>
              </w:rPr>
              <w:t xml:space="preserve">amiodaronnal adták együtt, az amiodaron és aktív metabolitja, a </w:t>
            </w:r>
            <w:r>
              <w:rPr>
                <w:shd w:val="clear" w:color="auto" w:fill="FFFFFF"/>
                <w:lang w:val="hu-HU"/>
              </w:rPr>
              <w:t>dezetil</w:t>
            </w:r>
            <w:r>
              <w:rPr>
                <w:shd w:val="clear" w:color="auto" w:fill="FFFFFF"/>
                <w:lang w:val="hu-HU"/>
              </w:rPr>
              <w:noBreakHyphen/>
            </w:r>
            <w:r>
              <w:rPr>
                <w:rStyle w:val="Kiemels"/>
                <w:i w:val="0"/>
                <w:shd w:val="clear" w:color="auto" w:fill="FFFFFF"/>
                <w:lang w:val="hu-HU"/>
              </w:rPr>
              <w:t>amiodaron</w:t>
            </w:r>
            <w:r>
              <w:rPr>
                <w:lang w:val="hu-HU"/>
              </w:rPr>
              <w:t xml:space="preserve"> (DEA)</w:t>
            </w:r>
            <w:r>
              <w:rPr>
                <w:spacing w:val="1"/>
                <w:lang w:val="hu-HU"/>
              </w:rPr>
              <w:t xml:space="preserve"> </w:t>
            </w:r>
            <w:r>
              <w:rPr>
                <w:lang w:val="hu-HU"/>
              </w:rPr>
              <w:t>felszívódásának mértéke és sebessége gyakorlatilag változatlan maradt. A dabigatrán AUC</w:t>
            </w:r>
            <w:r>
              <w:rPr>
                <w:lang w:val="hu-HU"/>
              </w:rPr>
              <w:noBreakHyphen/>
              <w:t>je 1,6</w:t>
            </w:r>
            <w:r>
              <w:rPr>
                <w:lang w:val="hu-HU"/>
              </w:rPr>
              <w:noBreakHyphen/>
              <w:t>szeresére, C</w:t>
            </w:r>
            <w:r>
              <w:rPr>
                <w:vertAlign w:val="subscript"/>
                <w:lang w:val="hu-HU"/>
              </w:rPr>
              <w:t>max</w:t>
            </w:r>
            <w:r>
              <w:rPr>
                <w:lang w:val="hu-HU"/>
              </w:rPr>
              <w:t xml:space="preserve"> értéke pedig 1,5</w:t>
            </w:r>
            <w:r>
              <w:rPr>
                <w:lang w:val="hu-HU"/>
              </w:rPr>
              <w:noBreakHyphen/>
              <w:t>szeresére nőtt. Ennek a kölcsönhatásnak a mechanizmusa nem teljesen tisztázott. Az amiodaron hosszú felezési idejére való tekintettel a kölcsönhatás lehetősége még az amiodaron leállítását követően több héttel is fennállhat. (lásd 4.2 és 4.4 pont).</w:t>
            </w:r>
          </w:p>
        </w:tc>
      </w:tr>
      <w:tr w:rsidR="007D7140">
        <w:trPr>
          <w:trHeight w:val="1402"/>
        </w:trPr>
        <w:tc>
          <w:tcPr>
            <w:tcW w:w="2552" w:type="dxa"/>
          </w:tcPr>
          <w:p w:rsidR="007D7140" w:rsidRDefault="00A207BA">
            <w:pPr>
              <w:ind w:left="142"/>
              <w:rPr>
                <w:lang w:val="hu-HU"/>
              </w:rPr>
            </w:pPr>
            <w:r>
              <w:rPr>
                <w:lang w:val="hu-HU"/>
              </w:rPr>
              <w:t>Kinidin</w:t>
            </w:r>
          </w:p>
        </w:tc>
        <w:tc>
          <w:tcPr>
            <w:tcW w:w="6520" w:type="dxa"/>
          </w:tcPr>
          <w:p w:rsidR="007D7140" w:rsidRDefault="00A207BA">
            <w:pPr>
              <w:pStyle w:val="Nincstrkz"/>
              <w:ind w:left="189"/>
              <w:rPr>
                <w:lang w:val="hu-HU"/>
              </w:rPr>
            </w:pPr>
            <w:r>
              <w:rPr>
                <w:lang w:val="hu-HU"/>
              </w:rPr>
              <w:t>A kinidint 200 mg</w:t>
            </w:r>
            <w:r>
              <w:rPr>
                <w:lang w:val="hu-HU"/>
              </w:rPr>
              <w:noBreakHyphen/>
              <w:t>os dózisban 2 óránként adták 1000 mg</w:t>
            </w:r>
            <w:r>
              <w:rPr>
                <w:lang w:val="hu-HU"/>
              </w:rPr>
              <w:noBreakHyphen/>
              <w:t>os összdózisig. A dabigatrán</w:t>
            </w:r>
            <w:r>
              <w:rPr>
                <w:lang w:val="hu-HU"/>
              </w:rPr>
              <w:noBreakHyphen/>
              <w:t>etexilátot naponta kétszer adták 3 egymást követő</w:t>
            </w:r>
            <w:r>
              <w:t xml:space="preserve"> </w:t>
            </w:r>
            <w:r>
              <w:rPr>
                <w:lang w:val="hu-HU"/>
              </w:rPr>
              <w:t>napon, a harmadik napon kinidinnel vagy anélkül. A dabigatrán AUC</w:t>
            </w:r>
            <w:r>
              <w:rPr>
                <w:vertAlign w:val="subscript"/>
              </w:rPr>
              <w:t>τ,ss</w:t>
            </w:r>
            <w:r>
              <w:t xml:space="preserve"> </w:t>
            </w:r>
            <w:r>
              <w:rPr>
                <w:lang w:val="hu-HU"/>
              </w:rPr>
              <w:t>értéke 1,53-szorosára, a C</w:t>
            </w:r>
            <w:r>
              <w:rPr>
                <w:vertAlign w:val="subscript"/>
                <w:lang w:val="hu-HU"/>
              </w:rPr>
              <w:t>max.ss</w:t>
            </w:r>
            <w:r>
              <w:rPr>
                <w:lang w:val="hu-HU"/>
              </w:rPr>
              <w:t xml:space="preserve"> értéke pedig 1,56</w:t>
            </w:r>
            <w:r>
              <w:rPr>
                <w:lang w:val="hu-HU"/>
              </w:rPr>
              <w:noBreakHyphen/>
              <w:t>szorosára nőtt kinidin egyidejű alkalmazása esetén (lásd 4.2 és 4.4 pont).</w:t>
            </w:r>
          </w:p>
        </w:tc>
      </w:tr>
      <w:tr w:rsidR="007D7140">
        <w:trPr>
          <w:trHeight w:val="760"/>
        </w:trPr>
        <w:tc>
          <w:tcPr>
            <w:tcW w:w="2552" w:type="dxa"/>
          </w:tcPr>
          <w:p w:rsidR="007D7140" w:rsidRDefault="00A207BA">
            <w:pPr>
              <w:ind w:left="142"/>
              <w:rPr>
                <w:lang w:val="hu-HU"/>
              </w:rPr>
            </w:pPr>
            <w:r>
              <w:rPr>
                <w:lang w:val="hu-HU"/>
              </w:rPr>
              <w:t>Klaritromicin</w:t>
            </w:r>
          </w:p>
        </w:tc>
        <w:tc>
          <w:tcPr>
            <w:tcW w:w="6520" w:type="dxa"/>
          </w:tcPr>
          <w:p w:rsidR="007D7140" w:rsidRDefault="00A207BA">
            <w:pPr>
              <w:ind w:left="156"/>
              <w:rPr>
                <w:lang w:val="hu-HU"/>
              </w:rPr>
            </w:pPr>
            <w:r>
              <w:rPr>
                <w:lang w:val="hu-HU"/>
              </w:rPr>
              <w:t>Amikor</w:t>
            </w:r>
            <w:r>
              <w:rPr>
                <w:spacing w:val="-7"/>
                <w:lang w:val="hu-HU"/>
              </w:rPr>
              <w:t xml:space="preserve"> </w:t>
            </w:r>
            <w:r>
              <w:rPr>
                <w:lang w:val="hu-HU"/>
              </w:rPr>
              <w:t>egészséges</w:t>
            </w:r>
            <w:r>
              <w:rPr>
                <w:spacing w:val="-6"/>
                <w:lang w:val="hu-HU"/>
              </w:rPr>
              <w:t xml:space="preserve"> </w:t>
            </w:r>
            <w:r>
              <w:rPr>
                <w:lang w:val="hu-HU"/>
              </w:rPr>
              <w:t>önkénteseknek</w:t>
            </w:r>
            <w:r>
              <w:rPr>
                <w:spacing w:val="-6"/>
                <w:lang w:val="hu-HU"/>
              </w:rPr>
              <w:t xml:space="preserve"> </w:t>
            </w:r>
            <w:r>
              <w:rPr>
                <w:lang w:val="hu-HU"/>
              </w:rPr>
              <w:t>klaritromicint</w:t>
            </w:r>
            <w:r>
              <w:rPr>
                <w:spacing w:val="-7"/>
                <w:lang w:val="hu-HU"/>
              </w:rPr>
              <w:t xml:space="preserve"> </w:t>
            </w:r>
            <w:r>
              <w:rPr>
                <w:lang w:val="hu-HU"/>
              </w:rPr>
              <w:t>(naponta</w:t>
            </w:r>
            <w:r>
              <w:rPr>
                <w:spacing w:val="-6"/>
                <w:lang w:val="hu-HU"/>
              </w:rPr>
              <w:t xml:space="preserve"> </w:t>
            </w:r>
            <w:r>
              <w:rPr>
                <w:lang w:val="hu-HU"/>
              </w:rPr>
              <w:t>kétszer 500</w:t>
            </w:r>
            <w:r>
              <w:rPr>
                <w:spacing w:val="-5"/>
                <w:lang w:val="hu-HU"/>
              </w:rPr>
              <w:t> mg</w:t>
            </w:r>
            <w:r>
              <w:rPr>
                <w:spacing w:val="-5"/>
                <w:lang w:val="hu-HU"/>
              </w:rPr>
              <w:noBreakHyphen/>
            </w:r>
            <w:r>
              <w:rPr>
                <w:lang w:val="hu-HU"/>
              </w:rPr>
              <w:t>os</w:t>
            </w:r>
            <w:r>
              <w:rPr>
                <w:spacing w:val="-5"/>
                <w:lang w:val="hu-HU"/>
              </w:rPr>
              <w:t xml:space="preserve"> </w:t>
            </w:r>
            <w:r>
              <w:rPr>
                <w:lang w:val="hu-HU"/>
              </w:rPr>
              <w:t>adagban)</w:t>
            </w:r>
            <w:r>
              <w:rPr>
                <w:spacing w:val="-5"/>
                <w:lang w:val="hu-HU"/>
              </w:rPr>
              <w:t xml:space="preserve"> </w:t>
            </w:r>
            <w:r>
              <w:rPr>
                <w:lang w:val="hu-HU"/>
              </w:rPr>
              <w:t>adtak</w:t>
            </w:r>
            <w:r>
              <w:rPr>
                <w:spacing w:val="-5"/>
                <w:lang w:val="hu-HU"/>
              </w:rPr>
              <w:t xml:space="preserve"> </w:t>
            </w:r>
            <w:r>
              <w:rPr>
                <w:lang w:val="hu-HU"/>
              </w:rPr>
              <w:t>együtt</w:t>
            </w:r>
            <w:r>
              <w:rPr>
                <w:spacing w:val="-5"/>
                <w:lang w:val="hu-HU"/>
              </w:rPr>
              <w:t xml:space="preserve"> </w:t>
            </w:r>
            <w:r>
              <w:rPr>
                <w:lang w:val="hu-HU"/>
              </w:rPr>
              <w:t>dabigatrán</w:t>
            </w:r>
            <w:r>
              <w:rPr>
                <w:lang w:val="hu-HU"/>
              </w:rPr>
              <w:noBreakHyphen/>
              <w:t>etexiláttal,</w:t>
            </w:r>
            <w:r>
              <w:rPr>
                <w:spacing w:val="-5"/>
                <w:lang w:val="hu-HU"/>
              </w:rPr>
              <w:t xml:space="preserve"> </w:t>
            </w:r>
            <w:r>
              <w:rPr>
                <w:lang w:val="hu-HU"/>
              </w:rPr>
              <w:t>1,19</w:t>
            </w:r>
            <w:r>
              <w:rPr>
                <w:lang w:val="hu-HU"/>
              </w:rPr>
              <w:noBreakHyphen/>
              <w:t>szoros</w:t>
            </w:r>
            <w:r>
              <w:rPr>
                <w:spacing w:val="-5"/>
                <w:lang w:val="hu-HU"/>
              </w:rPr>
              <w:t xml:space="preserve"> </w:t>
            </w:r>
            <w:r>
              <w:rPr>
                <w:lang w:val="hu-HU"/>
              </w:rPr>
              <w:t>AUC</w:t>
            </w:r>
            <w:r>
              <w:rPr>
                <w:lang w:val="hu-HU"/>
              </w:rPr>
              <w:noBreakHyphen/>
              <w:t xml:space="preserve"> és 1,15</w:t>
            </w:r>
            <w:r>
              <w:rPr>
                <w:lang w:val="hu-HU"/>
              </w:rPr>
              <w:noBreakHyphen/>
              <w:t>szoros C</w:t>
            </w:r>
            <w:r>
              <w:rPr>
                <w:vertAlign w:val="subscript"/>
                <w:lang w:val="hu-HU"/>
              </w:rPr>
              <w:t>max</w:t>
            </w:r>
            <w:r>
              <w:rPr>
                <w:lang w:val="hu-HU"/>
              </w:rPr>
              <w:t xml:space="preserve"> növekedést mértek. </w:t>
            </w:r>
          </w:p>
        </w:tc>
      </w:tr>
      <w:tr w:rsidR="007D7140">
        <w:trPr>
          <w:trHeight w:val="273"/>
        </w:trPr>
        <w:tc>
          <w:tcPr>
            <w:tcW w:w="2552" w:type="dxa"/>
          </w:tcPr>
          <w:p w:rsidR="007D7140" w:rsidRDefault="00A207BA">
            <w:pPr>
              <w:ind w:left="142"/>
              <w:rPr>
                <w:lang w:val="hu-HU"/>
              </w:rPr>
            </w:pPr>
            <w:r>
              <w:rPr>
                <w:lang w:val="hu-HU"/>
              </w:rPr>
              <w:t>Tikagrelor</w:t>
            </w:r>
          </w:p>
        </w:tc>
        <w:tc>
          <w:tcPr>
            <w:tcW w:w="6520" w:type="dxa"/>
          </w:tcPr>
          <w:p w:rsidR="007D7140" w:rsidRDefault="00A207BA">
            <w:pPr>
              <w:pStyle w:val="Nincstrkz"/>
              <w:ind w:left="189"/>
              <w:rPr>
                <w:lang w:val="hu-HU"/>
              </w:rPr>
            </w:pPr>
            <w:r>
              <w:rPr>
                <w:lang w:val="hu-HU"/>
              </w:rPr>
              <w:t>Dabigatrán</w:t>
            </w:r>
            <w:r>
              <w:rPr>
                <w:lang w:val="hu-HU"/>
              </w:rPr>
              <w:noBreakHyphen/>
              <w:t>etexilát 75 mg</w:t>
            </w:r>
            <w:r>
              <w:rPr>
                <w:lang w:val="hu-HU"/>
              </w:rPr>
              <w:noBreakHyphen/>
              <w:t>os egyszeri dózisát egyidejűleg alkalmazva</w:t>
            </w:r>
            <w:r>
              <w:rPr>
                <w:spacing w:val="1"/>
                <w:lang w:val="hu-HU"/>
              </w:rPr>
              <w:t xml:space="preserve"> </w:t>
            </w:r>
            <w:r>
              <w:rPr>
                <w:lang w:val="hu-HU"/>
              </w:rPr>
              <w:t>tikagrelor 180 mg</w:t>
            </w:r>
            <w:r>
              <w:rPr>
                <w:lang w:val="hu-HU"/>
              </w:rPr>
              <w:noBreakHyphen/>
              <w:t>os telítő dózisával, a dabigatrán AUC 1,73</w:t>
            </w:r>
            <w:r>
              <w:rPr>
                <w:lang w:val="hu-HU"/>
              </w:rPr>
              <w:noBreakHyphen/>
              <w:t>szorosára, a</w:t>
            </w:r>
            <w:r>
              <w:rPr>
                <w:spacing w:val="1"/>
                <w:lang w:val="hu-HU"/>
              </w:rPr>
              <w:t xml:space="preserve"> </w:t>
            </w:r>
            <w:r>
              <w:rPr>
                <w:lang w:val="hu-HU"/>
              </w:rPr>
              <w:t>C</w:t>
            </w:r>
            <w:r>
              <w:rPr>
                <w:vertAlign w:val="subscript"/>
                <w:lang w:val="hu-HU"/>
              </w:rPr>
              <w:t>max</w:t>
            </w:r>
            <w:r>
              <w:rPr>
                <w:lang w:val="hu-HU"/>
              </w:rPr>
              <w:t xml:space="preserve"> 1,95</w:t>
            </w:r>
            <w:r>
              <w:rPr>
                <w:lang w:val="hu-HU"/>
              </w:rPr>
              <w:noBreakHyphen/>
              <w:t>szorosára nőtt. A tikaglerol napi kétszer 90 mg</w:t>
            </w:r>
            <w:r>
              <w:rPr>
                <w:lang w:val="hu-HU"/>
              </w:rPr>
              <w:noBreakHyphen/>
              <w:t>os dózisú ismételt adagolását követően a dabigatrán</w:t>
            </w:r>
            <w:r>
              <w:rPr>
                <w:lang w:val="hu-HU"/>
              </w:rPr>
              <w:noBreakHyphen/>
              <w:t>expozíció növekedése a C</w:t>
            </w:r>
            <w:r>
              <w:rPr>
                <w:vertAlign w:val="subscript"/>
                <w:lang w:val="hu-HU"/>
              </w:rPr>
              <w:t>max</w:t>
            </w:r>
            <w:r>
              <w:rPr>
                <w:lang w:val="hu-HU"/>
              </w:rPr>
              <w:t xml:space="preserve"> és az AUC tekintetében sorrendben 1,56</w:t>
            </w:r>
            <w:r>
              <w:rPr>
                <w:lang w:val="hu-HU"/>
              </w:rPr>
              <w:noBreakHyphen/>
              <w:t>szoros, és 1,46</w:t>
            </w:r>
            <w:r>
              <w:rPr>
                <w:lang w:val="hu-HU"/>
              </w:rPr>
              <w:noBreakHyphen/>
              <w:t>szoros lett.</w:t>
            </w:r>
          </w:p>
          <w:p w:rsidR="007D7140" w:rsidRDefault="00A207BA">
            <w:pPr>
              <w:ind w:left="140"/>
              <w:rPr>
                <w:lang w:val="hu-HU"/>
              </w:rPr>
            </w:pPr>
            <w:r>
              <w:rPr>
                <w:lang w:val="hu-HU"/>
              </w:rPr>
              <w:lastRenderedPageBreak/>
              <w:t>180 mg telítő dózisú tikagrelor és 110 mg dabigatrán</w:t>
            </w:r>
            <w:r>
              <w:rPr>
                <w:lang w:val="hu-HU"/>
              </w:rPr>
              <w:noBreakHyphen/>
              <w:t>etexilát egyidejű</w:t>
            </w:r>
            <w:r>
              <w:rPr>
                <w:spacing w:val="1"/>
                <w:lang w:val="hu-HU"/>
              </w:rPr>
              <w:t xml:space="preserve"> </w:t>
            </w:r>
            <w:r>
              <w:rPr>
                <w:lang w:val="hu-HU"/>
              </w:rPr>
              <w:t>alkalmazása (dinamikus egyensúlyi állapotban) a dabigatrán AUC</w:t>
            </w:r>
            <w:r>
              <w:rPr>
                <w:vertAlign w:val="subscript"/>
                <w:lang w:val="hu-HU"/>
              </w:rPr>
              <w:t>t.ss</w:t>
            </w:r>
            <w:r>
              <w:rPr>
                <w:lang w:val="hu-HU"/>
              </w:rPr>
              <w:t xml:space="preserve"> értékét 1,49</w:t>
            </w:r>
            <w:r>
              <w:rPr>
                <w:lang w:val="hu-HU"/>
              </w:rPr>
              <w:noBreakHyphen/>
              <w:t>szorosára, a C</w:t>
            </w:r>
            <w:r>
              <w:rPr>
                <w:vertAlign w:val="subscript"/>
                <w:lang w:val="hu-HU"/>
              </w:rPr>
              <w:t>max.ss</w:t>
            </w:r>
            <w:r>
              <w:rPr>
                <w:lang w:val="hu-HU"/>
              </w:rPr>
              <w:t xml:space="preserve"> értéket 1,65</w:t>
            </w:r>
            <w:r>
              <w:rPr>
                <w:lang w:val="hu-HU"/>
              </w:rPr>
              <w:noBreakHyphen/>
              <w:t>szorosára emelte az önmagában adott</w:t>
            </w:r>
            <w:r>
              <w:rPr>
                <w:spacing w:val="1"/>
                <w:lang w:val="hu-HU"/>
              </w:rPr>
              <w:t xml:space="preserve"> </w:t>
            </w:r>
            <w:r>
              <w:rPr>
                <w:lang w:val="hu-HU"/>
              </w:rPr>
              <w:t>dabigatrán</w:t>
            </w:r>
            <w:r>
              <w:rPr>
                <w:lang w:val="hu-HU"/>
              </w:rPr>
              <w:noBreakHyphen/>
              <w:t>etexiláthoz képest. Ha a tikagrelor 180 mg</w:t>
            </w:r>
            <w:r>
              <w:rPr>
                <w:lang w:val="hu-HU"/>
              </w:rPr>
              <w:noBreakHyphen/>
              <w:t>os telítő dózisát 2 órával a 110 mg dabigatrán</w:t>
            </w:r>
            <w:r>
              <w:rPr>
                <w:lang w:val="hu-HU"/>
              </w:rPr>
              <w:noBreakHyphen/>
              <w:t>etexilát után adták (dinamikus egyensúlyi állapotban), a dabigatrán AUC</w:t>
            </w:r>
            <w:r>
              <w:rPr>
                <w:vertAlign w:val="subscript"/>
                <w:lang w:val="hu-HU"/>
              </w:rPr>
              <w:t>τ,ss</w:t>
            </w:r>
            <w:r>
              <w:rPr>
                <w:lang w:val="hu-HU"/>
              </w:rPr>
              <w:t xml:space="preserve"> értéke kisebb mértékben, 1,27</w:t>
            </w:r>
            <w:r>
              <w:rPr>
                <w:lang w:val="hu-HU"/>
              </w:rPr>
              <w:noBreakHyphen/>
              <w:t>szorosára, a C</w:t>
            </w:r>
            <w:r>
              <w:rPr>
                <w:vertAlign w:val="subscript"/>
                <w:lang w:val="hu-HU"/>
              </w:rPr>
              <w:t>max.ss</w:t>
            </w:r>
            <w:r>
              <w:rPr>
                <w:lang w:val="hu-HU"/>
              </w:rPr>
              <w:t xml:space="preserve"> pedig 1,23</w:t>
            </w:r>
            <w:r>
              <w:rPr>
                <w:lang w:val="hu-HU"/>
              </w:rPr>
              <w:noBreakHyphen/>
              <w:t>szorosára nőtt, az önmagában adott dabigatrán</w:t>
            </w:r>
            <w:r>
              <w:rPr>
                <w:lang w:val="hu-HU"/>
              </w:rPr>
              <w:noBreakHyphen/>
              <w:t>etexiláttal összehasonlítva. Ez a lépcsőzetes terápia a javasolt adagolási mód a telítő dózisú tikagrelol</w:t>
            </w:r>
            <w:r>
              <w:rPr>
                <w:lang w:val="hu-HU"/>
              </w:rPr>
              <w:noBreakHyphen/>
              <w:t xml:space="preserve">terápia indításakor. </w:t>
            </w:r>
          </w:p>
          <w:p w:rsidR="007D7140" w:rsidRDefault="007D7140">
            <w:pPr>
              <w:ind w:firstLine="143"/>
              <w:rPr>
                <w:lang w:val="hu-HU"/>
              </w:rPr>
            </w:pPr>
          </w:p>
          <w:p w:rsidR="007D7140" w:rsidRDefault="00A207BA">
            <w:pPr>
              <w:ind w:left="156"/>
              <w:rPr>
                <w:lang w:val="hu-HU"/>
              </w:rPr>
            </w:pPr>
            <w:r>
              <w:rPr>
                <w:lang w:val="hu-HU"/>
              </w:rPr>
              <w:t>Naponta kétszer 90 mg tikagrelor (fenntartó dózis) együttadása 110 mg</w:t>
            </w:r>
            <w:r>
              <w:rPr>
                <w:spacing w:val="1"/>
                <w:lang w:val="hu-HU"/>
              </w:rPr>
              <w:t xml:space="preserve"> </w:t>
            </w:r>
            <w:r>
              <w:rPr>
                <w:position w:val="2"/>
                <w:lang w:val="hu-HU"/>
              </w:rPr>
              <w:t>dabigatrán</w:t>
            </w:r>
            <w:r>
              <w:rPr>
                <w:position w:val="2"/>
                <w:lang w:val="hu-HU"/>
              </w:rPr>
              <w:noBreakHyphen/>
              <w:t>etexiláttal</w:t>
            </w:r>
            <w:r>
              <w:rPr>
                <w:spacing w:val="-6"/>
                <w:position w:val="2"/>
                <w:lang w:val="hu-HU"/>
              </w:rPr>
              <w:t xml:space="preserve"> </w:t>
            </w:r>
            <w:r>
              <w:rPr>
                <w:position w:val="2"/>
                <w:lang w:val="hu-HU"/>
              </w:rPr>
              <w:t>a korrigált</w:t>
            </w:r>
            <w:r>
              <w:rPr>
                <w:spacing w:val="-6"/>
                <w:position w:val="2"/>
                <w:lang w:val="hu-HU"/>
              </w:rPr>
              <w:t xml:space="preserve"> </w:t>
            </w:r>
            <w:r>
              <w:rPr>
                <w:position w:val="2"/>
                <w:lang w:val="hu-HU"/>
              </w:rPr>
              <w:t>dabigatrán</w:t>
            </w:r>
            <w:r>
              <w:rPr>
                <w:spacing w:val="-5"/>
                <w:position w:val="2"/>
                <w:lang w:val="hu-HU"/>
              </w:rPr>
              <w:t xml:space="preserve"> </w:t>
            </w:r>
            <w:r>
              <w:rPr>
                <w:position w:val="2"/>
                <w:lang w:val="hu-HU"/>
              </w:rPr>
              <w:t>AUC</w:t>
            </w:r>
            <w:r>
              <w:rPr>
                <w:position w:val="2"/>
                <w:vertAlign w:val="subscript"/>
                <w:lang w:val="hu-HU"/>
              </w:rPr>
              <w:t>t.ss</w:t>
            </w:r>
            <w:r>
              <w:rPr>
                <w:lang w:val="hu-HU"/>
              </w:rPr>
              <w:t xml:space="preserve"> </w:t>
            </w:r>
            <w:r>
              <w:rPr>
                <w:position w:val="2"/>
                <w:lang w:val="hu-HU"/>
              </w:rPr>
              <w:t>értékét</w:t>
            </w:r>
            <w:r>
              <w:rPr>
                <w:spacing w:val="-6"/>
                <w:position w:val="2"/>
                <w:lang w:val="hu-HU"/>
              </w:rPr>
              <w:t xml:space="preserve"> </w:t>
            </w:r>
            <w:r>
              <w:rPr>
                <w:position w:val="2"/>
                <w:lang w:val="hu-HU"/>
              </w:rPr>
              <w:t>1,26</w:t>
            </w:r>
            <w:r>
              <w:rPr>
                <w:position w:val="2"/>
                <w:lang w:val="hu-HU"/>
              </w:rPr>
              <w:noBreakHyphen/>
              <w:t>szorosára, a C</w:t>
            </w:r>
            <w:r>
              <w:rPr>
                <w:position w:val="2"/>
                <w:vertAlign w:val="subscript"/>
                <w:lang w:val="hu-HU"/>
              </w:rPr>
              <w:t>max.ss</w:t>
            </w:r>
            <w:r>
              <w:rPr>
                <w:lang w:val="hu-HU"/>
              </w:rPr>
              <w:t xml:space="preserve"> </w:t>
            </w:r>
            <w:r>
              <w:rPr>
                <w:position w:val="2"/>
                <w:lang w:val="hu-HU"/>
              </w:rPr>
              <w:t>értéket pedig 1,29-szorosára növelte az önmagában adott dabigatrán</w:t>
            </w:r>
            <w:r>
              <w:rPr>
                <w:position w:val="2"/>
                <w:lang w:val="hu-HU"/>
              </w:rPr>
              <w:noBreakHyphen/>
              <w:t>etexiláthoz képest.</w:t>
            </w:r>
          </w:p>
        </w:tc>
      </w:tr>
      <w:tr w:rsidR="007D7140">
        <w:trPr>
          <w:trHeight w:val="760"/>
        </w:trPr>
        <w:tc>
          <w:tcPr>
            <w:tcW w:w="2552" w:type="dxa"/>
          </w:tcPr>
          <w:p w:rsidR="007D7140" w:rsidRDefault="00A207BA">
            <w:pPr>
              <w:ind w:left="156"/>
              <w:rPr>
                <w:lang w:val="hu-HU"/>
              </w:rPr>
            </w:pPr>
            <w:r>
              <w:rPr>
                <w:lang w:val="hu-HU"/>
              </w:rPr>
              <w:lastRenderedPageBreak/>
              <w:t>Pozakonazol</w:t>
            </w:r>
          </w:p>
        </w:tc>
        <w:tc>
          <w:tcPr>
            <w:tcW w:w="6520" w:type="dxa"/>
          </w:tcPr>
          <w:p w:rsidR="007D7140" w:rsidRDefault="00A207BA">
            <w:pPr>
              <w:ind w:left="156" w:right="140"/>
              <w:rPr>
                <w:lang w:val="hu-HU"/>
              </w:rPr>
            </w:pPr>
            <w:r>
              <w:rPr>
                <w:lang w:val="hu-HU"/>
              </w:rPr>
              <w:t>A pozakonazol ugyancsak gátolja bizonyos mértékben a P</w:t>
            </w:r>
            <w:r>
              <w:rPr>
                <w:lang w:val="hu-HU"/>
              </w:rPr>
              <w:noBreakHyphen/>
              <w:t>gp-t, de ezt</w:t>
            </w:r>
            <w:r>
              <w:rPr>
                <w:spacing w:val="1"/>
                <w:lang w:val="hu-HU"/>
              </w:rPr>
              <w:t xml:space="preserve"> </w:t>
            </w:r>
            <w:r>
              <w:rPr>
                <w:lang w:val="hu-HU"/>
              </w:rPr>
              <w:t>klinikailag</w:t>
            </w:r>
            <w:r>
              <w:rPr>
                <w:spacing w:val="-6"/>
                <w:lang w:val="hu-HU"/>
              </w:rPr>
              <w:t xml:space="preserve"> </w:t>
            </w:r>
            <w:r>
              <w:rPr>
                <w:lang w:val="hu-HU"/>
              </w:rPr>
              <w:t>nem</w:t>
            </w:r>
            <w:r>
              <w:rPr>
                <w:spacing w:val="-5"/>
                <w:lang w:val="hu-HU"/>
              </w:rPr>
              <w:t xml:space="preserve"> </w:t>
            </w:r>
            <w:r>
              <w:rPr>
                <w:lang w:val="hu-HU"/>
              </w:rPr>
              <w:t>vizsgálták.</w:t>
            </w:r>
            <w:r>
              <w:rPr>
                <w:spacing w:val="-5"/>
                <w:lang w:val="hu-HU"/>
              </w:rPr>
              <w:t xml:space="preserve"> </w:t>
            </w:r>
            <w:r>
              <w:rPr>
                <w:lang w:val="hu-HU"/>
              </w:rPr>
              <w:t>Óvatosság</w:t>
            </w:r>
            <w:r>
              <w:rPr>
                <w:spacing w:val="-5"/>
                <w:lang w:val="hu-HU"/>
              </w:rPr>
              <w:t xml:space="preserve"> </w:t>
            </w:r>
            <w:r>
              <w:rPr>
                <w:lang w:val="hu-HU"/>
              </w:rPr>
              <w:t>szükséges,</w:t>
            </w:r>
            <w:r>
              <w:rPr>
                <w:spacing w:val="-5"/>
                <w:lang w:val="hu-HU"/>
              </w:rPr>
              <w:t xml:space="preserve"> </w:t>
            </w:r>
            <w:r>
              <w:rPr>
                <w:lang w:val="hu-HU"/>
              </w:rPr>
              <w:t>ha</w:t>
            </w:r>
            <w:r>
              <w:rPr>
                <w:spacing w:val="-5"/>
                <w:lang w:val="hu-HU"/>
              </w:rPr>
              <w:t xml:space="preserve"> </w:t>
            </w:r>
            <w:r>
              <w:rPr>
                <w:lang w:val="hu-HU"/>
              </w:rPr>
              <w:t>a</w:t>
            </w:r>
            <w:r>
              <w:rPr>
                <w:spacing w:val="-5"/>
                <w:lang w:val="hu-HU"/>
              </w:rPr>
              <w:t xml:space="preserve"> </w:t>
            </w:r>
            <w:r>
              <w:rPr>
                <w:lang w:val="hu-HU"/>
              </w:rPr>
              <w:t>dabigatrán</w:t>
            </w:r>
            <w:r>
              <w:rPr>
                <w:lang w:val="hu-HU"/>
              </w:rPr>
              <w:noBreakHyphen/>
              <w:t>etexilátot pozakonazollal</w:t>
            </w:r>
            <w:r>
              <w:rPr>
                <w:spacing w:val="-8"/>
                <w:lang w:val="hu-HU"/>
              </w:rPr>
              <w:t xml:space="preserve"> </w:t>
            </w:r>
            <w:r>
              <w:rPr>
                <w:lang w:val="hu-HU"/>
              </w:rPr>
              <w:t>egyidejűleg</w:t>
            </w:r>
            <w:r>
              <w:rPr>
                <w:spacing w:val="-8"/>
                <w:lang w:val="hu-HU"/>
              </w:rPr>
              <w:t xml:space="preserve"> </w:t>
            </w:r>
            <w:r>
              <w:rPr>
                <w:lang w:val="hu-HU"/>
              </w:rPr>
              <w:t>alkalmazzák.</w:t>
            </w:r>
          </w:p>
        </w:tc>
      </w:tr>
      <w:tr w:rsidR="007D7140">
        <w:trPr>
          <w:trHeight w:val="486"/>
        </w:trPr>
        <w:tc>
          <w:tcPr>
            <w:tcW w:w="9072" w:type="dxa"/>
            <w:gridSpan w:val="2"/>
          </w:tcPr>
          <w:p w:rsidR="007D7140" w:rsidRDefault="00A207BA">
            <w:pPr>
              <w:ind w:left="142"/>
              <w:rPr>
                <w:i/>
                <w:lang w:val="hu-HU"/>
              </w:rPr>
            </w:pPr>
            <w:r>
              <w:rPr>
                <w:i/>
                <w:u w:val="single"/>
                <w:lang w:val="hu-HU"/>
              </w:rPr>
              <w:t>P-gp</w:t>
            </w:r>
            <w:r>
              <w:rPr>
                <w:i/>
                <w:u w:val="single"/>
                <w:lang w:val="hu-HU"/>
              </w:rPr>
              <w:noBreakHyphen/>
              <w:t>induktorok</w:t>
            </w:r>
          </w:p>
        </w:tc>
      </w:tr>
      <w:tr w:rsidR="007D7140">
        <w:trPr>
          <w:trHeight w:val="421"/>
        </w:trPr>
        <w:tc>
          <w:tcPr>
            <w:tcW w:w="9072" w:type="dxa"/>
            <w:gridSpan w:val="2"/>
          </w:tcPr>
          <w:p w:rsidR="007D7140" w:rsidRDefault="00A207BA">
            <w:pPr>
              <w:ind w:left="142"/>
              <w:rPr>
                <w:i/>
                <w:lang w:val="hu-HU"/>
              </w:rPr>
            </w:pPr>
            <w:r>
              <w:rPr>
                <w:i/>
                <w:lang w:val="hu-HU"/>
              </w:rPr>
              <w:t>Az</w:t>
            </w:r>
            <w:r>
              <w:rPr>
                <w:i/>
                <w:spacing w:val="-5"/>
                <w:lang w:val="hu-HU"/>
              </w:rPr>
              <w:t xml:space="preserve"> </w:t>
            </w:r>
            <w:r>
              <w:rPr>
                <w:i/>
                <w:lang w:val="hu-HU"/>
              </w:rPr>
              <w:t>egyidejű</w:t>
            </w:r>
            <w:r>
              <w:rPr>
                <w:i/>
                <w:spacing w:val="-5"/>
                <w:lang w:val="hu-HU"/>
              </w:rPr>
              <w:t xml:space="preserve"> </w:t>
            </w:r>
            <w:r>
              <w:rPr>
                <w:i/>
                <w:lang w:val="hu-HU"/>
              </w:rPr>
              <w:t>alkalmazás</w:t>
            </w:r>
            <w:r>
              <w:rPr>
                <w:i/>
                <w:spacing w:val="-5"/>
                <w:lang w:val="hu-HU"/>
              </w:rPr>
              <w:t xml:space="preserve"> </w:t>
            </w:r>
            <w:r>
              <w:rPr>
                <w:i/>
                <w:lang w:val="hu-HU"/>
              </w:rPr>
              <w:t>kerülendő</w:t>
            </w:r>
          </w:p>
        </w:tc>
      </w:tr>
      <w:tr w:rsidR="007D7140">
        <w:trPr>
          <w:trHeight w:val="2277"/>
        </w:trPr>
        <w:tc>
          <w:tcPr>
            <w:tcW w:w="2552" w:type="dxa"/>
          </w:tcPr>
          <w:p w:rsidR="007D7140" w:rsidRDefault="00A207BA">
            <w:pPr>
              <w:ind w:left="142"/>
              <w:rPr>
                <w:lang w:val="hu-HU"/>
              </w:rPr>
            </w:pPr>
            <w:r>
              <w:rPr>
                <w:lang w:val="hu-HU"/>
              </w:rPr>
              <w:t>pl. rifampicin,</w:t>
            </w:r>
            <w:r>
              <w:rPr>
                <w:spacing w:val="1"/>
                <w:lang w:val="hu-HU"/>
              </w:rPr>
              <w:t xml:space="preserve"> </w:t>
            </w:r>
            <w:r>
              <w:rPr>
                <w:lang w:val="hu-HU"/>
              </w:rPr>
              <w:t>közönséges orbáncfű (</w:t>
            </w:r>
            <w:r>
              <w:rPr>
                <w:i/>
                <w:lang w:val="hu-HU"/>
              </w:rPr>
              <w:t>Hypericum perforatum</w:t>
            </w:r>
            <w:r>
              <w:rPr>
                <w:lang w:val="hu-HU"/>
              </w:rPr>
              <w:t>),</w:t>
            </w:r>
            <w:r>
              <w:rPr>
                <w:spacing w:val="1"/>
                <w:lang w:val="hu-HU"/>
              </w:rPr>
              <w:t xml:space="preserve"> </w:t>
            </w:r>
            <w:r>
              <w:rPr>
                <w:lang w:val="hu-HU"/>
              </w:rPr>
              <w:t>karbamazepin, vagy</w:t>
            </w:r>
            <w:r>
              <w:rPr>
                <w:spacing w:val="1"/>
                <w:lang w:val="hu-HU"/>
              </w:rPr>
              <w:t xml:space="preserve"> </w:t>
            </w:r>
            <w:r>
              <w:rPr>
                <w:lang w:val="hu-HU"/>
              </w:rPr>
              <w:t>fenitoin</w:t>
            </w:r>
          </w:p>
        </w:tc>
        <w:tc>
          <w:tcPr>
            <w:tcW w:w="6520" w:type="dxa"/>
          </w:tcPr>
          <w:p w:rsidR="007D7140" w:rsidRDefault="00A207BA">
            <w:pPr>
              <w:ind w:left="142"/>
              <w:rPr>
                <w:lang w:val="hu-HU"/>
              </w:rPr>
            </w:pPr>
            <w:r>
              <w:rPr>
                <w:lang w:val="hu-HU"/>
              </w:rPr>
              <w:t>Egyidejű adásuk várhatóan a dabigatrán koncentrációk csökkenését eredményezi.</w:t>
            </w:r>
          </w:p>
          <w:p w:rsidR="007D7140" w:rsidRDefault="007D7140">
            <w:pPr>
              <w:ind w:left="142"/>
              <w:rPr>
                <w:lang w:val="hu-HU"/>
              </w:rPr>
            </w:pPr>
          </w:p>
          <w:p w:rsidR="007D7140" w:rsidRDefault="00A207BA">
            <w:pPr>
              <w:ind w:left="142" w:right="140"/>
              <w:rPr>
                <w:lang w:val="hu-HU"/>
              </w:rPr>
            </w:pPr>
            <w:r>
              <w:rPr>
                <w:lang w:val="hu-HU"/>
              </w:rPr>
              <w:t>A teszt</w:t>
            </w:r>
            <w:r>
              <w:rPr>
                <w:lang w:val="hu-HU"/>
              </w:rPr>
              <w:noBreakHyphen/>
              <w:t>induktor rifampicin 7 napon át napi egyszeri 600 mg dózisban</w:t>
            </w:r>
            <w:r>
              <w:rPr>
                <w:spacing w:val="1"/>
                <w:lang w:val="hu-HU"/>
              </w:rPr>
              <w:t xml:space="preserve"> </w:t>
            </w:r>
            <w:r>
              <w:rPr>
                <w:lang w:val="hu-HU"/>
              </w:rPr>
              <w:t>alkalmazott előzetes (pre</w:t>
            </w:r>
            <w:r>
              <w:rPr>
                <w:lang w:val="hu-HU"/>
              </w:rPr>
              <w:noBreakHyphen/>
              <w:t>dose) adagolása a dabigatrán csúcskoncentrációját 65,5%</w:t>
            </w:r>
            <w:r>
              <w:rPr>
                <w:lang w:val="hu-HU"/>
              </w:rPr>
              <w:noBreakHyphen/>
              <w:t>kal,</w:t>
            </w:r>
            <w:r>
              <w:rPr>
                <w:spacing w:val="-2"/>
                <w:lang w:val="hu-HU"/>
              </w:rPr>
              <w:t xml:space="preserve"> </w:t>
            </w:r>
            <w:r>
              <w:rPr>
                <w:lang w:val="hu-HU"/>
              </w:rPr>
              <w:t>a</w:t>
            </w:r>
            <w:r>
              <w:rPr>
                <w:spacing w:val="-2"/>
                <w:lang w:val="hu-HU"/>
              </w:rPr>
              <w:t xml:space="preserve"> </w:t>
            </w:r>
            <w:r>
              <w:rPr>
                <w:lang w:val="hu-HU"/>
              </w:rPr>
              <w:t>teljes</w:t>
            </w:r>
            <w:r>
              <w:rPr>
                <w:spacing w:val="-2"/>
                <w:lang w:val="hu-HU"/>
              </w:rPr>
              <w:t xml:space="preserve"> </w:t>
            </w:r>
            <w:r>
              <w:rPr>
                <w:lang w:val="hu-HU"/>
              </w:rPr>
              <w:t>expozícióját</w:t>
            </w:r>
            <w:r>
              <w:rPr>
                <w:spacing w:val="-2"/>
                <w:lang w:val="hu-HU"/>
              </w:rPr>
              <w:t xml:space="preserve"> </w:t>
            </w:r>
            <w:r>
              <w:rPr>
                <w:lang w:val="hu-HU"/>
              </w:rPr>
              <w:t>pedig</w:t>
            </w:r>
            <w:r>
              <w:rPr>
                <w:spacing w:val="-2"/>
                <w:lang w:val="hu-HU"/>
              </w:rPr>
              <w:t xml:space="preserve"> </w:t>
            </w:r>
            <w:r>
              <w:rPr>
                <w:lang w:val="hu-HU"/>
              </w:rPr>
              <w:t>67%</w:t>
            </w:r>
            <w:r>
              <w:rPr>
                <w:lang w:val="hu-HU"/>
              </w:rPr>
              <w:noBreakHyphen/>
              <w:t>kal</w:t>
            </w:r>
            <w:r>
              <w:rPr>
                <w:spacing w:val="-2"/>
                <w:lang w:val="hu-HU"/>
              </w:rPr>
              <w:t xml:space="preserve"> </w:t>
            </w:r>
            <w:r>
              <w:rPr>
                <w:lang w:val="hu-HU"/>
              </w:rPr>
              <w:t>csökkentette.</w:t>
            </w:r>
            <w:r>
              <w:rPr>
                <w:spacing w:val="-1"/>
                <w:lang w:val="hu-HU"/>
              </w:rPr>
              <w:t xml:space="preserve"> </w:t>
            </w:r>
            <w:r>
              <w:rPr>
                <w:lang w:val="hu-HU"/>
              </w:rPr>
              <w:t>A rifampicin</w:t>
            </w:r>
            <w:r>
              <w:rPr>
                <w:lang w:val="hu-HU"/>
              </w:rPr>
              <w:noBreakHyphen/>
              <w:t>kezelés leállítását követő 7. napra az indukáló hatás csökkent és a dabigatrán</w:t>
            </w:r>
            <w:r>
              <w:rPr>
                <w:lang w:val="hu-HU"/>
              </w:rPr>
              <w:noBreakHyphen/>
              <w:t>expozíció közel a referenciaszintet érte el. A biohasznosulás</w:t>
            </w:r>
            <w:r>
              <w:rPr>
                <w:spacing w:val="1"/>
                <w:lang w:val="hu-HU"/>
              </w:rPr>
              <w:t xml:space="preserve"> </w:t>
            </w:r>
            <w:r>
              <w:rPr>
                <w:lang w:val="hu-HU"/>
              </w:rPr>
              <w:t>további</w:t>
            </w:r>
            <w:r>
              <w:rPr>
                <w:spacing w:val="-2"/>
                <w:lang w:val="hu-HU"/>
              </w:rPr>
              <w:t xml:space="preserve"> </w:t>
            </w:r>
            <w:r>
              <w:rPr>
                <w:lang w:val="hu-HU"/>
              </w:rPr>
              <w:t>növekedését</w:t>
            </w:r>
            <w:r>
              <w:rPr>
                <w:spacing w:val="-2"/>
                <w:lang w:val="hu-HU"/>
              </w:rPr>
              <w:t xml:space="preserve"> </w:t>
            </w:r>
            <w:r>
              <w:rPr>
                <w:lang w:val="hu-HU"/>
              </w:rPr>
              <w:t>a</w:t>
            </w:r>
            <w:r>
              <w:rPr>
                <w:spacing w:val="-2"/>
                <w:lang w:val="hu-HU"/>
              </w:rPr>
              <w:t xml:space="preserve"> </w:t>
            </w:r>
            <w:r>
              <w:rPr>
                <w:lang w:val="hu-HU"/>
              </w:rPr>
              <w:t>következő</w:t>
            </w:r>
            <w:r>
              <w:rPr>
                <w:spacing w:val="-1"/>
                <w:lang w:val="hu-HU"/>
              </w:rPr>
              <w:t xml:space="preserve"> </w:t>
            </w:r>
            <w:r>
              <w:rPr>
                <w:lang w:val="hu-HU"/>
              </w:rPr>
              <w:t>7</w:t>
            </w:r>
            <w:r>
              <w:rPr>
                <w:spacing w:val="-2"/>
                <w:lang w:val="hu-HU"/>
              </w:rPr>
              <w:t> nap</w:t>
            </w:r>
            <w:r>
              <w:rPr>
                <w:lang w:val="hu-HU"/>
              </w:rPr>
              <w:t>ban</w:t>
            </w:r>
            <w:r>
              <w:rPr>
                <w:spacing w:val="-1"/>
                <w:lang w:val="hu-HU"/>
              </w:rPr>
              <w:t xml:space="preserve"> </w:t>
            </w:r>
            <w:r>
              <w:rPr>
                <w:lang w:val="hu-HU"/>
              </w:rPr>
              <w:t>nem</w:t>
            </w:r>
            <w:r>
              <w:rPr>
                <w:spacing w:val="-2"/>
                <w:lang w:val="hu-HU"/>
              </w:rPr>
              <w:t xml:space="preserve"> </w:t>
            </w:r>
            <w:r>
              <w:rPr>
                <w:lang w:val="hu-HU"/>
              </w:rPr>
              <w:t>figyelték</w:t>
            </w:r>
            <w:r>
              <w:rPr>
                <w:spacing w:val="-3"/>
                <w:lang w:val="hu-HU"/>
              </w:rPr>
              <w:t xml:space="preserve"> </w:t>
            </w:r>
            <w:r>
              <w:rPr>
                <w:lang w:val="hu-HU"/>
              </w:rPr>
              <w:t>meg.</w:t>
            </w:r>
          </w:p>
        </w:tc>
      </w:tr>
      <w:tr w:rsidR="007D7140">
        <w:trPr>
          <w:trHeight w:val="421"/>
        </w:trPr>
        <w:tc>
          <w:tcPr>
            <w:tcW w:w="9072" w:type="dxa"/>
            <w:gridSpan w:val="2"/>
          </w:tcPr>
          <w:p w:rsidR="007D7140" w:rsidRDefault="00A207BA">
            <w:pPr>
              <w:ind w:left="142"/>
              <w:rPr>
                <w:i/>
                <w:lang w:val="hu-HU"/>
              </w:rPr>
            </w:pPr>
            <w:r>
              <w:rPr>
                <w:i/>
                <w:u w:val="single"/>
                <w:lang w:val="hu-HU"/>
              </w:rPr>
              <w:t>Proteáz</w:t>
            </w:r>
            <w:r>
              <w:rPr>
                <w:i/>
                <w:u w:val="single"/>
                <w:lang w:val="hu-HU"/>
              </w:rPr>
              <w:noBreakHyphen/>
              <w:t>inhibitorok,</w:t>
            </w:r>
            <w:r>
              <w:rPr>
                <w:i/>
                <w:spacing w:val="-7"/>
                <w:u w:val="single"/>
                <w:lang w:val="hu-HU"/>
              </w:rPr>
              <w:t xml:space="preserve"> </w:t>
            </w:r>
            <w:r>
              <w:rPr>
                <w:i/>
                <w:u w:val="single"/>
                <w:lang w:val="hu-HU"/>
              </w:rPr>
              <w:t>pl.</w:t>
            </w:r>
            <w:r>
              <w:rPr>
                <w:i/>
                <w:spacing w:val="-7"/>
                <w:u w:val="single"/>
                <w:lang w:val="hu-HU"/>
              </w:rPr>
              <w:t xml:space="preserve"> </w:t>
            </w:r>
            <w:r>
              <w:rPr>
                <w:i/>
                <w:u w:val="single"/>
                <w:lang w:val="hu-HU"/>
              </w:rPr>
              <w:t>ritonavir</w:t>
            </w:r>
          </w:p>
        </w:tc>
      </w:tr>
      <w:tr w:rsidR="007D7140">
        <w:trPr>
          <w:trHeight w:val="326"/>
        </w:trPr>
        <w:tc>
          <w:tcPr>
            <w:tcW w:w="9072" w:type="dxa"/>
            <w:gridSpan w:val="2"/>
          </w:tcPr>
          <w:p w:rsidR="007D7140" w:rsidRDefault="00A207BA">
            <w:pPr>
              <w:ind w:left="142"/>
              <w:rPr>
                <w:i/>
                <w:lang w:val="hu-HU"/>
              </w:rPr>
            </w:pPr>
            <w:r>
              <w:rPr>
                <w:i/>
                <w:lang w:val="hu-HU"/>
              </w:rPr>
              <w:t>Az</w:t>
            </w:r>
            <w:r>
              <w:rPr>
                <w:i/>
                <w:spacing w:val="-4"/>
                <w:lang w:val="hu-HU"/>
              </w:rPr>
              <w:t xml:space="preserve"> </w:t>
            </w:r>
            <w:r>
              <w:rPr>
                <w:i/>
                <w:lang w:val="hu-HU"/>
              </w:rPr>
              <w:t>egyidejű</w:t>
            </w:r>
            <w:r>
              <w:rPr>
                <w:i/>
                <w:spacing w:val="-4"/>
                <w:lang w:val="hu-HU"/>
              </w:rPr>
              <w:t xml:space="preserve"> </w:t>
            </w:r>
            <w:r>
              <w:rPr>
                <w:i/>
                <w:lang w:val="hu-HU"/>
              </w:rPr>
              <w:t>alkalmazás</w:t>
            </w:r>
            <w:r>
              <w:rPr>
                <w:i/>
                <w:spacing w:val="-4"/>
                <w:lang w:val="hu-HU"/>
              </w:rPr>
              <w:t xml:space="preserve"> </w:t>
            </w:r>
            <w:r>
              <w:rPr>
                <w:i/>
                <w:lang w:val="hu-HU"/>
              </w:rPr>
              <w:t>nem javasolt</w:t>
            </w:r>
          </w:p>
        </w:tc>
      </w:tr>
      <w:tr w:rsidR="007D7140">
        <w:trPr>
          <w:trHeight w:val="1012"/>
        </w:trPr>
        <w:tc>
          <w:tcPr>
            <w:tcW w:w="2552" w:type="dxa"/>
          </w:tcPr>
          <w:p w:rsidR="007D7140" w:rsidRDefault="00A207BA">
            <w:pPr>
              <w:ind w:left="142"/>
              <w:rPr>
                <w:lang w:val="hu-HU"/>
              </w:rPr>
            </w:pPr>
            <w:r>
              <w:rPr>
                <w:lang w:val="hu-HU"/>
              </w:rPr>
              <w:t>pl. ritonavir és annak más</w:t>
            </w:r>
            <w:r>
              <w:rPr>
                <w:spacing w:val="1"/>
                <w:lang w:val="hu-HU"/>
              </w:rPr>
              <w:t xml:space="preserve"> </w:t>
            </w:r>
            <w:r>
              <w:rPr>
                <w:spacing w:val="-1"/>
                <w:lang w:val="hu-HU"/>
              </w:rPr>
              <w:t>proteáz</w:t>
            </w:r>
            <w:r>
              <w:rPr>
                <w:spacing w:val="-1"/>
                <w:lang w:val="hu-HU"/>
              </w:rPr>
              <w:noBreakHyphen/>
              <w:t xml:space="preserve">inhibitorokkal </w:t>
            </w:r>
            <w:r>
              <w:rPr>
                <w:lang w:val="hu-HU"/>
              </w:rPr>
              <w:t>történő</w:t>
            </w:r>
            <w:r>
              <w:rPr>
                <w:spacing w:val="-5"/>
                <w:lang w:val="hu-HU"/>
              </w:rPr>
              <w:t xml:space="preserve"> </w:t>
            </w:r>
            <w:r>
              <w:rPr>
                <w:lang w:val="hu-HU"/>
              </w:rPr>
              <w:t>kombinációi</w:t>
            </w:r>
          </w:p>
        </w:tc>
        <w:tc>
          <w:tcPr>
            <w:tcW w:w="6520" w:type="dxa"/>
          </w:tcPr>
          <w:p w:rsidR="007D7140" w:rsidRDefault="00A207BA">
            <w:pPr>
              <w:ind w:left="143"/>
              <w:rPr>
                <w:lang w:val="hu-HU"/>
              </w:rPr>
            </w:pPr>
            <w:r>
              <w:rPr>
                <w:lang w:val="hu-HU"/>
              </w:rPr>
              <w:t>Befolyásolják a P</w:t>
            </w:r>
            <w:r>
              <w:rPr>
                <w:lang w:val="hu-HU"/>
              </w:rPr>
              <w:noBreakHyphen/>
              <w:t>gp</w:t>
            </w:r>
            <w:r>
              <w:rPr>
                <w:lang w:val="hu-HU"/>
              </w:rPr>
              <w:noBreakHyphen/>
              <w:t>t (gátolják vagy indukálják). Ezeket nem vizsgálták és ezért</w:t>
            </w:r>
            <w:r>
              <w:rPr>
                <w:spacing w:val="-3"/>
                <w:lang w:val="hu-HU"/>
              </w:rPr>
              <w:t xml:space="preserve"> </w:t>
            </w:r>
            <w:r>
              <w:rPr>
                <w:lang w:val="hu-HU"/>
              </w:rPr>
              <w:t>egyidejű</w:t>
            </w:r>
            <w:r>
              <w:rPr>
                <w:spacing w:val="-2"/>
                <w:lang w:val="hu-HU"/>
              </w:rPr>
              <w:t xml:space="preserve"> </w:t>
            </w:r>
            <w:r>
              <w:rPr>
                <w:lang w:val="hu-HU"/>
              </w:rPr>
              <w:t>alkalmazásuk</w:t>
            </w:r>
            <w:r>
              <w:rPr>
                <w:spacing w:val="-3"/>
                <w:lang w:val="hu-HU"/>
              </w:rPr>
              <w:t xml:space="preserve"> </w:t>
            </w:r>
            <w:r>
              <w:rPr>
                <w:lang w:val="hu-HU"/>
              </w:rPr>
              <w:t>a</w:t>
            </w:r>
            <w:r>
              <w:rPr>
                <w:spacing w:val="-2"/>
                <w:lang w:val="hu-HU"/>
              </w:rPr>
              <w:t xml:space="preserve"> </w:t>
            </w:r>
            <w:r>
              <w:rPr>
                <w:lang w:val="hu-HU"/>
              </w:rPr>
              <w:t>dabigatrán</w:t>
            </w:r>
            <w:r>
              <w:rPr>
                <w:lang w:val="hu-HU"/>
              </w:rPr>
              <w:noBreakHyphen/>
              <w:t>etexiláttal</w:t>
            </w:r>
            <w:r>
              <w:rPr>
                <w:spacing w:val="-2"/>
                <w:lang w:val="hu-HU"/>
              </w:rPr>
              <w:t xml:space="preserve"> </w:t>
            </w:r>
            <w:r>
              <w:rPr>
                <w:lang w:val="hu-HU"/>
              </w:rPr>
              <w:t>nem</w:t>
            </w:r>
            <w:r>
              <w:rPr>
                <w:spacing w:val="-3"/>
                <w:lang w:val="hu-HU"/>
              </w:rPr>
              <w:t xml:space="preserve"> </w:t>
            </w:r>
            <w:r>
              <w:rPr>
                <w:lang w:val="hu-HU"/>
              </w:rPr>
              <w:t>javasolt.</w:t>
            </w:r>
          </w:p>
        </w:tc>
      </w:tr>
      <w:tr w:rsidR="007D7140">
        <w:trPr>
          <w:trHeight w:val="401"/>
        </w:trPr>
        <w:tc>
          <w:tcPr>
            <w:tcW w:w="9072" w:type="dxa"/>
            <w:gridSpan w:val="2"/>
          </w:tcPr>
          <w:p w:rsidR="007D7140" w:rsidRDefault="00A207BA">
            <w:pPr>
              <w:ind w:left="143"/>
              <w:rPr>
                <w:i/>
                <w:lang w:val="hu-HU"/>
              </w:rPr>
            </w:pPr>
            <w:r>
              <w:rPr>
                <w:i/>
                <w:u w:val="single"/>
                <w:lang w:val="hu-HU"/>
              </w:rPr>
              <w:t>P-gp</w:t>
            </w:r>
            <w:r>
              <w:rPr>
                <w:i/>
                <w:spacing w:val="-5"/>
                <w:u w:val="single"/>
                <w:lang w:val="hu-HU"/>
              </w:rPr>
              <w:t xml:space="preserve"> </w:t>
            </w:r>
            <w:r>
              <w:rPr>
                <w:i/>
                <w:u w:val="single"/>
                <w:lang w:val="hu-HU"/>
              </w:rPr>
              <w:t>szubsztrát</w:t>
            </w:r>
          </w:p>
        </w:tc>
      </w:tr>
      <w:tr w:rsidR="007D7140">
        <w:trPr>
          <w:trHeight w:val="760"/>
        </w:trPr>
        <w:tc>
          <w:tcPr>
            <w:tcW w:w="2552" w:type="dxa"/>
          </w:tcPr>
          <w:p w:rsidR="007D7140" w:rsidRDefault="00A207BA">
            <w:pPr>
              <w:ind w:left="142"/>
              <w:rPr>
                <w:lang w:val="hu-HU"/>
              </w:rPr>
            </w:pPr>
            <w:r>
              <w:rPr>
                <w:lang w:val="hu-HU"/>
              </w:rPr>
              <w:t>Digoxin</w:t>
            </w:r>
          </w:p>
        </w:tc>
        <w:tc>
          <w:tcPr>
            <w:tcW w:w="6520" w:type="dxa"/>
          </w:tcPr>
          <w:p w:rsidR="007D7140" w:rsidRDefault="00A207BA">
            <w:pPr>
              <w:ind w:left="143"/>
              <w:rPr>
                <w:lang w:val="hu-HU"/>
              </w:rPr>
            </w:pPr>
            <w:r>
              <w:rPr>
                <w:lang w:val="hu-HU"/>
              </w:rPr>
              <w:t>Egy, 24, egészséges önkéntessel végzett vizsgálatban, melyben a dabigatrán</w:t>
            </w:r>
            <w:r>
              <w:rPr>
                <w:lang w:val="hu-HU"/>
              </w:rPr>
              <w:noBreakHyphen/>
              <w:t>etexilátot</w:t>
            </w:r>
            <w:r>
              <w:rPr>
                <w:spacing w:val="-5"/>
                <w:lang w:val="hu-HU"/>
              </w:rPr>
              <w:t xml:space="preserve"> </w:t>
            </w:r>
            <w:r>
              <w:rPr>
                <w:lang w:val="hu-HU"/>
              </w:rPr>
              <w:t>digoxinnal</w:t>
            </w:r>
            <w:r>
              <w:rPr>
                <w:spacing w:val="-5"/>
                <w:lang w:val="hu-HU"/>
              </w:rPr>
              <w:t xml:space="preserve"> </w:t>
            </w:r>
            <w:r>
              <w:rPr>
                <w:lang w:val="hu-HU"/>
              </w:rPr>
              <w:t>adták</w:t>
            </w:r>
            <w:r>
              <w:rPr>
                <w:spacing w:val="-5"/>
                <w:lang w:val="hu-HU"/>
              </w:rPr>
              <w:t xml:space="preserve"> </w:t>
            </w:r>
            <w:r>
              <w:rPr>
                <w:lang w:val="hu-HU"/>
              </w:rPr>
              <w:t>együtt,</w:t>
            </w:r>
            <w:r>
              <w:rPr>
                <w:spacing w:val="-5"/>
                <w:lang w:val="hu-HU"/>
              </w:rPr>
              <w:t xml:space="preserve"> </w:t>
            </w:r>
            <w:r>
              <w:rPr>
                <w:lang w:val="hu-HU"/>
              </w:rPr>
              <w:t>nem</w:t>
            </w:r>
            <w:r>
              <w:rPr>
                <w:spacing w:val="-4"/>
                <w:lang w:val="hu-HU"/>
              </w:rPr>
              <w:t xml:space="preserve"> </w:t>
            </w:r>
            <w:r>
              <w:rPr>
                <w:lang w:val="hu-HU"/>
              </w:rPr>
              <w:t>észleltek</w:t>
            </w:r>
            <w:r>
              <w:rPr>
                <w:spacing w:val="-5"/>
                <w:lang w:val="hu-HU"/>
              </w:rPr>
              <w:t xml:space="preserve"> </w:t>
            </w:r>
            <w:r>
              <w:rPr>
                <w:lang w:val="hu-HU"/>
              </w:rPr>
              <w:t>változást</w:t>
            </w:r>
            <w:r>
              <w:rPr>
                <w:spacing w:val="-5"/>
                <w:lang w:val="hu-HU"/>
              </w:rPr>
              <w:t xml:space="preserve"> </w:t>
            </w:r>
            <w:r>
              <w:rPr>
                <w:lang w:val="hu-HU"/>
              </w:rPr>
              <w:t>a</w:t>
            </w:r>
            <w:r>
              <w:rPr>
                <w:spacing w:val="-5"/>
                <w:lang w:val="hu-HU"/>
              </w:rPr>
              <w:t xml:space="preserve"> </w:t>
            </w:r>
            <w:r>
              <w:rPr>
                <w:lang w:val="hu-HU"/>
              </w:rPr>
              <w:t>digoxin,</w:t>
            </w:r>
            <w:r>
              <w:rPr>
                <w:spacing w:val="-4"/>
                <w:lang w:val="hu-HU"/>
              </w:rPr>
              <w:t xml:space="preserve"> </w:t>
            </w:r>
            <w:r>
              <w:rPr>
                <w:lang w:val="hu-HU"/>
              </w:rPr>
              <w:t>illetve klinikailag</w:t>
            </w:r>
            <w:r>
              <w:rPr>
                <w:spacing w:val="-8"/>
                <w:lang w:val="hu-HU"/>
              </w:rPr>
              <w:t xml:space="preserve"> </w:t>
            </w:r>
            <w:r>
              <w:rPr>
                <w:lang w:val="hu-HU"/>
              </w:rPr>
              <w:t>jelentős</w:t>
            </w:r>
            <w:r>
              <w:rPr>
                <w:spacing w:val="-7"/>
                <w:lang w:val="hu-HU"/>
              </w:rPr>
              <w:t xml:space="preserve"> </w:t>
            </w:r>
            <w:r>
              <w:rPr>
                <w:lang w:val="hu-HU"/>
              </w:rPr>
              <w:t>változást</w:t>
            </w:r>
            <w:r>
              <w:rPr>
                <w:spacing w:val="-8"/>
                <w:lang w:val="hu-HU"/>
              </w:rPr>
              <w:t xml:space="preserve"> </w:t>
            </w:r>
            <w:r>
              <w:rPr>
                <w:lang w:val="hu-HU"/>
              </w:rPr>
              <w:t>a</w:t>
            </w:r>
            <w:r>
              <w:rPr>
                <w:spacing w:val="-7"/>
                <w:lang w:val="hu-HU"/>
              </w:rPr>
              <w:t xml:space="preserve"> </w:t>
            </w:r>
            <w:r>
              <w:rPr>
                <w:lang w:val="hu-HU"/>
              </w:rPr>
              <w:t>dabigatrán</w:t>
            </w:r>
            <w:r>
              <w:rPr>
                <w:lang w:val="hu-HU"/>
              </w:rPr>
              <w:noBreakHyphen/>
              <w:t>expozícióban.</w:t>
            </w:r>
          </w:p>
        </w:tc>
      </w:tr>
    </w:tbl>
    <w:p w:rsidR="007D7140" w:rsidRDefault="007D7140">
      <w:pPr>
        <w:rPr>
          <w:lang w:val="hu-HU"/>
        </w:rPr>
      </w:pPr>
    </w:p>
    <w:p w:rsidR="007D7140" w:rsidRDefault="00A207BA">
      <w:pPr>
        <w:rPr>
          <w:lang w:val="hu-HU"/>
        </w:rPr>
      </w:pPr>
      <w:r>
        <w:rPr>
          <w:u w:val="single"/>
          <w:lang w:val="hu-HU"/>
        </w:rPr>
        <w:t>Antikoagulánsok</w:t>
      </w:r>
      <w:r>
        <w:rPr>
          <w:spacing w:val="-9"/>
          <w:u w:val="single"/>
          <w:lang w:val="hu-HU"/>
        </w:rPr>
        <w:t xml:space="preserve"> </w:t>
      </w:r>
      <w:r>
        <w:rPr>
          <w:u w:val="single"/>
          <w:lang w:val="hu-HU"/>
        </w:rPr>
        <w:t>és</w:t>
      </w:r>
      <w:r>
        <w:rPr>
          <w:spacing w:val="-9"/>
          <w:u w:val="single"/>
          <w:lang w:val="hu-HU"/>
        </w:rPr>
        <w:t xml:space="preserve"> </w:t>
      </w:r>
      <w:r>
        <w:rPr>
          <w:u w:val="single"/>
          <w:lang w:val="hu-HU"/>
        </w:rPr>
        <w:t>thrombocytaaggregáció</w:t>
      </w:r>
      <w:r>
        <w:rPr>
          <w:u w:val="single"/>
          <w:lang w:val="hu-HU"/>
        </w:rPr>
        <w:noBreakHyphen/>
        <w:t>gátló</w:t>
      </w:r>
      <w:r>
        <w:rPr>
          <w:spacing w:val="-8"/>
          <w:u w:val="single"/>
          <w:lang w:val="hu-HU"/>
        </w:rPr>
        <w:t xml:space="preserve"> </w:t>
      </w:r>
      <w:r>
        <w:rPr>
          <w:u w:val="single"/>
          <w:lang w:val="hu-HU"/>
        </w:rPr>
        <w:t>gyógyszerek</w:t>
      </w:r>
    </w:p>
    <w:p w:rsidR="007D7140" w:rsidRDefault="007D7140">
      <w:pPr>
        <w:rPr>
          <w:lang w:val="hu-HU"/>
        </w:rPr>
      </w:pPr>
    </w:p>
    <w:p w:rsidR="007D7140" w:rsidRDefault="00A207BA">
      <w:pPr>
        <w:rPr>
          <w:lang w:val="hu-HU"/>
        </w:rPr>
      </w:pPr>
      <w:r>
        <w:rPr>
          <w:lang w:val="hu-HU"/>
        </w:rPr>
        <w:t>Nincs, vagy csak korlátozott tapasztalat áll rendelkezésre a következő kezelésekre, melyek fokozhatják a vérzésveszélyt, ha dabigatrán</w:t>
      </w:r>
      <w:r>
        <w:rPr>
          <w:lang w:val="hu-HU"/>
        </w:rPr>
        <w:noBreakHyphen/>
        <w:t>etexiláttal egyidejűleg alkalmazzák őket: antikoagulánsok, pl. nem</w:t>
      </w:r>
      <w:r>
        <w:rPr>
          <w:spacing w:val="1"/>
          <w:lang w:val="hu-HU"/>
        </w:rPr>
        <w:t xml:space="preserve"> </w:t>
      </w:r>
      <w:r>
        <w:rPr>
          <w:lang w:val="hu-HU"/>
        </w:rPr>
        <w:t>frakcionált heparin (UFH), kis molekulatömegű heparinok (</w:t>
      </w:r>
      <w:r>
        <w:t>low-molecular-weight heparin,</w:t>
      </w:r>
      <w:r>
        <w:rPr>
          <w:lang w:val="hu-HU"/>
        </w:rPr>
        <w:t xml:space="preserve"> LMWH) és heparin származékok</w:t>
      </w:r>
      <w:r>
        <w:rPr>
          <w:spacing w:val="1"/>
          <w:lang w:val="hu-HU"/>
        </w:rPr>
        <w:t xml:space="preserve"> </w:t>
      </w:r>
      <w:r>
        <w:rPr>
          <w:lang w:val="hu-HU"/>
        </w:rPr>
        <w:t>(fondaparinux, dezirudin), trombolítikus gyógyszerek és K</w:t>
      </w:r>
      <w:r>
        <w:rPr>
          <w:lang w:val="hu-HU"/>
        </w:rPr>
        <w:noBreakHyphen/>
        <w:t>vitamin</w:t>
      </w:r>
      <w:r>
        <w:rPr>
          <w:lang w:val="hu-HU"/>
        </w:rPr>
        <w:noBreakHyphen/>
        <w:t>antagonisták, rivaroxabán vagy</w:t>
      </w:r>
      <w:r>
        <w:rPr>
          <w:spacing w:val="1"/>
          <w:lang w:val="hu-HU"/>
        </w:rPr>
        <w:t xml:space="preserve"> </w:t>
      </w:r>
      <w:r>
        <w:rPr>
          <w:lang w:val="hu-HU"/>
        </w:rPr>
        <w:t>egyéb</w:t>
      </w:r>
      <w:r>
        <w:rPr>
          <w:spacing w:val="-4"/>
          <w:lang w:val="hu-HU"/>
        </w:rPr>
        <w:t xml:space="preserve"> </w:t>
      </w:r>
      <w:r>
        <w:rPr>
          <w:lang w:val="hu-HU"/>
        </w:rPr>
        <w:t>orális</w:t>
      </w:r>
      <w:r>
        <w:rPr>
          <w:spacing w:val="-4"/>
          <w:lang w:val="hu-HU"/>
        </w:rPr>
        <w:t xml:space="preserve"> </w:t>
      </w:r>
      <w:r>
        <w:rPr>
          <w:lang w:val="hu-HU"/>
        </w:rPr>
        <w:t>antikoagulánsok</w:t>
      </w:r>
      <w:r>
        <w:rPr>
          <w:spacing w:val="-4"/>
          <w:lang w:val="hu-HU"/>
        </w:rPr>
        <w:t xml:space="preserve"> </w:t>
      </w:r>
      <w:r>
        <w:rPr>
          <w:lang w:val="hu-HU"/>
        </w:rPr>
        <w:t>(lásd</w:t>
      </w:r>
      <w:r>
        <w:rPr>
          <w:spacing w:val="-4"/>
          <w:lang w:val="hu-HU"/>
        </w:rPr>
        <w:t xml:space="preserve"> </w:t>
      </w:r>
      <w:r>
        <w:rPr>
          <w:lang w:val="hu-HU"/>
        </w:rPr>
        <w:t>4.3</w:t>
      </w:r>
      <w:r>
        <w:rPr>
          <w:spacing w:val="-2"/>
          <w:lang w:val="hu-HU"/>
        </w:rPr>
        <w:t> pont</w:t>
      </w:r>
      <w:r>
        <w:rPr>
          <w:lang w:val="hu-HU"/>
        </w:rPr>
        <w:t>)</w:t>
      </w:r>
      <w:r>
        <w:rPr>
          <w:spacing w:val="-4"/>
          <w:lang w:val="hu-HU"/>
        </w:rPr>
        <w:t xml:space="preserve"> </w:t>
      </w:r>
      <w:r>
        <w:rPr>
          <w:lang w:val="hu-HU"/>
        </w:rPr>
        <w:t>és</w:t>
      </w:r>
      <w:r>
        <w:rPr>
          <w:spacing w:val="-4"/>
          <w:lang w:val="hu-HU"/>
        </w:rPr>
        <w:t xml:space="preserve"> </w:t>
      </w:r>
      <w:r>
        <w:rPr>
          <w:lang w:val="hu-HU"/>
        </w:rPr>
        <w:t>thrombocytaaggregáció</w:t>
      </w:r>
      <w:r>
        <w:rPr>
          <w:lang w:val="hu-HU"/>
        </w:rPr>
        <w:noBreakHyphen/>
        <w:t>gátló</w:t>
      </w:r>
      <w:r>
        <w:rPr>
          <w:spacing w:val="-4"/>
          <w:lang w:val="hu-HU"/>
        </w:rPr>
        <w:t xml:space="preserve"> </w:t>
      </w:r>
      <w:r>
        <w:rPr>
          <w:lang w:val="hu-HU"/>
        </w:rPr>
        <w:t>gyógyszerek,</w:t>
      </w:r>
      <w:r>
        <w:rPr>
          <w:spacing w:val="-4"/>
          <w:lang w:val="hu-HU"/>
        </w:rPr>
        <w:t xml:space="preserve"> </w:t>
      </w:r>
      <w:r>
        <w:rPr>
          <w:lang w:val="hu-HU"/>
        </w:rPr>
        <w:t>mint</w:t>
      </w:r>
      <w:r>
        <w:rPr>
          <w:spacing w:val="-3"/>
          <w:lang w:val="hu-HU"/>
        </w:rPr>
        <w:t xml:space="preserve"> </w:t>
      </w:r>
      <w:r>
        <w:rPr>
          <w:lang w:val="hu-HU"/>
        </w:rPr>
        <w:t>pl. GPIIb/IIIa</w:t>
      </w:r>
      <w:r>
        <w:rPr>
          <w:lang w:val="hu-HU"/>
        </w:rPr>
        <w:noBreakHyphen/>
        <w:t>receptor</w:t>
      </w:r>
      <w:r>
        <w:rPr>
          <w:lang w:val="hu-HU"/>
        </w:rPr>
        <w:noBreakHyphen/>
        <w:t>antagonisták,</w:t>
      </w:r>
      <w:r>
        <w:rPr>
          <w:spacing w:val="-6"/>
          <w:lang w:val="hu-HU"/>
        </w:rPr>
        <w:t xml:space="preserve"> </w:t>
      </w:r>
      <w:r>
        <w:rPr>
          <w:lang w:val="hu-HU"/>
        </w:rPr>
        <w:t>tiklopidin,</w:t>
      </w:r>
      <w:r>
        <w:rPr>
          <w:spacing w:val="-6"/>
          <w:lang w:val="hu-HU"/>
        </w:rPr>
        <w:t xml:space="preserve"> </w:t>
      </w:r>
      <w:r>
        <w:rPr>
          <w:lang w:val="hu-HU"/>
        </w:rPr>
        <w:t>prazugrél,</w:t>
      </w:r>
      <w:r>
        <w:rPr>
          <w:spacing w:val="-6"/>
          <w:lang w:val="hu-HU"/>
        </w:rPr>
        <w:t xml:space="preserve"> </w:t>
      </w:r>
      <w:r>
        <w:rPr>
          <w:lang w:val="hu-HU"/>
        </w:rPr>
        <w:t>tikagrelor,</w:t>
      </w:r>
      <w:r>
        <w:rPr>
          <w:spacing w:val="-6"/>
          <w:lang w:val="hu-HU"/>
        </w:rPr>
        <w:t xml:space="preserve"> </w:t>
      </w:r>
      <w:r>
        <w:rPr>
          <w:lang w:val="hu-HU"/>
        </w:rPr>
        <w:t>dextrán</w:t>
      </w:r>
      <w:r>
        <w:rPr>
          <w:spacing w:val="-7"/>
          <w:lang w:val="hu-HU"/>
        </w:rPr>
        <w:t xml:space="preserve"> </w:t>
      </w:r>
      <w:r>
        <w:rPr>
          <w:lang w:val="hu-HU"/>
        </w:rPr>
        <w:t>és</w:t>
      </w:r>
      <w:r>
        <w:rPr>
          <w:spacing w:val="-6"/>
          <w:lang w:val="hu-HU"/>
        </w:rPr>
        <w:t xml:space="preserve"> </w:t>
      </w:r>
      <w:r>
        <w:rPr>
          <w:lang w:val="hu-HU"/>
        </w:rPr>
        <w:t>szulfinpirazon</w:t>
      </w:r>
      <w:r>
        <w:rPr>
          <w:spacing w:val="-6"/>
          <w:lang w:val="hu-HU"/>
        </w:rPr>
        <w:t xml:space="preserve"> </w:t>
      </w:r>
      <w:r>
        <w:rPr>
          <w:lang w:val="hu-HU"/>
        </w:rPr>
        <w:t>(lásd 4.4</w:t>
      </w:r>
      <w:r>
        <w:rPr>
          <w:spacing w:val="-2"/>
          <w:lang w:val="hu-HU"/>
        </w:rPr>
        <w:t> pont</w:t>
      </w:r>
      <w:r>
        <w:rPr>
          <w:lang w:val="hu-HU"/>
        </w:rPr>
        <w:t>).</w:t>
      </w:r>
    </w:p>
    <w:p w:rsidR="007D7140" w:rsidRDefault="007D7140">
      <w:pPr>
        <w:rPr>
          <w:lang w:val="hu-HU"/>
        </w:rPr>
      </w:pPr>
    </w:p>
    <w:p w:rsidR="007D7140" w:rsidRDefault="00A207BA">
      <w:pPr>
        <w:ind w:left="7" w:right="9"/>
        <w:rPr>
          <w:lang w:val="hu-HU"/>
        </w:rPr>
      </w:pPr>
      <w:r>
        <w:rPr>
          <w:lang w:val="hu-HU"/>
        </w:rPr>
        <w:t>A III. fázisú RE</w:t>
      </w:r>
      <w:r>
        <w:rPr>
          <w:lang w:val="hu-HU"/>
        </w:rPr>
        <w:noBreakHyphen/>
        <w:t>LY vizsgálatban gyűjtött adatokból (lásd 5.1 pont) azt figyelték meg, hogy mind a dabigatrán</w:t>
      </w:r>
      <w:r>
        <w:rPr>
          <w:lang w:val="hu-HU"/>
        </w:rPr>
        <w:noBreakHyphen/>
        <w:t xml:space="preserve">etexilát, mind a warfarin más orális vagy parenterális antikoagulánsokkal történő együttadása, melyre többnyire egyik antikoagulánsról a másikra történő átállítással kapcsolatban </w:t>
      </w:r>
      <w:r>
        <w:rPr>
          <w:lang w:val="hu-HU"/>
        </w:rPr>
        <w:lastRenderedPageBreak/>
        <w:t>került sor, körülbelül 2,5</w:t>
      </w:r>
      <w:r>
        <w:rPr>
          <w:lang w:val="hu-HU"/>
        </w:rPr>
        <w:noBreakHyphen/>
        <w:t>szeresére növelte a major vérzések kockázatát (lásd 4.3 pont). Továbbá mind a dabigatrán</w:t>
      </w:r>
      <w:r>
        <w:rPr>
          <w:lang w:val="hu-HU"/>
        </w:rPr>
        <w:noBreakHyphen/>
        <w:t>etexilát, mind a warfarin véralvadásgátlókkal (ASA vagy klopidogrel) történő egyidejű adása körülbelül megkétszerezte a major vérzések arányát (lásd 4.4 pont).</w:t>
      </w:r>
    </w:p>
    <w:p w:rsidR="007D7140" w:rsidRDefault="007D7140">
      <w:pPr>
        <w:rPr>
          <w:lang w:val="hu-HU"/>
        </w:rPr>
      </w:pPr>
    </w:p>
    <w:p w:rsidR="007D7140" w:rsidRDefault="00A207BA">
      <w:pPr>
        <w:rPr>
          <w:lang w:val="hu-HU"/>
        </w:rPr>
      </w:pPr>
      <w:r>
        <w:rPr>
          <w:lang w:val="hu-HU"/>
        </w:rPr>
        <w:t>Az UFH a szükséges dózisban adható a centrális vénás vagy artériás kanül átjárhatóságának fenntartásához vagy pitvarfibrilláció miatt</w:t>
      </w:r>
      <w:r>
        <w:rPr>
          <w:spacing w:val="-1"/>
          <w:lang w:val="hu-HU"/>
        </w:rPr>
        <w:t xml:space="preserve"> végzett </w:t>
      </w:r>
      <w:r>
        <w:rPr>
          <w:lang w:val="hu-HU"/>
        </w:rPr>
        <w:t>katéteres ablatio alatt</w:t>
      </w:r>
      <w:r>
        <w:rPr>
          <w:spacing w:val="-2"/>
          <w:lang w:val="hu-HU"/>
        </w:rPr>
        <w:t xml:space="preserve"> </w:t>
      </w:r>
      <w:r>
        <w:rPr>
          <w:lang w:val="hu-HU"/>
        </w:rPr>
        <w:t>(lásd</w:t>
      </w:r>
      <w:r>
        <w:rPr>
          <w:spacing w:val="-1"/>
          <w:lang w:val="hu-HU"/>
        </w:rPr>
        <w:t xml:space="preserve"> </w:t>
      </w:r>
      <w:r>
        <w:rPr>
          <w:lang w:val="hu-HU"/>
        </w:rPr>
        <w:t>4.3</w:t>
      </w:r>
      <w:r>
        <w:rPr>
          <w:spacing w:val="-6"/>
          <w:lang w:val="hu-HU"/>
        </w:rPr>
        <w:t> pont</w:t>
      </w:r>
      <w:r>
        <w:rPr>
          <w:lang w:val="hu-HU"/>
        </w:rPr>
        <w:t>).</w:t>
      </w:r>
    </w:p>
    <w:p w:rsidR="007D7140" w:rsidRDefault="007D7140">
      <w:pPr>
        <w:rPr>
          <w:lang w:val="hu-HU"/>
        </w:rPr>
      </w:pPr>
    </w:p>
    <w:p w:rsidR="007D7140" w:rsidRDefault="00A207BA">
      <w:pPr>
        <w:tabs>
          <w:tab w:val="left" w:pos="851"/>
        </w:tabs>
        <w:rPr>
          <w:lang w:val="hu-HU"/>
        </w:rPr>
      </w:pPr>
      <w:r>
        <w:rPr>
          <w:b/>
          <w:bCs/>
          <w:lang w:val="hu-HU"/>
        </w:rPr>
        <w:t>10. táblázat:</w:t>
      </w:r>
      <w:r>
        <w:rPr>
          <w:b/>
          <w:bCs/>
          <w:spacing w:val="38"/>
          <w:lang w:val="hu-HU"/>
        </w:rPr>
        <w:t xml:space="preserve"> </w:t>
      </w:r>
      <w:r>
        <w:rPr>
          <w:b/>
          <w:bCs/>
          <w:lang w:val="hu-HU"/>
        </w:rPr>
        <w:t>Interakciók</w:t>
      </w:r>
      <w:r>
        <w:rPr>
          <w:b/>
          <w:bCs/>
          <w:spacing w:val="-9"/>
          <w:lang w:val="hu-HU"/>
        </w:rPr>
        <w:t xml:space="preserve"> </w:t>
      </w:r>
      <w:r>
        <w:rPr>
          <w:b/>
          <w:bCs/>
          <w:lang w:val="hu-HU"/>
        </w:rPr>
        <w:t>antikoagulánsokkal</w:t>
      </w:r>
      <w:r>
        <w:rPr>
          <w:b/>
          <w:bCs/>
          <w:spacing w:val="-9"/>
          <w:lang w:val="hu-HU"/>
        </w:rPr>
        <w:t xml:space="preserve"> </w:t>
      </w:r>
      <w:r>
        <w:rPr>
          <w:b/>
          <w:bCs/>
          <w:lang w:val="hu-HU"/>
        </w:rPr>
        <w:t>és</w:t>
      </w:r>
      <w:r>
        <w:rPr>
          <w:b/>
          <w:bCs/>
          <w:spacing w:val="-9"/>
          <w:lang w:val="hu-HU"/>
        </w:rPr>
        <w:t xml:space="preserve"> </w:t>
      </w:r>
      <w:r>
        <w:rPr>
          <w:b/>
          <w:bCs/>
          <w:lang w:val="hu-HU"/>
        </w:rPr>
        <w:t>thrombocyta</w:t>
      </w:r>
      <w:r>
        <w:rPr>
          <w:b/>
          <w:bCs/>
          <w:lang w:val="hu-HU"/>
        </w:rPr>
        <w:noBreakHyphen/>
        <w:t>aggregáció-gátló</w:t>
      </w:r>
      <w:r>
        <w:rPr>
          <w:spacing w:val="-8"/>
          <w:lang w:val="hu-HU"/>
        </w:rPr>
        <w:t xml:space="preserve"> </w:t>
      </w:r>
      <w:r>
        <w:rPr>
          <w:b/>
          <w:bCs/>
          <w:lang w:val="hu-HU"/>
        </w:rPr>
        <w:t>gyógyszerekkel</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2"/>
        <w:gridCol w:w="7520"/>
      </w:tblGrid>
      <w:tr w:rsidR="007D7140">
        <w:trPr>
          <w:trHeight w:val="1518"/>
        </w:trPr>
        <w:tc>
          <w:tcPr>
            <w:tcW w:w="1552" w:type="dxa"/>
          </w:tcPr>
          <w:p w:rsidR="007D7140" w:rsidRDefault="00A207BA">
            <w:pPr>
              <w:keepNext/>
              <w:widowControl/>
              <w:ind w:left="142"/>
              <w:rPr>
                <w:lang w:val="hu-HU"/>
              </w:rPr>
            </w:pPr>
            <w:r>
              <w:rPr>
                <w:lang w:val="hu-HU"/>
              </w:rPr>
              <w:t>NSAID</w:t>
            </w:r>
            <w:r>
              <w:rPr>
                <w:lang w:val="hu-HU"/>
              </w:rPr>
              <w:noBreakHyphen/>
              <w:t>ok</w:t>
            </w:r>
          </w:p>
        </w:tc>
        <w:tc>
          <w:tcPr>
            <w:tcW w:w="7520" w:type="dxa"/>
          </w:tcPr>
          <w:p w:rsidR="007D7140" w:rsidRDefault="00A207BA">
            <w:pPr>
              <w:keepNext/>
              <w:widowControl/>
              <w:ind w:left="154"/>
              <w:rPr>
                <w:lang w:val="hu-HU"/>
              </w:rPr>
            </w:pPr>
            <w:r>
              <w:rPr>
                <w:lang w:val="hu-HU"/>
              </w:rPr>
              <w:t>Kimutatták, hogy a rövid távú fájdalomcsillapítás céljára adott NSAID</w:t>
            </w:r>
            <w:r>
              <w:rPr>
                <w:lang w:val="hu-HU"/>
              </w:rPr>
              <w:noBreakHyphen/>
              <w:t>ok nem</w:t>
            </w:r>
            <w:r>
              <w:rPr>
                <w:spacing w:val="1"/>
                <w:lang w:val="hu-HU"/>
              </w:rPr>
              <w:t xml:space="preserve"> </w:t>
            </w:r>
            <w:r>
              <w:rPr>
                <w:lang w:val="hu-HU"/>
              </w:rPr>
              <w:t>fokozzák a vérzésveszélyt, ha dabigatrán</w:t>
            </w:r>
            <w:r>
              <w:rPr>
                <w:lang w:val="hu-HU"/>
              </w:rPr>
              <w:noBreakHyphen/>
              <w:t>etexiláttal adják együtt. Egy III. fázisú</w:t>
            </w:r>
            <w:r>
              <w:rPr>
                <w:spacing w:val="1"/>
                <w:lang w:val="hu-HU"/>
              </w:rPr>
              <w:t xml:space="preserve"> </w:t>
            </w:r>
            <w:r>
              <w:rPr>
                <w:lang w:val="hu-HU"/>
              </w:rPr>
              <w:t>klinikai vizsgálatban, amelyben a dabigatránt és a warfarint hasonlították össze a</w:t>
            </w:r>
            <w:r>
              <w:rPr>
                <w:spacing w:val="1"/>
                <w:lang w:val="hu-HU"/>
              </w:rPr>
              <w:t xml:space="preserve"> </w:t>
            </w:r>
            <w:r>
              <w:rPr>
                <w:lang w:val="hu-HU"/>
              </w:rPr>
              <w:t>stroke megelőzésében, pitvarfibrilláló betegeknél (RE</w:t>
            </w:r>
            <w:r>
              <w:rPr>
                <w:lang w:val="hu-HU"/>
              </w:rPr>
              <w:noBreakHyphen/>
              <w:t>LY), a NSAID</w:t>
            </w:r>
            <w:r>
              <w:rPr>
                <w:lang w:val="hu-HU"/>
              </w:rPr>
              <w:noBreakHyphen/>
              <w:t>ok tartós szedése a vérzés</w:t>
            </w:r>
            <w:r>
              <w:rPr>
                <w:spacing w:val="-2"/>
                <w:lang w:val="hu-HU"/>
              </w:rPr>
              <w:t xml:space="preserve"> </w:t>
            </w:r>
            <w:r>
              <w:rPr>
                <w:lang w:val="hu-HU"/>
              </w:rPr>
              <w:t>veszélyét</w:t>
            </w:r>
            <w:r>
              <w:rPr>
                <w:spacing w:val="-3"/>
                <w:lang w:val="hu-HU"/>
              </w:rPr>
              <w:t xml:space="preserve"> </w:t>
            </w:r>
            <w:r>
              <w:rPr>
                <w:lang w:val="hu-HU"/>
              </w:rPr>
              <w:t>körülbelül</w:t>
            </w:r>
            <w:r>
              <w:rPr>
                <w:spacing w:val="-2"/>
                <w:lang w:val="hu-HU"/>
              </w:rPr>
              <w:t xml:space="preserve"> </w:t>
            </w:r>
            <w:r>
              <w:rPr>
                <w:lang w:val="hu-HU"/>
              </w:rPr>
              <w:t>50%</w:t>
            </w:r>
            <w:r>
              <w:rPr>
                <w:lang w:val="hu-HU"/>
              </w:rPr>
              <w:noBreakHyphen/>
              <w:t>kal</w:t>
            </w:r>
            <w:r>
              <w:rPr>
                <w:spacing w:val="-3"/>
                <w:lang w:val="hu-HU"/>
              </w:rPr>
              <w:t xml:space="preserve"> </w:t>
            </w:r>
            <w:r>
              <w:rPr>
                <w:lang w:val="hu-HU"/>
              </w:rPr>
              <w:t>növelte</w:t>
            </w:r>
            <w:r>
              <w:rPr>
                <w:spacing w:val="-2"/>
                <w:lang w:val="hu-HU"/>
              </w:rPr>
              <w:t xml:space="preserve"> </w:t>
            </w:r>
            <w:r>
              <w:rPr>
                <w:lang w:val="hu-HU"/>
              </w:rPr>
              <w:t>dabigatrán</w:t>
            </w:r>
            <w:r>
              <w:rPr>
                <w:lang w:val="hu-HU"/>
              </w:rPr>
              <w:noBreakHyphen/>
              <w:t>etexilát</w:t>
            </w:r>
            <w:r>
              <w:rPr>
                <w:spacing w:val="-3"/>
                <w:lang w:val="hu-HU"/>
              </w:rPr>
              <w:t xml:space="preserve"> </w:t>
            </w:r>
            <w:r>
              <w:rPr>
                <w:lang w:val="hu-HU"/>
              </w:rPr>
              <w:t>és</w:t>
            </w:r>
            <w:r>
              <w:rPr>
                <w:spacing w:val="-2"/>
                <w:lang w:val="hu-HU"/>
              </w:rPr>
              <w:t xml:space="preserve"> </w:t>
            </w:r>
            <w:r>
              <w:rPr>
                <w:lang w:val="hu-HU"/>
              </w:rPr>
              <w:t>warfarin esetében</w:t>
            </w:r>
            <w:r>
              <w:rPr>
                <w:spacing w:val="-4"/>
                <w:lang w:val="hu-HU"/>
              </w:rPr>
              <w:t xml:space="preserve"> </w:t>
            </w:r>
            <w:r>
              <w:rPr>
                <w:lang w:val="hu-HU"/>
              </w:rPr>
              <w:t>is.</w:t>
            </w:r>
          </w:p>
        </w:tc>
      </w:tr>
      <w:tr w:rsidR="007D7140">
        <w:trPr>
          <w:trHeight w:val="2022"/>
        </w:trPr>
        <w:tc>
          <w:tcPr>
            <w:tcW w:w="1552" w:type="dxa"/>
          </w:tcPr>
          <w:p w:rsidR="007D7140" w:rsidRDefault="00A207BA">
            <w:pPr>
              <w:ind w:left="142"/>
              <w:rPr>
                <w:lang w:val="hu-HU"/>
              </w:rPr>
            </w:pPr>
            <w:r>
              <w:rPr>
                <w:lang w:val="hu-HU"/>
              </w:rPr>
              <w:t>Klopidogrel</w:t>
            </w:r>
          </w:p>
        </w:tc>
        <w:tc>
          <w:tcPr>
            <w:tcW w:w="7520" w:type="dxa"/>
          </w:tcPr>
          <w:p w:rsidR="007D7140" w:rsidRDefault="00A207BA">
            <w:pPr>
              <w:pStyle w:val="TableParagraph"/>
              <w:spacing w:line="240" w:lineRule="auto"/>
              <w:ind w:left="108" w:right="89"/>
              <w:rPr>
                <w:lang w:val="hu-HU"/>
              </w:rPr>
            </w:pPr>
            <w:r>
              <w:rPr>
                <w:lang w:val="hu-HU"/>
              </w:rPr>
              <w:t>Fiatal</w:t>
            </w:r>
            <w:r>
              <w:rPr>
                <w:spacing w:val="-4"/>
                <w:lang w:val="hu-HU"/>
              </w:rPr>
              <w:t xml:space="preserve"> </w:t>
            </w:r>
            <w:r>
              <w:rPr>
                <w:lang w:val="hu-HU"/>
              </w:rPr>
              <w:t>egészséges</w:t>
            </w:r>
            <w:r>
              <w:rPr>
                <w:spacing w:val="-4"/>
                <w:lang w:val="hu-HU"/>
              </w:rPr>
              <w:t xml:space="preserve"> férfi </w:t>
            </w:r>
            <w:r>
              <w:rPr>
                <w:lang w:val="hu-HU"/>
              </w:rPr>
              <w:t>önkéntesekkel</w:t>
            </w:r>
            <w:r>
              <w:rPr>
                <w:spacing w:val="-4"/>
                <w:lang w:val="hu-HU"/>
              </w:rPr>
              <w:t xml:space="preserve"> </w:t>
            </w:r>
            <w:r>
              <w:rPr>
                <w:lang w:val="hu-HU"/>
              </w:rPr>
              <w:t>végzett</w:t>
            </w:r>
            <w:r>
              <w:rPr>
                <w:spacing w:val="-4"/>
                <w:lang w:val="hu-HU"/>
              </w:rPr>
              <w:t xml:space="preserve"> </w:t>
            </w:r>
            <w:r>
              <w:rPr>
                <w:lang w:val="hu-HU"/>
              </w:rPr>
              <w:t>vizsgálatok</w:t>
            </w:r>
            <w:r>
              <w:rPr>
                <w:spacing w:val="-4"/>
                <w:lang w:val="hu-HU"/>
              </w:rPr>
              <w:t xml:space="preserve"> </w:t>
            </w:r>
            <w:r>
              <w:rPr>
                <w:lang w:val="hu-HU"/>
              </w:rPr>
              <w:t>szerint</w:t>
            </w:r>
            <w:r>
              <w:rPr>
                <w:spacing w:val="-4"/>
                <w:lang w:val="hu-HU"/>
              </w:rPr>
              <w:t xml:space="preserve"> </w:t>
            </w:r>
            <w:r>
              <w:rPr>
                <w:lang w:val="hu-HU"/>
              </w:rPr>
              <w:t>a</w:t>
            </w:r>
            <w:r>
              <w:rPr>
                <w:spacing w:val="-4"/>
                <w:lang w:val="hu-HU"/>
              </w:rPr>
              <w:t xml:space="preserve"> </w:t>
            </w:r>
            <w:r>
              <w:rPr>
                <w:lang w:val="hu-HU"/>
              </w:rPr>
              <w:t>dabigatrán</w:t>
            </w:r>
            <w:r>
              <w:rPr>
                <w:spacing w:val="-4"/>
                <w:lang w:val="hu-HU"/>
              </w:rPr>
              <w:t>-</w:t>
            </w:r>
            <w:r>
              <w:rPr>
                <w:lang w:val="hu-HU"/>
              </w:rPr>
              <w:t xml:space="preserve">etexilát és a klopidogrel együttadása nem nyújtotta tovább a kapilláris vérzési időt a </w:t>
            </w:r>
            <w:r>
              <w:rPr>
                <w:position w:val="2"/>
                <w:lang w:val="hu-HU"/>
              </w:rPr>
              <w:t>klopidogrel monoterápiához viszonyítva. Ezenkívül a dabigatrán AUC</w:t>
            </w:r>
            <w:r>
              <w:rPr>
                <w:sz w:val="14"/>
                <w:szCs w:val="14"/>
                <w:lang w:val="hu-HU"/>
              </w:rPr>
              <w:t>τ,ss</w:t>
            </w:r>
            <w:r>
              <w:rPr>
                <w:position w:val="2"/>
                <w:lang w:val="hu-HU"/>
              </w:rPr>
              <w:t>- és C</w:t>
            </w:r>
            <w:r>
              <w:rPr>
                <w:sz w:val="14"/>
                <w:szCs w:val="14"/>
                <w:lang w:val="hu-HU"/>
              </w:rPr>
              <w:t>max,ss</w:t>
            </w:r>
            <w:r>
              <w:rPr>
                <w:position w:val="2"/>
                <w:lang w:val="hu-HU"/>
              </w:rPr>
              <w:t xml:space="preserve">- </w:t>
            </w:r>
            <w:r>
              <w:rPr>
                <w:lang w:val="hu-HU"/>
              </w:rPr>
              <w:t>értéke, valamint a dabigatrán hatását vizsgáló alvadási vizsgálatok, illetve a klopidogrel hatását mutató thrombocytaaggregáció</w:t>
            </w:r>
            <w:r>
              <w:rPr>
                <w:lang w:val="hu-HU"/>
              </w:rPr>
              <w:noBreakHyphen/>
              <w:t xml:space="preserve">gátlás lényegében változatlan maradt a kombinált kezelés és a megfelelő monoterápiák összehasonlítása során. </w:t>
            </w:r>
            <w:r>
              <w:rPr>
                <w:position w:val="2"/>
                <w:lang w:val="hu-HU"/>
              </w:rPr>
              <w:t>300 mg</w:t>
            </w:r>
            <w:r>
              <w:rPr>
                <w:spacing w:val="-3"/>
                <w:position w:val="2"/>
                <w:lang w:val="hu-HU"/>
              </w:rPr>
              <w:t xml:space="preserve"> </w:t>
            </w:r>
            <w:r>
              <w:rPr>
                <w:position w:val="2"/>
                <w:lang w:val="hu-HU"/>
              </w:rPr>
              <w:t>vagy</w:t>
            </w:r>
            <w:r>
              <w:rPr>
                <w:spacing w:val="-3"/>
                <w:position w:val="2"/>
                <w:lang w:val="hu-HU"/>
              </w:rPr>
              <w:t xml:space="preserve"> </w:t>
            </w:r>
            <w:r>
              <w:rPr>
                <w:position w:val="2"/>
                <w:lang w:val="hu-HU"/>
              </w:rPr>
              <w:t>600 mg</w:t>
            </w:r>
            <w:r>
              <w:rPr>
                <w:spacing w:val="-3"/>
                <w:position w:val="2"/>
                <w:lang w:val="hu-HU"/>
              </w:rPr>
              <w:t xml:space="preserve"> </w:t>
            </w:r>
            <w:r>
              <w:rPr>
                <w:position w:val="2"/>
                <w:lang w:val="hu-HU"/>
              </w:rPr>
              <w:t>klopidogrel</w:t>
            </w:r>
            <w:r>
              <w:rPr>
                <w:spacing w:val="-3"/>
                <w:position w:val="2"/>
                <w:lang w:val="hu-HU"/>
              </w:rPr>
              <w:t xml:space="preserve"> </w:t>
            </w:r>
            <w:r>
              <w:rPr>
                <w:position w:val="2"/>
                <w:lang w:val="hu-HU"/>
              </w:rPr>
              <w:t>telítő</w:t>
            </w:r>
            <w:r>
              <w:rPr>
                <w:spacing w:val="-3"/>
                <w:position w:val="2"/>
                <w:lang w:val="hu-HU"/>
              </w:rPr>
              <w:t xml:space="preserve"> </w:t>
            </w:r>
            <w:r>
              <w:rPr>
                <w:position w:val="2"/>
                <w:lang w:val="hu-HU"/>
              </w:rPr>
              <w:t>dózis</w:t>
            </w:r>
            <w:r>
              <w:rPr>
                <w:spacing w:val="-3"/>
                <w:position w:val="2"/>
                <w:lang w:val="hu-HU"/>
              </w:rPr>
              <w:t xml:space="preserve"> </w:t>
            </w:r>
            <w:r>
              <w:rPr>
                <w:position w:val="2"/>
                <w:lang w:val="hu-HU"/>
              </w:rPr>
              <w:t>esetén</w:t>
            </w:r>
            <w:r>
              <w:rPr>
                <w:spacing w:val="-3"/>
                <w:position w:val="2"/>
                <w:lang w:val="hu-HU"/>
              </w:rPr>
              <w:t xml:space="preserve"> </w:t>
            </w:r>
            <w:r>
              <w:rPr>
                <w:position w:val="2"/>
                <w:lang w:val="hu-HU"/>
              </w:rPr>
              <w:t>a</w:t>
            </w:r>
            <w:r>
              <w:rPr>
                <w:spacing w:val="-3"/>
                <w:position w:val="2"/>
                <w:lang w:val="hu-HU"/>
              </w:rPr>
              <w:t xml:space="preserve"> </w:t>
            </w:r>
            <w:r>
              <w:rPr>
                <w:position w:val="2"/>
                <w:lang w:val="hu-HU"/>
              </w:rPr>
              <w:t>dabigatrán</w:t>
            </w:r>
            <w:r>
              <w:rPr>
                <w:spacing w:val="-3"/>
                <w:position w:val="2"/>
                <w:lang w:val="hu-HU"/>
              </w:rPr>
              <w:t xml:space="preserve"> </w:t>
            </w:r>
            <w:r>
              <w:rPr>
                <w:position w:val="2"/>
                <w:lang w:val="hu-HU"/>
              </w:rPr>
              <w:t>AUC</w:t>
            </w:r>
            <w:r>
              <w:rPr>
                <w:sz w:val="14"/>
                <w:szCs w:val="14"/>
                <w:lang w:val="hu-HU"/>
              </w:rPr>
              <w:t>τ,ss</w:t>
            </w:r>
            <w:r>
              <w:rPr>
                <w:position w:val="2"/>
                <w:lang w:val="hu-HU"/>
              </w:rPr>
              <w:t>-</w:t>
            </w:r>
            <w:r>
              <w:rPr>
                <w:spacing w:val="-6"/>
                <w:position w:val="2"/>
                <w:lang w:val="hu-HU"/>
              </w:rPr>
              <w:t xml:space="preserve"> </w:t>
            </w:r>
            <w:r>
              <w:rPr>
                <w:position w:val="2"/>
                <w:lang w:val="hu-HU"/>
              </w:rPr>
              <w:t>és</w:t>
            </w:r>
            <w:r>
              <w:rPr>
                <w:spacing w:val="-2"/>
                <w:position w:val="2"/>
                <w:lang w:val="hu-HU"/>
              </w:rPr>
              <w:t xml:space="preserve"> </w:t>
            </w:r>
            <w:r>
              <w:rPr>
                <w:position w:val="2"/>
                <w:lang w:val="hu-HU"/>
              </w:rPr>
              <w:t>C</w:t>
            </w:r>
            <w:r>
              <w:rPr>
                <w:sz w:val="14"/>
                <w:szCs w:val="14"/>
                <w:lang w:val="hu-HU"/>
              </w:rPr>
              <w:t>max,ss</w:t>
            </w:r>
            <w:r>
              <w:rPr>
                <w:position w:val="2"/>
                <w:lang w:val="hu-HU"/>
              </w:rPr>
              <w:t xml:space="preserve">- </w:t>
            </w:r>
            <w:r>
              <w:rPr>
                <w:lang w:val="hu-HU"/>
              </w:rPr>
              <w:t>értéke körülbelül 30</w:t>
            </w:r>
            <w:r>
              <w:rPr>
                <w:lang w:val="hu-HU"/>
              </w:rPr>
              <w:noBreakHyphen/>
              <w:t>40%</w:t>
            </w:r>
            <w:r>
              <w:rPr>
                <w:lang w:val="hu-HU"/>
              </w:rPr>
              <w:noBreakHyphen/>
              <w:t>kal nőtt (lásd 4.4 pont).</w:t>
            </w:r>
          </w:p>
        </w:tc>
      </w:tr>
      <w:tr w:rsidR="007D7140">
        <w:trPr>
          <w:trHeight w:val="760"/>
        </w:trPr>
        <w:tc>
          <w:tcPr>
            <w:tcW w:w="1552" w:type="dxa"/>
          </w:tcPr>
          <w:p w:rsidR="007D7140" w:rsidRDefault="00A207BA">
            <w:pPr>
              <w:ind w:left="142"/>
              <w:rPr>
                <w:lang w:val="hu-HU"/>
              </w:rPr>
            </w:pPr>
            <w:r>
              <w:rPr>
                <w:lang w:val="hu-HU"/>
              </w:rPr>
              <w:t>ASA</w:t>
            </w:r>
          </w:p>
        </w:tc>
        <w:tc>
          <w:tcPr>
            <w:tcW w:w="7520" w:type="dxa"/>
          </w:tcPr>
          <w:p w:rsidR="007D7140" w:rsidRDefault="00A207BA">
            <w:pPr>
              <w:ind w:left="154"/>
              <w:rPr>
                <w:lang w:val="hu-HU"/>
              </w:rPr>
            </w:pPr>
            <w:r>
              <w:rPr>
                <w:lang w:val="hu-HU"/>
              </w:rPr>
              <w:t>ASA és napi kétszeri 150 mg dabigatrán</w:t>
            </w:r>
            <w:r>
              <w:rPr>
                <w:lang w:val="hu-HU"/>
              </w:rPr>
              <w:noBreakHyphen/>
              <w:t>etexilát együttadása bármilyen vérzés</w:t>
            </w:r>
            <w:r>
              <w:rPr>
                <w:spacing w:val="1"/>
                <w:lang w:val="hu-HU"/>
              </w:rPr>
              <w:t xml:space="preserve"> </w:t>
            </w:r>
            <w:r>
              <w:rPr>
                <w:lang w:val="hu-HU"/>
              </w:rPr>
              <w:t>veszélyét</w:t>
            </w:r>
            <w:r>
              <w:rPr>
                <w:spacing w:val="-3"/>
                <w:lang w:val="hu-HU"/>
              </w:rPr>
              <w:t xml:space="preserve"> </w:t>
            </w:r>
            <w:r>
              <w:rPr>
                <w:lang w:val="hu-HU"/>
              </w:rPr>
              <w:t>12%</w:t>
            </w:r>
            <w:r>
              <w:rPr>
                <w:lang w:val="hu-HU"/>
              </w:rPr>
              <w:noBreakHyphen/>
              <w:t>ról</w:t>
            </w:r>
            <w:r>
              <w:rPr>
                <w:spacing w:val="-2"/>
                <w:lang w:val="hu-HU"/>
              </w:rPr>
              <w:t xml:space="preserve"> </w:t>
            </w:r>
            <w:r>
              <w:rPr>
                <w:lang w:val="hu-HU"/>
              </w:rPr>
              <w:t>18%</w:t>
            </w:r>
            <w:r>
              <w:rPr>
                <w:lang w:val="hu-HU"/>
              </w:rPr>
              <w:noBreakHyphen/>
              <w:t>ra</w:t>
            </w:r>
            <w:r>
              <w:rPr>
                <w:spacing w:val="-2"/>
                <w:lang w:val="hu-HU"/>
              </w:rPr>
              <w:t xml:space="preserve"> </w:t>
            </w:r>
            <w:r>
              <w:rPr>
                <w:lang w:val="hu-HU"/>
              </w:rPr>
              <w:t>növelheti</w:t>
            </w:r>
            <w:r>
              <w:rPr>
                <w:spacing w:val="-2"/>
                <w:lang w:val="hu-HU"/>
              </w:rPr>
              <w:t xml:space="preserve"> </w:t>
            </w:r>
            <w:r>
              <w:rPr>
                <w:lang w:val="hu-HU"/>
              </w:rPr>
              <w:t>81</w:t>
            </w:r>
            <w:r>
              <w:rPr>
                <w:spacing w:val="-2"/>
                <w:lang w:val="hu-HU"/>
              </w:rPr>
              <w:t> mg</w:t>
            </w:r>
            <w:r>
              <w:rPr>
                <w:lang w:val="hu-HU"/>
              </w:rPr>
              <w:t>,</w:t>
            </w:r>
            <w:r>
              <w:rPr>
                <w:spacing w:val="-3"/>
                <w:lang w:val="hu-HU"/>
              </w:rPr>
              <w:t xml:space="preserve"> </w:t>
            </w:r>
            <w:r>
              <w:rPr>
                <w:lang w:val="hu-HU"/>
              </w:rPr>
              <w:t>és</w:t>
            </w:r>
            <w:r>
              <w:rPr>
                <w:spacing w:val="-3"/>
                <w:lang w:val="hu-HU"/>
              </w:rPr>
              <w:t xml:space="preserve"> </w:t>
            </w:r>
            <w:r>
              <w:rPr>
                <w:lang w:val="hu-HU"/>
              </w:rPr>
              <w:t>24%</w:t>
            </w:r>
            <w:r>
              <w:rPr>
                <w:lang w:val="hu-HU"/>
              </w:rPr>
              <w:noBreakHyphen/>
              <w:t>ra</w:t>
            </w:r>
            <w:r>
              <w:rPr>
                <w:spacing w:val="-2"/>
                <w:lang w:val="hu-HU"/>
              </w:rPr>
              <w:t xml:space="preserve"> </w:t>
            </w:r>
            <w:r>
              <w:rPr>
                <w:lang w:val="hu-HU"/>
              </w:rPr>
              <w:t>325</w:t>
            </w:r>
            <w:r>
              <w:rPr>
                <w:spacing w:val="-2"/>
                <w:lang w:val="hu-HU"/>
              </w:rPr>
              <w:t xml:space="preserve"> mg </w:t>
            </w:r>
            <w:r>
              <w:rPr>
                <w:lang w:val="hu-HU"/>
              </w:rPr>
              <w:t>ASA</w:t>
            </w:r>
            <w:r>
              <w:rPr>
                <w:spacing w:val="-3"/>
                <w:lang w:val="hu-HU"/>
              </w:rPr>
              <w:t xml:space="preserve"> </w:t>
            </w:r>
            <w:r>
              <w:rPr>
                <w:lang w:val="hu-HU"/>
              </w:rPr>
              <w:t>esetében</w:t>
            </w:r>
            <w:r>
              <w:rPr>
                <w:spacing w:val="-3"/>
                <w:lang w:val="hu-HU"/>
              </w:rPr>
              <w:t xml:space="preserve"> </w:t>
            </w:r>
            <w:r>
              <w:rPr>
                <w:lang w:val="hu-HU"/>
              </w:rPr>
              <w:t>(lásd 4.4</w:t>
            </w:r>
            <w:r>
              <w:rPr>
                <w:spacing w:val="-2"/>
                <w:lang w:val="hu-HU"/>
              </w:rPr>
              <w:t> pont</w:t>
            </w:r>
            <w:r>
              <w:rPr>
                <w:lang w:val="hu-HU"/>
              </w:rPr>
              <w:t>).</w:t>
            </w:r>
          </w:p>
        </w:tc>
      </w:tr>
      <w:tr w:rsidR="007D7140">
        <w:trPr>
          <w:trHeight w:val="2529"/>
        </w:trPr>
        <w:tc>
          <w:tcPr>
            <w:tcW w:w="1552" w:type="dxa"/>
          </w:tcPr>
          <w:p w:rsidR="007D7140" w:rsidRDefault="00A207BA">
            <w:pPr>
              <w:ind w:left="142"/>
              <w:rPr>
                <w:lang w:val="hu-HU"/>
              </w:rPr>
            </w:pPr>
            <w:r>
              <w:rPr>
                <w:lang w:val="hu-HU"/>
              </w:rPr>
              <w:t>LMWH</w:t>
            </w:r>
          </w:p>
        </w:tc>
        <w:tc>
          <w:tcPr>
            <w:tcW w:w="7520" w:type="dxa"/>
          </w:tcPr>
          <w:p w:rsidR="007D7140" w:rsidRDefault="00A207BA">
            <w:pPr>
              <w:ind w:left="154"/>
              <w:rPr>
                <w:lang w:val="hu-HU"/>
              </w:rPr>
            </w:pPr>
            <w:r>
              <w:rPr>
                <w:lang w:val="hu-HU"/>
              </w:rPr>
              <w:t>LMWH</w:t>
            </w:r>
            <w:r>
              <w:rPr>
                <w:lang w:val="hu-HU"/>
              </w:rPr>
              <w:noBreakHyphen/>
              <w:t>k, mint például az enoxaparin és dabigatrán</w:t>
            </w:r>
            <w:r>
              <w:rPr>
                <w:lang w:val="hu-HU"/>
              </w:rPr>
              <w:noBreakHyphen/>
              <w:t>etexilát egyidejű alkalmazását</w:t>
            </w:r>
            <w:r>
              <w:rPr>
                <w:spacing w:val="1"/>
                <w:lang w:val="hu-HU"/>
              </w:rPr>
              <w:t xml:space="preserve"> </w:t>
            </w:r>
            <w:r>
              <w:rPr>
                <w:lang w:val="hu-HU"/>
              </w:rPr>
              <w:t>specifikusan nem vizsgálták. Három napon keresztül, naponta egyszer sc. adott 40 mg</w:t>
            </w:r>
            <w:r>
              <w:rPr>
                <w:spacing w:val="1"/>
                <w:lang w:val="hu-HU"/>
              </w:rPr>
              <w:t xml:space="preserve"> </w:t>
            </w:r>
            <w:r>
              <w:rPr>
                <w:lang w:val="hu-HU"/>
              </w:rPr>
              <w:t>enoxaparinról történő átállítás után, az enoxaparin utolsó dózisa után 24 órával a</w:t>
            </w:r>
            <w:r>
              <w:rPr>
                <w:spacing w:val="1"/>
                <w:lang w:val="hu-HU"/>
              </w:rPr>
              <w:t xml:space="preserve"> </w:t>
            </w:r>
            <w:r>
              <w:rPr>
                <w:lang w:val="hu-HU"/>
              </w:rPr>
              <w:t>dabigatrán</w:t>
            </w:r>
            <w:r>
              <w:rPr>
                <w:lang w:val="hu-HU"/>
              </w:rPr>
              <w:noBreakHyphen/>
              <w:t>expozíció kicsivel alacsonyabb volt, mint az önmagában adott dabigatrán</w:t>
            </w:r>
            <w:r>
              <w:rPr>
                <w:lang w:val="hu-HU"/>
              </w:rPr>
              <w:noBreakHyphen/>
              <w:t>etexilát (egyszeri 220 mg-os dózis) után. Magasabb anti</w:t>
            </w:r>
            <w:r>
              <w:rPr>
                <w:lang w:val="hu-HU"/>
              </w:rPr>
              <w:noBreakHyphen/>
              <w:t>FXa/FIIa aktivitást figyeltek meg az enoxaparin</w:t>
            </w:r>
            <w:r>
              <w:rPr>
                <w:lang w:val="hu-HU"/>
              </w:rPr>
              <w:noBreakHyphen/>
              <w:t>előkezeléssel együtt adott dabigatrán</w:t>
            </w:r>
            <w:r>
              <w:rPr>
                <w:lang w:val="hu-HU"/>
              </w:rPr>
              <w:noBreakHyphen/>
              <w:t>etexilát alkalmazása után, mint az önmagában</w:t>
            </w:r>
            <w:r>
              <w:rPr>
                <w:spacing w:val="1"/>
                <w:lang w:val="hu-HU"/>
              </w:rPr>
              <w:t xml:space="preserve"> </w:t>
            </w:r>
            <w:r>
              <w:rPr>
                <w:lang w:val="hu-HU"/>
              </w:rPr>
              <w:t>adott dabigatrán</w:t>
            </w:r>
            <w:r>
              <w:rPr>
                <w:lang w:val="hu-HU"/>
              </w:rPr>
              <w:noBreakHyphen/>
              <w:t>etexilát alkalmazását követően. A feltételezések szerint ez az enoxaparin</w:t>
            </w:r>
            <w:r>
              <w:rPr>
                <w:spacing w:val="1"/>
                <w:lang w:val="hu-HU"/>
              </w:rPr>
              <w:t xml:space="preserve"> </w:t>
            </w:r>
            <w:r>
              <w:rPr>
                <w:lang w:val="hu-HU"/>
              </w:rPr>
              <w:t>megmaradó hatásának következménye, és klinikailag nem tekintik relevánsnak. Más, dabigatránnal</w:t>
            </w:r>
            <w:r>
              <w:rPr>
                <w:spacing w:val="-5"/>
                <w:lang w:val="hu-HU"/>
              </w:rPr>
              <w:t xml:space="preserve"> </w:t>
            </w:r>
            <w:r>
              <w:rPr>
                <w:lang w:val="hu-HU"/>
              </w:rPr>
              <w:t>kapcsolatos</w:t>
            </w:r>
            <w:r>
              <w:rPr>
                <w:spacing w:val="-5"/>
                <w:lang w:val="hu-HU"/>
              </w:rPr>
              <w:t xml:space="preserve"> </w:t>
            </w:r>
            <w:r>
              <w:rPr>
                <w:lang w:val="hu-HU"/>
              </w:rPr>
              <w:t>antikoaguláns</w:t>
            </w:r>
            <w:r>
              <w:rPr>
                <w:spacing w:val="-5"/>
                <w:lang w:val="hu-HU"/>
              </w:rPr>
              <w:t xml:space="preserve"> </w:t>
            </w:r>
            <w:r>
              <w:rPr>
                <w:lang w:val="hu-HU"/>
              </w:rPr>
              <w:t>vizsgálatokat</w:t>
            </w:r>
            <w:r>
              <w:rPr>
                <w:spacing w:val="-5"/>
                <w:lang w:val="hu-HU"/>
              </w:rPr>
              <w:t xml:space="preserve"> az </w:t>
            </w:r>
            <w:r>
              <w:rPr>
                <w:lang w:val="hu-HU"/>
              </w:rPr>
              <w:t>enoxaparin</w:t>
            </w:r>
            <w:r>
              <w:rPr>
                <w:spacing w:val="-7"/>
                <w:lang w:val="hu-HU"/>
              </w:rPr>
              <w:t xml:space="preserve"> </w:t>
            </w:r>
            <w:r>
              <w:rPr>
                <w:lang w:val="hu-HU"/>
              </w:rPr>
              <w:t>előkezelés</w:t>
            </w:r>
            <w:r>
              <w:rPr>
                <w:spacing w:val="-6"/>
                <w:lang w:val="hu-HU"/>
              </w:rPr>
              <w:t xml:space="preserve"> </w:t>
            </w:r>
            <w:r>
              <w:rPr>
                <w:lang w:val="hu-HU"/>
              </w:rPr>
              <w:t>nem</w:t>
            </w:r>
            <w:r>
              <w:rPr>
                <w:spacing w:val="-5"/>
                <w:lang w:val="hu-HU"/>
              </w:rPr>
              <w:t xml:space="preserve"> </w:t>
            </w:r>
            <w:r>
              <w:rPr>
                <w:lang w:val="hu-HU"/>
              </w:rPr>
              <w:t>változtatott</w:t>
            </w:r>
            <w:r>
              <w:rPr>
                <w:spacing w:val="-5"/>
                <w:lang w:val="hu-HU"/>
              </w:rPr>
              <w:t xml:space="preserve"> </w:t>
            </w:r>
            <w:r>
              <w:rPr>
                <w:lang w:val="hu-HU"/>
              </w:rPr>
              <w:t>meg</w:t>
            </w:r>
            <w:r>
              <w:rPr>
                <w:spacing w:val="-5"/>
                <w:lang w:val="hu-HU"/>
              </w:rPr>
              <w:t xml:space="preserve"> </w:t>
            </w:r>
            <w:r>
              <w:rPr>
                <w:lang w:val="hu-HU"/>
              </w:rPr>
              <w:t>jelentősen.</w:t>
            </w:r>
          </w:p>
        </w:tc>
      </w:tr>
    </w:tbl>
    <w:p w:rsidR="007D7140" w:rsidRDefault="007D7140">
      <w:pPr>
        <w:rPr>
          <w:lang w:val="hu-HU"/>
        </w:rPr>
      </w:pPr>
    </w:p>
    <w:p w:rsidR="007D7140" w:rsidRDefault="00A207BA">
      <w:pPr>
        <w:rPr>
          <w:lang w:val="hu-HU"/>
        </w:rPr>
      </w:pPr>
      <w:r>
        <w:rPr>
          <w:u w:val="single"/>
          <w:lang w:val="hu-HU"/>
        </w:rPr>
        <w:t>Egyéb</w:t>
      </w:r>
      <w:r>
        <w:rPr>
          <w:spacing w:val="-4"/>
          <w:u w:val="single"/>
          <w:lang w:val="hu-HU"/>
        </w:rPr>
        <w:t xml:space="preserve"> </w:t>
      </w:r>
      <w:r>
        <w:rPr>
          <w:u w:val="single"/>
          <w:lang w:val="hu-HU"/>
        </w:rPr>
        <w:t>interakciók</w:t>
      </w:r>
    </w:p>
    <w:p w:rsidR="007D7140" w:rsidRDefault="007D7140">
      <w:pPr>
        <w:rPr>
          <w:lang w:val="hu-HU"/>
        </w:rPr>
      </w:pPr>
    </w:p>
    <w:p w:rsidR="007D7140" w:rsidRDefault="00A207BA">
      <w:pPr>
        <w:rPr>
          <w:b/>
          <w:bCs/>
          <w:lang w:val="hu-HU"/>
        </w:rPr>
      </w:pPr>
      <w:r>
        <w:rPr>
          <w:b/>
          <w:bCs/>
          <w:lang w:val="hu-HU"/>
        </w:rPr>
        <w:t>11. táblázat: Egyéb</w:t>
      </w:r>
      <w:r>
        <w:rPr>
          <w:b/>
          <w:bCs/>
          <w:spacing w:val="-5"/>
          <w:lang w:val="hu-HU"/>
        </w:rPr>
        <w:t xml:space="preserve"> </w:t>
      </w:r>
      <w:r>
        <w:rPr>
          <w:b/>
          <w:bCs/>
          <w:lang w:val="hu-HU"/>
        </w:rPr>
        <w:t>interakciók</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7D7140">
        <w:trPr>
          <w:trHeight w:val="833"/>
        </w:trPr>
        <w:tc>
          <w:tcPr>
            <w:tcW w:w="9072" w:type="dxa"/>
            <w:gridSpan w:val="2"/>
          </w:tcPr>
          <w:p w:rsidR="007D7140" w:rsidRDefault="00A207BA">
            <w:pPr>
              <w:ind w:left="142"/>
              <w:rPr>
                <w:i/>
                <w:lang w:val="hu-HU"/>
              </w:rPr>
            </w:pPr>
            <w:r>
              <w:rPr>
                <w:i/>
                <w:u w:val="single"/>
                <w:lang w:val="hu-HU"/>
              </w:rPr>
              <w:t>Szelektív szerotoninvisszavétel</w:t>
            </w:r>
            <w:r>
              <w:rPr>
                <w:i/>
                <w:u w:val="single"/>
                <w:lang w:val="hu-HU"/>
              </w:rPr>
              <w:noBreakHyphen/>
              <w:t>gátlók (</w:t>
            </w:r>
            <w:r>
              <w:rPr>
                <w:i/>
                <w:u w:val="single"/>
              </w:rPr>
              <w:t xml:space="preserve">selective serotonin re-uptake inhibitor, </w:t>
            </w:r>
            <w:r>
              <w:rPr>
                <w:i/>
                <w:u w:val="single"/>
                <w:lang w:val="hu-HU"/>
              </w:rPr>
              <w:t>SSRI) vagy szelektív szerotonin</w:t>
            </w:r>
            <w:r>
              <w:rPr>
                <w:i/>
                <w:u w:val="single"/>
                <w:lang w:val="hu-HU"/>
              </w:rPr>
              <w:noBreakHyphen/>
              <w:t>noradrenalin</w:t>
            </w:r>
            <w:r>
              <w:rPr>
                <w:i/>
                <w:u w:val="single"/>
                <w:lang w:val="hu-HU"/>
              </w:rPr>
              <w:noBreakHyphen/>
              <w:t>visszavétel</w:t>
            </w:r>
            <w:r>
              <w:rPr>
                <w:i/>
                <w:u w:val="single"/>
                <w:lang w:val="hu-HU"/>
              </w:rPr>
              <w:noBreakHyphen/>
              <w:t>gátlók</w:t>
            </w:r>
            <w:r>
              <w:rPr>
                <w:i/>
                <w:spacing w:val="-2"/>
                <w:u w:val="single"/>
                <w:lang w:val="hu-HU"/>
              </w:rPr>
              <w:t xml:space="preserve"> </w:t>
            </w:r>
            <w:r>
              <w:rPr>
                <w:i/>
                <w:u w:val="single"/>
                <w:lang w:val="hu-HU"/>
              </w:rPr>
              <w:t>(</w:t>
            </w:r>
            <w:r>
              <w:rPr>
                <w:i/>
                <w:u w:val="single"/>
              </w:rPr>
              <w:t xml:space="preserve">selective serotonin norepinephrine re-uptake inhibitor, </w:t>
            </w:r>
            <w:r>
              <w:rPr>
                <w:i/>
                <w:u w:val="single"/>
                <w:lang w:val="hu-HU"/>
              </w:rPr>
              <w:t>SNRI)</w:t>
            </w:r>
          </w:p>
        </w:tc>
      </w:tr>
      <w:tr w:rsidR="007D7140">
        <w:trPr>
          <w:trHeight w:val="561"/>
        </w:trPr>
        <w:tc>
          <w:tcPr>
            <w:tcW w:w="1560" w:type="dxa"/>
          </w:tcPr>
          <w:p w:rsidR="007D7140" w:rsidRDefault="00A207BA">
            <w:pPr>
              <w:ind w:left="142"/>
              <w:rPr>
                <w:lang w:val="hu-HU"/>
              </w:rPr>
            </w:pPr>
            <w:r>
              <w:rPr>
                <w:spacing w:val="-1"/>
                <w:lang w:val="hu-HU"/>
              </w:rPr>
              <w:t>SSRI</w:t>
            </w:r>
            <w:r>
              <w:rPr>
                <w:spacing w:val="-1"/>
                <w:lang w:val="hu-HU"/>
              </w:rPr>
              <w:noBreakHyphen/>
              <w:t>k,</w:t>
            </w:r>
            <w:r>
              <w:rPr>
                <w:lang w:val="hu-HU"/>
              </w:rPr>
              <w:t xml:space="preserve"> SNRI</w:t>
            </w:r>
            <w:r>
              <w:rPr>
                <w:lang w:val="hu-HU"/>
              </w:rPr>
              <w:noBreakHyphen/>
              <w:t>k</w:t>
            </w:r>
          </w:p>
        </w:tc>
        <w:tc>
          <w:tcPr>
            <w:tcW w:w="7512" w:type="dxa"/>
          </w:tcPr>
          <w:p w:rsidR="007D7140" w:rsidRDefault="00A207BA">
            <w:pPr>
              <w:ind w:left="142"/>
              <w:rPr>
                <w:lang w:val="hu-HU"/>
              </w:rPr>
            </w:pPr>
            <w:r>
              <w:rPr>
                <w:lang w:val="hu-HU"/>
              </w:rPr>
              <w:t>Az SSRI</w:t>
            </w:r>
            <w:r>
              <w:rPr>
                <w:lang w:val="hu-HU"/>
              </w:rPr>
              <w:noBreakHyphen/>
              <w:t>k és az SNRI</w:t>
            </w:r>
            <w:r>
              <w:rPr>
                <w:lang w:val="hu-HU"/>
              </w:rPr>
              <w:noBreakHyphen/>
              <w:t>k valamennyi kezelési csoportban növelték a vérzés</w:t>
            </w:r>
            <w:r>
              <w:rPr>
                <w:spacing w:val="1"/>
                <w:lang w:val="hu-HU"/>
              </w:rPr>
              <w:t xml:space="preserve"> </w:t>
            </w:r>
            <w:r>
              <w:rPr>
                <w:lang w:val="hu-HU"/>
              </w:rPr>
              <w:t>kockázatát a RE</w:t>
            </w:r>
            <w:r>
              <w:rPr>
                <w:lang w:val="hu-HU"/>
              </w:rPr>
              <w:noBreakHyphen/>
              <w:t xml:space="preserve">LY vizsgálatban. </w:t>
            </w:r>
          </w:p>
        </w:tc>
      </w:tr>
      <w:tr w:rsidR="007D7140">
        <w:trPr>
          <w:trHeight w:val="489"/>
        </w:trPr>
        <w:tc>
          <w:tcPr>
            <w:tcW w:w="9072" w:type="dxa"/>
            <w:gridSpan w:val="2"/>
            <w:vAlign w:val="center"/>
          </w:tcPr>
          <w:p w:rsidR="007D7140" w:rsidRDefault="00A207BA">
            <w:pPr>
              <w:ind w:left="142"/>
              <w:rPr>
                <w:i/>
                <w:lang w:val="hu-HU"/>
              </w:rPr>
            </w:pPr>
            <w:r>
              <w:rPr>
                <w:i/>
                <w:u w:val="single"/>
                <w:lang w:val="hu-HU"/>
              </w:rPr>
              <w:t>A</w:t>
            </w:r>
            <w:r>
              <w:rPr>
                <w:i/>
                <w:spacing w:val="-4"/>
                <w:u w:val="single"/>
                <w:lang w:val="hu-HU"/>
              </w:rPr>
              <w:t xml:space="preserve"> </w:t>
            </w:r>
            <w:r>
              <w:rPr>
                <w:i/>
                <w:u w:val="single"/>
                <w:lang w:val="hu-HU"/>
              </w:rPr>
              <w:t>gyomor</w:t>
            </w:r>
            <w:r>
              <w:rPr>
                <w:i/>
                <w:spacing w:val="-3"/>
                <w:u w:val="single"/>
                <w:lang w:val="hu-HU"/>
              </w:rPr>
              <w:t xml:space="preserve"> </w:t>
            </w:r>
            <w:r>
              <w:rPr>
                <w:i/>
                <w:u w:val="single"/>
                <w:lang w:val="hu-HU"/>
              </w:rPr>
              <w:t>pH-t</w:t>
            </w:r>
            <w:r>
              <w:rPr>
                <w:i/>
                <w:spacing w:val="-5"/>
                <w:u w:val="single"/>
                <w:lang w:val="hu-HU"/>
              </w:rPr>
              <w:t xml:space="preserve"> </w:t>
            </w:r>
            <w:r>
              <w:rPr>
                <w:i/>
                <w:u w:val="single"/>
                <w:lang w:val="hu-HU"/>
              </w:rPr>
              <w:t>befolyásoló</w:t>
            </w:r>
            <w:r>
              <w:rPr>
                <w:i/>
                <w:spacing w:val="-4"/>
                <w:u w:val="single"/>
                <w:lang w:val="hu-HU"/>
              </w:rPr>
              <w:t xml:space="preserve"> </w:t>
            </w:r>
            <w:r>
              <w:rPr>
                <w:i/>
                <w:u w:val="single"/>
                <w:lang w:val="hu-HU"/>
              </w:rPr>
              <w:t>egyéb</w:t>
            </w:r>
            <w:r>
              <w:rPr>
                <w:i/>
                <w:spacing w:val="-4"/>
                <w:u w:val="single"/>
                <w:lang w:val="hu-HU"/>
              </w:rPr>
              <w:t xml:space="preserve"> </w:t>
            </w:r>
            <w:r>
              <w:rPr>
                <w:i/>
                <w:u w:val="single"/>
                <w:lang w:val="hu-HU"/>
              </w:rPr>
              <w:t>gyógyszerek</w:t>
            </w:r>
          </w:p>
        </w:tc>
      </w:tr>
      <w:tr w:rsidR="007D7140">
        <w:trPr>
          <w:trHeight w:val="415"/>
        </w:trPr>
        <w:tc>
          <w:tcPr>
            <w:tcW w:w="1560" w:type="dxa"/>
          </w:tcPr>
          <w:p w:rsidR="007D7140" w:rsidRDefault="00A207BA">
            <w:pPr>
              <w:ind w:left="142"/>
              <w:rPr>
                <w:lang w:val="hu-HU"/>
              </w:rPr>
            </w:pPr>
            <w:r>
              <w:rPr>
                <w:lang w:val="hu-HU"/>
              </w:rPr>
              <w:t>Pantoprazol</w:t>
            </w:r>
          </w:p>
        </w:tc>
        <w:tc>
          <w:tcPr>
            <w:tcW w:w="7512" w:type="dxa"/>
          </w:tcPr>
          <w:p w:rsidR="007D7140" w:rsidRDefault="00A207BA">
            <w:pPr>
              <w:ind w:left="142"/>
              <w:rPr>
                <w:lang w:val="hu-HU"/>
              </w:rPr>
            </w:pPr>
            <w:r>
              <w:rPr>
                <w:lang w:val="hu-HU"/>
              </w:rPr>
              <w:t>Ha a dabigatrán</w:t>
            </w:r>
            <w:r>
              <w:rPr>
                <w:lang w:val="hu-HU"/>
              </w:rPr>
              <w:noBreakHyphen/>
              <w:t>etexilátot</w:t>
            </w:r>
            <w:r>
              <w:rPr>
                <w:spacing w:val="-6"/>
                <w:lang w:val="hu-HU"/>
              </w:rPr>
              <w:t xml:space="preserve"> </w:t>
            </w:r>
            <w:r>
              <w:rPr>
                <w:lang w:val="hu-HU"/>
              </w:rPr>
              <w:t>pantoprazollal adták együtt, a dabigatrán AUC értékének kb. 30%</w:t>
            </w:r>
            <w:r>
              <w:rPr>
                <w:lang w:val="hu-HU"/>
              </w:rPr>
              <w:noBreakHyphen/>
              <w:t xml:space="preserve"> os csökkenését figyelték meg. Klinikai vizsgálatokban pantoprazolt és egyéb</w:t>
            </w:r>
            <w:r>
              <w:rPr>
                <w:spacing w:val="1"/>
                <w:lang w:val="hu-HU"/>
              </w:rPr>
              <w:t xml:space="preserve"> </w:t>
            </w:r>
            <w:r>
              <w:rPr>
                <w:lang w:val="hu-HU"/>
              </w:rPr>
              <w:t>protonpumpa-inhibitorokat</w:t>
            </w:r>
            <w:r>
              <w:rPr>
                <w:spacing w:val="-3"/>
                <w:lang w:val="hu-HU"/>
              </w:rPr>
              <w:t xml:space="preserve"> </w:t>
            </w:r>
            <w:r>
              <w:rPr>
                <w:lang w:val="hu-HU"/>
              </w:rPr>
              <w:t>(PPI)</w:t>
            </w:r>
            <w:r>
              <w:rPr>
                <w:spacing w:val="-3"/>
                <w:lang w:val="hu-HU"/>
              </w:rPr>
              <w:t xml:space="preserve"> </w:t>
            </w:r>
            <w:r>
              <w:rPr>
                <w:lang w:val="hu-HU"/>
              </w:rPr>
              <w:t>adtak</w:t>
            </w:r>
            <w:r>
              <w:rPr>
                <w:spacing w:val="-3"/>
                <w:lang w:val="hu-HU"/>
              </w:rPr>
              <w:t xml:space="preserve"> </w:t>
            </w:r>
            <w:r>
              <w:rPr>
                <w:lang w:val="hu-HU"/>
              </w:rPr>
              <w:t>együtt</w:t>
            </w:r>
            <w:r>
              <w:rPr>
                <w:spacing w:val="-3"/>
                <w:lang w:val="hu-HU"/>
              </w:rPr>
              <w:t xml:space="preserve"> </w:t>
            </w:r>
            <w:r>
              <w:rPr>
                <w:lang w:val="hu-HU"/>
              </w:rPr>
              <w:t>dabigatrán</w:t>
            </w:r>
            <w:r>
              <w:rPr>
                <w:lang w:val="hu-HU"/>
              </w:rPr>
              <w:noBreakHyphen/>
              <w:t>etexiláttal, és az egyidejű PPI</w:t>
            </w:r>
            <w:r>
              <w:rPr>
                <w:lang w:val="hu-HU"/>
              </w:rPr>
              <w:noBreakHyphen/>
              <w:t>kezelés</w:t>
            </w:r>
            <w:r>
              <w:rPr>
                <w:spacing w:val="-5"/>
                <w:lang w:val="hu-HU"/>
              </w:rPr>
              <w:t xml:space="preserve"> </w:t>
            </w:r>
            <w:r>
              <w:rPr>
                <w:lang w:val="hu-HU"/>
              </w:rPr>
              <w:t>úgy tűnik, nem csökkentette a dabigatrán</w:t>
            </w:r>
            <w:r>
              <w:rPr>
                <w:lang w:val="hu-HU"/>
              </w:rPr>
              <w:noBreakHyphen/>
              <w:t>etexilát</w:t>
            </w:r>
            <w:r>
              <w:rPr>
                <w:spacing w:val="-5"/>
                <w:lang w:val="hu-HU"/>
              </w:rPr>
              <w:t xml:space="preserve"> </w:t>
            </w:r>
            <w:r>
              <w:rPr>
                <w:lang w:val="hu-HU"/>
              </w:rPr>
              <w:t>hatásosságát.</w:t>
            </w:r>
          </w:p>
        </w:tc>
      </w:tr>
      <w:tr w:rsidR="007D7140">
        <w:trPr>
          <w:trHeight w:val="506"/>
        </w:trPr>
        <w:tc>
          <w:tcPr>
            <w:tcW w:w="1560" w:type="dxa"/>
          </w:tcPr>
          <w:p w:rsidR="007D7140" w:rsidRDefault="00A207BA">
            <w:pPr>
              <w:ind w:left="142"/>
              <w:rPr>
                <w:lang w:val="hu-HU"/>
              </w:rPr>
            </w:pPr>
            <w:r>
              <w:rPr>
                <w:lang w:val="hu-HU"/>
              </w:rPr>
              <w:t>Ranitidin</w:t>
            </w:r>
          </w:p>
        </w:tc>
        <w:tc>
          <w:tcPr>
            <w:tcW w:w="7512" w:type="dxa"/>
          </w:tcPr>
          <w:p w:rsidR="007D7140" w:rsidRDefault="00A207BA">
            <w:pPr>
              <w:ind w:left="142"/>
              <w:rPr>
                <w:lang w:val="hu-HU"/>
              </w:rPr>
            </w:pPr>
            <w:r>
              <w:rPr>
                <w:lang w:val="hu-HU"/>
              </w:rPr>
              <w:t>A</w:t>
            </w:r>
            <w:r>
              <w:rPr>
                <w:spacing w:val="-6"/>
                <w:lang w:val="hu-HU"/>
              </w:rPr>
              <w:t xml:space="preserve"> </w:t>
            </w:r>
            <w:r>
              <w:rPr>
                <w:lang w:val="hu-HU"/>
              </w:rPr>
              <w:t>ranitidin</w:t>
            </w:r>
            <w:r>
              <w:rPr>
                <w:spacing w:val="-6"/>
                <w:lang w:val="hu-HU"/>
              </w:rPr>
              <w:t xml:space="preserve"> </w:t>
            </w:r>
            <w:r>
              <w:rPr>
                <w:lang w:val="hu-HU"/>
              </w:rPr>
              <w:t>dabigatrán</w:t>
            </w:r>
            <w:r>
              <w:rPr>
                <w:lang w:val="hu-HU"/>
              </w:rPr>
              <w:noBreakHyphen/>
              <w:t>etexiláttal</w:t>
            </w:r>
            <w:r>
              <w:rPr>
                <w:spacing w:val="-6"/>
                <w:lang w:val="hu-HU"/>
              </w:rPr>
              <w:t xml:space="preserve"> </w:t>
            </w:r>
            <w:r>
              <w:rPr>
                <w:lang w:val="hu-HU"/>
              </w:rPr>
              <w:t>történő</w:t>
            </w:r>
            <w:r>
              <w:rPr>
                <w:spacing w:val="-5"/>
                <w:lang w:val="hu-HU"/>
              </w:rPr>
              <w:t xml:space="preserve"> </w:t>
            </w:r>
            <w:r>
              <w:rPr>
                <w:lang w:val="hu-HU"/>
              </w:rPr>
              <w:t>együttadásának</w:t>
            </w:r>
            <w:r>
              <w:rPr>
                <w:spacing w:val="-6"/>
                <w:lang w:val="hu-HU"/>
              </w:rPr>
              <w:t xml:space="preserve"> </w:t>
            </w:r>
            <w:r>
              <w:rPr>
                <w:lang w:val="hu-HU"/>
              </w:rPr>
              <w:t>nem</w:t>
            </w:r>
            <w:r>
              <w:rPr>
                <w:spacing w:val="-6"/>
                <w:lang w:val="hu-HU"/>
              </w:rPr>
              <w:t xml:space="preserve"> </w:t>
            </w:r>
            <w:r>
              <w:rPr>
                <w:lang w:val="hu-HU"/>
              </w:rPr>
              <w:t>volt</w:t>
            </w:r>
            <w:r>
              <w:rPr>
                <w:spacing w:val="-5"/>
                <w:lang w:val="hu-HU"/>
              </w:rPr>
              <w:t xml:space="preserve"> </w:t>
            </w:r>
            <w:r>
              <w:rPr>
                <w:lang w:val="hu-HU"/>
              </w:rPr>
              <w:t>klinikailag jelentős</w:t>
            </w:r>
            <w:r>
              <w:rPr>
                <w:spacing w:val="-6"/>
                <w:lang w:val="hu-HU"/>
              </w:rPr>
              <w:t xml:space="preserve"> </w:t>
            </w:r>
            <w:r>
              <w:rPr>
                <w:lang w:val="hu-HU"/>
              </w:rPr>
              <w:t>hatása</w:t>
            </w:r>
            <w:r>
              <w:rPr>
                <w:spacing w:val="-5"/>
                <w:lang w:val="hu-HU"/>
              </w:rPr>
              <w:t xml:space="preserve"> </w:t>
            </w:r>
            <w:r>
              <w:rPr>
                <w:lang w:val="hu-HU"/>
              </w:rPr>
              <w:t>a</w:t>
            </w:r>
            <w:r>
              <w:rPr>
                <w:spacing w:val="-6"/>
                <w:lang w:val="hu-HU"/>
              </w:rPr>
              <w:t xml:space="preserve"> </w:t>
            </w:r>
            <w:r>
              <w:rPr>
                <w:lang w:val="hu-HU"/>
              </w:rPr>
              <w:t>dabigatrán</w:t>
            </w:r>
            <w:r>
              <w:rPr>
                <w:spacing w:val="-5"/>
                <w:lang w:val="hu-HU"/>
              </w:rPr>
              <w:t xml:space="preserve"> </w:t>
            </w:r>
            <w:r>
              <w:rPr>
                <w:lang w:val="hu-HU"/>
              </w:rPr>
              <w:t>felszívódásának</w:t>
            </w:r>
            <w:r>
              <w:rPr>
                <w:spacing w:val="-6"/>
                <w:lang w:val="hu-HU"/>
              </w:rPr>
              <w:t xml:space="preserve"> </w:t>
            </w:r>
            <w:r>
              <w:rPr>
                <w:lang w:val="hu-HU"/>
              </w:rPr>
              <w:t>mértékére.</w:t>
            </w:r>
          </w:p>
        </w:tc>
      </w:tr>
    </w:tbl>
    <w:p w:rsidR="007D7140" w:rsidRDefault="007D7140">
      <w:pPr>
        <w:rPr>
          <w:lang w:val="hu-HU"/>
        </w:rPr>
      </w:pPr>
    </w:p>
    <w:p w:rsidR="007D7140" w:rsidRDefault="00A207BA">
      <w:pPr>
        <w:rPr>
          <w:lang w:val="hu-HU"/>
        </w:rPr>
      </w:pPr>
      <w:r>
        <w:rPr>
          <w:u w:val="single"/>
          <w:lang w:val="hu-HU"/>
        </w:rPr>
        <w:t>A</w:t>
      </w:r>
      <w:r>
        <w:rPr>
          <w:spacing w:val="-6"/>
          <w:u w:val="single"/>
          <w:lang w:val="hu-HU"/>
        </w:rPr>
        <w:t xml:space="preserve"> </w:t>
      </w:r>
      <w:r>
        <w:rPr>
          <w:u w:val="single"/>
          <w:lang w:val="hu-HU"/>
        </w:rPr>
        <w:t>dabigatrán</w:t>
      </w:r>
      <w:r>
        <w:rPr>
          <w:u w:val="single"/>
          <w:lang w:val="hu-HU"/>
        </w:rPr>
        <w:noBreakHyphen/>
        <w:t>etexilát</w:t>
      </w:r>
      <w:r>
        <w:rPr>
          <w:spacing w:val="-5"/>
          <w:u w:val="single"/>
          <w:lang w:val="hu-HU"/>
        </w:rPr>
        <w:t xml:space="preserve"> </w:t>
      </w:r>
      <w:r>
        <w:rPr>
          <w:u w:val="single"/>
          <w:lang w:val="hu-HU"/>
        </w:rPr>
        <w:t>és</w:t>
      </w:r>
      <w:r>
        <w:rPr>
          <w:spacing w:val="-5"/>
          <w:u w:val="single"/>
          <w:lang w:val="hu-HU"/>
        </w:rPr>
        <w:t xml:space="preserve"> </w:t>
      </w:r>
      <w:r>
        <w:rPr>
          <w:u w:val="single"/>
          <w:lang w:val="hu-HU"/>
        </w:rPr>
        <w:t>a</w:t>
      </w:r>
      <w:r>
        <w:rPr>
          <w:spacing w:val="-5"/>
          <w:u w:val="single"/>
          <w:lang w:val="hu-HU"/>
        </w:rPr>
        <w:t xml:space="preserve"> </w:t>
      </w:r>
      <w:r>
        <w:rPr>
          <w:u w:val="single"/>
          <w:lang w:val="hu-HU"/>
        </w:rPr>
        <w:t>dabigatrán</w:t>
      </w:r>
      <w:r>
        <w:rPr>
          <w:spacing w:val="-5"/>
          <w:u w:val="single"/>
          <w:lang w:val="hu-HU"/>
        </w:rPr>
        <w:t xml:space="preserve"> </w:t>
      </w:r>
      <w:r>
        <w:rPr>
          <w:u w:val="single"/>
          <w:lang w:val="hu-HU"/>
        </w:rPr>
        <w:t>metabolikus</w:t>
      </w:r>
      <w:r>
        <w:rPr>
          <w:spacing w:val="-5"/>
          <w:u w:val="single"/>
          <w:lang w:val="hu-HU"/>
        </w:rPr>
        <w:t xml:space="preserve"> </w:t>
      </w:r>
      <w:r>
        <w:rPr>
          <w:u w:val="single"/>
          <w:lang w:val="hu-HU"/>
        </w:rPr>
        <w:t>profiljával</w:t>
      </w:r>
      <w:r>
        <w:rPr>
          <w:spacing w:val="-5"/>
          <w:u w:val="single"/>
          <w:lang w:val="hu-HU"/>
        </w:rPr>
        <w:t xml:space="preserve"> </w:t>
      </w:r>
      <w:r>
        <w:rPr>
          <w:u w:val="single"/>
          <w:lang w:val="hu-HU"/>
        </w:rPr>
        <w:t>kapcsolatos</w:t>
      </w:r>
      <w:r>
        <w:rPr>
          <w:spacing w:val="-5"/>
          <w:u w:val="single"/>
          <w:lang w:val="hu-HU"/>
        </w:rPr>
        <w:t xml:space="preserve"> </w:t>
      </w:r>
      <w:r>
        <w:rPr>
          <w:u w:val="single"/>
          <w:lang w:val="hu-HU"/>
        </w:rPr>
        <w:t>interakciók</w:t>
      </w:r>
    </w:p>
    <w:p w:rsidR="007D7140" w:rsidRDefault="007D7140">
      <w:pPr>
        <w:rPr>
          <w:lang w:val="hu-HU"/>
        </w:rPr>
      </w:pPr>
    </w:p>
    <w:p w:rsidR="007D7140" w:rsidRDefault="00A207BA">
      <w:pPr>
        <w:rPr>
          <w:lang w:val="hu-HU"/>
        </w:rPr>
      </w:pPr>
      <w:r>
        <w:rPr>
          <w:lang w:val="hu-HU"/>
        </w:rPr>
        <w:t>A dabigatrán</w:t>
      </w:r>
      <w:r>
        <w:rPr>
          <w:lang w:val="hu-HU"/>
        </w:rPr>
        <w:noBreakHyphen/>
        <w:t xml:space="preserve">etexilát és a dabigatrán nem metabolizálódik a citokróm P450 rendszeren keresztül, és </w:t>
      </w:r>
      <w:r>
        <w:rPr>
          <w:i/>
          <w:lang w:val="hu-HU"/>
        </w:rPr>
        <w:t>in</w:t>
      </w:r>
      <w:r>
        <w:rPr>
          <w:lang w:val="hu-HU"/>
        </w:rPr>
        <w:t xml:space="preserve"> </w:t>
      </w:r>
      <w:r>
        <w:rPr>
          <w:i/>
          <w:lang w:val="hu-HU"/>
        </w:rPr>
        <w:t xml:space="preserve">vitro </w:t>
      </w:r>
      <w:r>
        <w:rPr>
          <w:lang w:val="hu-HU"/>
        </w:rPr>
        <w:t>nincs hatásuk az emberi citokróm P450 enzimekre. Ezért ezzel összefüggő</w:t>
      </w:r>
      <w:r>
        <w:rPr>
          <w:spacing w:val="1"/>
          <w:lang w:val="hu-HU"/>
        </w:rPr>
        <w:t xml:space="preserve"> </w:t>
      </w:r>
      <w:r>
        <w:rPr>
          <w:lang w:val="hu-HU"/>
        </w:rPr>
        <w:t>gyógyszerkölcsönhatások</w:t>
      </w:r>
      <w:r>
        <w:rPr>
          <w:spacing w:val="-2"/>
          <w:lang w:val="hu-HU"/>
        </w:rPr>
        <w:t xml:space="preserve"> </w:t>
      </w:r>
      <w:r>
        <w:rPr>
          <w:lang w:val="hu-HU"/>
        </w:rPr>
        <w:t>a</w:t>
      </w:r>
      <w:r>
        <w:rPr>
          <w:spacing w:val="-1"/>
          <w:lang w:val="hu-HU"/>
        </w:rPr>
        <w:t xml:space="preserve"> </w:t>
      </w:r>
      <w:r>
        <w:rPr>
          <w:lang w:val="hu-HU"/>
        </w:rPr>
        <w:t>dabigatránnal</w:t>
      </w:r>
      <w:r>
        <w:rPr>
          <w:spacing w:val="-2"/>
          <w:lang w:val="hu-HU"/>
        </w:rPr>
        <w:t xml:space="preserve"> </w:t>
      </w:r>
      <w:r>
        <w:rPr>
          <w:lang w:val="hu-HU"/>
        </w:rPr>
        <w:t>nem</w:t>
      </w:r>
      <w:r>
        <w:rPr>
          <w:spacing w:val="-1"/>
          <w:lang w:val="hu-HU"/>
        </w:rPr>
        <w:t xml:space="preserve"> </w:t>
      </w:r>
      <w:r>
        <w:rPr>
          <w:lang w:val="hu-HU"/>
        </w:rPr>
        <w:t>várhatók.</w:t>
      </w:r>
    </w:p>
    <w:p w:rsidR="007D7140" w:rsidRDefault="007D7140">
      <w:pPr>
        <w:rPr>
          <w:lang w:val="hu-HU"/>
        </w:rPr>
      </w:pPr>
    </w:p>
    <w:p w:rsidR="007D7140" w:rsidRDefault="00A207BA">
      <w:pPr>
        <w:rPr>
          <w:lang w:val="hu-HU"/>
        </w:rPr>
      </w:pPr>
      <w:r>
        <w:rPr>
          <w:u w:val="single"/>
          <w:lang w:val="hu-HU"/>
        </w:rPr>
        <w:t>Gyermekek</w:t>
      </w:r>
      <w:r>
        <w:rPr>
          <w:spacing w:val="-4"/>
          <w:u w:val="single"/>
          <w:lang w:val="hu-HU"/>
        </w:rPr>
        <w:t xml:space="preserve"> </w:t>
      </w:r>
      <w:r>
        <w:rPr>
          <w:u w:val="single"/>
          <w:lang w:val="hu-HU"/>
        </w:rPr>
        <w:t>és</w:t>
      </w:r>
      <w:r>
        <w:rPr>
          <w:spacing w:val="-4"/>
          <w:u w:val="single"/>
          <w:lang w:val="hu-HU"/>
        </w:rPr>
        <w:t xml:space="preserve"> </w:t>
      </w:r>
      <w:r>
        <w:rPr>
          <w:u w:val="single"/>
          <w:lang w:val="hu-HU"/>
        </w:rPr>
        <w:t>serdülők</w:t>
      </w:r>
    </w:p>
    <w:p w:rsidR="007D7140" w:rsidRDefault="007D7140">
      <w:pPr>
        <w:rPr>
          <w:lang w:val="hu-HU"/>
        </w:rPr>
      </w:pPr>
    </w:p>
    <w:p w:rsidR="007D7140" w:rsidRDefault="00A207BA">
      <w:pPr>
        <w:rPr>
          <w:lang w:val="hu-HU"/>
        </w:rPr>
      </w:pPr>
      <w:r>
        <w:rPr>
          <w:lang w:val="hu-HU"/>
        </w:rPr>
        <w:t>Interakciós</w:t>
      </w:r>
      <w:r>
        <w:rPr>
          <w:spacing w:val="-6"/>
          <w:lang w:val="hu-HU"/>
        </w:rPr>
        <w:t xml:space="preserve"> </w:t>
      </w:r>
      <w:r>
        <w:rPr>
          <w:lang w:val="hu-HU"/>
        </w:rPr>
        <w:t>vizsgálatokat</w:t>
      </w:r>
      <w:r>
        <w:rPr>
          <w:spacing w:val="-6"/>
          <w:lang w:val="hu-HU"/>
        </w:rPr>
        <w:t xml:space="preserve"> </w:t>
      </w:r>
      <w:r>
        <w:rPr>
          <w:lang w:val="hu-HU"/>
        </w:rPr>
        <w:t>csak</w:t>
      </w:r>
      <w:r>
        <w:rPr>
          <w:spacing w:val="-6"/>
          <w:lang w:val="hu-HU"/>
        </w:rPr>
        <w:t xml:space="preserve"> </w:t>
      </w:r>
      <w:r>
        <w:rPr>
          <w:lang w:val="hu-HU"/>
        </w:rPr>
        <w:t>felnőttek</w:t>
      </w:r>
      <w:r>
        <w:rPr>
          <w:spacing w:val="-6"/>
          <w:lang w:val="hu-HU"/>
        </w:rPr>
        <w:t xml:space="preserve"> </w:t>
      </w:r>
      <w:r>
        <w:rPr>
          <w:lang w:val="hu-HU"/>
        </w:rPr>
        <w:t>körében</w:t>
      </w:r>
      <w:r>
        <w:rPr>
          <w:spacing w:val="-5"/>
          <w:lang w:val="hu-HU"/>
        </w:rPr>
        <w:t xml:space="preserve"> </w:t>
      </w:r>
      <w:r>
        <w:rPr>
          <w:lang w:val="hu-HU"/>
        </w:rPr>
        <w:t>végeztek.</w:t>
      </w:r>
    </w:p>
    <w:p w:rsidR="007D7140" w:rsidRDefault="007D7140">
      <w:pPr>
        <w:rPr>
          <w:lang w:val="hu-HU"/>
        </w:rPr>
      </w:pPr>
    </w:p>
    <w:p w:rsidR="007D7140" w:rsidRDefault="00A207BA">
      <w:pPr>
        <w:tabs>
          <w:tab w:val="left" w:pos="567"/>
        </w:tabs>
        <w:rPr>
          <w:b/>
          <w:bCs/>
          <w:lang w:val="hu-HU"/>
        </w:rPr>
      </w:pPr>
      <w:r>
        <w:rPr>
          <w:b/>
          <w:bCs/>
          <w:lang w:val="hu-HU"/>
        </w:rPr>
        <w:t>4.6</w:t>
      </w:r>
      <w:r>
        <w:rPr>
          <w:b/>
          <w:bCs/>
          <w:lang w:val="hu-HU"/>
        </w:rPr>
        <w:tab/>
        <w:t>Termékenység,</w:t>
      </w:r>
      <w:r>
        <w:rPr>
          <w:b/>
          <w:bCs/>
          <w:spacing w:val="-6"/>
          <w:lang w:val="hu-HU"/>
        </w:rPr>
        <w:t xml:space="preserve"> </w:t>
      </w:r>
      <w:r>
        <w:rPr>
          <w:b/>
          <w:bCs/>
          <w:lang w:val="hu-HU"/>
        </w:rPr>
        <w:t>terhesség</w:t>
      </w:r>
      <w:r>
        <w:rPr>
          <w:b/>
          <w:bCs/>
          <w:spacing w:val="-5"/>
          <w:lang w:val="hu-HU"/>
        </w:rPr>
        <w:t xml:space="preserve"> </w:t>
      </w:r>
      <w:r>
        <w:rPr>
          <w:b/>
          <w:bCs/>
          <w:lang w:val="hu-HU"/>
        </w:rPr>
        <w:t>és</w:t>
      </w:r>
      <w:r>
        <w:rPr>
          <w:b/>
          <w:bCs/>
          <w:spacing w:val="-5"/>
          <w:lang w:val="hu-HU"/>
        </w:rPr>
        <w:t xml:space="preserve"> </w:t>
      </w:r>
      <w:r>
        <w:rPr>
          <w:b/>
          <w:bCs/>
          <w:lang w:val="hu-HU"/>
        </w:rPr>
        <w:t>szoptatás</w:t>
      </w:r>
    </w:p>
    <w:p w:rsidR="007D7140" w:rsidRDefault="007D7140">
      <w:pPr>
        <w:rPr>
          <w:lang w:val="hu-HU"/>
        </w:rPr>
      </w:pPr>
    </w:p>
    <w:p w:rsidR="007D7140" w:rsidRDefault="00A207BA">
      <w:pPr>
        <w:rPr>
          <w:lang w:val="hu-HU"/>
        </w:rPr>
      </w:pPr>
      <w:r>
        <w:rPr>
          <w:u w:val="single"/>
          <w:lang w:val="hu-HU"/>
        </w:rPr>
        <w:t>Fogamzóképes</w:t>
      </w:r>
      <w:r>
        <w:rPr>
          <w:spacing w:val="-5"/>
          <w:u w:val="single"/>
          <w:lang w:val="hu-HU"/>
        </w:rPr>
        <w:t xml:space="preserve"> </w:t>
      </w:r>
      <w:r>
        <w:rPr>
          <w:u w:val="single"/>
          <w:lang w:val="hu-HU"/>
        </w:rPr>
        <w:t>nők</w:t>
      </w:r>
    </w:p>
    <w:p w:rsidR="007D7140" w:rsidRDefault="007D7140">
      <w:pPr>
        <w:rPr>
          <w:lang w:val="hu-HU"/>
        </w:rPr>
      </w:pPr>
    </w:p>
    <w:p w:rsidR="007D7140" w:rsidRDefault="00A207BA">
      <w:pPr>
        <w:rPr>
          <w:lang w:val="hu-HU"/>
        </w:rPr>
      </w:pPr>
      <w:r>
        <w:rPr>
          <w:lang w:val="hu-HU"/>
        </w:rPr>
        <w:t xml:space="preserve">A fogamzóképes nőknek kerülniük kell a teherbe esést a Dabigatran etexilate Sandoz-kezelés alatt. </w:t>
      </w:r>
    </w:p>
    <w:p w:rsidR="007D7140" w:rsidRDefault="007D7140">
      <w:pPr>
        <w:rPr>
          <w:lang w:val="hu-HU"/>
        </w:rPr>
      </w:pPr>
    </w:p>
    <w:p w:rsidR="007D7140" w:rsidRDefault="00A207BA">
      <w:pPr>
        <w:rPr>
          <w:lang w:val="hu-HU"/>
        </w:rPr>
      </w:pPr>
      <w:r>
        <w:rPr>
          <w:u w:val="single"/>
          <w:lang w:val="hu-HU"/>
        </w:rPr>
        <w:t>Terhesség</w:t>
      </w:r>
    </w:p>
    <w:p w:rsidR="007D7140" w:rsidRDefault="007D7140">
      <w:pPr>
        <w:rPr>
          <w:lang w:val="hu-HU"/>
        </w:rPr>
      </w:pPr>
    </w:p>
    <w:p w:rsidR="007D7140" w:rsidRDefault="00A207BA">
      <w:pPr>
        <w:rPr>
          <w:lang w:val="hu-HU"/>
        </w:rPr>
      </w:pPr>
      <w:r>
        <w:rPr>
          <w:lang w:val="hu-HU"/>
        </w:rPr>
        <w:t>A dabigatrán</w:t>
      </w:r>
      <w:r>
        <w:rPr>
          <w:lang w:val="hu-HU"/>
        </w:rPr>
        <w:noBreakHyphen/>
        <w:t>etexilát terhes nőknél történő alkalmazása tekintetében korlátozott mennyiségű adat áll rendelkezésre.</w:t>
      </w:r>
    </w:p>
    <w:p w:rsidR="007D7140" w:rsidRDefault="00A207BA">
      <w:pPr>
        <w:rPr>
          <w:lang w:val="hu-HU"/>
        </w:rPr>
      </w:pPr>
      <w:r>
        <w:rPr>
          <w:lang w:val="hu-HU"/>
        </w:rPr>
        <w:t>Az állatokon végzett kísérletek reprodukcióra gyakorolt toxicitást mutattak (lásd 5.3 pont). Emberben a potenciális veszély</w:t>
      </w:r>
      <w:r>
        <w:rPr>
          <w:spacing w:val="-1"/>
          <w:lang w:val="hu-HU"/>
        </w:rPr>
        <w:t xml:space="preserve"> </w:t>
      </w:r>
      <w:r>
        <w:rPr>
          <w:lang w:val="hu-HU"/>
        </w:rPr>
        <w:t>nem</w:t>
      </w:r>
      <w:r>
        <w:rPr>
          <w:spacing w:val="-1"/>
          <w:lang w:val="hu-HU"/>
        </w:rPr>
        <w:t xml:space="preserve"> </w:t>
      </w:r>
      <w:r>
        <w:rPr>
          <w:lang w:val="hu-HU"/>
        </w:rPr>
        <w:t>ismert.</w:t>
      </w:r>
    </w:p>
    <w:p w:rsidR="007D7140" w:rsidRDefault="007D7140">
      <w:pPr>
        <w:rPr>
          <w:lang w:val="hu-HU"/>
        </w:rPr>
      </w:pPr>
    </w:p>
    <w:p w:rsidR="007D7140" w:rsidRDefault="00A207BA">
      <w:pPr>
        <w:rPr>
          <w:lang w:val="hu-HU"/>
        </w:rPr>
      </w:pPr>
      <w:r>
        <w:rPr>
          <w:lang w:val="hu-HU"/>
        </w:rPr>
        <w:t>A Dabigatran etexilate Sandoz</w:t>
      </w:r>
      <w:r>
        <w:rPr>
          <w:lang w:val="hu-HU"/>
        </w:rPr>
        <w:noBreakHyphen/>
        <w:t xml:space="preserve">t a terhesség ideje alatt nem szabad alkalmazni, csak nagyon indokolt esetben. </w:t>
      </w:r>
    </w:p>
    <w:p w:rsidR="007D7140" w:rsidRDefault="007D7140">
      <w:pPr>
        <w:rPr>
          <w:lang w:val="hu-HU"/>
        </w:rPr>
      </w:pPr>
    </w:p>
    <w:p w:rsidR="007D7140" w:rsidRDefault="00A207BA">
      <w:pPr>
        <w:rPr>
          <w:lang w:val="hu-HU"/>
        </w:rPr>
      </w:pPr>
      <w:r>
        <w:rPr>
          <w:u w:val="single"/>
          <w:lang w:val="hu-HU"/>
        </w:rPr>
        <w:t>Szoptatás</w:t>
      </w:r>
    </w:p>
    <w:p w:rsidR="007D7140" w:rsidRDefault="007D7140">
      <w:pPr>
        <w:rPr>
          <w:lang w:val="hu-HU"/>
        </w:rPr>
      </w:pPr>
    </w:p>
    <w:p w:rsidR="007D7140" w:rsidRDefault="00A207BA">
      <w:pPr>
        <w:rPr>
          <w:lang w:val="hu-HU"/>
        </w:rPr>
      </w:pPr>
      <w:r>
        <w:rPr>
          <w:lang w:val="hu-HU"/>
        </w:rPr>
        <w:t>A dabigatrán szoptatott csecsemőre gyakorolt hatásaira vonatkozó adatok nem állnak rendelkezésre. A Dabigatran etexilate Sandoz</w:t>
      </w:r>
      <w:r>
        <w:rPr>
          <w:lang w:val="hu-HU"/>
        </w:rPr>
        <w:noBreakHyphen/>
        <w:t>kezelés</w:t>
      </w:r>
      <w:r>
        <w:rPr>
          <w:spacing w:val="-1"/>
          <w:lang w:val="hu-HU"/>
        </w:rPr>
        <w:t xml:space="preserve"> </w:t>
      </w:r>
      <w:r>
        <w:rPr>
          <w:lang w:val="hu-HU"/>
        </w:rPr>
        <w:t>alatt</w:t>
      </w:r>
      <w:r>
        <w:rPr>
          <w:spacing w:val="-1"/>
          <w:lang w:val="hu-HU"/>
        </w:rPr>
        <w:t xml:space="preserve"> </w:t>
      </w:r>
      <w:r>
        <w:rPr>
          <w:lang w:val="hu-HU"/>
        </w:rPr>
        <w:t>a</w:t>
      </w:r>
      <w:r>
        <w:rPr>
          <w:spacing w:val="-2"/>
          <w:lang w:val="hu-HU"/>
        </w:rPr>
        <w:t xml:space="preserve"> </w:t>
      </w:r>
      <w:r>
        <w:rPr>
          <w:lang w:val="hu-HU"/>
        </w:rPr>
        <w:t>szoptatást</w:t>
      </w:r>
      <w:r>
        <w:rPr>
          <w:spacing w:val="-1"/>
          <w:lang w:val="hu-HU"/>
        </w:rPr>
        <w:t xml:space="preserve"> </w:t>
      </w:r>
      <w:r>
        <w:rPr>
          <w:lang w:val="hu-HU"/>
        </w:rPr>
        <w:t>abba</w:t>
      </w:r>
      <w:r>
        <w:rPr>
          <w:spacing w:val="-1"/>
          <w:lang w:val="hu-HU"/>
        </w:rPr>
        <w:t xml:space="preserve"> </w:t>
      </w:r>
      <w:r>
        <w:rPr>
          <w:lang w:val="hu-HU"/>
        </w:rPr>
        <w:t>kell</w:t>
      </w:r>
      <w:r>
        <w:rPr>
          <w:spacing w:val="-2"/>
          <w:lang w:val="hu-HU"/>
        </w:rPr>
        <w:t xml:space="preserve"> </w:t>
      </w:r>
      <w:r>
        <w:rPr>
          <w:lang w:val="hu-HU"/>
        </w:rPr>
        <w:t>hagyni.</w:t>
      </w:r>
    </w:p>
    <w:p w:rsidR="007D7140" w:rsidRDefault="007D7140">
      <w:pPr>
        <w:rPr>
          <w:lang w:val="hu-HU"/>
        </w:rPr>
      </w:pPr>
    </w:p>
    <w:p w:rsidR="007D7140" w:rsidRDefault="00A207BA">
      <w:pPr>
        <w:rPr>
          <w:lang w:val="hu-HU"/>
        </w:rPr>
      </w:pPr>
      <w:r>
        <w:rPr>
          <w:u w:val="single"/>
          <w:lang w:val="hu-HU"/>
        </w:rPr>
        <w:t>Termékenység</w:t>
      </w:r>
    </w:p>
    <w:p w:rsidR="007D7140" w:rsidRDefault="007D7140">
      <w:pPr>
        <w:rPr>
          <w:lang w:val="hu-HU"/>
        </w:rPr>
      </w:pPr>
    </w:p>
    <w:p w:rsidR="007D7140" w:rsidRDefault="00A207BA">
      <w:pPr>
        <w:rPr>
          <w:lang w:val="hu-HU"/>
        </w:rPr>
      </w:pPr>
      <w:r>
        <w:rPr>
          <w:lang w:val="hu-HU"/>
        </w:rPr>
        <w:t>Nem</w:t>
      </w:r>
      <w:r>
        <w:rPr>
          <w:spacing w:val="-5"/>
          <w:lang w:val="hu-HU"/>
        </w:rPr>
        <w:t xml:space="preserve"> </w:t>
      </w:r>
      <w:r>
        <w:rPr>
          <w:lang w:val="hu-HU"/>
        </w:rPr>
        <w:t>állnak</w:t>
      </w:r>
      <w:r>
        <w:rPr>
          <w:spacing w:val="-5"/>
          <w:lang w:val="hu-HU"/>
        </w:rPr>
        <w:t xml:space="preserve"> </w:t>
      </w:r>
      <w:r>
        <w:rPr>
          <w:lang w:val="hu-HU"/>
        </w:rPr>
        <w:t>rendelkezésre</w:t>
      </w:r>
      <w:r>
        <w:rPr>
          <w:spacing w:val="-5"/>
          <w:lang w:val="hu-HU"/>
        </w:rPr>
        <w:t xml:space="preserve"> </w:t>
      </w:r>
      <w:r>
        <w:rPr>
          <w:lang w:val="hu-HU"/>
        </w:rPr>
        <w:t>humán</w:t>
      </w:r>
      <w:r>
        <w:rPr>
          <w:spacing w:val="-4"/>
          <w:lang w:val="hu-HU"/>
        </w:rPr>
        <w:t xml:space="preserve"> </w:t>
      </w:r>
      <w:r>
        <w:rPr>
          <w:lang w:val="hu-HU"/>
        </w:rPr>
        <w:t>adatok.</w:t>
      </w:r>
    </w:p>
    <w:p w:rsidR="007D7140" w:rsidRDefault="007D7140">
      <w:pPr>
        <w:rPr>
          <w:lang w:val="hu-HU"/>
        </w:rPr>
      </w:pPr>
    </w:p>
    <w:p w:rsidR="007D7140" w:rsidRDefault="00A207BA">
      <w:pPr>
        <w:rPr>
          <w:lang w:val="hu-HU"/>
        </w:rPr>
      </w:pPr>
      <w:r>
        <w:rPr>
          <w:lang w:val="hu-HU"/>
        </w:rPr>
        <w:t>Állatkísérletekben a nőstények termékenységére kifejtett hatást figyeltek meg az implantáció</w:t>
      </w:r>
      <w:r>
        <w:rPr>
          <w:spacing w:val="1"/>
          <w:lang w:val="hu-HU"/>
        </w:rPr>
        <w:t xml:space="preserve"> </w:t>
      </w:r>
      <w:r>
        <w:rPr>
          <w:lang w:val="hu-HU"/>
        </w:rPr>
        <w:t>csökkenése és a preimplantációs veszteség növekedése formájában, a 70 mg/kg dózis esetén (ez 5</w:t>
      </w:r>
      <w:r>
        <w:rPr>
          <w:lang w:val="hu-HU"/>
        </w:rPr>
        <w:noBreakHyphen/>
        <w:t>ször nagyobb plazmaexpozíció szintet jelent, mint a betegeknél). Más, a nőstények termékenységére</w:t>
      </w:r>
      <w:r>
        <w:rPr>
          <w:spacing w:val="1"/>
          <w:lang w:val="hu-HU"/>
        </w:rPr>
        <w:t xml:space="preserve"> </w:t>
      </w:r>
      <w:r>
        <w:rPr>
          <w:lang w:val="hu-HU"/>
        </w:rPr>
        <w:t>kifejtett hatást nem figyeltek meg. Nem volt a hímek termékenységére kifejtett hatás. Anyai</w:t>
      </w:r>
      <w:r>
        <w:rPr>
          <w:spacing w:val="1"/>
          <w:lang w:val="hu-HU"/>
        </w:rPr>
        <w:t xml:space="preserve"> </w:t>
      </w:r>
      <w:r>
        <w:rPr>
          <w:lang w:val="hu-HU"/>
        </w:rPr>
        <w:t>toxicitást okozó dózisok mellett (ami 5</w:t>
      </w:r>
      <w:r>
        <w:rPr>
          <w:lang w:val="hu-HU"/>
        </w:rPr>
        <w:noBreakHyphen/>
        <w:t>10</w:t>
      </w:r>
      <w:r>
        <w:rPr>
          <w:lang w:val="hu-HU"/>
        </w:rPr>
        <w:noBreakHyphen/>
        <w:t>szer nagyobb plazmaexpozíció szintet jelent, mint a betegeknél), a foetalis testtömeg és az embryofoetalis életképesség csökkenését, valamint a foetalis variációk</w:t>
      </w:r>
      <w:r>
        <w:rPr>
          <w:spacing w:val="1"/>
          <w:lang w:val="hu-HU"/>
        </w:rPr>
        <w:t xml:space="preserve"> </w:t>
      </w:r>
      <w:r>
        <w:rPr>
          <w:lang w:val="hu-HU"/>
        </w:rPr>
        <w:t>növekedését figyelték meg patkányoknál és nyulaknál. A pre</w:t>
      </w:r>
      <w:r>
        <w:rPr>
          <w:lang w:val="hu-HU"/>
        </w:rPr>
        <w:noBreakHyphen/>
        <w:t xml:space="preserve"> és postnatalis vizsgálatban a foetalis</w:t>
      </w:r>
      <w:r>
        <w:rPr>
          <w:spacing w:val="1"/>
          <w:lang w:val="hu-HU"/>
        </w:rPr>
        <w:t xml:space="preserve"> </w:t>
      </w:r>
      <w:r>
        <w:rPr>
          <w:lang w:val="hu-HU"/>
        </w:rPr>
        <w:t>mortalitás növekedését észlelték az anyaállatokra toxikus dózisok esetén (a dózis olyan plazmaexpozíciós</w:t>
      </w:r>
      <w:r>
        <w:rPr>
          <w:spacing w:val="-3"/>
          <w:lang w:val="hu-HU"/>
        </w:rPr>
        <w:t xml:space="preserve"> </w:t>
      </w:r>
      <w:r>
        <w:rPr>
          <w:lang w:val="hu-HU"/>
        </w:rPr>
        <w:t>szintnek</w:t>
      </w:r>
      <w:r>
        <w:rPr>
          <w:spacing w:val="-3"/>
          <w:lang w:val="hu-HU"/>
        </w:rPr>
        <w:t xml:space="preserve"> </w:t>
      </w:r>
      <w:r>
        <w:rPr>
          <w:lang w:val="hu-HU"/>
        </w:rPr>
        <w:t>felel</w:t>
      </w:r>
      <w:r>
        <w:rPr>
          <w:spacing w:val="-3"/>
          <w:lang w:val="hu-HU"/>
        </w:rPr>
        <w:t xml:space="preserve"> </w:t>
      </w:r>
      <w:r>
        <w:rPr>
          <w:lang w:val="hu-HU"/>
        </w:rPr>
        <w:t>meg,</w:t>
      </w:r>
      <w:r>
        <w:rPr>
          <w:spacing w:val="-2"/>
          <w:lang w:val="hu-HU"/>
        </w:rPr>
        <w:t xml:space="preserve"> </w:t>
      </w:r>
      <w:r>
        <w:rPr>
          <w:lang w:val="hu-HU"/>
        </w:rPr>
        <w:t>ami</w:t>
      </w:r>
      <w:r>
        <w:rPr>
          <w:spacing w:val="-3"/>
          <w:lang w:val="hu-HU"/>
        </w:rPr>
        <w:t xml:space="preserve"> </w:t>
      </w:r>
      <w:r>
        <w:rPr>
          <w:lang w:val="hu-HU"/>
        </w:rPr>
        <w:t>4</w:t>
      </w:r>
      <w:r>
        <w:rPr>
          <w:lang w:val="hu-HU"/>
        </w:rPr>
        <w:noBreakHyphen/>
        <w:t>szer</w:t>
      </w:r>
      <w:r>
        <w:rPr>
          <w:spacing w:val="-3"/>
          <w:lang w:val="hu-HU"/>
        </w:rPr>
        <w:t xml:space="preserve"> </w:t>
      </w:r>
      <w:r>
        <w:rPr>
          <w:lang w:val="hu-HU"/>
        </w:rPr>
        <w:t>nagyobb</w:t>
      </w:r>
      <w:r>
        <w:rPr>
          <w:spacing w:val="-3"/>
          <w:lang w:val="hu-HU"/>
        </w:rPr>
        <w:t xml:space="preserve"> </w:t>
      </w:r>
      <w:r>
        <w:rPr>
          <w:lang w:val="hu-HU"/>
        </w:rPr>
        <w:t>volt,</w:t>
      </w:r>
      <w:r>
        <w:rPr>
          <w:spacing w:val="-2"/>
          <w:lang w:val="hu-HU"/>
        </w:rPr>
        <w:t xml:space="preserve"> </w:t>
      </w:r>
      <w:r>
        <w:rPr>
          <w:lang w:val="hu-HU"/>
        </w:rPr>
        <w:t>mint</w:t>
      </w:r>
      <w:r>
        <w:rPr>
          <w:spacing w:val="-3"/>
          <w:lang w:val="hu-HU"/>
        </w:rPr>
        <w:t xml:space="preserve"> </w:t>
      </w:r>
      <w:r>
        <w:rPr>
          <w:lang w:val="hu-HU"/>
        </w:rPr>
        <w:t>amit</w:t>
      </w:r>
      <w:r>
        <w:rPr>
          <w:spacing w:val="-3"/>
          <w:lang w:val="hu-HU"/>
        </w:rPr>
        <w:t xml:space="preserve"> </w:t>
      </w:r>
      <w:r>
        <w:rPr>
          <w:lang w:val="hu-HU"/>
        </w:rPr>
        <w:t>a</w:t>
      </w:r>
      <w:r>
        <w:rPr>
          <w:spacing w:val="-3"/>
          <w:lang w:val="hu-HU"/>
        </w:rPr>
        <w:t xml:space="preserve"> </w:t>
      </w:r>
      <w:r>
        <w:rPr>
          <w:lang w:val="hu-HU"/>
        </w:rPr>
        <w:t>betegeknél</w:t>
      </w:r>
      <w:r>
        <w:rPr>
          <w:spacing w:val="-2"/>
          <w:lang w:val="hu-HU"/>
        </w:rPr>
        <w:t xml:space="preserve"> </w:t>
      </w:r>
      <w:r>
        <w:rPr>
          <w:lang w:val="hu-HU"/>
        </w:rPr>
        <w:t>megfigyeltek).</w:t>
      </w:r>
    </w:p>
    <w:p w:rsidR="007D7140" w:rsidRDefault="007D7140">
      <w:pPr>
        <w:rPr>
          <w:lang w:val="hu-HU"/>
        </w:rPr>
      </w:pPr>
    </w:p>
    <w:p w:rsidR="007D7140" w:rsidRDefault="00A207BA">
      <w:pPr>
        <w:tabs>
          <w:tab w:val="left" w:pos="567"/>
        </w:tabs>
        <w:rPr>
          <w:b/>
          <w:bCs/>
          <w:lang w:val="hu-HU"/>
        </w:rPr>
      </w:pPr>
      <w:r>
        <w:rPr>
          <w:b/>
          <w:bCs/>
          <w:lang w:val="hu-HU"/>
        </w:rPr>
        <w:t>4.7</w:t>
      </w:r>
      <w:r>
        <w:rPr>
          <w:b/>
          <w:bCs/>
          <w:lang w:val="hu-HU"/>
        </w:rPr>
        <w:tab/>
        <w:t>A</w:t>
      </w:r>
      <w:r>
        <w:rPr>
          <w:b/>
          <w:bCs/>
          <w:spacing w:val="-5"/>
          <w:lang w:val="hu-HU"/>
        </w:rPr>
        <w:t xml:space="preserve"> </w:t>
      </w:r>
      <w:r>
        <w:rPr>
          <w:b/>
          <w:bCs/>
          <w:lang w:val="hu-HU"/>
        </w:rPr>
        <w:t>készítmény</w:t>
      </w:r>
      <w:r>
        <w:rPr>
          <w:b/>
          <w:bCs/>
          <w:spacing w:val="-4"/>
          <w:lang w:val="hu-HU"/>
        </w:rPr>
        <w:t xml:space="preserve"> </w:t>
      </w:r>
      <w:r>
        <w:rPr>
          <w:b/>
          <w:bCs/>
          <w:lang w:val="hu-HU"/>
        </w:rPr>
        <w:t>hatásai</w:t>
      </w:r>
      <w:r>
        <w:rPr>
          <w:b/>
          <w:bCs/>
          <w:spacing w:val="-5"/>
          <w:lang w:val="hu-HU"/>
        </w:rPr>
        <w:t xml:space="preserve"> </w:t>
      </w:r>
      <w:r>
        <w:rPr>
          <w:b/>
          <w:bCs/>
          <w:lang w:val="hu-HU"/>
        </w:rPr>
        <w:t>a</w:t>
      </w:r>
      <w:r>
        <w:rPr>
          <w:b/>
          <w:bCs/>
          <w:spacing w:val="-4"/>
          <w:lang w:val="hu-HU"/>
        </w:rPr>
        <w:t xml:space="preserve"> </w:t>
      </w:r>
      <w:r>
        <w:rPr>
          <w:b/>
          <w:bCs/>
          <w:lang w:val="hu-HU"/>
        </w:rPr>
        <w:t>gépjárművezetéshez</w:t>
      </w:r>
      <w:r>
        <w:rPr>
          <w:b/>
          <w:bCs/>
          <w:spacing w:val="-4"/>
          <w:lang w:val="hu-HU"/>
        </w:rPr>
        <w:t xml:space="preserve"> </w:t>
      </w:r>
      <w:r>
        <w:rPr>
          <w:b/>
          <w:bCs/>
          <w:lang w:val="hu-HU"/>
        </w:rPr>
        <w:t>és</w:t>
      </w:r>
      <w:r>
        <w:rPr>
          <w:b/>
          <w:bCs/>
          <w:spacing w:val="-5"/>
          <w:lang w:val="hu-HU"/>
        </w:rPr>
        <w:t xml:space="preserve"> </w:t>
      </w:r>
      <w:r>
        <w:rPr>
          <w:b/>
          <w:bCs/>
          <w:lang w:val="hu-HU"/>
        </w:rPr>
        <w:t>a</w:t>
      </w:r>
      <w:r>
        <w:rPr>
          <w:b/>
          <w:bCs/>
          <w:spacing w:val="-4"/>
          <w:lang w:val="hu-HU"/>
        </w:rPr>
        <w:t xml:space="preserve"> </w:t>
      </w:r>
      <w:r>
        <w:rPr>
          <w:b/>
          <w:bCs/>
          <w:lang w:val="hu-HU"/>
        </w:rPr>
        <w:t>gépek</w:t>
      </w:r>
      <w:r>
        <w:rPr>
          <w:b/>
          <w:bCs/>
          <w:spacing w:val="-4"/>
          <w:lang w:val="hu-HU"/>
        </w:rPr>
        <w:t xml:space="preserve"> </w:t>
      </w:r>
      <w:r>
        <w:rPr>
          <w:b/>
          <w:bCs/>
          <w:lang w:val="hu-HU"/>
        </w:rPr>
        <w:t>kezeléséhez</w:t>
      </w:r>
      <w:r>
        <w:rPr>
          <w:b/>
          <w:bCs/>
          <w:spacing w:val="-5"/>
          <w:lang w:val="hu-HU"/>
        </w:rPr>
        <w:t xml:space="preserve"> </w:t>
      </w:r>
      <w:r>
        <w:rPr>
          <w:b/>
          <w:bCs/>
          <w:lang w:val="hu-HU"/>
        </w:rPr>
        <w:t>szükséges</w:t>
      </w:r>
      <w:r>
        <w:rPr>
          <w:b/>
          <w:bCs/>
          <w:spacing w:val="-4"/>
          <w:lang w:val="hu-HU"/>
        </w:rPr>
        <w:t xml:space="preserve"> </w:t>
      </w:r>
      <w:r>
        <w:rPr>
          <w:b/>
          <w:bCs/>
          <w:lang w:val="hu-HU"/>
        </w:rPr>
        <w:t>képességekre</w:t>
      </w:r>
    </w:p>
    <w:p w:rsidR="007D7140" w:rsidRDefault="007D7140">
      <w:pPr>
        <w:rPr>
          <w:lang w:val="hu-HU"/>
        </w:rPr>
      </w:pPr>
    </w:p>
    <w:p w:rsidR="007D7140" w:rsidRDefault="00A207BA">
      <w:pPr>
        <w:rPr>
          <w:lang w:val="hu-HU"/>
        </w:rPr>
      </w:pPr>
      <w:r>
        <w:rPr>
          <w:lang w:val="hu-HU"/>
        </w:rPr>
        <w:t>A dabigatrán etexilát nem, vagy csak elhanyagolható mértékben befolyásolja a gépjárművezetéshez és a gépek</w:t>
      </w:r>
      <w:r>
        <w:rPr>
          <w:spacing w:val="-1"/>
          <w:lang w:val="hu-HU"/>
        </w:rPr>
        <w:t xml:space="preserve"> </w:t>
      </w:r>
      <w:r>
        <w:rPr>
          <w:lang w:val="hu-HU"/>
        </w:rPr>
        <w:t>kezeléséhez</w:t>
      </w:r>
      <w:r>
        <w:rPr>
          <w:spacing w:val="-1"/>
          <w:lang w:val="hu-HU"/>
        </w:rPr>
        <w:t xml:space="preserve"> </w:t>
      </w:r>
      <w:r>
        <w:rPr>
          <w:lang w:val="hu-HU"/>
        </w:rPr>
        <w:t>szükséges</w:t>
      </w:r>
      <w:r>
        <w:rPr>
          <w:spacing w:val="-1"/>
          <w:lang w:val="hu-HU"/>
        </w:rPr>
        <w:t xml:space="preserve"> </w:t>
      </w:r>
      <w:r>
        <w:rPr>
          <w:lang w:val="hu-HU"/>
        </w:rPr>
        <w:t>képességeket.</w:t>
      </w:r>
    </w:p>
    <w:p w:rsidR="007D7140" w:rsidRDefault="007D7140">
      <w:pPr>
        <w:rPr>
          <w:lang w:val="hu-HU"/>
        </w:rPr>
      </w:pPr>
    </w:p>
    <w:p w:rsidR="007D7140" w:rsidRDefault="00A207BA">
      <w:pPr>
        <w:keepNext/>
        <w:widowControl/>
        <w:tabs>
          <w:tab w:val="left" w:pos="567"/>
        </w:tabs>
        <w:rPr>
          <w:b/>
          <w:bCs/>
          <w:lang w:val="hu-HU"/>
        </w:rPr>
      </w:pPr>
      <w:r>
        <w:rPr>
          <w:b/>
          <w:bCs/>
          <w:lang w:val="hu-HU"/>
        </w:rPr>
        <w:lastRenderedPageBreak/>
        <w:t>4.8</w:t>
      </w:r>
      <w:r>
        <w:rPr>
          <w:b/>
          <w:bCs/>
          <w:lang w:val="hu-HU"/>
        </w:rPr>
        <w:tab/>
        <w:t>Nemkívánatos</w:t>
      </w:r>
      <w:r>
        <w:rPr>
          <w:b/>
          <w:bCs/>
          <w:spacing w:val="-7"/>
          <w:lang w:val="hu-HU"/>
        </w:rPr>
        <w:t xml:space="preserve"> </w:t>
      </w:r>
      <w:r>
        <w:rPr>
          <w:b/>
          <w:bCs/>
          <w:lang w:val="hu-HU"/>
        </w:rPr>
        <w:t>hatások,</w:t>
      </w:r>
      <w:r>
        <w:rPr>
          <w:b/>
          <w:bCs/>
          <w:spacing w:val="-7"/>
          <w:lang w:val="hu-HU"/>
        </w:rPr>
        <w:t xml:space="preserve"> </w:t>
      </w:r>
      <w:r>
        <w:rPr>
          <w:b/>
          <w:bCs/>
          <w:lang w:val="hu-HU"/>
        </w:rPr>
        <w:t>mellékhatások</w:t>
      </w:r>
    </w:p>
    <w:p w:rsidR="007D7140" w:rsidRDefault="007D7140">
      <w:pPr>
        <w:keepNext/>
        <w:widowControl/>
        <w:rPr>
          <w:lang w:val="hu-HU"/>
        </w:rPr>
      </w:pPr>
    </w:p>
    <w:p w:rsidR="007D7140" w:rsidRDefault="00A207BA">
      <w:pPr>
        <w:keepNext/>
        <w:widowControl/>
        <w:rPr>
          <w:lang w:val="hu-HU"/>
        </w:rPr>
      </w:pPr>
      <w:r>
        <w:rPr>
          <w:u w:val="single"/>
          <w:lang w:val="hu-HU"/>
        </w:rPr>
        <w:t>A</w:t>
      </w:r>
      <w:r>
        <w:rPr>
          <w:spacing w:val="-6"/>
          <w:u w:val="single"/>
          <w:lang w:val="hu-HU"/>
        </w:rPr>
        <w:t xml:space="preserve"> </w:t>
      </w:r>
      <w:r>
        <w:rPr>
          <w:u w:val="single"/>
          <w:lang w:val="hu-HU"/>
        </w:rPr>
        <w:t>biztonságossági</w:t>
      </w:r>
      <w:r>
        <w:rPr>
          <w:spacing w:val="-6"/>
          <w:u w:val="single"/>
          <w:lang w:val="hu-HU"/>
        </w:rPr>
        <w:t xml:space="preserve"> </w:t>
      </w:r>
      <w:r>
        <w:rPr>
          <w:u w:val="single"/>
          <w:lang w:val="hu-HU"/>
        </w:rPr>
        <w:t>profil</w:t>
      </w:r>
      <w:r>
        <w:rPr>
          <w:spacing w:val="-6"/>
          <w:u w:val="single"/>
          <w:lang w:val="hu-HU"/>
        </w:rPr>
        <w:t xml:space="preserve"> </w:t>
      </w:r>
      <w:r>
        <w:rPr>
          <w:u w:val="single"/>
          <w:lang w:val="hu-HU"/>
        </w:rPr>
        <w:t>összefoglalása</w:t>
      </w:r>
    </w:p>
    <w:p w:rsidR="007D7140" w:rsidRDefault="007D7140">
      <w:pPr>
        <w:keepNext/>
        <w:widowControl/>
        <w:rPr>
          <w:lang w:val="hu-HU"/>
        </w:rPr>
      </w:pPr>
    </w:p>
    <w:p w:rsidR="007D7140" w:rsidRDefault="00A207BA">
      <w:pPr>
        <w:keepNext/>
        <w:widowControl/>
        <w:rPr>
          <w:lang w:val="hu-HU"/>
        </w:rPr>
      </w:pPr>
      <w:r>
        <w:rPr>
          <w:lang w:val="hu-HU"/>
        </w:rPr>
        <w:t>A dabigatrán</w:t>
      </w:r>
      <w:r>
        <w:rPr>
          <w:lang w:val="hu-HU"/>
        </w:rPr>
        <w:noBreakHyphen/>
        <w:t>etexilátot összesen körülbelül 64 000 beteggel végzett klinikai vizsgálatokban értékelték; közülük</w:t>
      </w:r>
      <w:r>
        <w:rPr>
          <w:spacing w:val="-2"/>
          <w:lang w:val="hu-HU"/>
        </w:rPr>
        <w:t xml:space="preserve"> </w:t>
      </w:r>
      <w:r>
        <w:rPr>
          <w:lang w:val="hu-HU"/>
        </w:rPr>
        <w:t>körülbelül</w:t>
      </w:r>
      <w:r>
        <w:rPr>
          <w:spacing w:val="-1"/>
          <w:lang w:val="hu-HU"/>
        </w:rPr>
        <w:t xml:space="preserve"> </w:t>
      </w:r>
      <w:r>
        <w:rPr>
          <w:lang w:val="hu-HU"/>
        </w:rPr>
        <w:t>35 000 beteget kezeltek</w:t>
      </w:r>
      <w:r>
        <w:rPr>
          <w:spacing w:val="-2"/>
          <w:lang w:val="hu-HU"/>
        </w:rPr>
        <w:t xml:space="preserve"> </w:t>
      </w:r>
      <w:r>
        <w:rPr>
          <w:lang w:val="hu-HU"/>
        </w:rPr>
        <w:t>dabigatrán</w:t>
      </w:r>
      <w:r>
        <w:rPr>
          <w:lang w:val="hu-HU"/>
        </w:rPr>
        <w:noBreakHyphen/>
        <w:t>etexiláttal.</w:t>
      </w:r>
    </w:p>
    <w:p w:rsidR="007D7140" w:rsidRDefault="007D7140">
      <w:pPr>
        <w:ind w:left="7" w:right="9"/>
        <w:rPr>
          <w:lang w:val="hu-HU"/>
        </w:rPr>
      </w:pPr>
    </w:p>
    <w:p w:rsidR="007D7140" w:rsidRDefault="00A207BA">
      <w:pPr>
        <w:ind w:left="7" w:right="9"/>
        <w:rPr>
          <w:lang w:val="hu-HU"/>
        </w:rPr>
      </w:pPr>
      <w:r>
        <w:rPr>
          <w:lang w:val="hu-HU"/>
        </w:rPr>
        <w:t>Összességében az elektív csípő vagy térdműtét miatt kezelt betegek megközelítőleg 9%</w:t>
      </w:r>
      <w:r>
        <w:rPr>
          <w:lang w:val="hu-HU"/>
        </w:rPr>
        <w:noBreakHyphen/>
        <w:t>a (rövid távú kezelés legfeljebb 42 napig) és a stroke, valamint a szisztémás embolisatio prevenciója miatt kezelt pitvarfibrilláló betegek mintegy 22%</w:t>
      </w:r>
      <w:r>
        <w:rPr>
          <w:lang w:val="hu-HU"/>
        </w:rPr>
        <w:noBreakHyphen/>
        <w:t>a (tartós kezelés legfeljebb 3 évig), az MVT/PE miatt kezelt betegek 14%</w:t>
      </w:r>
      <w:r>
        <w:rPr>
          <w:lang w:val="hu-HU"/>
        </w:rPr>
        <w:noBreakHyphen/>
        <w:t>a, valamint az MVT/PE prevenció miatt kezelt betegek 15%</w:t>
      </w:r>
      <w:r>
        <w:rPr>
          <w:lang w:val="hu-HU"/>
        </w:rPr>
        <w:noBreakHyphen/>
        <w:t>a észlelt mellékhatásokat.</w:t>
      </w:r>
    </w:p>
    <w:p w:rsidR="007D7140" w:rsidRDefault="007D7140">
      <w:pPr>
        <w:rPr>
          <w:lang w:val="hu-HU"/>
        </w:rPr>
      </w:pPr>
    </w:p>
    <w:p w:rsidR="007D7140" w:rsidRDefault="00A207BA">
      <w:pPr>
        <w:ind w:left="7" w:right="9"/>
        <w:rPr>
          <w:lang w:val="hu-HU"/>
        </w:rPr>
      </w:pPr>
      <w:r>
        <w:rPr>
          <w:lang w:val="hu-HU"/>
        </w:rPr>
        <w:t>A leggyakrabban jelentett esemény a vérzés volt, ami a csípő</w:t>
      </w:r>
      <w:r>
        <w:rPr>
          <w:lang w:val="hu-HU"/>
        </w:rPr>
        <w:noBreakHyphen/>
        <w:t xml:space="preserve"> vagy térdprotézis műtét miatt rövid távon kezelt betegek körülbelül 14%</w:t>
      </w:r>
      <w:r>
        <w:rPr>
          <w:lang w:val="hu-HU"/>
        </w:rPr>
        <w:noBreakHyphen/>
        <w:t>ánál, a pitvarfibrillációval kapcsolatos stroke és a szisztémás embolisatio prevenciója miatt hosszú távon kezelt betegek 16,6%</w:t>
      </w:r>
      <w:r>
        <w:rPr>
          <w:lang w:val="hu-HU"/>
        </w:rPr>
        <w:noBreakHyphen/>
        <w:t>ánál, és az MVT/PE miatt kezelt felnőtt betegek 14,4%</w:t>
      </w:r>
      <w:r>
        <w:rPr>
          <w:lang w:val="hu-HU"/>
        </w:rPr>
        <w:noBreakHyphen/>
        <w:t>ánál észlelték. Továbbá vérzés az MVT/PE prevenciós RE</w:t>
      </w:r>
      <w:r>
        <w:rPr>
          <w:lang w:val="hu-HU"/>
        </w:rPr>
        <w:noBreakHyphen/>
        <w:t>MEDY vizsgálat (felnőtt) betegeinek 19,4%</w:t>
      </w:r>
      <w:r>
        <w:rPr>
          <w:lang w:val="hu-HU"/>
        </w:rPr>
        <w:noBreakHyphen/>
        <w:t>ánál és az MVT/PE prevenciós RE</w:t>
      </w:r>
      <w:r>
        <w:rPr>
          <w:lang w:val="hu-HU"/>
        </w:rPr>
        <w:noBreakHyphen/>
        <w:t>SONATE vizsgálat (felnőtt) betegeinek 10,5%</w:t>
      </w:r>
      <w:r>
        <w:rPr>
          <w:lang w:val="hu-HU"/>
        </w:rPr>
        <w:noBreakHyphen/>
        <w:t>ánál jelentkezett.</w:t>
      </w:r>
    </w:p>
    <w:p w:rsidR="007D7140" w:rsidRDefault="007D7140">
      <w:pPr>
        <w:rPr>
          <w:lang w:val="hu-HU"/>
        </w:rPr>
      </w:pPr>
    </w:p>
    <w:p w:rsidR="007D7140" w:rsidRDefault="00A207BA">
      <w:pPr>
        <w:ind w:left="7" w:right="9"/>
        <w:rPr>
          <w:lang w:val="hu-HU"/>
        </w:rPr>
      </w:pPr>
      <w:r>
        <w:rPr>
          <w:lang w:val="hu-HU"/>
        </w:rPr>
        <w:t>Mivel a három indikációban kezelt betegpopuláció nem összehasonlítható, és a vérzéses események számos szervrendszer kategóriát (System Organ Classes, SOC) érintettek, a jelentős, illetve bármilyen vérzések összesített leírása indikáció szerint megadva alább, a 13</w:t>
      </w:r>
      <w:r>
        <w:rPr>
          <w:lang w:val="hu-HU"/>
        </w:rPr>
        <w:noBreakHyphen/>
        <w:t>17. táblázatokban található.</w:t>
      </w:r>
    </w:p>
    <w:p w:rsidR="007D7140" w:rsidRDefault="007D7140">
      <w:pPr>
        <w:ind w:left="7" w:right="9"/>
        <w:rPr>
          <w:lang w:val="hu-HU"/>
        </w:rPr>
      </w:pPr>
    </w:p>
    <w:p w:rsidR="007D7140" w:rsidRDefault="00A207BA">
      <w:pPr>
        <w:ind w:left="7" w:right="9"/>
        <w:rPr>
          <w:lang w:val="hu-HU"/>
        </w:rPr>
      </w:pPr>
      <w:r>
        <w:rPr>
          <w:lang w:val="hu-HU"/>
        </w:rPr>
        <w:t>Bár a klinikai vizsgálatokban alacsony gyakoriságot mutattak, mégis előfordulhatnak jelentős vagy súlyos vérzések, amelyek lokalizációjuktól függetlenül rokkantsághoz, életet veszélyeztető állapothoz vagy akár halálos kimenetelhez vezethetnek.</w:t>
      </w:r>
    </w:p>
    <w:p w:rsidR="007D7140" w:rsidRDefault="007D7140">
      <w:pPr>
        <w:rPr>
          <w:lang w:val="hu-HU"/>
        </w:rPr>
      </w:pPr>
    </w:p>
    <w:p w:rsidR="007D7140" w:rsidRDefault="00A207BA">
      <w:pPr>
        <w:rPr>
          <w:lang w:val="hu-HU"/>
        </w:rPr>
      </w:pPr>
      <w:r>
        <w:rPr>
          <w:u w:val="single"/>
          <w:lang w:val="hu-HU"/>
        </w:rPr>
        <w:t>A</w:t>
      </w:r>
      <w:r>
        <w:rPr>
          <w:spacing w:val="-8"/>
          <w:u w:val="single"/>
          <w:lang w:val="hu-HU"/>
        </w:rPr>
        <w:t xml:space="preserve"> </w:t>
      </w:r>
      <w:r>
        <w:rPr>
          <w:u w:val="single"/>
          <w:lang w:val="hu-HU"/>
        </w:rPr>
        <w:t>mellékhatások</w:t>
      </w:r>
      <w:r>
        <w:rPr>
          <w:spacing w:val="-7"/>
          <w:u w:val="single"/>
          <w:lang w:val="hu-HU"/>
        </w:rPr>
        <w:t xml:space="preserve"> </w:t>
      </w:r>
      <w:r>
        <w:rPr>
          <w:u w:val="single"/>
          <w:lang w:val="hu-HU"/>
        </w:rPr>
        <w:t>táblázatos</w:t>
      </w:r>
      <w:r>
        <w:rPr>
          <w:spacing w:val="-8"/>
          <w:u w:val="single"/>
          <w:lang w:val="hu-HU"/>
        </w:rPr>
        <w:t xml:space="preserve"> </w:t>
      </w:r>
      <w:r>
        <w:rPr>
          <w:u w:val="single"/>
          <w:lang w:val="hu-HU"/>
        </w:rPr>
        <w:t>felsorolása</w:t>
      </w:r>
    </w:p>
    <w:p w:rsidR="007D7140" w:rsidRDefault="007D7140">
      <w:pPr>
        <w:rPr>
          <w:lang w:val="hu-HU"/>
        </w:rPr>
      </w:pPr>
    </w:p>
    <w:p w:rsidR="007D7140" w:rsidRDefault="00A207BA">
      <w:pPr>
        <w:ind w:left="7" w:right="9"/>
        <w:rPr>
          <w:lang w:val="hu-HU"/>
        </w:rPr>
      </w:pPr>
      <w:r>
        <w:rPr>
          <w:lang w:val="hu-HU"/>
        </w:rPr>
        <w:t>A 12. táblázat azokat a mellékhatásokat mutatja, amelyeket primer VTE prevenciós indikációban csípő</w:t>
      </w:r>
      <w:r>
        <w:rPr>
          <w:lang w:val="hu-HU"/>
        </w:rPr>
        <w:noBreakHyphen/>
        <w:t xml:space="preserve"> vagy térdprotézis műtétet követően, a pitvarfibrilláló betegek thromboemboliás stroke és a szisztémás embolisatio prevenciója során, valamint az MVT/PE kezelése és MVT/PE prevenciója során észleltek a klinikai vizsgálatokban és a forgalomba hozatalt követően. A mellékhatásokat szervrendszerek és gyakoriság szerinti felosztásban, a következő gyakorisági kategóriák szerint kerülnek ismertetésre: nagyon gyakori (≥ 1/10); gyakori (≥ 1/100 </w:t>
      </w:r>
      <w:r>
        <w:rPr>
          <w:lang w:val="hu-HU"/>
        </w:rPr>
        <w:noBreakHyphen/>
        <w:t> &lt; 1/10); nem gyakori (≥ 1/1000 </w:t>
      </w:r>
      <w:r>
        <w:rPr>
          <w:lang w:val="hu-HU"/>
        </w:rPr>
        <w:noBreakHyphen/>
        <w:t> &lt; 1/100); ritka (≥ 1/10 000 </w:t>
      </w:r>
      <w:r>
        <w:rPr>
          <w:lang w:val="hu-HU"/>
        </w:rPr>
        <w:noBreakHyphen/>
        <w:t> &lt; 1/1000); nagyon ritka (&lt; 1/10 000), nem ismert (a gyakoriság a rendelkezésre álló adatokból nem állapítható meg).</w:t>
      </w:r>
    </w:p>
    <w:p w:rsidR="007D7140" w:rsidRDefault="007D7140">
      <w:pPr>
        <w:rPr>
          <w:lang w:val="hu-HU"/>
        </w:rPr>
      </w:pPr>
    </w:p>
    <w:p w:rsidR="007D7140" w:rsidRDefault="00A207BA">
      <w:pPr>
        <w:rPr>
          <w:lang w:val="hu-HU"/>
        </w:rPr>
      </w:pPr>
      <w:r>
        <w:rPr>
          <w:b/>
          <w:bCs/>
          <w:lang w:val="hu-HU"/>
        </w:rPr>
        <w:t>12. táblázat: Mellékhatások</w:t>
      </w:r>
    </w:p>
    <w:p w:rsidR="007D7140" w:rsidRDefault="007D7140">
      <w:pPr>
        <w:rPr>
          <w:lang w:val="hu-HU"/>
        </w:rPr>
      </w:pPr>
    </w:p>
    <w:tbl>
      <w:tblPr>
        <w:tblStyle w:val="TableGrid"/>
        <w:tblW w:w="9072" w:type="dxa"/>
        <w:tblInd w:w="-5" w:type="dxa"/>
        <w:tblLayout w:type="fixed"/>
        <w:tblCellMar>
          <w:top w:w="51" w:type="dxa"/>
          <w:left w:w="108" w:type="dxa"/>
          <w:right w:w="115" w:type="dxa"/>
        </w:tblCellMar>
        <w:tblLook w:val="04A0" w:firstRow="1" w:lastRow="0" w:firstColumn="1" w:lastColumn="0" w:noHBand="0" w:noVBand="1"/>
      </w:tblPr>
      <w:tblGrid>
        <w:gridCol w:w="3544"/>
        <w:gridCol w:w="1843"/>
        <w:gridCol w:w="2126"/>
        <w:gridCol w:w="1559"/>
      </w:tblGrid>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5528" w:type="dxa"/>
            <w:gridSpan w:val="3"/>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Gyakoriság</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Szervrendszer kategória / Preferált kifejezés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VTE primer prevenciója csípő- vagy térdprotézis műtét után</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Stroke és szisztémás embolisatio prevenciója pitvarfibrillációban szenvedő betegeknél</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5"/>
              <w:rPr>
                <w:lang w:val="hu-HU"/>
              </w:rPr>
            </w:pPr>
            <w:r>
              <w:rPr>
                <w:lang w:val="hu-HU"/>
              </w:rPr>
              <w:t>MVT/PE kezelése és MVT/PE prevenciója</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Vérképzőszervi és nyirokrendszeri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97"/>
        </w:trPr>
        <w:tc>
          <w:tcPr>
            <w:tcW w:w="3544" w:type="dxa"/>
            <w:tcBorders>
              <w:top w:val="single" w:sz="4" w:space="0" w:color="000000"/>
              <w:left w:val="single" w:sz="4" w:space="0" w:color="000000"/>
              <w:bottom w:val="single" w:sz="4" w:space="0" w:color="auto"/>
              <w:right w:val="single" w:sz="4" w:space="0" w:color="000000"/>
            </w:tcBorders>
          </w:tcPr>
          <w:p w:rsidR="007D7140" w:rsidRDefault="00A207BA">
            <w:pPr>
              <w:ind w:left="272"/>
              <w:rPr>
                <w:lang w:val="hu-HU"/>
              </w:rPr>
            </w:pPr>
            <w:r>
              <w:rPr>
                <w:lang w:val="hu-HU"/>
              </w:rPr>
              <w:t>Anaemia</w:t>
            </w:r>
          </w:p>
        </w:tc>
        <w:tc>
          <w:tcPr>
            <w:tcW w:w="1843"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2126"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Csökkent haemoglobinszint</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Gyakori</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Thrombocytopenia</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Csökkent haematocrit</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r>
      <w:tr w:rsidR="007D7140">
        <w:trPr>
          <w:trHeight w:val="264"/>
        </w:trPr>
        <w:tc>
          <w:tcPr>
            <w:tcW w:w="3544" w:type="dxa"/>
            <w:tcBorders>
              <w:top w:val="single" w:sz="4" w:space="0" w:color="auto"/>
              <w:left w:val="single" w:sz="4" w:space="0" w:color="000000"/>
              <w:bottom w:val="single" w:sz="4" w:space="0" w:color="000000"/>
              <w:right w:val="single" w:sz="4" w:space="0" w:color="000000"/>
            </w:tcBorders>
          </w:tcPr>
          <w:p w:rsidR="007D7140" w:rsidRDefault="00A207BA">
            <w:pPr>
              <w:ind w:left="272"/>
              <w:rPr>
                <w:lang w:val="hu-HU"/>
              </w:rPr>
            </w:pPr>
            <w:r>
              <w:rPr>
                <w:lang w:val="hu-HU"/>
              </w:rPr>
              <w:t>Neutropenia</w:t>
            </w:r>
          </w:p>
        </w:tc>
        <w:tc>
          <w:tcPr>
            <w:tcW w:w="1843"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c>
          <w:tcPr>
            <w:tcW w:w="2126"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r>
      <w:tr w:rsidR="007D7140">
        <w:trPr>
          <w:trHeight w:val="264"/>
        </w:trPr>
        <w:tc>
          <w:tcPr>
            <w:tcW w:w="3544" w:type="dxa"/>
            <w:tcBorders>
              <w:left w:val="single" w:sz="4" w:space="0" w:color="000000"/>
              <w:bottom w:val="single" w:sz="4" w:space="0" w:color="000000"/>
              <w:right w:val="single" w:sz="4" w:space="0" w:color="000000"/>
            </w:tcBorders>
          </w:tcPr>
          <w:p w:rsidR="007D7140" w:rsidRDefault="00A207BA">
            <w:pPr>
              <w:ind w:left="272"/>
              <w:rPr>
                <w:lang w:val="hu-HU"/>
              </w:rPr>
            </w:pPr>
            <w:r>
              <w:rPr>
                <w:lang w:val="hu-HU"/>
              </w:rPr>
              <w:t>Agranulocytosis</w:t>
            </w:r>
          </w:p>
        </w:tc>
        <w:tc>
          <w:tcPr>
            <w:tcW w:w="1843" w:type="dxa"/>
            <w:tcBorders>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c>
          <w:tcPr>
            <w:tcW w:w="2126" w:type="dxa"/>
            <w:tcBorders>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rsidP="00527548">
            <w:pPr>
              <w:keepNext/>
              <w:rPr>
                <w:lang w:val="hu-HU"/>
              </w:rPr>
            </w:pPr>
            <w:r>
              <w:rPr>
                <w:lang w:val="hu-HU"/>
              </w:rPr>
              <w:lastRenderedPageBreak/>
              <w:t>Immunrendszeri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rsidP="00527548">
            <w:pPr>
              <w:keepNext/>
              <w:rPr>
                <w:lang w:val="hu-HU"/>
              </w:rPr>
            </w:pPr>
          </w:p>
        </w:tc>
      </w:tr>
      <w:tr w:rsidR="007D7140">
        <w:trPr>
          <w:trHeight w:val="264"/>
        </w:trPr>
        <w:tc>
          <w:tcPr>
            <w:tcW w:w="3544" w:type="dxa"/>
            <w:tcBorders>
              <w:top w:val="single" w:sz="4" w:space="0" w:color="000000"/>
              <w:left w:val="single" w:sz="4" w:space="0" w:color="000000"/>
              <w:bottom w:val="single" w:sz="4" w:space="0" w:color="auto"/>
              <w:right w:val="single" w:sz="4" w:space="0" w:color="000000"/>
            </w:tcBorders>
          </w:tcPr>
          <w:p w:rsidR="007D7140" w:rsidRDefault="00A207BA">
            <w:pPr>
              <w:ind w:left="272"/>
              <w:rPr>
                <w:lang w:val="hu-HU"/>
              </w:rPr>
            </w:pPr>
            <w:r>
              <w:rPr>
                <w:lang w:val="hu-HU"/>
              </w:rPr>
              <w:t>Gyógyszer-túlérzékenység</w:t>
            </w:r>
          </w:p>
        </w:tc>
        <w:tc>
          <w:tcPr>
            <w:tcW w:w="1843"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2126"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Bőrkiütés</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Pruritus</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Anafilaxiás reakció</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Angiooedema</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Urticaria</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r>
      <w:tr w:rsidR="007D7140">
        <w:trPr>
          <w:trHeight w:val="264"/>
        </w:trPr>
        <w:tc>
          <w:tcPr>
            <w:tcW w:w="3544" w:type="dxa"/>
            <w:tcBorders>
              <w:top w:val="single" w:sz="4" w:space="0" w:color="auto"/>
              <w:left w:val="single" w:sz="4" w:space="0" w:color="000000"/>
              <w:bottom w:val="single" w:sz="4" w:space="0" w:color="000000"/>
              <w:right w:val="single" w:sz="4" w:space="0" w:color="000000"/>
            </w:tcBorders>
          </w:tcPr>
          <w:p w:rsidR="007D7140" w:rsidRDefault="00A207BA">
            <w:pPr>
              <w:ind w:left="272"/>
              <w:rPr>
                <w:lang w:val="hu-HU"/>
              </w:rPr>
            </w:pPr>
            <w:r>
              <w:rPr>
                <w:lang w:val="hu-HU"/>
              </w:rPr>
              <w:t>Bronchospasmus</w:t>
            </w:r>
          </w:p>
        </w:tc>
        <w:tc>
          <w:tcPr>
            <w:tcW w:w="1843"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c>
          <w:tcPr>
            <w:tcW w:w="2126"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ismert</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Idegrendszeri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272"/>
              <w:rPr>
                <w:lang w:val="hu-HU"/>
              </w:rPr>
            </w:pPr>
            <w:r>
              <w:rPr>
                <w:lang w:val="hu-HU"/>
              </w:rPr>
              <w:t>Intracranialis 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r>
      <w:tr w:rsidR="007D7140">
        <w:trPr>
          <w:trHeight w:val="264"/>
        </w:trPr>
        <w:tc>
          <w:tcPr>
            <w:tcW w:w="7513" w:type="dxa"/>
            <w:gridSpan w:val="3"/>
            <w:tcBorders>
              <w:top w:val="single" w:sz="4" w:space="0" w:color="000000"/>
              <w:left w:val="single" w:sz="4" w:space="0" w:color="000000"/>
              <w:bottom w:val="single" w:sz="4" w:space="0" w:color="auto"/>
              <w:right w:val="single" w:sz="4" w:space="0" w:color="000000"/>
            </w:tcBorders>
          </w:tcPr>
          <w:p w:rsidR="007D7140" w:rsidRDefault="00A207BA">
            <w:pPr>
              <w:rPr>
                <w:lang w:val="hu-HU"/>
              </w:rPr>
            </w:pPr>
            <w:r>
              <w:rPr>
                <w:lang w:val="hu-HU"/>
              </w:rPr>
              <w:t>Érbetegségek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Haematoma</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r>
      <w:tr w:rsidR="007D7140">
        <w:trPr>
          <w:trHeight w:val="264"/>
        </w:trPr>
        <w:tc>
          <w:tcPr>
            <w:tcW w:w="3544" w:type="dxa"/>
            <w:tcBorders>
              <w:top w:val="single" w:sz="4" w:space="0" w:color="auto"/>
              <w:left w:val="single" w:sz="4" w:space="0" w:color="000000"/>
              <w:bottom w:val="single" w:sz="4" w:space="0" w:color="auto"/>
              <w:right w:val="single" w:sz="4" w:space="0" w:color="000000"/>
            </w:tcBorders>
          </w:tcPr>
          <w:p w:rsidR="007D7140" w:rsidRDefault="00A207BA">
            <w:pPr>
              <w:ind w:left="272"/>
              <w:rPr>
                <w:lang w:val="hu-HU"/>
              </w:rPr>
            </w:pPr>
            <w:r>
              <w:rPr>
                <w:lang w:val="hu-HU"/>
              </w:rPr>
              <w:t>Vérzés</w:t>
            </w:r>
          </w:p>
        </w:tc>
        <w:tc>
          <w:tcPr>
            <w:tcW w:w="1843"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Ritka</w:t>
            </w:r>
          </w:p>
        </w:tc>
        <w:tc>
          <w:tcPr>
            <w:tcW w:w="2126" w:type="dxa"/>
            <w:tcBorders>
              <w:top w:val="single" w:sz="4" w:space="0" w:color="auto"/>
              <w:left w:val="single" w:sz="4" w:space="0" w:color="000000"/>
              <w:bottom w:val="single" w:sz="4" w:space="0" w:color="auto"/>
              <w:right w:val="single" w:sz="4" w:space="0" w:color="000000"/>
            </w:tcBorders>
          </w:tcPr>
          <w:p w:rsidR="007D7140" w:rsidRDefault="00A207BA">
            <w:pPr>
              <w:jc w:val="center"/>
              <w:rPr>
                <w:lang w:val="hu-HU"/>
              </w:rPr>
            </w:pPr>
            <w:r>
              <w:rPr>
                <w:lang w:val="hu-HU"/>
              </w:rPr>
              <w:t>Nem gyakori</w:t>
            </w:r>
          </w:p>
        </w:tc>
        <w:tc>
          <w:tcPr>
            <w:tcW w:w="1559"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r>
      <w:tr w:rsidR="007D7140">
        <w:trPr>
          <w:trHeight w:val="264"/>
        </w:trPr>
        <w:tc>
          <w:tcPr>
            <w:tcW w:w="3544" w:type="dxa"/>
            <w:tcBorders>
              <w:top w:val="single" w:sz="4" w:space="0" w:color="auto"/>
              <w:left w:val="single" w:sz="4" w:space="0" w:color="000000"/>
              <w:bottom w:val="single" w:sz="4" w:space="0" w:color="000000"/>
              <w:right w:val="single" w:sz="4" w:space="0" w:color="000000"/>
            </w:tcBorders>
          </w:tcPr>
          <w:p w:rsidR="007D7140" w:rsidRDefault="00A207BA">
            <w:pPr>
              <w:ind w:left="272"/>
              <w:rPr>
                <w:lang w:val="hu-HU"/>
              </w:rPr>
            </w:pPr>
            <w:r>
              <w:rPr>
                <w:lang w:val="hu-HU"/>
              </w:rPr>
              <w:t>Seb vérzése</w:t>
            </w:r>
          </w:p>
        </w:tc>
        <w:tc>
          <w:tcPr>
            <w:tcW w:w="1843"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Nem gyakori</w:t>
            </w:r>
          </w:p>
        </w:tc>
        <w:tc>
          <w:tcPr>
            <w:tcW w:w="2126"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Légzőrendszeri, mellkasi és mediastinalis 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Epistaxis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Gyakori </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Haemoptoe</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Emésztőrendszeri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Emésztőrendszeri 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Hasi fájdalom</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Hasmenés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Dyspepsia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Hányinger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Rectalis 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Aranyérvérzés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516"/>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Gastrointestinalis fekély, a nyelőcsőfekélyt is beleértve</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Gastrooesophagitis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516"/>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Gastrooesophagealis refluxbetegség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Hányás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 xml:space="preserve">Dysphagia </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Ritka </w:t>
            </w:r>
          </w:p>
        </w:tc>
      </w:tr>
      <w:tr w:rsidR="007D7140">
        <w:trPr>
          <w:trHeight w:val="262"/>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Máj- és epebetegségek, illetve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533"/>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Kóros májfunkció/kóros májfunkciós vizsgálati eredmények</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356"/>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Glutamát</w:t>
            </w:r>
            <w:r>
              <w:rPr>
                <w:lang w:val="hu-HU"/>
              </w:rPr>
              <w:noBreakHyphen/>
              <w:t>piruvát</w:t>
            </w:r>
            <w:r>
              <w:rPr>
                <w:lang w:val="hu-HU"/>
              </w:rPr>
              <w:noBreakHyphen/>
              <w:t>transzamináz- emelkedés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397"/>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Glutamát</w:t>
            </w:r>
            <w:r>
              <w:rPr>
                <w:lang w:val="hu-HU"/>
              </w:rPr>
              <w:noBreakHyphen/>
              <w:t>oxálacetát</w:t>
            </w:r>
            <w:r>
              <w:rPr>
                <w:lang w:val="hu-HU"/>
              </w:rPr>
              <w:noBreakHyphen/>
              <w:t>transzamináz</w:t>
            </w:r>
            <w:r>
              <w:rPr>
                <w:lang w:val="hu-HU"/>
              </w:rPr>
              <w:noBreakHyphen/>
              <w:t>emelkedés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Nem 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328"/>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Májenzimszint</w:t>
            </w:r>
            <w:r>
              <w:rPr>
                <w:lang w:val="hu-HU"/>
              </w:rPr>
              <w:noBreakHyphen/>
              <w:t>emelkedés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Hyperbilirubinaemia</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ismert </w:t>
            </w:r>
          </w:p>
        </w:tc>
      </w:tr>
      <w:tr w:rsidR="007D7140">
        <w:trPr>
          <w:trHeight w:val="262"/>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A bőr és a bőr alatti szövet betegségei és tünetei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Bőrvérzés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Gyakori </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Alopecia</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ismert</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Nem ismert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Nem ismert</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rsidP="00527548">
            <w:pPr>
              <w:keepNext/>
              <w:rPr>
                <w:lang w:val="hu-HU"/>
              </w:rPr>
            </w:pPr>
            <w:r>
              <w:rPr>
                <w:lang w:val="hu-HU"/>
              </w:rPr>
              <w:lastRenderedPageBreak/>
              <w:t>A csont- és izomrendszer, valamint a kötőszövet betegségei és tünetei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rsidP="00527548">
            <w:pPr>
              <w:keepNext/>
              <w:rPr>
                <w:lang w:val="hu-HU"/>
              </w:rPr>
            </w:pP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Haemarthrosis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Vese- és húgyúti betegségek és tünetek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516"/>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Urogenitális vérzés, a haematuriát is beleértve</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Gyakori</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Gyakori </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Általános tünetek, az alkalmazás helyén fellépő reakciók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20"/>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Vérzés az injekció beadásának helyén</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Ritka</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Vérzés a kanül felvezetésének helyén</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Ritka </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Véres váladékozás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w:t>
            </w:r>
          </w:p>
        </w:tc>
      </w:tr>
      <w:tr w:rsidR="007D7140">
        <w:trPr>
          <w:trHeight w:val="262"/>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Sérülés, mérgezés és a beavatkozással kapcsolatos szövődmények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59"/>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Traumás 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 xml:space="preserve">Nem gyakori </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tabs>
                <w:tab w:val="left" w:pos="272"/>
              </w:tabs>
              <w:ind w:right="74" w:firstLine="177"/>
              <w:rPr>
                <w:lang w:val="hu-HU"/>
              </w:rPr>
            </w:pPr>
            <w:r>
              <w:rPr>
                <w:lang w:val="hu-HU"/>
              </w:rPr>
              <w:t>Vérzés a bemetszés helyén</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Ritka</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5"/>
              <w:jc w:val="center"/>
              <w:rPr>
                <w:lang w:val="hu-HU"/>
              </w:rPr>
            </w:pPr>
            <w:r>
              <w:rPr>
                <w:lang w:val="hu-HU"/>
              </w:rPr>
              <w:t>Ritka</w:t>
            </w:r>
          </w:p>
        </w:tc>
      </w:tr>
      <w:tr w:rsidR="007D7140">
        <w:trPr>
          <w:trHeight w:val="307"/>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Beavatkozás utáni haematoma</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Beavatkozás utáni vérzés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w:t>
            </w:r>
          </w:p>
        </w:tc>
      </w:tr>
      <w:tr w:rsidR="007D7140">
        <w:trPr>
          <w:trHeight w:val="264"/>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Posztoperatív anaemia</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w:t>
            </w:r>
          </w:p>
        </w:tc>
      </w:tr>
      <w:tr w:rsidR="007D7140">
        <w:trPr>
          <w:trHeight w:val="278"/>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Beavatkozás utáni váladékozás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w:t>
            </w: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Sebszekréció</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Nem gyakori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w:t>
            </w:r>
          </w:p>
        </w:tc>
      </w:tr>
      <w:tr w:rsidR="007D7140">
        <w:trPr>
          <w:trHeight w:val="264"/>
        </w:trPr>
        <w:tc>
          <w:tcPr>
            <w:tcW w:w="7513" w:type="dxa"/>
            <w:gridSpan w:val="3"/>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Sebészeti és egyéb orvosi beavatkozások és eljárások</w:t>
            </w:r>
          </w:p>
        </w:tc>
        <w:tc>
          <w:tcPr>
            <w:tcW w:w="155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Sebdrenázs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w:t>
            </w:r>
          </w:p>
        </w:tc>
      </w:tr>
      <w:tr w:rsidR="007D7140">
        <w:trPr>
          <w:trHeight w:val="255"/>
        </w:trPr>
        <w:tc>
          <w:tcPr>
            <w:tcW w:w="3544" w:type="dxa"/>
            <w:tcBorders>
              <w:top w:val="single" w:sz="4" w:space="0" w:color="000000"/>
              <w:left w:val="single" w:sz="4" w:space="0" w:color="000000"/>
              <w:bottom w:val="single" w:sz="4" w:space="0" w:color="000000"/>
              <w:right w:val="single" w:sz="4" w:space="0" w:color="000000"/>
            </w:tcBorders>
          </w:tcPr>
          <w:p w:rsidR="007D7140" w:rsidRDefault="00A207BA">
            <w:pPr>
              <w:ind w:left="180"/>
              <w:rPr>
                <w:lang w:val="hu-HU"/>
              </w:rPr>
            </w:pPr>
            <w:r>
              <w:rPr>
                <w:lang w:val="hu-HU"/>
              </w:rPr>
              <w:t>Beavatkozás utáni drenázs</w:t>
            </w:r>
          </w:p>
        </w:tc>
        <w:tc>
          <w:tcPr>
            <w:tcW w:w="184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Ritka</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w:t>
            </w:r>
          </w:p>
        </w:tc>
        <w:tc>
          <w:tcPr>
            <w:tcW w:w="1559"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w:t>
            </w:r>
          </w:p>
        </w:tc>
      </w:tr>
    </w:tbl>
    <w:p w:rsidR="007D7140" w:rsidRDefault="007D7140">
      <w:pPr>
        <w:rPr>
          <w:lang w:val="hu-HU"/>
        </w:rPr>
      </w:pPr>
    </w:p>
    <w:p w:rsidR="007D7140" w:rsidRDefault="00A207BA">
      <w:pPr>
        <w:rPr>
          <w:lang w:val="hu-HU"/>
        </w:rPr>
      </w:pPr>
      <w:r>
        <w:rPr>
          <w:u w:val="single"/>
          <w:lang w:val="hu-HU"/>
        </w:rPr>
        <w:t>Egyes</w:t>
      </w:r>
      <w:r>
        <w:rPr>
          <w:spacing w:val="-6"/>
          <w:u w:val="single"/>
          <w:lang w:val="hu-HU"/>
        </w:rPr>
        <w:t xml:space="preserve"> </w:t>
      </w:r>
      <w:r>
        <w:rPr>
          <w:u w:val="single"/>
          <w:lang w:val="hu-HU"/>
        </w:rPr>
        <w:t>kiválasztott</w:t>
      </w:r>
      <w:r>
        <w:rPr>
          <w:spacing w:val="-6"/>
          <w:u w:val="single"/>
          <w:lang w:val="hu-HU"/>
        </w:rPr>
        <w:t xml:space="preserve"> </w:t>
      </w:r>
      <w:r>
        <w:rPr>
          <w:u w:val="single"/>
          <w:lang w:val="hu-HU"/>
        </w:rPr>
        <w:t>mellékhatások</w:t>
      </w:r>
      <w:r>
        <w:rPr>
          <w:spacing w:val="-6"/>
          <w:u w:val="single"/>
          <w:lang w:val="hu-HU"/>
        </w:rPr>
        <w:t xml:space="preserve"> </w:t>
      </w:r>
      <w:r>
        <w:rPr>
          <w:u w:val="single"/>
          <w:lang w:val="hu-HU"/>
        </w:rPr>
        <w:t>leírása</w:t>
      </w:r>
    </w:p>
    <w:p w:rsidR="007D7140" w:rsidRDefault="007D7140">
      <w:pPr>
        <w:rPr>
          <w:lang w:val="hu-HU"/>
        </w:rPr>
      </w:pPr>
    </w:p>
    <w:p w:rsidR="007D7140" w:rsidRDefault="00A207BA">
      <w:pPr>
        <w:rPr>
          <w:i/>
          <w:lang w:val="hu-HU"/>
        </w:rPr>
      </w:pPr>
      <w:r>
        <w:rPr>
          <w:i/>
          <w:u w:val="single"/>
          <w:lang w:val="hu-HU"/>
        </w:rPr>
        <w:t>Vérzéses</w:t>
      </w:r>
      <w:r>
        <w:rPr>
          <w:i/>
          <w:spacing w:val="-5"/>
          <w:u w:val="single"/>
          <w:lang w:val="hu-HU"/>
        </w:rPr>
        <w:t xml:space="preserve"> </w:t>
      </w:r>
      <w:r>
        <w:rPr>
          <w:i/>
          <w:u w:val="single"/>
          <w:lang w:val="hu-HU"/>
        </w:rPr>
        <w:t>reakciók</w:t>
      </w:r>
    </w:p>
    <w:p w:rsidR="007D7140" w:rsidRDefault="007D7140">
      <w:pPr>
        <w:rPr>
          <w:i/>
          <w:lang w:val="hu-HU"/>
        </w:rPr>
      </w:pPr>
    </w:p>
    <w:p w:rsidR="007D7140" w:rsidRDefault="00A207BA">
      <w:pPr>
        <w:rPr>
          <w:lang w:val="hu-HU"/>
        </w:rPr>
      </w:pPr>
      <w:r>
        <w:rPr>
          <w:lang w:val="hu-HU"/>
        </w:rPr>
        <w:t>Farmakológiai hatásmódjának köszönhetően a dabigatrán</w:t>
      </w:r>
      <w:r>
        <w:rPr>
          <w:lang w:val="hu-HU"/>
        </w:rPr>
        <w:noBreakHyphen/>
        <w:t>etexilát alkalmazása együtt járhat bármilyen szövet</w:t>
      </w:r>
      <w:r>
        <w:rPr>
          <w:spacing w:val="1"/>
          <w:lang w:val="hu-HU"/>
        </w:rPr>
        <w:t xml:space="preserve"> </w:t>
      </w:r>
      <w:r>
        <w:rPr>
          <w:lang w:val="hu-HU"/>
        </w:rPr>
        <w:t>vagy szerv rejtett (okkult) vagy nyílt vérzésének kockázatával. Ennek jelei, tünetei és súlyossága (beleértve a halálos</w:t>
      </w:r>
      <w:r>
        <w:rPr>
          <w:spacing w:val="-4"/>
          <w:lang w:val="hu-HU"/>
        </w:rPr>
        <w:t xml:space="preserve"> </w:t>
      </w:r>
      <w:r>
        <w:rPr>
          <w:lang w:val="hu-HU"/>
        </w:rPr>
        <w:t>kimenetelt)</w:t>
      </w:r>
      <w:r>
        <w:rPr>
          <w:spacing w:val="-3"/>
          <w:lang w:val="hu-HU"/>
        </w:rPr>
        <w:t xml:space="preserve"> </w:t>
      </w:r>
      <w:r>
        <w:rPr>
          <w:lang w:val="hu-HU"/>
        </w:rPr>
        <w:t>függ</w:t>
      </w:r>
      <w:r>
        <w:rPr>
          <w:spacing w:val="-3"/>
          <w:lang w:val="hu-HU"/>
        </w:rPr>
        <w:t xml:space="preserve"> </w:t>
      </w:r>
      <w:r>
        <w:rPr>
          <w:lang w:val="hu-HU"/>
        </w:rPr>
        <w:t>a</w:t>
      </w:r>
      <w:r>
        <w:rPr>
          <w:spacing w:val="-3"/>
          <w:lang w:val="hu-HU"/>
        </w:rPr>
        <w:t xml:space="preserve"> </w:t>
      </w:r>
      <w:r>
        <w:rPr>
          <w:lang w:val="hu-HU"/>
        </w:rPr>
        <w:t>vérzés</w:t>
      </w:r>
      <w:r>
        <w:rPr>
          <w:spacing w:val="-3"/>
          <w:lang w:val="hu-HU"/>
        </w:rPr>
        <w:t xml:space="preserve"> </w:t>
      </w:r>
      <w:r>
        <w:rPr>
          <w:lang w:val="hu-HU"/>
        </w:rPr>
        <w:t>és/vagy</w:t>
      </w:r>
      <w:r>
        <w:rPr>
          <w:spacing w:val="-3"/>
          <w:lang w:val="hu-HU"/>
        </w:rPr>
        <w:t xml:space="preserve"> </w:t>
      </w:r>
      <w:r>
        <w:rPr>
          <w:lang w:val="hu-HU"/>
        </w:rPr>
        <w:t>az</w:t>
      </w:r>
      <w:r>
        <w:rPr>
          <w:spacing w:val="-3"/>
          <w:lang w:val="hu-HU"/>
        </w:rPr>
        <w:t xml:space="preserve"> </w:t>
      </w:r>
      <w:r>
        <w:rPr>
          <w:lang w:val="hu-HU"/>
        </w:rPr>
        <w:t>anaemia</w:t>
      </w:r>
      <w:r>
        <w:rPr>
          <w:spacing w:val="-3"/>
          <w:lang w:val="hu-HU"/>
        </w:rPr>
        <w:t xml:space="preserve"> </w:t>
      </w:r>
      <w:r>
        <w:rPr>
          <w:lang w:val="hu-HU"/>
        </w:rPr>
        <w:t>helyétől,</w:t>
      </w:r>
      <w:r>
        <w:rPr>
          <w:spacing w:val="-3"/>
          <w:lang w:val="hu-HU"/>
        </w:rPr>
        <w:t xml:space="preserve"> </w:t>
      </w:r>
      <w:r>
        <w:rPr>
          <w:lang w:val="hu-HU"/>
        </w:rPr>
        <w:t>mértékétől,</w:t>
      </w:r>
      <w:r>
        <w:rPr>
          <w:spacing w:val="-3"/>
          <w:lang w:val="hu-HU"/>
        </w:rPr>
        <w:t xml:space="preserve"> </w:t>
      </w:r>
      <w:r>
        <w:rPr>
          <w:lang w:val="hu-HU"/>
        </w:rPr>
        <w:t>illetve</w:t>
      </w:r>
      <w:r>
        <w:rPr>
          <w:spacing w:val="-3"/>
          <w:lang w:val="hu-HU"/>
        </w:rPr>
        <w:t xml:space="preserve"> </w:t>
      </w:r>
      <w:r>
        <w:rPr>
          <w:lang w:val="hu-HU"/>
        </w:rPr>
        <w:t>kiterjedésétől. A klinikai vizsgálatokban a KVA</w:t>
      </w:r>
      <w:r>
        <w:rPr>
          <w:lang w:val="hu-HU"/>
        </w:rPr>
        <w:noBreakHyphen/>
        <w:t>kezeléssel összehasonlítva nagyobb gyakorisággal figyeltek meg nyálkahártyavérzést (pl.</w:t>
      </w:r>
      <w:r>
        <w:rPr>
          <w:spacing w:val="1"/>
          <w:lang w:val="hu-HU"/>
        </w:rPr>
        <w:t xml:space="preserve"> </w:t>
      </w:r>
      <w:r>
        <w:rPr>
          <w:lang w:val="hu-HU"/>
        </w:rPr>
        <w:t>gastrointestinalis vagy urogenitalis vérzést) a hosszú távú dabigatrán</w:t>
      </w:r>
      <w:r>
        <w:rPr>
          <w:lang w:val="hu-HU"/>
        </w:rPr>
        <w:noBreakHyphen/>
        <w:t>etexilát kezelés során. Ezért a megfelelő klinikai megfigyelés mellett a haemoglobin/haematocrit mérése is</w:t>
      </w:r>
      <w:r>
        <w:rPr>
          <w:spacing w:val="1"/>
          <w:lang w:val="hu-HU"/>
        </w:rPr>
        <w:t xml:space="preserve"> </w:t>
      </w:r>
      <w:r>
        <w:rPr>
          <w:lang w:val="hu-HU"/>
        </w:rPr>
        <w:t>fontos az okkult vérzés megállapításában. A vérzések kockázata magasabb lehet egyes</w:t>
      </w:r>
      <w:r>
        <w:rPr>
          <w:spacing w:val="1"/>
          <w:lang w:val="hu-HU"/>
        </w:rPr>
        <w:t xml:space="preserve"> </w:t>
      </w:r>
      <w:r>
        <w:rPr>
          <w:lang w:val="hu-HU"/>
        </w:rPr>
        <w:t>betegpopulációkban, pl. közepesen súlyos fokú vesekárosodásban és/vagy a haemostasist befolyásoló</w:t>
      </w:r>
      <w:r>
        <w:rPr>
          <w:spacing w:val="-4"/>
          <w:lang w:val="hu-HU"/>
        </w:rPr>
        <w:t xml:space="preserve"> </w:t>
      </w:r>
      <w:r>
        <w:rPr>
          <w:lang w:val="hu-HU"/>
        </w:rPr>
        <w:t>egyidejű</w:t>
      </w:r>
      <w:r>
        <w:rPr>
          <w:spacing w:val="-3"/>
          <w:lang w:val="hu-HU"/>
        </w:rPr>
        <w:t xml:space="preserve"> </w:t>
      </w:r>
      <w:r>
        <w:rPr>
          <w:lang w:val="hu-HU"/>
        </w:rPr>
        <w:t>kezelésben</w:t>
      </w:r>
      <w:r>
        <w:rPr>
          <w:spacing w:val="-4"/>
          <w:lang w:val="hu-HU"/>
        </w:rPr>
        <w:t xml:space="preserve"> </w:t>
      </w:r>
      <w:r>
        <w:rPr>
          <w:lang w:val="hu-HU"/>
        </w:rPr>
        <w:t>részesülő,</w:t>
      </w:r>
      <w:r>
        <w:rPr>
          <w:spacing w:val="-3"/>
          <w:lang w:val="hu-HU"/>
        </w:rPr>
        <w:t xml:space="preserve"> </w:t>
      </w:r>
      <w:r>
        <w:rPr>
          <w:lang w:val="hu-HU"/>
        </w:rPr>
        <w:t>vagy</w:t>
      </w:r>
      <w:r>
        <w:rPr>
          <w:spacing w:val="-3"/>
          <w:lang w:val="hu-HU"/>
        </w:rPr>
        <w:t xml:space="preserve"> </w:t>
      </w:r>
      <w:r>
        <w:rPr>
          <w:lang w:val="hu-HU"/>
        </w:rPr>
        <w:t>erős</w:t>
      </w:r>
      <w:r>
        <w:rPr>
          <w:spacing w:val="-4"/>
          <w:lang w:val="hu-HU"/>
        </w:rPr>
        <w:t xml:space="preserve"> </w:t>
      </w:r>
      <w:r>
        <w:rPr>
          <w:lang w:val="hu-HU"/>
        </w:rPr>
        <w:t>P</w:t>
      </w:r>
      <w:r>
        <w:rPr>
          <w:lang w:val="hu-HU"/>
        </w:rPr>
        <w:noBreakHyphen/>
        <w:t>gp</w:t>
      </w:r>
      <w:r>
        <w:rPr>
          <w:lang w:val="hu-HU"/>
        </w:rPr>
        <w:noBreakHyphen/>
        <w:t>inhibitorokkal</w:t>
      </w:r>
      <w:r>
        <w:rPr>
          <w:spacing w:val="-3"/>
          <w:lang w:val="hu-HU"/>
        </w:rPr>
        <w:t xml:space="preserve"> </w:t>
      </w:r>
      <w:r>
        <w:rPr>
          <w:lang w:val="hu-HU"/>
        </w:rPr>
        <w:t>kezelt</w:t>
      </w:r>
      <w:r>
        <w:rPr>
          <w:spacing w:val="-4"/>
          <w:lang w:val="hu-HU"/>
        </w:rPr>
        <w:t xml:space="preserve"> </w:t>
      </w:r>
      <w:r>
        <w:rPr>
          <w:lang w:val="hu-HU"/>
        </w:rPr>
        <w:t>betegek</w:t>
      </w:r>
      <w:r>
        <w:rPr>
          <w:spacing w:val="-3"/>
          <w:lang w:val="hu-HU"/>
        </w:rPr>
        <w:t xml:space="preserve"> </w:t>
      </w:r>
      <w:r>
        <w:rPr>
          <w:lang w:val="hu-HU"/>
        </w:rPr>
        <w:t>esetében</w:t>
      </w:r>
      <w:r>
        <w:rPr>
          <w:spacing w:val="-3"/>
          <w:lang w:val="hu-HU"/>
        </w:rPr>
        <w:t xml:space="preserve"> </w:t>
      </w:r>
      <w:r>
        <w:rPr>
          <w:lang w:val="hu-HU"/>
        </w:rPr>
        <w:t xml:space="preserve">(lásd 4.4 pont, „Vérzésveszély”). A vérzéses szövődmények gyengeség, sápadtság, szédülés, fejfájás vagy </w:t>
      </w:r>
      <w:bookmarkStart w:id="12" w:name="_Hlk139559927"/>
      <w:r>
        <w:rPr>
          <w:lang w:val="hu-HU"/>
        </w:rPr>
        <w:t xml:space="preserve">tisztázatlan eredetű </w:t>
      </w:r>
      <w:bookmarkEnd w:id="12"/>
      <w:r>
        <w:rPr>
          <w:lang w:val="hu-HU"/>
        </w:rPr>
        <w:t>duzzadás, dyspnoe, valamint tisztázatlan eredetű sokk formájában jelenhetnek meg.</w:t>
      </w:r>
    </w:p>
    <w:p w:rsidR="007D7140" w:rsidRDefault="007D7140">
      <w:pPr>
        <w:rPr>
          <w:lang w:val="hu-HU"/>
        </w:rPr>
      </w:pPr>
    </w:p>
    <w:p w:rsidR="007D7140" w:rsidRDefault="00A207BA">
      <w:pPr>
        <w:rPr>
          <w:lang w:val="hu-HU"/>
        </w:rPr>
      </w:pPr>
      <w:r>
        <w:rPr>
          <w:lang w:val="hu-HU"/>
        </w:rPr>
        <w:t>Ismert vérzéses szövődményeket, pl. kompartment szindrómát, és hypoperfusio okozta akut</w:t>
      </w:r>
      <w:r>
        <w:rPr>
          <w:spacing w:val="1"/>
          <w:lang w:val="hu-HU"/>
        </w:rPr>
        <w:t xml:space="preserve"> </w:t>
      </w:r>
      <w:r>
        <w:rPr>
          <w:lang w:val="hu-HU"/>
        </w:rPr>
        <w:t>veseelégtelenséget, valamint a hajlamosító kockázati tényezőkkel rendelkező betegeknél</w:t>
      </w:r>
      <w:r>
        <w:rPr>
          <w:spacing w:val="1"/>
          <w:lang w:val="hu-HU"/>
        </w:rPr>
        <w:t xml:space="preserve"> </w:t>
      </w:r>
      <w:r>
        <w:rPr>
          <w:lang w:val="hu-HU"/>
        </w:rPr>
        <w:t>antikoaguláns terápiával összefüggő nephropathiát is jelentettek a dabigatrán</w:t>
      </w:r>
      <w:r>
        <w:rPr>
          <w:lang w:val="hu-HU"/>
        </w:rPr>
        <w:noBreakHyphen/>
        <w:t>etexiláttal</w:t>
      </w:r>
      <w:r>
        <w:rPr>
          <w:spacing w:val="1"/>
          <w:lang w:val="hu-HU"/>
        </w:rPr>
        <w:t xml:space="preserve"> </w:t>
      </w:r>
      <w:r>
        <w:rPr>
          <w:lang w:val="hu-HU"/>
        </w:rPr>
        <w:t>összefüggésben. Ezért a haemorrhagia lehetőségét mérlegelni kell antikoagulált betegek állapotának értékelésekor. Felnőtt betegeknél csillapíthatatlan vérzés esetén rendelkezésre áll a dagibatrán</w:t>
      </w:r>
      <w:r>
        <w:rPr>
          <w:spacing w:val="1"/>
          <w:lang w:val="hu-HU"/>
        </w:rPr>
        <w:t xml:space="preserve"> </w:t>
      </w:r>
      <w:r>
        <w:rPr>
          <w:lang w:val="hu-HU"/>
        </w:rPr>
        <w:t>specifikus</w:t>
      </w:r>
      <w:r>
        <w:rPr>
          <w:spacing w:val="-2"/>
          <w:lang w:val="hu-HU"/>
        </w:rPr>
        <w:t xml:space="preserve"> </w:t>
      </w:r>
      <w:r>
        <w:rPr>
          <w:lang w:val="hu-HU"/>
        </w:rPr>
        <w:t>antagonista</w:t>
      </w:r>
      <w:r>
        <w:rPr>
          <w:spacing w:val="-1"/>
          <w:lang w:val="hu-HU"/>
        </w:rPr>
        <w:t xml:space="preserve"> </w:t>
      </w:r>
      <w:r>
        <w:rPr>
          <w:lang w:val="hu-HU"/>
        </w:rPr>
        <w:t>szere,</w:t>
      </w:r>
      <w:r>
        <w:rPr>
          <w:spacing w:val="-2"/>
          <w:lang w:val="hu-HU"/>
        </w:rPr>
        <w:t xml:space="preserve"> </w:t>
      </w:r>
      <w:r>
        <w:rPr>
          <w:lang w:val="hu-HU"/>
        </w:rPr>
        <w:t>az</w:t>
      </w:r>
      <w:r>
        <w:rPr>
          <w:spacing w:val="-1"/>
          <w:lang w:val="hu-HU"/>
        </w:rPr>
        <w:t xml:space="preserve"> </w:t>
      </w:r>
      <w:r>
        <w:rPr>
          <w:lang w:val="hu-HU"/>
        </w:rPr>
        <w:t>idarucizumab</w:t>
      </w:r>
      <w:r>
        <w:rPr>
          <w:spacing w:val="-1"/>
          <w:lang w:val="hu-HU"/>
        </w:rPr>
        <w:t xml:space="preserve"> </w:t>
      </w:r>
      <w:r>
        <w:rPr>
          <w:lang w:val="hu-HU"/>
        </w:rPr>
        <w:t>(lásd</w:t>
      </w:r>
      <w:r>
        <w:rPr>
          <w:spacing w:val="-2"/>
          <w:lang w:val="hu-HU"/>
        </w:rPr>
        <w:t xml:space="preserve"> </w:t>
      </w:r>
      <w:r>
        <w:rPr>
          <w:lang w:val="hu-HU"/>
        </w:rPr>
        <w:t>4.9</w:t>
      </w:r>
      <w:r>
        <w:rPr>
          <w:spacing w:val="-4"/>
          <w:lang w:val="hu-HU"/>
        </w:rPr>
        <w:t> pont</w:t>
      </w:r>
      <w:r>
        <w:rPr>
          <w:lang w:val="hu-HU"/>
        </w:rPr>
        <w:t>).</w:t>
      </w:r>
    </w:p>
    <w:p w:rsidR="007D7140" w:rsidRDefault="007D7140">
      <w:pPr>
        <w:rPr>
          <w:lang w:val="hu-HU"/>
        </w:rPr>
      </w:pPr>
    </w:p>
    <w:p w:rsidR="007D7140" w:rsidRDefault="00A207BA">
      <w:pPr>
        <w:ind w:left="7"/>
        <w:rPr>
          <w:lang w:val="hu-HU"/>
        </w:rPr>
      </w:pPr>
      <w:r>
        <w:rPr>
          <w:i/>
          <w:lang w:val="hu-HU"/>
        </w:rPr>
        <w:t>VTE primer prevenciója ortopédiai műtéteknél</w:t>
      </w:r>
    </w:p>
    <w:p w:rsidR="007D7140" w:rsidRDefault="007D7140">
      <w:pPr>
        <w:ind w:left="7" w:right="9"/>
        <w:rPr>
          <w:lang w:val="hu-HU"/>
        </w:rPr>
      </w:pPr>
    </w:p>
    <w:p w:rsidR="007D7140" w:rsidRDefault="00A207BA">
      <w:pPr>
        <w:ind w:left="7" w:right="9"/>
        <w:rPr>
          <w:lang w:val="hu-HU"/>
        </w:rPr>
      </w:pPr>
      <w:r>
        <w:rPr>
          <w:lang w:val="hu-HU"/>
        </w:rPr>
        <w:t>A 13. táblázat azoknak a betegeknek a számát (%) mutatja dózis szerinti megoszlásban, akiknél mellékhatásként a VTE prevenciós kezelési időszak alatt vérzéses esemény történt a két pivotális klinikai vizsgálatban.</w:t>
      </w:r>
    </w:p>
    <w:p w:rsidR="007D7140" w:rsidRDefault="007D7140">
      <w:pPr>
        <w:rPr>
          <w:lang w:val="hu-HU"/>
        </w:rPr>
      </w:pPr>
    </w:p>
    <w:p w:rsidR="007D7140" w:rsidRDefault="00A207BA">
      <w:pPr>
        <w:keepNext/>
        <w:widowControl/>
        <w:rPr>
          <w:b/>
          <w:bCs/>
          <w:lang w:val="hu-HU"/>
        </w:rPr>
      </w:pPr>
      <w:r>
        <w:rPr>
          <w:b/>
          <w:bCs/>
          <w:lang w:val="hu-HU"/>
        </w:rPr>
        <w:t>13. táblázat: A betegek</w:t>
      </w:r>
      <w:r>
        <w:rPr>
          <w:b/>
          <w:bCs/>
          <w:spacing w:val="-6"/>
          <w:lang w:val="hu-HU"/>
        </w:rPr>
        <w:t xml:space="preserve"> </w:t>
      </w:r>
      <w:r>
        <w:rPr>
          <w:b/>
          <w:bCs/>
          <w:lang w:val="hu-HU"/>
        </w:rPr>
        <w:t>száma</w:t>
      </w:r>
      <w:r>
        <w:rPr>
          <w:b/>
          <w:bCs/>
          <w:spacing w:val="-5"/>
          <w:lang w:val="hu-HU"/>
        </w:rPr>
        <w:t xml:space="preserve"> </w:t>
      </w:r>
      <w:r>
        <w:rPr>
          <w:b/>
          <w:bCs/>
          <w:lang w:val="hu-HU"/>
        </w:rPr>
        <w:t>(%-ban),</w:t>
      </w:r>
      <w:r>
        <w:rPr>
          <w:b/>
          <w:bCs/>
          <w:spacing w:val="-5"/>
          <w:lang w:val="hu-HU"/>
        </w:rPr>
        <w:t xml:space="preserve"> </w:t>
      </w:r>
      <w:r>
        <w:rPr>
          <w:b/>
          <w:bCs/>
          <w:lang w:val="hu-HU"/>
        </w:rPr>
        <w:t>akiknél</w:t>
      </w:r>
      <w:r>
        <w:rPr>
          <w:b/>
          <w:bCs/>
          <w:spacing w:val="-5"/>
          <w:lang w:val="hu-HU"/>
        </w:rPr>
        <w:t xml:space="preserve"> </w:t>
      </w:r>
      <w:r>
        <w:rPr>
          <w:b/>
          <w:bCs/>
          <w:lang w:val="hu-HU"/>
        </w:rPr>
        <w:t>vérzéses</w:t>
      </w:r>
      <w:r>
        <w:rPr>
          <w:b/>
          <w:bCs/>
          <w:spacing w:val="-5"/>
          <w:lang w:val="hu-HU"/>
        </w:rPr>
        <w:t xml:space="preserve"> </w:t>
      </w:r>
      <w:r>
        <w:rPr>
          <w:b/>
          <w:bCs/>
          <w:lang w:val="hu-HU"/>
        </w:rPr>
        <w:t>mellékhatást</w:t>
      </w:r>
      <w:r>
        <w:rPr>
          <w:b/>
          <w:bCs/>
          <w:spacing w:val="-5"/>
          <w:lang w:val="hu-HU"/>
        </w:rPr>
        <w:t xml:space="preserve"> </w:t>
      </w:r>
      <w:r>
        <w:rPr>
          <w:b/>
          <w:bCs/>
          <w:lang w:val="hu-HU"/>
        </w:rPr>
        <w:t>észleltek</w:t>
      </w:r>
    </w:p>
    <w:p w:rsidR="007D7140" w:rsidRDefault="007D7140">
      <w:pPr>
        <w:keepNext/>
        <w:widowControl/>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2409"/>
        <w:gridCol w:w="2410"/>
        <w:gridCol w:w="1559"/>
      </w:tblGrid>
      <w:tr w:rsidR="007D7140">
        <w:trPr>
          <w:trHeight w:val="760"/>
        </w:trPr>
        <w:tc>
          <w:tcPr>
            <w:tcW w:w="2694" w:type="dxa"/>
          </w:tcPr>
          <w:p w:rsidR="007D7140" w:rsidRDefault="007D7140">
            <w:pPr>
              <w:keepNext/>
              <w:widowControl/>
              <w:rPr>
                <w:lang w:val="hu-HU"/>
              </w:rPr>
            </w:pPr>
          </w:p>
        </w:tc>
        <w:tc>
          <w:tcPr>
            <w:tcW w:w="2409" w:type="dxa"/>
          </w:tcPr>
          <w:p w:rsidR="007D7140" w:rsidRDefault="00A207BA">
            <w:pPr>
              <w:keepNext/>
              <w:widowControl/>
              <w:ind w:left="153"/>
              <w:rPr>
                <w:lang w:val="hu-HU"/>
              </w:rPr>
            </w:pPr>
            <w:r>
              <w:rPr>
                <w:lang w:val="hu-HU"/>
              </w:rPr>
              <w:t>Dabigatrán</w:t>
            </w:r>
            <w:r>
              <w:rPr>
                <w:lang w:val="hu-HU"/>
              </w:rPr>
              <w:noBreakHyphen/>
              <w:t>etexilát naponta egyszer 150 mg</w:t>
            </w:r>
          </w:p>
          <w:p w:rsidR="007D7140" w:rsidRDefault="00A207BA">
            <w:pPr>
              <w:keepNext/>
              <w:widowControl/>
              <w:ind w:left="153"/>
              <w:rPr>
                <w:lang w:val="hu-HU"/>
              </w:rPr>
            </w:pPr>
            <w:r>
              <w:rPr>
                <w:lang w:val="hu-HU"/>
              </w:rPr>
              <w:t>N (%)</w:t>
            </w:r>
          </w:p>
        </w:tc>
        <w:tc>
          <w:tcPr>
            <w:tcW w:w="2410" w:type="dxa"/>
          </w:tcPr>
          <w:p w:rsidR="007D7140" w:rsidRDefault="00A207BA">
            <w:pPr>
              <w:keepNext/>
              <w:widowControl/>
              <w:ind w:left="153"/>
              <w:rPr>
                <w:lang w:val="hu-HU"/>
              </w:rPr>
            </w:pPr>
            <w:r>
              <w:rPr>
                <w:lang w:val="hu-HU"/>
              </w:rPr>
              <w:t>Dabigatrán</w:t>
            </w:r>
            <w:r>
              <w:rPr>
                <w:lang w:val="hu-HU"/>
              </w:rPr>
              <w:noBreakHyphen/>
              <w:t>etexilát naponta egyszer 220</w:t>
            </w:r>
            <w:r>
              <w:rPr>
                <w:spacing w:val="-1"/>
                <w:lang w:val="hu-HU"/>
              </w:rPr>
              <w:t> mg</w:t>
            </w:r>
          </w:p>
          <w:p w:rsidR="007D7140" w:rsidRDefault="00A207BA">
            <w:pPr>
              <w:keepNext/>
              <w:widowControl/>
              <w:ind w:left="153"/>
              <w:rPr>
                <w:lang w:val="hu-HU"/>
              </w:rPr>
            </w:pPr>
            <w:r>
              <w:rPr>
                <w:lang w:val="hu-HU"/>
              </w:rPr>
              <w:t>N (%)</w:t>
            </w:r>
          </w:p>
        </w:tc>
        <w:tc>
          <w:tcPr>
            <w:tcW w:w="1559" w:type="dxa"/>
          </w:tcPr>
          <w:p w:rsidR="007D7140" w:rsidRDefault="00A207BA">
            <w:pPr>
              <w:keepNext/>
              <w:widowControl/>
              <w:ind w:left="153"/>
              <w:rPr>
                <w:lang w:val="hu-HU"/>
              </w:rPr>
            </w:pPr>
            <w:r>
              <w:rPr>
                <w:lang w:val="hu-HU"/>
              </w:rPr>
              <w:t>Enoxaparin</w:t>
            </w:r>
          </w:p>
          <w:p w:rsidR="007D7140" w:rsidRDefault="007D7140">
            <w:pPr>
              <w:keepNext/>
              <w:widowControl/>
              <w:ind w:left="153"/>
              <w:rPr>
                <w:lang w:val="hu-HU"/>
              </w:rPr>
            </w:pPr>
          </w:p>
          <w:p w:rsidR="007D7140" w:rsidRDefault="00A207BA">
            <w:pPr>
              <w:keepNext/>
              <w:widowControl/>
              <w:ind w:left="153"/>
              <w:rPr>
                <w:lang w:val="hu-HU"/>
              </w:rPr>
            </w:pPr>
            <w:r>
              <w:rPr>
                <w:lang w:val="hu-HU"/>
              </w:rPr>
              <w:t>N (%)</w:t>
            </w:r>
          </w:p>
        </w:tc>
      </w:tr>
      <w:tr w:rsidR="007D7140">
        <w:trPr>
          <w:trHeight w:val="251"/>
        </w:trPr>
        <w:tc>
          <w:tcPr>
            <w:tcW w:w="2694" w:type="dxa"/>
          </w:tcPr>
          <w:p w:rsidR="007D7140" w:rsidRDefault="00A207BA">
            <w:pPr>
              <w:ind w:left="157"/>
              <w:rPr>
                <w:lang w:val="hu-HU"/>
              </w:rPr>
            </w:pPr>
            <w:r>
              <w:rPr>
                <w:lang w:val="hu-HU"/>
              </w:rPr>
              <w:t>Kezelt</w:t>
            </w:r>
          </w:p>
        </w:tc>
        <w:tc>
          <w:tcPr>
            <w:tcW w:w="2409" w:type="dxa"/>
          </w:tcPr>
          <w:p w:rsidR="007D7140" w:rsidRDefault="00A207BA">
            <w:pPr>
              <w:jc w:val="center"/>
              <w:rPr>
                <w:lang w:val="hu-HU"/>
              </w:rPr>
            </w:pPr>
            <w:r>
              <w:rPr>
                <w:lang w:val="hu-HU"/>
              </w:rPr>
              <w:t>1866 (100,0)</w:t>
            </w:r>
          </w:p>
        </w:tc>
        <w:tc>
          <w:tcPr>
            <w:tcW w:w="2410" w:type="dxa"/>
          </w:tcPr>
          <w:p w:rsidR="007D7140" w:rsidRDefault="00A207BA">
            <w:pPr>
              <w:jc w:val="center"/>
              <w:rPr>
                <w:lang w:val="hu-HU"/>
              </w:rPr>
            </w:pPr>
            <w:r>
              <w:rPr>
                <w:lang w:val="hu-HU"/>
              </w:rPr>
              <w:t>1825 (100,0)</w:t>
            </w:r>
          </w:p>
        </w:tc>
        <w:tc>
          <w:tcPr>
            <w:tcW w:w="1559" w:type="dxa"/>
          </w:tcPr>
          <w:p w:rsidR="007D7140" w:rsidRDefault="00A207BA">
            <w:pPr>
              <w:jc w:val="center"/>
              <w:rPr>
                <w:lang w:val="hu-HU"/>
              </w:rPr>
            </w:pPr>
            <w:r>
              <w:rPr>
                <w:lang w:val="hu-HU"/>
              </w:rPr>
              <w:t>1848 (100,0)</w:t>
            </w:r>
          </w:p>
        </w:tc>
      </w:tr>
      <w:tr w:rsidR="007D7140">
        <w:trPr>
          <w:trHeight w:val="254"/>
        </w:trPr>
        <w:tc>
          <w:tcPr>
            <w:tcW w:w="2694" w:type="dxa"/>
          </w:tcPr>
          <w:p w:rsidR="007D7140" w:rsidRDefault="00A207BA">
            <w:pPr>
              <w:ind w:left="157"/>
              <w:rPr>
                <w:lang w:val="hu-HU"/>
              </w:rPr>
            </w:pPr>
            <w:r>
              <w:rPr>
                <w:lang w:val="hu-HU"/>
              </w:rPr>
              <w:t>Jelentős</w:t>
            </w:r>
            <w:r>
              <w:rPr>
                <w:spacing w:val="-5"/>
                <w:lang w:val="hu-HU"/>
              </w:rPr>
              <w:t xml:space="preserve"> </w:t>
            </w:r>
            <w:r>
              <w:rPr>
                <w:lang w:val="hu-HU"/>
              </w:rPr>
              <w:t>vérzés</w:t>
            </w:r>
          </w:p>
        </w:tc>
        <w:tc>
          <w:tcPr>
            <w:tcW w:w="2409" w:type="dxa"/>
          </w:tcPr>
          <w:p w:rsidR="007D7140" w:rsidRDefault="00A207BA">
            <w:pPr>
              <w:jc w:val="center"/>
              <w:rPr>
                <w:lang w:val="hu-HU"/>
              </w:rPr>
            </w:pPr>
            <w:r>
              <w:rPr>
                <w:lang w:val="hu-HU"/>
              </w:rPr>
              <w:t>24</w:t>
            </w:r>
            <w:r>
              <w:rPr>
                <w:spacing w:val="43"/>
                <w:lang w:val="hu-HU"/>
              </w:rPr>
              <w:t xml:space="preserve"> </w:t>
            </w:r>
            <w:r>
              <w:rPr>
                <w:lang w:val="hu-HU"/>
              </w:rPr>
              <w:t>(1,3)</w:t>
            </w:r>
          </w:p>
        </w:tc>
        <w:tc>
          <w:tcPr>
            <w:tcW w:w="2410" w:type="dxa"/>
          </w:tcPr>
          <w:p w:rsidR="007D7140" w:rsidRDefault="00A207BA">
            <w:pPr>
              <w:jc w:val="center"/>
              <w:rPr>
                <w:lang w:val="hu-HU"/>
              </w:rPr>
            </w:pPr>
            <w:r>
              <w:rPr>
                <w:lang w:val="hu-HU"/>
              </w:rPr>
              <w:t>33</w:t>
            </w:r>
            <w:r>
              <w:rPr>
                <w:spacing w:val="43"/>
                <w:lang w:val="hu-HU"/>
              </w:rPr>
              <w:t xml:space="preserve"> </w:t>
            </w:r>
            <w:r>
              <w:rPr>
                <w:lang w:val="hu-HU"/>
              </w:rPr>
              <w:t>(1,8)</w:t>
            </w:r>
          </w:p>
        </w:tc>
        <w:tc>
          <w:tcPr>
            <w:tcW w:w="1559" w:type="dxa"/>
          </w:tcPr>
          <w:p w:rsidR="007D7140" w:rsidRDefault="00A207BA">
            <w:pPr>
              <w:jc w:val="center"/>
              <w:rPr>
                <w:lang w:val="hu-HU"/>
              </w:rPr>
            </w:pPr>
            <w:r>
              <w:rPr>
                <w:lang w:val="hu-HU"/>
              </w:rPr>
              <w:t>27</w:t>
            </w:r>
            <w:r>
              <w:rPr>
                <w:spacing w:val="28"/>
                <w:lang w:val="hu-HU"/>
              </w:rPr>
              <w:t xml:space="preserve"> </w:t>
            </w:r>
            <w:r>
              <w:rPr>
                <w:lang w:val="hu-HU"/>
              </w:rPr>
              <w:t>(1,5)</w:t>
            </w:r>
          </w:p>
        </w:tc>
      </w:tr>
      <w:tr w:rsidR="007D7140">
        <w:trPr>
          <w:trHeight w:val="253"/>
        </w:trPr>
        <w:tc>
          <w:tcPr>
            <w:tcW w:w="2694" w:type="dxa"/>
          </w:tcPr>
          <w:p w:rsidR="007D7140" w:rsidRDefault="00A207BA">
            <w:pPr>
              <w:ind w:left="157"/>
              <w:rPr>
                <w:lang w:val="hu-HU"/>
              </w:rPr>
            </w:pPr>
            <w:r>
              <w:rPr>
                <w:lang w:val="hu-HU"/>
              </w:rPr>
              <w:t>Bármilyen</w:t>
            </w:r>
            <w:r>
              <w:rPr>
                <w:spacing w:val="-5"/>
                <w:lang w:val="hu-HU"/>
              </w:rPr>
              <w:t xml:space="preserve"> </w:t>
            </w:r>
            <w:r>
              <w:rPr>
                <w:lang w:val="hu-HU"/>
              </w:rPr>
              <w:t>vérzés</w:t>
            </w:r>
          </w:p>
        </w:tc>
        <w:tc>
          <w:tcPr>
            <w:tcW w:w="2409" w:type="dxa"/>
          </w:tcPr>
          <w:p w:rsidR="007D7140" w:rsidRDefault="00A207BA">
            <w:pPr>
              <w:jc w:val="center"/>
              <w:rPr>
                <w:lang w:val="hu-HU"/>
              </w:rPr>
            </w:pPr>
            <w:r>
              <w:rPr>
                <w:lang w:val="hu-HU"/>
              </w:rPr>
              <w:t>258 (13,8)</w:t>
            </w:r>
          </w:p>
        </w:tc>
        <w:tc>
          <w:tcPr>
            <w:tcW w:w="2410" w:type="dxa"/>
          </w:tcPr>
          <w:p w:rsidR="007D7140" w:rsidRDefault="00A207BA">
            <w:pPr>
              <w:jc w:val="center"/>
              <w:rPr>
                <w:lang w:val="hu-HU"/>
              </w:rPr>
            </w:pPr>
            <w:r>
              <w:rPr>
                <w:lang w:val="hu-HU"/>
              </w:rPr>
              <w:t>251 (13,8)</w:t>
            </w:r>
          </w:p>
        </w:tc>
        <w:tc>
          <w:tcPr>
            <w:tcW w:w="1559" w:type="dxa"/>
          </w:tcPr>
          <w:p w:rsidR="007D7140" w:rsidRDefault="00A207BA">
            <w:pPr>
              <w:jc w:val="center"/>
              <w:rPr>
                <w:lang w:val="hu-HU"/>
              </w:rPr>
            </w:pPr>
            <w:r>
              <w:rPr>
                <w:lang w:val="hu-HU"/>
              </w:rPr>
              <w:t>247 (13,4)</w:t>
            </w:r>
          </w:p>
        </w:tc>
      </w:tr>
    </w:tbl>
    <w:p w:rsidR="007D7140" w:rsidRDefault="007D7140">
      <w:pPr>
        <w:rPr>
          <w:lang w:val="hu-HU"/>
        </w:rPr>
      </w:pPr>
    </w:p>
    <w:p w:rsidR="007D7140" w:rsidRDefault="00A207BA">
      <w:pPr>
        <w:ind w:left="7"/>
        <w:rPr>
          <w:lang w:val="hu-HU"/>
        </w:rPr>
      </w:pPr>
      <w:r>
        <w:rPr>
          <w:i/>
          <w:lang w:val="hu-HU"/>
        </w:rPr>
        <w:t>A stroke és a szisztémás embolisatio prevenciója nem billentyű eredetű pitvarfibrillációban szenvedő, egy vagy több rizikótényezővel rendelkező felnőtt betegeknél</w:t>
      </w:r>
    </w:p>
    <w:p w:rsidR="007D7140" w:rsidRDefault="007D7140">
      <w:pPr>
        <w:ind w:left="7" w:right="9"/>
        <w:rPr>
          <w:lang w:val="hu-HU"/>
        </w:rPr>
      </w:pPr>
    </w:p>
    <w:p w:rsidR="007D7140" w:rsidRDefault="00A207BA">
      <w:pPr>
        <w:ind w:left="7" w:right="9"/>
        <w:rPr>
          <w:lang w:val="hu-HU"/>
        </w:rPr>
      </w:pPr>
      <w:r>
        <w:rPr>
          <w:lang w:val="hu-HU"/>
        </w:rPr>
        <w:t>A 14. táblázat a vérzéses eseményeket jelentős és bármilyen vérzésre lebontva mutatja a pitvarfibrilláló betegek thromboemboliás stroke és a szisztémás embolisatio prevencióját vizsgáló pivotális vizsgálatban.</w:t>
      </w:r>
    </w:p>
    <w:p w:rsidR="007D7140" w:rsidRDefault="007D7140">
      <w:pPr>
        <w:ind w:left="7" w:right="9"/>
        <w:rPr>
          <w:lang w:val="hu-HU"/>
        </w:rPr>
      </w:pPr>
    </w:p>
    <w:p w:rsidR="007D7140" w:rsidRDefault="00A207BA">
      <w:pPr>
        <w:ind w:left="1276" w:hanging="1276"/>
        <w:rPr>
          <w:b/>
          <w:bCs/>
          <w:lang w:val="hu-HU"/>
        </w:rPr>
      </w:pPr>
      <w:r>
        <w:rPr>
          <w:b/>
          <w:bCs/>
          <w:lang w:val="hu-HU"/>
        </w:rPr>
        <w:t>14. táblázat: Vérzéses események előfordulása a pitvarfibrilláló betegek thromboemboliás stroke és szisztémás embolisatio prevencióját vizsgáló vizsgálatban</w:t>
      </w:r>
    </w:p>
    <w:p w:rsidR="007D7140" w:rsidRDefault="007D7140">
      <w:pPr>
        <w:ind w:left="1270" w:hanging="1276"/>
        <w:rPr>
          <w:lang w:val="hu-HU"/>
        </w:rPr>
      </w:pPr>
    </w:p>
    <w:tbl>
      <w:tblPr>
        <w:tblStyle w:val="TableGrid"/>
        <w:tblW w:w="8916" w:type="dxa"/>
        <w:tblInd w:w="10" w:type="dxa"/>
        <w:tblCellMar>
          <w:top w:w="51" w:type="dxa"/>
          <w:left w:w="108" w:type="dxa"/>
          <w:right w:w="115" w:type="dxa"/>
        </w:tblCellMar>
        <w:tblLook w:val="04A0" w:firstRow="1" w:lastRow="0" w:firstColumn="1" w:lastColumn="0" w:noHBand="0" w:noVBand="1"/>
      </w:tblPr>
      <w:tblGrid>
        <w:gridCol w:w="2828"/>
        <w:gridCol w:w="2162"/>
        <w:gridCol w:w="2160"/>
        <w:gridCol w:w="1766"/>
      </w:tblGrid>
      <w:tr w:rsidR="007D7140">
        <w:trPr>
          <w:trHeight w:val="768"/>
        </w:trPr>
        <w:tc>
          <w:tcPr>
            <w:tcW w:w="282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Dabigatrán</w:t>
            </w:r>
            <w:r>
              <w:rPr>
                <w:lang w:val="hu-HU"/>
              </w:rPr>
              <w:noBreakHyphen/>
              <w:t xml:space="preserve">etexilát naponta kétszer </w:t>
            </w:r>
          </w:p>
          <w:p w:rsidR="007D7140" w:rsidRDefault="00A207BA">
            <w:pPr>
              <w:ind w:left="10"/>
              <w:jc w:val="center"/>
              <w:rPr>
                <w:lang w:val="hu-HU"/>
              </w:rPr>
            </w:pPr>
            <w:r>
              <w:rPr>
                <w:lang w:val="hu-HU"/>
              </w:rPr>
              <w:t>110 mg</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Dabigatrán</w:t>
            </w:r>
            <w:r>
              <w:rPr>
                <w:lang w:val="hu-HU"/>
              </w:rPr>
              <w:noBreakHyphen/>
              <w:t xml:space="preserve">etexilát naponta kétszer </w:t>
            </w:r>
          </w:p>
          <w:p w:rsidR="007D7140" w:rsidRDefault="00A207BA">
            <w:pPr>
              <w:ind w:left="7"/>
              <w:jc w:val="center"/>
              <w:rPr>
                <w:lang w:val="hu-HU"/>
              </w:rPr>
            </w:pPr>
            <w:r>
              <w:rPr>
                <w:lang w:val="hu-HU"/>
              </w:rPr>
              <w:t>150 mg</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ind w:left="10"/>
              <w:jc w:val="center"/>
              <w:rPr>
                <w:lang w:val="hu-HU"/>
              </w:rPr>
            </w:pPr>
            <w:r>
              <w:rPr>
                <w:lang w:val="hu-HU"/>
              </w:rPr>
              <w:t xml:space="preserve">Warfarin </w:t>
            </w:r>
          </w:p>
        </w:tc>
      </w:tr>
      <w:tr w:rsidR="007D7140">
        <w:trPr>
          <w:trHeight w:val="264"/>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Vizsgálati alanyok száma</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ind w:left="10"/>
              <w:jc w:val="center"/>
              <w:rPr>
                <w:lang w:val="hu-HU"/>
              </w:rPr>
            </w:pPr>
            <w:r>
              <w:rPr>
                <w:lang w:val="hu-HU"/>
              </w:rPr>
              <w:t>6015</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 xml:space="preserve">6076 </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ind w:left="14"/>
              <w:jc w:val="center"/>
              <w:rPr>
                <w:lang w:val="hu-HU"/>
              </w:rPr>
            </w:pPr>
            <w:r>
              <w:rPr>
                <w:lang w:val="hu-HU"/>
              </w:rPr>
              <w:t>6022</w:t>
            </w:r>
          </w:p>
        </w:tc>
      </w:tr>
      <w:tr w:rsidR="007D7140">
        <w:trPr>
          <w:trHeight w:val="283"/>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Jelentős vérzés </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tabs>
                <w:tab w:val="center" w:pos="427"/>
                <w:tab w:val="center" w:pos="1328"/>
              </w:tabs>
              <w:jc w:val="center"/>
              <w:rPr>
                <w:lang w:val="hu-HU"/>
              </w:rPr>
            </w:pPr>
            <w:r>
              <w:rPr>
                <w:lang w:val="hu-HU"/>
              </w:rPr>
              <w:t>347 (2,92%)</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tabs>
                <w:tab w:val="center" w:pos="425"/>
                <w:tab w:val="center" w:pos="1326"/>
              </w:tabs>
              <w:jc w:val="center"/>
              <w:rPr>
                <w:lang w:val="hu-HU"/>
              </w:rPr>
            </w:pPr>
            <w:r>
              <w:rPr>
                <w:lang w:val="hu-HU"/>
              </w:rPr>
              <w:t xml:space="preserve">409 </w:t>
            </w:r>
            <w:r>
              <w:rPr>
                <w:lang w:val="hu-HU"/>
              </w:rPr>
              <w:tab/>
              <w:t>(3,40%)</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tabs>
                <w:tab w:val="right" w:pos="1699"/>
              </w:tabs>
              <w:jc w:val="center"/>
              <w:rPr>
                <w:lang w:val="hu-HU"/>
              </w:rPr>
            </w:pPr>
            <w:r>
              <w:rPr>
                <w:lang w:val="hu-HU"/>
              </w:rPr>
              <w:t>426(3,61%)</w:t>
            </w:r>
          </w:p>
        </w:tc>
      </w:tr>
      <w:tr w:rsidR="007D7140">
        <w:trPr>
          <w:trHeight w:val="262"/>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ind w:left="283"/>
              <w:rPr>
                <w:lang w:val="hu-HU"/>
              </w:rPr>
            </w:pPr>
            <w:r>
              <w:rPr>
                <w:lang w:val="hu-HU"/>
              </w:rPr>
              <w:t>Intracranialis vérzés</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ind w:left="11"/>
              <w:jc w:val="center"/>
              <w:rPr>
                <w:lang w:val="hu-HU"/>
              </w:rPr>
            </w:pPr>
            <w:r>
              <w:rPr>
                <w:lang w:val="hu-HU"/>
              </w:rPr>
              <w:t>27 (0,23%)</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ind w:left="9"/>
              <w:jc w:val="center"/>
              <w:rPr>
                <w:lang w:val="hu-HU"/>
              </w:rPr>
            </w:pPr>
            <w:r>
              <w:rPr>
                <w:lang w:val="hu-HU"/>
              </w:rPr>
              <w:t>39 (0,32%)</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ind w:left="11"/>
              <w:jc w:val="center"/>
              <w:rPr>
                <w:lang w:val="hu-HU"/>
              </w:rPr>
            </w:pPr>
            <w:r>
              <w:rPr>
                <w:lang w:val="hu-HU"/>
              </w:rPr>
              <w:t>91(0,77%)</w:t>
            </w:r>
          </w:p>
        </w:tc>
      </w:tr>
      <w:tr w:rsidR="007D7140">
        <w:trPr>
          <w:trHeight w:val="264"/>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ind w:left="283"/>
              <w:rPr>
                <w:lang w:val="hu-HU"/>
              </w:rPr>
            </w:pPr>
            <w:r>
              <w:rPr>
                <w:lang w:val="hu-HU"/>
              </w:rPr>
              <w:t>Gastrointestinalis (GI) vérzés</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ind w:left="11"/>
              <w:jc w:val="center"/>
              <w:rPr>
                <w:lang w:val="hu-HU"/>
              </w:rPr>
            </w:pPr>
            <w:r>
              <w:rPr>
                <w:lang w:val="hu-HU"/>
              </w:rPr>
              <w:t>134 (1,13%)</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ind w:left="9"/>
              <w:jc w:val="center"/>
              <w:rPr>
                <w:lang w:val="hu-HU"/>
              </w:rPr>
            </w:pPr>
            <w:r>
              <w:rPr>
                <w:lang w:val="hu-HU"/>
              </w:rPr>
              <w:t>192 (1,60%)</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tabs>
                <w:tab w:val="right" w:pos="1699"/>
              </w:tabs>
              <w:jc w:val="center"/>
              <w:rPr>
                <w:lang w:val="hu-HU"/>
              </w:rPr>
            </w:pPr>
            <w:r>
              <w:rPr>
                <w:lang w:val="hu-HU"/>
              </w:rPr>
              <w:t>128 (1,09%)</w:t>
            </w:r>
          </w:p>
        </w:tc>
      </w:tr>
      <w:tr w:rsidR="007D7140">
        <w:trPr>
          <w:trHeight w:val="262"/>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ind w:left="283"/>
              <w:rPr>
                <w:lang w:val="hu-HU"/>
              </w:rPr>
            </w:pPr>
            <w:r>
              <w:rPr>
                <w:lang w:val="hu-HU"/>
              </w:rPr>
              <w:t>Fatális vérzés</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ind w:left="11"/>
              <w:jc w:val="center"/>
              <w:rPr>
                <w:lang w:val="hu-HU"/>
              </w:rPr>
            </w:pPr>
            <w:r>
              <w:rPr>
                <w:lang w:val="hu-HU"/>
              </w:rPr>
              <w:t>26 (0,22%)</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ind w:left="9"/>
              <w:jc w:val="center"/>
              <w:rPr>
                <w:lang w:val="hu-HU"/>
              </w:rPr>
            </w:pPr>
            <w:r>
              <w:rPr>
                <w:lang w:val="hu-HU"/>
              </w:rPr>
              <w:t>30 (0,25%)</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tabs>
                <w:tab w:val="right" w:pos="1699"/>
              </w:tabs>
              <w:jc w:val="center"/>
              <w:rPr>
                <w:lang w:val="hu-HU"/>
              </w:rPr>
            </w:pPr>
            <w:r>
              <w:rPr>
                <w:lang w:val="hu-HU"/>
              </w:rPr>
              <w:t>42 (0,36%)</w:t>
            </w:r>
          </w:p>
        </w:tc>
      </w:tr>
      <w:tr w:rsidR="007D7140">
        <w:trPr>
          <w:trHeight w:val="264"/>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Kisebb vérzés</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ind w:left="9"/>
              <w:jc w:val="center"/>
              <w:rPr>
                <w:lang w:val="hu-HU"/>
              </w:rPr>
            </w:pPr>
            <w:r>
              <w:rPr>
                <w:lang w:val="hu-HU"/>
              </w:rPr>
              <w:t>1566 (13,16%)</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1787 (14,85%)</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tabs>
                <w:tab w:val="right" w:pos="1699"/>
              </w:tabs>
              <w:jc w:val="center"/>
              <w:rPr>
                <w:lang w:val="hu-HU"/>
              </w:rPr>
            </w:pPr>
            <w:r>
              <w:rPr>
                <w:lang w:val="hu-HU"/>
              </w:rPr>
              <w:t>1931 (16,37%)</w:t>
            </w:r>
          </w:p>
        </w:tc>
      </w:tr>
      <w:tr w:rsidR="007D7140">
        <w:trPr>
          <w:trHeight w:val="264"/>
        </w:trPr>
        <w:tc>
          <w:tcPr>
            <w:tcW w:w="282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Bármilyen vérzés</w:t>
            </w:r>
          </w:p>
        </w:tc>
        <w:tc>
          <w:tcPr>
            <w:tcW w:w="2162" w:type="dxa"/>
            <w:tcBorders>
              <w:top w:val="single" w:sz="4" w:space="0" w:color="000000"/>
              <w:left w:val="single" w:sz="4" w:space="0" w:color="000000"/>
              <w:bottom w:val="single" w:sz="4" w:space="0" w:color="000000"/>
              <w:right w:val="single" w:sz="4" w:space="0" w:color="000000"/>
            </w:tcBorders>
          </w:tcPr>
          <w:p w:rsidR="007D7140" w:rsidRDefault="00A207BA">
            <w:pPr>
              <w:ind w:left="10"/>
              <w:jc w:val="center"/>
              <w:rPr>
                <w:lang w:val="hu-HU"/>
              </w:rPr>
            </w:pPr>
            <w:r>
              <w:rPr>
                <w:lang w:val="hu-HU"/>
              </w:rPr>
              <w:t xml:space="preserve">1759 (14,78%) </w:t>
            </w:r>
          </w:p>
        </w:tc>
        <w:tc>
          <w:tcPr>
            <w:tcW w:w="2160"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1997 (16,60%)</w:t>
            </w:r>
          </w:p>
        </w:tc>
        <w:tc>
          <w:tcPr>
            <w:tcW w:w="1766" w:type="dxa"/>
            <w:tcBorders>
              <w:top w:val="single" w:sz="4" w:space="0" w:color="000000"/>
              <w:left w:val="single" w:sz="4" w:space="0" w:color="000000"/>
              <w:bottom w:val="single" w:sz="4" w:space="0" w:color="000000"/>
              <w:right w:val="single" w:sz="4" w:space="0" w:color="000000"/>
            </w:tcBorders>
          </w:tcPr>
          <w:p w:rsidR="007D7140" w:rsidRDefault="00A207BA">
            <w:pPr>
              <w:tabs>
                <w:tab w:val="right" w:pos="1699"/>
              </w:tabs>
              <w:jc w:val="center"/>
              <w:rPr>
                <w:lang w:val="hu-HU"/>
              </w:rPr>
            </w:pPr>
            <w:r>
              <w:rPr>
                <w:lang w:val="hu-HU"/>
              </w:rPr>
              <w:t>2169 (18,39%)</w:t>
            </w:r>
          </w:p>
        </w:tc>
      </w:tr>
    </w:tbl>
    <w:p w:rsidR="007D7140" w:rsidRDefault="007D7140">
      <w:pPr>
        <w:ind w:left="7" w:right="222"/>
        <w:rPr>
          <w:lang w:val="hu-HU"/>
        </w:rPr>
      </w:pPr>
    </w:p>
    <w:p w:rsidR="007D7140" w:rsidRDefault="00A207BA">
      <w:pPr>
        <w:ind w:left="7" w:right="-2"/>
        <w:rPr>
          <w:lang w:val="hu-HU"/>
        </w:rPr>
      </w:pPr>
      <w:r>
        <w:rPr>
          <w:lang w:val="hu-HU"/>
        </w:rPr>
        <w:t>A napi kétszer 110 mg vagy 150 mg dabigatrán</w:t>
      </w:r>
      <w:r>
        <w:rPr>
          <w:lang w:val="hu-HU"/>
        </w:rPr>
        <w:noBreakHyphen/>
        <w:t>etexilátra randomizált betegeknél szignifikánsan alacsonyabb volt az életveszélyes vérzések és intracranialis vérzés kockázata, mint a warfarin esetében [p &lt; 0,05]. A dabigatrán</w:t>
      </w:r>
      <w:r>
        <w:rPr>
          <w:lang w:val="hu-HU"/>
        </w:rPr>
        <w:noBreakHyphen/>
        <w:t>etexilát mindkét dóziserőssége esetében statisztikailag szignifikáns mértékben kisebb volt az összes vérzés aránya is. A napi kétszer 110 mg dabigatrán</w:t>
      </w:r>
      <w:r>
        <w:rPr>
          <w:lang w:val="hu-HU"/>
        </w:rPr>
        <w:noBreakHyphen/>
        <w:t>etexilátra randomizált alanyoknál szignifikánsan alacsonyabb volt a jelentős vérzés kockázata, mint a warfarin esetében (relatív hazárd [hazard ratio] 0,81 [p = 0,0027]). A napi kétszer 150 mg dabigatrán</w:t>
      </w:r>
      <w:r>
        <w:rPr>
          <w:lang w:val="hu-HU"/>
        </w:rPr>
        <w:noBreakHyphen/>
        <w:t>etexilátra randomizált alanyoknál szignifikánsan magasabb volt a jelentős gastrointestinalis vérzések kockázata, mint a warfarin esetében (relatív hazárd 1,48 [p = 0,0005]). Ezt a hatást elsősorban a 75 éves, vagy annál idősebb betegeknél észlelték.</w:t>
      </w:r>
    </w:p>
    <w:p w:rsidR="007D7140" w:rsidRDefault="00A207BA">
      <w:pPr>
        <w:ind w:left="7" w:right="-2"/>
        <w:rPr>
          <w:lang w:val="hu-HU"/>
        </w:rPr>
      </w:pPr>
      <w:r>
        <w:rPr>
          <w:lang w:val="hu-HU"/>
        </w:rPr>
        <w:t>A dabigatrán klinikai haszna a stroke és a szisztémás embolisatio prevenciója vonatkozásában, valamint az intracerebralis vérzés (intracerebral hemorrhage, ICH) kisebb kockázata a warfarinnal összehasonlítva megmarad az egyes alcsoportok esetén is, pl. károsodott veseműködés, életkor, egyidejűleg alkalmazott gyógyszer pl. thrombocytaaggregáció</w:t>
      </w:r>
      <w:r>
        <w:rPr>
          <w:lang w:val="hu-HU"/>
        </w:rPr>
        <w:noBreakHyphen/>
        <w:t>gátlókkal vagy P</w:t>
      </w:r>
      <w:r>
        <w:rPr>
          <w:lang w:val="hu-HU"/>
        </w:rPr>
        <w:noBreakHyphen/>
        <w:t>gp</w:t>
      </w:r>
      <w:r>
        <w:rPr>
          <w:lang w:val="hu-HU"/>
        </w:rPr>
        <w:noBreakHyphen/>
        <w:t>inhibitorokkal. Míg bizonyos betegcsoportokban fokozott a jelentős vérzés kockázata az antikoaguláns</w:t>
      </w:r>
      <w:r>
        <w:rPr>
          <w:lang w:val="hu-HU"/>
        </w:rPr>
        <w:noBreakHyphen/>
        <w:t>kezelés esetén, a dabigatrán esetében a nagyobb vérzésveszélyt döntően a GI vérzés jelenti, ami jellemzően a dabigatrán</w:t>
      </w:r>
      <w:r>
        <w:rPr>
          <w:lang w:val="hu-HU"/>
        </w:rPr>
        <w:noBreakHyphen/>
        <w:t>etexilát</w:t>
      </w:r>
      <w:r>
        <w:rPr>
          <w:lang w:val="hu-HU"/>
        </w:rPr>
        <w:noBreakHyphen/>
        <w:t>kezelés elkezdését követő első 3</w:t>
      </w:r>
      <w:r>
        <w:rPr>
          <w:lang w:val="hu-HU"/>
        </w:rPr>
        <w:noBreakHyphen/>
        <w:t>6 hónapon belül észlelhető.</w:t>
      </w:r>
    </w:p>
    <w:p w:rsidR="007D7140" w:rsidRDefault="007D7140">
      <w:pPr>
        <w:ind w:left="7"/>
        <w:rPr>
          <w:lang w:val="hu-HU"/>
        </w:rPr>
      </w:pPr>
    </w:p>
    <w:p w:rsidR="007D7140" w:rsidRDefault="00A207BA">
      <w:pPr>
        <w:ind w:left="7"/>
        <w:rPr>
          <w:lang w:val="hu-HU"/>
        </w:rPr>
      </w:pPr>
      <w:r>
        <w:rPr>
          <w:i/>
          <w:lang w:val="hu-HU"/>
        </w:rPr>
        <w:t>MVT és PE kezelése, és az MVT és PE kiújulásának megelőzése felnőtt betegeknél (MVT/PE kezelés)</w:t>
      </w:r>
    </w:p>
    <w:p w:rsidR="007D7140" w:rsidRDefault="007D7140">
      <w:pPr>
        <w:ind w:left="7" w:right="9"/>
        <w:rPr>
          <w:lang w:val="hu-HU"/>
        </w:rPr>
      </w:pPr>
    </w:p>
    <w:p w:rsidR="007D7140" w:rsidRDefault="00A207BA" w:rsidP="00527548">
      <w:pPr>
        <w:widowControl/>
        <w:ind w:left="6" w:right="11"/>
        <w:rPr>
          <w:lang w:val="hu-HU"/>
        </w:rPr>
      </w:pPr>
      <w:r>
        <w:rPr>
          <w:lang w:val="hu-HU"/>
        </w:rPr>
        <w:t>A 15. táblázat a RE</w:t>
      </w:r>
      <w:r>
        <w:rPr>
          <w:lang w:val="hu-HU"/>
        </w:rPr>
        <w:noBreakHyphen/>
        <w:t>COVER és RE</w:t>
      </w:r>
      <w:r>
        <w:rPr>
          <w:lang w:val="hu-HU"/>
        </w:rPr>
        <w:noBreakHyphen/>
        <w:t xml:space="preserve">COVER II összesített pivotális vizsgálatokban észlelt vérzéses eseményeket mutatja a mélyvénás thrombosis (MVT) és pulmonalis embolia (PE) kezelése során. Az összesített vizsgálatokban az elsődleges biztonságossági végpontok, mint a jelentős (major) vérzés, </w:t>
      </w:r>
      <w:r>
        <w:rPr>
          <w:lang w:val="hu-HU"/>
        </w:rPr>
        <w:lastRenderedPageBreak/>
        <w:t>major vagy klinikailag releváns vérzéses esemény és bármilyen vérzés szignifikánsan alacsonyabb gyakorisággal fordultak elő, mint a warfarin esetében (névleges alfa</w:t>
      </w:r>
      <w:r>
        <w:rPr>
          <w:lang w:val="hu-HU"/>
        </w:rPr>
        <w:noBreakHyphen/>
        <w:t>érték 5%).</w:t>
      </w:r>
    </w:p>
    <w:p w:rsidR="007D7140" w:rsidRDefault="007D7140">
      <w:pPr>
        <w:ind w:left="7" w:right="9"/>
        <w:rPr>
          <w:lang w:val="hu-HU"/>
        </w:rPr>
      </w:pPr>
    </w:p>
    <w:p w:rsidR="007D7140" w:rsidRDefault="00A207BA">
      <w:pPr>
        <w:keepNext/>
        <w:widowControl/>
        <w:ind w:left="1134" w:hanging="1134"/>
        <w:rPr>
          <w:b/>
          <w:bCs/>
          <w:lang w:val="hu-HU"/>
        </w:rPr>
      </w:pPr>
      <w:r>
        <w:rPr>
          <w:b/>
          <w:bCs/>
          <w:lang w:val="hu-HU"/>
        </w:rPr>
        <w:t>15. táblázat: A RE-COVER és RE-COVER II vizsgálatokban az MVT és PE kezelése során észlelt vérzéses események.</w:t>
      </w:r>
    </w:p>
    <w:p w:rsidR="007D7140" w:rsidRDefault="007D7140">
      <w:pPr>
        <w:keepNext/>
        <w:widowControl/>
        <w:rPr>
          <w:lang w:val="hu-HU"/>
        </w:rPr>
      </w:pPr>
    </w:p>
    <w:tbl>
      <w:tblPr>
        <w:tblStyle w:val="TableGrid"/>
        <w:tblW w:w="9214" w:type="dxa"/>
        <w:tblInd w:w="-60" w:type="dxa"/>
        <w:tblCellMar>
          <w:top w:w="51" w:type="dxa"/>
          <w:left w:w="108" w:type="dxa"/>
          <w:right w:w="69" w:type="dxa"/>
        </w:tblCellMar>
        <w:tblLook w:val="04A0" w:firstRow="1" w:lastRow="0" w:firstColumn="1" w:lastColumn="0" w:noHBand="0" w:noVBand="1"/>
      </w:tblPr>
      <w:tblGrid>
        <w:gridCol w:w="2813"/>
        <w:gridCol w:w="2242"/>
        <w:gridCol w:w="2033"/>
        <w:gridCol w:w="2126"/>
      </w:tblGrid>
      <w:tr w:rsidR="007D7140">
        <w:trPr>
          <w:trHeight w:val="885"/>
        </w:trPr>
        <w:tc>
          <w:tcPr>
            <w:tcW w:w="2813" w:type="dxa"/>
            <w:tcBorders>
              <w:top w:val="single" w:sz="4" w:space="0" w:color="000000"/>
              <w:left w:val="single" w:sz="4" w:space="0" w:color="000000"/>
              <w:bottom w:val="single" w:sz="4" w:space="0" w:color="000000"/>
              <w:right w:val="single" w:sz="4" w:space="0" w:color="000000"/>
            </w:tcBorders>
          </w:tcPr>
          <w:p w:rsidR="007D7140" w:rsidRDefault="007D7140">
            <w:pPr>
              <w:keepNext/>
              <w:widowControl/>
              <w:rPr>
                <w:lang w:val="hu-HU"/>
              </w:rPr>
            </w:pP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jc w:val="center"/>
              <w:rPr>
                <w:lang w:val="hu-HU"/>
              </w:rPr>
            </w:pPr>
            <w:r>
              <w:rPr>
                <w:lang w:val="hu-HU"/>
              </w:rPr>
              <w:t>Dabigatrán</w:t>
            </w:r>
            <w:r>
              <w:rPr>
                <w:lang w:val="hu-HU"/>
              </w:rPr>
              <w:noBreakHyphen/>
              <w:t>etexilát naponta kétszer 150 mg</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right="41"/>
              <w:jc w:val="center"/>
              <w:rPr>
                <w:lang w:val="hu-HU"/>
              </w:rPr>
            </w:pPr>
            <w:r>
              <w:rPr>
                <w:lang w:val="hu-HU"/>
              </w:rPr>
              <w:t xml:space="preserve">Warfarin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right="41"/>
              <w:jc w:val="center"/>
              <w:rPr>
                <w:lang w:val="hu-HU"/>
              </w:rPr>
            </w:pPr>
            <w:r>
              <w:rPr>
                <w:lang w:val="hu-HU"/>
              </w:rPr>
              <w:t>Relatív hazárd a warfarinhoz képest (95%</w:t>
            </w:r>
            <w:r>
              <w:rPr>
                <w:lang w:val="hu-HU"/>
              </w:rPr>
              <w:noBreakHyphen/>
              <w:t>os konfidencia intervallum)</w:t>
            </w:r>
          </w:p>
        </w:tc>
      </w:tr>
      <w:tr w:rsidR="007D7140">
        <w:trPr>
          <w:trHeight w:val="514"/>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A biztonságossági elemzésbe bevont betegek száma </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 xml:space="preserve">2456 </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41"/>
              <w:jc w:val="center"/>
              <w:rPr>
                <w:lang w:val="hu-HU"/>
              </w:rPr>
            </w:pPr>
            <w:r>
              <w:rPr>
                <w:lang w:val="hu-HU"/>
              </w:rPr>
              <w:t xml:space="preserve">2462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Major vérzéses esemény </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24 (1,0%)</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40 (1,6%)</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0,60 (0,36, 0,99)</w:t>
            </w:r>
          </w:p>
        </w:tc>
      </w:tr>
      <w:tr w:rsidR="007D7140">
        <w:trPr>
          <w:trHeight w:val="264"/>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Intracranialis vérzés</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2 (0,1%)</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4 (0,2%)</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0,50 (0,09, 2,74)</w:t>
            </w:r>
          </w:p>
        </w:tc>
      </w:tr>
      <w:tr w:rsidR="007D7140">
        <w:trPr>
          <w:trHeight w:val="262"/>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Major GI vérzés</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10 (0,4%)</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12 (0,5%)</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0,83 (0,36, 1,93)</w:t>
            </w: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Életet veszélyeztető vérzés</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4 (0,2 %)</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6 (0,2%)</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0,66 (0,19, 2,36)</w:t>
            </w: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Major vérzéses esemény /klinikailag releváns vérzés </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109 (4,4%)</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189 (7,7%)</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0,56 (0,45, 0,71)</w:t>
            </w:r>
          </w:p>
        </w:tc>
      </w:tr>
      <w:tr w:rsidR="007D7140">
        <w:trPr>
          <w:trHeight w:val="264"/>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Bármilyen vérzés </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354 (14,4%)</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503 (20,4%)</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0,67 (0,59, 0,77)</w:t>
            </w:r>
          </w:p>
        </w:tc>
      </w:tr>
      <w:tr w:rsidR="007D7140">
        <w:trPr>
          <w:trHeight w:val="262"/>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652"/>
              <w:rPr>
                <w:lang w:val="hu-HU"/>
              </w:rPr>
            </w:pPr>
            <w:r>
              <w:rPr>
                <w:lang w:val="hu-HU"/>
              </w:rPr>
              <w:t xml:space="preserve">Bármilyen GI vérzés </w:t>
            </w:r>
          </w:p>
        </w:tc>
        <w:tc>
          <w:tcPr>
            <w:tcW w:w="2242"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70 (2,9%)</w:t>
            </w:r>
          </w:p>
        </w:tc>
        <w:tc>
          <w:tcPr>
            <w:tcW w:w="2033" w:type="dxa"/>
            <w:tcBorders>
              <w:top w:val="single" w:sz="4" w:space="0" w:color="000000"/>
              <w:left w:val="single" w:sz="4" w:space="0" w:color="000000"/>
              <w:bottom w:val="single" w:sz="4" w:space="0" w:color="000000"/>
              <w:right w:val="single" w:sz="4" w:space="0" w:color="000000"/>
            </w:tcBorders>
          </w:tcPr>
          <w:p w:rsidR="007D7140" w:rsidRDefault="00A207BA">
            <w:pPr>
              <w:ind w:right="37"/>
              <w:jc w:val="center"/>
              <w:rPr>
                <w:lang w:val="hu-HU"/>
              </w:rPr>
            </w:pPr>
            <w:r>
              <w:rPr>
                <w:lang w:val="hu-HU"/>
              </w:rPr>
              <w:t>55 (2,2%)</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39"/>
              <w:jc w:val="center"/>
              <w:rPr>
                <w:lang w:val="hu-HU"/>
              </w:rPr>
            </w:pPr>
            <w:r>
              <w:rPr>
                <w:lang w:val="hu-HU"/>
              </w:rPr>
              <w:t>1,27 (0,90, 1,82)</w:t>
            </w:r>
          </w:p>
        </w:tc>
      </w:tr>
    </w:tbl>
    <w:p w:rsidR="007D7140" w:rsidRDefault="007D7140">
      <w:pPr>
        <w:ind w:left="7" w:right="9"/>
        <w:rPr>
          <w:lang w:val="hu-HU"/>
        </w:rPr>
      </w:pPr>
    </w:p>
    <w:p w:rsidR="007D7140" w:rsidRDefault="00A207BA">
      <w:pPr>
        <w:ind w:left="7" w:right="9"/>
        <w:rPr>
          <w:lang w:val="hu-HU"/>
        </w:rPr>
      </w:pPr>
      <w:r>
        <w:rPr>
          <w:lang w:val="hu-HU"/>
        </w:rPr>
        <w:t xml:space="preserve">A vérzéses eseményeket mindkét kezelés esetében a parenterális kezelés leállítását követően, a dabigatrán-etexilát, illetve a warfarin első bevételétől számolták (csak </w:t>
      </w:r>
      <w:r>
        <w:rPr>
          <w:i/>
          <w:lang w:val="hu-HU"/>
        </w:rPr>
        <w:t>per os</w:t>
      </w:r>
      <w:r>
        <w:rPr>
          <w:lang w:val="hu-HU"/>
        </w:rPr>
        <w:t xml:space="preserve"> kezelési periódus). Ide tartozik minden, a dabigatrán-etexilát-kezelés alatt előforduló vérzéses esemény. A warfarin-kezelés alatt előforduló minden vérzéses esemény bekerült az összesítésbe, kivéve azokat, amelyek a warfarin és parenterális kezelés átfedő periódusában jelentkeztek.</w:t>
      </w:r>
    </w:p>
    <w:p w:rsidR="007D7140" w:rsidRDefault="007D7140">
      <w:pPr>
        <w:ind w:left="7" w:right="9"/>
        <w:rPr>
          <w:lang w:val="hu-HU"/>
        </w:rPr>
      </w:pPr>
    </w:p>
    <w:p w:rsidR="007D7140" w:rsidRDefault="00A207BA">
      <w:pPr>
        <w:ind w:left="7" w:right="9"/>
        <w:rPr>
          <w:lang w:val="hu-HU"/>
        </w:rPr>
      </w:pPr>
      <w:r>
        <w:rPr>
          <w:lang w:val="hu-HU"/>
        </w:rPr>
        <w:t>A 16. táblázat a mélyvénás thrombosis (MVT) és pulmonalis embolia (PE) prevencióját vizsgáló, pivotális RE-MEDY vizsgálatban észlelt vérzéses eseményeket mutatja. A vérzéses események (mint a major vérzés, major vagy klinikailag releváns vérzéses esemény és bármilyen vérzés) szignifikánsan alacsonyabb gyakorisággal fordultak elő a dabigatrán-etexilát-kezelés mellett, mint a warfarin esetében (névleges alfa</w:t>
      </w:r>
      <w:r>
        <w:rPr>
          <w:lang w:val="hu-HU"/>
        </w:rPr>
        <w:noBreakHyphen/>
        <w:t>érték 5%).</w:t>
      </w:r>
    </w:p>
    <w:p w:rsidR="007D7140" w:rsidRDefault="007D7140">
      <w:pPr>
        <w:ind w:left="7" w:right="9"/>
        <w:rPr>
          <w:lang w:val="hu-HU"/>
        </w:rPr>
      </w:pPr>
    </w:p>
    <w:p w:rsidR="007D7140" w:rsidRDefault="00A207BA">
      <w:pPr>
        <w:keepNext/>
        <w:tabs>
          <w:tab w:val="center" w:pos="5149"/>
        </w:tabs>
        <w:ind w:left="1276" w:hanging="1276"/>
        <w:rPr>
          <w:b/>
          <w:bCs/>
          <w:lang w:val="hu-HU"/>
        </w:rPr>
      </w:pPr>
      <w:r>
        <w:rPr>
          <w:b/>
          <w:bCs/>
          <w:lang w:val="hu-HU"/>
        </w:rPr>
        <w:t>16. táblázat: A mélyvénás thrombosis (MVT) és pulmonalis embolia (PE) prevencióját értékelő RE-MEDY vizsgálatban észlelt vérzéses események.</w:t>
      </w:r>
    </w:p>
    <w:p w:rsidR="007D7140" w:rsidRDefault="007D7140">
      <w:pPr>
        <w:keepNext/>
        <w:tabs>
          <w:tab w:val="center" w:pos="5149"/>
        </w:tabs>
        <w:ind w:left="-6"/>
        <w:rPr>
          <w:lang w:val="hu-HU"/>
        </w:rPr>
      </w:pPr>
    </w:p>
    <w:tbl>
      <w:tblPr>
        <w:tblStyle w:val="TableGrid"/>
        <w:tblW w:w="9060" w:type="dxa"/>
        <w:tblInd w:w="17" w:type="dxa"/>
        <w:tblCellMar>
          <w:top w:w="51" w:type="dxa"/>
          <w:left w:w="108" w:type="dxa"/>
          <w:right w:w="88" w:type="dxa"/>
        </w:tblCellMar>
        <w:tblLook w:val="04A0" w:firstRow="1" w:lastRow="0" w:firstColumn="1" w:lastColumn="0" w:noHBand="0" w:noVBand="1"/>
      </w:tblPr>
      <w:tblGrid>
        <w:gridCol w:w="2815"/>
        <w:gridCol w:w="2201"/>
        <w:gridCol w:w="1483"/>
        <w:gridCol w:w="2561"/>
      </w:tblGrid>
      <w:tr w:rsidR="007D7140">
        <w:trPr>
          <w:trHeight w:val="1079"/>
        </w:trPr>
        <w:tc>
          <w:tcPr>
            <w:tcW w:w="2815"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9"/>
              <w:jc w:val="center"/>
              <w:rPr>
                <w:lang w:val="hu-HU"/>
              </w:rPr>
            </w:pPr>
            <w:r>
              <w:rPr>
                <w:lang w:val="hu-HU"/>
              </w:rPr>
              <w:t>Dabigatrán</w:t>
            </w:r>
            <w:r>
              <w:rPr>
                <w:lang w:val="hu-HU"/>
              </w:rPr>
              <w:noBreakHyphen/>
              <w:t xml:space="preserve">etexilát </w:t>
            </w:r>
          </w:p>
          <w:p w:rsidR="007D7140" w:rsidRDefault="00A207BA">
            <w:pPr>
              <w:ind w:right="22"/>
              <w:jc w:val="center"/>
              <w:rPr>
                <w:lang w:val="hu-HU"/>
              </w:rPr>
            </w:pPr>
            <w:r>
              <w:rPr>
                <w:lang w:val="hu-HU"/>
              </w:rPr>
              <w:t xml:space="preserve">150 mg naponta </w:t>
            </w:r>
          </w:p>
          <w:p w:rsidR="007D7140" w:rsidRDefault="00A207BA">
            <w:pPr>
              <w:ind w:right="22"/>
              <w:jc w:val="center"/>
              <w:rPr>
                <w:lang w:val="hu-HU"/>
              </w:rPr>
            </w:pPr>
            <w:r>
              <w:rPr>
                <w:lang w:val="hu-HU"/>
              </w:rPr>
              <w:t xml:space="preserve">kétszer </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19"/>
              <w:jc w:val="center"/>
              <w:rPr>
                <w:lang w:val="hu-HU"/>
              </w:rPr>
            </w:pPr>
            <w:r>
              <w:rPr>
                <w:lang w:val="hu-HU"/>
              </w:rPr>
              <w:t>Warfarin</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right="19"/>
              <w:jc w:val="center"/>
              <w:rPr>
                <w:lang w:val="hu-HU"/>
              </w:rPr>
            </w:pPr>
            <w:r>
              <w:rPr>
                <w:lang w:val="hu-HU"/>
              </w:rPr>
              <w:t xml:space="preserve">Relatív hazárd </w:t>
            </w:r>
          </w:p>
          <w:p w:rsidR="007D7140" w:rsidRDefault="00A207BA">
            <w:pPr>
              <w:ind w:left="23"/>
              <w:jc w:val="center"/>
              <w:rPr>
                <w:lang w:val="hu-HU"/>
              </w:rPr>
            </w:pPr>
            <w:r>
              <w:rPr>
                <w:lang w:val="hu-HU"/>
              </w:rPr>
              <w:t xml:space="preserve">a warfarinhoz képest </w:t>
            </w:r>
          </w:p>
          <w:p w:rsidR="007D7140" w:rsidRDefault="00A207BA">
            <w:pPr>
              <w:ind w:firstLine="14"/>
              <w:jc w:val="center"/>
              <w:rPr>
                <w:lang w:val="hu-HU"/>
              </w:rPr>
            </w:pPr>
            <w:r>
              <w:rPr>
                <w:lang w:val="hu-HU"/>
              </w:rPr>
              <w:t>(95%</w:t>
            </w:r>
            <w:r>
              <w:rPr>
                <w:lang w:val="hu-HU"/>
              </w:rPr>
              <w:noBreakHyphen/>
              <w:t>os konfidencia intervallum)</w:t>
            </w:r>
          </w:p>
        </w:tc>
      </w:tr>
      <w:tr w:rsidR="007D7140">
        <w:trPr>
          <w:trHeight w:val="264"/>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Kezelt betegek</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22"/>
              <w:jc w:val="center"/>
              <w:rPr>
                <w:lang w:val="hu-HU"/>
              </w:rPr>
            </w:pPr>
            <w:r>
              <w:rPr>
                <w:lang w:val="hu-HU"/>
              </w:rPr>
              <w:t xml:space="preserve">1430 </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 xml:space="preserve">1426 </w:t>
            </w:r>
          </w:p>
        </w:tc>
        <w:tc>
          <w:tcPr>
            <w:tcW w:w="256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Major vérzéses esemény</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13 (0,9%)</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25 (1,8%)</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0,54 (0,25, 1,16)</w:t>
            </w:r>
          </w:p>
        </w:tc>
      </w:tr>
      <w:tr w:rsidR="007D7140">
        <w:trPr>
          <w:trHeight w:val="262"/>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Intracranialis vérzés</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2 (0,1%)</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4 (0,3%)</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left="36"/>
              <w:rPr>
                <w:lang w:val="hu-HU"/>
              </w:rPr>
            </w:pPr>
            <w:r>
              <w:rPr>
                <w:lang w:val="hu-HU"/>
              </w:rPr>
              <w:t>Nem számítható *</w:t>
            </w:r>
          </w:p>
        </w:tc>
      </w:tr>
      <w:tr w:rsidR="007D7140">
        <w:trPr>
          <w:trHeight w:val="264"/>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Major GI vérzés</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4 (0,3%)</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8 (0,5%)</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left="34"/>
              <w:rPr>
                <w:lang w:val="hu-HU"/>
              </w:rPr>
            </w:pPr>
            <w:r>
              <w:rPr>
                <w:lang w:val="hu-HU"/>
              </w:rPr>
              <w:t xml:space="preserve">Nem számítható * </w:t>
            </w:r>
          </w:p>
        </w:tc>
      </w:tr>
      <w:tr w:rsidR="007D7140">
        <w:trPr>
          <w:trHeight w:val="516"/>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Életet veszélyeztető vérzés</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1 (0,1%)</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3 (0,2%)</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left="36"/>
              <w:rPr>
                <w:lang w:val="hu-HU"/>
              </w:rPr>
            </w:pPr>
            <w:r>
              <w:rPr>
                <w:lang w:val="hu-HU"/>
              </w:rPr>
              <w:t>Nem számítható *</w:t>
            </w:r>
          </w:p>
        </w:tc>
      </w:tr>
      <w:tr w:rsidR="007D7140">
        <w:trPr>
          <w:trHeight w:val="516"/>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Major vérzéses esemény </w:t>
            </w:r>
          </w:p>
          <w:p w:rsidR="007D7140" w:rsidRDefault="00A207BA">
            <w:pPr>
              <w:rPr>
                <w:lang w:val="hu-HU"/>
              </w:rPr>
            </w:pPr>
            <w:r>
              <w:rPr>
                <w:lang w:val="hu-HU"/>
              </w:rPr>
              <w:t xml:space="preserve">/klinikailag releváns vérzés </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80 (5,6%)</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145 (10,2%)</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0,55 (0,41, 0,72)</w:t>
            </w:r>
          </w:p>
        </w:tc>
      </w:tr>
      <w:tr w:rsidR="007D7140">
        <w:trPr>
          <w:trHeight w:val="304"/>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278 (19,4%)</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373 (26,2%)</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0,71 (0,61, 0,83)</w:t>
            </w:r>
          </w:p>
        </w:tc>
      </w:tr>
      <w:tr w:rsidR="007D7140">
        <w:trPr>
          <w:trHeight w:val="269"/>
        </w:trPr>
        <w:tc>
          <w:tcPr>
            <w:tcW w:w="2815" w:type="dxa"/>
            <w:tcBorders>
              <w:top w:val="single" w:sz="4" w:space="0" w:color="000000"/>
              <w:left w:val="single" w:sz="4" w:space="0" w:color="000000"/>
              <w:bottom w:val="single" w:sz="4" w:space="0" w:color="000000"/>
              <w:right w:val="single" w:sz="4" w:space="0" w:color="000000"/>
            </w:tcBorders>
          </w:tcPr>
          <w:p w:rsidR="007D7140" w:rsidRDefault="00A207BA">
            <w:pPr>
              <w:ind w:left="566"/>
              <w:rPr>
                <w:lang w:val="hu-HU"/>
              </w:rPr>
            </w:pPr>
            <w:r>
              <w:rPr>
                <w:lang w:val="hu-HU"/>
              </w:rPr>
              <w:t>Bármilyen GI vérzés</w:t>
            </w:r>
          </w:p>
        </w:tc>
        <w:tc>
          <w:tcPr>
            <w:tcW w:w="220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45 (3,1%)</w:t>
            </w:r>
          </w:p>
        </w:tc>
        <w:tc>
          <w:tcPr>
            <w:tcW w:w="1483" w:type="dxa"/>
            <w:tcBorders>
              <w:top w:val="single" w:sz="4" w:space="0" w:color="000000"/>
              <w:left w:val="single" w:sz="4" w:space="0" w:color="000000"/>
              <w:bottom w:val="single" w:sz="4" w:space="0" w:color="000000"/>
              <w:right w:val="single" w:sz="4" w:space="0" w:color="000000"/>
            </w:tcBorders>
          </w:tcPr>
          <w:p w:rsidR="007D7140" w:rsidRDefault="00A207BA">
            <w:pPr>
              <w:ind w:left="37"/>
              <w:jc w:val="center"/>
              <w:rPr>
                <w:lang w:val="hu-HU"/>
              </w:rPr>
            </w:pPr>
            <w:r>
              <w:rPr>
                <w:lang w:val="hu-HU"/>
              </w:rPr>
              <w:t>32 (2,2%)</w:t>
            </w:r>
          </w:p>
        </w:tc>
        <w:tc>
          <w:tcPr>
            <w:tcW w:w="2561"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1,39 (0,87, 2,20)</w:t>
            </w:r>
          </w:p>
        </w:tc>
      </w:tr>
    </w:tbl>
    <w:p w:rsidR="007D7140" w:rsidRDefault="00A207BA">
      <w:pPr>
        <w:ind w:left="7" w:right="9"/>
        <w:rPr>
          <w:lang w:val="hu-HU"/>
        </w:rPr>
      </w:pPr>
      <w:r>
        <w:rPr>
          <w:lang w:val="hu-HU"/>
        </w:rPr>
        <w:t xml:space="preserve">*A relatív hazárd nem becsülhető meg, mert egyik csoportban/kezelésnél sem volt esemény. </w:t>
      </w:r>
    </w:p>
    <w:p w:rsidR="007D7140" w:rsidRDefault="007D7140">
      <w:pPr>
        <w:ind w:left="7" w:right="9"/>
        <w:rPr>
          <w:lang w:val="hu-HU"/>
        </w:rPr>
      </w:pPr>
    </w:p>
    <w:p w:rsidR="007D7140" w:rsidRDefault="00A207BA">
      <w:pPr>
        <w:widowControl/>
        <w:ind w:left="6" w:right="11"/>
        <w:rPr>
          <w:lang w:val="hu-HU"/>
        </w:rPr>
      </w:pPr>
      <w:r>
        <w:rPr>
          <w:lang w:val="hu-HU"/>
        </w:rPr>
        <w:t>A 17. táblázat a mélyvénás thrombosis (MVT) és pulmonalis embolia (PE) prevencióját vizsgáló pivotális RE-SONATE vizsgálatban észlelt vérzéses eseményeket mutatja. A major vagy klinikailag releváns vérzéses esemény és bármilyen vérzés szignifikánsan alacsonyabb gyakorisággal fordult elő a dabigatrán</w:t>
      </w:r>
      <w:r>
        <w:rPr>
          <w:lang w:val="hu-HU"/>
        </w:rPr>
        <w:noBreakHyphen/>
        <w:t>etexilát</w:t>
      </w:r>
      <w:r>
        <w:rPr>
          <w:lang w:val="hu-HU"/>
        </w:rPr>
        <w:noBreakHyphen/>
        <w:t>kezelés mellett, mint a placebót kapó betegeknél (névleges alfa</w:t>
      </w:r>
      <w:r>
        <w:rPr>
          <w:lang w:val="hu-HU"/>
        </w:rPr>
        <w:noBreakHyphen/>
        <w:t>érték 5%).</w:t>
      </w:r>
    </w:p>
    <w:p w:rsidR="007D7140" w:rsidRDefault="007D7140">
      <w:pPr>
        <w:ind w:left="7" w:right="9"/>
        <w:rPr>
          <w:lang w:val="hu-HU"/>
        </w:rPr>
      </w:pPr>
    </w:p>
    <w:p w:rsidR="007D7140" w:rsidRDefault="00A207BA">
      <w:pPr>
        <w:tabs>
          <w:tab w:val="right" w:pos="9084"/>
        </w:tabs>
        <w:ind w:left="-3"/>
        <w:rPr>
          <w:b/>
          <w:bCs/>
          <w:lang w:val="hu-HU"/>
        </w:rPr>
      </w:pPr>
      <w:r>
        <w:rPr>
          <w:b/>
          <w:bCs/>
          <w:lang w:val="hu-HU"/>
        </w:rPr>
        <w:t xml:space="preserve">17. táblázat: </w:t>
      </w:r>
      <w:bookmarkStart w:id="13" w:name="_Hlk139559069"/>
      <w:r>
        <w:rPr>
          <w:b/>
          <w:bCs/>
          <w:lang w:val="hu-HU"/>
        </w:rPr>
        <w:t>MVT és PE prevencióját értékelő RE-SONATE vizsgálatban észlelt vérzéses események</w:t>
      </w:r>
      <w:bookmarkEnd w:id="13"/>
    </w:p>
    <w:p w:rsidR="007D7140" w:rsidRDefault="007D7140">
      <w:pPr>
        <w:tabs>
          <w:tab w:val="right" w:pos="9084"/>
        </w:tabs>
        <w:ind w:left="-3"/>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2813"/>
        <w:gridCol w:w="2203"/>
        <w:gridCol w:w="2146"/>
        <w:gridCol w:w="1898"/>
      </w:tblGrid>
      <w:tr w:rsidR="007D7140">
        <w:trPr>
          <w:trHeight w:val="1274"/>
        </w:trPr>
        <w:tc>
          <w:tcPr>
            <w:tcW w:w="2813"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9"/>
              <w:jc w:val="center"/>
              <w:rPr>
                <w:lang w:val="hu-HU"/>
              </w:rPr>
            </w:pPr>
            <w:r>
              <w:rPr>
                <w:lang w:val="hu-HU"/>
              </w:rPr>
              <w:t>Dabigatrán</w:t>
            </w:r>
            <w:r>
              <w:rPr>
                <w:lang w:val="hu-HU"/>
              </w:rPr>
              <w:noBreakHyphen/>
              <w:t>etexilát</w:t>
            </w:r>
          </w:p>
          <w:p w:rsidR="007D7140" w:rsidRDefault="00A207BA">
            <w:pPr>
              <w:ind w:left="8"/>
              <w:jc w:val="center"/>
              <w:rPr>
                <w:lang w:val="hu-HU"/>
              </w:rPr>
            </w:pPr>
            <w:r>
              <w:rPr>
                <w:lang w:val="hu-HU"/>
              </w:rPr>
              <w:t xml:space="preserve">150 mg naponta </w:t>
            </w:r>
          </w:p>
          <w:p w:rsidR="007D7140" w:rsidRDefault="00A207BA">
            <w:pPr>
              <w:ind w:left="8"/>
              <w:jc w:val="center"/>
              <w:rPr>
                <w:lang w:val="hu-HU"/>
              </w:rPr>
            </w:pPr>
            <w:r>
              <w:rPr>
                <w:lang w:val="hu-HU"/>
              </w:rPr>
              <w:t xml:space="preserve">kétszer </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10"/>
              <w:jc w:val="center"/>
              <w:rPr>
                <w:lang w:val="hu-HU"/>
              </w:rPr>
            </w:pPr>
            <w:r>
              <w:rPr>
                <w:lang w:val="hu-HU"/>
              </w:rPr>
              <w:t>Placebo</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 xml:space="preserve">Relatív hazárd vs. placebo </w:t>
            </w:r>
          </w:p>
          <w:p w:rsidR="007D7140" w:rsidRDefault="00A207BA">
            <w:pPr>
              <w:ind w:firstLine="14"/>
              <w:jc w:val="center"/>
              <w:rPr>
                <w:lang w:val="hu-HU"/>
              </w:rPr>
            </w:pPr>
            <w:r>
              <w:rPr>
                <w:lang w:val="hu-HU"/>
              </w:rPr>
              <w:t>(95%</w:t>
            </w:r>
            <w:r>
              <w:rPr>
                <w:lang w:val="hu-HU"/>
              </w:rPr>
              <w:noBreakHyphen/>
              <w:t>os konfidencia intervallum)</w:t>
            </w:r>
          </w:p>
        </w:tc>
      </w:tr>
      <w:tr w:rsidR="007D7140">
        <w:trPr>
          <w:trHeight w:val="262"/>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Kezelt betegek</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 xml:space="preserve">684 </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 xml:space="preserve">659 </w:t>
            </w:r>
          </w:p>
        </w:tc>
        <w:tc>
          <w:tcPr>
            <w:tcW w:w="189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2 (0,3%)</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ind w:left="166"/>
              <w:jc w:val="center"/>
              <w:rPr>
                <w:lang w:val="hu-HU"/>
              </w:rPr>
            </w:pPr>
            <w:r>
              <w:rPr>
                <w:lang w:val="hu-HU"/>
              </w:rPr>
              <w:t>Nem számítható*</w:t>
            </w: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Intracranialis vérzés</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ind w:left="166"/>
              <w:jc w:val="center"/>
              <w:rPr>
                <w:lang w:val="hu-HU"/>
              </w:rPr>
            </w:pPr>
            <w:r>
              <w:rPr>
                <w:lang w:val="hu-HU"/>
              </w:rPr>
              <w:t>Nem számítható*</w:t>
            </w: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Major GI vérzés</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2 (0,3%)</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ind w:left="166"/>
              <w:jc w:val="center"/>
              <w:rPr>
                <w:lang w:val="hu-HU"/>
              </w:rPr>
            </w:pPr>
            <w:r>
              <w:rPr>
                <w:lang w:val="hu-HU"/>
              </w:rPr>
              <w:t>Nem számítható*</w:t>
            </w: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Életet veszélyeztető vérzés</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ind w:left="166"/>
              <w:jc w:val="center"/>
              <w:rPr>
                <w:lang w:val="hu-HU"/>
              </w:rPr>
            </w:pPr>
            <w:r>
              <w:rPr>
                <w:lang w:val="hu-HU"/>
              </w:rPr>
              <w:t>Nem számítható*</w:t>
            </w:r>
          </w:p>
        </w:tc>
      </w:tr>
      <w:tr w:rsidR="007D7140">
        <w:trPr>
          <w:trHeight w:val="516"/>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firstLine="55"/>
              <w:rPr>
                <w:lang w:val="hu-HU"/>
              </w:rPr>
            </w:pPr>
            <w:r>
              <w:rPr>
                <w:lang w:val="hu-HU"/>
              </w:rP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36 (5,3%)</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13 (2,0%)</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2,69 (1,43, 5,07)</w:t>
            </w:r>
          </w:p>
        </w:tc>
      </w:tr>
      <w:tr w:rsidR="007D7140">
        <w:trPr>
          <w:trHeight w:val="264"/>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9"/>
              <w:jc w:val="center"/>
              <w:rPr>
                <w:lang w:val="hu-HU"/>
              </w:rPr>
            </w:pPr>
            <w:r>
              <w:rPr>
                <w:lang w:val="hu-HU"/>
              </w:rPr>
              <w:t>72 (10,5%)</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40 (6,1%)</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1,77 (1,20, 2,61)</w:t>
            </w:r>
          </w:p>
        </w:tc>
      </w:tr>
      <w:tr w:rsidR="007D7140">
        <w:trPr>
          <w:trHeight w:val="264"/>
        </w:trPr>
        <w:tc>
          <w:tcPr>
            <w:tcW w:w="2813" w:type="dxa"/>
            <w:tcBorders>
              <w:top w:val="single" w:sz="4" w:space="0" w:color="000000"/>
              <w:left w:val="single" w:sz="4" w:space="0" w:color="000000"/>
              <w:bottom w:val="single" w:sz="4" w:space="0" w:color="000000"/>
              <w:right w:val="single" w:sz="4" w:space="0" w:color="000000"/>
            </w:tcBorders>
          </w:tcPr>
          <w:p w:rsidR="007D7140" w:rsidRDefault="00A207BA">
            <w:pPr>
              <w:ind w:left="708"/>
              <w:rPr>
                <w:lang w:val="hu-HU"/>
              </w:rPr>
            </w:pPr>
            <w:r>
              <w:rPr>
                <w:lang w:val="hu-HU"/>
              </w:rPr>
              <w:t>Bármilyen GI vérzés</w:t>
            </w:r>
          </w:p>
        </w:tc>
        <w:tc>
          <w:tcPr>
            <w:tcW w:w="2203"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5 (0,7%)</w:t>
            </w:r>
          </w:p>
        </w:tc>
        <w:tc>
          <w:tcPr>
            <w:tcW w:w="2146"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2 (0,3%)</w:t>
            </w:r>
          </w:p>
        </w:tc>
        <w:tc>
          <w:tcPr>
            <w:tcW w:w="1898"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2,38 (0,46, 12,27)</w:t>
            </w:r>
          </w:p>
        </w:tc>
      </w:tr>
    </w:tbl>
    <w:p w:rsidR="007D7140" w:rsidRDefault="00A207BA">
      <w:pPr>
        <w:ind w:left="7" w:right="9"/>
        <w:rPr>
          <w:lang w:val="hu-HU"/>
        </w:rPr>
      </w:pPr>
      <w:r>
        <w:rPr>
          <w:lang w:val="hu-HU"/>
        </w:rPr>
        <w:t>*A relatív hazárd nem becsülhető meg, mert egyik kezelési csoportban sem volt esemény.</w:t>
      </w:r>
    </w:p>
    <w:p w:rsidR="007D7140" w:rsidRDefault="007D7140">
      <w:pPr>
        <w:ind w:left="7" w:right="9"/>
        <w:rPr>
          <w:lang w:val="hu-HU"/>
        </w:rPr>
      </w:pPr>
    </w:p>
    <w:p w:rsidR="007D7140" w:rsidRDefault="00A207BA">
      <w:pPr>
        <w:rPr>
          <w:i/>
          <w:lang w:val="hu-HU"/>
        </w:rPr>
      </w:pPr>
      <w:r>
        <w:rPr>
          <w:i/>
          <w:u w:val="single"/>
          <w:lang w:val="hu-HU"/>
        </w:rPr>
        <w:t>Agranulocytosis</w:t>
      </w:r>
      <w:r>
        <w:rPr>
          <w:i/>
          <w:spacing w:val="-6"/>
          <w:u w:val="single"/>
          <w:lang w:val="hu-HU"/>
        </w:rPr>
        <w:t xml:space="preserve"> </w:t>
      </w:r>
      <w:r>
        <w:rPr>
          <w:i/>
          <w:u w:val="single"/>
          <w:lang w:val="hu-HU"/>
        </w:rPr>
        <w:t>és</w:t>
      </w:r>
      <w:r>
        <w:rPr>
          <w:i/>
          <w:spacing w:val="-6"/>
          <w:u w:val="single"/>
          <w:lang w:val="hu-HU"/>
        </w:rPr>
        <w:t xml:space="preserve"> </w:t>
      </w:r>
      <w:r>
        <w:rPr>
          <w:i/>
          <w:u w:val="single"/>
          <w:lang w:val="hu-HU"/>
        </w:rPr>
        <w:t>neutropenia</w:t>
      </w:r>
    </w:p>
    <w:p w:rsidR="007D7140" w:rsidRDefault="007D7140">
      <w:pPr>
        <w:rPr>
          <w:i/>
          <w:lang w:val="hu-HU"/>
        </w:rPr>
      </w:pPr>
    </w:p>
    <w:p w:rsidR="007D7140" w:rsidRDefault="00A207BA">
      <w:pPr>
        <w:rPr>
          <w:lang w:val="hu-HU"/>
        </w:rPr>
      </w:pPr>
      <w:r>
        <w:rPr>
          <w:lang w:val="hu-HU"/>
        </w:rPr>
        <w:t>Agranulocytosist és neutropeniát nagyon ritkán jelentettek a dabigatrán</w:t>
      </w:r>
      <w:r>
        <w:rPr>
          <w:lang w:val="hu-HU"/>
        </w:rPr>
        <w:noBreakHyphen/>
        <w:t>etexilát engedélyezését követő alkalmazás alatt. Mivel a forgalomba hozatalt követő megfigyelések során a mellékhatásokat</w:t>
      </w:r>
      <w:r>
        <w:rPr>
          <w:spacing w:val="1"/>
          <w:lang w:val="hu-HU"/>
        </w:rPr>
        <w:t xml:space="preserve"> </w:t>
      </w:r>
      <w:r>
        <w:rPr>
          <w:lang w:val="hu-HU"/>
        </w:rPr>
        <w:t>meghatározatlan nagyságú populációból jelentették, nem lehetséges ezek gyakoriságát megbízhatóan</w:t>
      </w:r>
      <w:r>
        <w:rPr>
          <w:spacing w:val="1"/>
          <w:lang w:val="hu-HU"/>
        </w:rPr>
        <w:t xml:space="preserve"> </w:t>
      </w:r>
      <w:r>
        <w:rPr>
          <w:lang w:val="hu-HU"/>
        </w:rPr>
        <w:t>értékelni. A becsült jelentési arány az agranulocytosis esetében 7 esemény/1 millió betegév, és a</w:t>
      </w:r>
      <w:r>
        <w:rPr>
          <w:spacing w:val="1"/>
          <w:lang w:val="hu-HU"/>
        </w:rPr>
        <w:t xml:space="preserve"> </w:t>
      </w:r>
      <w:r>
        <w:rPr>
          <w:lang w:val="hu-HU"/>
        </w:rPr>
        <w:t>neutropenia</w:t>
      </w:r>
      <w:r>
        <w:rPr>
          <w:spacing w:val="-2"/>
          <w:lang w:val="hu-HU"/>
        </w:rPr>
        <w:t xml:space="preserve"> </w:t>
      </w:r>
      <w:r>
        <w:rPr>
          <w:lang w:val="hu-HU"/>
        </w:rPr>
        <w:t>esetén</w:t>
      </w:r>
      <w:r>
        <w:rPr>
          <w:spacing w:val="-1"/>
          <w:lang w:val="hu-HU"/>
        </w:rPr>
        <w:t xml:space="preserve"> </w:t>
      </w:r>
      <w:r>
        <w:rPr>
          <w:lang w:val="hu-HU"/>
        </w:rPr>
        <w:t>5 esemény/1 millió</w:t>
      </w:r>
      <w:r>
        <w:rPr>
          <w:spacing w:val="-1"/>
          <w:lang w:val="hu-HU"/>
        </w:rPr>
        <w:t xml:space="preserve"> </w:t>
      </w:r>
      <w:r>
        <w:rPr>
          <w:lang w:val="hu-HU"/>
        </w:rPr>
        <w:t>betegév</w:t>
      </w:r>
      <w:r>
        <w:rPr>
          <w:spacing w:val="-1"/>
          <w:lang w:val="hu-HU"/>
        </w:rPr>
        <w:t xml:space="preserve"> </w:t>
      </w:r>
      <w:r>
        <w:rPr>
          <w:lang w:val="hu-HU"/>
        </w:rPr>
        <w:t>volt.</w:t>
      </w:r>
    </w:p>
    <w:p w:rsidR="007D7140" w:rsidRDefault="007D7140">
      <w:pPr>
        <w:rPr>
          <w:lang w:val="hu-HU"/>
        </w:rPr>
      </w:pPr>
    </w:p>
    <w:p w:rsidR="007D7140" w:rsidRDefault="00A207BA">
      <w:pPr>
        <w:rPr>
          <w:i/>
          <w:lang w:val="hu-HU"/>
        </w:rPr>
      </w:pPr>
      <w:r>
        <w:rPr>
          <w:i/>
          <w:lang w:val="hu-HU"/>
        </w:rPr>
        <w:t>Gyermekek</w:t>
      </w:r>
      <w:r>
        <w:rPr>
          <w:i/>
          <w:spacing w:val="-4"/>
          <w:lang w:val="hu-HU"/>
        </w:rPr>
        <w:t xml:space="preserve"> </w:t>
      </w:r>
      <w:r>
        <w:rPr>
          <w:i/>
          <w:lang w:val="hu-HU"/>
        </w:rPr>
        <w:t>és</w:t>
      </w:r>
      <w:r>
        <w:rPr>
          <w:i/>
          <w:spacing w:val="-4"/>
          <w:lang w:val="hu-HU"/>
        </w:rPr>
        <w:t xml:space="preserve"> </w:t>
      </w:r>
      <w:r>
        <w:rPr>
          <w:i/>
          <w:lang w:val="hu-HU"/>
        </w:rPr>
        <w:t>serdülők</w:t>
      </w:r>
    </w:p>
    <w:p w:rsidR="007D7140" w:rsidRDefault="007D7140">
      <w:pPr>
        <w:rPr>
          <w:lang w:val="hu-HU"/>
        </w:rPr>
      </w:pPr>
    </w:p>
    <w:p w:rsidR="007D7140" w:rsidRDefault="00A207BA">
      <w:pPr>
        <w:rPr>
          <w:lang w:val="hu-HU"/>
        </w:rPr>
      </w:pPr>
      <w:r>
        <w:rPr>
          <w:lang w:val="hu-HU"/>
        </w:rPr>
        <w:t>A dabigatrán</w:t>
      </w:r>
      <w:r>
        <w:rPr>
          <w:lang w:val="hu-HU"/>
        </w:rPr>
        <w:noBreakHyphen/>
        <w:t>etexilát biztonságosságát gyermekeknél és serdülőknél VTE kezelésében és VTE</w:t>
      </w:r>
      <w:r>
        <w:rPr>
          <w:spacing w:val="1"/>
          <w:lang w:val="hu-HU"/>
        </w:rPr>
        <w:t xml:space="preserve"> </w:t>
      </w:r>
      <w:r>
        <w:rPr>
          <w:lang w:val="hu-HU"/>
        </w:rPr>
        <w:t>kiújulásának megelőzésében két, III. fázisú vizsgálatban tanulmányozták (DIVERSITY és 1160.108).</w:t>
      </w:r>
      <w:r>
        <w:rPr>
          <w:spacing w:val="1"/>
          <w:lang w:val="hu-HU"/>
        </w:rPr>
        <w:t xml:space="preserve"> </w:t>
      </w:r>
      <w:r>
        <w:rPr>
          <w:lang w:val="hu-HU"/>
        </w:rPr>
        <w:t>Összesen 328 gyermeket és serdülőt kezeltek dabigatrán</w:t>
      </w:r>
      <w:r>
        <w:rPr>
          <w:lang w:val="hu-HU"/>
        </w:rPr>
        <w:noBreakHyphen/>
        <w:t>etexiláttal. A betegek az életkorra és</w:t>
      </w:r>
      <w:r>
        <w:rPr>
          <w:spacing w:val="1"/>
          <w:lang w:val="hu-HU"/>
        </w:rPr>
        <w:t xml:space="preserve"> </w:t>
      </w:r>
      <w:r>
        <w:rPr>
          <w:lang w:val="hu-HU"/>
        </w:rPr>
        <w:t>testtömegre</w:t>
      </w:r>
      <w:r>
        <w:rPr>
          <w:spacing w:val="-7"/>
          <w:lang w:val="hu-HU"/>
        </w:rPr>
        <w:t xml:space="preserve"> </w:t>
      </w:r>
      <w:r>
        <w:rPr>
          <w:lang w:val="hu-HU"/>
        </w:rPr>
        <w:t>korrigált</w:t>
      </w:r>
      <w:r>
        <w:rPr>
          <w:spacing w:val="-6"/>
          <w:lang w:val="hu-HU"/>
        </w:rPr>
        <w:t xml:space="preserve"> </w:t>
      </w:r>
      <w:r>
        <w:rPr>
          <w:lang w:val="hu-HU"/>
        </w:rPr>
        <w:t>dózist</w:t>
      </w:r>
      <w:r>
        <w:rPr>
          <w:spacing w:val="-7"/>
          <w:lang w:val="hu-HU"/>
        </w:rPr>
        <w:t xml:space="preserve"> </w:t>
      </w:r>
      <w:r>
        <w:rPr>
          <w:lang w:val="hu-HU"/>
        </w:rPr>
        <w:t>kaptak</w:t>
      </w:r>
      <w:r>
        <w:rPr>
          <w:spacing w:val="-6"/>
          <w:lang w:val="hu-HU"/>
        </w:rPr>
        <w:t xml:space="preserve"> </w:t>
      </w:r>
      <w:r>
        <w:rPr>
          <w:lang w:val="hu-HU"/>
        </w:rPr>
        <w:t>az</w:t>
      </w:r>
      <w:r>
        <w:rPr>
          <w:spacing w:val="-7"/>
          <w:lang w:val="hu-HU"/>
        </w:rPr>
        <w:t xml:space="preserve"> </w:t>
      </w:r>
      <w:r>
        <w:rPr>
          <w:lang w:val="hu-HU"/>
        </w:rPr>
        <w:t>életkornak</w:t>
      </w:r>
      <w:r>
        <w:rPr>
          <w:spacing w:val="-6"/>
          <w:lang w:val="hu-HU"/>
        </w:rPr>
        <w:t xml:space="preserve"> </w:t>
      </w:r>
      <w:r>
        <w:rPr>
          <w:lang w:val="hu-HU"/>
        </w:rPr>
        <w:t>megfelelő</w:t>
      </w:r>
      <w:r>
        <w:rPr>
          <w:spacing w:val="-6"/>
          <w:lang w:val="hu-HU"/>
        </w:rPr>
        <w:t xml:space="preserve"> </w:t>
      </w:r>
      <w:r>
        <w:rPr>
          <w:lang w:val="hu-HU"/>
        </w:rPr>
        <w:t>gyógyszerformájú</w:t>
      </w:r>
      <w:r>
        <w:rPr>
          <w:spacing w:val="-7"/>
          <w:lang w:val="hu-HU"/>
        </w:rPr>
        <w:t xml:space="preserve"> </w:t>
      </w:r>
      <w:r>
        <w:rPr>
          <w:lang w:val="hu-HU"/>
        </w:rPr>
        <w:t>dabigatrán</w:t>
      </w:r>
      <w:r>
        <w:rPr>
          <w:lang w:val="hu-HU"/>
        </w:rPr>
        <w:noBreakHyphen/>
        <w:t>etexilátból.</w:t>
      </w:r>
    </w:p>
    <w:p w:rsidR="007D7140" w:rsidRDefault="007D7140">
      <w:pPr>
        <w:rPr>
          <w:lang w:val="hu-HU"/>
        </w:rPr>
      </w:pPr>
    </w:p>
    <w:p w:rsidR="007D7140" w:rsidRDefault="00A207BA">
      <w:pPr>
        <w:rPr>
          <w:lang w:val="hu-HU"/>
        </w:rPr>
      </w:pPr>
      <w:r>
        <w:rPr>
          <w:lang w:val="hu-HU"/>
        </w:rPr>
        <w:t>Összességében a gyermekeknél és serdülőknél várható biztonságossági profil megegyezik a felnőttek esetén</w:t>
      </w:r>
      <w:r>
        <w:rPr>
          <w:spacing w:val="-2"/>
          <w:lang w:val="hu-HU"/>
        </w:rPr>
        <w:t xml:space="preserve"> </w:t>
      </w:r>
      <w:r>
        <w:rPr>
          <w:lang w:val="hu-HU"/>
        </w:rPr>
        <w:t>jellemzővel.</w:t>
      </w:r>
    </w:p>
    <w:p w:rsidR="007D7140" w:rsidRDefault="007D7140">
      <w:pPr>
        <w:rPr>
          <w:lang w:val="hu-HU"/>
        </w:rPr>
      </w:pPr>
    </w:p>
    <w:p w:rsidR="007D7140" w:rsidRDefault="00A207BA">
      <w:pPr>
        <w:rPr>
          <w:lang w:val="hu-HU"/>
        </w:rPr>
      </w:pPr>
      <w:r>
        <w:rPr>
          <w:lang w:val="hu-HU"/>
        </w:rPr>
        <w:t>A dabigatrán</w:t>
      </w:r>
      <w:r>
        <w:rPr>
          <w:lang w:val="hu-HU"/>
        </w:rPr>
        <w:noBreakHyphen/>
        <w:t>etexilátot kapó, VTE miatt és VTE kiújulásának megelőzése érdekében kezelt gyermekeknél</w:t>
      </w:r>
      <w:r>
        <w:rPr>
          <w:spacing w:val="-2"/>
          <w:lang w:val="hu-HU"/>
        </w:rPr>
        <w:t xml:space="preserve"> </w:t>
      </w:r>
      <w:r>
        <w:rPr>
          <w:lang w:val="hu-HU"/>
        </w:rPr>
        <w:t>és</w:t>
      </w:r>
      <w:r>
        <w:rPr>
          <w:spacing w:val="-2"/>
          <w:lang w:val="hu-HU"/>
        </w:rPr>
        <w:t xml:space="preserve"> </w:t>
      </w:r>
      <w:r>
        <w:rPr>
          <w:lang w:val="hu-HU"/>
        </w:rPr>
        <w:t>serdülőknél</w:t>
      </w:r>
      <w:r>
        <w:rPr>
          <w:spacing w:val="-2"/>
          <w:lang w:val="hu-HU"/>
        </w:rPr>
        <w:t xml:space="preserve"> a betegek </w:t>
      </w:r>
      <w:r>
        <w:rPr>
          <w:lang w:val="hu-HU"/>
        </w:rPr>
        <w:t>összesen</w:t>
      </w:r>
      <w:r>
        <w:rPr>
          <w:spacing w:val="-2"/>
          <w:lang w:val="hu-HU"/>
        </w:rPr>
        <w:t xml:space="preserve"> </w:t>
      </w:r>
      <w:r>
        <w:rPr>
          <w:lang w:val="hu-HU"/>
        </w:rPr>
        <w:t>26%-a</w:t>
      </w:r>
      <w:r>
        <w:rPr>
          <w:spacing w:val="-2"/>
          <w:lang w:val="hu-HU"/>
        </w:rPr>
        <w:t xml:space="preserve"> </w:t>
      </w:r>
      <w:r>
        <w:rPr>
          <w:lang w:val="hu-HU"/>
        </w:rPr>
        <w:t>tapasztalt</w:t>
      </w:r>
      <w:r>
        <w:rPr>
          <w:spacing w:val="-2"/>
          <w:lang w:val="hu-HU"/>
        </w:rPr>
        <w:t xml:space="preserve"> </w:t>
      </w:r>
      <w:r>
        <w:rPr>
          <w:lang w:val="hu-HU"/>
        </w:rPr>
        <w:t>mellékhatásokat.</w:t>
      </w:r>
    </w:p>
    <w:p w:rsidR="007D7140" w:rsidRDefault="007D7140">
      <w:pPr>
        <w:rPr>
          <w:lang w:val="hu-HU"/>
        </w:rPr>
      </w:pPr>
    </w:p>
    <w:p w:rsidR="007D7140" w:rsidRDefault="00A207BA">
      <w:pPr>
        <w:rPr>
          <w:i/>
          <w:lang w:val="hu-HU"/>
        </w:rPr>
      </w:pPr>
      <w:r>
        <w:rPr>
          <w:i/>
          <w:u w:val="single"/>
          <w:lang w:val="hu-HU"/>
        </w:rPr>
        <w:t>A</w:t>
      </w:r>
      <w:r>
        <w:rPr>
          <w:i/>
          <w:spacing w:val="-6"/>
          <w:u w:val="single"/>
          <w:lang w:val="hu-HU"/>
        </w:rPr>
        <w:t xml:space="preserve"> </w:t>
      </w:r>
      <w:r>
        <w:rPr>
          <w:i/>
          <w:u w:val="single"/>
          <w:lang w:val="hu-HU"/>
        </w:rPr>
        <w:t>mellékhatások</w:t>
      </w:r>
      <w:r>
        <w:rPr>
          <w:i/>
          <w:spacing w:val="-6"/>
          <w:u w:val="single"/>
          <w:lang w:val="hu-HU"/>
        </w:rPr>
        <w:t xml:space="preserve"> </w:t>
      </w:r>
      <w:r>
        <w:rPr>
          <w:i/>
          <w:u w:val="single"/>
          <w:lang w:val="hu-HU"/>
        </w:rPr>
        <w:t>táblázatos</w:t>
      </w:r>
      <w:r>
        <w:rPr>
          <w:i/>
          <w:spacing w:val="-5"/>
          <w:u w:val="single"/>
          <w:lang w:val="hu-HU"/>
        </w:rPr>
        <w:t xml:space="preserve"> </w:t>
      </w:r>
      <w:r>
        <w:rPr>
          <w:i/>
          <w:u w:val="single"/>
          <w:lang w:val="hu-HU"/>
        </w:rPr>
        <w:t>felsorolása</w:t>
      </w:r>
    </w:p>
    <w:p w:rsidR="007D7140" w:rsidRDefault="007D7140">
      <w:pPr>
        <w:rPr>
          <w:lang w:val="hu-HU"/>
        </w:rPr>
      </w:pPr>
    </w:p>
    <w:p w:rsidR="007D7140" w:rsidRDefault="00A207BA">
      <w:pPr>
        <w:rPr>
          <w:lang w:val="hu-HU"/>
        </w:rPr>
      </w:pPr>
      <w:r>
        <w:rPr>
          <w:lang w:val="hu-HU"/>
        </w:rPr>
        <w:t>A 18. táblázat a VTE miatt és kiújuló VTE megelőzése érdekében kezelt gyermekek és serdülők vizsgálataiban azonosított mellékhatásokat mutatja be. A mellékhatások szervrendszer kategóriák és</w:t>
      </w:r>
      <w:r>
        <w:rPr>
          <w:spacing w:val="1"/>
          <w:lang w:val="hu-HU"/>
        </w:rPr>
        <w:t xml:space="preserve"> </w:t>
      </w:r>
      <w:r>
        <w:rPr>
          <w:lang w:val="hu-HU"/>
        </w:rPr>
        <w:t xml:space="preserve">gyakoriság szerinti felosztásban kerülnek ismertetésre, az alábbi konvenciók szerint: nagyon gyakori </w:t>
      </w:r>
      <w:r>
        <w:rPr>
          <w:lang w:val="hu-HU"/>
        </w:rPr>
        <w:lastRenderedPageBreak/>
        <w:t>(≥ 1/10);</w:t>
      </w:r>
      <w:r>
        <w:rPr>
          <w:spacing w:val="-2"/>
          <w:lang w:val="hu-HU"/>
        </w:rPr>
        <w:t xml:space="preserve"> </w:t>
      </w:r>
      <w:r>
        <w:rPr>
          <w:lang w:val="hu-HU"/>
        </w:rPr>
        <w:t>gyakori</w:t>
      </w:r>
      <w:r>
        <w:rPr>
          <w:spacing w:val="-2"/>
          <w:lang w:val="hu-HU"/>
        </w:rPr>
        <w:t xml:space="preserve"> </w:t>
      </w:r>
      <w:r>
        <w:rPr>
          <w:lang w:val="hu-HU"/>
        </w:rPr>
        <w:t>(≥ 1/100 </w:t>
      </w:r>
      <w:r>
        <w:rPr>
          <w:lang w:val="hu-HU"/>
        </w:rPr>
        <w:noBreakHyphen/>
        <w:t>&lt; 1/10);</w:t>
      </w:r>
      <w:r>
        <w:rPr>
          <w:spacing w:val="-2"/>
          <w:lang w:val="hu-HU"/>
        </w:rPr>
        <w:t xml:space="preserve"> </w:t>
      </w:r>
      <w:r>
        <w:rPr>
          <w:lang w:val="hu-HU"/>
        </w:rPr>
        <w:t>nem</w:t>
      </w:r>
      <w:r>
        <w:rPr>
          <w:spacing w:val="-2"/>
          <w:lang w:val="hu-HU"/>
        </w:rPr>
        <w:t xml:space="preserve"> </w:t>
      </w:r>
      <w:r>
        <w:rPr>
          <w:lang w:val="hu-HU"/>
        </w:rPr>
        <w:t>gyakori</w:t>
      </w:r>
      <w:r>
        <w:rPr>
          <w:spacing w:val="-2"/>
          <w:lang w:val="hu-HU"/>
        </w:rPr>
        <w:t xml:space="preserve"> </w:t>
      </w:r>
      <w:r>
        <w:rPr>
          <w:lang w:val="hu-HU"/>
        </w:rPr>
        <w:t>(≥ 1/1000 </w:t>
      </w:r>
      <w:r>
        <w:rPr>
          <w:lang w:val="hu-HU"/>
        </w:rPr>
        <w:noBreakHyphen/>
        <w:t>&lt; 1/100);</w:t>
      </w:r>
      <w:r>
        <w:rPr>
          <w:spacing w:val="-2"/>
          <w:lang w:val="hu-HU"/>
        </w:rPr>
        <w:t xml:space="preserve"> </w:t>
      </w:r>
      <w:r>
        <w:rPr>
          <w:lang w:val="hu-HU"/>
        </w:rPr>
        <w:t>ritka (≥ 1/10 000 </w:t>
      </w:r>
      <w:r>
        <w:rPr>
          <w:lang w:val="hu-HU"/>
        </w:rPr>
        <w:noBreakHyphen/>
        <w:t>&lt; 1/1000); nagyon ritka (&lt; 1/10 000), nem ismert (a gyakorisága a rendelkezésre álló adatokból</w:t>
      </w:r>
      <w:r>
        <w:rPr>
          <w:spacing w:val="-2"/>
          <w:lang w:val="hu-HU"/>
        </w:rPr>
        <w:t xml:space="preserve"> </w:t>
      </w:r>
      <w:r>
        <w:rPr>
          <w:lang w:val="hu-HU"/>
        </w:rPr>
        <w:t>nem</w:t>
      </w:r>
      <w:r>
        <w:rPr>
          <w:spacing w:val="-1"/>
          <w:lang w:val="hu-HU"/>
        </w:rPr>
        <w:t xml:space="preserve"> </w:t>
      </w:r>
      <w:r>
        <w:rPr>
          <w:lang w:val="hu-HU"/>
        </w:rPr>
        <w:t>állapítható</w:t>
      </w:r>
      <w:r>
        <w:rPr>
          <w:spacing w:val="-1"/>
          <w:lang w:val="hu-HU"/>
        </w:rPr>
        <w:t xml:space="preserve"> </w:t>
      </w:r>
      <w:r>
        <w:rPr>
          <w:lang w:val="hu-HU"/>
        </w:rPr>
        <w:t>meg).</w:t>
      </w:r>
    </w:p>
    <w:p w:rsidR="007D7140" w:rsidRDefault="007D7140">
      <w:pPr>
        <w:rPr>
          <w:lang w:val="hu-HU"/>
        </w:rPr>
      </w:pPr>
    </w:p>
    <w:p w:rsidR="007D7140" w:rsidRDefault="00A207BA">
      <w:pPr>
        <w:keepNext/>
        <w:widowControl/>
        <w:rPr>
          <w:lang w:val="hu-HU"/>
        </w:rPr>
      </w:pPr>
      <w:r>
        <w:rPr>
          <w:b/>
          <w:bCs/>
          <w:lang w:val="hu-HU"/>
        </w:rPr>
        <w:t>18. táblázat: Mellékhatások</w:t>
      </w:r>
    </w:p>
    <w:p w:rsidR="007D7140" w:rsidRDefault="007D7140">
      <w:pPr>
        <w:keepNext/>
        <w:widowControl/>
        <w:rPr>
          <w:lang w:val="hu-HU"/>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4395"/>
      </w:tblGrid>
      <w:tr w:rsidR="007D7140">
        <w:trPr>
          <w:trHeight w:val="322"/>
        </w:trPr>
        <w:tc>
          <w:tcPr>
            <w:tcW w:w="4536" w:type="dxa"/>
          </w:tcPr>
          <w:p w:rsidR="007D7140" w:rsidRDefault="007D7140">
            <w:pPr>
              <w:keepNext/>
              <w:widowControl/>
              <w:rPr>
                <w:lang w:val="hu-HU"/>
              </w:rPr>
            </w:pPr>
          </w:p>
        </w:tc>
        <w:tc>
          <w:tcPr>
            <w:tcW w:w="4395" w:type="dxa"/>
          </w:tcPr>
          <w:p w:rsidR="007D7140" w:rsidRDefault="00A207BA">
            <w:pPr>
              <w:keepNext/>
              <w:widowControl/>
              <w:jc w:val="center"/>
              <w:rPr>
                <w:lang w:val="hu-HU"/>
              </w:rPr>
            </w:pPr>
            <w:r>
              <w:rPr>
                <w:lang w:val="hu-HU"/>
              </w:rPr>
              <w:t>Gyakoriság</w:t>
            </w:r>
          </w:p>
        </w:tc>
      </w:tr>
      <w:tr w:rsidR="007D7140">
        <w:trPr>
          <w:trHeight w:val="505"/>
        </w:trPr>
        <w:tc>
          <w:tcPr>
            <w:tcW w:w="4536" w:type="dxa"/>
          </w:tcPr>
          <w:p w:rsidR="007D7140" w:rsidRDefault="00A207BA">
            <w:pPr>
              <w:rPr>
                <w:lang w:val="hu-HU"/>
              </w:rPr>
            </w:pPr>
            <w:r>
              <w:rPr>
                <w:lang w:val="hu-HU"/>
              </w:rPr>
              <w:t>Szervrendszer</w:t>
            </w:r>
            <w:r>
              <w:rPr>
                <w:spacing w:val="-8"/>
                <w:lang w:val="hu-HU"/>
              </w:rPr>
              <w:t xml:space="preserve"> </w:t>
            </w:r>
            <w:r>
              <w:rPr>
                <w:lang w:val="hu-HU"/>
              </w:rPr>
              <w:t>kategória/Preferált</w:t>
            </w:r>
            <w:r>
              <w:rPr>
                <w:spacing w:val="-6"/>
                <w:lang w:val="hu-HU"/>
              </w:rPr>
              <w:t xml:space="preserve"> </w:t>
            </w:r>
            <w:r>
              <w:rPr>
                <w:lang w:val="hu-HU"/>
              </w:rPr>
              <w:t>kifejezés</w:t>
            </w:r>
          </w:p>
        </w:tc>
        <w:tc>
          <w:tcPr>
            <w:tcW w:w="4395" w:type="dxa"/>
          </w:tcPr>
          <w:p w:rsidR="007D7140" w:rsidRDefault="00A207BA">
            <w:pPr>
              <w:jc w:val="center"/>
              <w:rPr>
                <w:lang w:val="hu-HU"/>
              </w:rPr>
            </w:pPr>
            <w:r>
              <w:rPr>
                <w:lang w:val="hu-HU"/>
              </w:rPr>
              <w:t>VTE</w:t>
            </w:r>
            <w:r>
              <w:rPr>
                <w:spacing w:val="-4"/>
                <w:lang w:val="hu-HU"/>
              </w:rPr>
              <w:t xml:space="preserve"> </w:t>
            </w:r>
            <w:r>
              <w:rPr>
                <w:lang w:val="hu-HU"/>
              </w:rPr>
              <w:t>kezelése</w:t>
            </w:r>
            <w:r>
              <w:rPr>
                <w:spacing w:val="-4"/>
                <w:lang w:val="hu-HU"/>
              </w:rPr>
              <w:t xml:space="preserve"> </w:t>
            </w:r>
            <w:r>
              <w:rPr>
                <w:lang w:val="hu-HU"/>
              </w:rPr>
              <w:t>és</w:t>
            </w:r>
            <w:r>
              <w:rPr>
                <w:spacing w:val="-4"/>
                <w:lang w:val="hu-HU"/>
              </w:rPr>
              <w:t xml:space="preserve"> </w:t>
            </w:r>
            <w:r>
              <w:rPr>
                <w:lang w:val="hu-HU"/>
              </w:rPr>
              <w:t>VTE</w:t>
            </w:r>
            <w:r>
              <w:rPr>
                <w:spacing w:val="-4"/>
                <w:lang w:val="hu-HU"/>
              </w:rPr>
              <w:t xml:space="preserve"> </w:t>
            </w:r>
            <w:r>
              <w:rPr>
                <w:lang w:val="hu-HU"/>
              </w:rPr>
              <w:t>kiújulásának</w:t>
            </w:r>
            <w:r>
              <w:rPr>
                <w:spacing w:val="-4"/>
                <w:lang w:val="hu-HU"/>
              </w:rPr>
              <w:t xml:space="preserve"> </w:t>
            </w:r>
            <w:r>
              <w:rPr>
                <w:lang w:val="hu-HU"/>
              </w:rPr>
              <w:t>megelőzése gyermekeknél</w:t>
            </w:r>
            <w:r>
              <w:rPr>
                <w:spacing w:val="-6"/>
                <w:lang w:val="hu-HU"/>
              </w:rPr>
              <w:t xml:space="preserve"> </w:t>
            </w:r>
            <w:r>
              <w:rPr>
                <w:lang w:val="hu-HU"/>
              </w:rPr>
              <w:t>és</w:t>
            </w:r>
            <w:r>
              <w:rPr>
                <w:spacing w:val="-5"/>
                <w:lang w:val="hu-HU"/>
              </w:rPr>
              <w:t xml:space="preserve"> </w:t>
            </w:r>
            <w:r>
              <w:rPr>
                <w:lang w:val="hu-HU"/>
              </w:rPr>
              <w:t>serdülőknél</w:t>
            </w:r>
          </w:p>
        </w:tc>
      </w:tr>
      <w:tr w:rsidR="007D7140">
        <w:trPr>
          <w:trHeight w:val="254"/>
        </w:trPr>
        <w:tc>
          <w:tcPr>
            <w:tcW w:w="8931" w:type="dxa"/>
            <w:gridSpan w:val="2"/>
          </w:tcPr>
          <w:p w:rsidR="007D7140" w:rsidRDefault="00A207BA">
            <w:pPr>
              <w:ind w:left="142"/>
              <w:rPr>
                <w:lang w:val="hu-HU"/>
              </w:rPr>
            </w:pPr>
            <w:r>
              <w:rPr>
                <w:lang w:val="hu-HU"/>
              </w:rPr>
              <w:t>Vérképzőszervi</w:t>
            </w:r>
            <w:r>
              <w:rPr>
                <w:spacing w:val="-6"/>
                <w:lang w:val="hu-HU"/>
              </w:rPr>
              <w:t xml:space="preserve"> </w:t>
            </w:r>
            <w:r>
              <w:rPr>
                <w:lang w:val="hu-HU"/>
              </w:rPr>
              <w:t>és</w:t>
            </w:r>
            <w:r>
              <w:rPr>
                <w:spacing w:val="-5"/>
                <w:lang w:val="hu-HU"/>
              </w:rPr>
              <w:t xml:space="preserve"> </w:t>
            </w:r>
            <w:r>
              <w:rPr>
                <w:lang w:val="hu-HU"/>
              </w:rPr>
              <w:t>nyirokrendszeri</w:t>
            </w:r>
            <w:r>
              <w:rPr>
                <w:spacing w:val="-7"/>
                <w:lang w:val="hu-HU"/>
              </w:rPr>
              <w:t xml:space="preserve"> </w:t>
            </w:r>
            <w:r>
              <w:rPr>
                <w:lang w:val="hu-HU"/>
              </w:rPr>
              <w:t>betegségek</w:t>
            </w:r>
            <w:r>
              <w:rPr>
                <w:spacing w:val="-5"/>
                <w:lang w:val="hu-HU"/>
              </w:rPr>
              <w:t xml:space="preserve"> </w:t>
            </w:r>
            <w:r>
              <w:rPr>
                <w:lang w:val="hu-HU"/>
              </w:rPr>
              <w:t>és</w:t>
            </w:r>
            <w:r>
              <w:rPr>
                <w:spacing w:val="-5"/>
                <w:lang w:val="hu-HU"/>
              </w:rPr>
              <w:t xml:space="preserve"> </w:t>
            </w:r>
            <w:r>
              <w:rPr>
                <w:lang w:val="hu-HU"/>
              </w:rPr>
              <w:t>tünetek</w:t>
            </w:r>
          </w:p>
        </w:tc>
      </w:tr>
      <w:tr w:rsidR="007D7140">
        <w:trPr>
          <w:trHeight w:val="251"/>
        </w:trPr>
        <w:tc>
          <w:tcPr>
            <w:tcW w:w="4536" w:type="dxa"/>
          </w:tcPr>
          <w:p w:rsidR="007D7140" w:rsidRDefault="00A207BA">
            <w:pPr>
              <w:ind w:left="284"/>
              <w:rPr>
                <w:lang w:val="hu-HU"/>
              </w:rPr>
            </w:pPr>
            <w:r>
              <w:rPr>
                <w:lang w:val="hu-HU"/>
              </w:rPr>
              <w:t>Anaemia</w:t>
            </w:r>
          </w:p>
        </w:tc>
        <w:tc>
          <w:tcPr>
            <w:tcW w:w="4395" w:type="dxa"/>
          </w:tcPr>
          <w:p w:rsidR="007D7140" w:rsidRDefault="00A207BA">
            <w:pPr>
              <w:ind w:left="142"/>
              <w:jc w:val="center"/>
              <w:rPr>
                <w:lang w:val="hu-HU"/>
              </w:rPr>
            </w:pPr>
            <w:r>
              <w:rPr>
                <w:lang w:val="hu-HU"/>
              </w:rPr>
              <w:t>Gyakori</w:t>
            </w:r>
          </w:p>
        </w:tc>
      </w:tr>
      <w:tr w:rsidR="007D7140">
        <w:trPr>
          <w:trHeight w:val="253"/>
        </w:trPr>
        <w:tc>
          <w:tcPr>
            <w:tcW w:w="4536" w:type="dxa"/>
          </w:tcPr>
          <w:p w:rsidR="007D7140" w:rsidRDefault="00A207BA">
            <w:pPr>
              <w:ind w:left="284"/>
              <w:rPr>
                <w:lang w:val="hu-HU"/>
              </w:rPr>
            </w:pPr>
            <w:r>
              <w:rPr>
                <w:lang w:val="hu-HU"/>
              </w:rPr>
              <w:t>Csökkent</w:t>
            </w:r>
            <w:r>
              <w:rPr>
                <w:spacing w:val="-8"/>
                <w:lang w:val="hu-HU"/>
              </w:rPr>
              <w:t xml:space="preserve"> </w:t>
            </w:r>
            <w:r>
              <w:rPr>
                <w:lang w:val="hu-HU"/>
              </w:rPr>
              <w:t>haemoglobinszint</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1"/>
        </w:trPr>
        <w:tc>
          <w:tcPr>
            <w:tcW w:w="4536" w:type="dxa"/>
          </w:tcPr>
          <w:p w:rsidR="007D7140" w:rsidRDefault="00A207BA">
            <w:pPr>
              <w:ind w:left="284"/>
              <w:rPr>
                <w:lang w:val="hu-HU"/>
              </w:rPr>
            </w:pPr>
            <w:r>
              <w:rPr>
                <w:lang w:val="hu-HU"/>
              </w:rPr>
              <w:t>Thrombocytopenia</w:t>
            </w:r>
          </w:p>
        </w:tc>
        <w:tc>
          <w:tcPr>
            <w:tcW w:w="4395" w:type="dxa"/>
          </w:tcPr>
          <w:p w:rsidR="007D7140" w:rsidRDefault="00A207BA">
            <w:pPr>
              <w:ind w:left="142"/>
              <w:jc w:val="center"/>
              <w:rPr>
                <w:lang w:val="hu-HU"/>
              </w:rPr>
            </w:pPr>
            <w:r>
              <w:rPr>
                <w:lang w:val="hu-HU"/>
              </w:rPr>
              <w:t>Gyakori</w:t>
            </w:r>
          </w:p>
        </w:tc>
      </w:tr>
      <w:tr w:rsidR="007D7140">
        <w:trPr>
          <w:trHeight w:val="254"/>
        </w:trPr>
        <w:tc>
          <w:tcPr>
            <w:tcW w:w="4536" w:type="dxa"/>
          </w:tcPr>
          <w:p w:rsidR="007D7140" w:rsidRDefault="00A207BA">
            <w:pPr>
              <w:ind w:left="284"/>
              <w:rPr>
                <w:lang w:val="hu-HU"/>
              </w:rPr>
            </w:pPr>
            <w:r>
              <w:rPr>
                <w:lang w:val="hu-HU"/>
              </w:rPr>
              <w:t>Csökkent</w:t>
            </w:r>
            <w:r>
              <w:rPr>
                <w:spacing w:val="-6"/>
                <w:lang w:val="hu-HU"/>
              </w:rPr>
              <w:t xml:space="preserve"> </w:t>
            </w:r>
            <w:r>
              <w:rPr>
                <w:lang w:val="hu-HU"/>
              </w:rPr>
              <w:t>hematokrit</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1"/>
        </w:trPr>
        <w:tc>
          <w:tcPr>
            <w:tcW w:w="4536" w:type="dxa"/>
          </w:tcPr>
          <w:p w:rsidR="007D7140" w:rsidRDefault="00A207BA">
            <w:pPr>
              <w:ind w:left="284"/>
              <w:rPr>
                <w:lang w:val="hu-HU"/>
              </w:rPr>
            </w:pPr>
            <w:r>
              <w:rPr>
                <w:lang w:val="hu-HU"/>
              </w:rPr>
              <w:t>Neutropenia</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4536" w:type="dxa"/>
          </w:tcPr>
          <w:p w:rsidR="007D7140" w:rsidRDefault="00A207BA">
            <w:pPr>
              <w:ind w:left="284"/>
              <w:rPr>
                <w:lang w:val="hu-HU"/>
              </w:rPr>
            </w:pPr>
            <w:r>
              <w:rPr>
                <w:lang w:val="hu-HU"/>
              </w:rPr>
              <w:t>Agranulocytosis</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4"/>
        </w:trPr>
        <w:tc>
          <w:tcPr>
            <w:tcW w:w="8931" w:type="dxa"/>
            <w:gridSpan w:val="2"/>
          </w:tcPr>
          <w:p w:rsidR="007D7140" w:rsidRDefault="00A207BA">
            <w:pPr>
              <w:ind w:left="142"/>
              <w:rPr>
                <w:lang w:val="hu-HU"/>
              </w:rPr>
            </w:pPr>
            <w:r>
              <w:rPr>
                <w:lang w:val="hu-HU"/>
              </w:rPr>
              <w:t>Immunrendszeri</w:t>
            </w:r>
            <w:r>
              <w:rPr>
                <w:spacing w:val="-6"/>
                <w:lang w:val="hu-HU"/>
              </w:rPr>
              <w:t xml:space="preserve"> </w:t>
            </w:r>
            <w:r>
              <w:rPr>
                <w:lang w:val="hu-HU"/>
              </w:rPr>
              <w:t>betegségek</w:t>
            </w:r>
            <w:r>
              <w:rPr>
                <w:spacing w:val="-5"/>
                <w:lang w:val="hu-HU"/>
              </w:rPr>
              <w:t xml:space="preserve"> </w:t>
            </w:r>
            <w:r>
              <w:rPr>
                <w:lang w:val="hu-HU"/>
              </w:rPr>
              <w:t>és</w:t>
            </w:r>
            <w:r>
              <w:rPr>
                <w:spacing w:val="-5"/>
                <w:lang w:val="hu-HU"/>
              </w:rPr>
              <w:t xml:space="preserve"> </w:t>
            </w:r>
            <w:r>
              <w:rPr>
                <w:lang w:val="hu-HU"/>
              </w:rPr>
              <w:t>tünetek</w:t>
            </w:r>
          </w:p>
        </w:tc>
      </w:tr>
      <w:tr w:rsidR="007D7140">
        <w:trPr>
          <w:trHeight w:val="251"/>
        </w:trPr>
        <w:tc>
          <w:tcPr>
            <w:tcW w:w="4536" w:type="dxa"/>
          </w:tcPr>
          <w:p w:rsidR="007D7140" w:rsidRDefault="00A207BA">
            <w:pPr>
              <w:ind w:left="284"/>
              <w:rPr>
                <w:lang w:val="hu-HU"/>
              </w:rPr>
            </w:pPr>
            <w:r>
              <w:rPr>
                <w:lang w:val="hu-HU"/>
              </w:rPr>
              <w:t>Gyógyszer-túlérzékenység</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4"/>
        </w:trPr>
        <w:tc>
          <w:tcPr>
            <w:tcW w:w="4536" w:type="dxa"/>
          </w:tcPr>
          <w:p w:rsidR="007D7140" w:rsidRDefault="00A207BA">
            <w:pPr>
              <w:ind w:left="284"/>
              <w:rPr>
                <w:lang w:val="hu-HU"/>
              </w:rPr>
            </w:pPr>
            <w:r>
              <w:rPr>
                <w:lang w:val="hu-HU"/>
              </w:rPr>
              <w:t>Bőrkiütés</w:t>
            </w:r>
          </w:p>
        </w:tc>
        <w:tc>
          <w:tcPr>
            <w:tcW w:w="4395" w:type="dxa"/>
          </w:tcPr>
          <w:p w:rsidR="007D7140" w:rsidRDefault="00A207BA">
            <w:pPr>
              <w:ind w:left="142"/>
              <w:jc w:val="center"/>
              <w:rPr>
                <w:lang w:val="hu-HU"/>
              </w:rPr>
            </w:pPr>
            <w:r>
              <w:rPr>
                <w:lang w:val="hu-HU"/>
              </w:rPr>
              <w:t>Gyakori</w:t>
            </w:r>
          </w:p>
        </w:tc>
      </w:tr>
      <w:tr w:rsidR="007D7140">
        <w:trPr>
          <w:trHeight w:val="251"/>
        </w:trPr>
        <w:tc>
          <w:tcPr>
            <w:tcW w:w="4536" w:type="dxa"/>
          </w:tcPr>
          <w:p w:rsidR="007D7140" w:rsidRDefault="00A207BA">
            <w:pPr>
              <w:ind w:left="284"/>
              <w:rPr>
                <w:lang w:val="hu-HU"/>
              </w:rPr>
            </w:pPr>
            <w:r>
              <w:rPr>
                <w:lang w:val="hu-HU"/>
              </w:rPr>
              <w:t>Pruritus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4536" w:type="dxa"/>
          </w:tcPr>
          <w:p w:rsidR="007D7140" w:rsidRDefault="00A207BA">
            <w:pPr>
              <w:ind w:left="284"/>
              <w:rPr>
                <w:lang w:val="hu-HU"/>
              </w:rPr>
            </w:pPr>
            <w:r>
              <w:rPr>
                <w:lang w:val="hu-HU"/>
              </w:rPr>
              <w:t>Anafilaxiás</w:t>
            </w:r>
            <w:r>
              <w:rPr>
                <w:spacing w:val="-6"/>
                <w:lang w:val="hu-HU"/>
              </w:rPr>
              <w:t xml:space="preserve"> </w:t>
            </w:r>
            <w:r>
              <w:rPr>
                <w:lang w:val="hu-HU"/>
              </w:rPr>
              <w:t>reakció</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4"/>
        </w:trPr>
        <w:tc>
          <w:tcPr>
            <w:tcW w:w="4536" w:type="dxa"/>
          </w:tcPr>
          <w:p w:rsidR="007D7140" w:rsidRDefault="00A207BA">
            <w:pPr>
              <w:ind w:left="284"/>
              <w:rPr>
                <w:lang w:val="hu-HU"/>
              </w:rPr>
            </w:pPr>
            <w:r>
              <w:rPr>
                <w:lang w:val="hu-HU"/>
              </w:rPr>
              <w:t>Angiooedema</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1"/>
        </w:trPr>
        <w:tc>
          <w:tcPr>
            <w:tcW w:w="4536" w:type="dxa"/>
          </w:tcPr>
          <w:p w:rsidR="007D7140" w:rsidRDefault="00A207BA">
            <w:pPr>
              <w:ind w:left="284"/>
              <w:rPr>
                <w:lang w:val="hu-HU"/>
              </w:rPr>
            </w:pPr>
            <w:r>
              <w:rPr>
                <w:lang w:val="hu-HU"/>
              </w:rPr>
              <w:t>Urticaria</w:t>
            </w:r>
          </w:p>
        </w:tc>
        <w:tc>
          <w:tcPr>
            <w:tcW w:w="4395" w:type="dxa"/>
          </w:tcPr>
          <w:p w:rsidR="007D7140" w:rsidRDefault="00A207BA">
            <w:pPr>
              <w:ind w:left="142"/>
              <w:jc w:val="center"/>
              <w:rPr>
                <w:lang w:val="hu-HU"/>
              </w:rPr>
            </w:pPr>
            <w:r>
              <w:rPr>
                <w:lang w:val="hu-HU"/>
              </w:rPr>
              <w:t>Gyakori</w:t>
            </w:r>
          </w:p>
        </w:tc>
      </w:tr>
      <w:tr w:rsidR="007D7140">
        <w:trPr>
          <w:trHeight w:val="253"/>
        </w:trPr>
        <w:tc>
          <w:tcPr>
            <w:tcW w:w="4536" w:type="dxa"/>
          </w:tcPr>
          <w:p w:rsidR="007D7140" w:rsidRDefault="00A207BA">
            <w:pPr>
              <w:ind w:left="284"/>
              <w:rPr>
                <w:lang w:val="hu-HU"/>
              </w:rPr>
            </w:pPr>
            <w:r>
              <w:rPr>
                <w:lang w:val="hu-HU"/>
              </w:rPr>
              <w:t>Bronchospasmus</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1"/>
        </w:trPr>
        <w:tc>
          <w:tcPr>
            <w:tcW w:w="8931" w:type="dxa"/>
            <w:gridSpan w:val="2"/>
          </w:tcPr>
          <w:p w:rsidR="007D7140" w:rsidRDefault="00A207BA">
            <w:pPr>
              <w:ind w:left="142"/>
              <w:rPr>
                <w:lang w:val="hu-HU"/>
              </w:rPr>
            </w:pPr>
            <w:r>
              <w:rPr>
                <w:lang w:val="hu-HU"/>
              </w:rPr>
              <w:t>Idegrendszeri</w:t>
            </w:r>
            <w:r>
              <w:rPr>
                <w:spacing w:val="-6"/>
                <w:lang w:val="hu-HU"/>
              </w:rPr>
              <w:t xml:space="preserve"> </w:t>
            </w:r>
            <w:r>
              <w:rPr>
                <w:lang w:val="hu-HU"/>
              </w:rPr>
              <w:t>betegségek</w:t>
            </w:r>
            <w:r>
              <w:rPr>
                <w:spacing w:val="-5"/>
                <w:lang w:val="hu-HU"/>
              </w:rPr>
              <w:t xml:space="preserve"> </w:t>
            </w:r>
            <w:r>
              <w:rPr>
                <w:lang w:val="hu-HU"/>
              </w:rPr>
              <w:t>és</w:t>
            </w:r>
            <w:r>
              <w:rPr>
                <w:spacing w:val="-5"/>
                <w:lang w:val="hu-HU"/>
              </w:rPr>
              <w:t xml:space="preserve"> </w:t>
            </w:r>
            <w:r>
              <w:rPr>
                <w:lang w:val="hu-HU"/>
              </w:rPr>
              <w:t>tünetek</w:t>
            </w:r>
          </w:p>
        </w:tc>
      </w:tr>
      <w:tr w:rsidR="007D7140">
        <w:trPr>
          <w:trHeight w:val="253"/>
        </w:trPr>
        <w:tc>
          <w:tcPr>
            <w:tcW w:w="4536" w:type="dxa"/>
          </w:tcPr>
          <w:p w:rsidR="007D7140" w:rsidRDefault="00A207BA">
            <w:pPr>
              <w:ind w:left="284"/>
              <w:rPr>
                <w:lang w:val="hu-HU"/>
              </w:rPr>
            </w:pPr>
            <w:r>
              <w:rPr>
                <w:lang w:val="hu-HU"/>
              </w:rPr>
              <w:t>Intracranialis</w:t>
            </w:r>
            <w:r>
              <w:rPr>
                <w:spacing w:val="-5"/>
                <w:lang w:val="hu-HU"/>
              </w:rPr>
              <w:t xml:space="preserve"> </w:t>
            </w:r>
            <w:r>
              <w:rPr>
                <w:lang w:val="hu-HU"/>
              </w:rPr>
              <w:t>vérzés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4"/>
        </w:trPr>
        <w:tc>
          <w:tcPr>
            <w:tcW w:w="8931" w:type="dxa"/>
            <w:gridSpan w:val="2"/>
          </w:tcPr>
          <w:p w:rsidR="007D7140" w:rsidRDefault="00A207BA">
            <w:pPr>
              <w:ind w:left="142"/>
              <w:rPr>
                <w:lang w:val="hu-HU"/>
              </w:rPr>
            </w:pPr>
            <w:r>
              <w:rPr>
                <w:lang w:val="hu-HU"/>
              </w:rPr>
              <w:t>Érbetegségek</w:t>
            </w:r>
            <w:r>
              <w:rPr>
                <w:spacing w:val="-5"/>
                <w:lang w:val="hu-HU"/>
              </w:rPr>
              <w:t xml:space="preserve"> </w:t>
            </w:r>
            <w:r>
              <w:rPr>
                <w:lang w:val="hu-HU"/>
              </w:rPr>
              <w:t>és</w:t>
            </w:r>
            <w:r>
              <w:rPr>
                <w:spacing w:val="-4"/>
                <w:lang w:val="hu-HU"/>
              </w:rPr>
              <w:t xml:space="preserve"> </w:t>
            </w:r>
            <w:r>
              <w:rPr>
                <w:lang w:val="hu-HU"/>
              </w:rPr>
              <w:t>tünetek</w:t>
            </w:r>
          </w:p>
        </w:tc>
      </w:tr>
      <w:tr w:rsidR="007D7140">
        <w:trPr>
          <w:trHeight w:val="251"/>
        </w:trPr>
        <w:tc>
          <w:tcPr>
            <w:tcW w:w="4536" w:type="dxa"/>
          </w:tcPr>
          <w:p w:rsidR="007D7140" w:rsidRDefault="00A207BA">
            <w:pPr>
              <w:ind w:left="284"/>
              <w:rPr>
                <w:lang w:val="hu-HU"/>
              </w:rPr>
            </w:pPr>
            <w:r>
              <w:rPr>
                <w:lang w:val="hu-HU"/>
              </w:rPr>
              <w:t>Haematoma</w:t>
            </w:r>
          </w:p>
        </w:tc>
        <w:tc>
          <w:tcPr>
            <w:tcW w:w="4395" w:type="dxa"/>
          </w:tcPr>
          <w:p w:rsidR="007D7140" w:rsidRDefault="00A207BA">
            <w:pPr>
              <w:ind w:left="142"/>
              <w:jc w:val="center"/>
              <w:rPr>
                <w:lang w:val="hu-HU"/>
              </w:rPr>
            </w:pPr>
            <w:r>
              <w:rPr>
                <w:lang w:val="hu-HU"/>
              </w:rPr>
              <w:t>Gyakori</w:t>
            </w:r>
          </w:p>
        </w:tc>
      </w:tr>
      <w:tr w:rsidR="007D7140">
        <w:trPr>
          <w:trHeight w:val="253"/>
        </w:trPr>
        <w:tc>
          <w:tcPr>
            <w:tcW w:w="4536" w:type="dxa"/>
          </w:tcPr>
          <w:p w:rsidR="007D7140" w:rsidRDefault="00A207BA">
            <w:pPr>
              <w:ind w:left="284"/>
              <w:rPr>
                <w:lang w:val="hu-HU"/>
              </w:rPr>
            </w:pPr>
            <w:r>
              <w:rPr>
                <w:lang w:val="hu-HU"/>
              </w:rPr>
              <w:t>Vérzés</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1"/>
        </w:trPr>
        <w:tc>
          <w:tcPr>
            <w:tcW w:w="8931" w:type="dxa"/>
            <w:gridSpan w:val="2"/>
          </w:tcPr>
          <w:p w:rsidR="007D7140" w:rsidRDefault="00A207BA">
            <w:pPr>
              <w:ind w:left="142"/>
              <w:rPr>
                <w:lang w:val="hu-HU"/>
              </w:rPr>
            </w:pPr>
            <w:r>
              <w:rPr>
                <w:lang w:val="hu-HU"/>
              </w:rPr>
              <w:t>Légzőrendszeri,</w:t>
            </w:r>
            <w:r>
              <w:rPr>
                <w:spacing w:val="-6"/>
                <w:lang w:val="hu-HU"/>
              </w:rPr>
              <w:t xml:space="preserve"> </w:t>
            </w:r>
            <w:r>
              <w:rPr>
                <w:lang w:val="hu-HU"/>
              </w:rPr>
              <w:t>mellkasi</w:t>
            </w:r>
            <w:r>
              <w:rPr>
                <w:spacing w:val="-5"/>
                <w:lang w:val="hu-HU"/>
              </w:rPr>
              <w:t xml:space="preserve"> </w:t>
            </w:r>
            <w:r>
              <w:rPr>
                <w:lang w:val="hu-HU"/>
              </w:rPr>
              <w:t>és</w:t>
            </w:r>
            <w:r>
              <w:rPr>
                <w:spacing w:val="-5"/>
                <w:lang w:val="hu-HU"/>
              </w:rPr>
              <w:t xml:space="preserve"> </w:t>
            </w:r>
            <w:r>
              <w:rPr>
                <w:lang w:val="hu-HU"/>
              </w:rPr>
              <w:t>mediastinalis</w:t>
            </w:r>
            <w:r>
              <w:rPr>
                <w:spacing w:val="-6"/>
                <w:lang w:val="hu-HU"/>
              </w:rPr>
              <w:t xml:space="preserve"> </w:t>
            </w:r>
            <w:r>
              <w:rPr>
                <w:lang w:val="hu-HU"/>
              </w:rPr>
              <w:t>betegségek</w:t>
            </w:r>
            <w:r>
              <w:rPr>
                <w:spacing w:val="-5"/>
                <w:lang w:val="hu-HU"/>
              </w:rPr>
              <w:t xml:space="preserve"> </w:t>
            </w:r>
            <w:r>
              <w:rPr>
                <w:lang w:val="hu-HU"/>
              </w:rPr>
              <w:t>és</w:t>
            </w:r>
            <w:r>
              <w:rPr>
                <w:spacing w:val="-5"/>
                <w:lang w:val="hu-HU"/>
              </w:rPr>
              <w:t xml:space="preserve"> </w:t>
            </w:r>
            <w:r>
              <w:rPr>
                <w:lang w:val="hu-HU"/>
              </w:rPr>
              <w:t>tünetek</w:t>
            </w:r>
          </w:p>
        </w:tc>
      </w:tr>
      <w:tr w:rsidR="007D7140">
        <w:trPr>
          <w:trHeight w:val="253"/>
        </w:trPr>
        <w:tc>
          <w:tcPr>
            <w:tcW w:w="4536" w:type="dxa"/>
          </w:tcPr>
          <w:p w:rsidR="007D7140" w:rsidRDefault="00A207BA">
            <w:pPr>
              <w:ind w:left="284"/>
              <w:rPr>
                <w:lang w:val="hu-HU"/>
              </w:rPr>
            </w:pPr>
            <w:r>
              <w:rPr>
                <w:lang w:val="hu-HU"/>
              </w:rPr>
              <w:t>Epistaxis</w:t>
            </w:r>
          </w:p>
        </w:tc>
        <w:tc>
          <w:tcPr>
            <w:tcW w:w="4395" w:type="dxa"/>
          </w:tcPr>
          <w:p w:rsidR="007D7140" w:rsidRDefault="00A207BA">
            <w:pPr>
              <w:ind w:left="142"/>
              <w:jc w:val="center"/>
              <w:rPr>
                <w:lang w:val="hu-HU"/>
              </w:rPr>
            </w:pPr>
            <w:r>
              <w:rPr>
                <w:lang w:val="hu-HU"/>
              </w:rPr>
              <w:t>Gyakori</w:t>
            </w:r>
          </w:p>
        </w:tc>
      </w:tr>
      <w:tr w:rsidR="007D7140">
        <w:trPr>
          <w:trHeight w:val="251"/>
        </w:trPr>
        <w:tc>
          <w:tcPr>
            <w:tcW w:w="4536" w:type="dxa"/>
          </w:tcPr>
          <w:p w:rsidR="007D7140" w:rsidRDefault="00A207BA">
            <w:pPr>
              <w:ind w:left="284"/>
              <w:rPr>
                <w:lang w:val="hu-HU"/>
              </w:rPr>
            </w:pPr>
            <w:r>
              <w:rPr>
                <w:lang w:val="hu-HU"/>
              </w:rPr>
              <w:t>Haemoptoe</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4"/>
        </w:trPr>
        <w:tc>
          <w:tcPr>
            <w:tcW w:w="8931" w:type="dxa"/>
            <w:gridSpan w:val="2"/>
          </w:tcPr>
          <w:p w:rsidR="007D7140" w:rsidRDefault="00A207BA">
            <w:pPr>
              <w:ind w:left="142"/>
              <w:rPr>
                <w:lang w:val="hu-HU"/>
              </w:rPr>
            </w:pPr>
            <w:r>
              <w:rPr>
                <w:lang w:val="hu-HU"/>
              </w:rPr>
              <w:t>Emésztőrendszeri</w:t>
            </w:r>
            <w:r>
              <w:rPr>
                <w:spacing w:val="-6"/>
                <w:lang w:val="hu-HU"/>
              </w:rPr>
              <w:t xml:space="preserve"> </w:t>
            </w:r>
            <w:r>
              <w:rPr>
                <w:lang w:val="hu-HU"/>
              </w:rPr>
              <w:t>betegségek</w:t>
            </w:r>
            <w:r>
              <w:rPr>
                <w:spacing w:val="-6"/>
                <w:lang w:val="hu-HU"/>
              </w:rPr>
              <w:t xml:space="preserve"> </w:t>
            </w:r>
            <w:r>
              <w:rPr>
                <w:lang w:val="hu-HU"/>
              </w:rPr>
              <w:t>és</w:t>
            </w:r>
            <w:r>
              <w:rPr>
                <w:spacing w:val="-5"/>
                <w:lang w:val="hu-HU"/>
              </w:rPr>
              <w:t xml:space="preserve"> </w:t>
            </w:r>
            <w:r>
              <w:rPr>
                <w:lang w:val="hu-HU"/>
              </w:rPr>
              <w:t>tünetek</w:t>
            </w:r>
          </w:p>
        </w:tc>
      </w:tr>
      <w:tr w:rsidR="007D7140">
        <w:trPr>
          <w:trHeight w:val="253"/>
        </w:trPr>
        <w:tc>
          <w:tcPr>
            <w:tcW w:w="4536" w:type="dxa"/>
          </w:tcPr>
          <w:p w:rsidR="007D7140" w:rsidRDefault="00A207BA">
            <w:pPr>
              <w:ind w:left="284"/>
              <w:rPr>
                <w:lang w:val="hu-HU"/>
              </w:rPr>
            </w:pPr>
            <w:r>
              <w:rPr>
                <w:lang w:val="hu-HU"/>
              </w:rPr>
              <w:t>Emésztőrendszeri</w:t>
            </w:r>
            <w:r>
              <w:rPr>
                <w:spacing w:val="-7"/>
                <w:lang w:val="hu-HU"/>
              </w:rPr>
              <w:t xml:space="preserve"> </w:t>
            </w:r>
            <w:r>
              <w:rPr>
                <w:lang w:val="hu-HU"/>
              </w:rPr>
              <w:t>vérzés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1"/>
        </w:trPr>
        <w:tc>
          <w:tcPr>
            <w:tcW w:w="4536" w:type="dxa"/>
          </w:tcPr>
          <w:p w:rsidR="007D7140" w:rsidRDefault="00A207BA">
            <w:pPr>
              <w:ind w:left="284"/>
              <w:rPr>
                <w:lang w:val="hu-HU"/>
              </w:rPr>
            </w:pPr>
            <w:r>
              <w:rPr>
                <w:lang w:val="hu-HU"/>
              </w:rPr>
              <w:t>Hasi</w:t>
            </w:r>
            <w:r>
              <w:rPr>
                <w:spacing w:val="-4"/>
                <w:lang w:val="hu-HU"/>
              </w:rPr>
              <w:t xml:space="preserve"> </w:t>
            </w:r>
            <w:r>
              <w:rPr>
                <w:lang w:val="hu-HU"/>
              </w:rPr>
              <w:t>fájdalom</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4"/>
        </w:trPr>
        <w:tc>
          <w:tcPr>
            <w:tcW w:w="4536" w:type="dxa"/>
          </w:tcPr>
          <w:p w:rsidR="007D7140" w:rsidRDefault="00A207BA">
            <w:pPr>
              <w:ind w:left="284"/>
              <w:rPr>
                <w:lang w:val="hu-HU"/>
              </w:rPr>
            </w:pPr>
            <w:r>
              <w:rPr>
                <w:lang w:val="hu-HU"/>
              </w:rPr>
              <w:t>Hasmenés</w:t>
            </w:r>
          </w:p>
        </w:tc>
        <w:tc>
          <w:tcPr>
            <w:tcW w:w="4395" w:type="dxa"/>
          </w:tcPr>
          <w:p w:rsidR="007D7140" w:rsidRDefault="00A207BA">
            <w:pPr>
              <w:ind w:left="142"/>
              <w:jc w:val="center"/>
              <w:rPr>
                <w:lang w:val="hu-HU"/>
              </w:rPr>
            </w:pPr>
            <w:r>
              <w:rPr>
                <w:lang w:val="hu-HU"/>
              </w:rPr>
              <w:t>Gyakori</w:t>
            </w:r>
          </w:p>
        </w:tc>
      </w:tr>
      <w:tr w:rsidR="007D7140">
        <w:trPr>
          <w:trHeight w:val="251"/>
        </w:trPr>
        <w:tc>
          <w:tcPr>
            <w:tcW w:w="4536" w:type="dxa"/>
          </w:tcPr>
          <w:p w:rsidR="007D7140" w:rsidRDefault="00A207BA">
            <w:pPr>
              <w:ind w:left="284"/>
              <w:rPr>
                <w:lang w:val="hu-HU"/>
              </w:rPr>
            </w:pPr>
            <w:r>
              <w:rPr>
                <w:lang w:val="hu-HU"/>
              </w:rPr>
              <w:t>Dyspepsia</w:t>
            </w:r>
          </w:p>
        </w:tc>
        <w:tc>
          <w:tcPr>
            <w:tcW w:w="4395" w:type="dxa"/>
          </w:tcPr>
          <w:p w:rsidR="007D7140" w:rsidRDefault="00A207BA">
            <w:pPr>
              <w:ind w:left="142"/>
              <w:jc w:val="center"/>
              <w:rPr>
                <w:lang w:val="hu-HU"/>
              </w:rPr>
            </w:pPr>
            <w:r>
              <w:rPr>
                <w:lang w:val="hu-HU"/>
              </w:rPr>
              <w:t>Gyakori</w:t>
            </w:r>
          </w:p>
        </w:tc>
      </w:tr>
      <w:tr w:rsidR="007D7140">
        <w:trPr>
          <w:trHeight w:val="254"/>
        </w:trPr>
        <w:tc>
          <w:tcPr>
            <w:tcW w:w="4536" w:type="dxa"/>
          </w:tcPr>
          <w:p w:rsidR="007D7140" w:rsidRDefault="00A207BA">
            <w:pPr>
              <w:ind w:left="284"/>
              <w:rPr>
                <w:lang w:val="hu-HU"/>
              </w:rPr>
            </w:pPr>
            <w:r>
              <w:rPr>
                <w:lang w:val="hu-HU"/>
              </w:rPr>
              <w:t>Hányinger</w:t>
            </w:r>
          </w:p>
        </w:tc>
        <w:tc>
          <w:tcPr>
            <w:tcW w:w="4395" w:type="dxa"/>
          </w:tcPr>
          <w:p w:rsidR="007D7140" w:rsidRDefault="00A207BA">
            <w:pPr>
              <w:ind w:left="142"/>
              <w:jc w:val="center"/>
              <w:rPr>
                <w:lang w:val="hu-HU"/>
              </w:rPr>
            </w:pPr>
            <w:r>
              <w:rPr>
                <w:lang w:val="hu-HU"/>
              </w:rPr>
              <w:t>Gyakori</w:t>
            </w:r>
          </w:p>
        </w:tc>
      </w:tr>
      <w:tr w:rsidR="007D7140">
        <w:trPr>
          <w:trHeight w:val="251"/>
        </w:trPr>
        <w:tc>
          <w:tcPr>
            <w:tcW w:w="4536" w:type="dxa"/>
          </w:tcPr>
          <w:p w:rsidR="007D7140" w:rsidRDefault="00A207BA">
            <w:pPr>
              <w:ind w:left="284"/>
              <w:rPr>
                <w:lang w:val="hu-HU"/>
              </w:rPr>
            </w:pPr>
            <w:r>
              <w:rPr>
                <w:lang w:val="hu-HU"/>
              </w:rPr>
              <w:t>Rectalis</w:t>
            </w:r>
            <w:r>
              <w:rPr>
                <w:spacing w:val="-5"/>
                <w:lang w:val="hu-HU"/>
              </w:rPr>
              <w:t xml:space="preserve"> </w:t>
            </w:r>
            <w:r>
              <w:rPr>
                <w:lang w:val="hu-HU"/>
              </w:rPr>
              <w:t>vérzés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4"/>
        </w:trPr>
        <w:tc>
          <w:tcPr>
            <w:tcW w:w="4536" w:type="dxa"/>
          </w:tcPr>
          <w:p w:rsidR="007D7140" w:rsidRDefault="00A207BA">
            <w:pPr>
              <w:ind w:left="284"/>
              <w:rPr>
                <w:lang w:val="hu-HU"/>
              </w:rPr>
            </w:pPr>
            <w:r>
              <w:rPr>
                <w:lang w:val="hu-HU"/>
              </w:rPr>
              <w:t>Aranyérvérzés</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506"/>
        </w:trPr>
        <w:tc>
          <w:tcPr>
            <w:tcW w:w="4536" w:type="dxa"/>
          </w:tcPr>
          <w:p w:rsidR="007D7140" w:rsidRDefault="00A207BA">
            <w:pPr>
              <w:ind w:left="284"/>
              <w:rPr>
                <w:lang w:val="hu-HU"/>
              </w:rPr>
            </w:pPr>
            <w:r>
              <w:rPr>
                <w:lang w:val="hu-HU"/>
              </w:rPr>
              <w:t>Gastrointestinalis</w:t>
            </w:r>
            <w:r>
              <w:rPr>
                <w:spacing w:val="-6"/>
                <w:lang w:val="hu-HU"/>
              </w:rPr>
              <w:t xml:space="preserve"> </w:t>
            </w:r>
            <w:r>
              <w:rPr>
                <w:lang w:val="hu-HU"/>
              </w:rPr>
              <w:t>fekély,</w:t>
            </w:r>
            <w:r>
              <w:rPr>
                <w:spacing w:val="-5"/>
                <w:lang w:val="hu-HU"/>
              </w:rPr>
              <w:t xml:space="preserve"> </w:t>
            </w:r>
            <w:r>
              <w:rPr>
                <w:lang w:val="hu-HU"/>
              </w:rPr>
              <w:t>a nyelőcsőfekélyt</w:t>
            </w:r>
            <w:r>
              <w:rPr>
                <w:spacing w:val="-6"/>
                <w:lang w:val="hu-HU"/>
              </w:rPr>
              <w:t xml:space="preserve"> </w:t>
            </w:r>
            <w:r>
              <w:rPr>
                <w:lang w:val="hu-HU"/>
              </w:rPr>
              <w:t>is</w:t>
            </w:r>
            <w:r>
              <w:rPr>
                <w:spacing w:val="-6"/>
                <w:lang w:val="hu-HU"/>
              </w:rPr>
              <w:t xml:space="preserve"> </w:t>
            </w:r>
            <w:r>
              <w:rPr>
                <w:lang w:val="hu-HU"/>
              </w:rPr>
              <w:t>beleértve</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3"/>
        </w:trPr>
        <w:tc>
          <w:tcPr>
            <w:tcW w:w="4536" w:type="dxa"/>
          </w:tcPr>
          <w:p w:rsidR="007D7140" w:rsidRDefault="00A207BA">
            <w:pPr>
              <w:ind w:left="284"/>
              <w:rPr>
                <w:lang w:val="hu-HU"/>
              </w:rPr>
            </w:pPr>
            <w:r>
              <w:rPr>
                <w:lang w:val="hu-HU"/>
              </w:rPr>
              <w:t>Gastrooesophagitis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1"/>
        </w:trPr>
        <w:tc>
          <w:tcPr>
            <w:tcW w:w="4536" w:type="dxa"/>
          </w:tcPr>
          <w:p w:rsidR="007D7140" w:rsidRDefault="00A207BA">
            <w:pPr>
              <w:ind w:left="284"/>
              <w:rPr>
                <w:lang w:val="hu-HU"/>
              </w:rPr>
            </w:pPr>
            <w:r>
              <w:rPr>
                <w:lang w:val="hu-HU"/>
              </w:rPr>
              <w:t>Gastrooesophagealis</w:t>
            </w:r>
            <w:r>
              <w:rPr>
                <w:spacing w:val="-10"/>
                <w:lang w:val="hu-HU"/>
              </w:rPr>
              <w:t xml:space="preserve"> </w:t>
            </w:r>
            <w:r>
              <w:rPr>
                <w:lang w:val="hu-HU"/>
              </w:rPr>
              <w:t>refluxbetegség</w:t>
            </w:r>
          </w:p>
        </w:tc>
        <w:tc>
          <w:tcPr>
            <w:tcW w:w="4395" w:type="dxa"/>
          </w:tcPr>
          <w:p w:rsidR="007D7140" w:rsidRDefault="00A207BA">
            <w:pPr>
              <w:ind w:left="142"/>
              <w:jc w:val="center"/>
              <w:rPr>
                <w:lang w:val="hu-HU"/>
              </w:rPr>
            </w:pPr>
            <w:r>
              <w:rPr>
                <w:lang w:val="hu-HU"/>
              </w:rPr>
              <w:t>Gyakori</w:t>
            </w:r>
          </w:p>
        </w:tc>
      </w:tr>
      <w:tr w:rsidR="007D7140">
        <w:trPr>
          <w:trHeight w:val="254"/>
        </w:trPr>
        <w:tc>
          <w:tcPr>
            <w:tcW w:w="4536" w:type="dxa"/>
          </w:tcPr>
          <w:p w:rsidR="007D7140" w:rsidRDefault="00A207BA">
            <w:pPr>
              <w:ind w:left="284"/>
              <w:rPr>
                <w:lang w:val="hu-HU"/>
              </w:rPr>
            </w:pPr>
            <w:r>
              <w:rPr>
                <w:lang w:val="hu-HU"/>
              </w:rPr>
              <w:t>Hányás</w:t>
            </w:r>
          </w:p>
        </w:tc>
        <w:tc>
          <w:tcPr>
            <w:tcW w:w="4395" w:type="dxa"/>
          </w:tcPr>
          <w:p w:rsidR="007D7140" w:rsidRDefault="00A207BA">
            <w:pPr>
              <w:ind w:left="142"/>
              <w:jc w:val="center"/>
              <w:rPr>
                <w:lang w:val="hu-HU"/>
              </w:rPr>
            </w:pPr>
            <w:r>
              <w:rPr>
                <w:lang w:val="hu-HU"/>
              </w:rPr>
              <w:t>Gyakori</w:t>
            </w:r>
          </w:p>
        </w:tc>
      </w:tr>
      <w:tr w:rsidR="007D7140">
        <w:trPr>
          <w:trHeight w:val="251"/>
        </w:trPr>
        <w:tc>
          <w:tcPr>
            <w:tcW w:w="4536" w:type="dxa"/>
          </w:tcPr>
          <w:p w:rsidR="007D7140" w:rsidRDefault="00A207BA">
            <w:pPr>
              <w:ind w:left="284"/>
              <w:rPr>
                <w:lang w:val="hu-HU"/>
              </w:rPr>
            </w:pPr>
            <w:r>
              <w:rPr>
                <w:lang w:val="hu-HU"/>
              </w:rPr>
              <w:t>Dysphagia</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8931" w:type="dxa"/>
            <w:gridSpan w:val="2"/>
          </w:tcPr>
          <w:p w:rsidR="007D7140" w:rsidRDefault="00A207BA">
            <w:pPr>
              <w:ind w:left="142"/>
              <w:rPr>
                <w:lang w:val="hu-HU"/>
              </w:rPr>
            </w:pPr>
            <w:r>
              <w:rPr>
                <w:lang w:val="hu-HU"/>
              </w:rPr>
              <w:t>Máj-</w:t>
            </w:r>
            <w:r>
              <w:rPr>
                <w:spacing w:val="-7"/>
                <w:lang w:val="hu-HU"/>
              </w:rPr>
              <w:t xml:space="preserve"> </w:t>
            </w:r>
            <w:r>
              <w:rPr>
                <w:lang w:val="hu-HU"/>
              </w:rPr>
              <w:t>és</w:t>
            </w:r>
            <w:r>
              <w:rPr>
                <w:spacing w:val="-4"/>
                <w:lang w:val="hu-HU"/>
              </w:rPr>
              <w:t xml:space="preserve"> </w:t>
            </w:r>
            <w:r>
              <w:rPr>
                <w:lang w:val="hu-HU"/>
              </w:rPr>
              <w:t>epebetegségek,</w:t>
            </w:r>
            <w:r>
              <w:rPr>
                <w:spacing w:val="-4"/>
                <w:lang w:val="hu-HU"/>
              </w:rPr>
              <w:t xml:space="preserve"> </w:t>
            </w:r>
            <w:r>
              <w:rPr>
                <w:lang w:val="hu-HU"/>
              </w:rPr>
              <w:t>illetve</w:t>
            </w:r>
            <w:r>
              <w:rPr>
                <w:spacing w:val="-3"/>
                <w:lang w:val="hu-HU"/>
              </w:rPr>
              <w:t xml:space="preserve"> </w:t>
            </w:r>
            <w:r>
              <w:rPr>
                <w:lang w:val="hu-HU"/>
              </w:rPr>
              <w:t>tünetek</w:t>
            </w:r>
          </w:p>
        </w:tc>
      </w:tr>
      <w:tr w:rsidR="007D7140">
        <w:trPr>
          <w:trHeight w:val="506"/>
        </w:trPr>
        <w:tc>
          <w:tcPr>
            <w:tcW w:w="4536" w:type="dxa"/>
          </w:tcPr>
          <w:p w:rsidR="007D7140" w:rsidRDefault="00A207BA">
            <w:pPr>
              <w:ind w:left="284"/>
              <w:rPr>
                <w:lang w:val="hu-HU"/>
              </w:rPr>
            </w:pPr>
            <w:r>
              <w:rPr>
                <w:lang w:val="hu-HU"/>
              </w:rPr>
              <w:t>Kóros</w:t>
            </w:r>
            <w:r>
              <w:rPr>
                <w:spacing w:val="-7"/>
                <w:lang w:val="hu-HU"/>
              </w:rPr>
              <w:t xml:space="preserve"> </w:t>
            </w:r>
            <w:r>
              <w:rPr>
                <w:lang w:val="hu-HU"/>
              </w:rPr>
              <w:t>májfunkció/kóros</w:t>
            </w:r>
            <w:r>
              <w:rPr>
                <w:spacing w:val="-6"/>
                <w:lang w:val="hu-HU"/>
              </w:rPr>
              <w:t xml:space="preserve"> </w:t>
            </w:r>
            <w:r>
              <w:rPr>
                <w:lang w:val="hu-HU"/>
              </w:rPr>
              <w:t>májfunkciós vizsgálati</w:t>
            </w:r>
            <w:r>
              <w:rPr>
                <w:spacing w:val="-7"/>
                <w:lang w:val="hu-HU"/>
              </w:rPr>
              <w:t xml:space="preserve"> </w:t>
            </w:r>
            <w:r>
              <w:rPr>
                <w:lang w:val="hu-HU"/>
              </w:rPr>
              <w:t>eredmények</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1"/>
        </w:trPr>
        <w:tc>
          <w:tcPr>
            <w:tcW w:w="4536" w:type="dxa"/>
          </w:tcPr>
          <w:p w:rsidR="007D7140" w:rsidRDefault="00A207BA">
            <w:pPr>
              <w:ind w:left="284"/>
              <w:rPr>
                <w:lang w:val="hu-HU"/>
              </w:rPr>
            </w:pPr>
            <w:r>
              <w:rPr>
                <w:shd w:val="clear" w:color="auto" w:fill="FFFFFF"/>
              </w:rPr>
              <w:t>Glutamát</w:t>
            </w:r>
            <w:r>
              <w:rPr>
                <w:shd w:val="clear" w:color="auto" w:fill="FFFFFF"/>
              </w:rPr>
              <w:noBreakHyphen/>
              <w:t>piruvát</w:t>
            </w:r>
            <w:r>
              <w:rPr>
                <w:shd w:val="clear" w:color="auto" w:fill="FFFFFF"/>
              </w:rPr>
              <w:noBreakHyphen/>
              <w:t>transzamináz</w:t>
            </w:r>
            <w:r>
              <w:rPr>
                <w:lang w:val="hu-HU"/>
              </w:rPr>
              <w:t>-emelkedés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4536" w:type="dxa"/>
          </w:tcPr>
          <w:p w:rsidR="007D7140" w:rsidRDefault="00A207BA">
            <w:pPr>
              <w:ind w:left="284"/>
              <w:rPr>
                <w:lang w:val="hu-HU"/>
              </w:rPr>
            </w:pPr>
            <w:r>
              <w:t>Glutamát-oxálacetát</w:t>
            </w:r>
            <w:r>
              <w:noBreakHyphen/>
              <w:t>transzamináz</w:t>
            </w:r>
            <w:r>
              <w:rPr>
                <w:lang w:val="hu-HU"/>
              </w:rPr>
              <w:t>-emelkedés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4"/>
        </w:trPr>
        <w:tc>
          <w:tcPr>
            <w:tcW w:w="4536" w:type="dxa"/>
          </w:tcPr>
          <w:p w:rsidR="007D7140" w:rsidRDefault="00A207BA">
            <w:pPr>
              <w:ind w:left="284"/>
              <w:rPr>
                <w:lang w:val="hu-HU"/>
              </w:rPr>
            </w:pPr>
            <w:r>
              <w:rPr>
                <w:lang w:val="hu-HU"/>
              </w:rPr>
              <w:t>Májenzimszint-emelkedés</w:t>
            </w:r>
          </w:p>
        </w:tc>
        <w:tc>
          <w:tcPr>
            <w:tcW w:w="4395" w:type="dxa"/>
          </w:tcPr>
          <w:p w:rsidR="007D7140" w:rsidRDefault="00A207BA">
            <w:pPr>
              <w:ind w:left="142"/>
              <w:jc w:val="center"/>
              <w:rPr>
                <w:lang w:val="hu-HU"/>
              </w:rPr>
            </w:pPr>
            <w:r>
              <w:rPr>
                <w:lang w:val="hu-HU"/>
              </w:rPr>
              <w:t>Gyakori</w:t>
            </w:r>
          </w:p>
        </w:tc>
      </w:tr>
      <w:tr w:rsidR="007D7140">
        <w:trPr>
          <w:trHeight w:val="251"/>
        </w:trPr>
        <w:tc>
          <w:tcPr>
            <w:tcW w:w="4536" w:type="dxa"/>
          </w:tcPr>
          <w:p w:rsidR="007D7140" w:rsidRDefault="00A207BA">
            <w:pPr>
              <w:ind w:left="284"/>
              <w:rPr>
                <w:lang w:val="hu-HU"/>
              </w:rPr>
            </w:pPr>
            <w:r>
              <w:rPr>
                <w:lang w:val="hu-HU"/>
              </w:rPr>
              <w:t>Hyperbilirubinaemia</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8931" w:type="dxa"/>
            <w:gridSpan w:val="2"/>
          </w:tcPr>
          <w:p w:rsidR="007D7140" w:rsidRDefault="00A207BA" w:rsidP="00527548">
            <w:pPr>
              <w:keepNext/>
              <w:ind w:left="142"/>
              <w:rPr>
                <w:lang w:val="hu-HU"/>
              </w:rPr>
            </w:pPr>
            <w:r>
              <w:rPr>
                <w:lang w:val="hu-HU"/>
              </w:rPr>
              <w:lastRenderedPageBreak/>
              <w:t>A</w:t>
            </w:r>
            <w:r>
              <w:rPr>
                <w:spacing w:val="-3"/>
                <w:lang w:val="hu-HU"/>
              </w:rPr>
              <w:t xml:space="preserve"> </w:t>
            </w:r>
            <w:r>
              <w:rPr>
                <w:lang w:val="hu-HU"/>
              </w:rPr>
              <w:t>bőr</w:t>
            </w:r>
            <w:r>
              <w:rPr>
                <w:spacing w:val="-3"/>
                <w:lang w:val="hu-HU"/>
              </w:rPr>
              <w:t xml:space="preserve"> </w:t>
            </w:r>
            <w:r>
              <w:rPr>
                <w:lang w:val="hu-HU"/>
              </w:rPr>
              <w:t>és</w:t>
            </w:r>
            <w:r>
              <w:rPr>
                <w:spacing w:val="-3"/>
                <w:lang w:val="hu-HU"/>
              </w:rPr>
              <w:t xml:space="preserve"> </w:t>
            </w:r>
            <w:r>
              <w:rPr>
                <w:lang w:val="hu-HU"/>
              </w:rPr>
              <w:t>a</w:t>
            </w:r>
            <w:r>
              <w:rPr>
                <w:spacing w:val="-3"/>
                <w:lang w:val="hu-HU"/>
              </w:rPr>
              <w:t xml:space="preserve"> </w:t>
            </w:r>
            <w:r>
              <w:rPr>
                <w:lang w:val="hu-HU"/>
              </w:rPr>
              <w:t>bőr</w:t>
            </w:r>
            <w:r>
              <w:rPr>
                <w:spacing w:val="-2"/>
                <w:lang w:val="hu-HU"/>
              </w:rPr>
              <w:t xml:space="preserve"> </w:t>
            </w:r>
            <w:r>
              <w:rPr>
                <w:lang w:val="hu-HU"/>
              </w:rPr>
              <w:t>alatti</w:t>
            </w:r>
            <w:r>
              <w:rPr>
                <w:spacing w:val="-3"/>
                <w:lang w:val="hu-HU"/>
              </w:rPr>
              <w:t xml:space="preserve"> </w:t>
            </w:r>
            <w:r>
              <w:rPr>
                <w:lang w:val="hu-HU"/>
              </w:rPr>
              <w:t>szövet</w:t>
            </w:r>
            <w:r>
              <w:rPr>
                <w:spacing w:val="-3"/>
                <w:lang w:val="hu-HU"/>
              </w:rPr>
              <w:t xml:space="preserve"> </w:t>
            </w:r>
            <w:r>
              <w:rPr>
                <w:lang w:val="hu-HU"/>
              </w:rPr>
              <w:t>betegségei</w:t>
            </w:r>
            <w:r>
              <w:rPr>
                <w:spacing w:val="-3"/>
                <w:lang w:val="hu-HU"/>
              </w:rPr>
              <w:t xml:space="preserve"> </w:t>
            </w:r>
            <w:r>
              <w:rPr>
                <w:lang w:val="hu-HU"/>
              </w:rPr>
              <w:t>és</w:t>
            </w:r>
            <w:r>
              <w:rPr>
                <w:spacing w:val="-2"/>
                <w:lang w:val="hu-HU"/>
              </w:rPr>
              <w:t xml:space="preserve"> </w:t>
            </w:r>
            <w:r>
              <w:rPr>
                <w:lang w:val="hu-HU"/>
              </w:rPr>
              <w:t>tünetei</w:t>
            </w:r>
          </w:p>
        </w:tc>
      </w:tr>
      <w:tr w:rsidR="007D7140">
        <w:trPr>
          <w:trHeight w:val="251"/>
        </w:trPr>
        <w:tc>
          <w:tcPr>
            <w:tcW w:w="4536" w:type="dxa"/>
          </w:tcPr>
          <w:p w:rsidR="007D7140" w:rsidRDefault="00A207BA" w:rsidP="00527548">
            <w:pPr>
              <w:keepNext/>
              <w:ind w:left="284"/>
              <w:rPr>
                <w:lang w:val="hu-HU"/>
              </w:rPr>
            </w:pPr>
            <w:r>
              <w:rPr>
                <w:lang w:val="hu-HU"/>
              </w:rPr>
              <w:t>Bőrvérzés</w:t>
            </w:r>
          </w:p>
        </w:tc>
        <w:tc>
          <w:tcPr>
            <w:tcW w:w="4395" w:type="dxa"/>
          </w:tcPr>
          <w:p w:rsidR="007D7140" w:rsidRDefault="00A207BA" w:rsidP="00527548">
            <w:pPr>
              <w:keepNext/>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4536" w:type="dxa"/>
          </w:tcPr>
          <w:p w:rsidR="007D7140" w:rsidRDefault="00A207BA">
            <w:pPr>
              <w:ind w:left="284"/>
              <w:rPr>
                <w:lang w:val="hu-HU"/>
              </w:rPr>
            </w:pPr>
            <w:r>
              <w:rPr>
                <w:lang w:val="hu-HU"/>
              </w:rPr>
              <w:t>Alopecia</w:t>
            </w:r>
          </w:p>
        </w:tc>
        <w:tc>
          <w:tcPr>
            <w:tcW w:w="4395" w:type="dxa"/>
          </w:tcPr>
          <w:p w:rsidR="007D7140" w:rsidRDefault="00A207BA">
            <w:pPr>
              <w:ind w:left="142"/>
              <w:jc w:val="center"/>
              <w:rPr>
                <w:lang w:val="hu-HU"/>
              </w:rPr>
            </w:pPr>
            <w:r>
              <w:rPr>
                <w:lang w:val="hu-HU"/>
              </w:rPr>
              <w:t>Gyakori</w:t>
            </w:r>
          </w:p>
        </w:tc>
      </w:tr>
      <w:tr w:rsidR="007D7140">
        <w:trPr>
          <w:trHeight w:val="251"/>
        </w:trPr>
        <w:tc>
          <w:tcPr>
            <w:tcW w:w="8931" w:type="dxa"/>
            <w:gridSpan w:val="2"/>
          </w:tcPr>
          <w:p w:rsidR="007D7140" w:rsidRDefault="00A207BA">
            <w:pPr>
              <w:ind w:left="142"/>
              <w:rPr>
                <w:lang w:val="hu-HU"/>
              </w:rPr>
            </w:pPr>
            <w:r>
              <w:rPr>
                <w:lang w:val="hu-HU"/>
              </w:rPr>
              <w:t>A</w:t>
            </w:r>
            <w:r>
              <w:rPr>
                <w:spacing w:val="-3"/>
                <w:lang w:val="hu-HU"/>
              </w:rPr>
              <w:t xml:space="preserve"> </w:t>
            </w:r>
            <w:r>
              <w:rPr>
                <w:lang w:val="hu-HU"/>
              </w:rPr>
              <w:t>csont-</w:t>
            </w:r>
            <w:r>
              <w:rPr>
                <w:spacing w:val="-6"/>
                <w:lang w:val="hu-HU"/>
              </w:rPr>
              <w:t xml:space="preserve"> </w:t>
            </w:r>
            <w:r>
              <w:rPr>
                <w:lang w:val="hu-HU"/>
              </w:rPr>
              <w:t>és</w:t>
            </w:r>
            <w:r>
              <w:rPr>
                <w:spacing w:val="-4"/>
                <w:lang w:val="hu-HU"/>
              </w:rPr>
              <w:t xml:space="preserve"> </w:t>
            </w:r>
            <w:r>
              <w:rPr>
                <w:lang w:val="hu-HU"/>
              </w:rPr>
              <w:t>izomrendszer,</w:t>
            </w:r>
            <w:r>
              <w:rPr>
                <w:spacing w:val="-3"/>
                <w:lang w:val="hu-HU"/>
              </w:rPr>
              <w:t xml:space="preserve"> </w:t>
            </w:r>
            <w:r>
              <w:rPr>
                <w:lang w:val="hu-HU"/>
              </w:rPr>
              <w:t>valamint</w:t>
            </w:r>
            <w:r>
              <w:rPr>
                <w:spacing w:val="-4"/>
                <w:lang w:val="hu-HU"/>
              </w:rPr>
              <w:t xml:space="preserve"> </w:t>
            </w:r>
            <w:r>
              <w:rPr>
                <w:lang w:val="hu-HU"/>
              </w:rPr>
              <w:t>a</w:t>
            </w:r>
            <w:r>
              <w:rPr>
                <w:spacing w:val="-3"/>
                <w:lang w:val="hu-HU"/>
              </w:rPr>
              <w:t xml:space="preserve"> </w:t>
            </w:r>
            <w:r>
              <w:rPr>
                <w:lang w:val="hu-HU"/>
              </w:rPr>
              <w:t>kötőszövet</w:t>
            </w:r>
            <w:r>
              <w:rPr>
                <w:spacing w:val="-4"/>
                <w:lang w:val="hu-HU"/>
              </w:rPr>
              <w:t xml:space="preserve"> </w:t>
            </w:r>
            <w:r>
              <w:rPr>
                <w:lang w:val="hu-HU"/>
              </w:rPr>
              <w:t>betegségei</w:t>
            </w:r>
            <w:r>
              <w:rPr>
                <w:spacing w:val="-3"/>
                <w:lang w:val="hu-HU"/>
              </w:rPr>
              <w:t xml:space="preserve"> </w:t>
            </w:r>
            <w:r>
              <w:rPr>
                <w:lang w:val="hu-HU"/>
              </w:rPr>
              <w:t>és</w:t>
            </w:r>
            <w:r>
              <w:rPr>
                <w:spacing w:val="-4"/>
                <w:lang w:val="hu-HU"/>
              </w:rPr>
              <w:t xml:space="preserve"> </w:t>
            </w:r>
            <w:r>
              <w:rPr>
                <w:lang w:val="hu-HU"/>
              </w:rPr>
              <w:t>tünetei</w:t>
            </w:r>
          </w:p>
        </w:tc>
      </w:tr>
      <w:tr w:rsidR="007D7140">
        <w:trPr>
          <w:trHeight w:val="253"/>
        </w:trPr>
        <w:tc>
          <w:tcPr>
            <w:tcW w:w="4536" w:type="dxa"/>
          </w:tcPr>
          <w:p w:rsidR="007D7140" w:rsidRDefault="00A207BA">
            <w:pPr>
              <w:ind w:left="284"/>
              <w:rPr>
                <w:lang w:val="hu-HU"/>
              </w:rPr>
            </w:pPr>
            <w:r>
              <w:rPr>
                <w:lang w:val="hu-HU"/>
              </w:rPr>
              <w:t>Haemarthrosis</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3"/>
        </w:trPr>
        <w:tc>
          <w:tcPr>
            <w:tcW w:w="8931" w:type="dxa"/>
            <w:gridSpan w:val="2"/>
          </w:tcPr>
          <w:p w:rsidR="007D7140" w:rsidRDefault="00A207BA">
            <w:pPr>
              <w:ind w:left="142"/>
              <w:rPr>
                <w:lang w:val="hu-HU"/>
              </w:rPr>
            </w:pPr>
            <w:r>
              <w:rPr>
                <w:lang w:val="hu-HU"/>
              </w:rPr>
              <w:t>Vese-</w:t>
            </w:r>
            <w:r>
              <w:rPr>
                <w:spacing w:val="-7"/>
                <w:lang w:val="hu-HU"/>
              </w:rPr>
              <w:t xml:space="preserve"> </w:t>
            </w:r>
            <w:r>
              <w:rPr>
                <w:lang w:val="hu-HU"/>
              </w:rPr>
              <w:t>és</w:t>
            </w:r>
            <w:r>
              <w:rPr>
                <w:spacing w:val="-3"/>
                <w:lang w:val="hu-HU"/>
              </w:rPr>
              <w:t xml:space="preserve"> </w:t>
            </w:r>
            <w:r>
              <w:rPr>
                <w:lang w:val="hu-HU"/>
              </w:rPr>
              <w:t>húgyúti</w:t>
            </w:r>
            <w:r>
              <w:rPr>
                <w:spacing w:val="-4"/>
                <w:lang w:val="hu-HU"/>
              </w:rPr>
              <w:t xml:space="preserve"> </w:t>
            </w:r>
            <w:r>
              <w:rPr>
                <w:lang w:val="hu-HU"/>
              </w:rPr>
              <w:t>betegségek</w:t>
            </w:r>
            <w:r>
              <w:rPr>
                <w:spacing w:val="-3"/>
                <w:lang w:val="hu-HU"/>
              </w:rPr>
              <w:t xml:space="preserve"> </w:t>
            </w:r>
            <w:r>
              <w:rPr>
                <w:lang w:val="hu-HU"/>
              </w:rPr>
              <w:t>és</w:t>
            </w:r>
            <w:r>
              <w:rPr>
                <w:spacing w:val="-4"/>
                <w:lang w:val="hu-HU"/>
              </w:rPr>
              <w:t xml:space="preserve"> </w:t>
            </w:r>
            <w:r>
              <w:rPr>
                <w:lang w:val="hu-HU"/>
              </w:rPr>
              <w:t>tünetek</w:t>
            </w:r>
          </w:p>
        </w:tc>
      </w:tr>
      <w:tr w:rsidR="007D7140">
        <w:trPr>
          <w:trHeight w:val="273"/>
        </w:trPr>
        <w:tc>
          <w:tcPr>
            <w:tcW w:w="4536" w:type="dxa"/>
          </w:tcPr>
          <w:p w:rsidR="007D7140" w:rsidRDefault="00A207BA">
            <w:pPr>
              <w:ind w:left="284"/>
              <w:rPr>
                <w:lang w:val="hu-HU"/>
              </w:rPr>
            </w:pPr>
            <w:r>
              <w:rPr>
                <w:lang w:val="hu-HU"/>
              </w:rPr>
              <w:t>Urogenitális</w:t>
            </w:r>
            <w:r>
              <w:rPr>
                <w:spacing w:val="-5"/>
                <w:lang w:val="hu-HU"/>
              </w:rPr>
              <w:t xml:space="preserve"> </w:t>
            </w:r>
            <w:r>
              <w:rPr>
                <w:lang w:val="hu-HU"/>
              </w:rPr>
              <w:t>vérzés,</w:t>
            </w:r>
            <w:r>
              <w:rPr>
                <w:spacing w:val="-4"/>
                <w:lang w:val="hu-HU"/>
              </w:rPr>
              <w:t xml:space="preserve"> </w:t>
            </w:r>
            <w:r>
              <w:rPr>
                <w:lang w:val="hu-HU"/>
              </w:rPr>
              <w:t>a</w:t>
            </w:r>
            <w:r>
              <w:rPr>
                <w:spacing w:val="-5"/>
                <w:lang w:val="hu-HU"/>
              </w:rPr>
              <w:t xml:space="preserve"> </w:t>
            </w:r>
            <w:r>
              <w:rPr>
                <w:lang w:val="hu-HU"/>
              </w:rPr>
              <w:t>haematuriát</w:t>
            </w:r>
            <w:r>
              <w:rPr>
                <w:spacing w:val="-4"/>
                <w:lang w:val="hu-HU"/>
              </w:rPr>
              <w:t xml:space="preserve"> </w:t>
            </w:r>
            <w:r>
              <w:rPr>
                <w:lang w:val="hu-HU"/>
              </w:rPr>
              <w:t>is beleértve</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1"/>
        </w:trPr>
        <w:tc>
          <w:tcPr>
            <w:tcW w:w="8931" w:type="dxa"/>
            <w:gridSpan w:val="2"/>
          </w:tcPr>
          <w:p w:rsidR="007D7140" w:rsidRDefault="00A207BA">
            <w:pPr>
              <w:ind w:left="142"/>
              <w:rPr>
                <w:lang w:val="hu-HU"/>
              </w:rPr>
            </w:pPr>
            <w:r>
              <w:rPr>
                <w:lang w:val="hu-HU"/>
              </w:rPr>
              <w:t>Általános</w:t>
            </w:r>
            <w:r>
              <w:rPr>
                <w:spacing w:val="-5"/>
                <w:lang w:val="hu-HU"/>
              </w:rPr>
              <w:t xml:space="preserve"> </w:t>
            </w:r>
            <w:r>
              <w:rPr>
                <w:lang w:val="hu-HU"/>
              </w:rPr>
              <w:t>tünetek,</w:t>
            </w:r>
            <w:r>
              <w:rPr>
                <w:spacing w:val="-5"/>
                <w:lang w:val="hu-HU"/>
              </w:rPr>
              <w:t xml:space="preserve"> </w:t>
            </w:r>
            <w:r>
              <w:rPr>
                <w:lang w:val="hu-HU"/>
              </w:rPr>
              <w:t>az</w:t>
            </w:r>
            <w:r>
              <w:rPr>
                <w:spacing w:val="-4"/>
                <w:lang w:val="hu-HU"/>
              </w:rPr>
              <w:t xml:space="preserve"> </w:t>
            </w:r>
            <w:r>
              <w:rPr>
                <w:lang w:val="hu-HU"/>
              </w:rPr>
              <w:t>alkalmazás</w:t>
            </w:r>
            <w:r>
              <w:rPr>
                <w:spacing w:val="-5"/>
                <w:lang w:val="hu-HU"/>
              </w:rPr>
              <w:t xml:space="preserve"> </w:t>
            </w:r>
            <w:r>
              <w:rPr>
                <w:lang w:val="hu-HU"/>
              </w:rPr>
              <w:t>helyén</w:t>
            </w:r>
            <w:r>
              <w:rPr>
                <w:spacing w:val="-5"/>
                <w:lang w:val="hu-HU"/>
              </w:rPr>
              <w:t xml:space="preserve"> </w:t>
            </w:r>
            <w:r>
              <w:rPr>
                <w:lang w:val="hu-HU"/>
              </w:rPr>
              <w:t>fellépő</w:t>
            </w:r>
            <w:r>
              <w:rPr>
                <w:spacing w:val="-4"/>
                <w:lang w:val="hu-HU"/>
              </w:rPr>
              <w:t xml:space="preserve"> </w:t>
            </w:r>
            <w:r>
              <w:rPr>
                <w:lang w:val="hu-HU"/>
              </w:rPr>
              <w:t>reakciók</w:t>
            </w:r>
          </w:p>
        </w:tc>
      </w:tr>
      <w:tr w:rsidR="007D7140">
        <w:trPr>
          <w:trHeight w:val="253"/>
        </w:trPr>
        <w:tc>
          <w:tcPr>
            <w:tcW w:w="4536" w:type="dxa"/>
          </w:tcPr>
          <w:p w:rsidR="007D7140" w:rsidRDefault="00A207BA">
            <w:pPr>
              <w:ind w:left="284"/>
              <w:rPr>
                <w:lang w:val="hu-HU"/>
              </w:rPr>
            </w:pPr>
            <w:r>
              <w:rPr>
                <w:lang w:val="hu-HU"/>
              </w:rPr>
              <w:t>Vérzés</w:t>
            </w:r>
            <w:r>
              <w:rPr>
                <w:spacing w:val="-5"/>
                <w:lang w:val="hu-HU"/>
              </w:rPr>
              <w:t xml:space="preserve"> </w:t>
            </w:r>
            <w:r>
              <w:rPr>
                <w:lang w:val="hu-HU"/>
              </w:rPr>
              <w:t>az</w:t>
            </w:r>
            <w:r>
              <w:rPr>
                <w:spacing w:val="-4"/>
                <w:lang w:val="hu-HU"/>
              </w:rPr>
              <w:t xml:space="preserve"> </w:t>
            </w:r>
            <w:r>
              <w:rPr>
                <w:lang w:val="hu-HU"/>
              </w:rPr>
              <w:t>injekció</w:t>
            </w:r>
            <w:r>
              <w:rPr>
                <w:spacing w:val="-4"/>
                <w:lang w:val="hu-HU"/>
              </w:rPr>
              <w:t xml:space="preserve"> </w:t>
            </w:r>
            <w:r>
              <w:rPr>
                <w:lang w:val="hu-HU"/>
              </w:rPr>
              <w:t>beadásának</w:t>
            </w:r>
            <w:r>
              <w:rPr>
                <w:spacing w:val="-4"/>
                <w:lang w:val="hu-HU"/>
              </w:rPr>
              <w:t xml:space="preserve"> </w:t>
            </w:r>
            <w:r>
              <w:rPr>
                <w:lang w:val="hu-HU"/>
              </w:rPr>
              <w:t>helyén</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1"/>
        </w:trPr>
        <w:tc>
          <w:tcPr>
            <w:tcW w:w="4536" w:type="dxa"/>
          </w:tcPr>
          <w:p w:rsidR="007D7140" w:rsidRDefault="00A207BA">
            <w:pPr>
              <w:ind w:left="284"/>
              <w:rPr>
                <w:lang w:val="hu-HU"/>
              </w:rPr>
            </w:pPr>
            <w:r>
              <w:rPr>
                <w:lang w:val="hu-HU"/>
              </w:rPr>
              <w:t>Vérzés</w:t>
            </w:r>
            <w:r>
              <w:rPr>
                <w:spacing w:val="-3"/>
                <w:lang w:val="hu-HU"/>
              </w:rPr>
              <w:t xml:space="preserve"> </w:t>
            </w:r>
            <w:r>
              <w:rPr>
                <w:lang w:val="hu-HU"/>
              </w:rPr>
              <w:t>a</w:t>
            </w:r>
            <w:r>
              <w:rPr>
                <w:spacing w:val="-3"/>
                <w:lang w:val="hu-HU"/>
              </w:rPr>
              <w:t xml:space="preserve"> </w:t>
            </w:r>
            <w:r>
              <w:rPr>
                <w:lang w:val="hu-HU"/>
              </w:rPr>
              <w:t>kanül</w:t>
            </w:r>
            <w:r>
              <w:rPr>
                <w:spacing w:val="-3"/>
                <w:lang w:val="hu-HU"/>
              </w:rPr>
              <w:t xml:space="preserve"> felvezetésének </w:t>
            </w:r>
            <w:r>
              <w:rPr>
                <w:lang w:val="hu-HU"/>
              </w:rPr>
              <w:t>helyén</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r w:rsidR="007D7140">
        <w:trPr>
          <w:trHeight w:val="254"/>
        </w:trPr>
        <w:tc>
          <w:tcPr>
            <w:tcW w:w="8931" w:type="dxa"/>
            <w:gridSpan w:val="2"/>
          </w:tcPr>
          <w:p w:rsidR="007D7140" w:rsidRDefault="00A207BA">
            <w:pPr>
              <w:ind w:left="142"/>
              <w:rPr>
                <w:lang w:val="hu-HU"/>
              </w:rPr>
            </w:pPr>
            <w:r>
              <w:rPr>
                <w:lang w:val="hu-HU"/>
              </w:rPr>
              <w:t>Sérülés,</w:t>
            </w:r>
            <w:r>
              <w:rPr>
                <w:spacing w:val="-5"/>
                <w:lang w:val="hu-HU"/>
              </w:rPr>
              <w:t xml:space="preserve"> </w:t>
            </w:r>
            <w:r>
              <w:rPr>
                <w:lang w:val="hu-HU"/>
              </w:rPr>
              <w:t>mérgezés</w:t>
            </w:r>
            <w:r>
              <w:rPr>
                <w:spacing w:val="-5"/>
                <w:lang w:val="hu-HU"/>
              </w:rPr>
              <w:t xml:space="preserve"> </w:t>
            </w:r>
            <w:r>
              <w:rPr>
                <w:lang w:val="hu-HU"/>
              </w:rPr>
              <w:t>és</w:t>
            </w:r>
            <w:r>
              <w:rPr>
                <w:spacing w:val="-5"/>
                <w:lang w:val="hu-HU"/>
              </w:rPr>
              <w:t xml:space="preserve"> </w:t>
            </w:r>
            <w:r>
              <w:rPr>
                <w:lang w:val="hu-HU"/>
              </w:rPr>
              <w:t>a</w:t>
            </w:r>
            <w:r>
              <w:rPr>
                <w:spacing w:val="-5"/>
                <w:lang w:val="hu-HU"/>
              </w:rPr>
              <w:t xml:space="preserve"> </w:t>
            </w:r>
            <w:r>
              <w:rPr>
                <w:lang w:val="hu-HU"/>
              </w:rPr>
              <w:t>beavatkozással</w:t>
            </w:r>
            <w:r>
              <w:rPr>
                <w:spacing w:val="-5"/>
                <w:lang w:val="hu-HU"/>
              </w:rPr>
              <w:t xml:space="preserve"> </w:t>
            </w:r>
            <w:r>
              <w:rPr>
                <w:lang w:val="hu-HU"/>
              </w:rPr>
              <w:t>kapcsolatos</w:t>
            </w:r>
            <w:r>
              <w:rPr>
                <w:spacing w:val="-5"/>
                <w:lang w:val="hu-HU"/>
              </w:rPr>
              <w:t xml:space="preserve"> </w:t>
            </w:r>
            <w:r>
              <w:rPr>
                <w:lang w:val="hu-HU"/>
              </w:rPr>
              <w:t>szövődmények</w:t>
            </w:r>
          </w:p>
        </w:tc>
      </w:tr>
      <w:tr w:rsidR="007D7140">
        <w:trPr>
          <w:trHeight w:val="251"/>
        </w:trPr>
        <w:tc>
          <w:tcPr>
            <w:tcW w:w="4536" w:type="dxa"/>
          </w:tcPr>
          <w:p w:rsidR="007D7140" w:rsidRDefault="00A207BA">
            <w:pPr>
              <w:ind w:left="284"/>
              <w:rPr>
                <w:lang w:val="hu-HU"/>
              </w:rPr>
            </w:pPr>
            <w:r>
              <w:rPr>
                <w:lang w:val="hu-HU"/>
              </w:rPr>
              <w:t>Traumás</w:t>
            </w:r>
            <w:r>
              <w:rPr>
                <w:spacing w:val="-5"/>
                <w:lang w:val="hu-HU"/>
              </w:rPr>
              <w:t xml:space="preserve"> </w:t>
            </w:r>
            <w:r>
              <w:rPr>
                <w:lang w:val="hu-HU"/>
              </w:rPr>
              <w:t>vérzés</w:t>
            </w:r>
          </w:p>
        </w:tc>
        <w:tc>
          <w:tcPr>
            <w:tcW w:w="4395" w:type="dxa"/>
          </w:tcPr>
          <w:p w:rsidR="007D7140" w:rsidRDefault="00A207BA">
            <w:pPr>
              <w:ind w:left="142"/>
              <w:jc w:val="center"/>
              <w:rPr>
                <w:lang w:val="hu-HU"/>
              </w:rPr>
            </w:pPr>
            <w:r>
              <w:rPr>
                <w:lang w:val="hu-HU"/>
              </w:rPr>
              <w:t>Nem</w:t>
            </w:r>
            <w:r>
              <w:rPr>
                <w:spacing w:val="-4"/>
                <w:lang w:val="hu-HU"/>
              </w:rPr>
              <w:t xml:space="preserve"> </w:t>
            </w:r>
            <w:r>
              <w:rPr>
                <w:lang w:val="hu-HU"/>
              </w:rPr>
              <w:t>gyakori</w:t>
            </w:r>
          </w:p>
        </w:tc>
      </w:tr>
      <w:tr w:rsidR="007D7140">
        <w:trPr>
          <w:trHeight w:val="253"/>
        </w:trPr>
        <w:tc>
          <w:tcPr>
            <w:tcW w:w="4536" w:type="dxa"/>
          </w:tcPr>
          <w:p w:rsidR="007D7140" w:rsidRDefault="00A207BA">
            <w:pPr>
              <w:ind w:left="284"/>
              <w:rPr>
                <w:lang w:val="hu-HU"/>
              </w:rPr>
            </w:pPr>
            <w:r>
              <w:rPr>
                <w:lang w:val="hu-HU"/>
              </w:rPr>
              <w:t>Vérzés</w:t>
            </w:r>
            <w:r>
              <w:rPr>
                <w:spacing w:val="-4"/>
                <w:lang w:val="hu-HU"/>
              </w:rPr>
              <w:t xml:space="preserve"> </w:t>
            </w:r>
            <w:r>
              <w:rPr>
                <w:lang w:val="hu-HU"/>
              </w:rPr>
              <w:t>a</w:t>
            </w:r>
            <w:r>
              <w:rPr>
                <w:spacing w:val="-4"/>
                <w:lang w:val="hu-HU"/>
              </w:rPr>
              <w:t xml:space="preserve"> </w:t>
            </w:r>
            <w:r>
              <w:rPr>
                <w:lang w:val="hu-HU"/>
              </w:rPr>
              <w:t>bemetszés</w:t>
            </w:r>
            <w:r>
              <w:rPr>
                <w:spacing w:val="-3"/>
                <w:lang w:val="hu-HU"/>
              </w:rPr>
              <w:t xml:space="preserve"> </w:t>
            </w:r>
            <w:r>
              <w:rPr>
                <w:lang w:val="hu-HU"/>
              </w:rPr>
              <w:t>helyén</w:t>
            </w:r>
          </w:p>
        </w:tc>
        <w:tc>
          <w:tcPr>
            <w:tcW w:w="4395" w:type="dxa"/>
          </w:tcPr>
          <w:p w:rsidR="007D7140" w:rsidRDefault="00A207BA">
            <w:pPr>
              <w:ind w:left="142"/>
              <w:jc w:val="center"/>
              <w:rPr>
                <w:lang w:val="hu-HU"/>
              </w:rPr>
            </w:pPr>
            <w:r>
              <w:rPr>
                <w:lang w:val="hu-HU"/>
              </w:rPr>
              <w:t>Nem</w:t>
            </w:r>
            <w:r>
              <w:rPr>
                <w:spacing w:val="-3"/>
                <w:lang w:val="hu-HU"/>
              </w:rPr>
              <w:t xml:space="preserve"> </w:t>
            </w:r>
            <w:r>
              <w:rPr>
                <w:lang w:val="hu-HU"/>
              </w:rPr>
              <w:t>ismert</w:t>
            </w:r>
          </w:p>
        </w:tc>
      </w:tr>
    </w:tbl>
    <w:p w:rsidR="007D7140" w:rsidRDefault="007D7140">
      <w:pPr>
        <w:rPr>
          <w:i/>
          <w:u w:val="single"/>
          <w:lang w:val="hu-HU"/>
        </w:rPr>
      </w:pPr>
    </w:p>
    <w:p w:rsidR="007D7140" w:rsidRDefault="00A207BA">
      <w:pPr>
        <w:rPr>
          <w:i/>
          <w:lang w:val="hu-HU"/>
        </w:rPr>
      </w:pPr>
      <w:r>
        <w:rPr>
          <w:i/>
          <w:u w:val="single"/>
          <w:lang w:val="hu-HU"/>
        </w:rPr>
        <w:t>Vérzéses</w:t>
      </w:r>
      <w:r>
        <w:rPr>
          <w:i/>
          <w:spacing w:val="-5"/>
          <w:u w:val="single"/>
          <w:lang w:val="hu-HU"/>
        </w:rPr>
        <w:t xml:space="preserve"> </w:t>
      </w:r>
      <w:r>
        <w:rPr>
          <w:i/>
          <w:u w:val="single"/>
          <w:lang w:val="hu-HU"/>
        </w:rPr>
        <w:t>reakciók</w:t>
      </w:r>
    </w:p>
    <w:p w:rsidR="007D7140" w:rsidRDefault="007D7140">
      <w:pPr>
        <w:rPr>
          <w:i/>
          <w:lang w:val="hu-HU"/>
        </w:rPr>
      </w:pPr>
    </w:p>
    <w:p w:rsidR="007D7140" w:rsidRDefault="00A207BA">
      <w:pPr>
        <w:rPr>
          <w:lang w:val="hu-HU"/>
        </w:rPr>
      </w:pPr>
      <w:r>
        <w:rPr>
          <w:lang w:val="hu-HU"/>
        </w:rPr>
        <w:t>A két, III. fázisú vizsgálatban, VTE kezelése és VTE kiújulásának megelőzése gyermekeknél és</w:t>
      </w:r>
      <w:r>
        <w:rPr>
          <w:spacing w:val="1"/>
          <w:lang w:val="hu-HU"/>
        </w:rPr>
        <w:t xml:space="preserve"> </w:t>
      </w:r>
      <w:r>
        <w:rPr>
          <w:lang w:val="hu-HU"/>
        </w:rPr>
        <w:t>serdülőknél indikációban összesen 7 beteg (2,1%) tapasztalt egy major vérzéses eseményt, 5 beteg</w:t>
      </w:r>
      <w:r>
        <w:rPr>
          <w:spacing w:val="1"/>
          <w:lang w:val="hu-HU"/>
        </w:rPr>
        <w:t xml:space="preserve"> </w:t>
      </w:r>
      <w:r>
        <w:rPr>
          <w:lang w:val="hu-HU"/>
        </w:rPr>
        <w:t>(1,5%) egy klinikailag jelentős, nem major vérzéses eseményt és 75 beteg (22,9%) egy kisebb</w:t>
      </w:r>
      <w:r>
        <w:rPr>
          <w:spacing w:val="1"/>
          <w:lang w:val="hu-HU"/>
        </w:rPr>
        <w:t xml:space="preserve"> </w:t>
      </w:r>
      <w:r>
        <w:rPr>
          <w:lang w:val="hu-HU"/>
        </w:rPr>
        <w:t>vérzéses eseményt. A vérzéses események gyakorisága összességében magasabb volt az idősebb</w:t>
      </w:r>
      <w:r>
        <w:rPr>
          <w:spacing w:val="1"/>
          <w:lang w:val="hu-HU"/>
        </w:rPr>
        <w:t xml:space="preserve"> </w:t>
      </w:r>
      <w:r>
        <w:rPr>
          <w:lang w:val="hu-HU"/>
        </w:rPr>
        <w:t>korcsoportban (12 </w:t>
      </w:r>
      <w:r>
        <w:rPr>
          <w:lang w:val="hu-HU"/>
        </w:rPr>
        <w:noBreakHyphen/>
        <w:t> &lt; 18 évesek: 28,6%), mint a fiatalabb korcsoportokban (születés – &lt; 2 évesek: 23,3%; 2 – &lt; 12 évesek: 16,2%). A major vagy súlyos vérzések lokalizációjuktól függetlenül</w:t>
      </w:r>
      <w:r>
        <w:rPr>
          <w:spacing w:val="1"/>
          <w:lang w:val="hu-HU"/>
        </w:rPr>
        <w:t xml:space="preserve"> </w:t>
      </w:r>
      <w:r>
        <w:rPr>
          <w:lang w:val="hu-HU"/>
        </w:rPr>
        <w:t>rokkantsághoz,</w:t>
      </w:r>
      <w:r>
        <w:rPr>
          <w:spacing w:val="-4"/>
          <w:lang w:val="hu-HU"/>
        </w:rPr>
        <w:t xml:space="preserve"> </w:t>
      </w:r>
      <w:r>
        <w:rPr>
          <w:lang w:val="hu-HU"/>
        </w:rPr>
        <w:t>életet</w:t>
      </w:r>
      <w:r>
        <w:rPr>
          <w:spacing w:val="-3"/>
          <w:lang w:val="hu-HU"/>
        </w:rPr>
        <w:t xml:space="preserve"> </w:t>
      </w:r>
      <w:r>
        <w:rPr>
          <w:lang w:val="hu-HU"/>
        </w:rPr>
        <w:t>veszélyeztető</w:t>
      </w:r>
      <w:r>
        <w:rPr>
          <w:spacing w:val="-3"/>
          <w:lang w:val="hu-HU"/>
        </w:rPr>
        <w:t xml:space="preserve"> </w:t>
      </w:r>
      <w:r>
        <w:rPr>
          <w:lang w:val="hu-HU"/>
        </w:rPr>
        <w:t>állapothoz</w:t>
      </w:r>
      <w:r>
        <w:rPr>
          <w:spacing w:val="-3"/>
          <w:lang w:val="hu-HU"/>
        </w:rPr>
        <w:t xml:space="preserve"> </w:t>
      </w:r>
      <w:r>
        <w:rPr>
          <w:lang w:val="hu-HU"/>
        </w:rPr>
        <w:t>vagy</w:t>
      </w:r>
      <w:r>
        <w:rPr>
          <w:spacing w:val="-4"/>
          <w:lang w:val="hu-HU"/>
        </w:rPr>
        <w:t xml:space="preserve"> </w:t>
      </w:r>
      <w:r>
        <w:rPr>
          <w:lang w:val="hu-HU"/>
        </w:rPr>
        <w:t>akár</w:t>
      </w:r>
      <w:r>
        <w:rPr>
          <w:spacing w:val="-3"/>
          <w:lang w:val="hu-HU"/>
        </w:rPr>
        <w:t xml:space="preserve"> </w:t>
      </w:r>
      <w:r>
        <w:rPr>
          <w:lang w:val="hu-HU"/>
        </w:rPr>
        <w:t>halálos</w:t>
      </w:r>
      <w:r>
        <w:rPr>
          <w:spacing w:val="-3"/>
          <w:lang w:val="hu-HU"/>
        </w:rPr>
        <w:t xml:space="preserve"> </w:t>
      </w:r>
      <w:r>
        <w:rPr>
          <w:lang w:val="hu-HU"/>
        </w:rPr>
        <w:t>kimenetelhez</w:t>
      </w:r>
      <w:r>
        <w:rPr>
          <w:spacing w:val="-3"/>
          <w:lang w:val="hu-HU"/>
        </w:rPr>
        <w:t xml:space="preserve"> </w:t>
      </w:r>
      <w:r>
        <w:rPr>
          <w:lang w:val="hu-HU"/>
        </w:rPr>
        <w:t>vezethetnek.</w:t>
      </w:r>
    </w:p>
    <w:p w:rsidR="007D7140" w:rsidRDefault="007D7140">
      <w:pPr>
        <w:rPr>
          <w:lang w:val="hu-HU"/>
        </w:rPr>
      </w:pPr>
    </w:p>
    <w:p w:rsidR="007D7140" w:rsidRDefault="00A207BA">
      <w:pPr>
        <w:rPr>
          <w:lang w:val="hu-HU"/>
        </w:rPr>
      </w:pPr>
      <w:r>
        <w:rPr>
          <w:u w:val="single"/>
          <w:lang w:val="hu-HU"/>
        </w:rPr>
        <w:t>Feltételezett</w:t>
      </w:r>
      <w:r>
        <w:rPr>
          <w:spacing w:val="-8"/>
          <w:u w:val="single"/>
          <w:lang w:val="hu-HU"/>
        </w:rPr>
        <w:t xml:space="preserve"> </w:t>
      </w:r>
      <w:r>
        <w:rPr>
          <w:u w:val="single"/>
          <w:lang w:val="hu-HU"/>
        </w:rPr>
        <w:t>mellékhatások</w:t>
      </w:r>
      <w:r>
        <w:rPr>
          <w:spacing w:val="-8"/>
          <w:u w:val="single"/>
          <w:lang w:val="hu-HU"/>
        </w:rPr>
        <w:t xml:space="preserve"> </w:t>
      </w:r>
      <w:r>
        <w:rPr>
          <w:u w:val="single"/>
          <w:lang w:val="hu-HU"/>
        </w:rPr>
        <w:t>bejelentése</w:t>
      </w:r>
    </w:p>
    <w:p w:rsidR="007D7140" w:rsidRDefault="00A207BA">
      <w:pPr>
        <w:rPr>
          <w:lang w:val="hu-HU"/>
        </w:rPr>
      </w:pPr>
      <w:r>
        <w:rPr>
          <w:lang w:val="hu-HU"/>
        </w:rPr>
        <w:t>A gyógyszer engedélyezését követően lényeges a feltételezett mellékhatások bejelentése, mert ez</w:t>
      </w:r>
      <w:r>
        <w:rPr>
          <w:spacing w:val="1"/>
          <w:lang w:val="hu-HU"/>
        </w:rPr>
        <w:t xml:space="preserve"> </w:t>
      </w:r>
      <w:r>
        <w:rPr>
          <w:lang w:val="hu-HU"/>
        </w:rPr>
        <w:t>fontos eszköze annak, hogy a gyógyszer előny/kockázat profilját folyamatosan figyelemmel lehessen kísérni. Az egészségügyi szakembereket kérjük, hogy jelentsék be a feltételezett mellékhatásokat a</w:t>
      </w:r>
      <w:r>
        <w:rPr>
          <w:spacing w:val="1"/>
          <w:lang w:val="hu-HU"/>
        </w:rPr>
        <w:t xml:space="preserve"> </w:t>
      </w:r>
      <w:r>
        <w:rPr>
          <w:lang w:val="hu-HU"/>
        </w:rPr>
        <w:t>hatóság</w:t>
      </w:r>
      <w:r>
        <w:rPr>
          <w:spacing w:val="-2"/>
          <w:lang w:val="hu-HU"/>
        </w:rPr>
        <w:t xml:space="preserve"> </w:t>
      </w:r>
      <w:r>
        <w:rPr>
          <w:lang w:val="hu-HU"/>
        </w:rPr>
        <w:t>részére</w:t>
      </w:r>
      <w:r>
        <w:rPr>
          <w:spacing w:val="-2"/>
          <w:lang w:val="hu-HU"/>
        </w:rPr>
        <w:t xml:space="preserve"> </w:t>
      </w:r>
      <w:r>
        <w:rPr>
          <w:lang w:val="hu-HU"/>
        </w:rPr>
        <w:t>az</w:t>
      </w:r>
      <w:r>
        <w:rPr>
          <w:spacing w:val="-2"/>
          <w:lang w:val="hu-HU"/>
        </w:rPr>
        <w:t xml:space="preserve"> </w:t>
      </w:r>
      <w:hyperlink r:id="rId7">
        <w:r>
          <w:rPr>
            <w:color w:val="0000FF"/>
            <w:highlight w:val="lightGray"/>
            <w:u w:val="single" w:color="0000FD"/>
            <w:lang w:val="hu-HU"/>
          </w:rPr>
          <w:t>V.</w:t>
        </w:r>
        <w:r>
          <w:rPr>
            <w:color w:val="0000FF"/>
            <w:spacing w:val="-4"/>
            <w:highlight w:val="lightGray"/>
            <w:u w:val="single" w:color="0000FD"/>
            <w:lang w:val="hu-HU"/>
          </w:rPr>
          <w:t xml:space="preserve"> </w:t>
        </w:r>
        <w:r>
          <w:rPr>
            <w:color w:val="0000FF"/>
            <w:highlight w:val="lightGray"/>
            <w:u w:val="single" w:color="0000FD"/>
            <w:lang w:val="hu-HU"/>
          </w:rPr>
          <w:t>függelékben</w:t>
        </w:r>
        <w:r>
          <w:rPr>
            <w:color w:val="0000FF"/>
            <w:spacing w:val="-1"/>
            <w:highlight w:val="lightGray"/>
            <w:lang w:val="hu-HU"/>
          </w:rPr>
          <w:t xml:space="preserve"> </w:t>
        </w:r>
      </w:hyperlink>
      <w:r>
        <w:rPr>
          <w:highlight w:val="lightGray"/>
          <w:lang w:val="hu-HU"/>
        </w:rPr>
        <w:t>található</w:t>
      </w:r>
      <w:r>
        <w:rPr>
          <w:spacing w:val="-2"/>
          <w:highlight w:val="lightGray"/>
          <w:lang w:val="hu-HU"/>
        </w:rPr>
        <w:t xml:space="preserve"> </w:t>
      </w:r>
      <w:r>
        <w:rPr>
          <w:highlight w:val="lightGray"/>
          <w:lang w:val="hu-HU"/>
        </w:rPr>
        <w:t>elérhetőségek</w:t>
      </w:r>
      <w:r>
        <w:rPr>
          <w:spacing w:val="-2"/>
          <w:highlight w:val="lightGray"/>
          <w:lang w:val="hu-HU"/>
        </w:rPr>
        <w:t xml:space="preserve"> </w:t>
      </w:r>
      <w:r>
        <w:rPr>
          <w:highlight w:val="lightGray"/>
          <w:lang w:val="hu-HU"/>
        </w:rPr>
        <w:t>valamelyikén</w:t>
      </w:r>
      <w:r>
        <w:rPr>
          <w:spacing w:val="-2"/>
          <w:lang w:val="hu-HU"/>
        </w:rPr>
        <w:t xml:space="preserve"> </w:t>
      </w:r>
      <w:r>
        <w:rPr>
          <w:lang w:val="hu-HU"/>
        </w:rPr>
        <w:t>keresztül.</w:t>
      </w:r>
    </w:p>
    <w:p w:rsidR="007D7140" w:rsidRDefault="007D7140">
      <w:pPr>
        <w:rPr>
          <w:lang w:val="hu-HU"/>
        </w:rPr>
      </w:pPr>
    </w:p>
    <w:p w:rsidR="007D7140" w:rsidRDefault="00A207BA">
      <w:pPr>
        <w:tabs>
          <w:tab w:val="left" w:pos="567"/>
        </w:tabs>
        <w:rPr>
          <w:b/>
          <w:bCs/>
          <w:lang w:val="hu-HU"/>
        </w:rPr>
      </w:pPr>
      <w:r>
        <w:rPr>
          <w:b/>
          <w:bCs/>
          <w:lang w:val="hu-HU"/>
        </w:rPr>
        <w:t>4.9</w:t>
      </w:r>
      <w:r>
        <w:rPr>
          <w:b/>
          <w:bCs/>
          <w:lang w:val="hu-HU"/>
        </w:rPr>
        <w:tab/>
        <w:t>Túladagolás</w:t>
      </w:r>
    </w:p>
    <w:p w:rsidR="007D7140" w:rsidRDefault="007D7140">
      <w:pPr>
        <w:rPr>
          <w:lang w:val="hu-HU"/>
        </w:rPr>
      </w:pPr>
    </w:p>
    <w:p w:rsidR="007D7140" w:rsidRDefault="00A207BA">
      <w:pPr>
        <w:rPr>
          <w:spacing w:val="1"/>
          <w:lang w:val="hu-HU"/>
        </w:rPr>
      </w:pPr>
      <w:r>
        <w:rPr>
          <w:lang w:val="hu-HU"/>
        </w:rPr>
        <w:t>Az ajánlottnál nagyobb dabigatrán</w:t>
      </w:r>
      <w:r>
        <w:rPr>
          <w:lang w:val="hu-HU"/>
        </w:rPr>
        <w:noBreakHyphen/>
        <w:t>etexilát dózisok a beteget fokozott vérzésveszélynek teszik ki.</w:t>
      </w:r>
      <w:r>
        <w:rPr>
          <w:spacing w:val="1"/>
          <w:lang w:val="hu-HU"/>
        </w:rPr>
        <w:t xml:space="preserve"> </w:t>
      </w:r>
    </w:p>
    <w:p w:rsidR="007D7140" w:rsidRDefault="007D7140">
      <w:pPr>
        <w:rPr>
          <w:spacing w:val="1"/>
          <w:lang w:val="hu-HU"/>
        </w:rPr>
      </w:pPr>
    </w:p>
    <w:p w:rsidR="007D7140" w:rsidRDefault="00A207BA">
      <w:pPr>
        <w:rPr>
          <w:lang w:val="hu-HU"/>
        </w:rPr>
      </w:pPr>
      <w:r>
        <w:rPr>
          <w:lang w:val="hu-HU"/>
        </w:rPr>
        <w:t>Túladagolás</w:t>
      </w:r>
      <w:r>
        <w:rPr>
          <w:spacing w:val="-5"/>
          <w:lang w:val="hu-HU"/>
        </w:rPr>
        <w:t xml:space="preserve"> </w:t>
      </w:r>
      <w:r>
        <w:rPr>
          <w:lang w:val="hu-HU"/>
        </w:rPr>
        <w:t>gyanúja</w:t>
      </w:r>
      <w:r>
        <w:rPr>
          <w:spacing w:val="-4"/>
          <w:lang w:val="hu-HU"/>
        </w:rPr>
        <w:t xml:space="preserve"> </w:t>
      </w:r>
      <w:r>
        <w:rPr>
          <w:lang w:val="hu-HU"/>
        </w:rPr>
        <w:t>esetén</w:t>
      </w:r>
      <w:r>
        <w:rPr>
          <w:spacing w:val="-5"/>
          <w:lang w:val="hu-HU"/>
        </w:rPr>
        <w:t xml:space="preserve"> </w:t>
      </w:r>
      <w:r>
        <w:rPr>
          <w:lang w:val="hu-HU"/>
        </w:rPr>
        <w:t>alvadási</w:t>
      </w:r>
      <w:r>
        <w:rPr>
          <w:spacing w:val="-4"/>
          <w:lang w:val="hu-HU"/>
        </w:rPr>
        <w:t xml:space="preserve"> </w:t>
      </w:r>
      <w:r>
        <w:rPr>
          <w:lang w:val="hu-HU"/>
        </w:rPr>
        <w:t>vizsgálat</w:t>
      </w:r>
      <w:r>
        <w:rPr>
          <w:spacing w:val="-5"/>
          <w:lang w:val="hu-HU"/>
        </w:rPr>
        <w:t xml:space="preserve"> </w:t>
      </w:r>
      <w:r>
        <w:rPr>
          <w:lang w:val="hu-HU"/>
        </w:rPr>
        <w:t>segíthet</w:t>
      </w:r>
      <w:r>
        <w:rPr>
          <w:spacing w:val="-4"/>
          <w:lang w:val="hu-HU"/>
        </w:rPr>
        <w:t xml:space="preserve"> </w:t>
      </w:r>
      <w:r>
        <w:rPr>
          <w:lang w:val="hu-HU"/>
        </w:rPr>
        <w:t>meghatározni</w:t>
      </w:r>
      <w:r>
        <w:rPr>
          <w:spacing w:val="-5"/>
          <w:lang w:val="hu-HU"/>
        </w:rPr>
        <w:t xml:space="preserve"> </w:t>
      </w:r>
      <w:r>
        <w:rPr>
          <w:lang w:val="hu-HU"/>
        </w:rPr>
        <w:t>a</w:t>
      </w:r>
      <w:r>
        <w:rPr>
          <w:spacing w:val="-4"/>
          <w:lang w:val="hu-HU"/>
        </w:rPr>
        <w:t xml:space="preserve"> </w:t>
      </w:r>
      <w:r>
        <w:rPr>
          <w:lang w:val="hu-HU"/>
        </w:rPr>
        <w:t>vérzés</w:t>
      </w:r>
      <w:r>
        <w:rPr>
          <w:spacing w:val="-5"/>
          <w:lang w:val="hu-HU"/>
        </w:rPr>
        <w:t xml:space="preserve"> </w:t>
      </w:r>
      <w:r>
        <w:rPr>
          <w:lang w:val="hu-HU"/>
        </w:rPr>
        <w:t>kockázatát</w:t>
      </w:r>
      <w:r>
        <w:rPr>
          <w:spacing w:val="-9"/>
          <w:lang w:val="hu-HU"/>
        </w:rPr>
        <w:t xml:space="preserve"> </w:t>
      </w:r>
      <w:r>
        <w:rPr>
          <w:lang w:val="hu-HU"/>
        </w:rPr>
        <w:t>(lásd</w:t>
      </w:r>
      <w:r>
        <w:rPr>
          <w:spacing w:val="-3"/>
          <w:lang w:val="hu-HU"/>
        </w:rPr>
        <w:t xml:space="preserve"> </w:t>
      </w:r>
      <w:r>
        <w:rPr>
          <w:lang w:val="hu-HU"/>
        </w:rPr>
        <w:t>4.4</w:t>
      </w:r>
      <w:r>
        <w:rPr>
          <w:spacing w:val="-4"/>
          <w:lang w:val="hu-HU"/>
        </w:rPr>
        <w:t xml:space="preserve"> </w:t>
      </w:r>
      <w:r>
        <w:rPr>
          <w:lang w:val="hu-HU"/>
        </w:rPr>
        <w:t>és 5.1</w:t>
      </w:r>
      <w:r>
        <w:rPr>
          <w:spacing w:val="-3"/>
          <w:lang w:val="hu-HU"/>
        </w:rPr>
        <w:t> pont</w:t>
      </w:r>
      <w:r>
        <w:rPr>
          <w:lang w:val="hu-HU"/>
        </w:rPr>
        <w:t>).</w:t>
      </w:r>
      <w:r>
        <w:rPr>
          <w:spacing w:val="-4"/>
          <w:lang w:val="hu-HU"/>
        </w:rPr>
        <w:t xml:space="preserve"> </w:t>
      </w:r>
      <w:r>
        <w:rPr>
          <w:lang w:val="hu-HU"/>
        </w:rPr>
        <w:t>A</w:t>
      </w:r>
      <w:r>
        <w:rPr>
          <w:spacing w:val="-4"/>
          <w:lang w:val="hu-HU"/>
        </w:rPr>
        <w:t xml:space="preserve"> </w:t>
      </w:r>
      <w:r>
        <w:rPr>
          <w:lang w:val="hu-HU"/>
        </w:rPr>
        <w:t>kalibrált</w:t>
      </w:r>
      <w:r>
        <w:rPr>
          <w:spacing w:val="-3"/>
          <w:lang w:val="hu-HU"/>
        </w:rPr>
        <w:t xml:space="preserve"> </w:t>
      </w:r>
      <w:r>
        <w:rPr>
          <w:lang w:val="hu-HU"/>
        </w:rPr>
        <w:t>kvantitatív</w:t>
      </w:r>
      <w:r>
        <w:rPr>
          <w:spacing w:val="-4"/>
          <w:lang w:val="hu-HU"/>
        </w:rPr>
        <w:t xml:space="preserve"> </w:t>
      </w:r>
      <w:r>
        <w:rPr>
          <w:lang w:val="hu-HU"/>
        </w:rPr>
        <w:t>dTT</w:t>
      </w:r>
      <w:r>
        <w:rPr>
          <w:spacing w:val="-4"/>
          <w:lang w:val="hu-HU"/>
        </w:rPr>
        <w:t xml:space="preserve"> teszt </w:t>
      </w:r>
      <w:r>
        <w:rPr>
          <w:lang w:val="hu-HU"/>
        </w:rPr>
        <w:t>vagy</w:t>
      </w:r>
      <w:r>
        <w:rPr>
          <w:spacing w:val="-4"/>
          <w:lang w:val="hu-HU"/>
        </w:rPr>
        <w:t xml:space="preserve"> az </w:t>
      </w:r>
      <w:r>
        <w:rPr>
          <w:lang w:val="hu-HU"/>
        </w:rPr>
        <w:t>ismételt</w:t>
      </w:r>
      <w:r>
        <w:rPr>
          <w:spacing w:val="-4"/>
          <w:lang w:val="hu-HU"/>
        </w:rPr>
        <w:t xml:space="preserve"> </w:t>
      </w:r>
      <w:r>
        <w:rPr>
          <w:lang w:val="hu-HU"/>
        </w:rPr>
        <w:t>dTT</w:t>
      </w:r>
      <w:r>
        <w:rPr>
          <w:spacing w:val="-3"/>
          <w:lang w:val="hu-HU"/>
        </w:rPr>
        <w:t xml:space="preserve"> </w:t>
      </w:r>
      <w:r>
        <w:rPr>
          <w:lang w:val="hu-HU"/>
        </w:rPr>
        <w:t>mérések</w:t>
      </w:r>
      <w:r>
        <w:rPr>
          <w:spacing w:val="-4"/>
          <w:lang w:val="hu-HU"/>
        </w:rPr>
        <w:t xml:space="preserve"> </w:t>
      </w:r>
      <w:r>
        <w:rPr>
          <w:lang w:val="hu-HU"/>
        </w:rPr>
        <w:t>lehetővé</w:t>
      </w:r>
      <w:r>
        <w:rPr>
          <w:spacing w:val="-4"/>
          <w:lang w:val="hu-HU"/>
        </w:rPr>
        <w:t xml:space="preserve"> </w:t>
      </w:r>
      <w:r>
        <w:rPr>
          <w:lang w:val="hu-HU"/>
        </w:rPr>
        <w:t>teszik egy bizonyos dabigatránszint kialakulási idejének előjelzését (lásd 5.1 pont) abban az esetben is, ha kiegészítő</w:t>
      </w:r>
      <w:r>
        <w:rPr>
          <w:spacing w:val="-2"/>
          <w:lang w:val="hu-HU"/>
        </w:rPr>
        <w:t xml:space="preserve"> </w:t>
      </w:r>
      <w:r>
        <w:rPr>
          <w:lang w:val="hu-HU"/>
        </w:rPr>
        <w:t>beavatkozást,</w:t>
      </w:r>
      <w:r>
        <w:rPr>
          <w:spacing w:val="-1"/>
          <w:lang w:val="hu-HU"/>
        </w:rPr>
        <w:t xml:space="preserve"> </w:t>
      </w:r>
      <w:r>
        <w:rPr>
          <w:lang w:val="hu-HU"/>
        </w:rPr>
        <w:t>pl.</w:t>
      </w:r>
      <w:r>
        <w:rPr>
          <w:spacing w:val="-1"/>
          <w:lang w:val="hu-HU"/>
        </w:rPr>
        <w:t xml:space="preserve"> </w:t>
      </w:r>
      <w:r>
        <w:rPr>
          <w:lang w:val="hu-HU"/>
        </w:rPr>
        <w:t>dialízist</w:t>
      </w:r>
      <w:r>
        <w:rPr>
          <w:spacing w:val="-2"/>
          <w:lang w:val="hu-HU"/>
        </w:rPr>
        <w:t xml:space="preserve"> </w:t>
      </w:r>
      <w:r>
        <w:rPr>
          <w:lang w:val="hu-HU"/>
        </w:rPr>
        <w:t>kezdtek.</w:t>
      </w:r>
    </w:p>
    <w:p w:rsidR="007D7140" w:rsidRDefault="007D7140">
      <w:pPr>
        <w:rPr>
          <w:lang w:val="hu-HU"/>
        </w:rPr>
      </w:pPr>
    </w:p>
    <w:p w:rsidR="007D7140" w:rsidRDefault="00A207BA">
      <w:pPr>
        <w:rPr>
          <w:lang w:val="hu-HU"/>
        </w:rPr>
      </w:pPr>
      <w:r>
        <w:rPr>
          <w:lang w:val="hu-HU"/>
        </w:rPr>
        <w:t>A túlzott alvadásgátlás a dabigatrán</w:t>
      </w:r>
      <w:r>
        <w:rPr>
          <w:lang w:val="hu-HU"/>
        </w:rPr>
        <w:noBreakHyphen/>
        <w:t>etexilát</w:t>
      </w:r>
      <w:r>
        <w:rPr>
          <w:lang w:val="hu-HU"/>
        </w:rPr>
        <w:noBreakHyphen/>
        <w:t>kezelés megszakítását teheti szükségessé. Mivel a dabigatrán főleg a vesén keresztül választódik ki, fenn kell tartani a megfelelő diuresist. Mivel fehérjekötődése alacsony, a dabigatrán dializálható. Csak korlátozott klinikai tapasztalat áll</w:t>
      </w:r>
      <w:r>
        <w:rPr>
          <w:spacing w:val="1"/>
          <w:lang w:val="hu-HU"/>
        </w:rPr>
        <w:t xml:space="preserve"> </w:t>
      </w:r>
      <w:r>
        <w:rPr>
          <w:lang w:val="hu-HU"/>
        </w:rPr>
        <w:t>rendelkezésre</w:t>
      </w:r>
      <w:r>
        <w:rPr>
          <w:spacing w:val="-2"/>
          <w:lang w:val="hu-HU"/>
        </w:rPr>
        <w:t xml:space="preserve"> </w:t>
      </w:r>
      <w:r>
        <w:rPr>
          <w:lang w:val="hu-HU"/>
        </w:rPr>
        <w:t>ezen</w:t>
      </w:r>
      <w:r>
        <w:rPr>
          <w:spacing w:val="-2"/>
          <w:lang w:val="hu-HU"/>
        </w:rPr>
        <w:t xml:space="preserve"> </w:t>
      </w:r>
      <w:r>
        <w:rPr>
          <w:lang w:val="hu-HU"/>
        </w:rPr>
        <w:t>lehetőség</w:t>
      </w:r>
      <w:r>
        <w:rPr>
          <w:spacing w:val="-2"/>
          <w:lang w:val="hu-HU"/>
        </w:rPr>
        <w:t xml:space="preserve"> </w:t>
      </w:r>
      <w:r>
        <w:rPr>
          <w:lang w:val="hu-HU"/>
        </w:rPr>
        <w:t>alkalmazhatóságával</w:t>
      </w:r>
      <w:r>
        <w:rPr>
          <w:spacing w:val="-2"/>
          <w:lang w:val="hu-HU"/>
        </w:rPr>
        <w:t xml:space="preserve"> </w:t>
      </w:r>
      <w:r>
        <w:rPr>
          <w:lang w:val="hu-HU"/>
        </w:rPr>
        <w:t>kapcsolatban</w:t>
      </w:r>
      <w:r>
        <w:rPr>
          <w:spacing w:val="-2"/>
          <w:lang w:val="hu-HU"/>
        </w:rPr>
        <w:t xml:space="preserve"> </w:t>
      </w:r>
      <w:r>
        <w:rPr>
          <w:lang w:val="hu-HU"/>
        </w:rPr>
        <w:t>(lásd</w:t>
      </w:r>
      <w:r>
        <w:rPr>
          <w:spacing w:val="-2"/>
          <w:lang w:val="hu-HU"/>
        </w:rPr>
        <w:t xml:space="preserve"> </w:t>
      </w:r>
      <w:r>
        <w:rPr>
          <w:lang w:val="hu-HU"/>
        </w:rPr>
        <w:t>5.2</w:t>
      </w:r>
      <w:r>
        <w:rPr>
          <w:spacing w:val="-3"/>
          <w:lang w:val="hu-HU"/>
        </w:rPr>
        <w:t> pont</w:t>
      </w:r>
      <w:r>
        <w:rPr>
          <w:lang w:val="hu-HU"/>
        </w:rPr>
        <w:t>).</w:t>
      </w:r>
    </w:p>
    <w:p w:rsidR="007D7140" w:rsidRDefault="007D7140">
      <w:pPr>
        <w:rPr>
          <w:lang w:val="hu-HU"/>
        </w:rPr>
      </w:pPr>
    </w:p>
    <w:p w:rsidR="007D7140" w:rsidRDefault="00A207BA">
      <w:pPr>
        <w:rPr>
          <w:lang w:val="hu-HU"/>
        </w:rPr>
      </w:pPr>
      <w:r>
        <w:rPr>
          <w:u w:val="single"/>
          <w:lang w:val="hu-HU"/>
        </w:rPr>
        <w:t>A</w:t>
      </w:r>
      <w:r>
        <w:rPr>
          <w:spacing w:val="-5"/>
          <w:u w:val="single"/>
          <w:lang w:val="hu-HU"/>
        </w:rPr>
        <w:t xml:space="preserve"> </w:t>
      </w:r>
      <w:r>
        <w:rPr>
          <w:u w:val="single"/>
          <w:lang w:val="hu-HU"/>
        </w:rPr>
        <w:t>vérzéses</w:t>
      </w:r>
      <w:r>
        <w:rPr>
          <w:spacing w:val="-4"/>
          <w:u w:val="single"/>
          <w:lang w:val="hu-HU"/>
        </w:rPr>
        <w:t xml:space="preserve"> </w:t>
      </w:r>
      <w:r>
        <w:rPr>
          <w:u w:val="single"/>
          <w:lang w:val="hu-HU"/>
        </w:rPr>
        <w:t>szövődmények</w:t>
      </w:r>
      <w:r>
        <w:rPr>
          <w:spacing w:val="-5"/>
          <w:u w:val="single"/>
          <w:lang w:val="hu-HU"/>
        </w:rPr>
        <w:t xml:space="preserve"> </w:t>
      </w:r>
      <w:r>
        <w:rPr>
          <w:u w:val="single"/>
          <w:lang w:val="hu-HU"/>
        </w:rPr>
        <w:t>kezelése</w:t>
      </w:r>
    </w:p>
    <w:p w:rsidR="007D7140" w:rsidRDefault="007D7140">
      <w:pPr>
        <w:rPr>
          <w:lang w:val="hu-HU"/>
        </w:rPr>
      </w:pPr>
    </w:p>
    <w:p w:rsidR="007D7140" w:rsidRDefault="00A207BA">
      <w:pPr>
        <w:rPr>
          <w:lang w:val="hu-HU"/>
        </w:rPr>
      </w:pPr>
      <w:r>
        <w:rPr>
          <w:lang w:val="hu-HU"/>
        </w:rPr>
        <w:t>Vérzéses szövődmény esetén a dabigatrán</w:t>
      </w:r>
      <w:r>
        <w:rPr>
          <w:lang w:val="hu-HU"/>
        </w:rPr>
        <w:noBreakHyphen/>
        <w:t>etexilát-kezelést le kell állítani, és a vérzés forrását ki kell deríteni. A klinikai szituációtól függően a gyógyszert elrendelő orvos megítélése szerint megfelelő szupportív</w:t>
      </w:r>
      <w:r>
        <w:rPr>
          <w:spacing w:val="-2"/>
          <w:lang w:val="hu-HU"/>
        </w:rPr>
        <w:t xml:space="preserve"> </w:t>
      </w:r>
      <w:r>
        <w:rPr>
          <w:lang w:val="hu-HU"/>
        </w:rPr>
        <w:t>kezelést,</w:t>
      </w:r>
      <w:r>
        <w:rPr>
          <w:spacing w:val="-2"/>
          <w:lang w:val="hu-HU"/>
        </w:rPr>
        <w:t xml:space="preserve"> </w:t>
      </w:r>
      <w:r>
        <w:rPr>
          <w:lang w:val="hu-HU"/>
        </w:rPr>
        <w:t>pl.</w:t>
      </w:r>
      <w:r>
        <w:rPr>
          <w:spacing w:val="-2"/>
          <w:lang w:val="hu-HU"/>
        </w:rPr>
        <w:t xml:space="preserve"> </w:t>
      </w:r>
      <w:r>
        <w:rPr>
          <w:lang w:val="hu-HU"/>
        </w:rPr>
        <w:t>sebészi</w:t>
      </w:r>
      <w:r>
        <w:rPr>
          <w:spacing w:val="-2"/>
          <w:lang w:val="hu-HU"/>
        </w:rPr>
        <w:t xml:space="preserve"> </w:t>
      </w:r>
      <w:r>
        <w:rPr>
          <w:lang w:val="hu-HU"/>
        </w:rPr>
        <w:t>vérzéscsillapítást</w:t>
      </w:r>
      <w:r>
        <w:rPr>
          <w:spacing w:val="-2"/>
          <w:lang w:val="hu-HU"/>
        </w:rPr>
        <w:t xml:space="preserve"> </w:t>
      </w:r>
      <w:r>
        <w:rPr>
          <w:lang w:val="hu-HU"/>
        </w:rPr>
        <w:t>és</w:t>
      </w:r>
      <w:r>
        <w:rPr>
          <w:spacing w:val="-2"/>
          <w:lang w:val="hu-HU"/>
        </w:rPr>
        <w:t xml:space="preserve"> </w:t>
      </w:r>
      <w:r>
        <w:rPr>
          <w:lang w:val="hu-HU"/>
        </w:rPr>
        <w:t>vérpótlást</w:t>
      </w:r>
      <w:r>
        <w:rPr>
          <w:spacing w:val="-1"/>
          <w:lang w:val="hu-HU"/>
        </w:rPr>
        <w:t xml:space="preserve"> </w:t>
      </w:r>
      <w:r>
        <w:rPr>
          <w:lang w:val="hu-HU"/>
        </w:rPr>
        <w:t>kell</w:t>
      </w:r>
      <w:r>
        <w:rPr>
          <w:spacing w:val="-2"/>
          <w:lang w:val="hu-HU"/>
        </w:rPr>
        <w:t xml:space="preserve"> </w:t>
      </w:r>
      <w:r>
        <w:rPr>
          <w:lang w:val="hu-HU"/>
        </w:rPr>
        <w:t>végezni.</w:t>
      </w:r>
    </w:p>
    <w:p w:rsidR="007D7140" w:rsidRDefault="007D7140">
      <w:pPr>
        <w:rPr>
          <w:lang w:val="hu-HU"/>
        </w:rPr>
      </w:pPr>
    </w:p>
    <w:p w:rsidR="007D7140" w:rsidRDefault="00A207BA">
      <w:pPr>
        <w:rPr>
          <w:lang w:val="hu-HU"/>
        </w:rPr>
      </w:pPr>
      <w:r>
        <w:rPr>
          <w:lang w:val="hu-HU"/>
        </w:rPr>
        <w:t>Azokban a helyzetekben, amikor felnőtt betegeknél a dabigatrán antikoaguláns hatásának gyors</w:t>
      </w:r>
      <w:r>
        <w:rPr>
          <w:spacing w:val="1"/>
          <w:lang w:val="hu-HU"/>
        </w:rPr>
        <w:t xml:space="preserve"> </w:t>
      </w:r>
      <w:r>
        <w:rPr>
          <w:lang w:val="hu-HU"/>
        </w:rPr>
        <w:t>felfüggesztése szükséges, a dabigatrán farmakodinámiás hatását antagonizálú specifikus antidotum (idarucizumab) áll rendelkezésre. Az idarucizumab hatásosságát és biztonságosságát gyermekeknél</w:t>
      </w:r>
      <w:r>
        <w:rPr>
          <w:spacing w:val="-1"/>
          <w:lang w:val="hu-HU"/>
        </w:rPr>
        <w:t xml:space="preserve"> </w:t>
      </w:r>
      <w:r>
        <w:rPr>
          <w:lang w:val="hu-HU"/>
        </w:rPr>
        <w:t>és</w:t>
      </w:r>
      <w:r>
        <w:rPr>
          <w:spacing w:val="-1"/>
          <w:lang w:val="hu-HU"/>
        </w:rPr>
        <w:t xml:space="preserve"> </w:t>
      </w:r>
      <w:r>
        <w:rPr>
          <w:lang w:val="hu-HU"/>
        </w:rPr>
        <w:t>serdülőknél</w:t>
      </w:r>
      <w:r>
        <w:rPr>
          <w:spacing w:val="-3"/>
          <w:lang w:val="hu-HU"/>
        </w:rPr>
        <w:t xml:space="preserve"> még </w:t>
      </w:r>
      <w:r>
        <w:rPr>
          <w:lang w:val="hu-HU"/>
        </w:rPr>
        <w:t>nem</w:t>
      </w:r>
      <w:r>
        <w:rPr>
          <w:spacing w:val="1"/>
          <w:lang w:val="hu-HU"/>
        </w:rPr>
        <w:t xml:space="preserve"> </w:t>
      </w:r>
      <w:r>
        <w:rPr>
          <w:lang w:val="hu-HU"/>
        </w:rPr>
        <w:t>igazolták</w:t>
      </w:r>
      <w:r>
        <w:rPr>
          <w:spacing w:val="-2"/>
          <w:lang w:val="hu-HU"/>
        </w:rPr>
        <w:t xml:space="preserve"> </w:t>
      </w:r>
      <w:r>
        <w:rPr>
          <w:lang w:val="hu-HU"/>
        </w:rPr>
        <w:t>(lásd</w:t>
      </w:r>
      <w:r>
        <w:rPr>
          <w:spacing w:val="-1"/>
          <w:lang w:val="hu-HU"/>
        </w:rPr>
        <w:t xml:space="preserve"> </w:t>
      </w:r>
      <w:r>
        <w:rPr>
          <w:lang w:val="hu-HU"/>
        </w:rPr>
        <w:t>4.4</w:t>
      </w:r>
      <w:r>
        <w:rPr>
          <w:spacing w:val="-1"/>
          <w:lang w:val="hu-HU"/>
        </w:rPr>
        <w:t> pont</w:t>
      </w:r>
      <w:r>
        <w:rPr>
          <w:lang w:val="hu-HU"/>
        </w:rPr>
        <w:t>).</w:t>
      </w:r>
    </w:p>
    <w:p w:rsidR="007D7140" w:rsidRDefault="007D7140">
      <w:pPr>
        <w:rPr>
          <w:lang w:val="hu-HU"/>
        </w:rPr>
      </w:pPr>
    </w:p>
    <w:p w:rsidR="007D7140" w:rsidRDefault="00A207BA" w:rsidP="00527548">
      <w:pPr>
        <w:widowControl/>
        <w:rPr>
          <w:lang w:val="hu-HU"/>
        </w:rPr>
      </w:pPr>
      <w:r>
        <w:rPr>
          <w:lang w:val="hu-HU"/>
        </w:rPr>
        <w:lastRenderedPageBreak/>
        <w:t>Mérlegelni lehet alvadási faktor koncentrátum (aktivált vagy nem aktivált) vagy rekombináns VIIa</w:t>
      </w:r>
      <w:r>
        <w:rPr>
          <w:spacing w:val="1"/>
          <w:lang w:val="hu-HU"/>
        </w:rPr>
        <w:t xml:space="preserve"> </w:t>
      </w:r>
      <w:r>
        <w:rPr>
          <w:lang w:val="hu-HU"/>
        </w:rPr>
        <w:t>faktor adását. Van néhány olyan kísérletes bizonyíték, ami alátámasztja ezen gyógyszerek szerepét a</w:t>
      </w:r>
      <w:r>
        <w:rPr>
          <w:spacing w:val="1"/>
          <w:lang w:val="hu-HU"/>
        </w:rPr>
        <w:t xml:space="preserve"> </w:t>
      </w:r>
      <w:r>
        <w:rPr>
          <w:lang w:val="hu-HU"/>
        </w:rPr>
        <w:t>dabigatrán antikoaguláns hatásának felfüggesztésében. Ezek klinikai használhatóságára és az esetleges rebound thromboembolia kialakulásának kockázatára vonatkozóan csak nagyon korlátozott</w:t>
      </w:r>
      <w:r>
        <w:rPr>
          <w:spacing w:val="1"/>
          <w:lang w:val="hu-HU"/>
        </w:rPr>
        <w:t xml:space="preserve"> </w:t>
      </w:r>
      <w:r>
        <w:rPr>
          <w:lang w:val="hu-HU"/>
        </w:rPr>
        <w:t>mennyiségű adat áll rendelkezésre. Az alvadási vizsgálatok a javasolt alvadási faktor koncentrátumok</w:t>
      </w:r>
      <w:r>
        <w:rPr>
          <w:spacing w:val="1"/>
          <w:lang w:val="hu-HU"/>
        </w:rPr>
        <w:t xml:space="preserve"> </w:t>
      </w:r>
      <w:r>
        <w:rPr>
          <w:lang w:val="hu-HU"/>
        </w:rPr>
        <w:t>adását követően megbízhatatlanná válhatnak. Fokozott elővigyázatossággal kell eljárni ezen</w:t>
      </w:r>
      <w:r>
        <w:rPr>
          <w:spacing w:val="1"/>
          <w:lang w:val="hu-HU"/>
        </w:rPr>
        <w:t xml:space="preserve"> </w:t>
      </w:r>
      <w:r>
        <w:rPr>
          <w:lang w:val="hu-HU"/>
        </w:rPr>
        <w:t>vizsgálatok eredményének értékelésekor. Thrombocyta koncentrátum adása</w:t>
      </w:r>
      <w:r>
        <w:rPr>
          <w:spacing w:val="1"/>
          <w:lang w:val="hu-HU"/>
        </w:rPr>
        <w:t xml:space="preserve"> </w:t>
      </w:r>
      <w:r>
        <w:rPr>
          <w:lang w:val="hu-HU"/>
        </w:rPr>
        <w:t>megfontolandó thrombocytopenia, illetve hosszú hatású thrombocyta</w:t>
      </w:r>
      <w:r>
        <w:rPr>
          <w:lang w:val="hu-HU"/>
        </w:rPr>
        <w:noBreakHyphen/>
        <w:t>ellenes gyógyszerek alkalmazását követően. Minden tüneti</w:t>
      </w:r>
      <w:r>
        <w:rPr>
          <w:spacing w:val="-2"/>
          <w:lang w:val="hu-HU"/>
        </w:rPr>
        <w:t xml:space="preserve"> </w:t>
      </w:r>
      <w:r>
        <w:rPr>
          <w:lang w:val="hu-HU"/>
        </w:rPr>
        <w:t>kezelést</w:t>
      </w:r>
      <w:r>
        <w:rPr>
          <w:spacing w:val="-1"/>
          <w:lang w:val="hu-HU"/>
        </w:rPr>
        <w:t xml:space="preserve"> </w:t>
      </w:r>
      <w:r>
        <w:rPr>
          <w:lang w:val="hu-HU"/>
        </w:rPr>
        <w:t>a</w:t>
      </w:r>
      <w:r>
        <w:rPr>
          <w:spacing w:val="-2"/>
          <w:lang w:val="hu-HU"/>
        </w:rPr>
        <w:t xml:space="preserve"> </w:t>
      </w:r>
      <w:r>
        <w:rPr>
          <w:lang w:val="hu-HU"/>
        </w:rPr>
        <w:t>kezelőorvos</w:t>
      </w:r>
      <w:r>
        <w:rPr>
          <w:spacing w:val="-1"/>
          <w:lang w:val="hu-HU"/>
        </w:rPr>
        <w:t xml:space="preserve"> </w:t>
      </w:r>
      <w:r>
        <w:rPr>
          <w:lang w:val="hu-HU"/>
        </w:rPr>
        <w:t>döntése</w:t>
      </w:r>
      <w:r>
        <w:rPr>
          <w:spacing w:val="-1"/>
          <w:lang w:val="hu-HU"/>
        </w:rPr>
        <w:t xml:space="preserve"> </w:t>
      </w:r>
      <w:r>
        <w:rPr>
          <w:lang w:val="hu-HU"/>
        </w:rPr>
        <w:t>alapján</w:t>
      </w:r>
      <w:r>
        <w:rPr>
          <w:spacing w:val="-2"/>
          <w:lang w:val="hu-HU"/>
        </w:rPr>
        <w:t xml:space="preserve"> </w:t>
      </w:r>
      <w:r>
        <w:rPr>
          <w:lang w:val="hu-HU"/>
        </w:rPr>
        <w:t>kell</w:t>
      </w:r>
      <w:r>
        <w:rPr>
          <w:spacing w:val="-1"/>
          <w:lang w:val="hu-HU"/>
        </w:rPr>
        <w:t xml:space="preserve"> </w:t>
      </w:r>
      <w:r>
        <w:rPr>
          <w:lang w:val="hu-HU"/>
        </w:rPr>
        <w:t>végezni.</w:t>
      </w:r>
    </w:p>
    <w:p w:rsidR="007D7140" w:rsidRDefault="007D7140">
      <w:pPr>
        <w:rPr>
          <w:lang w:val="hu-HU"/>
        </w:rPr>
      </w:pPr>
    </w:p>
    <w:p w:rsidR="007D7140" w:rsidRDefault="00A207BA">
      <w:pPr>
        <w:rPr>
          <w:lang w:val="hu-HU"/>
        </w:rPr>
      </w:pPr>
      <w:r>
        <w:rPr>
          <w:lang w:val="hu-HU"/>
        </w:rPr>
        <w:t>Major vérzések esetén megfontolandó egy, a véralvadásban jártas szakemberrel való konzultáció, ha van</w:t>
      </w:r>
      <w:r>
        <w:rPr>
          <w:spacing w:val="-2"/>
          <w:lang w:val="hu-HU"/>
        </w:rPr>
        <w:t xml:space="preserve"> </w:t>
      </w:r>
      <w:r>
        <w:rPr>
          <w:lang w:val="hu-HU"/>
        </w:rPr>
        <w:t>ilyen</w:t>
      </w:r>
      <w:r>
        <w:rPr>
          <w:spacing w:val="-1"/>
          <w:lang w:val="hu-HU"/>
        </w:rPr>
        <w:t xml:space="preserve"> </w:t>
      </w:r>
      <w:r>
        <w:rPr>
          <w:lang w:val="hu-HU"/>
        </w:rPr>
        <w:t>a helyi</w:t>
      </w:r>
      <w:r>
        <w:rPr>
          <w:spacing w:val="-1"/>
          <w:lang w:val="hu-HU"/>
        </w:rPr>
        <w:t xml:space="preserve"> </w:t>
      </w:r>
      <w:r>
        <w:rPr>
          <w:lang w:val="hu-HU"/>
        </w:rPr>
        <w:t>intézményben.</w:t>
      </w:r>
    </w:p>
    <w:p w:rsidR="007D7140" w:rsidRDefault="007D7140">
      <w:pPr>
        <w:rPr>
          <w:lang w:val="hu-HU"/>
        </w:rPr>
      </w:pPr>
    </w:p>
    <w:p w:rsidR="007D7140" w:rsidRDefault="007D7140">
      <w:pPr>
        <w:rPr>
          <w:lang w:val="hu-HU"/>
        </w:rPr>
      </w:pPr>
    </w:p>
    <w:p w:rsidR="007D7140" w:rsidRDefault="00A207BA">
      <w:pPr>
        <w:tabs>
          <w:tab w:val="left" w:pos="567"/>
        </w:tabs>
        <w:rPr>
          <w:b/>
          <w:bCs/>
          <w:lang w:val="hu-HU"/>
        </w:rPr>
      </w:pPr>
      <w:r>
        <w:rPr>
          <w:b/>
          <w:bCs/>
          <w:lang w:val="hu-HU"/>
        </w:rPr>
        <w:t>5.</w:t>
      </w:r>
      <w:r>
        <w:rPr>
          <w:b/>
          <w:bCs/>
          <w:lang w:val="hu-HU"/>
        </w:rPr>
        <w:tab/>
        <w:t>FARMAKOLÓGIAI</w:t>
      </w:r>
      <w:r>
        <w:rPr>
          <w:b/>
          <w:bCs/>
          <w:spacing w:val="-6"/>
          <w:lang w:val="hu-HU"/>
        </w:rPr>
        <w:t xml:space="preserve"> </w:t>
      </w:r>
      <w:r>
        <w:rPr>
          <w:b/>
          <w:bCs/>
          <w:lang w:val="hu-HU"/>
        </w:rPr>
        <w:t>TULAJDONSÁGOK</w:t>
      </w:r>
    </w:p>
    <w:p w:rsidR="007D7140" w:rsidRDefault="007D7140">
      <w:pPr>
        <w:rPr>
          <w:lang w:val="hu-HU"/>
        </w:rPr>
      </w:pPr>
    </w:p>
    <w:p w:rsidR="007D7140" w:rsidRDefault="00A207BA">
      <w:pPr>
        <w:tabs>
          <w:tab w:val="left" w:pos="567"/>
        </w:tabs>
        <w:rPr>
          <w:b/>
          <w:bCs/>
          <w:lang w:val="hu-HU"/>
        </w:rPr>
      </w:pPr>
      <w:r>
        <w:rPr>
          <w:b/>
          <w:bCs/>
          <w:lang w:val="hu-HU"/>
        </w:rPr>
        <w:t>5.1</w:t>
      </w:r>
      <w:r>
        <w:rPr>
          <w:b/>
          <w:bCs/>
          <w:lang w:val="hu-HU"/>
        </w:rPr>
        <w:tab/>
        <w:t>Farmakodinámiás</w:t>
      </w:r>
      <w:r>
        <w:rPr>
          <w:b/>
          <w:bCs/>
          <w:spacing w:val="-9"/>
          <w:lang w:val="hu-HU"/>
        </w:rPr>
        <w:t xml:space="preserve"> </w:t>
      </w:r>
      <w:r>
        <w:rPr>
          <w:b/>
          <w:bCs/>
          <w:lang w:val="hu-HU"/>
        </w:rPr>
        <w:t>tulajdonságok</w:t>
      </w:r>
    </w:p>
    <w:p w:rsidR="007D7140" w:rsidRDefault="007D7140">
      <w:pPr>
        <w:rPr>
          <w:lang w:val="hu-HU"/>
        </w:rPr>
      </w:pPr>
    </w:p>
    <w:p w:rsidR="007D7140" w:rsidRDefault="00A207BA">
      <w:pPr>
        <w:rPr>
          <w:lang w:val="hu-HU"/>
        </w:rPr>
      </w:pPr>
      <w:r>
        <w:rPr>
          <w:lang w:val="hu-HU"/>
        </w:rPr>
        <w:t>Farmakoterápiás csoport: antithrombotikus szerek, direkt thrombin</w:t>
      </w:r>
      <w:r>
        <w:rPr>
          <w:lang w:val="hu-HU"/>
        </w:rPr>
        <w:noBreakHyphen/>
        <w:t>inhibitorok, ATC kód: B01AE07.</w:t>
      </w:r>
    </w:p>
    <w:p w:rsidR="007D7140" w:rsidRDefault="007D7140">
      <w:pPr>
        <w:rPr>
          <w:lang w:val="hu-HU"/>
        </w:rPr>
      </w:pPr>
    </w:p>
    <w:p w:rsidR="007D7140" w:rsidRDefault="00A207BA">
      <w:pPr>
        <w:rPr>
          <w:lang w:val="hu-HU"/>
        </w:rPr>
      </w:pPr>
      <w:r>
        <w:rPr>
          <w:u w:val="single"/>
          <w:lang w:val="hu-HU"/>
        </w:rPr>
        <w:t>Hatásmechanizmus</w:t>
      </w:r>
    </w:p>
    <w:p w:rsidR="007D7140" w:rsidRDefault="007D7140">
      <w:pPr>
        <w:rPr>
          <w:lang w:val="hu-HU"/>
        </w:rPr>
      </w:pPr>
    </w:p>
    <w:p w:rsidR="007D7140" w:rsidRDefault="00A207BA">
      <w:pPr>
        <w:rPr>
          <w:lang w:val="hu-HU"/>
        </w:rPr>
      </w:pPr>
      <w:r>
        <w:rPr>
          <w:lang w:val="hu-HU"/>
        </w:rPr>
        <w:t>A dabigatrán</w:t>
      </w:r>
      <w:r>
        <w:rPr>
          <w:lang w:val="hu-HU"/>
        </w:rPr>
        <w:noBreakHyphen/>
        <w:t>etexilát egy kismolekulájú prodrug, amelynek nincs semmilyen farmakológiai aktivitása. Orális beadást követően a dabigatrán</w:t>
      </w:r>
      <w:r>
        <w:rPr>
          <w:lang w:val="hu-HU"/>
        </w:rPr>
        <w:noBreakHyphen/>
        <w:t>etexilát gyorsan felszívódik és dabigatránná alakul a plazmában és a</w:t>
      </w:r>
      <w:r>
        <w:rPr>
          <w:spacing w:val="1"/>
          <w:lang w:val="hu-HU"/>
        </w:rPr>
        <w:t xml:space="preserve"> </w:t>
      </w:r>
      <w:r>
        <w:rPr>
          <w:lang w:val="hu-HU"/>
        </w:rPr>
        <w:t>májban, egy észteráz által katalizált hidrolízisen keresztül. A dabigatrán egy erős, kompetitív,</w:t>
      </w:r>
      <w:r>
        <w:rPr>
          <w:spacing w:val="1"/>
          <w:lang w:val="hu-HU"/>
        </w:rPr>
        <w:t xml:space="preserve"> </w:t>
      </w:r>
      <w:r>
        <w:rPr>
          <w:lang w:val="hu-HU"/>
        </w:rPr>
        <w:t>reverzíbilis</w:t>
      </w:r>
      <w:r>
        <w:rPr>
          <w:spacing w:val="-3"/>
          <w:lang w:val="hu-HU"/>
        </w:rPr>
        <w:t xml:space="preserve"> </w:t>
      </w:r>
      <w:r>
        <w:rPr>
          <w:lang w:val="hu-HU"/>
        </w:rPr>
        <w:t>direkt</w:t>
      </w:r>
      <w:r>
        <w:rPr>
          <w:spacing w:val="-2"/>
          <w:lang w:val="hu-HU"/>
        </w:rPr>
        <w:t xml:space="preserve"> </w:t>
      </w:r>
      <w:r>
        <w:rPr>
          <w:lang w:val="hu-HU"/>
        </w:rPr>
        <w:t>thrombin</w:t>
      </w:r>
      <w:r>
        <w:rPr>
          <w:spacing w:val="-2"/>
          <w:lang w:val="hu-HU"/>
        </w:rPr>
        <w:t xml:space="preserve"> </w:t>
      </w:r>
      <w:r>
        <w:rPr>
          <w:lang w:val="hu-HU"/>
        </w:rPr>
        <w:t>inhibitor,</w:t>
      </w:r>
      <w:r>
        <w:rPr>
          <w:spacing w:val="-2"/>
          <w:lang w:val="hu-HU"/>
        </w:rPr>
        <w:t xml:space="preserve"> </w:t>
      </w:r>
      <w:r>
        <w:rPr>
          <w:lang w:val="hu-HU"/>
        </w:rPr>
        <w:t>és</w:t>
      </w:r>
      <w:r>
        <w:rPr>
          <w:spacing w:val="-2"/>
          <w:lang w:val="hu-HU"/>
        </w:rPr>
        <w:t xml:space="preserve"> </w:t>
      </w:r>
      <w:r>
        <w:rPr>
          <w:lang w:val="hu-HU"/>
        </w:rPr>
        <w:t>a</w:t>
      </w:r>
      <w:r>
        <w:rPr>
          <w:spacing w:val="-2"/>
          <w:lang w:val="hu-HU"/>
        </w:rPr>
        <w:t xml:space="preserve"> </w:t>
      </w:r>
      <w:r>
        <w:rPr>
          <w:lang w:val="hu-HU"/>
        </w:rPr>
        <w:t>legfontosabb</w:t>
      </w:r>
      <w:r>
        <w:rPr>
          <w:spacing w:val="-2"/>
          <w:lang w:val="hu-HU"/>
        </w:rPr>
        <w:t xml:space="preserve"> </w:t>
      </w:r>
      <w:r>
        <w:rPr>
          <w:lang w:val="hu-HU"/>
        </w:rPr>
        <w:t>aktív</w:t>
      </w:r>
      <w:r>
        <w:rPr>
          <w:spacing w:val="-2"/>
          <w:lang w:val="hu-HU"/>
        </w:rPr>
        <w:t xml:space="preserve"> </w:t>
      </w:r>
      <w:r>
        <w:rPr>
          <w:lang w:val="hu-HU"/>
        </w:rPr>
        <w:t>forma</w:t>
      </w:r>
      <w:r>
        <w:rPr>
          <w:spacing w:val="-2"/>
          <w:lang w:val="hu-HU"/>
        </w:rPr>
        <w:t xml:space="preserve"> </w:t>
      </w:r>
      <w:r>
        <w:rPr>
          <w:lang w:val="hu-HU"/>
        </w:rPr>
        <w:t>a</w:t>
      </w:r>
      <w:r>
        <w:rPr>
          <w:spacing w:val="-2"/>
          <w:lang w:val="hu-HU"/>
        </w:rPr>
        <w:t xml:space="preserve"> </w:t>
      </w:r>
      <w:r>
        <w:rPr>
          <w:lang w:val="hu-HU"/>
        </w:rPr>
        <w:t>plazmában.</w:t>
      </w:r>
    </w:p>
    <w:p w:rsidR="007D7140" w:rsidRDefault="00A207BA">
      <w:pPr>
        <w:rPr>
          <w:lang w:val="hu-HU"/>
        </w:rPr>
      </w:pPr>
      <w:r>
        <w:rPr>
          <w:lang w:val="hu-HU"/>
        </w:rPr>
        <w:t>Mivel a thrombin (szerin proteáz) teszi lehetővé a fibrinogén fibrinné történő átalakulását az alvadási kaszkád során, annak gátlása megelőzi a thrombus kialakulását. A dabigatrán gátolja a szabad</w:t>
      </w:r>
      <w:r>
        <w:rPr>
          <w:spacing w:val="1"/>
          <w:lang w:val="hu-HU"/>
        </w:rPr>
        <w:t xml:space="preserve"> </w:t>
      </w:r>
      <w:r>
        <w:rPr>
          <w:lang w:val="hu-HU"/>
        </w:rPr>
        <w:t>thrombint,</w:t>
      </w:r>
      <w:r>
        <w:rPr>
          <w:spacing w:val="-3"/>
          <w:lang w:val="hu-HU"/>
        </w:rPr>
        <w:t xml:space="preserve"> </w:t>
      </w:r>
      <w:r>
        <w:rPr>
          <w:lang w:val="hu-HU"/>
        </w:rPr>
        <w:t>a</w:t>
      </w:r>
      <w:r>
        <w:rPr>
          <w:spacing w:val="-3"/>
          <w:lang w:val="hu-HU"/>
        </w:rPr>
        <w:t xml:space="preserve"> </w:t>
      </w:r>
      <w:r>
        <w:rPr>
          <w:lang w:val="hu-HU"/>
        </w:rPr>
        <w:t>fibrinhez</w:t>
      </w:r>
      <w:r>
        <w:rPr>
          <w:spacing w:val="-3"/>
          <w:lang w:val="hu-HU"/>
        </w:rPr>
        <w:t xml:space="preserve"> </w:t>
      </w:r>
      <w:r>
        <w:rPr>
          <w:lang w:val="hu-HU"/>
        </w:rPr>
        <w:t>kötött</w:t>
      </w:r>
      <w:r>
        <w:rPr>
          <w:spacing w:val="-3"/>
          <w:lang w:val="hu-HU"/>
        </w:rPr>
        <w:t xml:space="preserve"> </w:t>
      </w:r>
      <w:r>
        <w:rPr>
          <w:lang w:val="hu-HU"/>
        </w:rPr>
        <w:t>thrombint</w:t>
      </w:r>
      <w:r>
        <w:rPr>
          <w:spacing w:val="-3"/>
          <w:lang w:val="hu-HU"/>
        </w:rPr>
        <w:t xml:space="preserve"> </w:t>
      </w:r>
      <w:r>
        <w:rPr>
          <w:lang w:val="hu-HU"/>
        </w:rPr>
        <w:t>és</w:t>
      </w:r>
      <w:r>
        <w:rPr>
          <w:spacing w:val="-3"/>
          <w:lang w:val="hu-HU"/>
        </w:rPr>
        <w:t xml:space="preserve"> </w:t>
      </w:r>
      <w:r>
        <w:rPr>
          <w:lang w:val="hu-HU"/>
        </w:rPr>
        <w:t>a</w:t>
      </w:r>
      <w:r>
        <w:rPr>
          <w:spacing w:val="-3"/>
          <w:lang w:val="hu-HU"/>
        </w:rPr>
        <w:t xml:space="preserve"> </w:t>
      </w:r>
      <w:r>
        <w:rPr>
          <w:lang w:val="hu-HU"/>
        </w:rPr>
        <w:t>thrombin</w:t>
      </w:r>
      <w:r>
        <w:rPr>
          <w:spacing w:val="-2"/>
          <w:lang w:val="hu-HU"/>
        </w:rPr>
        <w:t xml:space="preserve"> </w:t>
      </w:r>
      <w:r>
        <w:rPr>
          <w:lang w:val="hu-HU"/>
        </w:rPr>
        <w:t>által</w:t>
      </w:r>
      <w:r>
        <w:rPr>
          <w:spacing w:val="-3"/>
          <w:lang w:val="hu-HU"/>
        </w:rPr>
        <w:t xml:space="preserve"> </w:t>
      </w:r>
      <w:r>
        <w:rPr>
          <w:lang w:val="hu-HU"/>
        </w:rPr>
        <w:t>kiváltott</w:t>
      </w:r>
      <w:r>
        <w:rPr>
          <w:spacing w:val="-3"/>
          <w:lang w:val="hu-HU"/>
        </w:rPr>
        <w:t xml:space="preserve"> </w:t>
      </w:r>
      <w:r>
        <w:rPr>
          <w:lang w:val="hu-HU"/>
        </w:rPr>
        <w:t>thrombocytaaggregációt.</w:t>
      </w:r>
    </w:p>
    <w:p w:rsidR="007D7140" w:rsidRDefault="007D7140">
      <w:pPr>
        <w:rPr>
          <w:lang w:val="hu-HU"/>
        </w:rPr>
      </w:pPr>
    </w:p>
    <w:p w:rsidR="007D7140" w:rsidRDefault="00A207BA">
      <w:pPr>
        <w:rPr>
          <w:lang w:val="hu-HU"/>
        </w:rPr>
      </w:pPr>
      <w:r>
        <w:rPr>
          <w:u w:val="single"/>
          <w:lang w:val="hu-HU"/>
        </w:rPr>
        <w:t>Farmakodinámiás</w:t>
      </w:r>
      <w:r>
        <w:rPr>
          <w:spacing w:val="-7"/>
          <w:u w:val="single"/>
          <w:lang w:val="hu-HU"/>
        </w:rPr>
        <w:t xml:space="preserve"> </w:t>
      </w:r>
      <w:r>
        <w:rPr>
          <w:u w:val="single"/>
          <w:lang w:val="hu-HU"/>
        </w:rPr>
        <w:t>hatások</w:t>
      </w:r>
    </w:p>
    <w:p w:rsidR="007D7140" w:rsidRDefault="007D7140">
      <w:pPr>
        <w:rPr>
          <w:lang w:val="hu-HU"/>
        </w:rPr>
      </w:pPr>
    </w:p>
    <w:p w:rsidR="007D7140" w:rsidRDefault="00A207BA">
      <w:pPr>
        <w:rPr>
          <w:lang w:val="hu-HU"/>
        </w:rPr>
      </w:pPr>
      <w:r>
        <w:rPr>
          <w:lang w:val="hu-HU"/>
        </w:rPr>
        <w:t xml:space="preserve">Az </w:t>
      </w:r>
      <w:r>
        <w:rPr>
          <w:i/>
          <w:lang w:val="hu-HU"/>
        </w:rPr>
        <w:t xml:space="preserve">in vivo </w:t>
      </w:r>
      <w:r>
        <w:rPr>
          <w:lang w:val="hu-HU"/>
        </w:rPr>
        <w:t xml:space="preserve">és </w:t>
      </w:r>
      <w:r>
        <w:rPr>
          <w:i/>
          <w:lang w:val="hu-HU"/>
        </w:rPr>
        <w:t xml:space="preserve">ex vivo </w:t>
      </w:r>
      <w:r>
        <w:rPr>
          <w:lang w:val="hu-HU"/>
        </w:rPr>
        <w:t>állatkísérletekben antithrombotikus hatást és antikoaguláns aktivitást mutattak ki a dabigatrán intravénás és a dabigatrán</w:t>
      </w:r>
      <w:r>
        <w:rPr>
          <w:lang w:val="hu-HU"/>
        </w:rPr>
        <w:noBreakHyphen/>
        <w:t>etexilát orális adását követően, számos thrombosisos</w:t>
      </w:r>
      <w:r>
        <w:rPr>
          <w:spacing w:val="1"/>
          <w:lang w:val="hu-HU"/>
        </w:rPr>
        <w:t xml:space="preserve"> </w:t>
      </w:r>
      <w:r>
        <w:rPr>
          <w:lang w:val="hu-HU"/>
        </w:rPr>
        <w:t>állatmodellben.</w:t>
      </w:r>
    </w:p>
    <w:p w:rsidR="007D7140" w:rsidRDefault="007D7140">
      <w:pPr>
        <w:rPr>
          <w:lang w:val="hu-HU"/>
        </w:rPr>
      </w:pPr>
    </w:p>
    <w:p w:rsidR="007D7140" w:rsidRDefault="00A207BA">
      <w:pPr>
        <w:rPr>
          <w:lang w:val="hu-HU"/>
        </w:rPr>
      </w:pPr>
      <w:r>
        <w:rPr>
          <w:lang w:val="hu-HU"/>
        </w:rPr>
        <w:t>A II. fázisú vizsgálatok alapján egyértelmű összefüggés van a plazma dabigatrán koncentrációja és az antikoaguláns hatás mértéke között. A dabigatrán megnyújtja a thrombin időt (</w:t>
      </w:r>
      <w:r>
        <w:t xml:space="preserve">thrombin time, </w:t>
      </w:r>
      <w:r>
        <w:rPr>
          <w:lang w:val="hu-HU"/>
        </w:rPr>
        <w:t xml:space="preserve">TT), az ekarin alvadási időt (ECT) és az aktivált </w:t>
      </w:r>
      <w:r>
        <w:t>parciális thromboplasztinidőt (</w:t>
      </w:r>
      <w:r>
        <w:rPr>
          <w:lang w:val="hu-HU"/>
        </w:rPr>
        <w:t>aPTT).</w:t>
      </w:r>
    </w:p>
    <w:p w:rsidR="007D7140" w:rsidRDefault="007D7140">
      <w:pPr>
        <w:rPr>
          <w:lang w:val="hu-HU"/>
        </w:rPr>
      </w:pPr>
    </w:p>
    <w:p w:rsidR="007D7140" w:rsidRDefault="00A207BA">
      <w:pPr>
        <w:rPr>
          <w:lang w:val="hu-HU"/>
        </w:rPr>
      </w:pPr>
      <w:r>
        <w:rPr>
          <w:lang w:val="hu-HU"/>
        </w:rPr>
        <w:t>A kalibrált kvantitatív hígított TT (dTT) vizsgálattal megbecsülhető a dabigatrán</w:t>
      </w:r>
      <w:r>
        <w:rPr>
          <w:spacing w:val="1"/>
          <w:lang w:val="hu-HU"/>
        </w:rPr>
        <w:t xml:space="preserve"> </w:t>
      </w:r>
      <w:r>
        <w:rPr>
          <w:lang w:val="hu-HU"/>
        </w:rPr>
        <w:t>plazmakoncentrációja, amit össze lehet hasonlítani a várt dabigatrán plazmakoncentrációkkal. Amikor a dTT teszttel mért dabigatrán plazmakoncentráció a mennyiségi</w:t>
      </w:r>
      <w:r>
        <w:rPr>
          <w:spacing w:val="1"/>
          <w:lang w:val="hu-HU"/>
        </w:rPr>
        <w:t xml:space="preserve"> </w:t>
      </w:r>
      <w:r>
        <w:rPr>
          <w:lang w:val="hu-HU"/>
        </w:rPr>
        <w:t>meghatározás határértékénél vagy az alatt van, megfontolandó további véralvadási próbák, pl.</w:t>
      </w:r>
      <w:r>
        <w:rPr>
          <w:spacing w:val="1"/>
          <w:lang w:val="hu-HU"/>
        </w:rPr>
        <w:t xml:space="preserve"> </w:t>
      </w:r>
      <w:r>
        <w:rPr>
          <w:lang w:val="hu-HU"/>
        </w:rPr>
        <w:t>TT,</w:t>
      </w:r>
      <w:r>
        <w:rPr>
          <w:spacing w:val="-4"/>
          <w:lang w:val="hu-HU"/>
        </w:rPr>
        <w:t xml:space="preserve"> </w:t>
      </w:r>
      <w:r>
        <w:rPr>
          <w:lang w:val="hu-HU"/>
        </w:rPr>
        <w:t>ECT,</w:t>
      </w:r>
      <w:r>
        <w:rPr>
          <w:spacing w:val="-4"/>
          <w:lang w:val="hu-HU"/>
        </w:rPr>
        <w:t xml:space="preserve"> </w:t>
      </w:r>
      <w:r>
        <w:rPr>
          <w:lang w:val="hu-HU"/>
        </w:rPr>
        <w:t>aPTT</w:t>
      </w:r>
      <w:r>
        <w:rPr>
          <w:spacing w:val="-5"/>
          <w:lang w:val="hu-HU"/>
        </w:rPr>
        <w:t xml:space="preserve"> </w:t>
      </w:r>
      <w:r>
        <w:rPr>
          <w:lang w:val="hu-HU"/>
        </w:rPr>
        <w:t>elvégzése.</w:t>
      </w:r>
    </w:p>
    <w:p w:rsidR="007D7140" w:rsidRDefault="007D7140">
      <w:pPr>
        <w:rPr>
          <w:lang w:val="hu-HU"/>
        </w:rPr>
      </w:pPr>
    </w:p>
    <w:p w:rsidR="007D7140" w:rsidRDefault="00A207BA">
      <w:pPr>
        <w:rPr>
          <w:lang w:val="hu-HU"/>
        </w:rPr>
      </w:pPr>
      <w:r>
        <w:rPr>
          <w:lang w:val="hu-HU"/>
        </w:rPr>
        <w:t>Az</w:t>
      </w:r>
      <w:r>
        <w:rPr>
          <w:spacing w:val="-5"/>
          <w:lang w:val="hu-HU"/>
        </w:rPr>
        <w:t xml:space="preserve"> </w:t>
      </w:r>
      <w:r>
        <w:rPr>
          <w:lang w:val="hu-HU"/>
        </w:rPr>
        <w:t>ECT</w:t>
      </w:r>
      <w:r>
        <w:rPr>
          <w:spacing w:val="-4"/>
          <w:lang w:val="hu-HU"/>
        </w:rPr>
        <w:t xml:space="preserve"> </w:t>
      </w:r>
      <w:r>
        <w:rPr>
          <w:lang w:val="hu-HU"/>
        </w:rPr>
        <w:t>a</w:t>
      </w:r>
      <w:r>
        <w:rPr>
          <w:spacing w:val="-5"/>
          <w:lang w:val="hu-HU"/>
        </w:rPr>
        <w:t xml:space="preserve"> </w:t>
      </w:r>
      <w:r>
        <w:rPr>
          <w:lang w:val="hu-HU"/>
        </w:rPr>
        <w:t>direkt</w:t>
      </w:r>
      <w:r>
        <w:rPr>
          <w:spacing w:val="-4"/>
          <w:lang w:val="hu-HU"/>
        </w:rPr>
        <w:t xml:space="preserve"> </w:t>
      </w:r>
      <w:r>
        <w:rPr>
          <w:lang w:val="hu-HU"/>
        </w:rPr>
        <w:t>thrombin</w:t>
      </w:r>
      <w:r>
        <w:rPr>
          <w:spacing w:val="-5"/>
          <w:lang w:val="hu-HU"/>
        </w:rPr>
        <w:t xml:space="preserve"> </w:t>
      </w:r>
      <w:r>
        <w:rPr>
          <w:lang w:val="hu-HU"/>
        </w:rPr>
        <w:t>inhibitorok</w:t>
      </w:r>
      <w:r>
        <w:rPr>
          <w:spacing w:val="-4"/>
          <w:lang w:val="hu-HU"/>
        </w:rPr>
        <w:t xml:space="preserve"> </w:t>
      </w:r>
      <w:r>
        <w:rPr>
          <w:lang w:val="hu-HU"/>
        </w:rPr>
        <w:t>aktivitásának</w:t>
      </w:r>
      <w:r>
        <w:rPr>
          <w:spacing w:val="-4"/>
          <w:lang w:val="hu-HU"/>
        </w:rPr>
        <w:t xml:space="preserve"> </w:t>
      </w:r>
      <w:r>
        <w:rPr>
          <w:lang w:val="hu-HU"/>
        </w:rPr>
        <w:t>közvetlen</w:t>
      </w:r>
      <w:r>
        <w:rPr>
          <w:spacing w:val="-7"/>
          <w:lang w:val="hu-HU"/>
        </w:rPr>
        <w:t xml:space="preserve"> </w:t>
      </w:r>
      <w:r>
        <w:rPr>
          <w:lang w:val="hu-HU"/>
        </w:rPr>
        <w:t>mérését</w:t>
      </w:r>
      <w:r>
        <w:rPr>
          <w:spacing w:val="-4"/>
          <w:lang w:val="hu-HU"/>
        </w:rPr>
        <w:t xml:space="preserve"> </w:t>
      </w:r>
      <w:r>
        <w:rPr>
          <w:lang w:val="hu-HU"/>
        </w:rPr>
        <w:t>teszi</w:t>
      </w:r>
      <w:r>
        <w:rPr>
          <w:spacing w:val="-4"/>
          <w:lang w:val="hu-HU"/>
        </w:rPr>
        <w:t xml:space="preserve"> </w:t>
      </w:r>
      <w:r>
        <w:rPr>
          <w:lang w:val="hu-HU"/>
        </w:rPr>
        <w:t>lehetővé.</w:t>
      </w:r>
    </w:p>
    <w:p w:rsidR="007D7140" w:rsidRDefault="007D7140">
      <w:pPr>
        <w:rPr>
          <w:lang w:val="hu-HU"/>
        </w:rPr>
      </w:pPr>
    </w:p>
    <w:p w:rsidR="007D7140" w:rsidRDefault="00A207BA">
      <w:pPr>
        <w:rPr>
          <w:lang w:val="hu-HU"/>
        </w:rPr>
      </w:pPr>
      <w:r>
        <w:rPr>
          <w:lang w:val="hu-HU"/>
        </w:rPr>
        <w:t>Az aPTT vizsgálat széles körben elérhető és megközelítően jelzi a dabigatránnal elért alvadásgátlás intenzitását. Az aPTT érzékenysége azonban korlátozott és nem alkalmas az antikoaguláns hatás</w:t>
      </w:r>
      <w:r>
        <w:rPr>
          <w:spacing w:val="1"/>
          <w:lang w:val="hu-HU"/>
        </w:rPr>
        <w:t xml:space="preserve"> </w:t>
      </w:r>
      <w:r>
        <w:rPr>
          <w:lang w:val="hu-HU"/>
        </w:rPr>
        <w:t>precíz</w:t>
      </w:r>
      <w:r>
        <w:rPr>
          <w:spacing w:val="-3"/>
          <w:lang w:val="hu-HU"/>
        </w:rPr>
        <w:t xml:space="preserve"> </w:t>
      </w:r>
      <w:r>
        <w:rPr>
          <w:lang w:val="hu-HU"/>
        </w:rPr>
        <w:t>mérésére,</w:t>
      </w:r>
      <w:r>
        <w:rPr>
          <w:spacing w:val="-3"/>
          <w:lang w:val="hu-HU"/>
        </w:rPr>
        <w:t xml:space="preserve"> </w:t>
      </w:r>
      <w:r>
        <w:rPr>
          <w:lang w:val="hu-HU"/>
        </w:rPr>
        <w:t>különösen</w:t>
      </w:r>
      <w:r>
        <w:rPr>
          <w:spacing w:val="-3"/>
          <w:lang w:val="hu-HU"/>
        </w:rPr>
        <w:t xml:space="preserve"> </w:t>
      </w:r>
      <w:r>
        <w:rPr>
          <w:lang w:val="hu-HU"/>
        </w:rPr>
        <w:t>magas</w:t>
      </w:r>
      <w:r>
        <w:rPr>
          <w:spacing w:val="-4"/>
          <w:lang w:val="hu-HU"/>
        </w:rPr>
        <w:t xml:space="preserve"> </w:t>
      </w:r>
      <w:r>
        <w:rPr>
          <w:lang w:val="hu-HU"/>
        </w:rPr>
        <w:t>dabigatrán</w:t>
      </w:r>
      <w:r>
        <w:rPr>
          <w:spacing w:val="-3"/>
          <w:lang w:val="hu-HU"/>
        </w:rPr>
        <w:t xml:space="preserve"> </w:t>
      </w:r>
      <w:r>
        <w:rPr>
          <w:lang w:val="hu-HU"/>
        </w:rPr>
        <w:t>plazmakoncentrációk</w:t>
      </w:r>
      <w:r>
        <w:rPr>
          <w:spacing w:val="-3"/>
          <w:lang w:val="hu-HU"/>
        </w:rPr>
        <w:t xml:space="preserve"> </w:t>
      </w:r>
      <w:r>
        <w:rPr>
          <w:lang w:val="hu-HU"/>
        </w:rPr>
        <w:t>esetén.</w:t>
      </w:r>
      <w:r>
        <w:rPr>
          <w:spacing w:val="-3"/>
          <w:lang w:val="hu-HU"/>
        </w:rPr>
        <w:t xml:space="preserve"> </w:t>
      </w:r>
      <w:r>
        <w:rPr>
          <w:lang w:val="hu-HU"/>
        </w:rPr>
        <w:t>Jóllehet</w:t>
      </w:r>
      <w:r>
        <w:rPr>
          <w:spacing w:val="-3"/>
          <w:lang w:val="hu-HU"/>
        </w:rPr>
        <w:t xml:space="preserve"> </w:t>
      </w:r>
      <w:r>
        <w:rPr>
          <w:lang w:val="hu-HU"/>
        </w:rPr>
        <w:t>a</w:t>
      </w:r>
      <w:r>
        <w:rPr>
          <w:spacing w:val="-3"/>
          <w:lang w:val="hu-HU"/>
        </w:rPr>
        <w:t xml:space="preserve"> </w:t>
      </w:r>
      <w:r>
        <w:rPr>
          <w:lang w:val="hu-HU"/>
        </w:rPr>
        <w:t>magas aPTT</w:t>
      </w:r>
      <w:r>
        <w:rPr>
          <w:lang w:val="hu-HU"/>
        </w:rPr>
        <w:noBreakHyphen/>
        <w:t>értékeket körültekintően kell értelmezni, a magas aPTT</w:t>
      </w:r>
      <w:r>
        <w:rPr>
          <w:lang w:val="hu-HU"/>
        </w:rPr>
        <w:noBreakHyphen/>
        <w:t>érték azt jelzi, hogy a beteg antikoagulált</w:t>
      </w:r>
      <w:r>
        <w:rPr>
          <w:spacing w:val="-2"/>
          <w:lang w:val="hu-HU"/>
        </w:rPr>
        <w:t xml:space="preserve"> </w:t>
      </w:r>
      <w:r>
        <w:rPr>
          <w:lang w:val="hu-HU"/>
        </w:rPr>
        <w:t>állapotban</w:t>
      </w:r>
      <w:r>
        <w:rPr>
          <w:spacing w:val="-1"/>
          <w:lang w:val="hu-HU"/>
        </w:rPr>
        <w:t xml:space="preserve"> </w:t>
      </w:r>
      <w:r>
        <w:rPr>
          <w:lang w:val="hu-HU"/>
        </w:rPr>
        <w:t>van.</w:t>
      </w:r>
    </w:p>
    <w:p w:rsidR="007D7140" w:rsidRDefault="007D7140">
      <w:pPr>
        <w:rPr>
          <w:lang w:val="hu-HU"/>
        </w:rPr>
      </w:pPr>
    </w:p>
    <w:p w:rsidR="007D7140" w:rsidRDefault="00A207BA" w:rsidP="00527548">
      <w:pPr>
        <w:widowControl/>
        <w:rPr>
          <w:lang w:val="hu-HU"/>
        </w:rPr>
      </w:pPr>
      <w:r>
        <w:rPr>
          <w:lang w:val="hu-HU"/>
        </w:rPr>
        <w:t>Általánosságban feltételezhető, hogy az antikoaguláns aktivitás ezen mérései tükrözhetik a</w:t>
      </w:r>
      <w:r>
        <w:rPr>
          <w:spacing w:val="1"/>
          <w:lang w:val="hu-HU"/>
        </w:rPr>
        <w:t xml:space="preserve"> </w:t>
      </w:r>
      <w:r>
        <w:rPr>
          <w:lang w:val="hu-HU"/>
        </w:rPr>
        <w:t>dabigatránszinteket és iránymutatók lehetnek a vérzésveszély megbecslésekor, pl. a dabigatrán</w:t>
      </w:r>
      <w:r>
        <w:rPr>
          <w:spacing w:val="1"/>
          <w:lang w:val="hu-HU"/>
        </w:rPr>
        <w:t xml:space="preserve"> </w:t>
      </w:r>
      <w:r>
        <w:rPr>
          <w:lang w:val="hu-HU"/>
        </w:rPr>
        <w:t>mélyponti koncentrációjának 90. percentilisét meghaladó értékek, vagy az aPTT-hez hasonló</w:t>
      </w:r>
      <w:r>
        <w:rPr>
          <w:spacing w:val="1"/>
          <w:lang w:val="hu-HU"/>
        </w:rPr>
        <w:t xml:space="preserve"> </w:t>
      </w:r>
      <w:r>
        <w:rPr>
          <w:lang w:val="hu-HU"/>
        </w:rPr>
        <w:lastRenderedPageBreak/>
        <w:t>koagulációs</w:t>
      </w:r>
      <w:r>
        <w:rPr>
          <w:spacing w:val="-4"/>
          <w:lang w:val="hu-HU"/>
        </w:rPr>
        <w:t xml:space="preserve"> </w:t>
      </w:r>
      <w:r>
        <w:rPr>
          <w:lang w:val="hu-HU"/>
        </w:rPr>
        <w:t>vizsgálatok</w:t>
      </w:r>
      <w:r>
        <w:rPr>
          <w:spacing w:val="-4"/>
          <w:lang w:val="hu-HU"/>
        </w:rPr>
        <w:t xml:space="preserve"> </w:t>
      </w:r>
      <w:r>
        <w:rPr>
          <w:lang w:val="hu-HU"/>
        </w:rPr>
        <w:t>mélyponton</w:t>
      </w:r>
      <w:r>
        <w:rPr>
          <w:spacing w:val="-4"/>
          <w:lang w:val="hu-HU"/>
        </w:rPr>
        <w:t xml:space="preserve"> </w:t>
      </w:r>
      <w:r>
        <w:rPr>
          <w:lang w:val="hu-HU"/>
        </w:rPr>
        <w:t>mért</w:t>
      </w:r>
      <w:r>
        <w:rPr>
          <w:spacing w:val="-4"/>
          <w:lang w:val="hu-HU"/>
        </w:rPr>
        <w:t xml:space="preserve"> </w:t>
      </w:r>
      <w:r>
        <w:rPr>
          <w:lang w:val="hu-HU"/>
        </w:rPr>
        <w:t>értékei</w:t>
      </w:r>
      <w:r>
        <w:rPr>
          <w:spacing w:val="-4"/>
          <w:lang w:val="hu-HU"/>
        </w:rPr>
        <w:t xml:space="preserve"> </w:t>
      </w:r>
      <w:r>
        <w:rPr>
          <w:lang w:val="hu-HU"/>
        </w:rPr>
        <w:t>(az</w:t>
      </w:r>
      <w:r>
        <w:rPr>
          <w:spacing w:val="-4"/>
          <w:lang w:val="hu-HU"/>
        </w:rPr>
        <w:t xml:space="preserve"> </w:t>
      </w:r>
      <w:r>
        <w:rPr>
          <w:lang w:val="hu-HU"/>
        </w:rPr>
        <w:t>aPTT</w:t>
      </w:r>
      <w:r>
        <w:rPr>
          <w:spacing w:val="-4"/>
          <w:lang w:val="hu-HU"/>
        </w:rPr>
        <w:t xml:space="preserve"> </w:t>
      </w:r>
      <w:r>
        <w:rPr>
          <w:lang w:val="hu-HU"/>
        </w:rPr>
        <w:t>küszöbértékeket</w:t>
      </w:r>
      <w:r>
        <w:rPr>
          <w:spacing w:val="-4"/>
          <w:lang w:val="hu-HU"/>
        </w:rPr>
        <w:t xml:space="preserve"> </w:t>
      </w:r>
      <w:r>
        <w:rPr>
          <w:lang w:val="hu-HU"/>
        </w:rPr>
        <w:t>lásd</w:t>
      </w:r>
      <w:r>
        <w:rPr>
          <w:spacing w:val="-4"/>
          <w:lang w:val="hu-HU"/>
        </w:rPr>
        <w:t xml:space="preserve"> </w:t>
      </w:r>
      <w:r>
        <w:rPr>
          <w:lang w:val="hu-HU"/>
        </w:rPr>
        <w:t>a</w:t>
      </w:r>
      <w:r>
        <w:rPr>
          <w:spacing w:val="-4"/>
          <w:lang w:val="hu-HU"/>
        </w:rPr>
        <w:t xml:space="preserve"> </w:t>
      </w:r>
      <w:r>
        <w:rPr>
          <w:lang w:val="hu-HU"/>
        </w:rPr>
        <w:t>4.4</w:t>
      </w:r>
      <w:r>
        <w:rPr>
          <w:spacing w:val="-3"/>
          <w:lang w:val="hu-HU"/>
        </w:rPr>
        <w:t> pont</w:t>
      </w:r>
      <w:r>
        <w:rPr>
          <w:spacing w:val="-4"/>
          <w:lang w:val="hu-HU"/>
        </w:rPr>
        <w:t xml:space="preserve"> </w:t>
      </w:r>
      <w:r>
        <w:rPr>
          <w:lang w:val="hu-HU"/>
        </w:rPr>
        <w:t>alatt</w:t>
      </w:r>
      <w:r>
        <w:rPr>
          <w:spacing w:val="-4"/>
          <w:lang w:val="hu-HU"/>
        </w:rPr>
        <w:t xml:space="preserve"> </w:t>
      </w:r>
      <w:r>
        <w:rPr>
          <w:lang w:val="hu-HU"/>
        </w:rPr>
        <w:t>a 6.</w:t>
      </w:r>
      <w:r>
        <w:rPr>
          <w:spacing w:val="-5"/>
          <w:lang w:val="hu-HU"/>
        </w:rPr>
        <w:t> </w:t>
      </w:r>
      <w:r>
        <w:rPr>
          <w:lang w:val="hu-HU"/>
        </w:rPr>
        <w:t>táblázatban),</w:t>
      </w:r>
      <w:r>
        <w:rPr>
          <w:spacing w:val="-5"/>
          <w:lang w:val="hu-HU"/>
        </w:rPr>
        <w:t xml:space="preserve"> </w:t>
      </w:r>
      <w:r>
        <w:rPr>
          <w:lang w:val="hu-HU"/>
        </w:rPr>
        <w:t>melyeket</w:t>
      </w:r>
      <w:r>
        <w:rPr>
          <w:spacing w:val="-5"/>
          <w:lang w:val="hu-HU"/>
        </w:rPr>
        <w:t xml:space="preserve"> </w:t>
      </w:r>
      <w:r>
        <w:rPr>
          <w:lang w:val="hu-HU"/>
        </w:rPr>
        <w:t>a</w:t>
      </w:r>
      <w:r>
        <w:rPr>
          <w:spacing w:val="-6"/>
          <w:lang w:val="hu-HU"/>
        </w:rPr>
        <w:t xml:space="preserve"> </w:t>
      </w:r>
      <w:r>
        <w:rPr>
          <w:lang w:val="hu-HU"/>
        </w:rPr>
        <w:t>fokozott</w:t>
      </w:r>
      <w:r>
        <w:rPr>
          <w:spacing w:val="-5"/>
          <w:lang w:val="hu-HU"/>
        </w:rPr>
        <w:t xml:space="preserve"> </w:t>
      </w:r>
      <w:r>
        <w:rPr>
          <w:lang w:val="hu-HU"/>
        </w:rPr>
        <w:t>vérzésveszéllyel</w:t>
      </w:r>
      <w:r>
        <w:rPr>
          <w:spacing w:val="-5"/>
          <w:lang w:val="hu-HU"/>
        </w:rPr>
        <w:t xml:space="preserve"> </w:t>
      </w:r>
      <w:r>
        <w:rPr>
          <w:lang w:val="hu-HU"/>
        </w:rPr>
        <w:t>összefüggő</w:t>
      </w:r>
      <w:r>
        <w:rPr>
          <w:spacing w:val="-5"/>
          <w:lang w:val="hu-HU"/>
        </w:rPr>
        <w:t xml:space="preserve"> </w:t>
      </w:r>
      <w:r>
        <w:rPr>
          <w:lang w:val="hu-HU"/>
        </w:rPr>
        <w:t>tényezőkként</w:t>
      </w:r>
      <w:r>
        <w:rPr>
          <w:spacing w:val="-6"/>
          <w:lang w:val="hu-HU"/>
        </w:rPr>
        <w:t xml:space="preserve"> </w:t>
      </w:r>
      <w:r>
        <w:rPr>
          <w:lang w:val="hu-HU"/>
        </w:rPr>
        <w:t>kell</w:t>
      </w:r>
      <w:r>
        <w:rPr>
          <w:spacing w:val="-5"/>
          <w:lang w:val="hu-HU"/>
        </w:rPr>
        <w:t xml:space="preserve"> </w:t>
      </w:r>
      <w:r>
        <w:rPr>
          <w:lang w:val="hu-HU"/>
        </w:rPr>
        <w:t>figyelembe</w:t>
      </w:r>
      <w:r>
        <w:rPr>
          <w:spacing w:val="-5"/>
          <w:lang w:val="hu-HU"/>
        </w:rPr>
        <w:t xml:space="preserve"> </w:t>
      </w:r>
      <w:r>
        <w:rPr>
          <w:lang w:val="hu-HU"/>
        </w:rPr>
        <w:t>venni.</w:t>
      </w:r>
    </w:p>
    <w:p w:rsidR="007D7140" w:rsidRDefault="007D7140">
      <w:pPr>
        <w:rPr>
          <w:lang w:val="hu-HU"/>
        </w:rPr>
      </w:pPr>
    </w:p>
    <w:p w:rsidR="007D7140" w:rsidRDefault="00A207BA">
      <w:pPr>
        <w:keepNext/>
        <w:widowControl/>
        <w:rPr>
          <w:i/>
          <w:lang w:val="hu-HU"/>
        </w:rPr>
      </w:pPr>
      <w:r>
        <w:rPr>
          <w:i/>
          <w:u w:val="single"/>
          <w:lang w:val="hu-HU"/>
        </w:rPr>
        <w:t>VTE</w:t>
      </w:r>
      <w:r>
        <w:rPr>
          <w:i/>
          <w:spacing w:val="-6"/>
          <w:u w:val="single"/>
          <w:lang w:val="hu-HU"/>
        </w:rPr>
        <w:t xml:space="preserve"> </w:t>
      </w:r>
      <w:r>
        <w:rPr>
          <w:i/>
          <w:u w:val="single"/>
          <w:lang w:val="hu-HU"/>
        </w:rPr>
        <w:t>primer</w:t>
      </w:r>
      <w:r>
        <w:rPr>
          <w:i/>
          <w:spacing w:val="-5"/>
          <w:u w:val="single"/>
          <w:lang w:val="hu-HU"/>
        </w:rPr>
        <w:t xml:space="preserve"> </w:t>
      </w:r>
      <w:r>
        <w:rPr>
          <w:i/>
          <w:u w:val="single"/>
          <w:lang w:val="hu-HU"/>
        </w:rPr>
        <w:t>prevenciója</w:t>
      </w:r>
      <w:r>
        <w:rPr>
          <w:i/>
          <w:spacing w:val="-5"/>
          <w:u w:val="single"/>
          <w:lang w:val="hu-HU"/>
        </w:rPr>
        <w:t xml:space="preserve"> </w:t>
      </w:r>
      <w:r>
        <w:rPr>
          <w:i/>
          <w:u w:val="single"/>
          <w:lang w:val="hu-HU"/>
        </w:rPr>
        <w:t>ortopédiai</w:t>
      </w:r>
      <w:r>
        <w:rPr>
          <w:i/>
          <w:spacing w:val="-5"/>
          <w:u w:val="single"/>
          <w:lang w:val="hu-HU"/>
        </w:rPr>
        <w:t xml:space="preserve"> </w:t>
      </w:r>
      <w:r>
        <w:rPr>
          <w:i/>
          <w:u w:val="single"/>
          <w:lang w:val="hu-HU"/>
        </w:rPr>
        <w:t>műtéteknél</w:t>
      </w:r>
    </w:p>
    <w:p w:rsidR="007D7140" w:rsidRDefault="007D7140">
      <w:pPr>
        <w:keepNext/>
        <w:widowControl/>
        <w:rPr>
          <w:i/>
          <w:lang w:val="hu-HU"/>
        </w:rPr>
      </w:pPr>
    </w:p>
    <w:p w:rsidR="007D7140" w:rsidRDefault="00A207BA">
      <w:pPr>
        <w:keepNext/>
        <w:widowControl/>
        <w:rPr>
          <w:lang w:val="hu-HU"/>
        </w:rPr>
      </w:pPr>
      <w:r>
        <w:rPr>
          <w:lang w:val="hu-HU"/>
        </w:rPr>
        <w:t>A dabigatrán dinamikus egyensúlyi állapotban (3 nap elteltével), 220 mg dabigatrán</w:t>
      </w:r>
      <w:r>
        <w:rPr>
          <w:lang w:val="hu-HU"/>
        </w:rPr>
        <w:noBreakHyphen/>
        <w:t>etexilát adása</w:t>
      </w:r>
      <w:r>
        <w:rPr>
          <w:spacing w:val="1"/>
          <w:lang w:val="hu-HU"/>
        </w:rPr>
        <w:t xml:space="preserve"> </w:t>
      </w:r>
      <w:r>
        <w:rPr>
          <w:lang w:val="hu-HU"/>
        </w:rPr>
        <w:t>után nagyjából 2 órával mért maximális plazmakoncentrációjának geometriai átlaga 70,8 ng/ml,</w:t>
      </w:r>
      <w:r>
        <w:rPr>
          <w:spacing w:val="1"/>
          <w:lang w:val="hu-HU"/>
        </w:rPr>
        <w:t xml:space="preserve"> </w:t>
      </w:r>
      <w:r>
        <w:rPr>
          <w:lang w:val="hu-HU"/>
        </w:rPr>
        <w:t>tartománya 35,2</w:t>
      </w:r>
      <w:r>
        <w:rPr>
          <w:lang w:val="hu-HU"/>
        </w:rPr>
        <w:noBreakHyphen/>
        <w:t>162 ng/ml (25</w:t>
      </w:r>
      <w:r>
        <w:rPr>
          <w:lang w:val="hu-HU"/>
        </w:rPr>
        <w:noBreakHyphen/>
        <w:t>ös és 75</w:t>
      </w:r>
      <w:r>
        <w:rPr>
          <w:lang w:val="hu-HU"/>
        </w:rPr>
        <w:noBreakHyphen/>
        <w:t>ös közötti percentilis tartomány) volt. A dabigatrán adagolási intervallum végén (azaz 220 mg dabigatrán dózis adása után 24 órával) mért maradék</w:t>
      </w:r>
      <w:r>
        <w:rPr>
          <w:spacing w:val="1"/>
          <w:lang w:val="hu-HU"/>
        </w:rPr>
        <w:t xml:space="preserve"> </w:t>
      </w:r>
      <w:r>
        <w:rPr>
          <w:lang w:val="hu-HU"/>
        </w:rPr>
        <w:t>koncentrációjának geometriai átlaga 22,0 ng/ml, tartománya 13,0</w:t>
      </w:r>
      <w:r>
        <w:rPr>
          <w:lang w:val="hu-HU"/>
        </w:rPr>
        <w:noBreakHyphen/>
        <w:t>35,7 ng/ml (25</w:t>
      </w:r>
      <w:r>
        <w:rPr>
          <w:lang w:val="hu-HU"/>
        </w:rPr>
        <w:noBreakHyphen/>
        <w:t>ös és 75</w:t>
      </w:r>
      <w:r>
        <w:rPr>
          <w:lang w:val="hu-HU"/>
        </w:rPr>
        <w:noBreakHyphen/>
        <w:t>ös közötti</w:t>
      </w:r>
      <w:r>
        <w:rPr>
          <w:spacing w:val="1"/>
          <w:lang w:val="hu-HU"/>
        </w:rPr>
        <w:t xml:space="preserve"> </w:t>
      </w:r>
      <w:r>
        <w:rPr>
          <w:lang w:val="hu-HU"/>
        </w:rPr>
        <w:t>percentilis</w:t>
      </w:r>
      <w:r>
        <w:rPr>
          <w:spacing w:val="-2"/>
          <w:lang w:val="hu-HU"/>
        </w:rPr>
        <w:t xml:space="preserve"> </w:t>
      </w:r>
      <w:r>
        <w:rPr>
          <w:lang w:val="hu-HU"/>
        </w:rPr>
        <w:t>tartomány)</w:t>
      </w:r>
      <w:r>
        <w:rPr>
          <w:spacing w:val="-1"/>
          <w:lang w:val="hu-HU"/>
        </w:rPr>
        <w:t xml:space="preserve"> </w:t>
      </w:r>
      <w:r>
        <w:rPr>
          <w:lang w:val="hu-HU"/>
        </w:rPr>
        <w:t>volt.</w:t>
      </w:r>
    </w:p>
    <w:p w:rsidR="007D7140" w:rsidRDefault="007D7140">
      <w:pPr>
        <w:rPr>
          <w:lang w:val="hu-HU"/>
        </w:rPr>
      </w:pPr>
    </w:p>
    <w:p w:rsidR="007D7140" w:rsidRDefault="00A207BA">
      <w:pPr>
        <w:rPr>
          <w:lang w:val="hu-HU"/>
        </w:rPr>
      </w:pPr>
      <w:r>
        <w:rPr>
          <w:lang w:val="hu-HU"/>
        </w:rPr>
        <w:t>Egy</w:t>
      </w:r>
      <w:r>
        <w:rPr>
          <w:spacing w:val="-6"/>
          <w:lang w:val="hu-HU"/>
        </w:rPr>
        <w:t xml:space="preserve"> </w:t>
      </w:r>
      <w:r>
        <w:rPr>
          <w:lang w:val="hu-HU"/>
        </w:rPr>
        <w:t>célzott,</w:t>
      </w:r>
      <w:r>
        <w:rPr>
          <w:spacing w:val="-5"/>
          <w:lang w:val="hu-HU"/>
        </w:rPr>
        <w:t xml:space="preserve"> </w:t>
      </w:r>
      <w:r>
        <w:rPr>
          <w:lang w:val="hu-HU"/>
        </w:rPr>
        <w:t>kizárólag</w:t>
      </w:r>
      <w:r>
        <w:rPr>
          <w:spacing w:val="-5"/>
          <w:lang w:val="hu-HU"/>
        </w:rPr>
        <w:t xml:space="preserve"> </w:t>
      </w:r>
      <w:r>
        <w:rPr>
          <w:lang w:val="hu-HU"/>
        </w:rPr>
        <w:t>közepesen</w:t>
      </w:r>
      <w:r>
        <w:rPr>
          <w:spacing w:val="-6"/>
          <w:lang w:val="hu-HU"/>
        </w:rPr>
        <w:t xml:space="preserve"> </w:t>
      </w:r>
      <w:r>
        <w:rPr>
          <w:lang w:val="hu-HU"/>
        </w:rPr>
        <w:t>súlyos</w:t>
      </w:r>
      <w:r>
        <w:rPr>
          <w:spacing w:val="-5"/>
          <w:lang w:val="hu-HU"/>
        </w:rPr>
        <w:t xml:space="preserve"> </w:t>
      </w:r>
      <w:r>
        <w:rPr>
          <w:lang w:val="hu-HU"/>
        </w:rPr>
        <w:t>fokú</w:t>
      </w:r>
      <w:r>
        <w:rPr>
          <w:spacing w:val="-5"/>
          <w:lang w:val="hu-HU"/>
        </w:rPr>
        <w:t xml:space="preserve"> </w:t>
      </w:r>
      <w:r>
        <w:rPr>
          <w:lang w:val="hu-HU"/>
        </w:rPr>
        <w:t>vesekárosodásban</w:t>
      </w:r>
      <w:r>
        <w:rPr>
          <w:spacing w:val="-6"/>
          <w:lang w:val="hu-HU"/>
        </w:rPr>
        <w:t xml:space="preserve"> </w:t>
      </w:r>
      <w:r>
        <w:rPr>
          <w:lang w:val="hu-HU"/>
        </w:rPr>
        <w:t>(kreatinin</w:t>
      </w:r>
      <w:r>
        <w:rPr>
          <w:lang w:val="hu-HU"/>
        </w:rPr>
        <w:noBreakHyphen/>
        <w:t>clearance</w:t>
      </w:r>
      <w:r>
        <w:rPr>
          <w:spacing w:val="-4"/>
          <w:lang w:val="hu-HU"/>
        </w:rPr>
        <w:t xml:space="preserve"> </w:t>
      </w:r>
      <w:r>
        <w:rPr>
          <w:lang w:val="hu-HU"/>
        </w:rPr>
        <w:t>[CrCl] 30</w:t>
      </w:r>
      <w:r>
        <w:rPr>
          <w:lang w:val="hu-HU"/>
        </w:rPr>
        <w:noBreakHyphen/>
        <w:t>50 ml/perc) szenvedő, 150 mg/nap dabigatrán</w:t>
      </w:r>
      <w:r>
        <w:rPr>
          <w:lang w:val="hu-HU"/>
        </w:rPr>
        <w:noBreakHyphen/>
        <w:t>etexiláttal kezelt betegekkel elvégzett vizsgálatban, az adagolási intervallum végén mért mélyponti koncentráció geometriai átlaga átlagosan 47,5 ng/ml volt</w:t>
      </w:r>
      <w:r>
        <w:rPr>
          <w:spacing w:val="-2"/>
          <w:lang w:val="hu-HU"/>
        </w:rPr>
        <w:t xml:space="preserve"> </w:t>
      </w:r>
      <w:r>
        <w:rPr>
          <w:lang w:val="hu-HU"/>
        </w:rPr>
        <w:t>(tartomány:</w:t>
      </w:r>
      <w:r>
        <w:rPr>
          <w:spacing w:val="-1"/>
          <w:lang w:val="hu-HU"/>
        </w:rPr>
        <w:t xml:space="preserve"> </w:t>
      </w:r>
      <w:r>
        <w:rPr>
          <w:lang w:val="hu-HU"/>
        </w:rPr>
        <w:t>29,6</w:t>
      </w:r>
      <w:r>
        <w:rPr>
          <w:lang w:val="hu-HU"/>
        </w:rPr>
        <w:noBreakHyphen/>
        <w:t>72,2 ng/ml</w:t>
      </w:r>
      <w:r>
        <w:rPr>
          <w:spacing w:val="-1"/>
          <w:lang w:val="hu-HU"/>
        </w:rPr>
        <w:t xml:space="preserve"> </w:t>
      </w:r>
      <w:r>
        <w:rPr>
          <w:lang w:val="hu-HU"/>
        </w:rPr>
        <w:t>[25</w:t>
      </w:r>
      <w:r>
        <w:rPr>
          <w:lang w:val="hu-HU"/>
        </w:rPr>
        <w:noBreakHyphen/>
        <w:t>ös és 75</w:t>
      </w:r>
      <w:r>
        <w:rPr>
          <w:lang w:val="hu-HU"/>
        </w:rPr>
        <w:noBreakHyphen/>
        <w:t>ös közötti</w:t>
      </w:r>
      <w:r>
        <w:rPr>
          <w:spacing w:val="1"/>
          <w:lang w:val="hu-HU"/>
        </w:rPr>
        <w:t xml:space="preserve"> </w:t>
      </w:r>
      <w:r>
        <w:rPr>
          <w:lang w:val="hu-HU"/>
        </w:rPr>
        <w:t>percentilis</w:t>
      </w:r>
      <w:r>
        <w:rPr>
          <w:spacing w:val="-1"/>
          <w:lang w:val="hu-HU"/>
        </w:rPr>
        <w:t xml:space="preserve"> </w:t>
      </w:r>
      <w:r>
        <w:rPr>
          <w:lang w:val="hu-HU"/>
        </w:rPr>
        <w:t>tartomány]).</w:t>
      </w:r>
    </w:p>
    <w:p w:rsidR="007D7140" w:rsidRDefault="007D7140">
      <w:pPr>
        <w:rPr>
          <w:lang w:val="hu-HU"/>
        </w:rPr>
      </w:pPr>
    </w:p>
    <w:p w:rsidR="007D7140" w:rsidRDefault="00A207BA">
      <w:pPr>
        <w:rPr>
          <w:lang w:val="hu-HU"/>
        </w:rPr>
      </w:pPr>
      <w:r>
        <w:rPr>
          <w:lang w:val="hu-HU"/>
        </w:rPr>
        <w:t>Csípő</w:t>
      </w:r>
      <w:r>
        <w:rPr>
          <w:lang w:val="hu-HU"/>
        </w:rPr>
        <w:noBreakHyphen/>
        <w:t xml:space="preserve"> vagy térdprotézis beültetést követően VTE prevenció miatt naponta egyszer 220 mg dabigatrán</w:t>
      </w:r>
      <w:r>
        <w:rPr>
          <w:lang w:val="hu-HU"/>
        </w:rPr>
        <w:noBreakHyphen/>
        <w:t>etexiláttal kezelt</w:t>
      </w:r>
      <w:r>
        <w:rPr>
          <w:spacing w:val="-1"/>
          <w:lang w:val="hu-HU"/>
        </w:rPr>
        <w:t xml:space="preserve"> </w:t>
      </w:r>
      <w:r>
        <w:rPr>
          <w:lang w:val="hu-HU"/>
        </w:rPr>
        <w:t xml:space="preserve">betegeknél </w:t>
      </w:r>
    </w:p>
    <w:p w:rsidR="007D7140" w:rsidRDefault="00A207BA">
      <w:pPr>
        <w:pStyle w:val="Listaszerbekezds"/>
        <w:numPr>
          <w:ilvl w:val="0"/>
          <w:numId w:val="11"/>
        </w:numPr>
        <w:ind w:left="567" w:hanging="567"/>
        <w:rPr>
          <w:lang w:val="hu-HU"/>
        </w:rPr>
      </w:pPr>
      <w:r>
        <w:rPr>
          <w:lang w:val="hu-HU"/>
        </w:rPr>
        <w:t>a dabigatrán</w:t>
      </w:r>
      <w:r>
        <w:rPr>
          <w:lang w:val="hu-HU"/>
        </w:rPr>
        <w:noBreakHyphen/>
        <w:t>koncentrációk 90. percentilise 67 ng/ml volt a mélyponton mérve (20</w:t>
      </w:r>
      <w:r>
        <w:rPr>
          <w:lang w:val="hu-HU"/>
        </w:rPr>
        <w:noBreakHyphen/>
        <w:t>28 órával</w:t>
      </w:r>
      <w:r>
        <w:rPr>
          <w:spacing w:val="-1"/>
          <w:lang w:val="hu-HU"/>
        </w:rPr>
        <w:t xml:space="preserve"> </w:t>
      </w:r>
      <w:r>
        <w:rPr>
          <w:lang w:val="hu-HU"/>
        </w:rPr>
        <w:t>a</w:t>
      </w:r>
      <w:r>
        <w:rPr>
          <w:spacing w:val="-2"/>
          <w:lang w:val="hu-HU"/>
        </w:rPr>
        <w:t xml:space="preserve"> </w:t>
      </w:r>
      <w:r>
        <w:rPr>
          <w:lang w:val="hu-HU"/>
        </w:rPr>
        <w:t>megelőző</w:t>
      </w:r>
      <w:r>
        <w:rPr>
          <w:spacing w:val="-1"/>
          <w:lang w:val="hu-HU"/>
        </w:rPr>
        <w:t xml:space="preserve"> </w:t>
      </w:r>
      <w:r>
        <w:rPr>
          <w:lang w:val="hu-HU"/>
        </w:rPr>
        <w:t>dózis</w:t>
      </w:r>
      <w:r>
        <w:rPr>
          <w:spacing w:val="-2"/>
          <w:lang w:val="hu-HU"/>
        </w:rPr>
        <w:t xml:space="preserve"> </w:t>
      </w:r>
      <w:r>
        <w:rPr>
          <w:lang w:val="hu-HU"/>
        </w:rPr>
        <w:t>után)</w:t>
      </w:r>
      <w:r>
        <w:rPr>
          <w:spacing w:val="-1"/>
          <w:lang w:val="hu-HU"/>
        </w:rPr>
        <w:t xml:space="preserve"> </w:t>
      </w:r>
      <w:r>
        <w:rPr>
          <w:lang w:val="hu-HU"/>
        </w:rPr>
        <w:t>(lásd</w:t>
      </w:r>
      <w:r>
        <w:rPr>
          <w:spacing w:val="-1"/>
          <w:lang w:val="hu-HU"/>
        </w:rPr>
        <w:t xml:space="preserve"> </w:t>
      </w:r>
      <w:r>
        <w:rPr>
          <w:lang w:val="hu-HU"/>
        </w:rPr>
        <w:t>4.4</w:t>
      </w:r>
      <w:r>
        <w:rPr>
          <w:spacing w:val="-2"/>
          <w:lang w:val="hu-HU"/>
        </w:rPr>
        <w:t xml:space="preserve"> </w:t>
      </w:r>
      <w:r>
        <w:rPr>
          <w:lang w:val="hu-HU"/>
        </w:rPr>
        <w:t>és</w:t>
      </w:r>
      <w:r>
        <w:rPr>
          <w:spacing w:val="-1"/>
          <w:lang w:val="hu-HU"/>
        </w:rPr>
        <w:t xml:space="preserve"> </w:t>
      </w:r>
      <w:r>
        <w:rPr>
          <w:lang w:val="hu-HU"/>
        </w:rPr>
        <w:t>4.9</w:t>
      </w:r>
      <w:r>
        <w:rPr>
          <w:spacing w:val="-2"/>
          <w:lang w:val="hu-HU"/>
        </w:rPr>
        <w:t> pont</w:t>
      </w:r>
      <w:r>
        <w:rPr>
          <w:lang w:val="hu-HU"/>
        </w:rPr>
        <w:t>),</w:t>
      </w:r>
    </w:p>
    <w:p w:rsidR="007D7140" w:rsidRDefault="00A207BA">
      <w:pPr>
        <w:pStyle w:val="Listaszerbekezds"/>
        <w:numPr>
          <w:ilvl w:val="0"/>
          <w:numId w:val="11"/>
        </w:numPr>
        <w:ind w:left="567" w:hanging="567"/>
        <w:rPr>
          <w:lang w:val="hu-HU"/>
        </w:rPr>
      </w:pPr>
      <w:r>
        <w:rPr>
          <w:lang w:val="hu-HU"/>
        </w:rPr>
        <w:t>az aPTT 90. percentilise a mélyponton (20</w:t>
      </w:r>
      <w:r>
        <w:rPr>
          <w:lang w:val="hu-HU"/>
        </w:rPr>
        <w:noBreakHyphen/>
        <w:t>28 órával a megelőző dózis után) 51 másodperc volt,</w:t>
      </w:r>
      <w:r>
        <w:rPr>
          <w:spacing w:val="-2"/>
          <w:lang w:val="hu-HU"/>
        </w:rPr>
        <w:t xml:space="preserve"> </w:t>
      </w:r>
      <w:r>
        <w:rPr>
          <w:lang w:val="hu-HU"/>
        </w:rPr>
        <w:t>ami</w:t>
      </w:r>
      <w:r>
        <w:rPr>
          <w:spacing w:val="-1"/>
          <w:lang w:val="hu-HU"/>
        </w:rPr>
        <w:t xml:space="preserve"> </w:t>
      </w:r>
      <w:r>
        <w:rPr>
          <w:lang w:val="hu-HU"/>
        </w:rPr>
        <w:t>a</w:t>
      </w:r>
      <w:r>
        <w:rPr>
          <w:spacing w:val="-1"/>
          <w:lang w:val="hu-HU"/>
        </w:rPr>
        <w:t xml:space="preserve"> </w:t>
      </w:r>
      <w:r>
        <w:rPr>
          <w:lang w:val="hu-HU"/>
        </w:rPr>
        <w:t>normálérték</w:t>
      </w:r>
      <w:r>
        <w:rPr>
          <w:spacing w:val="-1"/>
          <w:lang w:val="hu-HU"/>
        </w:rPr>
        <w:t xml:space="preserve"> </w:t>
      </w:r>
      <w:r>
        <w:rPr>
          <w:lang w:val="hu-HU"/>
        </w:rPr>
        <w:t>felső</w:t>
      </w:r>
      <w:r>
        <w:rPr>
          <w:spacing w:val="-2"/>
          <w:lang w:val="hu-HU"/>
        </w:rPr>
        <w:t xml:space="preserve"> </w:t>
      </w:r>
      <w:r>
        <w:rPr>
          <w:lang w:val="hu-HU"/>
        </w:rPr>
        <w:t>határának</w:t>
      </w:r>
      <w:r>
        <w:rPr>
          <w:spacing w:val="-1"/>
          <w:lang w:val="hu-HU"/>
        </w:rPr>
        <w:t xml:space="preserve"> </w:t>
      </w:r>
      <w:r>
        <w:rPr>
          <w:lang w:val="hu-HU"/>
        </w:rPr>
        <w:t>1,3</w:t>
      </w:r>
      <w:r>
        <w:rPr>
          <w:lang w:val="hu-HU"/>
        </w:rPr>
        <w:noBreakHyphen/>
        <w:t>szerese.</w:t>
      </w:r>
    </w:p>
    <w:p w:rsidR="007D7140" w:rsidRDefault="007D7140">
      <w:pPr>
        <w:rPr>
          <w:lang w:val="hu-HU"/>
        </w:rPr>
      </w:pPr>
    </w:p>
    <w:p w:rsidR="007D7140" w:rsidRDefault="00A207BA">
      <w:pPr>
        <w:rPr>
          <w:lang w:val="hu-HU"/>
        </w:rPr>
      </w:pPr>
      <w:r>
        <w:rPr>
          <w:lang w:val="hu-HU"/>
        </w:rPr>
        <w:t>Az ECT értékét nem mérték a csípő</w:t>
      </w:r>
      <w:r>
        <w:rPr>
          <w:lang w:val="hu-HU"/>
        </w:rPr>
        <w:noBreakHyphen/>
        <w:t xml:space="preserve"> vagy térdprotézis beültetést követően VTE prevenció miatt naponta</w:t>
      </w:r>
      <w:r>
        <w:rPr>
          <w:spacing w:val="-2"/>
          <w:lang w:val="hu-HU"/>
        </w:rPr>
        <w:t xml:space="preserve"> </w:t>
      </w:r>
      <w:r>
        <w:rPr>
          <w:lang w:val="hu-HU"/>
        </w:rPr>
        <w:t>egyszer</w:t>
      </w:r>
      <w:r>
        <w:rPr>
          <w:spacing w:val="-2"/>
          <w:lang w:val="hu-HU"/>
        </w:rPr>
        <w:t xml:space="preserve"> </w:t>
      </w:r>
      <w:r>
        <w:rPr>
          <w:lang w:val="hu-HU"/>
        </w:rPr>
        <w:t>220</w:t>
      </w:r>
      <w:r>
        <w:rPr>
          <w:spacing w:val="-1"/>
          <w:lang w:val="hu-HU"/>
        </w:rPr>
        <w:t> mg</w:t>
      </w:r>
      <w:r>
        <w:rPr>
          <w:spacing w:val="-2"/>
          <w:lang w:val="hu-HU"/>
        </w:rPr>
        <w:t xml:space="preserve"> </w:t>
      </w:r>
      <w:r>
        <w:rPr>
          <w:lang w:val="hu-HU"/>
        </w:rPr>
        <w:t>dabigatrán</w:t>
      </w:r>
      <w:r>
        <w:rPr>
          <w:lang w:val="hu-HU"/>
        </w:rPr>
        <w:noBreakHyphen/>
        <w:t>etexiláttal</w:t>
      </w:r>
      <w:r>
        <w:rPr>
          <w:spacing w:val="-2"/>
          <w:lang w:val="hu-HU"/>
        </w:rPr>
        <w:t xml:space="preserve"> </w:t>
      </w:r>
      <w:r>
        <w:rPr>
          <w:lang w:val="hu-HU"/>
        </w:rPr>
        <w:t>kezelt</w:t>
      </w:r>
      <w:r>
        <w:rPr>
          <w:spacing w:val="-1"/>
          <w:lang w:val="hu-HU"/>
        </w:rPr>
        <w:t xml:space="preserve"> </w:t>
      </w:r>
      <w:r>
        <w:rPr>
          <w:lang w:val="hu-HU"/>
        </w:rPr>
        <w:t>betegeknél.</w:t>
      </w:r>
    </w:p>
    <w:p w:rsidR="007D7140" w:rsidRDefault="007D7140">
      <w:pPr>
        <w:rPr>
          <w:lang w:val="hu-HU"/>
        </w:rPr>
      </w:pPr>
    </w:p>
    <w:p w:rsidR="007D7140" w:rsidRDefault="00A207BA">
      <w:pPr>
        <w:ind w:left="7"/>
        <w:rPr>
          <w:lang w:val="hu-HU"/>
        </w:rPr>
      </w:pPr>
      <w:r>
        <w:rPr>
          <w:i/>
          <w:u w:val="single" w:color="000000"/>
          <w:lang w:val="hu-HU"/>
        </w:rPr>
        <w:t>A stroke és a szisztémás embolisatio prevenciója nem billentyű eredetű pitvarfibrillációban (NVAF) szenvedő, és</w:t>
      </w:r>
      <w:r>
        <w:rPr>
          <w:i/>
          <w:lang w:val="hu-HU"/>
        </w:rPr>
        <w:t xml:space="preserve"> </w:t>
      </w:r>
      <w:r>
        <w:rPr>
          <w:i/>
          <w:u w:val="single" w:color="000000"/>
          <w:lang w:val="hu-HU"/>
        </w:rPr>
        <w:t>egy vagy több rizikótényezővel rendelkező felnőtt betegeknél (SPAF)</w:t>
      </w:r>
    </w:p>
    <w:p w:rsidR="007D7140" w:rsidRDefault="007D7140">
      <w:pPr>
        <w:ind w:left="7" w:right="9"/>
        <w:rPr>
          <w:lang w:val="hu-HU"/>
        </w:rPr>
      </w:pPr>
    </w:p>
    <w:p w:rsidR="007D7140" w:rsidRDefault="00A207BA">
      <w:pPr>
        <w:ind w:left="7" w:right="9"/>
        <w:rPr>
          <w:lang w:val="hu-HU"/>
        </w:rPr>
      </w:pPr>
      <w:r>
        <w:rPr>
          <w:lang w:val="hu-HU"/>
        </w:rPr>
        <w:t>A dabigatrán plazma csúcs koncentrációinak dinamikus egyensúlyi állapotú geometriai átlagértéke a naponta kétszer adott 150 mg dabigatrán adását követően 2 órával mérve 175 ng/ml volt, 117</w:t>
      </w:r>
      <w:r>
        <w:rPr>
          <w:lang w:val="hu-HU"/>
        </w:rPr>
        <w:noBreakHyphen/>
        <w:t>275 ng/ml közötti tartománnyal (25</w:t>
      </w:r>
      <w:r>
        <w:rPr>
          <w:lang w:val="hu-HU"/>
        </w:rPr>
        <w:noBreakHyphen/>
        <w:t>ös és 75</w:t>
      </w:r>
      <w:r>
        <w:rPr>
          <w:lang w:val="hu-HU"/>
        </w:rPr>
        <w:noBreakHyphen/>
        <w:t>ös közötti percentilis tartomány). A dabigatrán mélyponti koncentrációjának geometriai átlagértéke a mélyponton, reggel, az adagolási intervallum végén mérve (azaz 12 órával a 150 mg-os dabigatrán esti dózis után) átlagosan 91,0 ng/ml volt, 61,0</w:t>
      </w:r>
      <w:r>
        <w:rPr>
          <w:lang w:val="hu-HU"/>
        </w:rPr>
        <w:noBreakHyphen/>
        <w:t>143 ng/ml közötti tartománnyal (25</w:t>
      </w:r>
      <w:r>
        <w:rPr>
          <w:lang w:val="hu-HU"/>
        </w:rPr>
        <w:noBreakHyphen/>
        <w:t>ös és 75</w:t>
      </w:r>
      <w:r>
        <w:rPr>
          <w:lang w:val="hu-HU"/>
        </w:rPr>
        <w:noBreakHyphen/>
        <w:t>ös közötti percentilis tartomány).</w:t>
      </w:r>
    </w:p>
    <w:p w:rsidR="007D7140" w:rsidRDefault="007D7140">
      <w:pPr>
        <w:ind w:left="7" w:right="9"/>
        <w:rPr>
          <w:lang w:val="hu-HU"/>
        </w:rPr>
      </w:pPr>
    </w:p>
    <w:p w:rsidR="007D7140" w:rsidRDefault="00A207BA">
      <w:pPr>
        <w:ind w:left="7" w:right="9"/>
        <w:rPr>
          <w:lang w:val="hu-HU"/>
        </w:rPr>
      </w:pPr>
      <w:r>
        <w:rPr>
          <w:lang w:val="hu-HU"/>
        </w:rPr>
        <w:t>Nem billentyű eredetű pitvarfibrillációban (NVAF) szenvedő betegeknél a stroke és a szisztémás embolisatio prevenciójára adott napi kétszer 150 mg dabigatrán</w:t>
      </w:r>
      <w:r>
        <w:rPr>
          <w:lang w:val="hu-HU"/>
        </w:rPr>
        <w:noBreakHyphen/>
        <w:t>etexilát esetén</w:t>
      </w:r>
    </w:p>
    <w:p w:rsidR="007D7140" w:rsidRDefault="00A207BA">
      <w:pPr>
        <w:widowControl/>
        <w:numPr>
          <w:ilvl w:val="0"/>
          <w:numId w:val="12"/>
        </w:numPr>
        <w:autoSpaceDE/>
        <w:autoSpaceDN/>
        <w:ind w:right="9" w:hanging="566"/>
        <w:rPr>
          <w:lang w:val="hu-HU"/>
        </w:rPr>
      </w:pPr>
      <w:r>
        <w:rPr>
          <w:lang w:val="hu-HU"/>
        </w:rPr>
        <w:t>a dabigatrán</w:t>
      </w:r>
      <w:r>
        <w:rPr>
          <w:lang w:val="hu-HU"/>
        </w:rPr>
        <w:noBreakHyphen/>
        <w:t>koncentrációk 90</w:t>
      </w:r>
      <w:r>
        <w:rPr>
          <w:lang w:val="hu-HU"/>
        </w:rPr>
        <w:noBreakHyphen/>
        <w:t>es percentilis értéke a mélyponton mérve (10</w:t>
      </w:r>
      <w:r>
        <w:rPr>
          <w:lang w:val="hu-HU"/>
        </w:rPr>
        <w:noBreakHyphen/>
        <w:t>16 órával a megelőző dózis után) 200 ng/ml volt,</w:t>
      </w:r>
    </w:p>
    <w:p w:rsidR="007D7140" w:rsidRDefault="00A207BA">
      <w:pPr>
        <w:widowControl/>
        <w:numPr>
          <w:ilvl w:val="0"/>
          <w:numId w:val="12"/>
        </w:numPr>
        <w:autoSpaceDE/>
        <w:autoSpaceDN/>
        <w:ind w:right="9" w:hanging="566"/>
        <w:rPr>
          <w:lang w:val="hu-HU"/>
        </w:rPr>
      </w:pPr>
      <w:r>
        <w:rPr>
          <w:lang w:val="hu-HU"/>
        </w:rPr>
        <w:t>az ECT esetében a mélyponton (10-16 órával a megelőző dózis után), a normálérték felső határának háromszorosára emelkedett érték felelt meg az ECT megnyúlás 90. percentilisét jelentő 103 másodpercnek,</w:t>
      </w:r>
    </w:p>
    <w:p w:rsidR="007D7140" w:rsidRDefault="00A207BA">
      <w:pPr>
        <w:widowControl/>
        <w:numPr>
          <w:ilvl w:val="0"/>
          <w:numId w:val="12"/>
        </w:numPr>
        <w:autoSpaceDE/>
        <w:autoSpaceDN/>
        <w:ind w:right="9" w:hanging="566"/>
        <w:rPr>
          <w:lang w:val="hu-HU"/>
        </w:rPr>
      </w:pPr>
      <w:r>
        <w:rPr>
          <w:lang w:val="hu-HU"/>
        </w:rPr>
        <w:t>az aPTT a normálérték felső határának kétszeresére történő megnyúlása (aPTT megnyúlás körülbelül 80 másodperc), a mélyponton (10</w:t>
      </w:r>
      <w:r>
        <w:rPr>
          <w:lang w:val="hu-HU"/>
        </w:rPr>
        <w:noBreakHyphen/>
        <w:t>16 órával a megelőző dózis után) felelt meg a megfigyelt 90. percentilis értéknek.</w:t>
      </w:r>
    </w:p>
    <w:p w:rsidR="007D7140" w:rsidRDefault="007D7140">
      <w:pPr>
        <w:ind w:right="9"/>
        <w:rPr>
          <w:lang w:val="hu-HU"/>
        </w:rPr>
      </w:pPr>
    </w:p>
    <w:p w:rsidR="007D7140" w:rsidRDefault="00A207BA">
      <w:pPr>
        <w:ind w:left="7"/>
        <w:rPr>
          <w:lang w:val="hu-HU"/>
        </w:rPr>
      </w:pPr>
      <w:r>
        <w:rPr>
          <w:i/>
          <w:u w:val="single" w:color="000000"/>
          <w:lang w:val="hu-HU"/>
        </w:rPr>
        <w:t>Az MVT és PE kezelése és az MVT és PE kiújulásának megelőzése felnőtt betegeknél (MVT/PE)</w:t>
      </w:r>
    </w:p>
    <w:p w:rsidR="007D7140" w:rsidRDefault="007D7140">
      <w:pPr>
        <w:ind w:left="7" w:right="233"/>
        <w:rPr>
          <w:lang w:val="hu-HU"/>
        </w:rPr>
      </w:pPr>
    </w:p>
    <w:p w:rsidR="007D7140" w:rsidRDefault="00A207BA">
      <w:pPr>
        <w:ind w:left="7" w:right="233"/>
        <w:rPr>
          <w:lang w:val="hu-HU"/>
        </w:rPr>
      </w:pPr>
      <w:r>
        <w:rPr>
          <w:lang w:val="hu-HU"/>
        </w:rPr>
        <w:t>MVT és PE miatt napi kétszer 150 mg dabigatrán</w:t>
      </w:r>
      <w:r>
        <w:rPr>
          <w:lang w:val="hu-HU"/>
        </w:rPr>
        <w:noBreakHyphen/>
        <w:t>etexiláttal kezelt betegeknél a dabigatrán adagolás után 10-16 órával, az adagolási intervallum végén (azaz 12 órával a 150 mg</w:t>
      </w:r>
      <w:r>
        <w:rPr>
          <w:lang w:val="hu-HU"/>
        </w:rPr>
        <w:noBreakHyphen/>
        <w:t>os dabigatrán esti dózisa után) mért mélyponti koncentráció geometriai átlaga 59,7 ng/ml volt, a mért értékek 38,6 és 94,5 ng/ml között voltak (25</w:t>
      </w:r>
      <w:r>
        <w:rPr>
          <w:lang w:val="hu-HU"/>
        </w:rPr>
        <w:noBreakHyphen/>
        <w:t>ös és 75</w:t>
      </w:r>
      <w:r>
        <w:rPr>
          <w:lang w:val="hu-HU"/>
        </w:rPr>
        <w:noBreakHyphen/>
        <w:t>ös percentilis tartomány). Az MVT és PE kezelése során a napi kétszer 150 mg dabigatrán</w:t>
      </w:r>
      <w:r>
        <w:rPr>
          <w:lang w:val="hu-HU"/>
        </w:rPr>
        <w:noBreakHyphen/>
        <w:t>etexilát adása esetén,</w:t>
      </w:r>
    </w:p>
    <w:p w:rsidR="007D7140" w:rsidRDefault="00A207BA">
      <w:pPr>
        <w:widowControl/>
        <w:numPr>
          <w:ilvl w:val="0"/>
          <w:numId w:val="13"/>
        </w:numPr>
        <w:autoSpaceDE/>
        <w:autoSpaceDN/>
        <w:ind w:right="9" w:hanging="566"/>
        <w:rPr>
          <w:lang w:val="hu-HU"/>
        </w:rPr>
      </w:pPr>
      <w:r>
        <w:rPr>
          <w:lang w:val="hu-HU"/>
        </w:rPr>
        <w:t>a dabigatrán-koncentrációk 90. percentilis értéke a mélyponton mérve (10-16 órával a megelőző dózis után) 146 ng/ml volt,</w:t>
      </w:r>
    </w:p>
    <w:p w:rsidR="007D7140" w:rsidRDefault="00A207BA">
      <w:pPr>
        <w:widowControl/>
        <w:numPr>
          <w:ilvl w:val="0"/>
          <w:numId w:val="13"/>
        </w:numPr>
        <w:autoSpaceDE/>
        <w:autoSpaceDN/>
        <w:ind w:right="9" w:hanging="566"/>
        <w:rPr>
          <w:lang w:val="hu-HU"/>
        </w:rPr>
      </w:pPr>
      <w:r>
        <w:rPr>
          <w:lang w:val="hu-HU"/>
        </w:rPr>
        <w:lastRenderedPageBreak/>
        <w:t>az ECT esetében a mélyponton (10</w:t>
      </w:r>
      <w:r>
        <w:rPr>
          <w:lang w:val="hu-HU"/>
        </w:rPr>
        <w:noBreakHyphen/>
        <w:t>16 órával a megelőző dózis után), a normálérték felső határának 2,3-szorosára emelkedett érték felelt meg az ECT megnyúlás 90. percentilisét jelentő 74 másodpercnek,</w:t>
      </w:r>
    </w:p>
    <w:p w:rsidR="007D7140" w:rsidRDefault="00A207BA">
      <w:pPr>
        <w:widowControl/>
        <w:numPr>
          <w:ilvl w:val="0"/>
          <w:numId w:val="13"/>
        </w:numPr>
        <w:autoSpaceDE/>
        <w:autoSpaceDN/>
        <w:ind w:right="9" w:hanging="566"/>
        <w:rPr>
          <w:lang w:val="hu-HU"/>
        </w:rPr>
      </w:pPr>
      <w:r>
        <w:rPr>
          <w:lang w:val="hu-HU"/>
        </w:rPr>
        <w:t>az aPTT a mélyponton (10-16 órával a megelőző dózis után) mért 90. percentilis értéke 62 másodperc volt, ami a kiindulási érték 1,8-szerese.</w:t>
      </w:r>
    </w:p>
    <w:p w:rsidR="007D7140" w:rsidRDefault="007D7140">
      <w:pPr>
        <w:ind w:right="9"/>
        <w:rPr>
          <w:lang w:val="hu-HU"/>
        </w:rPr>
      </w:pPr>
    </w:p>
    <w:p w:rsidR="007D7140" w:rsidRDefault="00A207BA">
      <w:pPr>
        <w:ind w:left="7" w:right="9"/>
        <w:rPr>
          <w:lang w:val="hu-HU"/>
        </w:rPr>
      </w:pPr>
      <w:r>
        <w:rPr>
          <w:lang w:val="hu-HU"/>
        </w:rPr>
        <w:t>Az MVT és PE kiújulásának prevenciója miatt napi kétszer 150 mg dabigatránnal kezelt betegekre vonatkozó farmakokinetikai adatok nem állnak rendelkezésre.</w:t>
      </w:r>
    </w:p>
    <w:p w:rsidR="007D7140" w:rsidRDefault="007D7140">
      <w:pPr>
        <w:rPr>
          <w:lang w:val="hu-HU"/>
        </w:rPr>
      </w:pPr>
    </w:p>
    <w:p w:rsidR="007D7140" w:rsidRDefault="00A207BA">
      <w:pPr>
        <w:rPr>
          <w:lang w:val="hu-HU"/>
        </w:rPr>
      </w:pPr>
      <w:r>
        <w:rPr>
          <w:u w:val="single"/>
          <w:lang w:val="hu-HU"/>
        </w:rPr>
        <w:t>Klinikai</w:t>
      </w:r>
      <w:r>
        <w:rPr>
          <w:spacing w:val="-6"/>
          <w:u w:val="single"/>
          <w:lang w:val="hu-HU"/>
        </w:rPr>
        <w:t xml:space="preserve"> </w:t>
      </w:r>
      <w:r>
        <w:rPr>
          <w:u w:val="single"/>
          <w:lang w:val="hu-HU"/>
        </w:rPr>
        <w:t>hatásosság</w:t>
      </w:r>
      <w:r>
        <w:rPr>
          <w:spacing w:val="-5"/>
          <w:u w:val="single"/>
          <w:lang w:val="hu-HU"/>
        </w:rPr>
        <w:t xml:space="preserve"> </w:t>
      </w:r>
      <w:r>
        <w:rPr>
          <w:u w:val="single"/>
          <w:lang w:val="hu-HU"/>
        </w:rPr>
        <w:t>és</w:t>
      </w:r>
      <w:r>
        <w:rPr>
          <w:spacing w:val="-6"/>
          <w:u w:val="single"/>
          <w:lang w:val="hu-HU"/>
        </w:rPr>
        <w:t xml:space="preserve"> </w:t>
      </w:r>
      <w:r>
        <w:rPr>
          <w:u w:val="single"/>
          <w:lang w:val="hu-HU"/>
        </w:rPr>
        <w:t>biztonságosság</w:t>
      </w:r>
    </w:p>
    <w:p w:rsidR="007D7140" w:rsidRDefault="007D7140">
      <w:pPr>
        <w:rPr>
          <w:lang w:val="hu-HU"/>
        </w:rPr>
      </w:pPr>
    </w:p>
    <w:p w:rsidR="007D7140" w:rsidRDefault="00A207BA">
      <w:pPr>
        <w:rPr>
          <w:i/>
          <w:lang w:val="hu-HU"/>
        </w:rPr>
      </w:pPr>
      <w:r>
        <w:rPr>
          <w:i/>
          <w:lang w:val="hu-HU"/>
        </w:rPr>
        <w:t>Etnikai</w:t>
      </w:r>
      <w:r>
        <w:rPr>
          <w:i/>
          <w:spacing w:val="-6"/>
          <w:lang w:val="hu-HU"/>
        </w:rPr>
        <w:t xml:space="preserve"> </w:t>
      </w:r>
      <w:r>
        <w:rPr>
          <w:i/>
          <w:lang w:val="hu-HU"/>
        </w:rPr>
        <w:t>származás</w:t>
      </w:r>
    </w:p>
    <w:p w:rsidR="007D7140" w:rsidRDefault="007D7140">
      <w:pPr>
        <w:rPr>
          <w:i/>
          <w:lang w:val="hu-HU"/>
        </w:rPr>
      </w:pPr>
    </w:p>
    <w:p w:rsidR="007D7140" w:rsidRDefault="00A207BA">
      <w:pPr>
        <w:rPr>
          <w:lang w:val="hu-HU"/>
        </w:rPr>
      </w:pPr>
      <w:r>
        <w:rPr>
          <w:lang w:val="hu-HU"/>
        </w:rPr>
        <w:t>Nem figyeltek meg klinikailag releváns különbséget a fehér bőrű (kaukázusi), afro-amerikai, hispán, japán vagy kínai betegek között.</w:t>
      </w:r>
    </w:p>
    <w:p w:rsidR="007D7140" w:rsidRDefault="007D7140">
      <w:pPr>
        <w:rPr>
          <w:lang w:val="hu-HU"/>
        </w:rPr>
      </w:pPr>
    </w:p>
    <w:p w:rsidR="007D7140" w:rsidRDefault="00A207BA">
      <w:pPr>
        <w:rPr>
          <w:i/>
          <w:lang w:val="hu-HU"/>
        </w:rPr>
      </w:pPr>
      <w:r>
        <w:rPr>
          <w:i/>
          <w:u w:val="single"/>
          <w:lang w:val="hu-HU"/>
        </w:rPr>
        <w:t>Klinikai</w:t>
      </w:r>
      <w:r>
        <w:rPr>
          <w:i/>
          <w:spacing w:val="-7"/>
          <w:u w:val="single"/>
          <w:lang w:val="hu-HU"/>
        </w:rPr>
        <w:t xml:space="preserve"> </w:t>
      </w:r>
      <w:r>
        <w:rPr>
          <w:i/>
          <w:u w:val="single"/>
          <w:lang w:val="hu-HU"/>
        </w:rPr>
        <w:t>vizsgálatok</w:t>
      </w:r>
      <w:r>
        <w:rPr>
          <w:i/>
          <w:spacing w:val="-6"/>
          <w:u w:val="single"/>
          <w:lang w:val="hu-HU"/>
        </w:rPr>
        <w:t xml:space="preserve"> </w:t>
      </w:r>
      <w:r>
        <w:rPr>
          <w:i/>
          <w:u w:val="single"/>
          <w:lang w:val="hu-HU"/>
        </w:rPr>
        <w:t>a</w:t>
      </w:r>
      <w:r>
        <w:rPr>
          <w:i/>
          <w:spacing w:val="-6"/>
          <w:u w:val="single"/>
          <w:lang w:val="hu-HU"/>
        </w:rPr>
        <w:t xml:space="preserve"> </w:t>
      </w:r>
      <w:r>
        <w:rPr>
          <w:i/>
          <w:u w:val="single"/>
          <w:lang w:val="hu-HU"/>
        </w:rPr>
        <w:t>nagyízületi</w:t>
      </w:r>
      <w:r>
        <w:rPr>
          <w:i/>
          <w:spacing w:val="-6"/>
          <w:u w:val="single"/>
          <w:lang w:val="hu-HU"/>
        </w:rPr>
        <w:t xml:space="preserve"> </w:t>
      </w:r>
      <w:r>
        <w:rPr>
          <w:i/>
          <w:u w:val="single"/>
          <w:lang w:val="hu-HU"/>
        </w:rPr>
        <w:t>endoprotézis-műtéteket</w:t>
      </w:r>
      <w:r>
        <w:rPr>
          <w:i/>
          <w:spacing w:val="-7"/>
          <w:u w:val="single"/>
          <w:lang w:val="hu-HU"/>
        </w:rPr>
        <w:t xml:space="preserve"> </w:t>
      </w:r>
      <w:r>
        <w:rPr>
          <w:i/>
          <w:u w:val="single"/>
          <w:lang w:val="hu-HU"/>
        </w:rPr>
        <w:t>követő</w:t>
      </w:r>
      <w:r>
        <w:rPr>
          <w:i/>
          <w:spacing w:val="-6"/>
          <w:u w:val="single"/>
          <w:lang w:val="hu-HU"/>
        </w:rPr>
        <w:t xml:space="preserve"> </w:t>
      </w:r>
      <w:r>
        <w:rPr>
          <w:i/>
          <w:u w:val="single"/>
          <w:lang w:val="hu-HU"/>
        </w:rPr>
        <w:t>VTE</w:t>
      </w:r>
      <w:r>
        <w:rPr>
          <w:i/>
          <w:spacing w:val="-6"/>
          <w:u w:val="single"/>
          <w:lang w:val="hu-HU"/>
        </w:rPr>
        <w:t xml:space="preserve"> </w:t>
      </w:r>
      <w:r>
        <w:rPr>
          <w:i/>
          <w:u w:val="single"/>
          <w:lang w:val="hu-HU"/>
        </w:rPr>
        <w:t>megelőzésére</w:t>
      </w:r>
    </w:p>
    <w:p w:rsidR="007D7140" w:rsidRDefault="007D7140">
      <w:pPr>
        <w:rPr>
          <w:i/>
          <w:lang w:val="hu-HU"/>
        </w:rPr>
      </w:pPr>
    </w:p>
    <w:p w:rsidR="007D7140" w:rsidRDefault="00A207BA">
      <w:pPr>
        <w:rPr>
          <w:lang w:val="hu-HU"/>
        </w:rPr>
      </w:pPr>
      <w:r>
        <w:rPr>
          <w:lang w:val="hu-HU"/>
        </w:rPr>
        <w:t>2 nagy, randomizált, parallel csoportos, kettős vak, dózismeghatározó vizsgálatban az elektív</w:t>
      </w:r>
      <w:r>
        <w:rPr>
          <w:spacing w:val="1"/>
          <w:lang w:val="hu-HU"/>
        </w:rPr>
        <w:t xml:space="preserve"> </w:t>
      </w:r>
      <w:r>
        <w:rPr>
          <w:lang w:val="hu-HU"/>
        </w:rPr>
        <w:t>ortopédiai nagyműtétre kerülő betegek (az egyikben térd-, a másikban csípőízületi endoprotézis</w:t>
      </w:r>
      <w:r>
        <w:rPr>
          <w:spacing w:val="1"/>
          <w:lang w:val="hu-HU"/>
        </w:rPr>
        <w:t xml:space="preserve"> </w:t>
      </w:r>
      <w:r>
        <w:rPr>
          <w:lang w:val="hu-HU"/>
        </w:rPr>
        <w:t>beültetés történt) – miután haemostasisuk biztosítottá vált – 75 mg vagy 110 mg dabigatrán</w:t>
      </w:r>
      <w:r>
        <w:rPr>
          <w:lang w:val="hu-HU"/>
        </w:rPr>
        <w:noBreakHyphen/>
        <w:t>etexilátot</w:t>
      </w:r>
      <w:r>
        <w:rPr>
          <w:spacing w:val="1"/>
          <w:lang w:val="hu-HU"/>
        </w:rPr>
        <w:t xml:space="preserve"> </w:t>
      </w:r>
      <w:r>
        <w:rPr>
          <w:lang w:val="hu-HU"/>
        </w:rPr>
        <w:t>kaptak a műtét után 1</w:t>
      </w:r>
      <w:r>
        <w:rPr>
          <w:lang w:val="hu-HU"/>
        </w:rPr>
        <w:noBreakHyphen/>
        <w:t>4 órával, majd azt követően 150 mg</w:t>
      </w:r>
      <w:r>
        <w:rPr>
          <w:lang w:val="hu-HU"/>
        </w:rPr>
        <w:noBreakHyphen/>
        <w:t>ot vagy 220 mg</w:t>
      </w:r>
      <w:r>
        <w:rPr>
          <w:lang w:val="hu-HU"/>
        </w:rPr>
        <w:noBreakHyphen/>
        <w:t>ot naponta egyszer, vagy 40 mg enoxaparint</w:t>
      </w:r>
      <w:r>
        <w:rPr>
          <w:spacing w:val="-2"/>
          <w:lang w:val="hu-HU"/>
        </w:rPr>
        <w:t xml:space="preserve"> </w:t>
      </w:r>
      <w:r>
        <w:rPr>
          <w:lang w:val="hu-HU"/>
        </w:rPr>
        <w:t>a</w:t>
      </w:r>
      <w:r>
        <w:rPr>
          <w:spacing w:val="-1"/>
          <w:lang w:val="hu-HU"/>
        </w:rPr>
        <w:t xml:space="preserve"> </w:t>
      </w:r>
      <w:r>
        <w:rPr>
          <w:lang w:val="hu-HU"/>
        </w:rPr>
        <w:t>műtét</w:t>
      </w:r>
      <w:r>
        <w:rPr>
          <w:spacing w:val="-2"/>
          <w:lang w:val="hu-HU"/>
        </w:rPr>
        <w:t xml:space="preserve"> </w:t>
      </w:r>
      <w:r>
        <w:rPr>
          <w:lang w:val="hu-HU"/>
        </w:rPr>
        <w:t xml:space="preserve">előtti </w:t>
      </w:r>
      <w:r>
        <w:rPr>
          <w:spacing w:val="-1"/>
          <w:lang w:val="hu-HU"/>
        </w:rPr>
        <w:t>nap</w:t>
      </w:r>
      <w:r>
        <w:rPr>
          <w:lang w:val="hu-HU"/>
        </w:rPr>
        <w:t>on,</w:t>
      </w:r>
      <w:r>
        <w:rPr>
          <w:spacing w:val="-3"/>
          <w:lang w:val="hu-HU"/>
        </w:rPr>
        <w:t xml:space="preserve"> </w:t>
      </w:r>
      <w:r>
        <w:rPr>
          <w:lang w:val="hu-HU"/>
        </w:rPr>
        <w:t>majd</w:t>
      </w:r>
      <w:r>
        <w:rPr>
          <w:spacing w:val="-2"/>
          <w:lang w:val="hu-HU"/>
        </w:rPr>
        <w:t xml:space="preserve"> </w:t>
      </w:r>
      <w:r>
        <w:rPr>
          <w:lang w:val="hu-HU"/>
        </w:rPr>
        <w:t>azt</w:t>
      </w:r>
      <w:r>
        <w:rPr>
          <w:spacing w:val="-1"/>
          <w:lang w:val="hu-HU"/>
        </w:rPr>
        <w:t xml:space="preserve"> </w:t>
      </w:r>
      <w:r>
        <w:rPr>
          <w:lang w:val="hu-HU"/>
        </w:rPr>
        <w:t xml:space="preserve">követően </w:t>
      </w:r>
      <w:r>
        <w:rPr>
          <w:spacing w:val="-1"/>
          <w:lang w:val="hu-HU"/>
        </w:rPr>
        <w:t>nap</w:t>
      </w:r>
      <w:r>
        <w:rPr>
          <w:lang w:val="hu-HU"/>
        </w:rPr>
        <w:t>onta.</w:t>
      </w:r>
    </w:p>
    <w:p w:rsidR="007D7140" w:rsidRDefault="00A207BA">
      <w:pPr>
        <w:rPr>
          <w:lang w:val="hu-HU"/>
        </w:rPr>
      </w:pPr>
      <w:r>
        <w:rPr>
          <w:lang w:val="hu-HU"/>
        </w:rPr>
        <w:t>A RE</w:t>
      </w:r>
      <w:r>
        <w:rPr>
          <w:lang w:val="hu-HU"/>
        </w:rPr>
        <w:noBreakHyphen/>
        <w:t>MODEL vizsgálatban (térdprotézis beültetés) a kezelés 6</w:t>
      </w:r>
      <w:r>
        <w:rPr>
          <w:lang w:val="hu-HU"/>
        </w:rPr>
        <w:noBreakHyphen/>
        <w:t>10 napig, a RE</w:t>
      </w:r>
      <w:r>
        <w:rPr>
          <w:lang w:val="hu-HU"/>
        </w:rPr>
        <w:noBreakHyphen/>
        <w:t>NOVATE</w:t>
      </w:r>
      <w:r>
        <w:rPr>
          <w:spacing w:val="1"/>
          <w:lang w:val="hu-HU"/>
        </w:rPr>
        <w:t xml:space="preserve"> </w:t>
      </w:r>
      <w:r>
        <w:rPr>
          <w:lang w:val="hu-HU"/>
        </w:rPr>
        <w:t>vizsgálatban (csípőprotézis beültetés) pedig 28</w:t>
      </w:r>
      <w:r>
        <w:rPr>
          <w:lang w:val="hu-HU"/>
        </w:rPr>
        <w:noBreakHyphen/>
        <w:t>35 napig tartott. Összesen 2076 beteget kezeltek térd</w:t>
      </w:r>
      <w:r>
        <w:rPr>
          <w:lang w:val="hu-HU"/>
        </w:rPr>
        <w:noBreakHyphen/>
        <w:t>, és</w:t>
      </w:r>
      <w:r>
        <w:rPr>
          <w:spacing w:val="-1"/>
          <w:lang w:val="hu-HU"/>
        </w:rPr>
        <w:t xml:space="preserve"> </w:t>
      </w:r>
      <w:r>
        <w:rPr>
          <w:lang w:val="hu-HU"/>
        </w:rPr>
        <w:t>3494</w:t>
      </w:r>
      <w:r>
        <w:rPr>
          <w:lang w:val="hu-HU"/>
        </w:rPr>
        <w:noBreakHyphen/>
        <w:t>et</w:t>
      </w:r>
      <w:r>
        <w:rPr>
          <w:spacing w:val="-1"/>
          <w:lang w:val="hu-HU"/>
        </w:rPr>
        <w:t xml:space="preserve"> </w:t>
      </w:r>
      <w:r>
        <w:rPr>
          <w:lang w:val="hu-HU"/>
        </w:rPr>
        <w:t>csípőprotézis</w:t>
      </w:r>
      <w:r>
        <w:rPr>
          <w:spacing w:val="-1"/>
          <w:lang w:val="hu-HU"/>
        </w:rPr>
        <w:t xml:space="preserve"> </w:t>
      </w:r>
      <w:r>
        <w:rPr>
          <w:lang w:val="hu-HU"/>
        </w:rPr>
        <w:t>beültetést</w:t>
      </w:r>
      <w:r>
        <w:rPr>
          <w:spacing w:val="-1"/>
          <w:lang w:val="hu-HU"/>
        </w:rPr>
        <w:t xml:space="preserve"> </w:t>
      </w:r>
      <w:r>
        <w:rPr>
          <w:lang w:val="hu-HU"/>
        </w:rPr>
        <w:t>követően.</w:t>
      </w:r>
    </w:p>
    <w:p w:rsidR="007D7140" w:rsidRDefault="007D7140">
      <w:pPr>
        <w:rPr>
          <w:lang w:val="hu-HU"/>
        </w:rPr>
      </w:pPr>
    </w:p>
    <w:p w:rsidR="007D7140" w:rsidRDefault="00A207BA">
      <w:pPr>
        <w:rPr>
          <w:lang w:val="hu-HU"/>
        </w:rPr>
      </w:pPr>
      <w:r>
        <w:rPr>
          <w:lang w:val="hu-HU"/>
        </w:rPr>
        <w:t>Mindkét vizsgálat elsődleges végpontja az összes VTE (beleértve a pulmonalis embóliát [PE] és a</w:t>
      </w:r>
      <w:r>
        <w:rPr>
          <w:spacing w:val="1"/>
          <w:lang w:val="hu-HU"/>
        </w:rPr>
        <w:t xml:space="preserve"> </w:t>
      </w:r>
      <w:r>
        <w:rPr>
          <w:lang w:val="hu-HU"/>
        </w:rPr>
        <w:t>rutin venographiával kimutatott, akár tünetet okozó, akár tünetmentes, proximális és disztális</w:t>
      </w:r>
      <w:r>
        <w:rPr>
          <w:spacing w:val="1"/>
          <w:lang w:val="hu-HU"/>
        </w:rPr>
        <w:t xml:space="preserve"> </w:t>
      </w:r>
      <w:r>
        <w:rPr>
          <w:lang w:val="hu-HU"/>
        </w:rPr>
        <w:t>mélyvénás thrombosist [MVT] is) és a bármely okból bekövetkező (all cause) mortalitás eredője volt. A másodlagos végpont a</w:t>
      </w:r>
      <w:r>
        <w:rPr>
          <w:spacing w:val="1"/>
          <w:lang w:val="hu-HU"/>
        </w:rPr>
        <w:t xml:space="preserve"> </w:t>
      </w:r>
      <w:r>
        <w:rPr>
          <w:lang w:val="hu-HU"/>
        </w:rPr>
        <w:t>jelentős VTE (beleértve a pulmonális embóliát [PE] és a rutin venographiával kimutatott, akár tünetet okozó, akár tünetmentes, proximális MVT-t is) és a VTE-vel kapcsolatos mortalitás eredője volt, és</w:t>
      </w:r>
      <w:r>
        <w:rPr>
          <w:spacing w:val="1"/>
          <w:lang w:val="hu-HU"/>
        </w:rPr>
        <w:t xml:space="preserve"> </w:t>
      </w:r>
      <w:r>
        <w:rPr>
          <w:lang w:val="hu-HU"/>
        </w:rPr>
        <w:t>ezt</w:t>
      </w:r>
      <w:r>
        <w:rPr>
          <w:spacing w:val="-2"/>
          <w:lang w:val="hu-HU"/>
        </w:rPr>
        <w:t xml:space="preserve"> </w:t>
      </w:r>
      <w:r>
        <w:rPr>
          <w:lang w:val="hu-HU"/>
        </w:rPr>
        <w:t>tartják</w:t>
      </w:r>
      <w:r>
        <w:rPr>
          <w:spacing w:val="-1"/>
          <w:lang w:val="hu-HU"/>
        </w:rPr>
        <w:t xml:space="preserve"> </w:t>
      </w:r>
      <w:r>
        <w:rPr>
          <w:lang w:val="hu-HU"/>
        </w:rPr>
        <w:t>klinikailag</w:t>
      </w:r>
      <w:r>
        <w:rPr>
          <w:spacing w:val="-1"/>
          <w:lang w:val="hu-HU"/>
        </w:rPr>
        <w:t xml:space="preserve"> </w:t>
      </w:r>
      <w:r>
        <w:rPr>
          <w:lang w:val="hu-HU"/>
        </w:rPr>
        <w:t>relevánsabbnak.</w:t>
      </w:r>
    </w:p>
    <w:p w:rsidR="007D7140" w:rsidRDefault="00A207BA">
      <w:pPr>
        <w:rPr>
          <w:lang w:val="hu-HU"/>
        </w:rPr>
      </w:pPr>
      <w:r>
        <w:rPr>
          <w:lang w:val="hu-HU"/>
        </w:rPr>
        <w:t>Mindkét vizsgálat eredménye azt mutatta, hogy a 220 mg és a 150 mg dabigatrán</w:t>
      </w:r>
      <w:r>
        <w:rPr>
          <w:lang w:val="hu-HU"/>
        </w:rPr>
        <w:noBreakHyphen/>
        <w:t>etexilát</w:t>
      </w:r>
      <w:r>
        <w:rPr>
          <w:spacing w:val="1"/>
          <w:lang w:val="hu-HU"/>
        </w:rPr>
        <w:t xml:space="preserve"> </w:t>
      </w:r>
      <w:r>
        <w:rPr>
          <w:lang w:val="hu-HU"/>
        </w:rPr>
        <w:t xml:space="preserve">antithrombotikus hatása statisztikailag nem volt rosszabb (non-inferior) az enoxaparinnál az összes VTE és a bármely okból bekövetkező mortalitás tekintetében. A jelentős VTE incidenciájának és a VTE-vel kapcsolatos mortalitás </w:t>
      </w:r>
      <w:r>
        <w:rPr>
          <w:spacing w:val="1"/>
          <w:lang w:val="hu-HU"/>
        </w:rPr>
        <w:t>pont</w:t>
      </w:r>
      <w:r>
        <w:rPr>
          <w:lang w:val="hu-HU"/>
        </w:rPr>
        <w:t>becslésének értéke a 150 mg</w:t>
      </w:r>
      <w:r>
        <w:rPr>
          <w:lang w:val="hu-HU"/>
        </w:rPr>
        <w:noBreakHyphen/>
        <w:t>os dózis esetében valamivel rosszabb volt, mint az enoxaparin</w:t>
      </w:r>
      <w:r>
        <w:rPr>
          <w:spacing w:val="1"/>
          <w:lang w:val="hu-HU"/>
        </w:rPr>
        <w:t xml:space="preserve"> </w:t>
      </w:r>
      <w:r>
        <w:rPr>
          <w:lang w:val="hu-HU"/>
        </w:rPr>
        <w:t>esetében (19. táblázat). Jobbak voltak az eredmények a 220 mg</w:t>
      </w:r>
      <w:r>
        <w:rPr>
          <w:lang w:val="hu-HU"/>
        </w:rPr>
        <w:noBreakHyphen/>
        <w:t>os dózissal, ahol a jelentős VTE</w:t>
      </w:r>
      <w:r>
        <w:rPr>
          <w:spacing w:val="1"/>
          <w:lang w:val="hu-HU"/>
        </w:rPr>
        <w:t xml:space="preserve"> </w:t>
      </w:r>
      <w:r>
        <w:rPr>
          <w:lang w:val="hu-HU"/>
        </w:rPr>
        <w:t xml:space="preserve">incidenciájának </w:t>
      </w:r>
      <w:r>
        <w:rPr>
          <w:spacing w:val="-3"/>
          <w:lang w:val="hu-HU"/>
        </w:rPr>
        <w:t>pont</w:t>
      </w:r>
      <w:r>
        <w:rPr>
          <w:lang w:val="hu-HU"/>
        </w:rPr>
        <w:t>becslés</w:t>
      </w:r>
      <w:r>
        <w:rPr>
          <w:spacing w:val="-2"/>
          <w:lang w:val="hu-HU"/>
        </w:rPr>
        <w:t xml:space="preserve"> </w:t>
      </w:r>
      <w:r>
        <w:rPr>
          <w:lang w:val="hu-HU"/>
        </w:rPr>
        <w:t>értéke</w:t>
      </w:r>
      <w:r>
        <w:rPr>
          <w:spacing w:val="-2"/>
          <w:lang w:val="hu-HU"/>
        </w:rPr>
        <w:t xml:space="preserve"> </w:t>
      </w:r>
      <w:r>
        <w:rPr>
          <w:lang w:val="hu-HU"/>
        </w:rPr>
        <w:t>valamivel</w:t>
      </w:r>
      <w:r>
        <w:rPr>
          <w:spacing w:val="-3"/>
          <w:lang w:val="hu-HU"/>
        </w:rPr>
        <w:t xml:space="preserve"> </w:t>
      </w:r>
      <w:r>
        <w:rPr>
          <w:lang w:val="hu-HU"/>
        </w:rPr>
        <w:t>jobb</w:t>
      </w:r>
      <w:r>
        <w:rPr>
          <w:spacing w:val="-2"/>
          <w:lang w:val="hu-HU"/>
        </w:rPr>
        <w:t xml:space="preserve"> </w:t>
      </w:r>
      <w:r>
        <w:rPr>
          <w:lang w:val="hu-HU"/>
        </w:rPr>
        <w:t>volt</w:t>
      </w:r>
      <w:r>
        <w:rPr>
          <w:spacing w:val="-2"/>
          <w:lang w:val="hu-HU"/>
        </w:rPr>
        <w:t xml:space="preserve"> </w:t>
      </w:r>
      <w:r>
        <w:rPr>
          <w:lang w:val="hu-HU"/>
        </w:rPr>
        <w:t>az</w:t>
      </w:r>
      <w:r>
        <w:rPr>
          <w:spacing w:val="-2"/>
          <w:lang w:val="hu-HU"/>
        </w:rPr>
        <w:t xml:space="preserve"> </w:t>
      </w:r>
      <w:r>
        <w:rPr>
          <w:lang w:val="hu-HU"/>
        </w:rPr>
        <w:t>enoxaparinénál</w:t>
      </w:r>
      <w:r>
        <w:rPr>
          <w:spacing w:val="-3"/>
          <w:lang w:val="hu-HU"/>
        </w:rPr>
        <w:t xml:space="preserve"> </w:t>
      </w:r>
      <w:r>
        <w:rPr>
          <w:lang w:val="hu-HU"/>
        </w:rPr>
        <w:t>(19.</w:t>
      </w:r>
      <w:r>
        <w:rPr>
          <w:spacing w:val="-3"/>
          <w:lang w:val="hu-HU"/>
        </w:rPr>
        <w:t xml:space="preserve"> </w:t>
      </w:r>
      <w:r>
        <w:rPr>
          <w:lang w:val="hu-HU"/>
        </w:rPr>
        <w:t>táblázat).</w:t>
      </w:r>
    </w:p>
    <w:p w:rsidR="007D7140" w:rsidRDefault="007D7140">
      <w:pPr>
        <w:rPr>
          <w:lang w:val="hu-HU"/>
        </w:rPr>
      </w:pPr>
    </w:p>
    <w:p w:rsidR="007D7140" w:rsidRDefault="00A207BA">
      <w:pPr>
        <w:rPr>
          <w:lang w:val="hu-HU"/>
        </w:rPr>
      </w:pPr>
      <w:r>
        <w:rPr>
          <w:lang w:val="hu-HU"/>
        </w:rPr>
        <w:t>A</w:t>
      </w:r>
      <w:r>
        <w:rPr>
          <w:spacing w:val="-6"/>
          <w:lang w:val="hu-HU"/>
        </w:rPr>
        <w:t xml:space="preserve"> </w:t>
      </w:r>
      <w:r>
        <w:rPr>
          <w:lang w:val="hu-HU"/>
        </w:rPr>
        <w:t>klinikai</w:t>
      </w:r>
      <w:r>
        <w:rPr>
          <w:spacing w:val="-5"/>
          <w:lang w:val="hu-HU"/>
        </w:rPr>
        <w:t xml:space="preserve"> </w:t>
      </w:r>
      <w:r>
        <w:rPr>
          <w:lang w:val="hu-HU"/>
        </w:rPr>
        <w:t>vizsgálatokat</w:t>
      </w:r>
      <w:r>
        <w:rPr>
          <w:spacing w:val="-5"/>
          <w:lang w:val="hu-HU"/>
        </w:rPr>
        <w:t xml:space="preserve"> </w:t>
      </w:r>
      <w:r>
        <w:rPr>
          <w:lang w:val="hu-HU"/>
        </w:rPr>
        <w:t>65</w:t>
      </w:r>
      <w:r>
        <w:rPr>
          <w:spacing w:val="-7"/>
          <w:lang w:val="hu-HU"/>
        </w:rPr>
        <w:t> év</w:t>
      </w:r>
      <w:r>
        <w:rPr>
          <w:spacing w:val="-5"/>
          <w:lang w:val="hu-HU"/>
        </w:rPr>
        <w:t xml:space="preserve"> </w:t>
      </w:r>
      <w:r>
        <w:rPr>
          <w:lang w:val="hu-HU"/>
        </w:rPr>
        <w:t>feletti</w:t>
      </w:r>
      <w:r>
        <w:rPr>
          <w:spacing w:val="-5"/>
          <w:lang w:val="hu-HU"/>
        </w:rPr>
        <w:t xml:space="preserve"> </w:t>
      </w:r>
      <w:r>
        <w:rPr>
          <w:lang w:val="hu-HU"/>
        </w:rPr>
        <w:t>átlagéletkorú</w:t>
      </w:r>
      <w:r>
        <w:rPr>
          <w:spacing w:val="-5"/>
          <w:lang w:val="hu-HU"/>
        </w:rPr>
        <w:t xml:space="preserve"> </w:t>
      </w:r>
      <w:r>
        <w:rPr>
          <w:lang w:val="hu-HU"/>
        </w:rPr>
        <w:t>betegpopuláción</w:t>
      </w:r>
      <w:r>
        <w:rPr>
          <w:spacing w:val="-6"/>
          <w:lang w:val="hu-HU"/>
        </w:rPr>
        <w:t xml:space="preserve"> </w:t>
      </w:r>
      <w:r>
        <w:rPr>
          <w:lang w:val="hu-HU"/>
        </w:rPr>
        <w:t>végezték.</w:t>
      </w:r>
    </w:p>
    <w:p w:rsidR="007D7140" w:rsidRDefault="007D7140">
      <w:pPr>
        <w:rPr>
          <w:lang w:val="hu-HU"/>
        </w:rPr>
      </w:pPr>
    </w:p>
    <w:p w:rsidR="007D7140" w:rsidRDefault="00A207BA">
      <w:pPr>
        <w:rPr>
          <w:lang w:val="hu-HU"/>
        </w:rPr>
      </w:pPr>
      <w:r>
        <w:rPr>
          <w:lang w:val="hu-HU"/>
        </w:rPr>
        <w:t>A III. fázisú klinikai vizsgálatok során a nők és férfiak között nem volt különbség a hatásosságra és biztonságosságra</w:t>
      </w:r>
      <w:r>
        <w:rPr>
          <w:spacing w:val="-2"/>
          <w:lang w:val="hu-HU"/>
        </w:rPr>
        <w:t xml:space="preserve"> </w:t>
      </w:r>
      <w:r>
        <w:rPr>
          <w:lang w:val="hu-HU"/>
        </w:rPr>
        <w:t>vonatkozó</w:t>
      </w:r>
      <w:r>
        <w:rPr>
          <w:spacing w:val="-1"/>
          <w:lang w:val="hu-HU"/>
        </w:rPr>
        <w:t xml:space="preserve"> </w:t>
      </w:r>
      <w:r>
        <w:rPr>
          <w:lang w:val="hu-HU"/>
        </w:rPr>
        <w:t>adatok</w:t>
      </w:r>
      <w:r>
        <w:rPr>
          <w:spacing w:val="-1"/>
          <w:lang w:val="hu-HU"/>
        </w:rPr>
        <w:t xml:space="preserve"> </w:t>
      </w:r>
      <w:r>
        <w:rPr>
          <w:lang w:val="hu-HU"/>
        </w:rPr>
        <w:t>tekintetében.</w:t>
      </w:r>
    </w:p>
    <w:p w:rsidR="007D7140" w:rsidRDefault="007D7140">
      <w:pPr>
        <w:rPr>
          <w:lang w:val="hu-HU"/>
        </w:rPr>
      </w:pPr>
    </w:p>
    <w:p w:rsidR="007D7140" w:rsidRDefault="00A207BA">
      <w:pPr>
        <w:rPr>
          <w:lang w:val="hu-HU"/>
        </w:rPr>
      </w:pPr>
      <w:r>
        <w:rPr>
          <w:lang w:val="hu-HU"/>
        </w:rPr>
        <w:t>A RE</w:t>
      </w:r>
      <w:r>
        <w:rPr>
          <w:lang w:val="hu-HU"/>
        </w:rPr>
        <w:noBreakHyphen/>
        <w:t>MODEL és a RE</w:t>
      </w:r>
      <w:r>
        <w:rPr>
          <w:lang w:val="hu-HU"/>
        </w:rPr>
        <w:noBreakHyphen/>
        <w:t>NOVATE vizsgálatokban a betegek (5539 kezelt beteg) 51%</w:t>
      </w:r>
      <w:r>
        <w:rPr>
          <w:lang w:val="hu-HU"/>
        </w:rPr>
        <w:noBreakHyphen/>
        <w:t>a szenvedett egyidejűleg hypertoniában, 9%</w:t>
      </w:r>
      <w:r>
        <w:rPr>
          <w:lang w:val="hu-HU"/>
        </w:rPr>
        <w:noBreakHyphen/>
        <w:t>a diabetesben, 9%</w:t>
      </w:r>
      <w:r>
        <w:rPr>
          <w:lang w:val="hu-HU"/>
        </w:rPr>
        <w:noBreakHyphen/>
        <w:t>a egyidejű koszorúér betegségben, és 20%</w:t>
      </w:r>
      <w:r>
        <w:rPr>
          <w:lang w:val="hu-HU"/>
        </w:rPr>
        <w:noBreakHyphen/>
        <w:t>uk</w:t>
      </w:r>
      <w:r>
        <w:rPr>
          <w:spacing w:val="1"/>
          <w:lang w:val="hu-HU"/>
        </w:rPr>
        <w:t xml:space="preserve"> </w:t>
      </w:r>
      <w:r>
        <w:rPr>
          <w:lang w:val="hu-HU"/>
        </w:rPr>
        <w:t>anamnézisében szerepelt vénás elégtelenség. A felsorolt betegségek egyike sem befolyásolta a</w:t>
      </w:r>
      <w:r>
        <w:rPr>
          <w:spacing w:val="1"/>
          <w:lang w:val="hu-HU"/>
        </w:rPr>
        <w:t xml:space="preserve"> </w:t>
      </w:r>
      <w:r>
        <w:rPr>
          <w:lang w:val="hu-HU"/>
        </w:rPr>
        <w:t>dabigatrán</w:t>
      </w:r>
      <w:r>
        <w:rPr>
          <w:spacing w:val="-2"/>
          <w:lang w:val="hu-HU"/>
        </w:rPr>
        <w:t xml:space="preserve"> </w:t>
      </w:r>
      <w:r>
        <w:rPr>
          <w:lang w:val="hu-HU"/>
        </w:rPr>
        <w:t>VTE</w:t>
      </w:r>
      <w:r>
        <w:rPr>
          <w:spacing w:val="-2"/>
          <w:lang w:val="hu-HU"/>
        </w:rPr>
        <w:t xml:space="preserve"> </w:t>
      </w:r>
      <w:r>
        <w:rPr>
          <w:lang w:val="hu-HU"/>
        </w:rPr>
        <w:t>prevencióra</w:t>
      </w:r>
      <w:r>
        <w:rPr>
          <w:spacing w:val="-1"/>
          <w:lang w:val="hu-HU"/>
        </w:rPr>
        <w:t xml:space="preserve"> </w:t>
      </w:r>
      <w:r>
        <w:rPr>
          <w:lang w:val="hu-HU"/>
        </w:rPr>
        <w:t>kifejtett</w:t>
      </w:r>
      <w:r>
        <w:rPr>
          <w:spacing w:val="-2"/>
          <w:lang w:val="hu-HU"/>
        </w:rPr>
        <w:t xml:space="preserve"> </w:t>
      </w:r>
      <w:r>
        <w:rPr>
          <w:lang w:val="hu-HU"/>
        </w:rPr>
        <w:t>hatását</w:t>
      </w:r>
      <w:r>
        <w:rPr>
          <w:spacing w:val="-2"/>
          <w:lang w:val="hu-HU"/>
        </w:rPr>
        <w:t xml:space="preserve"> </w:t>
      </w:r>
      <w:r>
        <w:rPr>
          <w:lang w:val="hu-HU"/>
        </w:rPr>
        <w:t>vagy</w:t>
      </w:r>
      <w:r>
        <w:rPr>
          <w:spacing w:val="-1"/>
          <w:lang w:val="hu-HU"/>
        </w:rPr>
        <w:t xml:space="preserve"> </w:t>
      </w:r>
      <w:r>
        <w:rPr>
          <w:lang w:val="hu-HU"/>
        </w:rPr>
        <w:t>a</w:t>
      </w:r>
      <w:r>
        <w:rPr>
          <w:spacing w:val="-2"/>
          <w:lang w:val="hu-HU"/>
        </w:rPr>
        <w:t xml:space="preserve"> </w:t>
      </w:r>
      <w:r>
        <w:rPr>
          <w:lang w:val="hu-HU"/>
        </w:rPr>
        <w:t>vérzés</w:t>
      </w:r>
      <w:r>
        <w:rPr>
          <w:spacing w:val="-2"/>
          <w:lang w:val="hu-HU"/>
        </w:rPr>
        <w:t xml:space="preserve"> </w:t>
      </w:r>
      <w:r>
        <w:rPr>
          <w:lang w:val="hu-HU"/>
        </w:rPr>
        <w:t>gyakoriságát.</w:t>
      </w:r>
    </w:p>
    <w:p w:rsidR="007D7140" w:rsidRDefault="007D7140">
      <w:pPr>
        <w:rPr>
          <w:lang w:val="hu-HU"/>
        </w:rPr>
      </w:pPr>
    </w:p>
    <w:p w:rsidR="007D7140" w:rsidRDefault="00A207BA">
      <w:pPr>
        <w:rPr>
          <w:lang w:val="hu-HU"/>
        </w:rPr>
      </w:pPr>
      <w:r>
        <w:rPr>
          <w:lang w:val="hu-HU"/>
        </w:rPr>
        <w:t>A súlyos VTE</w:t>
      </w:r>
      <w:r>
        <w:rPr>
          <w:lang w:val="hu-HU"/>
        </w:rPr>
        <w:noBreakHyphen/>
        <w:t>re és VTE</w:t>
      </w:r>
      <w:r>
        <w:rPr>
          <w:lang w:val="hu-HU"/>
        </w:rPr>
        <w:noBreakHyphen/>
        <w:t>vel kapcsolatos mortalitási végpontra vonatkozó adatok homogének voltak az</w:t>
      </w:r>
      <w:r>
        <w:rPr>
          <w:spacing w:val="-3"/>
          <w:lang w:val="hu-HU"/>
        </w:rPr>
        <w:t xml:space="preserve"> </w:t>
      </w:r>
      <w:r>
        <w:rPr>
          <w:lang w:val="hu-HU"/>
        </w:rPr>
        <w:t>elsődleges</w:t>
      </w:r>
      <w:r>
        <w:rPr>
          <w:spacing w:val="-2"/>
          <w:lang w:val="hu-HU"/>
        </w:rPr>
        <w:t xml:space="preserve"> </w:t>
      </w:r>
      <w:r>
        <w:rPr>
          <w:lang w:val="hu-HU"/>
        </w:rPr>
        <w:t>hatékonysági</w:t>
      </w:r>
      <w:r>
        <w:rPr>
          <w:spacing w:val="-3"/>
          <w:lang w:val="hu-HU"/>
        </w:rPr>
        <w:t xml:space="preserve"> </w:t>
      </w:r>
      <w:r>
        <w:rPr>
          <w:lang w:val="hu-HU"/>
        </w:rPr>
        <w:t>végpont</w:t>
      </w:r>
      <w:r>
        <w:rPr>
          <w:spacing w:val="-2"/>
          <w:lang w:val="hu-HU"/>
        </w:rPr>
        <w:t xml:space="preserve"> </w:t>
      </w:r>
      <w:r>
        <w:rPr>
          <w:lang w:val="hu-HU"/>
        </w:rPr>
        <w:t>tekintetében,</w:t>
      </w:r>
      <w:r>
        <w:rPr>
          <w:spacing w:val="-2"/>
          <w:lang w:val="hu-HU"/>
        </w:rPr>
        <w:t xml:space="preserve"> </w:t>
      </w:r>
      <w:r>
        <w:rPr>
          <w:lang w:val="hu-HU"/>
        </w:rPr>
        <w:t>és</w:t>
      </w:r>
      <w:r>
        <w:rPr>
          <w:spacing w:val="-3"/>
          <w:lang w:val="hu-HU"/>
        </w:rPr>
        <w:t xml:space="preserve"> </w:t>
      </w:r>
      <w:r>
        <w:rPr>
          <w:lang w:val="hu-HU"/>
        </w:rPr>
        <w:t>az</w:t>
      </w:r>
      <w:r>
        <w:rPr>
          <w:spacing w:val="-2"/>
          <w:lang w:val="hu-HU"/>
        </w:rPr>
        <w:t xml:space="preserve"> </w:t>
      </w:r>
      <w:r>
        <w:rPr>
          <w:lang w:val="hu-HU"/>
        </w:rPr>
        <w:t>adatok</w:t>
      </w:r>
      <w:r>
        <w:rPr>
          <w:spacing w:val="-2"/>
          <w:lang w:val="hu-HU"/>
        </w:rPr>
        <w:t xml:space="preserve"> </w:t>
      </w:r>
      <w:r>
        <w:rPr>
          <w:lang w:val="hu-HU"/>
        </w:rPr>
        <w:t>a</w:t>
      </w:r>
      <w:r>
        <w:rPr>
          <w:spacing w:val="-3"/>
          <w:lang w:val="hu-HU"/>
        </w:rPr>
        <w:t xml:space="preserve"> </w:t>
      </w:r>
      <w:r>
        <w:rPr>
          <w:lang w:val="hu-HU"/>
        </w:rPr>
        <w:t>19.</w:t>
      </w:r>
      <w:r>
        <w:rPr>
          <w:spacing w:val="-4"/>
          <w:lang w:val="hu-HU"/>
        </w:rPr>
        <w:t xml:space="preserve"> </w:t>
      </w:r>
      <w:r>
        <w:rPr>
          <w:lang w:val="hu-HU"/>
        </w:rPr>
        <w:t>táblázatban</w:t>
      </w:r>
      <w:r>
        <w:rPr>
          <w:spacing w:val="-3"/>
          <w:lang w:val="hu-HU"/>
        </w:rPr>
        <w:t xml:space="preserve"> </w:t>
      </w:r>
      <w:r>
        <w:rPr>
          <w:lang w:val="hu-HU"/>
        </w:rPr>
        <w:t>láthatók.</w:t>
      </w:r>
    </w:p>
    <w:p w:rsidR="007D7140" w:rsidRDefault="007D7140">
      <w:pPr>
        <w:rPr>
          <w:lang w:val="hu-HU"/>
        </w:rPr>
      </w:pPr>
    </w:p>
    <w:p w:rsidR="007D7140" w:rsidRDefault="00A207BA">
      <w:pPr>
        <w:rPr>
          <w:lang w:val="hu-HU"/>
        </w:rPr>
      </w:pPr>
      <w:r>
        <w:rPr>
          <w:lang w:val="hu-HU"/>
        </w:rPr>
        <w:t>Az</w:t>
      </w:r>
      <w:r>
        <w:rPr>
          <w:spacing w:val="-4"/>
          <w:lang w:val="hu-HU"/>
        </w:rPr>
        <w:t xml:space="preserve"> </w:t>
      </w:r>
      <w:r>
        <w:rPr>
          <w:lang w:val="hu-HU"/>
        </w:rPr>
        <w:t>összes</w:t>
      </w:r>
      <w:r>
        <w:rPr>
          <w:spacing w:val="-4"/>
          <w:lang w:val="hu-HU"/>
        </w:rPr>
        <w:t xml:space="preserve"> </w:t>
      </w:r>
      <w:r>
        <w:rPr>
          <w:lang w:val="hu-HU"/>
        </w:rPr>
        <w:t>VTE</w:t>
      </w:r>
      <w:r>
        <w:rPr>
          <w:spacing w:val="-4"/>
          <w:lang w:val="hu-HU"/>
        </w:rPr>
        <w:t xml:space="preserve"> </w:t>
      </w:r>
      <w:r>
        <w:rPr>
          <w:lang w:val="hu-HU"/>
        </w:rPr>
        <w:t>és</w:t>
      </w:r>
      <w:r>
        <w:rPr>
          <w:spacing w:val="-3"/>
          <w:lang w:val="hu-HU"/>
        </w:rPr>
        <w:t xml:space="preserve"> </w:t>
      </w:r>
      <w:r>
        <w:rPr>
          <w:lang w:val="hu-HU"/>
        </w:rPr>
        <w:t>a bármely okból bekövetkező mortalitás</w:t>
      </w:r>
      <w:r>
        <w:rPr>
          <w:spacing w:val="-3"/>
          <w:lang w:val="hu-HU"/>
        </w:rPr>
        <w:t xml:space="preserve"> </w:t>
      </w:r>
      <w:r>
        <w:rPr>
          <w:lang w:val="hu-HU"/>
        </w:rPr>
        <w:t>végpontra</w:t>
      </w:r>
      <w:r>
        <w:rPr>
          <w:spacing w:val="-4"/>
          <w:lang w:val="hu-HU"/>
        </w:rPr>
        <w:t xml:space="preserve"> </w:t>
      </w:r>
      <w:r>
        <w:rPr>
          <w:lang w:val="hu-HU"/>
        </w:rPr>
        <w:t>vonatkozó</w:t>
      </w:r>
      <w:r>
        <w:rPr>
          <w:spacing w:val="-4"/>
          <w:lang w:val="hu-HU"/>
        </w:rPr>
        <w:t xml:space="preserve"> </w:t>
      </w:r>
      <w:r>
        <w:rPr>
          <w:lang w:val="hu-HU"/>
        </w:rPr>
        <w:t>adatok</w:t>
      </w:r>
      <w:r>
        <w:rPr>
          <w:spacing w:val="-3"/>
          <w:lang w:val="hu-HU"/>
        </w:rPr>
        <w:t xml:space="preserve"> </w:t>
      </w:r>
      <w:r>
        <w:rPr>
          <w:lang w:val="hu-HU"/>
        </w:rPr>
        <w:t>a</w:t>
      </w:r>
      <w:r>
        <w:rPr>
          <w:spacing w:val="-4"/>
          <w:lang w:val="hu-HU"/>
        </w:rPr>
        <w:t xml:space="preserve"> 20</w:t>
      </w:r>
      <w:r>
        <w:rPr>
          <w:lang w:val="hu-HU"/>
        </w:rPr>
        <w:t>.</w:t>
      </w:r>
      <w:r>
        <w:rPr>
          <w:spacing w:val="-7"/>
          <w:lang w:val="hu-HU"/>
        </w:rPr>
        <w:t xml:space="preserve"> </w:t>
      </w:r>
      <w:r>
        <w:rPr>
          <w:lang w:val="hu-HU"/>
        </w:rPr>
        <w:t>táblázatban</w:t>
      </w:r>
      <w:r>
        <w:rPr>
          <w:spacing w:val="-3"/>
          <w:lang w:val="hu-HU"/>
        </w:rPr>
        <w:t xml:space="preserve"> </w:t>
      </w:r>
      <w:r>
        <w:rPr>
          <w:lang w:val="hu-HU"/>
        </w:rPr>
        <w:t>láthatók.</w:t>
      </w:r>
    </w:p>
    <w:p w:rsidR="007D7140" w:rsidRDefault="007D7140">
      <w:pPr>
        <w:rPr>
          <w:lang w:val="hu-HU"/>
        </w:rPr>
      </w:pPr>
    </w:p>
    <w:p w:rsidR="007D7140" w:rsidRDefault="00A207BA">
      <w:pPr>
        <w:rPr>
          <w:lang w:val="hu-HU"/>
        </w:rPr>
      </w:pPr>
      <w:r>
        <w:rPr>
          <w:lang w:val="hu-HU"/>
        </w:rPr>
        <w:lastRenderedPageBreak/>
        <w:t>A</w:t>
      </w:r>
      <w:r>
        <w:rPr>
          <w:spacing w:val="-5"/>
          <w:lang w:val="hu-HU"/>
        </w:rPr>
        <w:t xml:space="preserve"> </w:t>
      </w:r>
      <w:r>
        <w:rPr>
          <w:lang w:val="hu-HU"/>
        </w:rPr>
        <w:t>megállapított</w:t>
      </w:r>
      <w:r>
        <w:rPr>
          <w:spacing w:val="-5"/>
          <w:lang w:val="hu-HU"/>
        </w:rPr>
        <w:t xml:space="preserve"> </w:t>
      </w:r>
      <w:r>
        <w:rPr>
          <w:lang w:val="hu-HU"/>
        </w:rPr>
        <w:t>jelentős</w:t>
      </w:r>
      <w:r>
        <w:rPr>
          <w:spacing w:val="-5"/>
          <w:lang w:val="hu-HU"/>
        </w:rPr>
        <w:t xml:space="preserve"> </w:t>
      </w:r>
      <w:r>
        <w:rPr>
          <w:lang w:val="hu-HU"/>
        </w:rPr>
        <w:t>vérzéses</w:t>
      </w:r>
      <w:r>
        <w:rPr>
          <w:spacing w:val="-5"/>
          <w:lang w:val="hu-HU"/>
        </w:rPr>
        <w:t xml:space="preserve"> </w:t>
      </w:r>
      <w:r>
        <w:rPr>
          <w:lang w:val="hu-HU"/>
        </w:rPr>
        <w:t>végpontokra</w:t>
      </w:r>
      <w:r>
        <w:rPr>
          <w:spacing w:val="-5"/>
          <w:lang w:val="hu-HU"/>
        </w:rPr>
        <w:t xml:space="preserve"> </w:t>
      </w:r>
      <w:r>
        <w:rPr>
          <w:lang w:val="hu-HU"/>
        </w:rPr>
        <w:t>vonatkozó</w:t>
      </w:r>
      <w:r>
        <w:rPr>
          <w:spacing w:val="-5"/>
          <w:lang w:val="hu-HU"/>
        </w:rPr>
        <w:t xml:space="preserve"> </w:t>
      </w:r>
      <w:r>
        <w:rPr>
          <w:lang w:val="hu-HU"/>
        </w:rPr>
        <w:t>adatok</w:t>
      </w:r>
      <w:r>
        <w:rPr>
          <w:spacing w:val="-4"/>
          <w:lang w:val="hu-HU"/>
        </w:rPr>
        <w:t xml:space="preserve"> </w:t>
      </w:r>
      <w:r>
        <w:rPr>
          <w:lang w:val="hu-HU"/>
        </w:rPr>
        <w:t>a</w:t>
      </w:r>
      <w:r>
        <w:rPr>
          <w:spacing w:val="-5"/>
          <w:lang w:val="hu-HU"/>
        </w:rPr>
        <w:t xml:space="preserve"> </w:t>
      </w:r>
      <w:r>
        <w:rPr>
          <w:lang w:val="hu-HU"/>
        </w:rPr>
        <w:t>21.</w:t>
      </w:r>
      <w:r>
        <w:rPr>
          <w:spacing w:val="-10"/>
          <w:lang w:val="hu-HU"/>
        </w:rPr>
        <w:t xml:space="preserve"> </w:t>
      </w:r>
      <w:r>
        <w:rPr>
          <w:lang w:val="hu-HU"/>
        </w:rPr>
        <w:t>táblázatban találhatók</w:t>
      </w:r>
      <w:r>
        <w:rPr>
          <w:spacing w:val="-5"/>
          <w:lang w:val="hu-HU"/>
        </w:rPr>
        <w:t xml:space="preserve"> </w:t>
      </w:r>
      <w:r>
        <w:rPr>
          <w:lang w:val="hu-HU"/>
        </w:rPr>
        <w:t>alább.</w:t>
      </w:r>
    </w:p>
    <w:p w:rsidR="007D7140" w:rsidRDefault="007D7140">
      <w:pPr>
        <w:rPr>
          <w:lang w:val="hu-HU"/>
        </w:rPr>
      </w:pPr>
    </w:p>
    <w:p w:rsidR="007D7140" w:rsidRDefault="00A207BA">
      <w:pPr>
        <w:keepNext/>
        <w:widowControl/>
        <w:ind w:left="1276" w:hanging="1276"/>
        <w:rPr>
          <w:lang w:val="hu-HU"/>
        </w:rPr>
      </w:pPr>
      <w:r>
        <w:rPr>
          <w:b/>
          <w:bCs/>
          <w:lang w:val="hu-HU"/>
        </w:rPr>
        <w:t>19. táblázat: A súlyos VTE és VTE-vel kapcsolatos mortalitás analízise a RE-MODEL és RE</w:t>
      </w:r>
      <w:r>
        <w:rPr>
          <w:b/>
          <w:bCs/>
          <w:lang w:val="hu-HU"/>
        </w:rPr>
        <w:noBreakHyphen/>
        <w:t>NOVATE</w:t>
      </w:r>
      <w:r>
        <w:rPr>
          <w:b/>
          <w:bCs/>
          <w:spacing w:val="-3"/>
          <w:lang w:val="hu-HU"/>
        </w:rPr>
        <w:t xml:space="preserve"> </w:t>
      </w:r>
      <w:r>
        <w:rPr>
          <w:b/>
          <w:bCs/>
          <w:lang w:val="hu-HU"/>
        </w:rPr>
        <w:t>ortopédiai</w:t>
      </w:r>
      <w:r>
        <w:rPr>
          <w:b/>
          <w:bCs/>
          <w:spacing w:val="-2"/>
          <w:lang w:val="hu-HU"/>
        </w:rPr>
        <w:t xml:space="preserve"> </w:t>
      </w:r>
      <w:r>
        <w:rPr>
          <w:b/>
          <w:bCs/>
          <w:lang w:val="hu-HU"/>
        </w:rPr>
        <w:t>műtéti</w:t>
      </w:r>
      <w:r>
        <w:rPr>
          <w:b/>
          <w:bCs/>
          <w:spacing w:val="-3"/>
          <w:lang w:val="hu-HU"/>
        </w:rPr>
        <w:t xml:space="preserve"> </w:t>
      </w:r>
      <w:r>
        <w:rPr>
          <w:b/>
          <w:bCs/>
          <w:lang w:val="hu-HU"/>
        </w:rPr>
        <w:t>vizsgálatok</w:t>
      </w:r>
      <w:r>
        <w:rPr>
          <w:b/>
          <w:bCs/>
          <w:spacing w:val="-2"/>
          <w:lang w:val="hu-HU"/>
        </w:rPr>
        <w:t xml:space="preserve"> </w:t>
      </w:r>
      <w:r>
        <w:rPr>
          <w:b/>
          <w:bCs/>
          <w:lang w:val="hu-HU"/>
        </w:rPr>
        <w:t>kezelési</w:t>
      </w:r>
      <w:r>
        <w:rPr>
          <w:b/>
          <w:bCs/>
          <w:spacing w:val="-2"/>
          <w:lang w:val="hu-HU"/>
        </w:rPr>
        <w:t xml:space="preserve"> </w:t>
      </w:r>
      <w:r>
        <w:rPr>
          <w:b/>
          <w:bCs/>
          <w:lang w:val="hu-HU"/>
        </w:rPr>
        <w:t>periódusa</w:t>
      </w:r>
      <w:r>
        <w:rPr>
          <w:b/>
          <w:bCs/>
          <w:spacing w:val="-3"/>
          <w:lang w:val="hu-HU"/>
        </w:rPr>
        <w:t xml:space="preserve"> </w:t>
      </w:r>
      <w:r>
        <w:rPr>
          <w:b/>
          <w:bCs/>
          <w:lang w:val="hu-HU"/>
        </w:rPr>
        <w:t>alatt</w:t>
      </w:r>
    </w:p>
    <w:p w:rsidR="007D7140" w:rsidRDefault="007D7140">
      <w:pPr>
        <w:keepNext/>
        <w:widowControl/>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410"/>
        <w:gridCol w:w="2410"/>
        <w:gridCol w:w="1417"/>
      </w:tblGrid>
      <w:tr w:rsidR="007D7140">
        <w:trPr>
          <w:trHeight w:val="505"/>
        </w:trPr>
        <w:tc>
          <w:tcPr>
            <w:tcW w:w="2835" w:type="dxa"/>
          </w:tcPr>
          <w:p w:rsidR="007D7140" w:rsidRDefault="00A207BA">
            <w:pPr>
              <w:keepNext/>
              <w:widowControl/>
              <w:ind w:left="142"/>
              <w:rPr>
                <w:lang w:val="hu-HU"/>
              </w:rPr>
            </w:pPr>
            <w:r>
              <w:rPr>
                <w:lang w:val="hu-HU"/>
              </w:rPr>
              <w:t>Vizsgálat</w:t>
            </w:r>
          </w:p>
        </w:tc>
        <w:tc>
          <w:tcPr>
            <w:tcW w:w="2410" w:type="dxa"/>
          </w:tcPr>
          <w:p w:rsidR="007D7140" w:rsidRDefault="00A207BA">
            <w:pPr>
              <w:keepNext/>
              <w:widowControl/>
              <w:ind w:left="142"/>
              <w:rPr>
                <w:lang w:val="hu-HU"/>
              </w:rPr>
            </w:pPr>
            <w:r>
              <w:rPr>
                <w:lang w:val="hu-HU"/>
              </w:rPr>
              <w:t>Dabigatrán</w:t>
            </w:r>
            <w:r>
              <w:rPr>
                <w:spacing w:val="-6"/>
                <w:lang w:val="hu-HU"/>
              </w:rPr>
              <w:noBreakHyphen/>
            </w:r>
            <w:r>
              <w:rPr>
                <w:lang w:val="hu-HU"/>
              </w:rPr>
              <w:t>etexilát naponta egyszer 220</w:t>
            </w:r>
            <w:r>
              <w:rPr>
                <w:spacing w:val="-1"/>
                <w:lang w:val="hu-HU"/>
              </w:rPr>
              <w:t> mg</w:t>
            </w:r>
          </w:p>
        </w:tc>
        <w:tc>
          <w:tcPr>
            <w:tcW w:w="2410" w:type="dxa"/>
          </w:tcPr>
          <w:p w:rsidR="007D7140" w:rsidRDefault="00A207BA">
            <w:pPr>
              <w:keepNext/>
              <w:widowControl/>
              <w:ind w:left="142"/>
              <w:rPr>
                <w:lang w:val="hu-HU"/>
              </w:rPr>
            </w:pPr>
            <w:r>
              <w:rPr>
                <w:lang w:val="hu-HU"/>
              </w:rPr>
              <w:t>Dabigatrán</w:t>
            </w:r>
            <w:r>
              <w:rPr>
                <w:spacing w:val="-6"/>
                <w:lang w:val="hu-HU"/>
              </w:rPr>
              <w:noBreakHyphen/>
            </w:r>
            <w:r>
              <w:rPr>
                <w:lang w:val="hu-HU"/>
              </w:rPr>
              <w:t>etexilát naponta egyszer 150</w:t>
            </w:r>
            <w:r>
              <w:rPr>
                <w:spacing w:val="-1"/>
                <w:lang w:val="hu-HU"/>
              </w:rPr>
              <w:t> mg</w:t>
            </w:r>
          </w:p>
        </w:tc>
        <w:tc>
          <w:tcPr>
            <w:tcW w:w="1417" w:type="dxa"/>
          </w:tcPr>
          <w:p w:rsidR="007D7140" w:rsidRDefault="00A207BA">
            <w:pPr>
              <w:keepNext/>
              <w:widowControl/>
              <w:ind w:left="142"/>
              <w:rPr>
                <w:lang w:val="hu-HU"/>
              </w:rPr>
            </w:pPr>
            <w:r>
              <w:rPr>
                <w:lang w:val="hu-HU"/>
              </w:rPr>
              <w:t>Enoxaparin 40</w:t>
            </w:r>
            <w:r>
              <w:rPr>
                <w:spacing w:val="-2"/>
                <w:lang w:val="hu-HU"/>
              </w:rPr>
              <w:t> mg</w:t>
            </w:r>
          </w:p>
        </w:tc>
      </w:tr>
      <w:tr w:rsidR="007D7140">
        <w:trPr>
          <w:trHeight w:val="251"/>
        </w:trPr>
        <w:tc>
          <w:tcPr>
            <w:tcW w:w="9072" w:type="dxa"/>
            <w:gridSpan w:val="4"/>
          </w:tcPr>
          <w:p w:rsidR="007D7140" w:rsidRDefault="00A207BA">
            <w:pPr>
              <w:keepNext/>
              <w:widowControl/>
              <w:ind w:left="142"/>
              <w:rPr>
                <w:lang w:val="hu-HU"/>
              </w:rPr>
            </w:pPr>
            <w:r>
              <w:rPr>
                <w:lang w:val="hu-HU"/>
              </w:rPr>
              <w:t>RE-NOVATE</w:t>
            </w:r>
            <w:r>
              <w:rPr>
                <w:spacing w:val="-5"/>
                <w:lang w:val="hu-HU"/>
              </w:rPr>
              <w:t xml:space="preserve"> </w:t>
            </w:r>
            <w:r>
              <w:rPr>
                <w:lang w:val="hu-HU"/>
              </w:rPr>
              <w:t>(csípő)</w:t>
            </w:r>
          </w:p>
        </w:tc>
      </w:tr>
      <w:tr w:rsidR="007D7140">
        <w:trPr>
          <w:trHeight w:val="253"/>
        </w:trPr>
        <w:tc>
          <w:tcPr>
            <w:tcW w:w="2835" w:type="dxa"/>
          </w:tcPr>
          <w:p w:rsidR="007D7140" w:rsidRDefault="00A207BA">
            <w:pPr>
              <w:keepNext/>
              <w:widowControl/>
              <w:ind w:left="142"/>
              <w:rPr>
                <w:lang w:val="hu-HU"/>
              </w:rPr>
            </w:pPr>
            <w:r>
              <w:rPr>
                <w:lang w:val="hu-HU"/>
              </w:rPr>
              <w:t>N</w:t>
            </w:r>
          </w:p>
        </w:tc>
        <w:tc>
          <w:tcPr>
            <w:tcW w:w="2410" w:type="dxa"/>
          </w:tcPr>
          <w:p w:rsidR="007D7140" w:rsidRDefault="00A207BA">
            <w:pPr>
              <w:keepNext/>
              <w:widowControl/>
              <w:ind w:left="142" w:firstLine="538"/>
              <w:rPr>
                <w:lang w:val="hu-HU"/>
              </w:rPr>
            </w:pPr>
            <w:r>
              <w:rPr>
                <w:lang w:val="hu-HU"/>
              </w:rPr>
              <w:t>909</w:t>
            </w:r>
          </w:p>
        </w:tc>
        <w:tc>
          <w:tcPr>
            <w:tcW w:w="2410" w:type="dxa"/>
          </w:tcPr>
          <w:p w:rsidR="007D7140" w:rsidRDefault="00A207BA">
            <w:pPr>
              <w:keepNext/>
              <w:widowControl/>
              <w:ind w:left="713"/>
              <w:rPr>
                <w:lang w:val="hu-HU"/>
              </w:rPr>
            </w:pPr>
            <w:r>
              <w:rPr>
                <w:lang w:val="hu-HU"/>
              </w:rPr>
              <w:t>888</w:t>
            </w:r>
          </w:p>
        </w:tc>
        <w:tc>
          <w:tcPr>
            <w:tcW w:w="1417" w:type="dxa"/>
          </w:tcPr>
          <w:p w:rsidR="007D7140" w:rsidRDefault="00A207BA">
            <w:pPr>
              <w:keepNext/>
              <w:widowControl/>
              <w:ind w:left="584" w:hanging="297"/>
              <w:rPr>
                <w:lang w:val="hu-HU"/>
              </w:rPr>
            </w:pPr>
            <w:r>
              <w:rPr>
                <w:lang w:val="hu-HU"/>
              </w:rPr>
              <w:t>917</w:t>
            </w:r>
          </w:p>
        </w:tc>
      </w:tr>
      <w:tr w:rsidR="007D7140">
        <w:trPr>
          <w:trHeight w:val="251"/>
        </w:trPr>
        <w:tc>
          <w:tcPr>
            <w:tcW w:w="2835" w:type="dxa"/>
          </w:tcPr>
          <w:p w:rsidR="007D7140" w:rsidRDefault="00A207BA">
            <w:pPr>
              <w:ind w:left="142"/>
              <w:rPr>
                <w:lang w:val="hu-HU"/>
              </w:rPr>
            </w:pPr>
            <w:r>
              <w:rPr>
                <w:lang w:val="hu-HU"/>
              </w:rPr>
              <w:t>Incidencia</w:t>
            </w:r>
            <w:r>
              <w:rPr>
                <w:spacing w:val="-5"/>
                <w:lang w:val="hu-HU"/>
              </w:rPr>
              <w:t xml:space="preserve"> </w:t>
            </w:r>
            <w:r>
              <w:rPr>
                <w:lang w:val="hu-HU"/>
              </w:rPr>
              <w:t>(%)</w:t>
            </w:r>
          </w:p>
        </w:tc>
        <w:tc>
          <w:tcPr>
            <w:tcW w:w="2410" w:type="dxa"/>
          </w:tcPr>
          <w:p w:rsidR="007D7140" w:rsidRDefault="00A207BA">
            <w:pPr>
              <w:ind w:left="142" w:firstLine="538"/>
              <w:rPr>
                <w:lang w:val="hu-HU"/>
              </w:rPr>
            </w:pPr>
            <w:r>
              <w:rPr>
                <w:lang w:val="hu-HU"/>
              </w:rPr>
              <w:t>28</w:t>
            </w:r>
            <w:r>
              <w:rPr>
                <w:spacing w:val="-3"/>
                <w:lang w:val="hu-HU"/>
              </w:rPr>
              <w:t xml:space="preserve"> </w:t>
            </w:r>
            <w:r>
              <w:rPr>
                <w:lang w:val="hu-HU"/>
              </w:rPr>
              <w:t>(3,1)</w:t>
            </w:r>
          </w:p>
        </w:tc>
        <w:tc>
          <w:tcPr>
            <w:tcW w:w="2410" w:type="dxa"/>
          </w:tcPr>
          <w:p w:rsidR="007D7140" w:rsidRDefault="00A207BA">
            <w:pPr>
              <w:ind w:left="713"/>
              <w:rPr>
                <w:lang w:val="hu-HU"/>
              </w:rPr>
            </w:pPr>
            <w:r>
              <w:rPr>
                <w:lang w:val="hu-HU"/>
              </w:rPr>
              <w:t>38</w:t>
            </w:r>
            <w:r>
              <w:rPr>
                <w:spacing w:val="-3"/>
                <w:lang w:val="hu-HU"/>
              </w:rPr>
              <w:t xml:space="preserve"> </w:t>
            </w:r>
            <w:r>
              <w:rPr>
                <w:lang w:val="hu-HU"/>
              </w:rPr>
              <w:t>(4,3)</w:t>
            </w:r>
          </w:p>
        </w:tc>
        <w:tc>
          <w:tcPr>
            <w:tcW w:w="1417" w:type="dxa"/>
          </w:tcPr>
          <w:p w:rsidR="007D7140" w:rsidRDefault="00A207BA">
            <w:pPr>
              <w:ind w:left="584" w:hanging="297"/>
              <w:rPr>
                <w:lang w:val="hu-HU"/>
              </w:rPr>
            </w:pPr>
            <w:r>
              <w:rPr>
                <w:lang w:val="hu-HU"/>
              </w:rPr>
              <w:t>36</w:t>
            </w:r>
            <w:r>
              <w:rPr>
                <w:spacing w:val="-3"/>
                <w:lang w:val="hu-HU"/>
              </w:rPr>
              <w:t xml:space="preserve"> </w:t>
            </w:r>
            <w:r>
              <w:rPr>
                <w:lang w:val="hu-HU"/>
              </w:rPr>
              <w:t>(3,9)</w:t>
            </w:r>
          </w:p>
        </w:tc>
      </w:tr>
      <w:tr w:rsidR="007D7140">
        <w:trPr>
          <w:trHeight w:val="521"/>
        </w:trPr>
        <w:tc>
          <w:tcPr>
            <w:tcW w:w="2835" w:type="dxa"/>
          </w:tcPr>
          <w:p w:rsidR="007D7140" w:rsidRDefault="00A207BA">
            <w:pPr>
              <w:ind w:left="142"/>
              <w:rPr>
                <w:lang w:val="hu-HU"/>
              </w:rPr>
            </w:pPr>
            <w:r>
              <w:rPr>
                <w:lang w:val="hu-HU"/>
              </w:rPr>
              <w:t>Relatív</w:t>
            </w:r>
            <w:r>
              <w:rPr>
                <w:spacing w:val="-4"/>
                <w:lang w:val="hu-HU"/>
              </w:rPr>
              <w:t xml:space="preserve"> </w:t>
            </w:r>
            <w:r>
              <w:rPr>
                <w:lang w:val="hu-HU"/>
              </w:rPr>
              <w:t>hazárd</w:t>
            </w:r>
            <w:r>
              <w:rPr>
                <w:spacing w:val="-3"/>
                <w:lang w:val="hu-HU"/>
              </w:rPr>
              <w:t xml:space="preserve"> </w:t>
            </w:r>
            <w:r>
              <w:rPr>
                <w:lang w:val="hu-HU"/>
              </w:rPr>
              <w:t>az enoxaparinnal szemben</w:t>
            </w:r>
          </w:p>
        </w:tc>
        <w:tc>
          <w:tcPr>
            <w:tcW w:w="2410" w:type="dxa"/>
          </w:tcPr>
          <w:p w:rsidR="007D7140" w:rsidRDefault="00A207BA">
            <w:pPr>
              <w:ind w:left="142" w:firstLine="538"/>
              <w:rPr>
                <w:lang w:val="hu-HU"/>
              </w:rPr>
            </w:pPr>
            <w:r>
              <w:rPr>
                <w:lang w:val="hu-HU"/>
              </w:rPr>
              <w:t>0,78</w:t>
            </w:r>
          </w:p>
        </w:tc>
        <w:tc>
          <w:tcPr>
            <w:tcW w:w="2410" w:type="dxa"/>
          </w:tcPr>
          <w:p w:rsidR="007D7140" w:rsidRDefault="00A207BA">
            <w:pPr>
              <w:ind w:left="713"/>
              <w:rPr>
                <w:lang w:val="hu-HU"/>
              </w:rPr>
            </w:pPr>
            <w:r>
              <w:rPr>
                <w:lang w:val="hu-HU"/>
              </w:rPr>
              <w:t>1,09</w:t>
            </w:r>
          </w:p>
        </w:tc>
        <w:tc>
          <w:tcPr>
            <w:tcW w:w="1417" w:type="dxa"/>
          </w:tcPr>
          <w:p w:rsidR="007D7140" w:rsidRDefault="007D7140">
            <w:pPr>
              <w:ind w:left="584"/>
              <w:rPr>
                <w:lang w:val="hu-HU"/>
              </w:rPr>
            </w:pPr>
          </w:p>
        </w:tc>
      </w:tr>
      <w:tr w:rsidR="007D7140">
        <w:trPr>
          <w:trHeight w:val="251"/>
        </w:trPr>
        <w:tc>
          <w:tcPr>
            <w:tcW w:w="2835" w:type="dxa"/>
          </w:tcPr>
          <w:p w:rsidR="007D7140" w:rsidRDefault="00A207BA">
            <w:pPr>
              <w:ind w:left="142"/>
              <w:rPr>
                <w:lang w:val="hu-HU"/>
              </w:rPr>
            </w:pPr>
            <w:r>
              <w:rPr>
                <w:lang w:val="hu-HU"/>
              </w:rPr>
              <w:t>95%</w:t>
            </w:r>
            <w:r>
              <w:rPr>
                <w:lang w:val="hu-HU"/>
              </w:rPr>
              <w:noBreakHyphen/>
              <w:t>os CI</w:t>
            </w:r>
          </w:p>
        </w:tc>
        <w:tc>
          <w:tcPr>
            <w:tcW w:w="2410" w:type="dxa"/>
          </w:tcPr>
          <w:p w:rsidR="007D7140" w:rsidRDefault="00A207BA">
            <w:pPr>
              <w:ind w:left="142" w:firstLine="538"/>
              <w:rPr>
                <w:lang w:val="hu-HU"/>
              </w:rPr>
            </w:pPr>
            <w:r>
              <w:rPr>
                <w:lang w:val="hu-HU"/>
              </w:rPr>
              <w:t>0,48,</w:t>
            </w:r>
            <w:r>
              <w:rPr>
                <w:spacing w:val="1"/>
                <w:lang w:val="hu-HU"/>
              </w:rPr>
              <w:t xml:space="preserve"> </w:t>
            </w:r>
            <w:r>
              <w:rPr>
                <w:lang w:val="hu-HU"/>
              </w:rPr>
              <w:t>1,27</w:t>
            </w:r>
          </w:p>
        </w:tc>
        <w:tc>
          <w:tcPr>
            <w:tcW w:w="2410" w:type="dxa"/>
          </w:tcPr>
          <w:p w:rsidR="007D7140" w:rsidRDefault="00A207BA">
            <w:pPr>
              <w:ind w:left="713"/>
              <w:rPr>
                <w:lang w:val="hu-HU"/>
              </w:rPr>
            </w:pPr>
            <w:r>
              <w:rPr>
                <w:lang w:val="hu-HU"/>
              </w:rPr>
              <w:t>0,70,</w:t>
            </w:r>
            <w:r>
              <w:rPr>
                <w:spacing w:val="1"/>
                <w:lang w:val="hu-HU"/>
              </w:rPr>
              <w:t xml:space="preserve"> </w:t>
            </w:r>
            <w:r>
              <w:rPr>
                <w:lang w:val="hu-HU"/>
              </w:rPr>
              <w:t>1,70</w:t>
            </w:r>
          </w:p>
        </w:tc>
        <w:tc>
          <w:tcPr>
            <w:tcW w:w="1417" w:type="dxa"/>
          </w:tcPr>
          <w:p w:rsidR="007D7140" w:rsidRDefault="007D7140">
            <w:pPr>
              <w:ind w:left="584"/>
              <w:rPr>
                <w:lang w:val="hu-HU"/>
              </w:rPr>
            </w:pPr>
          </w:p>
        </w:tc>
      </w:tr>
      <w:tr w:rsidR="007D7140">
        <w:trPr>
          <w:trHeight w:val="253"/>
        </w:trPr>
        <w:tc>
          <w:tcPr>
            <w:tcW w:w="9072" w:type="dxa"/>
            <w:gridSpan w:val="4"/>
          </w:tcPr>
          <w:p w:rsidR="007D7140" w:rsidRDefault="00A207BA">
            <w:pPr>
              <w:ind w:left="142"/>
              <w:rPr>
                <w:lang w:val="hu-HU"/>
              </w:rPr>
            </w:pPr>
            <w:r>
              <w:rPr>
                <w:lang w:val="hu-HU"/>
              </w:rPr>
              <w:t>RE-MODEL</w:t>
            </w:r>
            <w:r>
              <w:rPr>
                <w:spacing w:val="-5"/>
                <w:lang w:val="hu-HU"/>
              </w:rPr>
              <w:t xml:space="preserve"> </w:t>
            </w:r>
            <w:r>
              <w:rPr>
                <w:lang w:val="hu-HU"/>
              </w:rPr>
              <w:t>(térd)</w:t>
            </w:r>
          </w:p>
        </w:tc>
      </w:tr>
      <w:tr w:rsidR="007D7140">
        <w:trPr>
          <w:trHeight w:val="251"/>
        </w:trPr>
        <w:tc>
          <w:tcPr>
            <w:tcW w:w="2835" w:type="dxa"/>
          </w:tcPr>
          <w:p w:rsidR="007D7140" w:rsidRDefault="00A207BA">
            <w:pPr>
              <w:ind w:left="142"/>
              <w:rPr>
                <w:lang w:val="hu-HU"/>
              </w:rPr>
            </w:pPr>
            <w:r>
              <w:rPr>
                <w:lang w:val="hu-HU"/>
              </w:rPr>
              <w:t>N</w:t>
            </w:r>
          </w:p>
        </w:tc>
        <w:tc>
          <w:tcPr>
            <w:tcW w:w="2410" w:type="dxa"/>
          </w:tcPr>
          <w:p w:rsidR="007D7140" w:rsidRDefault="00A207BA">
            <w:pPr>
              <w:ind w:left="142" w:firstLine="538"/>
              <w:rPr>
                <w:lang w:val="hu-HU"/>
              </w:rPr>
            </w:pPr>
            <w:r>
              <w:rPr>
                <w:lang w:val="hu-HU"/>
              </w:rPr>
              <w:t>506</w:t>
            </w:r>
          </w:p>
        </w:tc>
        <w:tc>
          <w:tcPr>
            <w:tcW w:w="2410" w:type="dxa"/>
          </w:tcPr>
          <w:p w:rsidR="007D7140" w:rsidRDefault="00A207BA">
            <w:pPr>
              <w:ind w:left="713"/>
              <w:rPr>
                <w:lang w:val="hu-HU"/>
              </w:rPr>
            </w:pPr>
            <w:r>
              <w:rPr>
                <w:lang w:val="hu-HU"/>
              </w:rPr>
              <w:t>527</w:t>
            </w:r>
          </w:p>
        </w:tc>
        <w:tc>
          <w:tcPr>
            <w:tcW w:w="1417" w:type="dxa"/>
          </w:tcPr>
          <w:p w:rsidR="007D7140" w:rsidRDefault="00A207BA">
            <w:pPr>
              <w:ind w:left="584" w:hanging="297"/>
              <w:rPr>
                <w:lang w:val="hu-HU"/>
              </w:rPr>
            </w:pPr>
            <w:r>
              <w:rPr>
                <w:lang w:val="hu-HU"/>
              </w:rPr>
              <w:t>511</w:t>
            </w:r>
          </w:p>
        </w:tc>
      </w:tr>
      <w:tr w:rsidR="007D7140">
        <w:trPr>
          <w:trHeight w:val="253"/>
        </w:trPr>
        <w:tc>
          <w:tcPr>
            <w:tcW w:w="2835" w:type="dxa"/>
          </w:tcPr>
          <w:p w:rsidR="007D7140" w:rsidRDefault="00A207BA">
            <w:pPr>
              <w:ind w:left="142"/>
              <w:rPr>
                <w:lang w:val="hu-HU"/>
              </w:rPr>
            </w:pPr>
            <w:r>
              <w:rPr>
                <w:lang w:val="hu-HU"/>
              </w:rPr>
              <w:t>Incidencia</w:t>
            </w:r>
            <w:r>
              <w:rPr>
                <w:spacing w:val="-5"/>
                <w:lang w:val="hu-HU"/>
              </w:rPr>
              <w:t xml:space="preserve"> </w:t>
            </w:r>
            <w:r>
              <w:rPr>
                <w:lang w:val="hu-HU"/>
              </w:rPr>
              <w:t>(%)</w:t>
            </w:r>
          </w:p>
        </w:tc>
        <w:tc>
          <w:tcPr>
            <w:tcW w:w="2410" w:type="dxa"/>
          </w:tcPr>
          <w:p w:rsidR="007D7140" w:rsidRDefault="00A207BA">
            <w:pPr>
              <w:ind w:left="142" w:firstLine="538"/>
              <w:rPr>
                <w:lang w:val="hu-HU"/>
              </w:rPr>
            </w:pPr>
            <w:r>
              <w:rPr>
                <w:lang w:val="hu-HU"/>
              </w:rPr>
              <w:t>13</w:t>
            </w:r>
            <w:r>
              <w:rPr>
                <w:spacing w:val="-3"/>
                <w:lang w:val="hu-HU"/>
              </w:rPr>
              <w:t xml:space="preserve"> </w:t>
            </w:r>
            <w:r>
              <w:rPr>
                <w:lang w:val="hu-HU"/>
              </w:rPr>
              <w:t>(2,6)</w:t>
            </w:r>
          </w:p>
        </w:tc>
        <w:tc>
          <w:tcPr>
            <w:tcW w:w="2410" w:type="dxa"/>
          </w:tcPr>
          <w:p w:rsidR="007D7140" w:rsidRDefault="00A207BA">
            <w:pPr>
              <w:ind w:left="713"/>
              <w:rPr>
                <w:lang w:val="hu-HU"/>
              </w:rPr>
            </w:pPr>
            <w:r>
              <w:rPr>
                <w:lang w:val="hu-HU"/>
              </w:rPr>
              <w:t>20</w:t>
            </w:r>
            <w:r>
              <w:rPr>
                <w:spacing w:val="-3"/>
                <w:lang w:val="hu-HU"/>
              </w:rPr>
              <w:t xml:space="preserve"> </w:t>
            </w:r>
            <w:r>
              <w:rPr>
                <w:lang w:val="hu-HU"/>
              </w:rPr>
              <w:t>(3,8)</w:t>
            </w:r>
          </w:p>
        </w:tc>
        <w:tc>
          <w:tcPr>
            <w:tcW w:w="1417" w:type="dxa"/>
          </w:tcPr>
          <w:p w:rsidR="007D7140" w:rsidRDefault="00A207BA">
            <w:pPr>
              <w:ind w:left="584" w:hanging="297"/>
              <w:rPr>
                <w:lang w:val="hu-HU"/>
              </w:rPr>
            </w:pPr>
            <w:r>
              <w:rPr>
                <w:lang w:val="hu-HU"/>
              </w:rPr>
              <w:t>18</w:t>
            </w:r>
            <w:r>
              <w:rPr>
                <w:spacing w:val="-3"/>
                <w:lang w:val="hu-HU"/>
              </w:rPr>
              <w:t xml:space="preserve"> </w:t>
            </w:r>
            <w:r>
              <w:rPr>
                <w:lang w:val="hu-HU"/>
              </w:rPr>
              <w:t>(3,5)</w:t>
            </w:r>
          </w:p>
        </w:tc>
      </w:tr>
      <w:tr w:rsidR="007D7140">
        <w:trPr>
          <w:trHeight w:val="629"/>
        </w:trPr>
        <w:tc>
          <w:tcPr>
            <w:tcW w:w="2835" w:type="dxa"/>
          </w:tcPr>
          <w:p w:rsidR="007D7140" w:rsidRDefault="00A207BA">
            <w:pPr>
              <w:ind w:left="142"/>
              <w:rPr>
                <w:lang w:val="hu-HU"/>
              </w:rPr>
            </w:pPr>
            <w:r>
              <w:rPr>
                <w:lang w:val="hu-HU"/>
              </w:rPr>
              <w:t>Relatív</w:t>
            </w:r>
            <w:r>
              <w:rPr>
                <w:spacing w:val="-4"/>
                <w:lang w:val="hu-HU"/>
              </w:rPr>
              <w:t xml:space="preserve"> </w:t>
            </w:r>
            <w:r>
              <w:rPr>
                <w:lang w:val="hu-HU"/>
              </w:rPr>
              <w:t>hazárd</w:t>
            </w:r>
            <w:r>
              <w:rPr>
                <w:spacing w:val="-3"/>
                <w:lang w:val="hu-HU"/>
              </w:rPr>
              <w:t xml:space="preserve"> </w:t>
            </w:r>
            <w:r>
              <w:rPr>
                <w:lang w:val="hu-HU"/>
              </w:rPr>
              <w:t>az enoxaparinnal szemben</w:t>
            </w:r>
          </w:p>
        </w:tc>
        <w:tc>
          <w:tcPr>
            <w:tcW w:w="2410" w:type="dxa"/>
          </w:tcPr>
          <w:p w:rsidR="007D7140" w:rsidRDefault="00A207BA">
            <w:pPr>
              <w:ind w:left="142" w:firstLine="538"/>
              <w:rPr>
                <w:lang w:val="hu-HU"/>
              </w:rPr>
            </w:pPr>
            <w:r>
              <w:rPr>
                <w:lang w:val="hu-HU"/>
              </w:rPr>
              <w:t>0,73</w:t>
            </w:r>
          </w:p>
        </w:tc>
        <w:tc>
          <w:tcPr>
            <w:tcW w:w="2410" w:type="dxa"/>
          </w:tcPr>
          <w:p w:rsidR="007D7140" w:rsidRDefault="00A207BA">
            <w:pPr>
              <w:ind w:left="713"/>
              <w:rPr>
                <w:lang w:val="hu-HU"/>
              </w:rPr>
            </w:pPr>
            <w:r>
              <w:rPr>
                <w:lang w:val="hu-HU"/>
              </w:rPr>
              <w:t>1,08</w:t>
            </w:r>
          </w:p>
        </w:tc>
        <w:tc>
          <w:tcPr>
            <w:tcW w:w="1417" w:type="dxa"/>
          </w:tcPr>
          <w:p w:rsidR="007D7140" w:rsidRDefault="007D7140">
            <w:pPr>
              <w:ind w:left="584"/>
              <w:rPr>
                <w:lang w:val="hu-HU"/>
              </w:rPr>
            </w:pPr>
          </w:p>
        </w:tc>
      </w:tr>
      <w:tr w:rsidR="007D7140">
        <w:trPr>
          <w:trHeight w:val="253"/>
        </w:trPr>
        <w:tc>
          <w:tcPr>
            <w:tcW w:w="2835" w:type="dxa"/>
          </w:tcPr>
          <w:p w:rsidR="007D7140" w:rsidRDefault="00A207BA">
            <w:pPr>
              <w:ind w:left="142"/>
              <w:rPr>
                <w:lang w:val="hu-HU"/>
              </w:rPr>
            </w:pPr>
            <w:r>
              <w:rPr>
                <w:lang w:val="hu-HU"/>
              </w:rPr>
              <w:t>95%</w:t>
            </w:r>
            <w:r>
              <w:rPr>
                <w:lang w:val="hu-HU"/>
              </w:rPr>
              <w:noBreakHyphen/>
              <w:t>os CI</w:t>
            </w:r>
          </w:p>
        </w:tc>
        <w:tc>
          <w:tcPr>
            <w:tcW w:w="2410" w:type="dxa"/>
          </w:tcPr>
          <w:p w:rsidR="007D7140" w:rsidRDefault="00A207BA">
            <w:pPr>
              <w:ind w:left="142" w:firstLine="538"/>
              <w:rPr>
                <w:lang w:val="hu-HU"/>
              </w:rPr>
            </w:pPr>
            <w:r>
              <w:rPr>
                <w:lang w:val="hu-HU"/>
              </w:rPr>
              <w:t>0,36,</w:t>
            </w:r>
            <w:r>
              <w:rPr>
                <w:spacing w:val="1"/>
                <w:lang w:val="hu-HU"/>
              </w:rPr>
              <w:t xml:space="preserve"> </w:t>
            </w:r>
            <w:r>
              <w:rPr>
                <w:lang w:val="hu-HU"/>
              </w:rPr>
              <w:t>1,47</w:t>
            </w:r>
          </w:p>
        </w:tc>
        <w:tc>
          <w:tcPr>
            <w:tcW w:w="2410" w:type="dxa"/>
          </w:tcPr>
          <w:p w:rsidR="007D7140" w:rsidRDefault="00A207BA">
            <w:pPr>
              <w:ind w:left="713"/>
              <w:rPr>
                <w:lang w:val="hu-HU"/>
              </w:rPr>
            </w:pPr>
            <w:r>
              <w:rPr>
                <w:lang w:val="hu-HU"/>
              </w:rPr>
              <w:t>0,58,</w:t>
            </w:r>
            <w:r>
              <w:rPr>
                <w:spacing w:val="1"/>
                <w:lang w:val="hu-HU"/>
              </w:rPr>
              <w:t xml:space="preserve"> </w:t>
            </w:r>
            <w:r>
              <w:rPr>
                <w:lang w:val="hu-HU"/>
              </w:rPr>
              <w:t>2,01</w:t>
            </w:r>
          </w:p>
        </w:tc>
        <w:tc>
          <w:tcPr>
            <w:tcW w:w="1417" w:type="dxa"/>
          </w:tcPr>
          <w:p w:rsidR="007D7140" w:rsidRDefault="007D7140">
            <w:pPr>
              <w:ind w:left="142"/>
              <w:rPr>
                <w:lang w:val="hu-HU"/>
              </w:rPr>
            </w:pPr>
          </w:p>
        </w:tc>
      </w:tr>
    </w:tbl>
    <w:p w:rsidR="007D7140" w:rsidRDefault="007D7140">
      <w:pPr>
        <w:rPr>
          <w:lang w:val="hu-HU"/>
        </w:rPr>
      </w:pPr>
    </w:p>
    <w:p w:rsidR="007D7140" w:rsidRDefault="00A207BA">
      <w:pPr>
        <w:ind w:left="1276" w:hanging="1276"/>
        <w:rPr>
          <w:lang w:val="hu-HU"/>
        </w:rPr>
      </w:pPr>
      <w:r>
        <w:rPr>
          <w:b/>
          <w:bCs/>
          <w:lang w:val="hu-HU"/>
        </w:rPr>
        <w:t>20. táblázat: Az összes VTE és a bármely okból bekövetkező mortalitás elemzése a RE-NOVATE és a RE-MODEL ortopédsebészeti</w:t>
      </w:r>
      <w:r>
        <w:rPr>
          <w:b/>
          <w:bCs/>
          <w:spacing w:val="-1"/>
          <w:lang w:val="hu-HU"/>
        </w:rPr>
        <w:t xml:space="preserve"> </w:t>
      </w:r>
      <w:r>
        <w:rPr>
          <w:b/>
          <w:bCs/>
          <w:lang w:val="hu-HU"/>
        </w:rPr>
        <w:t>vizsgálatok</w:t>
      </w:r>
      <w:r>
        <w:rPr>
          <w:b/>
          <w:bCs/>
          <w:spacing w:val="-2"/>
          <w:lang w:val="hu-HU"/>
        </w:rPr>
        <w:t xml:space="preserve"> </w:t>
      </w:r>
      <w:r>
        <w:rPr>
          <w:b/>
          <w:bCs/>
          <w:lang w:val="hu-HU"/>
        </w:rPr>
        <w:t>kezelési</w:t>
      </w:r>
      <w:r>
        <w:rPr>
          <w:b/>
          <w:bCs/>
          <w:spacing w:val="-1"/>
          <w:lang w:val="hu-HU"/>
        </w:rPr>
        <w:t xml:space="preserve"> </w:t>
      </w:r>
      <w:r>
        <w:rPr>
          <w:b/>
          <w:bCs/>
          <w:lang w:val="hu-HU"/>
        </w:rPr>
        <w:t>időszaka</w:t>
      </w:r>
      <w:r>
        <w:rPr>
          <w:b/>
          <w:bCs/>
          <w:spacing w:val="-2"/>
          <w:lang w:val="hu-HU"/>
        </w:rPr>
        <w:t xml:space="preserve"> </w:t>
      </w:r>
      <w:r>
        <w:rPr>
          <w:b/>
          <w:bCs/>
          <w:lang w:val="hu-HU"/>
        </w:rPr>
        <w:t>alatt</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410"/>
        <w:gridCol w:w="2410"/>
        <w:gridCol w:w="1417"/>
      </w:tblGrid>
      <w:tr w:rsidR="007D7140">
        <w:trPr>
          <w:trHeight w:val="506"/>
        </w:trPr>
        <w:tc>
          <w:tcPr>
            <w:tcW w:w="2835" w:type="dxa"/>
          </w:tcPr>
          <w:p w:rsidR="007D7140" w:rsidRDefault="00A207BA">
            <w:pPr>
              <w:ind w:left="142"/>
              <w:rPr>
                <w:lang w:val="hu-HU"/>
              </w:rPr>
            </w:pPr>
            <w:r>
              <w:rPr>
                <w:lang w:val="hu-HU"/>
              </w:rPr>
              <w:t>Vizsgálat</w:t>
            </w:r>
          </w:p>
        </w:tc>
        <w:tc>
          <w:tcPr>
            <w:tcW w:w="2410" w:type="dxa"/>
          </w:tcPr>
          <w:p w:rsidR="007D7140" w:rsidRDefault="00A207BA">
            <w:pPr>
              <w:ind w:left="142"/>
              <w:rPr>
                <w:lang w:val="hu-HU"/>
              </w:rPr>
            </w:pPr>
            <w:r>
              <w:rPr>
                <w:lang w:val="hu-HU"/>
              </w:rPr>
              <w:t>Dabigatrán</w:t>
            </w:r>
            <w:r>
              <w:rPr>
                <w:spacing w:val="-6"/>
                <w:lang w:val="hu-HU"/>
              </w:rPr>
              <w:noBreakHyphen/>
            </w:r>
            <w:r>
              <w:rPr>
                <w:lang w:val="hu-HU"/>
              </w:rPr>
              <w:t>etexilát naponta egyszer 220</w:t>
            </w:r>
            <w:r>
              <w:rPr>
                <w:spacing w:val="-1"/>
                <w:lang w:val="hu-HU"/>
              </w:rPr>
              <w:t> mg</w:t>
            </w:r>
          </w:p>
        </w:tc>
        <w:tc>
          <w:tcPr>
            <w:tcW w:w="2410" w:type="dxa"/>
          </w:tcPr>
          <w:p w:rsidR="007D7140" w:rsidRDefault="00A207BA">
            <w:pPr>
              <w:ind w:left="142"/>
              <w:rPr>
                <w:lang w:val="hu-HU"/>
              </w:rPr>
            </w:pPr>
            <w:r>
              <w:rPr>
                <w:lang w:val="hu-HU"/>
              </w:rPr>
              <w:t>Dabigatrán</w:t>
            </w:r>
            <w:r>
              <w:rPr>
                <w:spacing w:val="-6"/>
                <w:lang w:val="hu-HU"/>
              </w:rPr>
              <w:noBreakHyphen/>
            </w:r>
            <w:r>
              <w:rPr>
                <w:lang w:val="hu-HU"/>
              </w:rPr>
              <w:t>etexilát naponta egyszer 150</w:t>
            </w:r>
            <w:r>
              <w:rPr>
                <w:spacing w:val="-1"/>
                <w:lang w:val="hu-HU"/>
              </w:rPr>
              <w:t> mg</w:t>
            </w:r>
          </w:p>
        </w:tc>
        <w:tc>
          <w:tcPr>
            <w:tcW w:w="1417" w:type="dxa"/>
          </w:tcPr>
          <w:p w:rsidR="007D7140" w:rsidRDefault="00A207BA">
            <w:pPr>
              <w:ind w:left="142"/>
              <w:rPr>
                <w:lang w:val="hu-HU"/>
              </w:rPr>
            </w:pPr>
            <w:r>
              <w:rPr>
                <w:lang w:val="hu-HU"/>
              </w:rPr>
              <w:t>Enoxaparin 40</w:t>
            </w:r>
            <w:r>
              <w:rPr>
                <w:spacing w:val="-1"/>
                <w:lang w:val="hu-HU"/>
              </w:rPr>
              <w:t> mg</w:t>
            </w:r>
          </w:p>
        </w:tc>
      </w:tr>
      <w:tr w:rsidR="007D7140">
        <w:trPr>
          <w:trHeight w:val="251"/>
        </w:trPr>
        <w:tc>
          <w:tcPr>
            <w:tcW w:w="9072" w:type="dxa"/>
            <w:gridSpan w:val="4"/>
          </w:tcPr>
          <w:p w:rsidR="007D7140" w:rsidRDefault="00A207BA">
            <w:pPr>
              <w:ind w:left="142"/>
              <w:rPr>
                <w:lang w:val="hu-HU"/>
              </w:rPr>
            </w:pPr>
            <w:r>
              <w:rPr>
                <w:lang w:val="hu-HU"/>
              </w:rPr>
              <w:t>RE-NOVATE</w:t>
            </w:r>
            <w:r>
              <w:rPr>
                <w:spacing w:val="-5"/>
                <w:lang w:val="hu-HU"/>
              </w:rPr>
              <w:t xml:space="preserve"> </w:t>
            </w:r>
            <w:r>
              <w:rPr>
                <w:lang w:val="hu-HU"/>
              </w:rPr>
              <w:t>(csípő)</w:t>
            </w:r>
          </w:p>
        </w:tc>
      </w:tr>
      <w:tr w:rsidR="007D7140">
        <w:trPr>
          <w:trHeight w:val="254"/>
        </w:trPr>
        <w:tc>
          <w:tcPr>
            <w:tcW w:w="2835" w:type="dxa"/>
          </w:tcPr>
          <w:p w:rsidR="007D7140" w:rsidRDefault="00A207BA">
            <w:pPr>
              <w:ind w:left="142"/>
              <w:rPr>
                <w:lang w:val="hu-HU"/>
              </w:rPr>
            </w:pPr>
            <w:r>
              <w:rPr>
                <w:lang w:val="hu-HU"/>
              </w:rPr>
              <w:t>N</w:t>
            </w:r>
          </w:p>
        </w:tc>
        <w:tc>
          <w:tcPr>
            <w:tcW w:w="2410" w:type="dxa"/>
          </w:tcPr>
          <w:p w:rsidR="007D7140" w:rsidRDefault="00A207BA">
            <w:pPr>
              <w:ind w:left="690" w:hanging="691"/>
              <w:jc w:val="center"/>
              <w:rPr>
                <w:lang w:val="hu-HU"/>
              </w:rPr>
            </w:pPr>
            <w:r>
              <w:rPr>
                <w:lang w:val="hu-HU"/>
              </w:rPr>
              <w:t>880</w:t>
            </w:r>
          </w:p>
        </w:tc>
        <w:tc>
          <w:tcPr>
            <w:tcW w:w="2410" w:type="dxa"/>
          </w:tcPr>
          <w:p w:rsidR="007D7140" w:rsidRDefault="00A207BA">
            <w:pPr>
              <w:ind w:left="692"/>
              <w:jc w:val="center"/>
              <w:rPr>
                <w:lang w:val="hu-HU"/>
              </w:rPr>
            </w:pPr>
            <w:r>
              <w:rPr>
                <w:lang w:val="hu-HU"/>
              </w:rPr>
              <w:t>874</w:t>
            </w:r>
          </w:p>
        </w:tc>
        <w:tc>
          <w:tcPr>
            <w:tcW w:w="1417" w:type="dxa"/>
          </w:tcPr>
          <w:p w:rsidR="007D7140" w:rsidRDefault="00A207BA">
            <w:pPr>
              <w:ind w:left="574" w:hanging="574"/>
              <w:jc w:val="center"/>
              <w:rPr>
                <w:lang w:val="hu-HU"/>
              </w:rPr>
            </w:pPr>
            <w:r>
              <w:rPr>
                <w:lang w:val="hu-HU"/>
              </w:rPr>
              <w:t>897</w:t>
            </w:r>
          </w:p>
        </w:tc>
      </w:tr>
      <w:tr w:rsidR="007D7140">
        <w:trPr>
          <w:trHeight w:val="251"/>
        </w:trPr>
        <w:tc>
          <w:tcPr>
            <w:tcW w:w="2835" w:type="dxa"/>
          </w:tcPr>
          <w:p w:rsidR="007D7140" w:rsidRDefault="00A207BA">
            <w:pPr>
              <w:ind w:left="142"/>
              <w:rPr>
                <w:lang w:val="hu-HU"/>
              </w:rPr>
            </w:pPr>
            <w:r>
              <w:rPr>
                <w:lang w:val="hu-HU"/>
              </w:rPr>
              <w:t>Incidencia</w:t>
            </w:r>
            <w:r>
              <w:rPr>
                <w:spacing w:val="-5"/>
                <w:lang w:val="hu-HU"/>
              </w:rPr>
              <w:t xml:space="preserve"> </w:t>
            </w:r>
            <w:r>
              <w:rPr>
                <w:lang w:val="hu-HU"/>
              </w:rPr>
              <w:t>(%)</w:t>
            </w:r>
          </w:p>
        </w:tc>
        <w:tc>
          <w:tcPr>
            <w:tcW w:w="2410" w:type="dxa"/>
          </w:tcPr>
          <w:p w:rsidR="007D7140" w:rsidRDefault="00A207BA">
            <w:pPr>
              <w:ind w:left="690" w:hanging="691"/>
              <w:jc w:val="center"/>
              <w:rPr>
                <w:lang w:val="hu-HU"/>
              </w:rPr>
            </w:pPr>
            <w:r>
              <w:rPr>
                <w:lang w:val="hu-HU"/>
              </w:rPr>
              <w:t>53</w:t>
            </w:r>
            <w:r>
              <w:rPr>
                <w:spacing w:val="-3"/>
                <w:lang w:val="hu-HU"/>
              </w:rPr>
              <w:t xml:space="preserve"> </w:t>
            </w:r>
            <w:r>
              <w:rPr>
                <w:lang w:val="hu-HU"/>
              </w:rPr>
              <w:t>(6,0)</w:t>
            </w:r>
          </w:p>
        </w:tc>
        <w:tc>
          <w:tcPr>
            <w:tcW w:w="2410" w:type="dxa"/>
          </w:tcPr>
          <w:p w:rsidR="007D7140" w:rsidRDefault="00A207BA">
            <w:pPr>
              <w:ind w:left="692"/>
              <w:jc w:val="center"/>
              <w:rPr>
                <w:lang w:val="hu-HU"/>
              </w:rPr>
            </w:pPr>
            <w:r>
              <w:rPr>
                <w:lang w:val="hu-HU"/>
              </w:rPr>
              <w:t>75</w:t>
            </w:r>
            <w:r>
              <w:rPr>
                <w:spacing w:val="-3"/>
                <w:lang w:val="hu-HU"/>
              </w:rPr>
              <w:t xml:space="preserve"> </w:t>
            </w:r>
            <w:r>
              <w:rPr>
                <w:lang w:val="hu-HU"/>
              </w:rPr>
              <w:t>(8,6)</w:t>
            </w:r>
          </w:p>
        </w:tc>
        <w:tc>
          <w:tcPr>
            <w:tcW w:w="1417" w:type="dxa"/>
          </w:tcPr>
          <w:p w:rsidR="007D7140" w:rsidRDefault="00A207BA">
            <w:pPr>
              <w:ind w:left="574" w:hanging="428"/>
              <w:jc w:val="center"/>
              <w:rPr>
                <w:lang w:val="hu-HU"/>
              </w:rPr>
            </w:pPr>
            <w:r>
              <w:rPr>
                <w:lang w:val="hu-HU"/>
              </w:rPr>
              <w:t>60</w:t>
            </w:r>
            <w:r>
              <w:rPr>
                <w:spacing w:val="-3"/>
                <w:lang w:val="hu-HU"/>
              </w:rPr>
              <w:t xml:space="preserve"> </w:t>
            </w:r>
            <w:r>
              <w:rPr>
                <w:lang w:val="hu-HU"/>
              </w:rPr>
              <w:t>(6,7)</w:t>
            </w:r>
          </w:p>
        </w:tc>
      </w:tr>
      <w:tr w:rsidR="007D7140">
        <w:trPr>
          <w:trHeight w:val="536"/>
        </w:trPr>
        <w:tc>
          <w:tcPr>
            <w:tcW w:w="2835" w:type="dxa"/>
          </w:tcPr>
          <w:p w:rsidR="007D7140" w:rsidRDefault="00A207BA">
            <w:pPr>
              <w:ind w:left="142"/>
              <w:rPr>
                <w:lang w:val="hu-HU"/>
              </w:rPr>
            </w:pPr>
            <w:r>
              <w:rPr>
                <w:lang w:val="hu-HU"/>
              </w:rPr>
              <w:t>Relatív hazárd az enoxaparinnal szemben</w:t>
            </w:r>
          </w:p>
        </w:tc>
        <w:tc>
          <w:tcPr>
            <w:tcW w:w="2410" w:type="dxa"/>
          </w:tcPr>
          <w:p w:rsidR="007D7140" w:rsidRDefault="00A207BA">
            <w:pPr>
              <w:ind w:left="690" w:hanging="690"/>
              <w:jc w:val="center"/>
              <w:rPr>
                <w:lang w:val="hu-HU"/>
              </w:rPr>
            </w:pPr>
            <w:r>
              <w:rPr>
                <w:lang w:val="hu-HU"/>
              </w:rPr>
              <w:t>0,9</w:t>
            </w:r>
          </w:p>
        </w:tc>
        <w:tc>
          <w:tcPr>
            <w:tcW w:w="2410" w:type="dxa"/>
          </w:tcPr>
          <w:p w:rsidR="007D7140" w:rsidRDefault="00A207BA">
            <w:pPr>
              <w:ind w:left="692"/>
              <w:jc w:val="center"/>
              <w:rPr>
                <w:lang w:val="hu-HU"/>
              </w:rPr>
            </w:pPr>
            <w:r>
              <w:rPr>
                <w:lang w:val="hu-HU"/>
              </w:rPr>
              <w:t>1,28</w:t>
            </w:r>
          </w:p>
        </w:tc>
        <w:tc>
          <w:tcPr>
            <w:tcW w:w="1417" w:type="dxa"/>
          </w:tcPr>
          <w:p w:rsidR="007D7140" w:rsidRDefault="007D7140">
            <w:pPr>
              <w:ind w:left="574"/>
              <w:jc w:val="center"/>
              <w:rPr>
                <w:lang w:val="hu-HU"/>
              </w:rPr>
            </w:pPr>
          </w:p>
        </w:tc>
      </w:tr>
      <w:tr w:rsidR="007D7140">
        <w:trPr>
          <w:trHeight w:val="251"/>
        </w:trPr>
        <w:tc>
          <w:tcPr>
            <w:tcW w:w="2835" w:type="dxa"/>
          </w:tcPr>
          <w:p w:rsidR="007D7140" w:rsidRDefault="00A207BA">
            <w:pPr>
              <w:ind w:left="142"/>
              <w:rPr>
                <w:lang w:val="hu-HU"/>
              </w:rPr>
            </w:pPr>
            <w:r>
              <w:rPr>
                <w:lang w:val="hu-HU"/>
              </w:rPr>
              <w:t>95%</w:t>
            </w:r>
            <w:r>
              <w:rPr>
                <w:lang w:val="hu-HU"/>
              </w:rPr>
              <w:noBreakHyphen/>
              <w:t>os CI</w:t>
            </w:r>
          </w:p>
        </w:tc>
        <w:tc>
          <w:tcPr>
            <w:tcW w:w="2410" w:type="dxa"/>
          </w:tcPr>
          <w:p w:rsidR="007D7140" w:rsidRDefault="00A207BA">
            <w:pPr>
              <w:jc w:val="center"/>
              <w:rPr>
                <w:lang w:val="hu-HU"/>
              </w:rPr>
            </w:pPr>
            <w:r>
              <w:rPr>
                <w:lang w:val="hu-HU"/>
              </w:rPr>
              <w:t>(0,63,</w:t>
            </w:r>
            <w:r>
              <w:rPr>
                <w:spacing w:val="-4"/>
                <w:lang w:val="hu-HU"/>
              </w:rPr>
              <w:t xml:space="preserve"> </w:t>
            </w:r>
            <w:r>
              <w:rPr>
                <w:lang w:val="hu-HU"/>
              </w:rPr>
              <w:t>1,29)</w:t>
            </w:r>
          </w:p>
        </w:tc>
        <w:tc>
          <w:tcPr>
            <w:tcW w:w="2410" w:type="dxa"/>
          </w:tcPr>
          <w:p w:rsidR="007D7140" w:rsidRDefault="00A207BA">
            <w:pPr>
              <w:ind w:left="692"/>
              <w:jc w:val="center"/>
              <w:rPr>
                <w:lang w:val="hu-HU"/>
              </w:rPr>
            </w:pPr>
            <w:r>
              <w:rPr>
                <w:lang w:val="hu-HU"/>
              </w:rPr>
              <w:t>(0,93,</w:t>
            </w:r>
            <w:r>
              <w:rPr>
                <w:spacing w:val="-4"/>
                <w:lang w:val="hu-HU"/>
              </w:rPr>
              <w:t xml:space="preserve"> </w:t>
            </w:r>
            <w:r>
              <w:rPr>
                <w:lang w:val="hu-HU"/>
              </w:rPr>
              <w:t>1,78)</w:t>
            </w:r>
          </w:p>
        </w:tc>
        <w:tc>
          <w:tcPr>
            <w:tcW w:w="1417" w:type="dxa"/>
          </w:tcPr>
          <w:p w:rsidR="007D7140" w:rsidRDefault="007D7140">
            <w:pPr>
              <w:ind w:left="574"/>
              <w:jc w:val="center"/>
              <w:rPr>
                <w:lang w:val="hu-HU"/>
              </w:rPr>
            </w:pPr>
          </w:p>
        </w:tc>
      </w:tr>
      <w:tr w:rsidR="007D7140">
        <w:trPr>
          <w:trHeight w:val="253"/>
        </w:trPr>
        <w:tc>
          <w:tcPr>
            <w:tcW w:w="9072" w:type="dxa"/>
            <w:gridSpan w:val="4"/>
          </w:tcPr>
          <w:p w:rsidR="007D7140" w:rsidRDefault="00A207BA">
            <w:pPr>
              <w:ind w:left="574" w:hanging="432"/>
              <w:rPr>
                <w:lang w:val="hu-HU"/>
              </w:rPr>
            </w:pPr>
            <w:r>
              <w:rPr>
                <w:lang w:val="hu-HU"/>
              </w:rPr>
              <w:t>RE-MODEL</w:t>
            </w:r>
            <w:r>
              <w:rPr>
                <w:spacing w:val="-5"/>
                <w:lang w:val="hu-HU"/>
              </w:rPr>
              <w:t xml:space="preserve"> </w:t>
            </w:r>
            <w:r>
              <w:rPr>
                <w:lang w:val="hu-HU"/>
              </w:rPr>
              <w:t>(térd)</w:t>
            </w:r>
          </w:p>
        </w:tc>
      </w:tr>
      <w:tr w:rsidR="007D7140">
        <w:trPr>
          <w:trHeight w:val="253"/>
        </w:trPr>
        <w:tc>
          <w:tcPr>
            <w:tcW w:w="2835" w:type="dxa"/>
          </w:tcPr>
          <w:p w:rsidR="007D7140" w:rsidRDefault="00A207BA">
            <w:pPr>
              <w:ind w:left="142"/>
              <w:rPr>
                <w:lang w:val="hu-HU"/>
              </w:rPr>
            </w:pPr>
            <w:r>
              <w:rPr>
                <w:lang w:val="hu-HU"/>
              </w:rPr>
              <w:t>N</w:t>
            </w:r>
          </w:p>
        </w:tc>
        <w:tc>
          <w:tcPr>
            <w:tcW w:w="2410" w:type="dxa"/>
          </w:tcPr>
          <w:p w:rsidR="007D7140" w:rsidRDefault="00A207BA">
            <w:pPr>
              <w:jc w:val="center"/>
              <w:rPr>
                <w:lang w:val="hu-HU"/>
              </w:rPr>
            </w:pPr>
            <w:r>
              <w:rPr>
                <w:lang w:val="hu-HU"/>
              </w:rPr>
              <w:t>503</w:t>
            </w:r>
          </w:p>
        </w:tc>
        <w:tc>
          <w:tcPr>
            <w:tcW w:w="2410" w:type="dxa"/>
          </w:tcPr>
          <w:p w:rsidR="007D7140" w:rsidRDefault="00A207BA">
            <w:pPr>
              <w:ind w:left="692"/>
              <w:jc w:val="center"/>
              <w:rPr>
                <w:lang w:val="hu-HU"/>
              </w:rPr>
            </w:pPr>
            <w:r>
              <w:rPr>
                <w:lang w:val="hu-HU"/>
              </w:rPr>
              <w:t>526</w:t>
            </w:r>
          </w:p>
        </w:tc>
        <w:tc>
          <w:tcPr>
            <w:tcW w:w="1417" w:type="dxa"/>
          </w:tcPr>
          <w:p w:rsidR="007D7140" w:rsidRDefault="00A207BA">
            <w:pPr>
              <w:ind w:left="574" w:hanging="428"/>
              <w:jc w:val="center"/>
              <w:rPr>
                <w:lang w:val="hu-HU"/>
              </w:rPr>
            </w:pPr>
            <w:r>
              <w:rPr>
                <w:lang w:val="hu-HU"/>
              </w:rPr>
              <w:t>512</w:t>
            </w:r>
          </w:p>
        </w:tc>
      </w:tr>
      <w:tr w:rsidR="007D7140">
        <w:trPr>
          <w:trHeight w:val="251"/>
        </w:trPr>
        <w:tc>
          <w:tcPr>
            <w:tcW w:w="2835" w:type="dxa"/>
          </w:tcPr>
          <w:p w:rsidR="007D7140" w:rsidRDefault="00A207BA">
            <w:pPr>
              <w:ind w:left="142"/>
              <w:rPr>
                <w:lang w:val="hu-HU"/>
              </w:rPr>
            </w:pPr>
            <w:r>
              <w:rPr>
                <w:lang w:val="hu-HU"/>
              </w:rPr>
              <w:t>Incidencia</w:t>
            </w:r>
            <w:r>
              <w:rPr>
                <w:spacing w:val="-5"/>
                <w:lang w:val="hu-HU"/>
              </w:rPr>
              <w:t xml:space="preserve"> </w:t>
            </w:r>
            <w:r>
              <w:rPr>
                <w:lang w:val="hu-HU"/>
              </w:rPr>
              <w:t>(%)</w:t>
            </w:r>
          </w:p>
        </w:tc>
        <w:tc>
          <w:tcPr>
            <w:tcW w:w="2410" w:type="dxa"/>
          </w:tcPr>
          <w:p w:rsidR="007D7140" w:rsidRDefault="00A207BA">
            <w:pPr>
              <w:ind w:left="-1"/>
              <w:jc w:val="center"/>
              <w:rPr>
                <w:lang w:val="hu-HU"/>
              </w:rPr>
            </w:pPr>
            <w:r>
              <w:rPr>
                <w:lang w:val="hu-HU"/>
              </w:rPr>
              <w:t>183</w:t>
            </w:r>
            <w:r>
              <w:rPr>
                <w:spacing w:val="-4"/>
                <w:lang w:val="hu-HU"/>
              </w:rPr>
              <w:t xml:space="preserve"> </w:t>
            </w:r>
            <w:r>
              <w:rPr>
                <w:lang w:val="hu-HU"/>
              </w:rPr>
              <w:t>(36,4)</w:t>
            </w:r>
          </w:p>
        </w:tc>
        <w:tc>
          <w:tcPr>
            <w:tcW w:w="2410" w:type="dxa"/>
          </w:tcPr>
          <w:p w:rsidR="007D7140" w:rsidRDefault="00A207BA">
            <w:pPr>
              <w:ind w:left="692"/>
              <w:jc w:val="center"/>
              <w:rPr>
                <w:lang w:val="hu-HU"/>
              </w:rPr>
            </w:pPr>
            <w:r>
              <w:rPr>
                <w:lang w:val="hu-HU"/>
              </w:rPr>
              <w:t>213</w:t>
            </w:r>
            <w:r>
              <w:rPr>
                <w:spacing w:val="-4"/>
                <w:lang w:val="hu-HU"/>
              </w:rPr>
              <w:t xml:space="preserve"> </w:t>
            </w:r>
            <w:r>
              <w:rPr>
                <w:lang w:val="hu-HU"/>
              </w:rPr>
              <w:t>(40,5)</w:t>
            </w:r>
          </w:p>
        </w:tc>
        <w:tc>
          <w:tcPr>
            <w:tcW w:w="1417" w:type="dxa"/>
          </w:tcPr>
          <w:p w:rsidR="007D7140" w:rsidRDefault="00A207BA">
            <w:pPr>
              <w:ind w:left="574" w:hanging="428"/>
              <w:jc w:val="center"/>
              <w:rPr>
                <w:lang w:val="hu-HU"/>
              </w:rPr>
            </w:pPr>
            <w:r>
              <w:rPr>
                <w:lang w:val="hu-HU"/>
              </w:rPr>
              <w:t>193</w:t>
            </w:r>
            <w:r>
              <w:rPr>
                <w:spacing w:val="-2"/>
                <w:lang w:val="hu-HU"/>
              </w:rPr>
              <w:t xml:space="preserve"> </w:t>
            </w:r>
            <w:r>
              <w:rPr>
                <w:lang w:val="hu-HU"/>
              </w:rPr>
              <w:t>(37,7)</w:t>
            </w:r>
          </w:p>
        </w:tc>
      </w:tr>
      <w:tr w:rsidR="007D7140">
        <w:trPr>
          <w:trHeight w:val="561"/>
        </w:trPr>
        <w:tc>
          <w:tcPr>
            <w:tcW w:w="2835" w:type="dxa"/>
          </w:tcPr>
          <w:p w:rsidR="007D7140" w:rsidRDefault="00A207BA">
            <w:pPr>
              <w:ind w:left="142"/>
              <w:rPr>
                <w:lang w:val="hu-HU"/>
              </w:rPr>
            </w:pPr>
            <w:r>
              <w:rPr>
                <w:lang w:val="hu-HU"/>
              </w:rPr>
              <w:t>Relatív</w:t>
            </w:r>
            <w:r>
              <w:rPr>
                <w:spacing w:val="-4"/>
                <w:lang w:val="hu-HU"/>
              </w:rPr>
              <w:t xml:space="preserve"> </w:t>
            </w:r>
            <w:r>
              <w:rPr>
                <w:lang w:val="hu-HU"/>
              </w:rPr>
              <w:t>hazárd</w:t>
            </w:r>
            <w:r>
              <w:rPr>
                <w:spacing w:val="-3"/>
                <w:lang w:val="hu-HU"/>
              </w:rPr>
              <w:t xml:space="preserve"> </w:t>
            </w:r>
            <w:r>
              <w:rPr>
                <w:lang w:val="hu-HU"/>
              </w:rPr>
              <w:t xml:space="preserve">az enoxaparinnal szemben </w:t>
            </w:r>
          </w:p>
        </w:tc>
        <w:tc>
          <w:tcPr>
            <w:tcW w:w="2410" w:type="dxa"/>
          </w:tcPr>
          <w:p w:rsidR="007D7140" w:rsidRDefault="00A207BA">
            <w:pPr>
              <w:ind w:left="-1" w:firstLine="1"/>
              <w:jc w:val="center"/>
              <w:rPr>
                <w:lang w:val="hu-HU"/>
              </w:rPr>
            </w:pPr>
            <w:r>
              <w:rPr>
                <w:lang w:val="hu-HU"/>
              </w:rPr>
              <w:t>0,97</w:t>
            </w:r>
          </w:p>
        </w:tc>
        <w:tc>
          <w:tcPr>
            <w:tcW w:w="2410" w:type="dxa"/>
          </w:tcPr>
          <w:p w:rsidR="007D7140" w:rsidRDefault="00A207BA">
            <w:pPr>
              <w:ind w:left="692"/>
              <w:jc w:val="center"/>
              <w:rPr>
                <w:lang w:val="hu-HU"/>
              </w:rPr>
            </w:pPr>
            <w:r>
              <w:rPr>
                <w:lang w:val="hu-HU"/>
              </w:rPr>
              <w:t>1,07</w:t>
            </w:r>
          </w:p>
        </w:tc>
        <w:tc>
          <w:tcPr>
            <w:tcW w:w="1417" w:type="dxa"/>
          </w:tcPr>
          <w:p w:rsidR="007D7140" w:rsidRDefault="007D7140">
            <w:pPr>
              <w:ind w:left="574"/>
              <w:jc w:val="center"/>
              <w:rPr>
                <w:lang w:val="hu-HU"/>
              </w:rPr>
            </w:pPr>
          </w:p>
        </w:tc>
      </w:tr>
      <w:tr w:rsidR="007D7140">
        <w:trPr>
          <w:trHeight w:val="251"/>
        </w:trPr>
        <w:tc>
          <w:tcPr>
            <w:tcW w:w="2835" w:type="dxa"/>
          </w:tcPr>
          <w:p w:rsidR="007D7140" w:rsidRDefault="00A207BA">
            <w:pPr>
              <w:ind w:left="142"/>
              <w:rPr>
                <w:lang w:val="hu-HU"/>
              </w:rPr>
            </w:pPr>
            <w:r>
              <w:rPr>
                <w:lang w:val="hu-HU"/>
              </w:rPr>
              <w:t>95%</w:t>
            </w:r>
            <w:r>
              <w:rPr>
                <w:lang w:val="hu-HU"/>
              </w:rPr>
              <w:noBreakHyphen/>
              <w:t>os CI</w:t>
            </w:r>
          </w:p>
        </w:tc>
        <w:tc>
          <w:tcPr>
            <w:tcW w:w="2410" w:type="dxa"/>
          </w:tcPr>
          <w:p w:rsidR="007D7140" w:rsidRDefault="00A207BA">
            <w:pPr>
              <w:ind w:left="690"/>
              <w:jc w:val="center"/>
              <w:rPr>
                <w:lang w:val="hu-HU"/>
              </w:rPr>
            </w:pPr>
            <w:r>
              <w:rPr>
                <w:lang w:val="hu-HU"/>
              </w:rPr>
              <w:t>(0,82,</w:t>
            </w:r>
            <w:r>
              <w:rPr>
                <w:spacing w:val="-4"/>
                <w:lang w:val="hu-HU"/>
              </w:rPr>
              <w:t xml:space="preserve"> </w:t>
            </w:r>
            <w:r>
              <w:rPr>
                <w:lang w:val="hu-HU"/>
              </w:rPr>
              <w:t>1,13)</w:t>
            </w:r>
          </w:p>
        </w:tc>
        <w:tc>
          <w:tcPr>
            <w:tcW w:w="2410" w:type="dxa"/>
          </w:tcPr>
          <w:p w:rsidR="007D7140" w:rsidRDefault="00A207BA">
            <w:pPr>
              <w:ind w:left="692"/>
              <w:jc w:val="center"/>
              <w:rPr>
                <w:lang w:val="hu-HU"/>
              </w:rPr>
            </w:pPr>
            <w:r>
              <w:rPr>
                <w:lang w:val="hu-HU"/>
              </w:rPr>
              <w:t>(0,92,</w:t>
            </w:r>
            <w:r>
              <w:rPr>
                <w:spacing w:val="-4"/>
                <w:lang w:val="hu-HU"/>
              </w:rPr>
              <w:t xml:space="preserve"> </w:t>
            </w:r>
            <w:r>
              <w:rPr>
                <w:lang w:val="hu-HU"/>
              </w:rPr>
              <w:t>1,25)</w:t>
            </w:r>
          </w:p>
        </w:tc>
        <w:tc>
          <w:tcPr>
            <w:tcW w:w="1417" w:type="dxa"/>
          </w:tcPr>
          <w:p w:rsidR="007D7140" w:rsidRDefault="007D7140">
            <w:pPr>
              <w:ind w:left="574"/>
              <w:jc w:val="center"/>
              <w:rPr>
                <w:lang w:val="hu-HU"/>
              </w:rPr>
            </w:pPr>
          </w:p>
        </w:tc>
      </w:tr>
    </w:tbl>
    <w:p w:rsidR="007D7140" w:rsidRDefault="007D7140">
      <w:pPr>
        <w:ind w:left="1276" w:hanging="1276"/>
        <w:rPr>
          <w:lang w:val="hu-HU"/>
        </w:rPr>
      </w:pPr>
    </w:p>
    <w:p w:rsidR="007D7140" w:rsidRDefault="00A207BA">
      <w:pPr>
        <w:ind w:left="1276" w:hanging="1276"/>
        <w:rPr>
          <w:lang w:val="hu-HU"/>
        </w:rPr>
      </w:pPr>
      <w:r>
        <w:rPr>
          <w:b/>
          <w:bCs/>
          <w:lang w:val="hu-HU"/>
        </w:rPr>
        <w:t>21. táblázat:</w:t>
      </w:r>
      <w:r>
        <w:rPr>
          <w:spacing w:val="1"/>
          <w:lang w:val="hu-HU"/>
        </w:rPr>
        <w:t xml:space="preserve"> </w:t>
      </w:r>
      <w:r>
        <w:rPr>
          <w:b/>
          <w:bCs/>
          <w:lang w:val="hu-HU"/>
        </w:rPr>
        <w:t>Kezelés mellett jelentkező major vérzéses események az egyes RE- MODEL</w:t>
      </w:r>
      <w:r>
        <w:rPr>
          <w:b/>
          <w:bCs/>
          <w:spacing w:val="-2"/>
          <w:lang w:val="hu-HU"/>
        </w:rPr>
        <w:t xml:space="preserve"> </w:t>
      </w:r>
      <w:r>
        <w:rPr>
          <w:b/>
          <w:bCs/>
          <w:lang w:val="hu-HU"/>
        </w:rPr>
        <w:t>és</w:t>
      </w:r>
      <w:r>
        <w:rPr>
          <w:b/>
          <w:bCs/>
          <w:spacing w:val="-1"/>
          <w:lang w:val="hu-HU"/>
        </w:rPr>
        <w:t xml:space="preserve"> </w:t>
      </w:r>
      <w:r>
        <w:rPr>
          <w:b/>
          <w:bCs/>
          <w:lang w:val="hu-HU"/>
        </w:rPr>
        <w:t>RE</w:t>
      </w:r>
      <w:r>
        <w:rPr>
          <w:b/>
          <w:bCs/>
          <w:lang w:val="hu-HU"/>
        </w:rPr>
        <w:noBreakHyphen/>
        <w:t>NOVATE</w:t>
      </w:r>
      <w:r>
        <w:rPr>
          <w:b/>
          <w:bCs/>
          <w:spacing w:val="-1"/>
          <w:lang w:val="hu-HU"/>
        </w:rPr>
        <w:t xml:space="preserve"> </w:t>
      </w:r>
      <w:r>
        <w:rPr>
          <w:b/>
          <w:bCs/>
          <w:lang w:val="hu-HU"/>
        </w:rPr>
        <w:t>vizsgálatokban</w:t>
      </w:r>
    </w:p>
    <w:p w:rsidR="007D7140" w:rsidRDefault="007D7140">
      <w:pPr>
        <w:rPr>
          <w:lang w:val="hu-HU"/>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410"/>
        <w:gridCol w:w="2410"/>
        <w:gridCol w:w="1417"/>
      </w:tblGrid>
      <w:tr w:rsidR="007D7140">
        <w:trPr>
          <w:trHeight w:val="505"/>
        </w:trPr>
        <w:tc>
          <w:tcPr>
            <w:tcW w:w="2835" w:type="dxa"/>
          </w:tcPr>
          <w:p w:rsidR="007D7140" w:rsidRDefault="00A207BA">
            <w:pPr>
              <w:ind w:left="142"/>
              <w:rPr>
                <w:lang w:val="hu-HU"/>
              </w:rPr>
            </w:pPr>
            <w:r>
              <w:rPr>
                <w:lang w:val="hu-HU"/>
              </w:rPr>
              <w:t>Vizsgálat</w:t>
            </w:r>
          </w:p>
        </w:tc>
        <w:tc>
          <w:tcPr>
            <w:tcW w:w="2410" w:type="dxa"/>
          </w:tcPr>
          <w:p w:rsidR="007D7140" w:rsidRDefault="00A207BA">
            <w:pPr>
              <w:ind w:left="142"/>
              <w:rPr>
                <w:lang w:val="hu-HU"/>
              </w:rPr>
            </w:pPr>
            <w:r>
              <w:rPr>
                <w:lang w:val="hu-HU"/>
              </w:rPr>
              <w:t>Dabigatrán</w:t>
            </w:r>
            <w:r>
              <w:rPr>
                <w:lang w:val="hu-HU"/>
              </w:rPr>
              <w:noBreakHyphen/>
              <w:t>etexilát naponta egyszer 220</w:t>
            </w:r>
            <w:r>
              <w:rPr>
                <w:spacing w:val="-1"/>
                <w:lang w:val="hu-HU"/>
              </w:rPr>
              <w:t> mg</w:t>
            </w:r>
          </w:p>
        </w:tc>
        <w:tc>
          <w:tcPr>
            <w:tcW w:w="2410" w:type="dxa"/>
          </w:tcPr>
          <w:p w:rsidR="007D7140" w:rsidRDefault="00A207BA">
            <w:pPr>
              <w:ind w:left="142"/>
              <w:rPr>
                <w:lang w:val="hu-HU"/>
              </w:rPr>
            </w:pPr>
            <w:r>
              <w:rPr>
                <w:lang w:val="hu-HU"/>
              </w:rPr>
              <w:t>Dabigatrán</w:t>
            </w:r>
            <w:r>
              <w:rPr>
                <w:lang w:val="hu-HU"/>
              </w:rPr>
              <w:noBreakHyphen/>
              <w:t>etexilát naponta egyszer 150</w:t>
            </w:r>
            <w:r>
              <w:rPr>
                <w:spacing w:val="-1"/>
                <w:lang w:val="hu-HU"/>
              </w:rPr>
              <w:t> mg</w:t>
            </w:r>
          </w:p>
        </w:tc>
        <w:tc>
          <w:tcPr>
            <w:tcW w:w="1417" w:type="dxa"/>
          </w:tcPr>
          <w:p w:rsidR="007D7140" w:rsidRDefault="00A207BA">
            <w:pPr>
              <w:ind w:left="142"/>
              <w:rPr>
                <w:lang w:val="hu-HU"/>
              </w:rPr>
            </w:pPr>
            <w:r>
              <w:rPr>
                <w:lang w:val="hu-HU"/>
              </w:rPr>
              <w:t>Enoxaparin 40</w:t>
            </w:r>
            <w:r>
              <w:rPr>
                <w:spacing w:val="-2"/>
                <w:lang w:val="hu-HU"/>
              </w:rPr>
              <w:t> mg</w:t>
            </w:r>
          </w:p>
        </w:tc>
      </w:tr>
      <w:tr w:rsidR="007D7140">
        <w:trPr>
          <w:trHeight w:val="251"/>
        </w:trPr>
        <w:tc>
          <w:tcPr>
            <w:tcW w:w="9072" w:type="dxa"/>
            <w:gridSpan w:val="4"/>
          </w:tcPr>
          <w:p w:rsidR="007D7140" w:rsidRDefault="00A207BA">
            <w:pPr>
              <w:ind w:left="142"/>
              <w:rPr>
                <w:lang w:val="hu-HU"/>
              </w:rPr>
            </w:pPr>
            <w:r>
              <w:rPr>
                <w:lang w:val="hu-HU"/>
              </w:rPr>
              <w:t>RE-NOVATE</w:t>
            </w:r>
            <w:r>
              <w:rPr>
                <w:spacing w:val="-5"/>
                <w:lang w:val="hu-HU"/>
              </w:rPr>
              <w:t xml:space="preserve"> </w:t>
            </w:r>
            <w:r>
              <w:rPr>
                <w:lang w:val="hu-HU"/>
              </w:rPr>
              <w:t>(csípő)</w:t>
            </w:r>
          </w:p>
        </w:tc>
      </w:tr>
      <w:tr w:rsidR="007D7140">
        <w:trPr>
          <w:trHeight w:val="254"/>
        </w:trPr>
        <w:tc>
          <w:tcPr>
            <w:tcW w:w="2835" w:type="dxa"/>
          </w:tcPr>
          <w:p w:rsidR="007D7140" w:rsidRDefault="00A207BA">
            <w:pPr>
              <w:ind w:left="142"/>
              <w:rPr>
                <w:lang w:val="hu-HU"/>
              </w:rPr>
            </w:pPr>
            <w:r>
              <w:rPr>
                <w:lang w:val="hu-HU"/>
              </w:rPr>
              <w:t>Kezelt</w:t>
            </w:r>
            <w:r>
              <w:rPr>
                <w:spacing w:val="-3"/>
                <w:lang w:val="hu-HU"/>
              </w:rPr>
              <w:t xml:space="preserve"> </w:t>
            </w:r>
            <w:r>
              <w:rPr>
                <w:lang w:val="hu-HU"/>
              </w:rPr>
              <w:t>betegek</w:t>
            </w:r>
            <w:r>
              <w:rPr>
                <w:spacing w:val="-3"/>
                <w:lang w:val="hu-HU"/>
              </w:rPr>
              <w:t xml:space="preserve"> </w:t>
            </w:r>
            <w:r>
              <w:rPr>
                <w:lang w:val="hu-HU"/>
              </w:rPr>
              <w:t>N</w:t>
            </w:r>
          </w:p>
        </w:tc>
        <w:tc>
          <w:tcPr>
            <w:tcW w:w="2410" w:type="dxa"/>
          </w:tcPr>
          <w:p w:rsidR="007D7140" w:rsidRDefault="00A207BA">
            <w:pPr>
              <w:ind w:left="713"/>
              <w:rPr>
                <w:lang w:val="hu-HU"/>
              </w:rPr>
            </w:pPr>
            <w:r>
              <w:rPr>
                <w:lang w:val="hu-HU"/>
              </w:rPr>
              <w:t>1146</w:t>
            </w:r>
          </w:p>
        </w:tc>
        <w:tc>
          <w:tcPr>
            <w:tcW w:w="2410" w:type="dxa"/>
          </w:tcPr>
          <w:p w:rsidR="007D7140" w:rsidRDefault="00A207BA">
            <w:pPr>
              <w:ind w:left="713"/>
              <w:rPr>
                <w:lang w:val="hu-HU"/>
              </w:rPr>
            </w:pPr>
            <w:r>
              <w:rPr>
                <w:lang w:val="hu-HU"/>
              </w:rPr>
              <w:t>1163</w:t>
            </w:r>
          </w:p>
        </w:tc>
        <w:tc>
          <w:tcPr>
            <w:tcW w:w="1417" w:type="dxa"/>
          </w:tcPr>
          <w:p w:rsidR="007D7140" w:rsidRDefault="00A207BA">
            <w:pPr>
              <w:ind w:left="584" w:hanging="297"/>
              <w:rPr>
                <w:lang w:val="hu-HU"/>
              </w:rPr>
            </w:pPr>
            <w:r>
              <w:rPr>
                <w:lang w:val="hu-HU"/>
              </w:rPr>
              <w:t>1154</w:t>
            </w:r>
          </w:p>
        </w:tc>
      </w:tr>
      <w:tr w:rsidR="007D7140">
        <w:trPr>
          <w:trHeight w:val="269"/>
        </w:trPr>
        <w:tc>
          <w:tcPr>
            <w:tcW w:w="2835" w:type="dxa"/>
          </w:tcPr>
          <w:p w:rsidR="007D7140" w:rsidRDefault="00A207BA">
            <w:pPr>
              <w:ind w:left="142"/>
              <w:rPr>
                <w:lang w:val="hu-HU"/>
              </w:rPr>
            </w:pPr>
            <w:r>
              <w:rPr>
                <w:lang w:val="hu-HU"/>
              </w:rPr>
              <w:t>A major vérzéses események (MVE</w:t>
            </w:r>
            <w:r>
              <w:rPr>
                <w:lang w:val="hu-HU"/>
              </w:rPr>
              <w:noBreakHyphen/>
              <w:t>k)</w:t>
            </w:r>
            <w:r>
              <w:rPr>
                <w:spacing w:val="-3"/>
                <w:lang w:val="hu-HU"/>
              </w:rPr>
              <w:t xml:space="preserve"> </w:t>
            </w:r>
            <w:r>
              <w:rPr>
                <w:lang w:val="hu-HU"/>
              </w:rPr>
              <w:t>száma N (%)</w:t>
            </w:r>
          </w:p>
        </w:tc>
        <w:tc>
          <w:tcPr>
            <w:tcW w:w="2410" w:type="dxa"/>
          </w:tcPr>
          <w:p w:rsidR="007D7140" w:rsidRDefault="00A207BA">
            <w:pPr>
              <w:ind w:left="713"/>
              <w:rPr>
                <w:lang w:val="hu-HU"/>
              </w:rPr>
            </w:pPr>
            <w:r>
              <w:rPr>
                <w:lang w:val="hu-HU"/>
              </w:rPr>
              <w:t>23</w:t>
            </w:r>
            <w:r>
              <w:rPr>
                <w:spacing w:val="-3"/>
                <w:lang w:val="hu-HU"/>
              </w:rPr>
              <w:t xml:space="preserve"> </w:t>
            </w:r>
            <w:r>
              <w:rPr>
                <w:lang w:val="hu-HU"/>
              </w:rPr>
              <w:t>(2,0)</w:t>
            </w:r>
          </w:p>
        </w:tc>
        <w:tc>
          <w:tcPr>
            <w:tcW w:w="2410" w:type="dxa"/>
          </w:tcPr>
          <w:p w:rsidR="007D7140" w:rsidRDefault="00A207BA">
            <w:pPr>
              <w:ind w:left="713"/>
              <w:rPr>
                <w:lang w:val="hu-HU"/>
              </w:rPr>
            </w:pPr>
            <w:r>
              <w:rPr>
                <w:lang w:val="hu-HU"/>
              </w:rPr>
              <w:t>15</w:t>
            </w:r>
            <w:r>
              <w:rPr>
                <w:spacing w:val="-3"/>
                <w:lang w:val="hu-HU"/>
              </w:rPr>
              <w:t xml:space="preserve"> </w:t>
            </w:r>
            <w:r>
              <w:rPr>
                <w:lang w:val="hu-HU"/>
              </w:rPr>
              <w:t>(1,3)</w:t>
            </w:r>
          </w:p>
        </w:tc>
        <w:tc>
          <w:tcPr>
            <w:tcW w:w="1417" w:type="dxa"/>
          </w:tcPr>
          <w:p w:rsidR="007D7140" w:rsidRDefault="00A207BA">
            <w:pPr>
              <w:ind w:left="584" w:hanging="297"/>
              <w:rPr>
                <w:lang w:val="hu-HU"/>
              </w:rPr>
            </w:pPr>
            <w:r>
              <w:rPr>
                <w:lang w:val="hu-HU"/>
              </w:rPr>
              <w:t>18</w:t>
            </w:r>
            <w:r>
              <w:rPr>
                <w:spacing w:val="-3"/>
                <w:lang w:val="hu-HU"/>
              </w:rPr>
              <w:t xml:space="preserve"> </w:t>
            </w:r>
            <w:r>
              <w:rPr>
                <w:lang w:val="hu-HU"/>
              </w:rPr>
              <w:t>(1,6)</w:t>
            </w:r>
          </w:p>
        </w:tc>
      </w:tr>
      <w:tr w:rsidR="007D7140">
        <w:trPr>
          <w:trHeight w:val="251"/>
        </w:trPr>
        <w:tc>
          <w:tcPr>
            <w:tcW w:w="9072" w:type="dxa"/>
            <w:gridSpan w:val="4"/>
          </w:tcPr>
          <w:p w:rsidR="007D7140" w:rsidRDefault="00A207BA">
            <w:pPr>
              <w:ind w:left="284" w:hanging="142"/>
              <w:rPr>
                <w:lang w:val="hu-HU"/>
              </w:rPr>
            </w:pPr>
            <w:r>
              <w:rPr>
                <w:lang w:val="hu-HU"/>
              </w:rPr>
              <w:t>RE-MODEL</w:t>
            </w:r>
            <w:r>
              <w:rPr>
                <w:spacing w:val="-5"/>
                <w:lang w:val="hu-HU"/>
              </w:rPr>
              <w:t xml:space="preserve"> </w:t>
            </w:r>
            <w:r>
              <w:rPr>
                <w:lang w:val="hu-HU"/>
              </w:rPr>
              <w:t>(térd)</w:t>
            </w:r>
          </w:p>
        </w:tc>
      </w:tr>
      <w:tr w:rsidR="007D7140">
        <w:trPr>
          <w:trHeight w:val="253"/>
        </w:trPr>
        <w:tc>
          <w:tcPr>
            <w:tcW w:w="2835" w:type="dxa"/>
          </w:tcPr>
          <w:p w:rsidR="007D7140" w:rsidRDefault="00A207BA">
            <w:pPr>
              <w:ind w:left="142"/>
              <w:rPr>
                <w:lang w:val="hu-HU"/>
              </w:rPr>
            </w:pPr>
            <w:r>
              <w:rPr>
                <w:lang w:val="hu-HU"/>
              </w:rPr>
              <w:t>Kezelt</w:t>
            </w:r>
            <w:r>
              <w:rPr>
                <w:spacing w:val="-3"/>
                <w:lang w:val="hu-HU"/>
              </w:rPr>
              <w:t xml:space="preserve"> </w:t>
            </w:r>
            <w:r>
              <w:rPr>
                <w:lang w:val="hu-HU"/>
              </w:rPr>
              <w:t>betegek</w:t>
            </w:r>
            <w:r>
              <w:rPr>
                <w:spacing w:val="-3"/>
                <w:lang w:val="hu-HU"/>
              </w:rPr>
              <w:t xml:space="preserve"> </w:t>
            </w:r>
            <w:r>
              <w:rPr>
                <w:lang w:val="hu-HU"/>
              </w:rPr>
              <w:t>N</w:t>
            </w:r>
          </w:p>
        </w:tc>
        <w:tc>
          <w:tcPr>
            <w:tcW w:w="2410" w:type="dxa"/>
          </w:tcPr>
          <w:p w:rsidR="007D7140" w:rsidRDefault="00A207BA">
            <w:pPr>
              <w:ind w:left="713"/>
              <w:rPr>
                <w:lang w:val="hu-HU"/>
              </w:rPr>
            </w:pPr>
            <w:r>
              <w:rPr>
                <w:lang w:val="hu-HU"/>
              </w:rPr>
              <w:t>679</w:t>
            </w:r>
          </w:p>
        </w:tc>
        <w:tc>
          <w:tcPr>
            <w:tcW w:w="2410" w:type="dxa"/>
          </w:tcPr>
          <w:p w:rsidR="007D7140" w:rsidRDefault="00A207BA">
            <w:pPr>
              <w:ind w:left="713"/>
              <w:rPr>
                <w:lang w:val="hu-HU"/>
              </w:rPr>
            </w:pPr>
            <w:r>
              <w:rPr>
                <w:lang w:val="hu-HU"/>
              </w:rPr>
              <w:t>703</w:t>
            </w:r>
          </w:p>
        </w:tc>
        <w:tc>
          <w:tcPr>
            <w:tcW w:w="1417" w:type="dxa"/>
          </w:tcPr>
          <w:p w:rsidR="007D7140" w:rsidRDefault="00A207BA">
            <w:pPr>
              <w:ind w:left="584" w:hanging="297"/>
              <w:rPr>
                <w:lang w:val="hu-HU"/>
              </w:rPr>
            </w:pPr>
            <w:r>
              <w:rPr>
                <w:lang w:val="hu-HU"/>
              </w:rPr>
              <w:t>694</w:t>
            </w:r>
          </w:p>
        </w:tc>
      </w:tr>
      <w:tr w:rsidR="007D7140">
        <w:trPr>
          <w:trHeight w:val="355"/>
        </w:trPr>
        <w:tc>
          <w:tcPr>
            <w:tcW w:w="2835" w:type="dxa"/>
          </w:tcPr>
          <w:p w:rsidR="007D7140" w:rsidRDefault="00A207BA">
            <w:pPr>
              <w:ind w:left="142"/>
              <w:rPr>
                <w:lang w:val="hu-HU"/>
              </w:rPr>
            </w:pPr>
            <w:r>
              <w:rPr>
                <w:lang w:val="hu-HU"/>
              </w:rPr>
              <w:t>Az</w:t>
            </w:r>
            <w:r>
              <w:rPr>
                <w:spacing w:val="-2"/>
                <w:lang w:val="hu-HU"/>
              </w:rPr>
              <w:t xml:space="preserve"> </w:t>
            </w:r>
            <w:r>
              <w:rPr>
                <w:lang w:val="hu-HU"/>
              </w:rPr>
              <w:t>MVE</w:t>
            </w:r>
            <w:r>
              <w:rPr>
                <w:lang w:val="hu-HU"/>
              </w:rPr>
              <w:noBreakHyphen/>
              <w:t>k</w:t>
            </w:r>
            <w:r>
              <w:rPr>
                <w:spacing w:val="-3"/>
                <w:lang w:val="hu-HU"/>
              </w:rPr>
              <w:t xml:space="preserve"> </w:t>
            </w:r>
            <w:r>
              <w:rPr>
                <w:lang w:val="hu-HU"/>
              </w:rPr>
              <w:t>száma N (%)</w:t>
            </w:r>
          </w:p>
        </w:tc>
        <w:tc>
          <w:tcPr>
            <w:tcW w:w="2410" w:type="dxa"/>
          </w:tcPr>
          <w:p w:rsidR="007D7140" w:rsidRDefault="00A207BA">
            <w:pPr>
              <w:ind w:left="713"/>
              <w:rPr>
                <w:lang w:val="hu-HU"/>
              </w:rPr>
            </w:pPr>
            <w:r>
              <w:rPr>
                <w:lang w:val="hu-HU"/>
              </w:rPr>
              <w:t>10</w:t>
            </w:r>
            <w:r>
              <w:rPr>
                <w:spacing w:val="-3"/>
                <w:lang w:val="hu-HU"/>
              </w:rPr>
              <w:t xml:space="preserve"> </w:t>
            </w:r>
            <w:r>
              <w:rPr>
                <w:lang w:val="hu-HU"/>
              </w:rPr>
              <w:t>(1,5)</w:t>
            </w:r>
          </w:p>
        </w:tc>
        <w:tc>
          <w:tcPr>
            <w:tcW w:w="2410" w:type="dxa"/>
          </w:tcPr>
          <w:p w:rsidR="007D7140" w:rsidRDefault="00A207BA">
            <w:pPr>
              <w:ind w:left="713"/>
              <w:rPr>
                <w:lang w:val="hu-HU"/>
              </w:rPr>
            </w:pPr>
            <w:r>
              <w:rPr>
                <w:lang w:val="hu-HU"/>
              </w:rPr>
              <w:t>9</w:t>
            </w:r>
            <w:r>
              <w:rPr>
                <w:spacing w:val="-3"/>
                <w:lang w:val="hu-HU"/>
              </w:rPr>
              <w:t xml:space="preserve"> </w:t>
            </w:r>
            <w:r>
              <w:rPr>
                <w:lang w:val="hu-HU"/>
              </w:rPr>
              <w:t>(1,3)</w:t>
            </w:r>
          </w:p>
        </w:tc>
        <w:tc>
          <w:tcPr>
            <w:tcW w:w="1417" w:type="dxa"/>
          </w:tcPr>
          <w:p w:rsidR="007D7140" w:rsidRDefault="00A207BA">
            <w:pPr>
              <w:ind w:left="584" w:hanging="297"/>
              <w:rPr>
                <w:lang w:val="hu-HU"/>
              </w:rPr>
            </w:pPr>
            <w:r>
              <w:rPr>
                <w:lang w:val="hu-HU"/>
              </w:rPr>
              <w:t>9</w:t>
            </w:r>
            <w:r>
              <w:rPr>
                <w:spacing w:val="-3"/>
                <w:lang w:val="hu-HU"/>
              </w:rPr>
              <w:t xml:space="preserve"> </w:t>
            </w:r>
            <w:r>
              <w:rPr>
                <w:lang w:val="hu-HU"/>
              </w:rPr>
              <w:t>(1,3)</w:t>
            </w:r>
          </w:p>
        </w:tc>
      </w:tr>
    </w:tbl>
    <w:p w:rsidR="007D7140" w:rsidRDefault="007D7140">
      <w:pPr>
        <w:rPr>
          <w:lang w:val="hu-HU"/>
        </w:rPr>
      </w:pPr>
    </w:p>
    <w:p w:rsidR="007D7140" w:rsidRDefault="00A207BA">
      <w:pPr>
        <w:ind w:left="7"/>
        <w:rPr>
          <w:lang w:val="hu-HU"/>
        </w:rPr>
      </w:pPr>
      <w:r>
        <w:rPr>
          <w:i/>
          <w:u w:val="single" w:color="000000"/>
          <w:lang w:val="hu-HU"/>
        </w:rPr>
        <w:t>A stroke és a szisztémás embolisatio prevenciója nem billentyű eredetű pitvarfibrillációban (NVAF) szenvedő,</w:t>
      </w:r>
      <w:r>
        <w:rPr>
          <w:i/>
          <w:lang w:val="hu-HU"/>
        </w:rPr>
        <w:t xml:space="preserve"> </w:t>
      </w:r>
      <w:r>
        <w:rPr>
          <w:i/>
          <w:u w:val="single" w:color="000000"/>
          <w:lang w:val="hu-HU"/>
        </w:rPr>
        <w:t>egy vagy több rizikótényezővel rendelkező felnőtt betegeknél</w:t>
      </w:r>
    </w:p>
    <w:p w:rsidR="007D7140" w:rsidRDefault="007D7140">
      <w:pPr>
        <w:ind w:left="7" w:right="9"/>
        <w:rPr>
          <w:lang w:val="hu-HU"/>
        </w:rPr>
      </w:pPr>
    </w:p>
    <w:p w:rsidR="007D7140" w:rsidRDefault="00A207BA">
      <w:pPr>
        <w:ind w:left="7" w:right="9"/>
        <w:rPr>
          <w:lang w:val="hu-HU"/>
        </w:rPr>
      </w:pPr>
      <w:r>
        <w:rPr>
          <w:lang w:val="hu-HU"/>
        </w:rPr>
        <w:t>A dabigatrán</w:t>
      </w:r>
      <w:r>
        <w:rPr>
          <w:lang w:val="hu-HU"/>
        </w:rPr>
        <w:noBreakHyphen/>
        <w:t>etexilát hatásosságának klinikai bizonyítéka a RE</w:t>
      </w:r>
      <w:r>
        <w:rPr>
          <w:lang w:val="hu-HU"/>
        </w:rPr>
        <w:noBreakHyphen/>
        <w:t>LY (Randomised Evaluation of Long-</w:t>
      </w:r>
      <w:r>
        <w:rPr>
          <w:lang w:val="hu-HU"/>
        </w:rPr>
        <w:lastRenderedPageBreak/>
        <w:t>term anticoagulant therapy) vizsgálatból származik, ami egy multicentrikus, nemzetközi, randomizált, paralel vizsgálati csoportos, kettős vak vizsgálat volt, amelyben a dabigatrán</w:t>
      </w:r>
      <w:r>
        <w:rPr>
          <w:lang w:val="hu-HU"/>
        </w:rPr>
        <w:noBreakHyphen/>
        <w:t>etexilát két dózisát (naponta kétszer 110 mg és 150 mg) hasonlították össze a nyílt módon adott warfarinnal olyan pitvarfibrilláló betegeknél, akiknél közepes vagy magas volt a stroke és a szisztémás embolisatio kockázata. A vizsgálat elsődleges célja az volt, hogy bizonyítsa, a dabigatrán</w:t>
      </w:r>
      <w:r>
        <w:rPr>
          <w:lang w:val="hu-HU"/>
        </w:rPr>
        <w:noBreakHyphen/>
        <w:t>etexilát nem rosszabb (non</w:t>
      </w:r>
      <w:r>
        <w:rPr>
          <w:lang w:val="hu-HU"/>
        </w:rPr>
        <w:noBreakHyphen/>
        <w:t>inferior) a warfarinnál a stroke és a szisztémás embolisatio mint összetett végpont előfordulásának csökkentésében. A statisztikai szuperioritást szintén elemezték.</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LY vizsgálatban összesen 18 113 beteget randomizáltak, az átlagéletkor 71,5 év, az átlagos CHADS</w:t>
      </w:r>
      <w:r>
        <w:rPr>
          <w:vertAlign w:val="subscript"/>
          <w:lang w:val="hu-HU"/>
        </w:rPr>
        <w:t xml:space="preserve">2 </w:t>
      </w:r>
      <w:r>
        <w:rPr>
          <w:lang w:val="hu-HU"/>
        </w:rPr>
        <w:t>(Congestive heart failure, Hypertension, Age, Diabetes, Stroke, pangásos szívelégtelenség, hypertonia, életkor, diabetes, stroke) kockázatértékelési pontszám 2,1 volt. A betegpopuláció 64%</w:t>
      </w:r>
      <w:r>
        <w:rPr>
          <w:lang w:val="hu-HU"/>
        </w:rPr>
        <w:noBreakHyphen/>
        <w:t>a volt férfi, 70%</w:t>
      </w:r>
      <w:r>
        <w:rPr>
          <w:lang w:val="hu-HU"/>
        </w:rPr>
        <w:noBreakHyphen/>
        <w:t>a fehér bőrű és 16%</w:t>
      </w:r>
      <w:r>
        <w:rPr>
          <w:lang w:val="hu-HU"/>
        </w:rPr>
        <w:noBreakHyphen/>
        <w:t>a ázsiai. A warfarin csoportba randomizált betegek között a terápiás tartomány eléréshez szükséges idő (time to therapeutic range [TTR] [INR 2</w:t>
      </w:r>
      <w:r>
        <w:rPr>
          <w:lang w:val="hu-HU"/>
        </w:rPr>
        <w:noBreakHyphen/>
        <w:t>3]) százalékos aránya 64,4% volt (átlagos TTR 67%).</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LY vizsgálat kimutatta, hogy a dabigatrán</w:t>
      </w:r>
      <w:r>
        <w:rPr>
          <w:lang w:val="hu-HU"/>
        </w:rPr>
        <w:noBreakHyphen/>
        <w:t>etexilát napi kétszer 110 mg</w:t>
      </w:r>
      <w:r>
        <w:rPr>
          <w:lang w:val="hu-HU"/>
        </w:rPr>
        <w:noBreakHyphen/>
        <w:t>os dózisban nem rosszabb (non</w:t>
      </w:r>
      <w:r>
        <w:rPr>
          <w:lang w:val="hu-HU"/>
        </w:rPr>
        <w:noBreakHyphen/>
        <w:t xml:space="preserve">inferior) a warfarinnál a stroke és a szisztémás embolisatio prevenciójában, a pitvarfibrilláló betegeknél, és alkalmazása az intracerebralis vérzés (intracerebral hemorrhage, ICH), összvérzés és jelentős vérzés csökkent kockázatával jár. A napi kétszer 150 mg-os dózis szignifikáns mértékben csökkenti az ischaemiás és vérzéses stroke, éreredetű halál, ICH és összes vérzés kockázatát a warfarinhoz viszonyítva. A jelentős vérzések aránya ezzel a dózissal a warfarin esetében észlelthez hasonló volt. </w:t>
      </w:r>
    </w:p>
    <w:p w:rsidR="007D7140" w:rsidRDefault="00A207BA">
      <w:pPr>
        <w:ind w:left="7" w:right="9"/>
        <w:rPr>
          <w:lang w:val="hu-HU"/>
        </w:rPr>
      </w:pPr>
      <w:r>
        <w:rPr>
          <w:lang w:val="hu-HU"/>
        </w:rPr>
        <w:t>A myocardialis infarctus előfordulási aránya kismértékben nőtt a dabigatrán-etexilát napi kétszeri 110 mg</w:t>
      </w:r>
      <w:r>
        <w:rPr>
          <w:lang w:val="hu-HU"/>
        </w:rPr>
        <w:noBreakHyphen/>
        <w:t>os (relatív hazárd 1,29; p = 0,0929), vagy 150 mg-os dózisa (relatív hazárd 1,27; p = 0,1240) esetén a warfarinhoz képest. Az INR gyakoribb monitorozásával a dabigatrán-etexilátnak warfarinhoz hasonlított előnyei csökkennek.</w:t>
      </w:r>
    </w:p>
    <w:p w:rsidR="007D7140" w:rsidRDefault="007D7140">
      <w:pPr>
        <w:ind w:left="7" w:right="9"/>
        <w:rPr>
          <w:lang w:val="hu-HU"/>
        </w:rPr>
      </w:pPr>
    </w:p>
    <w:p w:rsidR="007D7140" w:rsidRDefault="00A207BA">
      <w:pPr>
        <w:ind w:left="7" w:right="9"/>
        <w:rPr>
          <w:lang w:val="hu-HU"/>
        </w:rPr>
      </w:pPr>
      <w:r>
        <w:rPr>
          <w:lang w:val="hu-HU"/>
        </w:rPr>
        <w:t>A 22</w:t>
      </w:r>
      <w:r>
        <w:rPr>
          <w:lang w:val="hu-HU"/>
        </w:rPr>
        <w:noBreakHyphen/>
        <w:t>24. táblázatok a kulcsfontosságú eredmények részleteit mutatják a teljes populációban:</w:t>
      </w:r>
    </w:p>
    <w:p w:rsidR="007D7140" w:rsidRDefault="007D7140">
      <w:pPr>
        <w:ind w:left="7" w:right="9"/>
        <w:rPr>
          <w:lang w:val="hu-HU"/>
        </w:rPr>
      </w:pPr>
    </w:p>
    <w:p w:rsidR="007D7140" w:rsidRDefault="00A207BA">
      <w:pPr>
        <w:ind w:left="1276" w:hanging="1276"/>
        <w:rPr>
          <w:lang w:val="hu-HU"/>
        </w:rPr>
      </w:pPr>
      <w:r>
        <w:rPr>
          <w:b/>
          <w:bCs/>
          <w:lang w:val="hu-HU"/>
        </w:rPr>
        <w:t>22. táblázat: A stroke vagy a szisztémás embolisatio első megjelenésének analízise (elsődleges végpont) a RE-LY vizsgálati periódusában</w:t>
      </w:r>
    </w:p>
    <w:p w:rsidR="007D7140" w:rsidRDefault="007D7140">
      <w:pPr>
        <w:rPr>
          <w:lang w:val="hu-HU"/>
        </w:rPr>
      </w:pPr>
    </w:p>
    <w:tbl>
      <w:tblPr>
        <w:tblStyle w:val="TableGrid"/>
        <w:tblW w:w="9072" w:type="dxa"/>
        <w:tblInd w:w="-2" w:type="dxa"/>
        <w:tblCellMar>
          <w:top w:w="51" w:type="dxa"/>
          <w:left w:w="72" w:type="dxa"/>
          <w:right w:w="50" w:type="dxa"/>
        </w:tblCellMar>
        <w:tblLook w:val="04A0" w:firstRow="1" w:lastRow="0" w:firstColumn="1" w:lastColumn="0" w:noHBand="0" w:noVBand="1"/>
      </w:tblPr>
      <w:tblGrid>
        <w:gridCol w:w="3541"/>
        <w:gridCol w:w="2126"/>
        <w:gridCol w:w="2127"/>
        <w:gridCol w:w="1278"/>
      </w:tblGrid>
      <w:tr w:rsidR="007D7140">
        <w:trPr>
          <w:trHeight w:val="518"/>
        </w:trPr>
        <w:tc>
          <w:tcPr>
            <w:tcW w:w="354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110" w:right="131"/>
              <w:jc w:val="center"/>
              <w:rPr>
                <w:lang w:val="hu-HU"/>
              </w:rPr>
            </w:pPr>
            <w:r>
              <w:rPr>
                <w:lang w:val="hu-HU"/>
              </w:rPr>
              <w:t>Dabigatrán</w:t>
            </w:r>
            <w:r>
              <w:rPr>
                <w:lang w:val="hu-HU"/>
              </w:rPr>
              <w:noBreakHyphen/>
              <w:t>etexilát naponta kétszer 110 mg</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left="43" w:right="63"/>
              <w:jc w:val="center"/>
              <w:rPr>
                <w:lang w:val="hu-HU"/>
              </w:rPr>
            </w:pPr>
            <w:r>
              <w:rPr>
                <w:lang w:val="hu-HU"/>
              </w:rPr>
              <w:t>Dabigatrán</w:t>
            </w:r>
            <w:r>
              <w:rPr>
                <w:lang w:val="hu-HU"/>
              </w:rPr>
              <w:noBreakHyphen/>
              <w:t xml:space="preserve">etexilát naponta kétszer 150 mg </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Warfarin</w:t>
            </w:r>
          </w:p>
        </w:tc>
      </w:tr>
      <w:tr w:rsidR="007D7140">
        <w:trPr>
          <w:trHeight w:val="326"/>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Randomizált vizsgálati alanyok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7"/>
              <w:jc w:val="center"/>
              <w:rPr>
                <w:lang w:val="hu-HU"/>
              </w:rPr>
            </w:pPr>
            <w:r>
              <w:rPr>
                <w:lang w:val="hu-HU"/>
              </w:rPr>
              <w:t>6015</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2"/>
              <w:jc w:val="center"/>
              <w:rPr>
                <w:lang w:val="hu-HU"/>
              </w:rPr>
            </w:pPr>
            <w:r>
              <w:rPr>
                <w:lang w:val="hu-HU"/>
              </w:rPr>
              <w:t>6076</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15"/>
              <w:jc w:val="center"/>
              <w:rPr>
                <w:lang w:val="hu-HU"/>
              </w:rPr>
            </w:pPr>
            <w:r>
              <w:rPr>
                <w:lang w:val="hu-HU"/>
              </w:rPr>
              <w:t>6022</w:t>
            </w:r>
          </w:p>
        </w:tc>
      </w:tr>
      <w:tr w:rsidR="007D7140">
        <w:trPr>
          <w:trHeight w:val="320"/>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566" w:hanging="566"/>
              <w:rPr>
                <w:lang w:val="hu-HU"/>
              </w:rPr>
            </w:pPr>
            <w:r>
              <w:rPr>
                <w:lang w:val="hu-HU"/>
              </w:rPr>
              <w:t>Stroke és/vagy szisztémás embolisatio</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60"/>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1"/>
              <w:jc w:val="center"/>
              <w:rPr>
                <w:lang w:val="hu-HU"/>
              </w:rPr>
            </w:pPr>
            <w:r>
              <w:rPr>
                <w:lang w:val="hu-HU"/>
              </w:rPr>
              <w:t>183 (1,54)</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1"/>
              <w:jc w:val="center"/>
              <w:rPr>
                <w:lang w:val="hu-HU"/>
              </w:rPr>
            </w:pPr>
            <w:r>
              <w:rPr>
                <w:lang w:val="hu-HU"/>
              </w:rPr>
              <w:t>135 (1,12)</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18"/>
              <w:jc w:val="center"/>
              <w:rPr>
                <w:lang w:val="hu-HU"/>
              </w:rPr>
            </w:pPr>
            <w:r>
              <w:rPr>
                <w:lang w:val="hu-HU"/>
              </w:rPr>
              <w:t>203 (1,72)</w:t>
            </w:r>
          </w:p>
        </w:tc>
      </w:tr>
      <w:tr w:rsidR="007D7140">
        <w:trPr>
          <w:trHeight w:val="498"/>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60"/>
              <w:rPr>
                <w:lang w:val="hu-HU"/>
              </w:rPr>
            </w:pPr>
            <w:r>
              <w:rPr>
                <w:lang w:val="hu-HU"/>
              </w:rPr>
              <w:t>Relatív hazárd (hazard ratio) a warfarinhoz képest (95%</w:t>
            </w:r>
            <w:r>
              <w:rPr>
                <w:lang w:val="hu-HU"/>
              </w:rPr>
              <w:noBreakHyphen/>
              <w:t>os CI)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0,89 (0,73; 1,09)</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0,65 (0,52; 0,81)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60"/>
              <w:rPr>
                <w:lang w:val="hu-HU"/>
              </w:rPr>
            </w:pPr>
            <w:r>
              <w:rPr>
                <w:lang w:val="hu-HU"/>
              </w:rPr>
              <w:t>p-érték szuperioritás</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p = 0,2721</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0"/>
              <w:jc w:val="center"/>
              <w:rPr>
                <w:lang w:val="hu-HU"/>
              </w:rPr>
            </w:pPr>
            <w:r>
              <w:rPr>
                <w:lang w:val="hu-HU"/>
              </w:rPr>
              <w:t>p = 0,0001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bl>
    <w:p w:rsidR="007D7140" w:rsidRDefault="00A207BA">
      <w:pPr>
        <w:ind w:left="7" w:right="9"/>
        <w:rPr>
          <w:lang w:val="hu-HU"/>
        </w:rPr>
      </w:pPr>
      <w:r>
        <w:rPr>
          <w:lang w:val="hu-HU"/>
        </w:rPr>
        <w:t xml:space="preserve">A % az éves eseménygyakoriságra vonatkozik </w:t>
      </w:r>
    </w:p>
    <w:p w:rsidR="007D7140" w:rsidRDefault="007D7140">
      <w:pPr>
        <w:rPr>
          <w:lang w:val="hu-HU"/>
        </w:rPr>
      </w:pPr>
    </w:p>
    <w:p w:rsidR="007D7140" w:rsidRDefault="00A207BA">
      <w:pPr>
        <w:ind w:left="1276" w:hanging="1276"/>
        <w:rPr>
          <w:lang w:val="hu-HU"/>
        </w:rPr>
      </w:pPr>
      <w:r>
        <w:rPr>
          <w:b/>
          <w:bCs/>
          <w:lang w:val="hu-HU"/>
        </w:rPr>
        <w:t>23. táblázat: Az ischaemiás vagy vérzéses stroke első megjelenésének analízise a RE-LY vizsgálati periódusában</w:t>
      </w:r>
    </w:p>
    <w:p w:rsidR="007D7140" w:rsidRDefault="007D7140">
      <w:pPr>
        <w:rPr>
          <w:lang w:val="hu-HU"/>
        </w:rPr>
      </w:pPr>
    </w:p>
    <w:tbl>
      <w:tblPr>
        <w:tblStyle w:val="TableGrid"/>
        <w:tblW w:w="9072" w:type="dxa"/>
        <w:tblInd w:w="-2" w:type="dxa"/>
        <w:tblCellMar>
          <w:top w:w="51" w:type="dxa"/>
          <w:left w:w="72" w:type="dxa"/>
          <w:right w:w="60" w:type="dxa"/>
        </w:tblCellMar>
        <w:tblLook w:val="04A0" w:firstRow="1" w:lastRow="0" w:firstColumn="1" w:lastColumn="0" w:noHBand="0" w:noVBand="1"/>
      </w:tblPr>
      <w:tblGrid>
        <w:gridCol w:w="3541"/>
        <w:gridCol w:w="2126"/>
        <w:gridCol w:w="2127"/>
        <w:gridCol w:w="1278"/>
      </w:tblGrid>
      <w:tr w:rsidR="007D7140">
        <w:trPr>
          <w:trHeight w:val="516"/>
        </w:trPr>
        <w:tc>
          <w:tcPr>
            <w:tcW w:w="354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89" w:right="102"/>
              <w:jc w:val="center"/>
              <w:rPr>
                <w:lang w:val="hu-HU"/>
              </w:rPr>
            </w:pPr>
            <w:r>
              <w:rPr>
                <w:lang w:val="hu-HU"/>
              </w:rPr>
              <w:t>Dabigatrán</w:t>
            </w:r>
            <w:r>
              <w:rPr>
                <w:lang w:val="hu-HU"/>
              </w:rPr>
              <w:noBreakHyphen/>
              <w:t xml:space="preserve">etexilát naponta kétszer 110 mg </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left="89" w:right="102"/>
              <w:jc w:val="center"/>
              <w:rPr>
                <w:lang w:val="hu-HU"/>
              </w:rPr>
            </w:pPr>
            <w:r>
              <w:rPr>
                <w:lang w:val="hu-HU"/>
              </w:rPr>
              <w:t>Dabigatrán</w:t>
            </w:r>
            <w:r>
              <w:rPr>
                <w:lang w:val="hu-HU"/>
              </w:rPr>
              <w:noBreakHyphen/>
              <w:t xml:space="preserve">etexilát naponta kétszer 150 mg </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10"/>
              <w:jc w:val="center"/>
              <w:rPr>
                <w:lang w:val="hu-HU"/>
              </w:rPr>
            </w:pPr>
            <w:r>
              <w:rPr>
                <w:lang w:val="hu-HU"/>
              </w:rPr>
              <w:t>Warfarin</w:t>
            </w:r>
          </w:p>
        </w:tc>
      </w:tr>
      <w:tr w:rsidR="007D7140">
        <w:trPr>
          <w:trHeight w:val="357"/>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Randomizált vizsgálati alanyok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0"/>
              <w:jc w:val="center"/>
              <w:rPr>
                <w:lang w:val="hu-HU"/>
              </w:rPr>
            </w:pPr>
            <w:r>
              <w:rPr>
                <w:lang w:val="hu-HU"/>
              </w:rPr>
              <w:t>6015</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0"/>
              <w:jc w:val="center"/>
              <w:rPr>
                <w:lang w:val="hu-HU"/>
              </w:rPr>
            </w:pPr>
            <w:r>
              <w:rPr>
                <w:lang w:val="hu-HU"/>
              </w:rPr>
              <w:t>6076</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10"/>
              <w:jc w:val="center"/>
              <w:rPr>
                <w:lang w:val="hu-HU"/>
              </w:rPr>
            </w:pPr>
            <w:r>
              <w:rPr>
                <w:lang w:val="hu-HU"/>
              </w:rPr>
              <w:t>6022</w:t>
            </w: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Stroke</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tabs>
                <w:tab w:val="left" w:pos="351"/>
                <w:tab w:val="left" w:pos="492"/>
              </w:tabs>
              <w:ind w:left="131" w:firstLine="220"/>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171 (1,44)</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123 (1,01)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8"/>
              <w:jc w:val="center"/>
              <w:rPr>
                <w:lang w:val="hu-HU"/>
              </w:rPr>
            </w:pPr>
            <w:r>
              <w:rPr>
                <w:lang w:val="hu-HU"/>
              </w:rPr>
              <w:t>187 (1,59)</w:t>
            </w:r>
          </w:p>
        </w:tc>
      </w:tr>
      <w:tr w:rsidR="007D7140">
        <w:trPr>
          <w:trHeight w:val="648"/>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lastRenderedPageBreak/>
              <w:t>Relatív hazárd (hazard ratio) a warfarinhoz képest (95%</w:t>
            </w:r>
            <w:r>
              <w:rPr>
                <w:lang w:val="hu-HU"/>
              </w:rPr>
              <w:noBreakHyphen/>
              <w:t>os CI)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0,91 (0,74, 1,12)</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0,64 (0,51, 0,81)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p-érték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0,3553</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0.0001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Szisztémás embolisatio</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131" w:firstLine="220"/>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15 (0,13)</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13 (0,11)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8"/>
              <w:jc w:val="center"/>
              <w:rPr>
                <w:lang w:val="hu-HU"/>
              </w:rPr>
            </w:pPr>
            <w:r>
              <w:rPr>
                <w:lang w:val="hu-HU"/>
              </w:rPr>
              <w:t>21 (0,18)</w:t>
            </w:r>
          </w:p>
        </w:tc>
      </w:tr>
      <w:tr w:rsidR="007D7140">
        <w:trPr>
          <w:trHeight w:val="533"/>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Relatív hazárd (hazard ratio) a warfarinhoz képest (95%</w:t>
            </w:r>
            <w:r>
              <w:rPr>
                <w:lang w:val="hu-HU"/>
              </w:rPr>
              <w:noBreakHyphen/>
              <w:t>os CI)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0,71 (0,37, 1,38)</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0,61 (0,30, 1,21)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566" w:hanging="215"/>
              <w:rPr>
                <w:lang w:val="hu-HU"/>
              </w:rPr>
            </w:pPr>
            <w:r>
              <w:rPr>
                <w:lang w:val="hu-HU"/>
              </w:rPr>
              <w:t>p-érték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0,3099</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0,1582</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Ischaemiás stroke</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152 (1,28)</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104 (0,86)</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8"/>
              <w:jc w:val="center"/>
              <w:rPr>
                <w:lang w:val="hu-HU"/>
              </w:rPr>
            </w:pPr>
            <w:r>
              <w:rPr>
                <w:lang w:val="hu-HU"/>
              </w:rPr>
              <w:t>134 (1,14)</w:t>
            </w:r>
          </w:p>
        </w:tc>
      </w:tr>
      <w:tr w:rsidR="007D7140">
        <w:trPr>
          <w:trHeight w:val="51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Relatív hazárd (hazard ratio) a warfarinhoz képest (95%</w:t>
            </w:r>
            <w:r>
              <w:rPr>
                <w:lang w:val="hu-HU"/>
              </w:rPr>
              <w:noBreakHyphen/>
              <w:t xml:space="preserve">os CI)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1,13 (0,89, 1,42)</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0,76 (0,59, 0,98)</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p-érték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0,3138</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0,0351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Haemorrhagiás stroke</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14 (0,12)</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3"/>
              <w:jc w:val="center"/>
              <w:rPr>
                <w:lang w:val="hu-HU"/>
              </w:rPr>
            </w:pPr>
            <w:r>
              <w:rPr>
                <w:lang w:val="hu-HU"/>
              </w:rPr>
              <w:t>12 (0,10)</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8"/>
              <w:jc w:val="center"/>
              <w:rPr>
                <w:lang w:val="hu-HU"/>
              </w:rPr>
            </w:pPr>
            <w:r>
              <w:rPr>
                <w:lang w:val="hu-HU"/>
              </w:rPr>
              <w:t>45 (0,38)</w:t>
            </w:r>
          </w:p>
        </w:tc>
      </w:tr>
      <w:tr w:rsidR="007D7140">
        <w:trPr>
          <w:trHeight w:val="52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Relatív hazárd (hazard ratio) a warfarinhoz képest (95%</w:t>
            </w:r>
            <w:r>
              <w:rPr>
                <w:lang w:val="hu-HU"/>
              </w:rPr>
              <w:noBreakHyphen/>
              <w:t>os CI)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0,31 (0,17, 0,56)</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1"/>
              <w:jc w:val="center"/>
              <w:rPr>
                <w:lang w:val="hu-HU"/>
              </w:rPr>
            </w:pPr>
            <w:r>
              <w:rPr>
                <w:lang w:val="hu-HU"/>
              </w:rPr>
              <w:t>0,26 (0,14, 0,49)</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p</w:t>
            </w:r>
            <w:r>
              <w:rPr>
                <w:lang w:val="hu-HU"/>
              </w:rPr>
              <w:noBreakHyphen/>
              <w:t>érték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12"/>
              <w:jc w:val="center"/>
              <w:rPr>
                <w:lang w:val="hu-HU"/>
              </w:rPr>
            </w:pPr>
            <w:r>
              <w:rPr>
                <w:lang w:val="hu-HU"/>
              </w:rPr>
              <w:t>0,0001</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10"/>
              <w:jc w:val="center"/>
              <w:rPr>
                <w:lang w:val="hu-HU"/>
              </w:rPr>
            </w:pPr>
            <w:r>
              <w:rPr>
                <w:lang w:val="hu-HU"/>
              </w:rPr>
              <w:t>&lt; 0,0001</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bl>
    <w:p w:rsidR="007D7140" w:rsidRDefault="00A207BA">
      <w:pPr>
        <w:ind w:left="7" w:right="9"/>
        <w:rPr>
          <w:lang w:val="hu-HU"/>
        </w:rPr>
      </w:pPr>
      <w:r>
        <w:rPr>
          <w:lang w:val="hu-HU"/>
        </w:rPr>
        <w:t xml:space="preserve">A % az éves eseménygyakoriságra vonatkozik </w:t>
      </w:r>
    </w:p>
    <w:p w:rsidR="007D7140" w:rsidRDefault="007D7140">
      <w:pPr>
        <w:ind w:left="7" w:right="9"/>
        <w:rPr>
          <w:lang w:val="hu-HU"/>
        </w:rPr>
      </w:pPr>
    </w:p>
    <w:p w:rsidR="007D7140" w:rsidRDefault="00A207BA">
      <w:pPr>
        <w:ind w:left="1276" w:hanging="1264"/>
        <w:rPr>
          <w:lang w:val="hu-HU"/>
        </w:rPr>
      </w:pPr>
      <w:r>
        <w:rPr>
          <w:b/>
          <w:bCs/>
          <w:lang w:val="hu-HU"/>
        </w:rPr>
        <w:t>24. táblázat: Az összes és a cardiovascularis túlélés analízise a RE-LY vizsgálat vizsgálati periódusában</w:t>
      </w:r>
    </w:p>
    <w:p w:rsidR="007D7140" w:rsidRDefault="007D7140">
      <w:pPr>
        <w:rPr>
          <w:lang w:val="hu-HU"/>
        </w:rPr>
      </w:pPr>
    </w:p>
    <w:tbl>
      <w:tblPr>
        <w:tblStyle w:val="TableGrid"/>
        <w:tblW w:w="9072" w:type="dxa"/>
        <w:tblInd w:w="-2" w:type="dxa"/>
        <w:tblCellMar>
          <w:top w:w="51" w:type="dxa"/>
          <w:left w:w="72" w:type="dxa"/>
          <w:right w:w="45" w:type="dxa"/>
        </w:tblCellMar>
        <w:tblLook w:val="04A0" w:firstRow="1" w:lastRow="0" w:firstColumn="1" w:lastColumn="0" w:noHBand="0" w:noVBand="1"/>
      </w:tblPr>
      <w:tblGrid>
        <w:gridCol w:w="3541"/>
        <w:gridCol w:w="2126"/>
        <w:gridCol w:w="2127"/>
        <w:gridCol w:w="1278"/>
      </w:tblGrid>
      <w:tr w:rsidR="007D7140">
        <w:trPr>
          <w:trHeight w:val="516"/>
        </w:trPr>
        <w:tc>
          <w:tcPr>
            <w:tcW w:w="354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left="89" w:right="116"/>
              <w:jc w:val="center"/>
              <w:rPr>
                <w:lang w:val="hu-HU"/>
              </w:rPr>
            </w:pPr>
            <w:r>
              <w:rPr>
                <w:lang w:val="hu-HU"/>
              </w:rPr>
              <w:t xml:space="preserve">Dabigatrán-etexilát naponta kétszer 110 mg </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left="89" w:right="116"/>
              <w:jc w:val="center"/>
              <w:rPr>
                <w:lang w:val="hu-HU"/>
              </w:rPr>
            </w:pPr>
            <w:r>
              <w:rPr>
                <w:lang w:val="hu-HU"/>
              </w:rPr>
              <w:t xml:space="preserve">Dabigatrán-etexilát naponta kétszer 150 mg </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24"/>
              <w:jc w:val="center"/>
              <w:rPr>
                <w:lang w:val="hu-HU"/>
              </w:rPr>
            </w:pPr>
            <w:r>
              <w:rPr>
                <w:lang w:val="hu-HU"/>
              </w:rPr>
              <w:t>Warfarin</w:t>
            </w:r>
          </w:p>
        </w:tc>
      </w:tr>
      <w:tr w:rsidR="007D7140">
        <w:trPr>
          <w:trHeight w:val="355"/>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Randomizált vizsgálati alanyok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9"/>
              <w:jc w:val="center"/>
              <w:rPr>
                <w:lang w:val="hu-HU"/>
              </w:rPr>
            </w:pPr>
            <w:r>
              <w:rPr>
                <w:lang w:val="hu-HU"/>
              </w:rPr>
              <w:t xml:space="preserve">6015 </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4"/>
              <w:jc w:val="center"/>
              <w:rPr>
                <w:lang w:val="hu-HU"/>
              </w:rPr>
            </w:pPr>
            <w:r>
              <w:rPr>
                <w:lang w:val="hu-HU"/>
              </w:rPr>
              <w:t>6076</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24"/>
              <w:jc w:val="center"/>
              <w:rPr>
                <w:lang w:val="hu-HU"/>
              </w:rPr>
            </w:pPr>
            <w:r>
              <w:rPr>
                <w:lang w:val="hu-HU"/>
              </w:rPr>
              <w:t xml:space="preserve">6022 </w:t>
            </w: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Bármely okból bekövetkező halálozás</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8"/>
              <w:jc w:val="center"/>
              <w:rPr>
                <w:lang w:val="hu-HU"/>
              </w:rPr>
            </w:pPr>
            <w:r>
              <w:rPr>
                <w:lang w:val="hu-HU"/>
              </w:rPr>
              <w:t>446 (3,75)</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8"/>
              <w:jc w:val="center"/>
              <w:rPr>
                <w:lang w:val="hu-HU"/>
              </w:rPr>
            </w:pPr>
            <w:r>
              <w:rPr>
                <w:lang w:val="hu-HU"/>
              </w:rPr>
              <w:t>438 (3,64)</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23"/>
              <w:jc w:val="center"/>
              <w:rPr>
                <w:lang w:val="hu-HU"/>
              </w:rPr>
            </w:pPr>
            <w:r>
              <w:rPr>
                <w:lang w:val="hu-HU"/>
              </w:rPr>
              <w:t>487 (4,13)</w:t>
            </w:r>
          </w:p>
        </w:tc>
      </w:tr>
      <w:tr w:rsidR="007D7140">
        <w:trPr>
          <w:trHeight w:val="553"/>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Relatív hazárd (hazard ratio) a warfarinhoz képest (95%</w:t>
            </w:r>
            <w:r>
              <w:rPr>
                <w:lang w:val="hu-HU"/>
              </w:rPr>
              <w:noBreakHyphen/>
              <w:t>os CI)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5"/>
              <w:jc w:val="center"/>
              <w:rPr>
                <w:lang w:val="hu-HU"/>
              </w:rPr>
            </w:pPr>
            <w:r>
              <w:rPr>
                <w:lang w:val="hu-HU"/>
              </w:rPr>
              <w:t>0,91 (0,80, 1,03)</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5"/>
              <w:jc w:val="center"/>
              <w:rPr>
                <w:lang w:val="hu-HU"/>
              </w:rPr>
            </w:pPr>
            <w:r>
              <w:rPr>
                <w:lang w:val="hu-HU"/>
              </w:rPr>
              <w:t>0,88 (0,77, 1,00)</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p-érték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7"/>
              <w:jc w:val="center"/>
              <w:rPr>
                <w:lang w:val="hu-HU"/>
              </w:rPr>
            </w:pPr>
            <w:r>
              <w:rPr>
                <w:lang w:val="hu-HU"/>
              </w:rPr>
              <w:t>0,1308</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7"/>
              <w:jc w:val="center"/>
              <w:rPr>
                <w:lang w:val="hu-HU"/>
              </w:rPr>
            </w:pPr>
            <w:r>
              <w:rPr>
                <w:lang w:val="hu-HU"/>
              </w:rPr>
              <w:t>0,0517</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Vascularis eredetű halálozás</w:t>
            </w:r>
          </w:p>
        </w:tc>
        <w:tc>
          <w:tcPr>
            <w:tcW w:w="2126"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127"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Incidencia (%)</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8"/>
              <w:jc w:val="center"/>
              <w:rPr>
                <w:lang w:val="hu-HU"/>
              </w:rPr>
            </w:pPr>
            <w:r>
              <w:rPr>
                <w:lang w:val="hu-HU"/>
              </w:rPr>
              <w:t>289 (2,43)</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8"/>
              <w:jc w:val="center"/>
              <w:rPr>
                <w:lang w:val="hu-HU"/>
              </w:rPr>
            </w:pPr>
            <w:r>
              <w:rPr>
                <w:lang w:val="hu-HU"/>
              </w:rPr>
              <w:t>274 (2,28)</w:t>
            </w:r>
          </w:p>
        </w:tc>
        <w:tc>
          <w:tcPr>
            <w:tcW w:w="1278" w:type="dxa"/>
            <w:tcBorders>
              <w:top w:val="single" w:sz="4" w:space="0" w:color="000000"/>
              <w:left w:val="single" w:sz="4" w:space="0" w:color="000000"/>
              <w:bottom w:val="single" w:sz="4" w:space="0" w:color="000000"/>
              <w:right w:val="single" w:sz="4" w:space="0" w:color="000000"/>
            </w:tcBorders>
          </w:tcPr>
          <w:p w:rsidR="007D7140" w:rsidRDefault="00A207BA">
            <w:pPr>
              <w:ind w:right="23"/>
              <w:jc w:val="center"/>
              <w:rPr>
                <w:lang w:val="hu-HU"/>
              </w:rPr>
            </w:pPr>
            <w:r>
              <w:rPr>
                <w:lang w:val="hu-HU"/>
              </w:rPr>
              <w:t>317 (2,69)</w:t>
            </w:r>
          </w:p>
        </w:tc>
      </w:tr>
      <w:tr w:rsidR="007D7140">
        <w:trPr>
          <w:trHeight w:val="548"/>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Relatív hazárd (hazard ratio) a warfarinhoz képest (95%</w:t>
            </w:r>
            <w:r>
              <w:rPr>
                <w:lang w:val="hu-HU"/>
              </w:rPr>
              <w:noBreakHyphen/>
              <w:t>os CI)</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5"/>
              <w:jc w:val="center"/>
              <w:rPr>
                <w:lang w:val="hu-HU"/>
              </w:rPr>
            </w:pPr>
            <w:r>
              <w:rPr>
                <w:lang w:val="hu-HU"/>
              </w:rPr>
              <w:t>0,90 (0,77, 1,06)</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5"/>
              <w:jc w:val="center"/>
              <w:rPr>
                <w:lang w:val="hu-HU"/>
              </w:rPr>
            </w:pPr>
            <w:r>
              <w:rPr>
                <w:lang w:val="hu-HU"/>
              </w:rPr>
              <w:t>0,85 (0,72, 0,99)</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541" w:type="dxa"/>
            <w:tcBorders>
              <w:top w:val="single" w:sz="4" w:space="0" w:color="000000"/>
              <w:left w:val="single" w:sz="4" w:space="0" w:color="000000"/>
              <w:bottom w:val="single" w:sz="4" w:space="0" w:color="000000"/>
              <w:right w:val="single" w:sz="4" w:space="0" w:color="000000"/>
            </w:tcBorders>
          </w:tcPr>
          <w:p w:rsidR="007D7140" w:rsidRDefault="00A207BA">
            <w:pPr>
              <w:ind w:left="351"/>
              <w:rPr>
                <w:lang w:val="hu-HU"/>
              </w:rPr>
            </w:pPr>
            <w:r>
              <w:rPr>
                <w:lang w:val="hu-HU"/>
              </w:rPr>
              <w:t>p</w:t>
            </w:r>
            <w:r>
              <w:rPr>
                <w:lang w:val="hu-HU"/>
              </w:rPr>
              <w:noBreakHyphen/>
              <w:t>érték</w:t>
            </w:r>
          </w:p>
        </w:tc>
        <w:tc>
          <w:tcPr>
            <w:tcW w:w="2126" w:type="dxa"/>
            <w:tcBorders>
              <w:top w:val="single" w:sz="4" w:space="0" w:color="000000"/>
              <w:left w:val="single" w:sz="4" w:space="0" w:color="000000"/>
              <w:bottom w:val="single" w:sz="4" w:space="0" w:color="000000"/>
              <w:right w:val="single" w:sz="4" w:space="0" w:color="000000"/>
            </w:tcBorders>
          </w:tcPr>
          <w:p w:rsidR="007D7140" w:rsidRDefault="00A207BA">
            <w:pPr>
              <w:ind w:right="27"/>
              <w:jc w:val="center"/>
              <w:rPr>
                <w:lang w:val="hu-HU"/>
              </w:rPr>
            </w:pPr>
            <w:r>
              <w:rPr>
                <w:lang w:val="hu-HU"/>
              </w:rPr>
              <w:t>0,2081</w:t>
            </w:r>
          </w:p>
        </w:tc>
        <w:tc>
          <w:tcPr>
            <w:tcW w:w="2127" w:type="dxa"/>
            <w:tcBorders>
              <w:top w:val="single" w:sz="4" w:space="0" w:color="000000"/>
              <w:left w:val="single" w:sz="4" w:space="0" w:color="000000"/>
              <w:bottom w:val="single" w:sz="4" w:space="0" w:color="000000"/>
              <w:right w:val="single" w:sz="4" w:space="0" w:color="000000"/>
            </w:tcBorders>
          </w:tcPr>
          <w:p w:rsidR="007D7140" w:rsidRDefault="00A207BA">
            <w:pPr>
              <w:ind w:right="27"/>
              <w:jc w:val="center"/>
              <w:rPr>
                <w:lang w:val="hu-HU"/>
              </w:rPr>
            </w:pPr>
            <w:r>
              <w:rPr>
                <w:lang w:val="hu-HU"/>
              </w:rPr>
              <w:t>0,0430</w:t>
            </w:r>
          </w:p>
        </w:tc>
        <w:tc>
          <w:tcPr>
            <w:tcW w:w="127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bl>
    <w:p w:rsidR="007D7140" w:rsidRDefault="00A207BA">
      <w:pPr>
        <w:ind w:left="7" w:right="9"/>
        <w:rPr>
          <w:lang w:val="hu-HU"/>
        </w:rPr>
      </w:pPr>
      <w:r>
        <w:rPr>
          <w:lang w:val="hu-HU"/>
        </w:rPr>
        <w:t xml:space="preserve">A % az éves eseménygyakoriságra vonatkozik. </w:t>
      </w:r>
    </w:p>
    <w:p w:rsidR="007D7140" w:rsidRDefault="007D7140">
      <w:pPr>
        <w:ind w:left="7" w:right="9"/>
        <w:rPr>
          <w:lang w:val="hu-HU"/>
        </w:rPr>
      </w:pPr>
    </w:p>
    <w:p w:rsidR="007D7140" w:rsidRDefault="00A207BA">
      <w:pPr>
        <w:ind w:left="7" w:right="9"/>
        <w:rPr>
          <w:lang w:val="hu-HU"/>
        </w:rPr>
      </w:pPr>
      <w:r>
        <w:rPr>
          <w:lang w:val="hu-HU"/>
        </w:rPr>
        <w:t>A 25</w:t>
      </w:r>
      <w:r>
        <w:rPr>
          <w:lang w:val="hu-HU"/>
        </w:rPr>
        <w:noBreakHyphen/>
        <w:t>26. táblázatok az elsődleges hatásossági és biztonságossági végpont eredményeit mutatják a releváns alpopulációban:</w:t>
      </w:r>
    </w:p>
    <w:p w:rsidR="007D7140" w:rsidRDefault="007D7140">
      <w:pPr>
        <w:ind w:left="7" w:right="9"/>
        <w:rPr>
          <w:lang w:val="hu-HU"/>
        </w:rPr>
      </w:pPr>
    </w:p>
    <w:p w:rsidR="007D7140" w:rsidRDefault="00A207BA">
      <w:pPr>
        <w:ind w:left="7" w:right="9"/>
        <w:rPr>
          <w:lang w:val="hu-HU"/>
        </w:rPr>
      </w:pPr>
      <w:r>
        <w:rPr>
          <w:lang w:val="hu-HU"/>
        </w:rPr>
        <w:t>Az elsődleges végpont, a stroke és a szisztémás embolisatio esetén nem találtak alcsoportonként (pl. életkor, testtömeg, nem, vesefunkció, etnikai származás stb.) eltérő relatív hazárdokat a warfarinhoz hasonlítva.</w:t>
      </w:r>
    </w:p>
    <w:p w:rsidR="007D7140" w:rsidRDefault="007D7140">
      <w:pPr>
        <w:ind w:left="7" w:right="9"/>
        <w:rPr>
          <w:lang w:val="hu-HU"/>
        </w:rPr>
      </w:pPr>
    </w:p>
    <w:p w:rsidR="007D7140" w:rsidRDefault="00A207BA">
      <w:pPr>
        <w:keepNext/>
        <w:widowControl/>
        <w:tabs>
          <w:tab w:val="center" w:pos="5080"/>
        </w:tabs>
        <w:ind w:left="-3"/>
        <w:rPr>
          <w:b/>
          <w:bCs/>
          <w:lang w:val="hu-HU"/>
        </w:rPr>
      </w:pPr>
      <w:r>
        <w:rPr>
          <w:b/>
          <w:bCs/>
          <w:lang w:val="hu-HU"/>
        </w:rPr>
        <w:lastRenderedPageBreak/>
        <w:t>25. táblázat: A stroke/szisztémás embolisatiora vonatkozó relatív hazárd és 95%</w:t>
      </w:r>
      <w:r>
        <w:rPr>
          <w:b/>
          <w:bCs/>
          <w:lang w:val="hu-HU"/>
        </w:rPr>
        <w:noBreakHyphen/>
        <w:t>os CI alcsoportok szerint</w:t>
      </w:r>
    </w:p>
    <w:p w:rsidR="007D7140" w:rsidRDefault="007D7140">
      <w:pPr>
        <w:keepNext/>
        <w:widowControl/>
        <w:tabs>
          <w:tab w:val="center" w:pos="5080"/>
        </w:tabs>
        <w:ind w:left="-3"/>
        <w:rPr>
          <w:lang w:val="hu-HU"/>
        </w:rPr>
      </w:pPr>
    </w:p>
    <w:tbl>
      <w:tblPr>
        <w:tblStyle w:val="TableGrid"/>
        <w:tblW w:w="9060" w:type="dxa"/>
        <w:tblInd w:w="5" w:type="dxa"/>
        <w:tblCellMar>
          <w:top w:w="14" w:type="dxa"/>
          <w:left w:w="5" w:type="dxa"/>
          <w:right w:w="5" w:type="dxa"/>
        </w:tblCellMar>
        <w:tblLook w:val="04A0" w:firstRow="1" w:lastRow="0" w:firstColumn="1" w:lastColumn="0" w:noHBand="0" w:noVBand="1"/>
      </w:tblPr>
      <w:tblGrid>
        <w:gridCol w:w="3251"/>
        <w:gridCol w:w="3260"/>
        <w:gridCol w:w="2549"/>
      </w:tblGrid>
      <w:tr w:rsidR="007D7140">
        <w:trPr>
          <w:trHeight w:val="516"/>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103"/>
              <w:rPr>
                <w:lang w:val="hu-HU"/>
              </w:rPr>
            </w:pPr>
            <w:r>
              <w:rPr>
                <w:lang w:val="hu-HU"/>
              </w:rPr>
              <w:t>Végpont</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101"/>
              <w:jc w:val="center"/>
              <w:rPr>
                <w:lang w:val="hu-HU"/>
              </w:rPr>
            </w:pPr>
            <w:r>
              <w:rPr>
                <w:lang w:val="hu-HU"/>
              </w:rPr>
              <w:t>Dabigatrán</w:t>
            </w:r>
            <w:r>
              <w:rPr>
                <w:lang w:val="hu-HU"/>
              </w:rPr>
              <w:noBreakHyphen/>
              <w:t>etexilát naponta kétszer 110 mg vs. warfarin</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103"/>
              <w:jc w:val="center"/>
              <w:rPr>
                <w:lang w:val="hu-HU"/>
              </w:rPr>
            </w:pPr>
            <w:r>
              <w:rPr>
                <w:lang w:val="hu-HU"/>
              </w:rPr>
              <w:t>Dabigatrán</w:t>
            </w:r>
            <w:r>
              <w:rPr>
                <w:lang w:val="hu-HU"/>
              </w:rPr>
              <w:noBreakHyphen/>
              <w:t>etexilát naponta kétszer 150 mg vs. warfarin</w:t>
            </w:r>
          </w:p>
        </w:tc>
      </w:tr>
      <w:tr w:rsidR="007D7140">
        <w:trPr>
          <w:trHeight w:val="264"/>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ind w:left="103"/>
              <w:rPr>
                <w:lang w:val="hu-HU"/>
              </w:rPr>
            </w:pPr>
            <w:r>
              <w:rPr>
                <w:lang w:val="hu-HU"/>
              </w:rPr>
              <w:t>Életkor (év)</w:t>
            </w:r>
          </w:p>
        </w:tc>
        <w:tc>
          <w:tcPr>
            <w:tcW w:w="3260"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54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&lt; 65</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1,10 (0,64, 1,87)</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0,51 (0,26, 0,98)</w:t>
            </w:r>
          </w:p>
        </w:tc>
      </w:tr>
      <w:tr w:rsidR="007D7140">
        <w:trPr>
          <w:trHeight w:val="264"/>
        </w:trPr>
        <w:tc>
          <w:tcPr>
            <w:tcW w:w="3251"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65 ≤ és &lt; 75</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0,86 (0,62, 1,19)</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0,67 (0,47, 0,95)</w:t>
            </w:r>
          </w:p>
        </w:tc>
      </w:tr>
      <w:tr w:rsidR="007D7140">
        <w:trPr>
          <w:trHeight w:val="262"/>
        </w:trPr>
        <w:tc>
          <w:tcPr>
            <w:tcW w:w="3251"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 75</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0,88 (0,66, 1,17)</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0,68 (0,50, 0,92)</w:t>
            </w:r>
          </w:p>
        </w:tc>
      </w:tr>
      <w:tr w:rsidR="007D7140">
        <w:trPr>
          <w:trHeight w:val="264"/>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 80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0,68 (0,44, 1,05)</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0,65 (0,44, 1,02)</w:t>
            </w:r>
          </w:p>
        </w:tc>
      </w:tr>
      <w:tr w:rsidR="007D7140">
        <w:trPr>
          <w:trHeight w:val="262"/>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ind w:left="103"/>
              <w:rPr>
                <w:lang w:val="hu-HU"/>
              </w:rPr>
            </w:pPr>
            <w:r>
              <w:rPr>
                <w:lang w:val="hu-HU"/>
              </w:rPr>
              <w:t>CrCl (ml/perc)</w:t>
            </w:r>
          </w:p>
        </w:tc>
        <w:tc>
          <w:tcPr>
            <w:tcW w:w="3260"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549"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4"/>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30 ≤ és &lt; 50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0,89 (0,61, 1,31)</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0,47 (0,30, 0,74)</w:t>
            </w:r>
          </w:p>
        </w:tc>
      </w:tr>
      <w:tr w:rsidR="007D7140">
        <w:trPr>
          <w:trHeight w:val="264"/>
        </w:trPr>
        <w:tc>
          <w:tcPr>
            <w:tcW w:w="3251" w:type="dxa"/>
            <w:tcBorders>
              <w:top w:val="nil"/>
              <w:left w:val="single" w:sz="4" w:space="0" w:color="000000"/>
              <w:bottom w:val="single" w:sz="4" w:space="0" w:color="000000"/>
              <w:right w:val="single" w:sz="4" w:space="0" w:color="000000"/>
            </w:tcBorders>
          </w:tcPr>
          <w:p w:rsidR="007D7140" w:rsidRDefault="00A207BA">
            <w:pPr>
              <w:jc w:val="center"/>
              <w:rPr>
                <w:lang w:val="hu-HU"/>
              </w:rPr>
            </w:pPr>
            <w:r>
              <w:rPr>
                <w:lang w:val="hu-HU"/>
              </w:rPr>
              <w:t>50 ≤ és &lt; 80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0,91 (0,68, 1,20)</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0,65 (0,47, 0,88)</w:t>
            </w:r>
          </w:p>
        </w:tc>
      </w:tr>
      <w:tr w:rsidR="007D7140">
        <w:trPr>
          <w:trHeight w:val="262"/>
        </w:trPr>
        <w:tc>
          <w:tcPr>
            <w:tcW w:w="3251"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 80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right="1"/>
              <w:jc w:val="center"/>
              <w:rPr>
                <w:lang w:val="hu-HU"/>
              </w:rPr>
            </w:pPr>
            <w:r>
              <w:rPr>
                <w:lang w:val="hu-HU"/>
              </w:rPr>
              <w:t>0,81 (0,51, 1,28)</w:t>
            </w:r>
          </w:p>
        </w:tc>
        <w:tc>
          <w:tcPr>
            <w:tcW w:w="2549"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0,69 (0,43, 1,12)</w:t>
            </w:r>
          </w:p>
        </w:tc>
      </w:tr>
    </w:tbl>
    <w:p w:rsidR="007D7140" w:rsidRDefault="007D7140">
      <w:pPr>
        <w:ind w:left="7" w:right="9"/>
        <w:rPr>
          <w:lang w:val="hu-HU"/>
        </w:rPr>
      </w:pPr>
    </w:p>
    <w:p w:rsidR="007D7140" w:rsidRDefault="00A207BA">
      <w:pPr>
        <w:ind w:left="7" w:right="9"/>
        <w:rPr>
          <w:lang w:val="hu-HU"/>
        </w:rPr>
      </w:pPr>
      <w:r>
        <w:rPr>
          <w:lang w:val="hu-HU"/>
        </w:rPr>
        <w:t>A jelentős vérzés elsődleges biztonsági végpontja esetében interakció volt a kezelési hatás és az életkor között. A vérzés relatív kockázata dabigatrán esetében a warfarinhoz viszonyítva nőtt az életkorral. A relatív kockázat a 75 éves kor feletti betegeknél volt a legnagyobb. Mind a dabigatrán</w:t>
      </w:r>
      <w:r>
        <w:rPr>
          <w:lang w:val="hu-HU"/>
        </w:rPr>
        <w:noBreakHyphen/>
        <w:t>etexilát, mind a warfarin véralvadásgátlókkal (ASA vagy klopidogrel) történő egyidejű adása körülbelül megkétszerezte a major vérzéses események arányát. Nem volt szignifikáns interakció a kezelési hatások és a veseműködés és CHADS</w:t>
      </w:r>
      <w:r>
        <w:rPr>
          <w:vertAlign w:val="subscript"/>
          <w:lang w:val="hu-HU"/>
        </w:rPr>
        <w:t>2</w:t>
      </w:r>
      <w:r>
        <w:rPr>
          <w:lang w:val="hu-HU"/>
        </w:rPr>
        <w:t> pontszám alapján létrehozott alcsoportok között.</w:t>
      </w:r>
    </w:p>
    <w:p w:rsidR="007D7140" w:rsidRDefault="007D7140">
      <w:pPr>
        <w:ind w:left="7" w:right="9"/>
        <w:rPr>
          <w:lang w:val="hu-HU"/>
        </w:rPr>
      </w:pPr>
    </w:p>
    <w:p w:rsidR="007D7140" w:rsidRDefault="00A207BA">
      <w:pPr>
        <w:tabs>
          <w:tab w:val="center" w:pos="4249"/>
        </w:tabs>
        <w:ind w:left="-3"/>
        <w:rPr>
          <w:b/>
          <w:bCs/>
          <w:lang w:val="hu-HU"/>
        </w:rPr>
      </w:pPr>
      <w:r>
        <w:rPr>
          <w:b/>
          <w:bCs/>
          <w:lang w:val="hu-HU"/>
        </w:rPr>
        <w:t>26. táblázat: A jelentős vérzésre vonatkozó relatív hazárd és 95%</w:t>
      </w:r>
      <w:r>
        <w:rPr>
          <w:b/>
          <w:bCs/>
          <w:lang w:val="hu-HU"/>
        </w:rPr>
        <w:noBreakHyphen/>
        <w:t>os CI alcsoportok szerint</w:t>
      </w:r>
    </w:p>
    <w:p w:rsidR="007D7140" w:rsidRDefault="007D7140">
      <w:pPr>
        <w:tabs>
          <w:tab w:val="center" w:pos="4249"/>
        </w:tabs>
        <w:ind w:left="-3"/>
        <w:rPr>
          <w:lang w:val="hu-HU"/>
        </w:rPr>
      </w:pPr>
    </w:p>
    <w:tbl>
      <w:tblPr>
        <w:tblStyle w:val="TableGrid"/>
        <w:tblW w:w="9072" w:type="dxa"/>
        <w:tblInd w:w="-2" w:type="dxa"/>
        <w:tblCellMar>
          <w:top w:w="19" w:type="dxa"/>
          <w:left w:w="5" w:type="dxa"/>
          <w:right w:w="5" w:type="dxa"/>
        </w:tblCellMar>
        <w:tblLook w:val="04A0" w:firstRow="1" w:lastRow="0" w:firstColumn="1" w:lastColumn="0" w:noHBand="0" w:noVBand="1"/>
      </w:tblPr>
      <w:tblGrid>
        <w:gridCol w:w="3258"/>
        <w:gridCol w:w="3260"/>
        <w:gridCol w:w="2554"/>
      </w:tblGrid>
      <w:tr w:rsidR="007D7140">
        <w:trPr>
          <w:trHeight w:val="516"/>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ind w:left="103"/>
              <w:rPr>
                <w:lang w:val="hu-HU"/>
              </w:rPr>
            </w:pPr>
            <w:r>
              <w:rPr>
                <w:lang w:val="hu-HU"/>
              </w:rPr>
              <w:t>Végpont</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103"/>
              <w:rPr>
                <w:lang w:val="hu-HU"/>
              </w:rPr>
            </w:pPr>
            <w:r>
              <w:rPr>
                <w:lang w:val="hu-HU"/>
              </w:rPr>
              <w:t>Dabigatrán</w:t>
            </w:r>
            <w:r>
              <w:rPr>
                <w:lang w:val="hu-HU"/>
              </w:rPr>
              <w:noBreakHyphen/>
              <w:t>etexilát naponta kétszer 110 mg vs. warfarin</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106"/>
              <w:rPr>
                <w:lang w:val="hu-HU"/>
              </w:rPr>
            </w:pPr>
            <w:r>
              <w:rPr>
                <w:lang w:val="hu-HU"/>
              </w:rPr>
              <w:t>Dabigatrán</w:t>
            </w:r>
            <w:r>
              <w:rPr>
                <w:lang w:val="hu-HU"/>
              </w:rPr>
              <w:noBreakHyphen/>
              <w:t>etexilát naponta kétszer 150 mg vs. warfarin</w:t>
            </w:r>
          </w:p>
        </w:tc>
      </w:tr>
      <w:tr w:rsidR="007D7140">
        <w:trPr>
          <w:trHeight w:val="264"/>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ind w:left="103"/>
              <w:rPr>
                <w:lang w:val="hu-HU"/>
              </w:rPr>
            </w:pPr>
            <w:r>
              <w:rPr>
                <w:lang w:val="hu-HU"/>
              </w:rPr>
              <w:t>Életkor (év)</w:t>
            </w:r>
          </w:p>
        </w:tc>
        <w:tc>
          <w:tcPr>
            <w:tcW w:w="3260"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554"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&lt; 65</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0,32 (0,18, 0,57)</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0,35 (0,20, 0,61)</w:t>
            </w:r>
          </w:p>
        </w:tc>
      </w:tr>
      <w:tr w:rsidR="007D7140">
        <w:trPr>
          <w:trHeight w:val="264"/>
        </w:trPr>
        <w:tc>
          <w:tcPr>
            <w:tcW w:w="3258"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65 ≤ és &lt; 75</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0,71 (0,56, 0,89)</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0,82 (0,66, 1,03)</w:t>
            </w:r>
          </w:p>
        </w:tc>
      </w:tr>
      <w:tr w:rsidR="007D7140">
        <w:trPr>
          <w:trHeight w:val="264"/>
        </w:trPr>
        <w:tc>
          <w:tcPr>
            <w:tcW w:w="3258"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 75</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1,01 (0,84, 1,23)</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1,19 (0,99, 1,43)</w:t>
            </w:r>
          </w:p>
        </w:tc>
      </w:tr>
      <w:tr w:rsidR="007D7140">
        <w:trPr>
          <w:trHeight w:val="262"/>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 80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1,14 (0,86, 1,51)</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1,35 (1,03, 1,76)</w:t>
            </w:r>
          </w:p>
        </w:tc>
      </w:tr>
      <w:tr w:rsidR="007D7140">
        <w:trPr>
          <w:trHeight w:val="264"/>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ind w:left="103"/>
              <w:rPr>
                <w:lang w:val="hu-HU"/>
              </w:rPr>
            </w:pPr>
            <w:r>
              <w:rPr>
                <w:lang w:val="hu-HU"/>
              </w:rPr>
              <w:t>CrCl (ml/perc)</w:t>
            </w:r>
          </w:p>
        </w:tc>
        <w:tc>
          <w:tcPr>
            <w:tcW w:w="3260"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2554"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262"/>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jc w:val="center"/>
              <w:rPr>
                <w:lang w:val="hu-HU"/>
              </w:rPr>
            </w:pPr>
            <w:r>
              <w:rPr>
                <w:lang w:val="hu-HU"/>
              </w:rPr>
              <w:t>30 ≤ és &lt; 50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1,02 (0,79, 1,32)</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0,94 (0,73, 1,22)</w:t>
            </w:r>
          </w:p>
        </w:tc>
      </w:tr>
      <w:tr w:rsidR="007D7140">
        <w:trPr>
          <w:trHeight w:val="264"/>
        </w:trPr>
        <w:tc>
          <w:tcPr>
            <w:tcW w:w="3258" w:type="dxa"/>
            <w:tcBorders>
              <w:top w:val="single" w:sz="4" w:space="0" w:color="000000"/>
              <w:left w:val="single" w:sz="4" w:space="0" w:color="000000"/>
              <w:bottom w:val="single" w:sz="4" w:space="0" w:color="auto"/>
              <w:right w:val="single" w:sz="4" w:space="0" w:color="000000"/>
            </w:tcBorders>
          </w:tcPr>
          <w:p w:rsidR="007D7140" w:rsidRDefault="00A207BA">
            <w:pPr>
              <w:jc w:val="center"/>
              <w:rPr>
                <w:lang w:val="hu-HU"/>
              </w:rPr>
            </w:pPr>
            <w:r>
              <w:rPr>
                <w:lang w:val="hu-HU"/>
              </w:rPr>
              <w:t>50 ≤ és &lt; 80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0,75 (0,61, 0,92)</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0,90 (0,74, 1,09)</w:t>
            </w:r>
          </w:p>
        </w:tc>
      </w:tr>
      <w:tr w:rsidR="007D7140">
        <w:trPr>
          <w:trHeight w:val="262"/>
        </w:trPr>
        <w:tc>
          <w:tcPr>
            <w:tcW w:w="3258" w:type="dxa"/>
            <w:tcBorders>
              <w:top w:val="single" w:sz="4" w:space="0" w:color="auto"/>
              <w:left w:val="single" w:sz="4" w:space="0" w:color="000000"/>
              <w:bottom w:val="single" w:sz="4" w:space="0" w:color="000000"/>
              <w:right w:val="single" w:sz="4" w:space="0" w:color="000000"/>
            </w:tcBorders>
          </w:tcPr>
          <w:p w:rsidR="007D7140" w:rsidRDefault="00A207BA">
            <w:pPr>
              <w:jc w:val="center"/>
              <w:rPr>
                <w:lang w:val="hu-HU"/>
              </w:rPr>
            </w:pPr>
            <w:r>
              <w:rPr>
                <w:lang w:val="hu-HU"/>
              </w:rPr>
              <w:t>≥ 80</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0,59 (0,43, 0,82)</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0,87(0,65, 1,17)</w:t>
            </w:r>
          </w:p>
        </w:tc>
      </w:tr>
      <w:tr w:rsidR="007D7140">
        <w:trPr>
          <w:trHeight w:val="264"/>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ASA használat</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0,84 (0,69, 1,03)</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6"/>
              <w:jc w:val="center"/>
              <w:rPr>
                <w:lang w:val="hu-HU"/>
              </w:rPr>
            </w:pPr>
            <w:r>
              <w:rPr>
                <w:lang w:val="hu-HU"/>
              </w:rPr>
              <w:t>0,97 (0,79, 1,18)</w:t>
            </w:r>
          </w:p>
        </w:tc>
      </w:tr>
      <w:tr w:rsidR="007D7140">
        <w:trPr>
          <w:trHeight w:val="264"/>
        </w:trPr>
        <w:tc>
          <w:tcPr>
            <w:tcW w:w="3258" w:type="dxa"/>
            <w:tcBorders>
              <w:top w:val="single" w:sz="4" w:space="0" w:color="000000"/>
              <w:left w:val="single" w:sz="4" w:space="0" w:color="000000"/>
              <w:bottom w:val="single" w:sz="4" w:space="0" w:color="000000"/>
              <w:right w:val="single" w:sz="4" w:space="0" w:color="000000"/>
            </w:tcBorders>
          </w:tcPr>
          <w:p w:rsidR="007D7140" w:rsidRDefault="00A207BA">
            <w:pPr>
              <w:ind w:left="2"/>
              <w:jc w:val="center"/>
              <w:rPr>
                <w:lang w:val="hu-HU"/>
              </w:rPr>
            </w:pPr>
            <w:r>
              <w:rPr>
                <w:lang w:val="hu-HU"/>
              </w:rPr>
              <w:t>Klopidogrel használat</w:t>
            </w:r>
          </w:p>
        </w:tc>
        <w:tc>
          <w:tcPr>
            <w:tcW w:w="3260" w:type="dxa"/>
            <w:tcBorders>
              <w:top w:val="single" w:sz="4" w:space="0" w:color="000000"/>
              <w:left w:val="single" w:sz="4" w:space="0" w:color="000000"/>
              <w:bottom w:val="single" w:sz="4" w:space="0" w:color="000000"/>
              <w:right w:val="single" w:sz="4" w:space="0" w:color="000000"/>
            </w:tcBorders>
          </w:tcPr>
          <w:p w:rsidR="007D7140" w:rsidRDefault="00A207BA">
            <w:pPr>
              <w:ind w:left="4"/>
              <w:jc w:val="center"/>
              <w:rPr>
                <w:lang w:val="hu-HU"/>
              </w:rPr>
            </w:pPr>
            <w:r>
              <w:rPr>
                <w:lang w:val="hu-HU"/>
              </w:rPr>
              <w:t>0,89 (0,55, 1,45)</w:t>
            </w:r>
          </w:p>
        </w:tc>
        <w:tc>
          <w:tcPr>
            <w:tcW w:w="2554" w:type="dxa"/>
            <w:tcBorders>
              <w:top w:val="single" w:sz="4" w:space="0" w:color="000000"/>
              <w:left w:val="single" w:sz="4" w:space="0" w:color="000000"/>
              <w:bottom w:val="single" w:sz="4" w:space="0" w:color="000000"/>
              <w:right w:val="single" w:sz="4" w:space="0" w:color="000000"/>
            </w:tcBorders>
          </w:tcPr>
          <w:p w:rsidR="007D7140" w:rsidRDefault="00A207BA">
            <w:pPr>
              <w:ind w:left="7"/>
              <w:jc w:val="center"/>
              <w:rPr>
                <w:lang w:val="hu-HU"/>
              </w:rPr>
            </w:pPr>
            <w:r>
              <w:rPr>
                <w:lang w:val="hu-HU"/>
              </w:rPr>
              <w:t>0,92 (0,57, 1,48</w:t>
            </w:r>
          </w:p>
        </w:tc>
      </w:tr>
    </w:tbl>
    <w:p w:rsidR="007D7140" w:rsidRDefault="007D7140">
      <w:pPr>
        <w:ind w:left="7"/>
        <w:rPr>
          <w:lang w:val="hu-HU"/>
        </w:rPr>
      </w:pPr>
    </w:p>
    <w:p w:rsidR="007D7140" w:rsidRDefault="00A207BA">
      <w:pPr>
        <w:ind w:left="7"/>
        <w:rPr>
          <w:i/>
          <w:lang w:val="hu-HU"/>
        </w:rPr>
      </w:pPr>
      <w:r>
        <w:rPr>
          <w:i/>
          <w:lang w:val="hu-HU"/>
        </w:rPr>
        <w:t>RELY-ABLE (a RE-LY vizsgálatot befejező, dabigatránnal kezelt pitvarfibrilláló betegek hosszú távú multicentrikus kiterjesztett vizsgálata)</w:t>
      </w:r>
    </w:p>
    <w:p w:rsidR="007D7140" w:rsidRDefault="007D7140">
      <w:pPr>
        <w:ind w:left="7"/>
        <w:rPr>
          <w:lang w:val="hu-HU"/>
        </w:rPr>
      </w:pPr>
    </w:p>
    <w:p w:rsidR="007D7140" w:rsidRDefault="00A207BA">
      <w:pPr>
        <w:ind w:left="7" w:right="9"/>
        <w:rPr>
          <w:lang w:val="hu-HU"/>
        </w:rPr>
      </w:pPr>
      <w:r>
        <w:rPr>
          <w:lang w:val="hu-HU"/>
        </w:rPr>
        <w:t>A RE</w:t>
      </w:r>
      <w:r>
        <w:rPr>
          <w:lang w:val="hu-HU"/>
        </w:rPr>
        <w:noBreakHyphen/>
        <w:t>LY kiterjesztett vizsgálata (a RELY</w:t>
      </w:r>
      <w:r>
        <w:rPr>
          <w:lang w:val="hu-HU"/>
        </w:rPr>
        <w:noBreakHyphen/>
        <w:t>ABLE) további biztonságossági információt szolgáltatott a betegek egy csoportjáról, akik a RE</w:t>
      </w:r>
      <w:r>
        <w:rPr>
          <w:lang w:val="hu-HU"/>
        </w:rPr>
        <w:noBreakHyphen/>
        <w:t>LY vizsgálatban alkalmazott dózisban folytatták tovább a dabigatrán</w:t>
      </w:r>
      <w:r>
        <w:rPr>
          <w:lang w:val="hu-HU"/>
        </w:rPr>
        <w:noBreakHyphen/>
        <w:t>etexilát szedését. A betegek akkor kerülhettek a RELY</w:t>
      </w:r>
      <w:r>
        <w:rPr>
          <w:lang w:val="hu-HU"/>
        </w:rPr>
        <w:noBreakHyphen/>
        <w:t>ABLE vizsgálatba, ha nem hagyták abba végleg a vizsgálati gyógyszer szedését a RE</w:t>
      </w:r>
      <w:r>
        <w:rPr>
          <w:lang w:val="hu-HU"/>
        </w:rPr>
        <w:noBreakHyphen/>
        <w:t>LY vizsgálat utolsó vizitjénél. A bevont betegek a RE</w:t>
      </w:r>
      <w:r>
        <w:rPr>
          <w:lang w:val="hu-HU"/>
        </w:rPr>
        <w:noBreakHyphen/>
        <w:t>LY vizsgálatot követő 43 hónapos követéses időszakban (teljes átlagos követés a RE</w:t>
      </w:r>
      <w:r>
        <w:rPr>
          <w:lang w:val="hu-HU"/>
        </w:rPr>
        <w:noBreakHyphen/>
        <w:t>LY + RELY</w:t>
      </w:r>
      <w:r>
        <w:rPr>
          <w:lang w:val="hu-HU"/>
        </w:rPr>
        <w:noBreakHyphen/>
        <w:t>ABLE vizsgálatban 4,5 év) folytatták ugyanannak a kettős vak dabigatrán</w:t>
      </w:r>
      <w:r>
        <w:rPr>
          <w:lang w:val="hu-HU"/>
        </w:rPr>
        <w:noBreakHyphen/>
        <w:t>etexilát dózisnak a szedését, amelyet a RE</w:t>
      </w:r>
      <w:r>
        <w:rPr>
          <w:lang w:val="hu-HU"/>
        </w:rPr>
        <w:noBreakHyphen/>
        <w:t>LY vizsgálatban a randomizációt követően szedtek. 5897 beteget vontak be, ami a RE</w:t>
      </w:r>
      <w:r>
        <w:rPr>
          <w:lang w:val="hu-HU"/>
        </w:rPr>
        <w:noBreakHyphen/>
        <w:t>LY vizsgálatban az eredetileg dabigatrán</w:t>
      </w:r>
      <w:r>
        <w:rPr>
          <w:lang w:val="hu-HU"/>
        </w:rPr>
        <w:noBreakHyphen/>
        <w:t>etexilát csoportba randomizált betegek 49%</w:t>
      </w:r>
      <w:r>
        <w:rPr>
          <w:lang w:val="hu-HU"/>
        </w:rPr>
        <w:noBreakHyphen/>
        <w:t>át, és a RELY</w:t>
      </w:r>
      <w:r>
        <w:rPr>
          <w:lang w:val="hu-HU"/>
        </w:rPr>
        <w:noBreakHyphen/>
        <w:t>ABLE vizsgálatra alkalmas betegek 86%</w:t>
      </w:r>
      <w:r>
        <w:rPr>
          <w:lang w:val="hu-HU"/>
        </w:rPr>
        <w:noBreakHyphen/>
        <w:t>át jelentette.</w:t>
      </w:r>
    </w:p>
    <w:p w:rsidR="007D7140" w:rsidRDefault="00A207BA">
      <w:pPr>
        <w:ind w:left="7" w:right="9"/>
        <w:rPr>
          <w:lang w:val="hu-HU"/>
        </w:rPr>
      </w:pPr>
      <w:r>
        <w:rPr>
          <w:lang w:val="hu-HU"/>
        </w:rPr>
        <w:t>A RELY</w:t>
      </w:r>
      <w:r>
        <w:rPr>
          <w:lang w:val="hu-HU"/>
        </w:rPr>
        <w:noBreakHyphen/>
        <w:t xml:space="preserve">ABLE vizsgálatban töltött további 2,5 éves kezelés, ami maximálisan 6 éves expozíciót </w:t>
      </w:r>
      <w:r>
        <w:rPr>
          <w:lang w:val="hu-HU"/>
        </w:rPr>
        <w:lastRenderedPageBreak/>
        <w:t>jelentett (a teljes expozíció a RE</w:t>
      </w:r>
      <w:r>
        <w:rPr>
          <w:lang w:val="hu-HU"/>
        </w:rPr>
        <w:noBreakHyphen/>
        <w:t>LY és RELY</w:t>
      </w:r>
      <w:r>
        <w:rPr>
          <w:lang w:val="hu-HU"/>
        </w:rPr>
        <w:noBreakHyphen/>
        <w:t>ABLE vizsgálatokban) a dabigatrán</w:t>
      </w:r>
      <w:r>
        <w:rPr>
          <w:lang w:val="hu-HU"/>
        </w:rPr>
        <w:noBreakHyphen/>
        <w:t>etexilát hosszú távú biztonsági profilját megerősítette a napi kétszeri 110 mg</w:t>
      </w:r>
      <w:r>
        <w:rPr>
          <w:lang w:val="hu-HU"/>
        </w:rPr>
        <w:noBreakHyphen/>
        <w:t>os és napi kétszeri 150 mg</w:t>
      </w:r>
      <w:r>
        <w:rPr>
          <w:lang w:val="hu-HU"/>
        </w:rPr>
        <w:noBreakHyphen/>
        <w:t>os vizsgált dózis esetében is. Új biztonságossági vonatkozást nem találtak.</w:t>
      </w:r>
    </w:p>
    <w:p w:rsidR="007D7140" w:rsidRDefault="00A207BA">
      <w:pPr>
        <w:ind w:left="7" w:right="9"/>
        <w:rPr>
          <w:lang w:val="hu-HU"/>
        </w:rPr>
      </w:pPr>
      <w:r>
        <w:rPr>
          <w:lang w:val="hu-HU"/>
        </w:rPr>
        <w:t>A kimeneteli események, köztük a major vérzés vagy egyéb vérzéses események gyakorisága megfelelt a RE</w:t>
      </w:r>
      <w:r>
        <w:rPr>
          <w:lang w:val="hu-HU"/>
        </w:rPr>
        <w:noBreakHyphen/>
        <w:t>LY vizsgálatban észleltnek.</w:t>
      </w:r>
    </w:p>
    <w:p w:rsidR="007D7140" w:rsidRDefault="007D7140">
      <w:pPr>
        <w:ind w:left="7" w:right="9"/>
        <w:rPr>
          <w:lang w:val="hu-HU"/>
        </w:rPr>
      </w:pPr>
    </w:p>
    <w:p w:rsidR="007D7140" w:rsidRDefault="00A207BA">
      <w:pPr>
        <w:ind w:left="5" w:hanging="11"/>
        <w:rPr>
          <w:lang w:val="hu-HU"/>
        </w:rPr>
      </w:pPr>
      <w:r>
        <w:rPr>
          <w:i/>
          <w:lang w:val="hu-HU"/>
        </w:rPr>
        <w:t>A beavatkozással nem járó vizsgálatokból származó adatok</w:t>
      </w:r>
    </w:p>
    <w:p w:rsidR="007D7140" w:rsidRDefault="007D7140">
      <w:pPr>
        <w:ind w:left="5" w:right="266" w:hanging="11"/>
        <w:rPr>
          <w:lang w:val="hu-HU"/>
        </w:rPr>
      </w:pPr>
    </w:p>
    <w:p w:rsidR="007D7140" w:rsidRDefault="00A207BA">
      <w:pPr>
        <w:ind w:left="5" w:right="266" w:hanging="11"/>
        <w:rPr>
          <w:lang w:val="hu-HU"/>
        </w:rPr>
      </w:pPr>
      <w:r>
        <w:rPr>
          <w:lang w:val="hu-HU"/>
        </w:rPr>
        <w:t>Egy, beavatkozással nem járó vizsgálatban (GLORIA</w:t>
      </w:r>
      <w:r>
        <w:rPr>
          <w:lang w:val="hu-HU"/>
        </w:rPr>
        <w:noBreakHyphen/>
        <w:t>AF), prospektíven gyűjtöttek adatokat (a második fázisában) a dabigatrán</w:t>
      </w:r>
      <w:r>
        <w:rPr>
          <w:lang w:val="hu-HU"/>
        </w:rPr>
        <w:noBreakHyphen/>
        <w:t>etexilát valós körülmények közötti biztonságosságáról és hatásosságáról, újonnan diagnosztizált nem valvularis pitvarfibrillációban szenvedő betegeknél. A vizsgálatba 4859, dabigatrán</w:t>
      </w:r>
      <w:r>
        <w:rPr>
          <w:lang w:val="hu-HU"/>
        </w:rPr>
        <w:noBreakHyphen/>
        <w:t>etexilátot szedő beteget vontak be (55%</w:t>
      </w:r>
      <w:r>
        <w:rPr>
          <w:lang w:val="hu-HU"/>
        </w:rPr>
        <w:noBreakHyphen/>
        <w:t>uk naponta kétszer 150 mg</w:t>
      </w:r>
      <w:r>
        <w:rPr>
          <w:lang w:val="hu-HU"/>
        </w:rPr>
        <w:noBreakHyphen/>
        <w:t>ot kapott, 43%</w:t>
      </w:r>
      <w:r>
        <w:rPr>
          <w:lang w:val="hu-HU"/>
        </w:rPr>
        <w:noBreakHyphen/>
        <w:t>uk naponta kétszer 110 mg</w:t>
      </w:r>
      <w:r>
        <w:rPr>
          <w:lang w:val="hu-HU"/>
        </w:rPr>
        <w:noBreakHyphen/>
        <w:t>ot, 2%-uk pedig naponta kétszer 75 mg</w:t>
      </w:r>
      <w:r>
        <w:rPr>
          <w:lang w:val="hu-HU"/>
        </w:rPr>
        <w:noBreakHyphen/>
        <w:t>ot). A betegek állapotát 2 évig követték nyomon. A CHADS</w:t>
      </w:r>
      <w:r>
        <w:rPr>
          <w:vertAlign w:val="subscript"/>
          <w:lang w:val="hu-HU"/>
        </w:rPr>
        <w:t>2</w:t>
      </w:r>
      <w:r>
        <w:rPr>
          <w:lang w:val="hu-HU"/>
        </w:rPr>
        <w:t> pontszám átlagértéke 1,9, a HAS</w:t>
      </w:r>
      <w:r>
        <w:rPr>
          <w:lang w:val="hu-HU"/>
        </w:rPr>
        <w:noBreakHyphen/>
        <w:t>BLED (</w:t>
      </w:r>
      <w:r>
        <w:rPr>
          <w:color w:val="000000"/>
          <w:shd w:val="clear" w:color="auto" w:fill="FFFFFF"/>
          <w:lang w:val="hu-HU"/>
        </w:rPr>
        <w:t xml:space="preserve">hypertonia, kóros vese-/májműködés, stroke, vérzési kórtörténet vagy hajlam, labilis INR, idős kor, gyógyszerek/alkohol együtt) </w:t>
      </w:r>
      <w:r>
        <w:rPr>
          <w:lang w:val="hu-HU"/>
        </w:rPr>
        <w:t>pontszám átlagértéke 1,2 volt. A követési idő alatt a kezelés ideje átlagosan 18,3 hónap volt. Major vérzéses esemény 0,97/100 betegév gyakorisággal fordult elő. Életveszélyes vérzés előfordulása 0,46 esemény/100 betegév, intracranialis vérzésé 0,17 esemény/100 betegév, míg gastrointestinalis vérzésé 0,60 esemény/100 betegév volt. Stroke 0,65 esemény/100 betegév gyakorisággal fordult elő.</w:t>
      </w:r>
    </w:p>
    <w:p w:rsidR="007D7140" w:rsidRDefault="007D7140">
      <w:pPr>
        <w:ind w:left="7" w:right="9"/>
        <w:rPr>
          <w:lang w:val="hu-HU"/>
        </w:rPr>
      </w:pPr>
    </w:p>
    <w:p w:rsidR="007D7140" w:rsidRDefault="00A207BA">
      <w:pPr>
        <w:ind w:left="7" w:right="9"/>
        <w:rPr>
          <w:lang w:val="hu-HU"/>
        </w:rPr>
      </w:pPr>
      <w:r>
        <w:rPr>
          <w:lang w:val="hu-HU"/>
        </w:rPr>
        <w:t>Továbbá, egy beavatkozással nem járó vizsgálatban (Graham DJ és mtsai., Circulation 2015;131:157</w:t>
      </w:r>
      <w:r>
        <w:rPr>
          <w:lang w:val="hu-HU"/>
        </w:rPr>
        <w:noBreakHyphen/>
        <w:t>164) az Egyesült Államokban, több mint 134 000 idős, nem billentyű eredetű pitvarfibrillációban szenvedő betegnél (több mint 37 500 betegévnyi terápiás utánkövetési időt szolgáltatva) a warfarinnal összehasonlítva, a dabigatrán</w:t>
      </w:r>
      <w:r>
        <w:rPr>
          <w:lang w:val="hu-HU"/>
        </w:rPr>
        <w:noBreakHyphen/>
        <w:t>etexilátot (a betegek 84%</w:t>
      </w:r>
      <w:r>
        <w:rPr>
          <w:lang w:val="hu-HU"/>
        </w:rPr>
        <w:noBreakHyphen/>
        <w:t>a napi 150 mg</w:t>
      </w:r>
      <w:r>
        <w:rPr>
          <w:lang w:val="hu-HU"/>
        </w:rPr>
        <w:noBreakHyphen/>
        <w:t>ot, 16%</w:t>
      </w:r>
      <w:r>
        <w:rPr>
          <w:lang w:val="hu-HU"/>
        </w:rPr>
        <w:noBreakHyphen/>
        <w:t>a 75 mg</w:t>
      </w:r>
      <w:r>
        <w:rPr>
          <w:lang w:val="hu-HU"/>
        </w:rPr>
        <w:noBreakHyphen/>
        <w:t>ot kapott) összefüggésbe hozták az ischaemiás stroke (relatív hazárd: 0,80, 95%</w:t>
      </w:r>
      <w:r>
        <w:rPr>
          <w:lang w:val="hu-HU"/>
        </w:rPr>
        <w:noBreakHyphen/>
        <w:t xml:space="preserve">os konfidencia intervallum, [CI] 0,67, 0,96), intracranialis vérzés (relatív hazárd: 0,34, </w:t>
      </w:r>
      <w:r w:rsidR="00D973D6">
        <w:rPr>
          <w:lang w:val="hu-HU"/>
        </w:rPr>
        <w:t>CI:</w:t>
      </w:r>
      <w:r>
        <w:rPr>
          <w:lang w:val="hu-HU"/>
        </w:rPr>
        <w:t xml:space="preserve">0,26, 0,46) és a mortalitás (relatív hazárd: 0,86, </w:t>
      </w:r>
      <w:r w:rsidR="00D973D6">
        <w:rPr>
          <w:lang w:val="hu-HU"/>
        </w:rPr>
        <w:t>CI:</w:t>
      </w:r>
      <w:r>
        <w:rPr>
          <w:lang w:val="hu-HU"/>
        </w:rPr>
        <w:t xml:space="preserve">0,77, 0,96) csökkent kockázatával, valamint a gastrointestinalis vérzések kockázatának megnövekedésével (relatív hazárd: 1,28, </w:t>
      </w:r>
      <w:r w:rsidR="00D973D6">
        <w:rPr>
          <w:lang w:val="hu-HU"/>
        </w:rPr>
        <w:t>CI:</w:t>
      </w:r>
      <w:r>
        <w:rPr>
          <w:lang w:val="hu-HU"/>
        </w:rPr>
        <w:t xml:space="preserve">1,14, 1,44). A főbb vérzéses események számában nem volt különbség (relatív hazárd: 0,97, </w:t>
      </w:r>
      <w:r w:rsidR="00D973D6">
        <w:rPr>
          <w:lang w:val="hu-HU"/>
        </w:rPr>
        <w:t>CI:</w:t>
      </w:r>
      <w:r>
        <w:rPr>
          <w:lang w:val="hu-HU"/>
        </w:rPr>
        <w:t>0,88, 1,07).</w:t>
      </w:r>
    </w:p>
    <w:p w:rsidR="007D7140" w:rsidRDefault="007D7140">
      <w:pPr>
        <w:ind w:left="7" w:right="9"/>
        <w:rPr>
          <w:lang w:val="hu-HU"/>
        </w:rPr>
      </w:pPr>
    </w:p>
    <w:p w:rsidR="007D7140" w:rsidRDefault="00A207BA">
      <w:pPr>
        <w:ind w:left="7" w:right="9"/>
        <w:rPr>
          <w:lang w:val="hu-HU"/>
        </w:rPr>
      </w:pPr>
      <w:r>
        <w:rPr>
          <w:lang w:val="hu-HU"/>
        </w:rPr>
        <w:t>Ezek a valós körülmények közül származó megfigyelések összhangban állnak a dabigatrán-etexilát RE</w:t>
      </w:r>
      <w:r>
        <w:rPr>
          <w:lang w:val="hu-HU"/>
        </w:rPr>
        <w:noBreakHyphen/>
        <w:t>LY vizsgálatban meghatározott hatásossági és biztonságossági profiljával ezen indikáció esetében.</w:t>
      </w:r>
    </w:p>
    <w:p w:rsidR="007D7140" w:rsidRDefault="007D7140">
      <w:pPr>
        <w:ind w:left="7" w:right="9"/>
        <w:rPr>
          <w:lang w:val="hu-HU"/>
        </w:rPr>
      </w:pPr>
    </w:p>
    <w:p w:rsidR="007D7140" w:rsidRDefault="00A207BA">
      <w:pPr>
        <w:ind w:left="7"/>
        <w:rPr>
          <w:lang w:val="hu-HU"/>
        </w:rPr>
      </w:pPr>
      <w:r>
        <w:rPr>
          <w:i/>
          <w:lang w:val="hu-HU"/>
        </w:rPr>
        <w:t>Betegek, akiknél stent alkalmazásával percutan coronariaintervenciót (PCI) végeztek</w:t>
      </w:r>
    </w:p>
    <w:p w:rsidR="007D7140" w:rsidRDefault="007D7140">
      <w:pPr>
        <w:ind w:left="7" w:right="9"/>
        <w:rPr>
          <w:lang w:val="hu-HU"/>
        </w:rPr>
      </w:pPr>
    </w:p>
    <w:p w:rsidR="007D7140" w:rsidRDefault="00A207BA">
      <w:pPr>
        <w:ind w:left="7" w:right="9"/>
        <w:rPr>
          <w:lang w:val="hu-HU"/>
        </w:rPr>
      </w:pPr>
      <w:r>
        <w:rPr>
          <w:lang w:val="hu-HU"/>
        </w:rPr>
        <w:t>Egy prospektív, randomizált, nyílt, vak végpontú (PROBE) vizsgálatot (IIIb. fázis) végeztek 2725, olyan beteg bevonásával, akiknek nem valvularis pitvarfibrillációjuk volt és akiken stent alkalmazásával percutan coronariaintervenciót (RE</w:t>
      </w:r>
      <w:r>
        <w:rPr>
          <w:lang w:val="hu-HU"/>
        </w:rPr>
        <w:noBreakHyphen/>
        <w:t>DUAL PCI) alkalmaztak. A vizsgálat célja a dabigatrán</w:t>
      </w:r>
      <w:r>
        <w:rPr>
          <w:lang w:val="hu-HU"/>
        </w:rPr>
        <w:noBreakHyphen/>
        <w:t>etexilát (naponta kétszer 110 mg vagy 150 mg) plusz klopidogrel vagy tikagrelor (P2Y12 antagonista) kettős terápia és a warfarin (2,0</w:t>
      </w:r>
      <w:r>
        <w:rPr>
          <w:lang w:val="hu-HU"/>
        </w:rPr>
        <w:noBreakHyphen/>
        <w:t xml:space="preserve"> 3,0</w:t>
      </w:r>
      <w:r>
        <w:rPr>
          <w:lang w:val="hu-HU"/>
        </w:rPr>
        <w:noBreakHyphen/>
        <w:t>s INR</w:t>
      </w:r>
      <w:r>
        <w:rPr>
          <w:lang w:val="hu-HU"/>
        </w:rPr>
        <w:noBreakHyphen/>
        <w:t>értékhez igazított dózissal) plusz klopidogrel vagy tikagrelor és ASA hármas terápia összehasonlító értékelése volt. A betegeket naponta kétszer 110 mg dabigatrán</w:t>
      </w:r>
      <w:r>
        <w:rPr>
          <w:lang w:val="hu-HU"/>
        </w:rPr>
        <w:noBreakHyphen/>
        <w:t>etexilát kettős terápiára, naponta kétszer 150 mg dabigatrán</w:t>
      </w:r>
      <w:r>
        <w:rPr>
          <w:lang w:val="hu-HU"/>
        </w:rPr>
        <w:noBreakHyphen/>
        <w:t>etexilát kettős terápiára vagy</w:t>
      </w:r>
      <w:r>
        <w:rPr>
          <w:b/>
          <w:bCs/>
          <w:lang w:val="hu-HU"/>
        </w:rPr>
        <w:t xml:space="preserve"> </w:t>
      </w:r>
      <w:r>
        <w:rPr>
          <w:lang w:val="hu-HU"/>
        </w:rPr>
        <w:t>warfarin hármas terápiára randomizálták. Az Amerikai Egyesült Államokon kívüli idős (minden ország esetén 80 éves vagy idősebb, Japán esetén 70 éves vagy idősebb) betegeket randomizált módon osztották be vagy a naponta kétszeri 110 mg dabigatrán</w:t>
      </w:r>
      <w:r>
        <w:rPr>
          <w:lang w:val="hu-HU"/>
        </w:rPr>
        <w:noBreakHyphen/>
        <w:t>etexilát kettős terápiás csoportba vagy a warfarin hármas terápiás csoportba. Az elsődleges végpont egy kombinált végpont volt, a Nemzetközi Thrombosis és Haemostasis Társaság (</w:t>
      </w:r>
      <w:r>
        <w:rPr>
          <w:shd w:val="clear" w:color="auto" w:fill="FFFFFF"/>
          <w:lang w:val="hu-HU"/>
        </w:rPr>
        <w:t xml:space="preserve">International Society on Thrombosis &amp; Haemostasis, </w:t>
      </w:r>
      <w:r>
        <w:rPr>
          <w:lang w:val="hu-HU"/>
        </w:rPr>
        <w:t>ISTH) definíciója szerinti jelentős vérzések vagy klinikailag releváns, nem jelentős vérzéses események.</w:t>
      </w:r>
    </w:p>
    <w:p w:rsidR="007D7140" w:rsidRDefault="007D7140">
      <w:pPr>
        <w:ind w:left="7" w:right="9"/>
        <w:rPr>
          <w:lang w:val="hu-HU"/>
        </w:rPr>
      </w:pPr>
    </w:p>
    <w:p w:rsidR="007D7140" w:rsidRDefault="00A207BA">
      <w:pPr>
        <w:ind w:left="7" w:right="9"/>
        <w:rPr>
          <w:lang w:val="hu-HU"/>
        </w:rPr>
      </w:pPr>
      <w:r>
        <w:rPr>
          <w:lang w:val="hu-HU"/>
        </w:rPr>
        <w:t>Az elsődleges végpont incidenciája 15,4% volt (151 beteg) a napi kétszer 110 mg</w:t>
      </w:r>
      <w:r>
        <w:rPr>
          <w:lang w:val="hu-HU"/>
        </w:rPr>
        <w:noBreakHyphen/>
        <w:t>os dabigatrán</w:t>
      </w:r>
      <w:r>
        <w:rPr>
          <w:lang w:val="hu-HU"/>
        </w:rPr>
        <w:noBreakHyphen/>
        <w:t>etexilát kettős terápiás csoportban, ezzel szemben 26,9% (264 beteg) a warfarin hármas terápiás csoportban (HR 0,52; 95%</w:t>
      </w:r>
      <w:r>
        <w:rPr>
          <w:lang w:val="hu-HU"/>
        </w:rPr>
        <w:noBreakHyphen/>
        <w:t xml:space="preserve">os </w:t>
      </w:r>
      <w:r w:rsidR="00D973D6">
        <w:rPr>
          <w:lang w:val="hu-HU"/>
        </w:rPr>
        <w:t>CI:</w:t>
      </w:r>
      <w:r>
        <w:rPr>
          <w:lang w:val="hu-HU"/>
        </w:rPr>
        <w:t>0,42, 0,63; p&lt; 0,0001 a non-inferioritás és p&lt; 0,0001 a szuperioritás tekintetében) és 20,2% (154 beteg) a napi 150 mg dabigatrán</w:t>
      </w:r>
      <w:r>
        <w:rPr>
          <w:lang w:val="hu-HU"/>
        </w:rPr>
        <w:noBreakHyphen/>
        <w:t>etexilát kettős terápiás csoportban, ezzel szemben 25,7% (196 beteg) a megfelelő warfarin hármas terápiás csoportban (HR 0,72; 95%</w:t>
      </w:r>
      <w:r>
        <w:rPr>
          <w:lang w:val="hu-HU"/>
        </w:rPr>
        <w:noBreakHyphen/>
        <w:t xml:space="preserve">os </w:t>
      </w:r>
      <w:r w:rsidR="00D973D6">
        <w:rPr>
          <w:lang w:val="hu-HU"/>
        </w:rPr>
        <w:t>CI:</w:t>
      </w:r>
      <w:r>
        <w:rPr>
          <w:lang w:val="hu-HU"/>
        </w:rPr>
        <w:t>0,58, 0,88; p</w:t>
      </w:r>
      <w:r w:rsidR="00D973D6">
        <w:rPr>
          <w:lang w:val="hu-HU"/>
        </w:rPr>
        <w:t> </w:t>
      </w:r>
      <w:r>
        <w:rPr>
          <w:lang w:val="hu-HU"/>
        </w:rPr>
        <w:t>&lt;</w:t>
      </w:r>
      <w:r w:rsidR="00D973D6">
        <w:rPr>
          <w:lang w:val="hu-HU"/>
        </w:rPr>
        <w:t> </w:t>
      </w:r>
      <w:r>
        <w:rPr>
          <w:lang w:val="hu-HU"/>
        </w:rPr>
        <w:t xml:space="preserve">0,0001 a non-inferioritás és p = 0,002 a szuperioritás tekintetében). A </w:t>
      </w:r>
      <w:r>
        <w:rPr>
          <w:lang w:val="hu-HU"/>
        </w:rPr>
        <w:lastRenderedPageBreak/>
        <w:t>thrombolysis myocardiális infarctusban (Thrombolysis In Myocardial Infarction, TIMI) leíró analízis része szerint a főbb vérzéses események száma alacsonyabb volt mindkét dabigatrán</w:t>
      </w:r>
      <w:r>
        <w:rPr>
          <w:lang w:val="hu-HU"/>
        </w:rPr>
        <w:noBreakHyphen/>
        <w:t>etexiláttal kezelt kettős terápiás csoportban, mint a warfarin hármas terápiás csoportban: 14 esemény (1,4%) a napi kétszer 110 mg dabigatrán</w:t>
      </w:r>
      <w:r>
        <w:rPr>
          <w:lang w:val="hu-HU"/>
        </w:rPr>
        <w:noBreakHyphen/>
        <w:t>etexilát kettős terápiás csoportban, ezzel szemben 37 esemény (3,8%) a warfarin hármas terápiás csoportban (HR 0,37; 95%</w:t>
      </w:r>
      <w:r>
        <w:rPr>
          <w:lang w:val="hu-HU"/>
        </w:rPr>
        <w:noBreakHyphen/>
        <w:t xml:space="preserve">os </w:t>
      </w:r>
      <w:r w:rsidR="00D973D6">
        <w:rPr>
          <w:lang w:val="hu-HU"/>
        </w:rPr>
        <w:t>CI:</w:t>
      </w:r>
      <w:r>
        <w:rPr>
          <w:lang w:val="hu-HU"/>
        </w:rPr>
        <w:t>0,20, 0,68; p = 0,002) és 16 esemény (2,1%) a napi kétszer 150 mg dabigatrán</w:t>
      </w:r>
      <w:r>
        <w:rPr>
          <w:lang w:val="hu-HU"/>
        </w:rPr>
        <w:noBreakHyphen/>
        <w:t>etexilát kettős terápiás csoportban, ezzel szemben 30 esemény (3,9%) a megfelelő warfarin hármas terápiás csoportban (HR</w:t>
      </w:r>
      <w:r w:rsidR="00D973D6">
        <w:rPr>
          <w:lang w:val="hu-HU"/>
        </w:rPr>
        <w:t>:</w:t>
      </w:r>
      <w:r>
        <w:rPr>
          <w:lang w:val="hu-HU"/>
        </w:rPr>
        <w:t xml:space="preserve"> 0,51; 95%</w:t>
      </w:r>
      <w:r>
        <w:rPr>
          <w:lang w:val="hu-HU"/>
        </w:rPr>
        <w:noBreakHyphen/>
        <w:t xml:space="preserve">os </w:t>
      </w:r>
      <w:r w:rsidR="00D973D6">
        <w:rPr>
          <w:lang w:val="hu-HU"/>
        </w:rPr>
        <w:t>CI:</w:t>
      </w:r>
      <w:r>
        <w:rPr>
          <w:lang w:val="hu-HU"/>
        </w:rPr>
        <w:t>0,28, 0,93; p = 0,03). Mindkét dabigatrán</w:t>
      </w:r>
      <w:r>
        <w:rPr>
          <w:lang w:val="hu-HU"/>
        </w:rPr>
        <w:noBreakHyphen/>
        <w:t>etexilát kettős terápiás csoportban alacsonyabb volt az intracraniális vérzések aránya, mint a megfelelő warfarin hármas terápiás csoportokban: 3 esemény (0,3%) a napi kétszer 110 mg dabigatrán</w:t>
      </w:r>
      <w:r>
        <w:rPr>
          <w:lang w:val="hu-HU"/>
        </w:rPr>
        <w:noBreakHyphen/>
        <w:t>etexilát kettős terápiás csoportban ezzel szemben 10 esemény (1,0%) a warfarin hármas terápiás csoportban (HR</w:t>
      </w:r>
      <w:r w:rsidR="00D973D6">
        <w:rPr>
          <w:lang w:val="hu-HU"/>
        </w:rPr>
        <w:t>:</w:t>
      </w:r>
      <w:r>
        <w:rPr>
          <w:lang w:val="hu-HU"/>
        </w:rPr>
        <w:t xml:space="preserve"> 0,30; 95%</w:t>
      </w:r>
      <w:r>
        <w:rPr>
          <w:lang w:val="hu-HU"/>
        </w:rPr>
        <w:noBreakHyphen/>
        <w:t xml:space="preserve">os </w:t>
      </w:r>
      <w:r w:rsidR="00D973D6">
        <w:rPr>
          <w:lang w:val="hu-HU"/>
        </w:rPr>
        <w:t>CI:</w:t>
      </w:r>
      <w:r>
        <w:rPr>
          <w:lang w:val="hu-HU"/>
        </w:rPr>
        <w:t>0,08, 1,07; p = 0,06) és 1 esemény (0,1%) a napi kétszer 150 mg dabigatrán</w:t>
      </w:r>
      <w:r>
        <w:rPr>
          <w:lang w:val="hu-HU"/>
        </w:rPr>
        <w:noBreakHyphen/>
        <w:t>etexilát kettős terápiás csoportban, ezzel szemben 8 esemény (1,0%) a megfelelő warfarin hármas terápiás csoportban (HR</w:t>
      </w:r>
      <w:r w:rsidR="00D973D6">
        <w:rPr>
          <w:lang w:val="hu-HU"/>
        </w:rPr>
        <w:t>:</w:t>
      </w:r>
      <w:r>
        <w:rPr>
          <w:lang w:val="hu-HU"/>
        </w:rPr>
        <w:t xml:space="preserve"> 0,12; 95%</w:t>
      </w:r>
      <w:r>
        <w:rPr>
          <w:lang w:val="hu-HU"/>
        </w:rPr>
        <w:noBreakHyphen/>
        <w:t xml:space="preserve">os </w:t>
      </w:r>
      <w:r w:rsidR="00D973D6">
        <w:rPr>
          <w:lang w:val="hu-HU"/>
        </w:rPr>
        <w:t>CI:</w:t>
      </w:r>
      <w:r>
        <w:rPr>
          <w:lang w:val="hu-HU"/>
        </w:rPr>
        <w:t>0,02 0,98; p = 0,047). Az összetett hatásossági végpontként megjelölt elhalálozás, thromboemboliás események (myocardialis infarctus, stroke vagy szisztémás embolisatio) vagy nem tervezett revascularisatio a két dabigatrán</w:t>
      </w:r>
      <w:r>
        <w:rPr>
          <w:lang w:val="hu-HU"/>
        </w:rPr>
        <w:noBreakHyphen/>
        <w:t>etexilát kettős terápiás csoportban együtt nem volt rosszabb (non</w:t>
      </w:r>
      <w:r>
        <w:rPr>
          <w:lang w:val="hu-HU"/>
        </w:rPr>
        <w:noBreakHyphen/>
        <w:t>inferior), mint a warfarin hármas terápiás csoportnál (13,7% és 13,4% egyenként, HR</w:t>
      </w:r>
      <w:r w:rsidR="00D973D6">
        <w:rPr>
          <w:lang w:val="hu-HU"/>
        </w:rPr>
        <w:t>:</w:t>
      </w:r>
      <w:r>
        <w:rPr>
          <w:lang w:val="hu-HU"/>
        </w:rPr>
        <w:t xml:space="preserve"> 1,04; 95%</w:t>
      </w:r>
      <w:r>
        <w:rPr>
          <w:lang w:val="hu-HU"/>
        </w:rPr>
        <w:noBreakHyphen/>
        <w:t xml:space="preserve">os </w:t>
      </w:r>
      <w:r w:rsidR="00D973D6">
        <w:rPr>
          <w:lang w:val="hu-HU"/>
        </w:rPr>
        <w:t>CI:</w:t>
      </w:r>
      <w:r>
        <w:rPr>
          <w:lang w:val="hu-HU"/>
        </w:rPr>
        <w:t>0,84, 1,29; p = 0,0047 a non</w:t>
      </w:r>
      <w:r>
        <w:rPr>
          <w:lang w:val="hu-HU"/>
        </w:rPr>
        <w:noBreakHyphen/>
        <w:t>interferioritásra). Nem volt statisztikai különbség a hatásossági végpontok komponensei között sem a dabigatrán</w:t>
      </w:r>
      <w:r>
        <w:rPr>
          <w:lang w:val="hu-HU"/>
        </w:rPr>
        <w:noBreakHyphen/>
        <w:t>etexilát kettős terápiás csoportban, sem a warfarin hármas terápiás csoportban.</w:t>
      </w:r>
    </w:p>
    <w:p w:rsidR="007D7140" w:rsidRDefault="007D7140">
      <w:pPr>
        <w:ind w:left="7" w:right="9"/>
        <w:rPr>
          <w:lang w:val="hu-HU"/>
        </w:rPr>
      </w:pPr>
    </w:p>
    <w:p w:rsidR="007D7140" w:rsidRDefault="00A207BA">
      <w:pPr>
        <w:ind w:left="7" w:right="9"/>
        <w:rPr>
          <w:lang w:val="hu-HU"/>
        </w:rPr>
      </w:pPr>
      <w:r>
        <w:rPr>
          <w:lang w:val="hu-HU"/>
        </w:rPr>
        <w:t>A vizsgálat megmutatta, hogy a kettős terápia, melyben dabigatrán</w:t>
      </w:r>
      <w:r>
        <w:rPr>
          <w:lang w:val="hu-HU"/>
        </w:rPr>
        <w:noBreakHyphen/>
        <w:t>etexilátot és egy P2Y12</w:t>
      </w:r>
      <w:r>
        <w:rPr>
          <w:lang w:val="hu-HU"/>
        </w:rPr>
        <w:noBreakHyphen/>
        <w:t>antagonistát alkalmaztak, jelentősen csökkentette a vérzések kockázatát a warfarin hármas terápiás csoporttal szemben, és a thromboemboliás események komponensei esetén nem rosszabb (non</w:t>
      </w:r>
      <w:r>
        <w:rPr>
          <w:lang w:val="hu-HU"/>
        </w:rPr>
        <w:noBreakHyphen/>
        <w:t>inferior) olyan betegek esetén, akiknek nem valvularis pitvarfibrillációjuk volt és akiknél stent alkalmazásával percutan coronariaintervenciót végeztek.</w:t>
      </w:r>
    </w:p>
    <w:p w:rsidR="007D7140" w:rsidRDefault="007D7140">
      <w:pPr>
        <w:ind w:left="7" w:right="9"/>
        <w:rPr>
          <w:lang w:val="hu-HU"/>
        </w:rPr>
      </w:pPr>
    </w:p>
    <w:p w:rsidR="007D7140" w:rsidRDefault="00A207BA">
      <w:pPr>
        <w:ind w:left="7"/>
        <w:rPr>
          <w:lang w:val="hu-HU"/>
        </w:rPr>
      </w:pPr>
      <w:r>
        <w:rPr>
          <w:i/>
          <w:u w:val="single" w:color="000000"/>
          <w:lang w:val="hu-HU"/>
        </w:rPr>
        <w:t>Az MVT és a PE kezelése felnőtt betegeknél (MVT/PE kezelés)</w:t>
      </w:r>
    </w:p>
    <w:p w:rsidR="007D7140" w:rsidRDefault="007D7140">
      <w:pPr>
        <w:ind w:left="7" w:right="9"/>
        <w:rPr>
          <w:lang w:val="hu-HU"/>
        </w:rPr>
      </w:pPr>
    </w:p>
    <w:p w:rsidR="007D7140" w:rsidRDefault="00A207BA">
      <w:pPr>
        <w:ind w:left="-3" w:right="9"/>
        <w:rPr>
          <w:lang w:val="hu-HU"/>
        </w:rPr>
      </w:pPr>
      <w:r>
        <w:rPr>
          <w:lang w:val="hu-HU"/>
        </w:rPr>
        <w:t>A hatásosságot és biztonságosságot két multicentrikus, randomizált, kettős vak, parallel csoportos ismételt vizsgálatban, a RE</w:t>
      </w:r>
      <w:r>
        <w:rPr>
          <w:lang w:val="hu-HU"/>
        </w:rPr>
        <w:noBreakHyphen/>
        <w:t>COVER és RE</w:t>
      </w:r>
      <w:r>
        <w:rPr>
          <w:lang w:val="hu-HU"/>
        </w:rPr>
        <w:noBreakHyphen/>
        <w:t>COVER II vizsgálatokban elemezték. Ezek a vizsgálatok a dabigatrán</w:t>
      </w:r>
      <w:r>
        <w:rPr>
          <w:lang w:val="hu-HU"/>
        </w:rPr>
        <w:noBreakHyphen/>
        <w:t>etexilátot (naponta kétszer 150 mg) a warfarinnal hasonlították össze (cél INR 2,0</w:t>
      </w:r>
      <w:r>
        <w:rPr>
          <w:lang w:val="hu-HU"/>
        </w:rPr>
        <w:noBreakHyphen/>
        <w:t>3,0) akut MVT</w:t>
      </w:r>
      <w:r>
        <w:rPr>
          <w:lang w:val="hu-HU"/>
        </w:rPr>
        <w:noBreakHyphen/>
        <w:t>ben és/vagy PE</w:t>
      </w:r>
      <w:r>
        <w:rPr>
          <w:lang w:val="hu-HU"/>
        </w:rPr>
        <w:noBreakHyphen/>
        <w:t>ben szenvedő betegeknél. Ezeknek a vizsgálatoknak az volt az elsődleges célja, hogy igazolják, a dabigatrán</w:t>
      </w:r>
      <w:r>
        <w:rPr>
          <w:lang w:val="hu-HU"/>
        </w:rPr>
        <w:noBreakHyphen/>
        <w:t>etexilát nem rosszabb (non-inferior) a warfarinnál az elsődleges összetett végpont előfordulásának csökkentésében; ami a tünetekkel járó MVT és/vagy PE ismételt jelentkezése és az ebből eredő halálozás volt a 6 hónapos kezelési periódusban.</w:t>
      </w:r>
    </w:p>
    <w:p w:rsidR="007D7140" w:rsidRDefault="007D7140">
      <w:pPr>
        <w:ind w:left="7" w:right="9"/>
        <w:rPr>
          <w:lang w:val="hu-HU"/>
        </w:rPr>
      </w:pPr>
    </w:p>
    <w:p w:rsidR="007D7140" w:rsidRDefault="00A207BA">
      <w:pPr>
        <w:ind w:left="7" w:right="9"/>
        <w:rPr>
          <w:lang w:val="hu-HU"/>
        </w:rPr>
      </w:pPr>
      <w:r>
        <w:rPr>
          <w:lang w:val="hu-HU"/>
        </w:rPr>
        <w:t>Az összesített RE</w:t>
      </w:r>
      <w:r>
        <w:rPr>
          <w:lang w:val="hu-HU"/>
        </w:rPr>
        <w:noBreakHyphen/>
        <w:t>COVER és RE</w:t>
      </w:r>
      <w:r>
        <w:rPr>
          <w:lang w:val="hu-HU"/>
        </w:rPr>
        <w:noBreakHyphen/>
        <w:t>COVER II vizsgálatokban összesen 5153 beteget randomizáltak és 5107 beteget kezeltek.</w:t>
      </w:r>
    </w:p>
    <w:p w:rsidR="007D7140" w:rsidRDefault="007D7140">
      <w:pPr>
        <w:ind w:left="7" w:right="9"/>
        <w:rPr>
          <w:lang w:val="hu-HU"/>
        </w:rPr>
      </w:pPr>
    </w:p>
    <w:p w:rsidR="007D7140" w:rsidRDefault="00A207BA">
      <w:pPr>
        <w:ind w:left="7" w:right="9"/>
        <w:rPr>
          <w:lang w:val="hu-HU"/>
        </w:rPr>
      </w:pPr>
      <w:r>
        <w:rPr>
          <w:lang w:val="hu-HU"/>
        </w:rPr>
        <w:t>A fix dózisú dabigatrán</w:t>
      </w:r>
      <w:r>
        <w:rPr>
          <w:lang w:val="hu-HU"/>
        </w:rPr>
        <w:noBreakHyphen/>
        <w:t>kezelés időtartama 174,0 nap volt, az alvadási státuszt nem monitorozták. A warfarinra randomizált betegeknél a terápiás tartományban (INR 2,0</w:t>
      </w:r>
      <w:r>
        <w:rPr>
          <w:lang w:val="hu-HU"/>
        </w:rPr>
        <w:noBreakHyphen/>
        <w:t>3,0) töltött medián időtartam 60,6% volt.</w:t>
      </w:r>
    </w:p>
    <w:p w:rsidR="007D7140" w:rsidRDefault="007D7140">
      <w:pPr>
        <w:ind w:left="7" w:right="9"/>
        <w:rPr>
          <w:lang w:val="hu-HU"/>
        </w:rPr>
      </w:pPr>
    </w:p>
    <w:p w:rsidR="007D7140" w:rsidRDefault="00A207BA">
      <w:pPr>
        <w:ind w:left="7" w:right="9"/>
        <w:rPr>
          <w:lang w:val="hu-HU"/>
        </w:rPr>
      </w:pPr>
      <w:r>
        <w:rPr>
          <w:lang w:val="hu-HU"/>
        </w:rPr>
        <w:t>A vizsgálatok kimutatták, hogy a kétszer 150 mg dabigatrán-etexilát-kezelés nem volt rosszabb (non-inferior) a warfarin kezelésnél (a non-inferioritásra vonatkozó határ a RE</w:t>
      </w:r>
      <w:r>
        <w:rPr>
          <w:lang w:val="hu-HU"/>
        </w:rPr>
        <w:noBreakHyphen/>
        <w:t>COVER és RE</w:t>
      </w:r>
      <w:r>
        <w:rPr>
          <w:lang w:val="hu-HU"/>
        </w:rPr>
        <w:noBreakHyphen/>
        <w:t>COVER II esetén: 3,6 a kockázat különbség és 2,75 a relatív hazárd esetén).</w:t>
      </w:r>
    </w:p>
    <w:p w:rsidR="007D7140" w:rsidRDefault="007D7140">
      <w:pPr>
        <w:ind w:left="7" w:right="9"/>
        <w:rPr>
          <w:lang w:val="hu-HU"/>
        </w:rPr>
      </w:pPr>
    </w:p>
    <w:p w:rsidR="007D7140" w:rsidRDefault="00A207BA">
      <w:pPr>
        <w:keepNext/>
        <w:widowControl/>
        <w:ind w:left="1276" w:hanging="1276"/>
        <w:rPr>
          <w:b/>
          <w:bCs/>
          <w:lang w:val="hu-HU"/>
        </w:rPr>
      </w:pPr>
      <w:r>
        <w:rPr>
          <w:b/>
          <w:bCs/>
          <w:lang w:val="hu-HU"/>
        </w:rPr>
        <w:t>27. táblázat: A primer és szekunder hatásossági végpontok (a VTE, az MVT és/vagy PE eredője) analízise a kezelés utáni időszak végéig a RE-COVER és RE-COVER II összesített vizsgálataiban</w:t>
      </w:r>
    </w:p>
    <w:p w:rsidR="007D7140" w:rsidRDefault="007D7140">
      <w:pPr>
        <w:keepNext/>
        <w:widowControl/>
        <w:ind w:left="988" w:hanging="991"/>
        <w:rPr>
          <w:lang w:val="hu-HU"/>
        </w:rPr>
      </w:pPr>
    </w:p>
    <w:tbl>
      <w:tblPr>
        <w:tblStyle w:val="TableGrid"/>
        <w:tblW w:w="9101" w:type="dxa"/>
        <w:tblInd w:w="-34" w:type="dxa"/>
        <w:tblCellMar>
          <w:top w:w="51" w:type="dxa"/>
          <w:left w:w="70" w:type="dxa"/>
          <w:right w:w="115" w:type="dxa"/>
        </w:tblCellMar>
        <w:tblLook w:val="04A0" w:firstRow="1" w:lastRow="0" w:firstColumn="1" w:lastColumn="0" w:noHBand="0" w:noVBand="1"/>
      </w:tblPr>
      <w:tblGrid>
        <w:gridCol w:w="4282"/>
        <w:gridCol w:w="3118"/>
        <w:gridCol w:w="1701"/>
      </w:tblGrid>
      <w:tr w:rsidR="007D7140">
        <w:trPr>
          <w:trHeight w:val="516"/>
        </w:trPr>
        <w:tc>
          <w:tcPr>
            <w:tcW w:w="4282" w:type="dxa"/>
            <w:tcBorders>
              <w:top w:val="single" w:sz="4" w:space="0" w:color="000000"/>
              <w:left w:val="single" w:sz="4" w:space="0" w:color="000000"/>
              <w:bottom w:val="single" w:sz="4" w:space="0" w:color="000000"/>
              <w:right w:val="single" w:sz="4" w:space="0" w:color="000000"/>
            </w:tcBorders>
          </w:tcPr>
          <w:p w:rsidR="007D7140" w:rsidRDefault="007D7140">
            <w:pPr>
              <w:keepNext/>
              <w:widowControl/>
              <w:rPr>
                <w:lang w:val="hu-HU"/>
              </w:rPr>
            </w:pPr>
          </w:p>
        </w:tc>
        <w:tc>
          <w:tcPr>
            <w:tcW w:w="3118"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377" w:right="334"/>
              <w:jc w:val="center"/>
              <w:rPr>
                <w:lang w:val="hu-HU"/>
              </w:rPr>
            </w:pPr>
            <w:r>
              <w:rPr>
                <w:lang w:val="hu-HU"/>
              </w:rPr>
              <w:t>Dabigatrán</w:t>
            </w:r>
            <w:r>
              <w:rPr>
                <w:lang w:val="hu-HU"/>
              </w:rPr>
              <w:noBreakHyphen/>
              <w:t xml:space="preserve">etexilát naponta kétszer 150 mg </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keepNext/>
              <w:widowControl/>
              <w:ind w:left="41"/>
              <w:jc w:val="center"/>
              <w:rPr>
                <w:lang w:val="hu-HU"/>
              </w:rPr>
            </w:pPr>
            <w:r>
              <w:rPr>
                <w:lang w:val="hu-HU"/>
              </w:rPr>
              <w:t>Warfarin</w:t>
            </w:r>
          </w:p>
        </w:tc>
      </w:tr>
      <w:tr w:rsidR="007D7140">
        <w:trPr>
          <w:trHeight w:val="286"/>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keepNext/>
              <w:rPr>
                <w:lang w:val="hu-HU"/>
              </w:rPr>
            </w:pPr>
            <w:r>
              <w:rPr>
                <w:lang w:val="hu-HU"/>
              </w:rPr>
              <w:t>Kezelt betegek</w:t>
            </w:r>
          </w:p>
        </w:tc>
        <w:tc>
          <w:tcPr>
            <w:tcW w:w="3118" w:type="dxa"/>
            <w:tcBorders>
              <w:top w:val="single" w:sz="4" w:space="0" w:color="000000"/>
              <w:left w:val="single" w:sz="4" w:space="0" w:color="000000"/>
              <w:bottom w:val="single" w:sz="4" w:space="0" w:color="000000"/>
              <w:right w:val="single" w:sz="4" w:space="0" w:color="000000"/>
            </w:tcBorders>
          </w:tcPr>
          <w:p w:rsidR="007D7140" w:rsidRDefault="00A207BA">
            <w:pPr>
              <w:keepNext/>
              <w:ind w:left="41"/>
              <w:jc w:val="center"/>
              <w:rPr>
                <w:lang w:val="hu-HU"/>
              </w:rPr>
            </w:pPr>
            <w:r>
              <w:rPr>
                <w:lang w:val="hu-HU"/>
              </w:rPr>
              <w:t xml:space="preserve">2553 </w:t>
            </w:r>
          </w:p>
        </w:tc>
        <w:tc>
          <w:tcPr>
            <w:tcW w:w="1701" w:type="dxa"/>
            <w:tcBorders>
              <w:top w:val="single" w:sz="4" w:space="0" w:color="000000"/>
              <w:left w:val="single" w:sz="4" w:space="0" w:color="000000"/>
              <w:bottom w:val="single" w:sz="4" w:space="0" w:color="000000"/>
              <w:right w:val="single" w:sz="4" w:space="0" w:color="000000"/>
            </w:tcBorders>
          </w:tcPr>
          <w:p w:rsidR="007D7140" w:rsidRDefault="00A207BA">
            <w:pPr>
              <w:keepNext/>
              <w:ind w:left="41"/>
              <w:jc w:val="center"/>
              <w:rPr>
                <w:lang w:val="hu-HU"/>
              </w:rPr>
            </w:pPr>
            <w:r>
              <w:rPr>
                <w:lang w:val="hu-HU"/>
              </w:rPr>
              <w:t xml:space="preserve">2554 </w:t>
            </w:r>
          </w:p>
        </w:tc>
      </w:tr>
      <w:tr w:rsidR="007D7140">
        <w:trPr>
          <w:trHeight w:val="464"/>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Visszatérő szimptómás VTE és VTE</w:t>
            </w:r>
            <w:r>
              <w:rPr>
                <w:lang w:val="hu-HU"/>
              </w:rPr>
              <w:noBreakHyphen/>
              <w:t>vel összefüggő halál</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5"/>
              <w:jc w:val="center"/>
              <w:rPr>
                <w:lang w:val="hu-HU"/>
              </w:rPr>
            </w:pPr>
            <w:r>
              <w:rPr>
                <w:lang w:val="hu-HU"/>
              </w:rPr>
              <w:t>68 (2,7%)</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2"/>
              <w:jc w:val="center"/>
              <w:rPr>
                <w:lang w:val="hu-HU"/>
              </w:rPr>
            </w:pPr>
            <w:r>
              <w:rPr>
                <w:lang w:val="hu-HU"/>
              </w:rPr>
              <w:t>62 (2,4 %)</w:t>
            </w:r>
          </w:p>
        </w:tc>
      </w:tr>
      <w:tr w:rsidR="007D7140">
        <w:trPr>
          <w:trHeight w:val="458"/>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lastRenderedPageBreak/>
              <w:t>Relatív hazárd a warfarinhoz képest (95%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4" w:space="0" w:color="000000"/>
            </w:tcBorders>
            <w:vAlign w:val="center"/>
          </w:tcPr>
          <w:p w:rsidR="00D973D6" w:rsidRDefault="00A207BA">
            <w:pPr>
              <w:ind w:left="869" w:right="826"/>
              <w:jc w:val="center"/>
              <w:rPr>
                <w:lang w:val="hu-HU"/>
              </w:rPr>
            </w:pPr>
            <w:r>
              <w:rPr>
                <w:lang w:val="hu-HU"/>
              </w:rPr>
              <w:t xml:space="preserve">1,09 </w:t>
            </w:r>
          </w:p>
          <w:p w:rsidR="007D7140" w:rsidRDefault="00A207BA">
            <w:pPr>
              <w:ind w:left="869" w:right="826"/>
              <w:jc w:val="center"/>
              <w:rPr>
                <w:lang w:val="hu-HU"/>
              </w:rPr>
            </w:pPr>
            <w:r>
              <w:rPr>
                <w:lang w:val="hu-HU"/>
              </w:rPr>
              <w:t>(0,77, 1,54)</w:t>
            </w:r>
          </w:p>
        </w:tc>
        <w:tc>
          <w:tcPr>
            <w:tcW w:w="170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11"/>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Szekunder hatásossági végpontok</w:t>
            </w:r>
          </w:p>
        </w:tc>
        <w:tc>
          <w:tcPr>
            <w:tcW w:w="3118"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c>
          <w:tcPr>
            <w:tcW w:w="1701" w:type="dxa"/>
            <w:tcBorders>
              <w:top w:val="single" w:sz="4" w:space="0" w:color="000000"/>
              <w:left w:val="single" w:sz="4" w:space="0" w:color="000000"/>
              <w:bottom w:val="single" w:sz="4" w:space="0" w:color="000000"/>
              <w:right w:val="single" w:sz="4" w:space="0" w:color="000000"/>
            </w:tcBorders>
          </w:tcPr>
          <w:p w:rsidR="007D7140" w:rsidRDefault="007D7140">
            <w:pPr>
              <w:rPr>
                <w:lang w:val="hu-HU"/>
              </w:rPr>
            </w:pPr>
          </w:p>
        </w:tc>
      </w:tr>
      <w:tr w:rsidR="007D7140">
        <w:trPr>
          <w:trHeight w:val="304"/>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Visszatérő szimptómás VTE és összhalálozás</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2"/>
              <w:jc w:val="center"/>
              <w:rPr>
                <w:lang w:val="hu-HU"/>
              </w:rPr>
            </w:pPr>
            <w:r>
              <w:rPr>
                <w:lang w:val="hu-HU"/>
              </w:rPr>
              <w:t>109 (4,3%)</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2"/>
              <w:jc w:val="center"/>
              <w:rPr>
                <w:lang w:val="hu-HU"/>
              </w:rPr>
            </w:pPr>
            <w:r>
              <w:rPr>
                <w:lang w:val="hu-HU"/>
              </w:rPr>
              <w:t>104 (4,1%)</w:t>
            </w:r>
          </w:p>
        </w:tc>
      </w:tr>
      <w:tr w:rsidR="007D7140">
        <w:trPr>
          <w:trHeight w:val="83"/>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 xml:space="preserve">os konfidencia intervallum </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6"/>
              <w:jc w:val="center"/>
              <w:rPr>
                <w:lang w:val="hu-HU"/>
              </w:rPr>
            </w:pPr>
            <w:r>
              <w:rPr>
                <w:lang w:val="hu-HU"/>
              </w:rPr>
              <w:t>3,52, 5,13</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1"/>
              <w:jc w:val="center"/>
              <w:rPr>
                <w:lang w:val="hu-HU"/>
              </w:rPr>
            </w:pPr>
            <w:r>
              <w:rPr>
                <w:lang w:val="hu-HU"/>
              </w:rPr>
              <w:t>3,34, 4,91</w:t>
            </w:r>
          </w:p>
        </w:tc>
      </w:tr>
      <w:tr w:rsidR="007D7140">
        <w:trPr>
          <w:trHeight w:val="264"/>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Szimptómás MVT</w:t>
            </w:r>
          </w:p>
        </w:tc>
        <w:tc>
          <w:tcPr>
            <w:tcW w:w="3118"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45 (1,8%)</w:t>
            </w:r>
          </w:p>
        </w:tc>
        <w:tc>
          <w:tcPr>
            <w:tcW w:w="1701" w:type="dxa"/>
            <w:tcBorders>
              <w:top w:val="single" w:sz="4" w:space="0" w:color="000000"/>
              <w:left w:val="single" w:sz="4" w:space="0" w:color="000000"/>
              <w:bottom w:val="single" w:sz="4" w:space="0" w:color="000000"/>
              <w:right w:val="single" w:sz="4" w:space="0" w:color="000000"/>
            </w:tcBorders>
          </w:tcPr>
          <w:p w:rsidR="007D7140" w:rsidRDefault="00A207BA">
            <w:pPr>
              <w:ind w:left="40"/>
              <w:jc w:val="center"/>
              <w:rPr>
                <w:lang w:val="hu-HU"/>
              </w:rPr>
            </w:pPr>
            <w:r>
              <w:rPr>
                <w:lang w:val="hu-HU"/>
              </w:rPr>
              <w:t>39 (1,5%)</w:t>
            </w:r>
          </w:p>
        </w:tc>
      </w:tr>
      <w:tr w:rsidR="007D7140">
        <w:trPr>
          <w:trHeight w:val="290"/>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6"/>
              <w:jc w:val="center"/>
              <w:rPr>
                <w:lang w:val="hu-HU"/>
              </w:rPr>
            </w:pPr>
            <w:r>
              <w:rPr>
                <w:lang w:val="hu-HU"/>
              </w:rPr>
              <w:t>1,29, 2,35</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1"/>
              <w:jc w:val="center"/>
              <w:rPr>
                <w:lang w:val="hu-HU"/>
              </w:rPr>
            </w:pPr>
            <w:r>
              <w:rPr>
                <w:lang w:val="hu-HU"/>
              </w:rPr>
              <w:t>1,09, 2,08</w:t>
            </w:r>
          </w:p>
        </w:tc>
      </w:tr>
      <w:tr w:rsidR="007D7140">
        <w:trPr>
          <w:trHeight w:val="288"/>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Szimptómás PE</w:t>
            </w:r>
          </w:p>
        </w:tc>
        <w:tc>
          <w:tcPr>
            <w:tcW w:w="3118"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27 (1,1%)</w:t>
            </w:r>
          </w:p>
        </w:tc>
        <w:tc>
          <w:tcPr>
            <w:tcW w:w="1701" w:type="dxa"/>
            <w:tcBorders>
              <w:top w:val="single" w:sz="4" w:space="0" w:color="000000"/>
              <w:left w:val="single" w:sz="4" w:space="0" w:color="000000"/>
              <w:bottom w:val="single" w:sz="4" w:space="0" w:color="000000"/>
              <w:right w:val="single" w:sz="4" w:space="0" w:color="000000"/>
            </w:tcBorders>
          </w:tcPr>
          <w:p w:rsidR="007D7140" w:rsidRDefault="00A207BA">
            <w:pPr>
              <w:ind w:left="40"/>
              <w:jc w:val="center"/>
              <w:rPr>
                <w:lang w:val="hu-HU"/>
              </w:rPr>
            </w:pPr>
            <w:r>
              <w:rPr>
                <w:lang w:val="hu-HU"/>
              </w:rPr>
              <w:t>26 (1,0%)</w:t>
            </w:r>
          </w:p>
        </w:tc>
      </w:tr>
      <w:tr w:rsidR="007D7140">
        <w:trPr>
          <w:trHeight w:val="300"/>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6"/>
              <w:jc w:val="center"/>
              <w:rPr>
                <w:lang w:val="hu-HU"/>
              </w:rPr>
            </w:pPr>
            <w:r>
              <w:rPr>
                <w:lang w:val="hu-HU"/>
              </w:rPr>
              <w:t>0,70, 1,54</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1"/>
              <w:jc w:val="center"/>
              <w:rPr>
                <w:lang w:val="hu-HU"/>
              </w:rPr>
            </w:pPr>
            <w:r>
              <w:rPr>
                <w:lang w:val="hu-HU"/>
              </w:rPr>
              <w:t>0,67, 1,49</w:t>
            </w:r>
          </w:p>
        </w:tc>
      </w:tr>
      <w:tr w:rsidR="007D7140">
        <w:trPr>
          <w:trHeight w:val="36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VTE-vel összefüggő halál</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5"/>
              <w:jc w:val="center"/>
              <w:rPr>
                <w:lang w:val="hu-HU"/>
              </w:rPr>
            </w:pPr>
            <w:r>
              <w:rPr>
                <w:lang w:val="hu-HU"/>
              </w:rPr>
              <w:t>4 (0,2%)</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0"/>
              <w:jc w:val="center"/>
              <w:rPr>
                <w:lang w:val="hu-HU"/>
              </w:rPr>
            </w:pPr>
            <w:r>
              <w:rPr>
                <w:lang w:val="hu-HU"/>
              </w:rPr>
              <w:t>3 (0,1%)</w:t>
            </w:r>
          </w:p>
        </w:tc>
      </w:tr>
      <w:tr w:rsidR="007D7140">
        <w:trPr>
          <w:trHeight w:val="369"/>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6"/>
              <w:jc w:val="center"/>
              <w:rPr>
                <w:lang w:val="hu-HU"/>
              </w:rPr>
            </w:pPr>
            <w:r>
              <w:rPr>
                <w:lang w:val="hu-HU"/>
              </w:rPr>
              <w:t>0,04, 0,40</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1"/>
              <w:jc w:val="center"/>
              <w:rPr>
                <w:lang w:val="hu-HU"/>
              </w:rPr>
            </w:pPr>
            <w:r>
              <w:rPr>
                <w:lang w:val="hu-HU"/>
              </w:rPr>
              <w:t>0,02, 0,34</w:t>
            </w:r>
          </w:p>
        </w:tc>
      </w:tr>
      <w:tr w:rsidR="007D7140">
        <w:trPr>
          <w:trHeight w:val="288"/>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Bármely okból bekövetkező halálozás</w:t>
            </w:r>
          </w:p>
        </w:tc>
        <w:tc>
          <w:tcPr>
            <w:tcW w:w="3118"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51 (2,0%)</w:t>
            </w:r>
          </w:p>
        </w:tc>
        <w:tc>
          <w:tcPr>
            <w:tcW w:w="1701" w:type="dxa"/>
            <w:tcBorders>
              <w:top w:val="single" w:sz="4" w:space="0" w:color="000000"/>
              <w:left w:val="single" w:sz="4" w:space="0" w:color="000000"/>
              <w:bottom w:val="single" w:sz="4" w:space="0" w:color="000000"/>
              <w:right w:val="single" w:sz="4" w:space="0" w:color="000000"/>
            </w:tcBorders>
          </w:tcPr>
          <w:p w:rsidR="007D7140" w:rsidRDefault="00A207BA">
            <w:pPr>
              <w:ind w:left="40"/>
              <w:jc w:val="center"/>
              <w:rPr>
                <w:lang w:val="hu-HU"/>
              </w:rPr>
            </w:pPr>
            <w:r>
              <w:rPr>
                <w:lang w:val="hu-HU"/>
              </w:rPr>
              <w:t>52 (2,0%)</w:t>
            </w:r>
          </w:p>
        </w:tc>
      </w:tr>
      <w:tr w:rsidR="007D7140">
        <w:trPr>
          <w:trHeight w:val="308"/>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6"/>
              <w:jc w:val="center"/>
              <w:rPr>
                <w:lang w:val="hu-HU"/>
              </w:rPr>
            </w:pPr>
            <w:r>
              <w:rPr>
                <w:lang w:val="hu-HU"/>
              </w:rPr>
              <w:t>1,49, 2,62</w:t>
            </w:r>
          </w:p>
        </w:tc>
        <w:tc>
          <w:tcPr>
            <w:tcW w:w="1701" w:type="dxa"/>
            <w:tcBorders>
              <w:top w:val="single" w:sz="4" w:space="0" w:color="000000"/>
              <w:left w:val="single" w:sz="4" w:space="0" w:color="000000"/>
              <w:bottom w:val="single" w:sz="4" w:space="0" w:color="000000"/>
              <w:right w:val="single" w:sz="4" w:space="0" w:color="000000"/>
            </w:tcBorders>
            <w:vAlign w:val="center"/>
          </w:tcPr>
          <w:p w:rsidR="007D7140" w:rsidRDefault="00A207BA">
            <w:pPr>
              <w:ind w:left="41"/>
              <w:jc w:val="center"/>
              <w:rPr>
                <w:lang w:val="hu-HU"/>
              </w:rPr>
            </w:pPr>
            <w:r>
              <w:rPr>
                <w:lang w:val="hu-HU"/>
              </w:rPr>
              <w:t>1,52, 2,66</w:t>
            </w:r>
          </w:p>
        </w:tc>
      </w:tr>
    </w:tbl>
    <w:p w:rsidR="007D7140" w:rsidRDefault="007D7140">
      <w:pPr>
        <w:pStyle w:val="Cmsor2"/>
        <w:ind w:left="5" w:hanging="11"/>
        <w:rPr>
          <w:lang w:val="hu-HU"/>
        </w:rPr>
      </w:pPr>
    </w:p>
    <w:p w:rsidR="007D7140" w:rsidRDefault="00A207BA">
      <w:pPr>
        <w:pStyle w:val="Cmsor2"/>
        <w:ind w:left="5" w:hanging="11"/>
        <w:rPr>
          <w:b w:val="0"/>
          <w:bCs w:val="0"/>
          <w:i/>
          <w:u w:val="single"/>
          <w:lang w:val="hu-HU"/>
        </w:rPr>
      </w:pPr>
      <w:r>
        <w:rPr>
          <w:b w:val="0"/>
          <w:bCs w:val="0"/>
          <w:i/>
          <w:u w:val="single"/>
          <w:lang w:val="hu-HU"/>
        </w:rPr>
        <w:t>MVT és PE kiújulásának megelőzése felnőtt betegeknél (MVT/PE prevenció)</w:t>
      </w:r>
    </w:p>
    <w:p w:rsidR="007D7140" w:rsidRDefault="007D7140">
      <w:pPr>
        <w:ind w:left="7" w:right="9"/>
        <w:rPr>
          <w:lang w:val="hu-HU"/>
        </w:rPr>
      </w:pPr>
    </w:p>
    <w:p w:rsidR="007D7140" w:rsidRDefault="00A207BA">
      <w:pPr>
        <w:ind w:left="7" w:right="9"/>
        <w:rPr>
          <w:lang w:val="hu-HU"/>
        </w:rPr>
      </w:pPr>
      <w:r>
        <w:rPr>
          <w:lang w:val="hu-HU"/>
        </w:rPr>
        <w:t>Két randomizált, parallel csoportos, kettős vak vizsgálatot végeztek a korábban antikoaguláns-kezelésben részesülő betegeknél. A RE</w:t>
      </w:r>
      <w:r>
        <w:rPr>
          <w:lang w:val="hu-HU"/>
        </w:rPr>
        <w:noBreakHyphen/>
        <w:t>MEDY, warfarin-kontrollos vizsgálatba olyan betegeket vontak be, akiket már 3</w:t>
      </w:r>
      <w:r>
        <w:rPr>
          <w:lang w:val="hu-HU"/>
        </w:rPr>
        <w:noBreakHyphen/>
        <w:t>12 hónapja kezeltek, és további antikoaguláns kezelésre volt szükségük, a RE</w:t>
      </w:r>
      <w:r>
        <w:rPr>
          <w:lang w:val="hu-HU"/>
        </w:rPr>
        <w:noBreakHyphen/>
        <w:t>SONATE placebokontrollos vizsgálatba pedig olyan betegeket, akik 6</w:t>
      </w:r>
      <w:r>
        <w:rPr>
          <w:lang w:val="hu-HU"/>
        </w:rPr>
        <w:noBreakHyphen/>
        <w:t>18 hónapja már K</w:t>
      </w:r>
      <w:r>
        <w:rPr>
          <w:lang w:val="hu-HU"/>
        </w:rPr>
        <w:noBreakHyphen/>
        <w:t>vitamin</w:t>
      </w:r>
      <w:r>
        <w:rPr>
          <w:lang w:val="hu-HU"/>
        </w:rPr>
        <w:noBreakHyphen/>
        <w:t>antagonista</w:t>
      </w:r>
      <w:r>
        <w:rPr>
          <w:lang w:val="hu-HU"/>
        </w:rPr>
        <w:noBreakHyphen/>
        <w:t>kezelést kaptak.</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 xml:space="preserve">MEDY vizsgálat célja az volt, hogy összehasonlítsa a </w:t>
      </w:r>
      <w:r>
        <w:rPr>
          <w:i/>
          <w:lang w:val="hu-HU"/>
        </w:rPr>
        <w:t>per os</w:t>
      </w:r>
      <w:r>
        <w:rPr>
          <w:lang w:val="hu-HU"/>
        </w:rPr>
        <w:t xml:space="preserve"> dabigatrán-etexilát (naponta kétszer 150 mg) és a warfarin (INR célérték: 2,0</w:t>
      </w:r>
      <w:r>
        <w:rPr>
          <w:lang w:val="hu-HU"/>
        </w:rPr>
        <w:noBreakHyphen/>
        <w:t>3,0) a hosszú távú kezelésben és a szimptómás MVT és/vagy PE kiújulásának megelőzésében mutatott biztonságosságát és hatékonyságát. Összesen 2866 beteget randomizáltak és 2856 beteget kezeltek. A dabigatrán</w:t>
      </w:r>
      <w:r>
        <w:rPr>
          <w:lang w:val="hu-HU"/>
        </w:rPr>
        <w:noBreakHyphen/>
        <w:t>etexilát</w:t>
      </w:r>
      <w:r>
        <w:rPr>
          <w:lang w:val="hu-HU"/>
        </w:rPr>
        <w:noBreakHyphen/>
        <w:t>kezelés időtartama 6 és 36 hónap között volt (medián időtartam 534,0 nap). A warfarin csoportba randomizált betegeknél a terápiás tartományban (INR érték 2,0</w:t>
      </w:r>
      <w:r>
        <w:rPr>
          <w:lang w:val="hu-HU"/>
        </w:rPr>
        <w:noBreakHyphen/>
        <w:t>3,0) töltött medián időtartam 64,9% volt.</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MEDY vizsgálat kimutatta, hogy a naponta kétszer adott 150 mg dabigatrán</w:t>
      </w:r>
      <w:r>
        <w:rPr>
          <w:lang w:val="hu-HU"/>
        </w:rPr>
        <w:noBreakHyphen/>
        <w:t>etexilát</w:t>
      </w:r>
      <w:r>
        <w:rPr>
          <w:lang w:val="hu-HU"/>
        </w:rPr>
        <w:noBreakHyphen/>
        <w:t>kezelés nem volt rosszabb (non</w:t>
      </w:r>
      <w:r>
        <w:rPr>
          <w:lang w:val="hu-HU"/>
        </w:rPr>
        <w:noBreakHyphen/>
        <w:t>inferior) a warfarinnál (a non</w:t>
      </w:r>
      <w:r>
        <w:rPr>
          <w:lang w:val="hu-HU"/>
        </w:rPr>
        <w:noBreakHyphen/>
        <w:t>interferitásra vonatkozó határ: 2,85 a relatív hazárd és 2,8 a kockázat különbség esetén).</w:t>
      </w:r>
    </w:p>
    <w:p w:rsidR="007D7140" w:rsidRDefault="007D7140">
      <w:pPr>
        <w:ind w:left="7" w:right="9"/>
        <w:rPr>
          <w:lang w:val="hu-HU"/>
        </w:rPr>
      </w:pPr>
    </w:p>
    <w:p w:rsidR="007D7140" w:rsidRDefault="00A207BA">
      <w:pPr>
        <w:keepNext/>
        <w:widowControl/>
        <w:ind w:left="1276" w:hanging="1276"/>
        <w:rPr>
          <w:b/>
          <w:bCs/>
          <w:lang w:val="hu-HU"/>
        </w:rPr>
      </w:pPr>
      <w:r>
        <w:rPr>
          <w:b/>
          <w:bCs/>
          <w:lang w:val="hu-HU"/>
        </w:rPr>
        <w:t>28. táblázat: A primer és szekunder hatásossági végpontok (a VTE, az MVT és/vagy PE eredője) analízise a kezelés utáni időszak végéig a RE-MEDY vizsgálatban</w:t>
      </w:r>
    </w:p>
    <w:p w:rsidR="007D7140" w:rsidRDefault="007D7140">
      <w:pPr>
        <w:keepNext/>
        <w:widowControl/>
        <w:ind w:left="1274" w:hanging="1277"/>
        <w:rPr>
          <w:lang w:val="hu-HU"/>
        </w:rPr>
      </w:pPr>
    </w:p>
    <w:tbl>
      <w:tblPr>
        <w:tblStyle w:val="TableGrid"/>
        <w:tblW w:w="9101" w:type="dxa"/>
        <w:tblInd w:w="-34" w:type="dxa"/>
        <w:tblCellMar>
          <w:top w:w="51" w:type="dxa"/>
          <w:left w:w="70" w:type="dxa"/>
          <w:right w:w="115" w:type="dxa"/>
        </w:tblCellMar>
        <w:tblLook w:val="04A0" w:firstRow="1" w:lastRow="0" w:firstColumn="1" w:lastColumn="0" w:noHBand="0" w:noVBand="1"/>
      </w:tblPr>
      <w:tblGrid>
        <w:gridCol w:w="4849"/>
        <w:gridCol w:w="2410"/>
        <w:gridCol w:w="1842"/>
      </w:tblGrid>
      <w:tr w:rsidR="007D7140">
        <w:trPr>
          <w:trHeight w:val="792"/>
        </w:trPr>
        <w:tc>
          <w:tcPr>
            <w:tcW w:w="4849" w:type="dxa"/>
            <w:tcBorders>
              <w:top w:val="single" w:sz="4" w:space="0" w:color="000000"/>
              <w:left w:val="single" w:sz="4" w:space="0" w:color="000000"/>
              <w:bottom w:val="single" w:sz="4" w:space="0" w:color="000000"/>
              <w:right w:val="single" w:sz="4" w:space="0" w:color="000000"/>
            </w:tcBorders>
          </w:tcPr>
          <w:p w:rsidR="007D7140" w:rsidRDefault="007D7140">
            <w:pPr>
              <w:keepNext/>
              <w:widowControl/>
              <w:rPr>
                <w:lang w:val="hu-HU"/>
              </w:rPr>
            </w:pP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jc w:val="center"/>
              <w:rPr>
                <w:lang w:val="hu-HU"/>
              </w:rPr>
            </w:pPr>
            <w:r>
              <w:rPr>
                <w:lang w:val="hu-HU"/>
              </w:rPr>
              <w:t>Dabigatrán</w:t>
            </w:r>
            <w:r>
              <w:rPr>
                <w:lang w:val="hu-HU"/>
              </w:rPr>
              <w:noBreakHyphen/>
              <w:t>etexilát naponta kétszer 150 mg</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46"/>
              <w:jc w:val="center"/>
              <w:rPr>
                <w:lang w:val="hu-HU"/>
              </w:rPr>
            </w:pPr>
            <w:r>
              <w:rPr>
                <w:lang w:val="hu-HU"/>
              </w:rPr>
              <w:t>Warfarin</w:t>
            </w: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rPr>
                <w:lang w:val="hu-HU"/>
              </w:rPr>
            </w:pPr>
            <w:r>
              <w:rPr>
                <w:lang w:val="hu-HU"/>
              </w:rPr>
              <w:t>Kezelt betegek</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43"/>
              <w:jc w:val="center"/>
              <w:rPr>
                <w:lang w:val="hu-HU"/>
              </w:rPr>
            </w:pPr>
            <w:r>
              <w:rPr>
                <w:lang w:val="hu-HU"/>
              </w:rPr>
              <w:t xml:space="preserve">1430 </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keepNext/>
              <w:widowControl/>
              <w:ind w:left="41"/>
              <w:jc w:val="center"/>
              <w:rPr>
                <w:lang w:val="hu-HU"/>
              </w:rPr>
            </w:pPr>
            <w:r>
              <w:rPr>
                <w:lang w:val="hu-HU"/>
              </w:rPr>
              <w:t xml:space="preserve">1426 </w:t>
            </w:r>
          </w:p>
        </w:tc>
      </w:tr>
      <w:tr w:rsidR="007D7140">
        <w:trPr>
          <w:trHeight w:val="516"/>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Visszatérő szimptómás VTE és VTE</w:t>
            </w:r>
            <w:r>
              <w:rPr>
                <w:lang w:val="hu-HU"/>
              </w:rPr>
              <w:noBreakHyphen/>
              <w:t>vel összefüggő halál</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7"/>
              <w:jc w:val="center"/>
              <w:rPr>
                <w:lang w:val="hu-HU"/>
              </w:rPr>
            </w:pPr>
            <w:r>
              <w:rPr>
                <w:lang w:val="hu-HU"/>
              </w:rPr>
              <w:t>26 (1,8%)</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18 (1,3%)</w:t>
            </w:r>
          </w:p>
        </w:tc>
      </w:tr>
      <w:tr w:rsidR="007D7140">
        <w:trPr>
          <w:trHeight w:val="647"/>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Relatív hazárd (hazard ratio) a warfarinhoz képest (95%</w:t>
            </w:r>
            <w:r>
              <w:rPr>
                <w:lang w:val="hu-HU"/>
              </w:rPr>
              <w:noBreakHyphen/>
              <w:t>os konfidencia intervallum)</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tabs>
                <w:tab w:val="left" w:pos="2201"/>
              </w:tabs>
              <w:ind w:left="408" w:right="363"/>
              <w:jc w:val="center"/>
              <w:rPr>
                <w:lang w:val="hu-HU"/>
              </w:rPr>
            </w:pPr>
            <w:r>
              <w:rPr>
                <w:lang w:val="hu-HU"/>
              </w:rPr>
              <w:t>1,44 (0,78, 2,64)</w:t>
            </w:r>
          </w:p>
        </w:tc>
        <w:tc>
          <w:tcPr>
            <w:tcW w:w="1842"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non</w:t>
            </w:r>
            <w:r>
              <w:rPr>
                <w:lang w:val="hu-HU"/>
              </w:rPr>
              <w:noBreakHyphen/>
              <w:t>inferioritási határérték</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2,85</w:t>
            </w:r>
          </w:p>
        </w:tc>
        <w:tc>
          <w:tcPr>
            <w:tcW w:w="1842"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r>
      <w:tr w:rsidR="007D7140">
        <w:trPr>
          <w:trHeight w:val="321"/>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18 hónapnál valamilyen eseményt jelentő betegek</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3"/>
              <w:jc w:val="center"/>
              <w:rPr>
                <w:lang w:val="hu-HU"/>
              </w:rPr>
            </w:pPr>
            <w:r>
              <w:rPr>
                <w:lang w:val="hu-HU"/>
              </w:rPr>
              <w:t>22</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1"/>
              <w:jc w:val="center"/>
              <w:rPr>
                <w:lang w:val="hu-HU"/>
              </w:rPr>
            </w:pPr>
            <w:r>
              <w:rPr>
                <w:lang w:val="hu-HU"/>
              </w:rPr>
              <w:t>17</w:t>
            </w:r>
          </w:p>
        </w:tc>
      </w:tr>
      <w:tr w:rsidR="007D7140">
        <w:trPr>
          <w:trHeight w:val="300"/>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ind w:right="-118"/>
              <w:rPr>
                <w:lang w:val="hu-HU"/>
              </w:rPr>
            </w:pPr>
            <w:r>
              <w:rPr>
                <w:lang w:val="hu-HU"/>
              </w:rPr>
              <w:t>Kumulatív kockázat 18 hónapnál (%)</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1,7</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3"/>
              <w:jc w:val="center"/>
              <w:rPr>
                <w:lang w:val="hu-HU"/>
              </w:rPr>
            </w:pPr>
            <w:r>
              <w:rPr>
                <w:lang w:val="hu-HU"/>
              </w:rPr>
              <w:t>1,4</w:t>
            </w:r>
          </w:p>
        </w:tc>
      </w:tr>
      <w:tr w:rsidR="007D7140">
        <w:trPr>
          <w:trHeight w:val="349"/>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Kockázat különbség a warfarinhoz képest (%)</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0,4</w:t>
            </w:r>
          </w:p>
        </w:tc>
        <w:tc>
          <w:tcPr>
            <w:tcW w:w="1842"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lastRenderedPageBreak/>
              <w:t>95%</w:t>
            </w:r>
            <w:r>
              <w:rPr>
                <w:lang w:val="hu-HU"/>
              </w:rPr>
              <w:noBreakHyphen/>
              <w:t>os konfidencia intervallum</w:t>
            </w:r>
          </w:p>
        </w:tc>
        <w:tc>
          <w:tcPr>
            <w:tcW w:w="2410"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c>
          <w:tcPr>
            <w:tcW w:w="1842"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non</w:t>
            </w:r>
            <w:r>
              <w:rPr>
                <w:lang w:val="hu-HU"/>
              </w:rPr>
              <w:noBreakHyphen/>
              <w:t>inferioritási határérték</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2,8</w:t>
            </w:r>
          </w:p>
        </w:tc>
        <w:tc>
          <w:tcPr>
            <w:tcW w:w="1842"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Szekunder hatásossági végpontok</w:t>
            </w:r>
          </w:p>
        </w:tc>
        <w:tc>
          <w:tcPr>
            <w:tcW w:w="2410"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c>
          <w:tcPr>
            <w:tcW w:w="1842" w:type="dxa"/>
            <w:tcBorders>
              <w:top w:val="single" w:sz="4" w:space="0" w:color="000000"/>
              <w:left w:val="single" w:sz="4" w:space="0" w:color="000000"/>
              <w:bottom w:val="single" w:sz="4" w:space="0" w:color="000000"/>
              <w:right w:val="single" w:sz="4" w:space="0" w:color="000000"/>
            </w:tcBorders>
          </w:tcPr>
          <w:p w:rsidR="007D7140" w:rsidRDefault="007D7140">
            <w:pPr>
              <w:jc w:val="center"/>
              <w:rPr>
                <w:lang w:val="hu-HU"/>
              </w:rPr>
            </w:pPr>
          </w:p>
        </w:tc>
      </w:tr>
      <w:tr w:rsidR="007D7140">
        <w:trPr>
          <w:trHeight w:val="38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Visszatérő szimptómás VTE és bármely okból bekövetkező halálozás</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7"/>
              <w:jc w:val="center"/>
              <w:rPr>
                <w:lang w:val="hu-HU"/>
              </w:rPr>
            </w:pPr>
            <w:r>
              <w:rPr>
                <w:lang w:val="hu-HU"/>
              </w:rPr>
              <w:t>42 (2,9%)</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36 (2,5%)</w:t>
            </w: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 xml:space="preserve">os konfidencia intervallum </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8"/>
              <w:jc w:val="center"/>
              <w:rPr>
                <w:lang w:val="hu-HU"/>
              </w:rPr>
            </w:pPr>
            <w:r>
              <w:rPr>
                <w:lang w:val="hu-HU"/>
              </w:rPr>
              <w:t>2,12, 3,95</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1,77, 3,48</w:t>
            </w: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Szimptómás MVT</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7"/>
              <w:jc w:val="center"/>
              <w:rPr>
                <w:lang w:val="hu-HU"/>
              </w:rPr>
            </w:pPr>
            <w:r>
              <w:rPr>
                <w:lang w:val="hu-HU"/>
              </w:rPr>
              <w:t>17 (1,2%)</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13 (0,9%)</w:t>
            </w: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8"/>
              <w:jc w:val="center"/>
              <w:rPr>
                <w:lang w:val="hu-HU"/>
              </w:rPr>
            </w:pPr>
            <w:r>
              <w:rPr>
                <w:lang w:val="hu-HU"/>
              </w:rPr>
              <w:t>0,69, 1,90</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0,49, 1,55</w:t>
            </w: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Szimptómás PE</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7"/>
              <w:jc w:val="center"/>
              <w:rPr>
                <w:lang w:val="hu-HU"/>
              </w:rPr>
            </w:pPr>
            <w:r>
              <w:rPr>
                <w:lang w:val="hu-HU"/>
              </w:rPr>
              <w:t>10 (0,7%)</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5 (0,4%)</w:t>
            </w: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8"/>
              <w:jc w:val="center"/>
              <w:rPr>
                <w:lang w:val="hu-HU"/>
              </w:rPr>
            </w:pPr>
            <w:r>
              <w:rPr>
                <w:lang w:val="hu-HU"/>
              </w:rPr>
              <w:t>0,34, 1,28</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0,11, 0,82</w:t>
            </w: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VTE-vel összefüggő halál</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7"/>
              <w:jc w:val="center"/>
              <w:rPr>
                <w:lang w:val="hu-HU"/>
              </w:rPr>
            </w:pPr>
            <w:r>
              <w:rPr>
                <w:lang w:val="hu-HU"/>
              </w:rPr>
              <w:t>1 (0,1%)</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1 (0,1%)</w:t>
            </w: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8"/>
              <w:jc w:val="center"/>
              <w:rPr>
                <w:lang w:val="hu-HU"/>
              </w:rPr>
            </w:pPr>
            <w:r>
              <w:rPr>
                <w:lang w:val="hu-HU"/>
              </w:rPr>
              <w:t>0,00, 0,39</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0,00, 0,39</w:t>
            </w:r>
          </w:p>
        </w:tc>
      </w:tr>
      <w:tr w:rsidR="007D7140">
        <w:trPr>
          <w:trHeight w:val="264"/>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Bármely okból bekövetkező halálozás</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7"/>
              <w:jc w:val="center"/>
              <w:rPr>
                <w:lang w:val="hu-HU"/>
              </w:rPr>
            </w:pPr>
            <w:r>
              <w:rPr>
                <w:lang w:val="hu-HU"/>
              </w:rPr>
              <w:t>17 (1,2%)</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5"/>
              <w:jc w:val="center"/>
              <w:rPr>
                <w:lang w:val="hu-HU"/>
              </w:rPr>
            </w:pPr>
            <w:r>
              <w:rPr>
                <w:lang w:val="hu-HU"/>
              </w:rPr>
              <w:t>19 (1,3%)</w:t>
            </w:r>
          </w:p>
        </w:tc>
      </w:tr>
      <w:tr w:rsidR="007D7140">
        <w:trPr>
          <w:trHeight w:val="262"/>
        </w:trPr>
        <w:tc>
          <w:tcPr>
            <w:tcW w:w="4849"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2410" w:type="dxa"/>
            <w:tcBorders>
              <w:top w:val="single" w:sz="4" w:space="0" w:color="000000"/>
              <w:left w:val="single" w:sz="4" w:space="0" w:color="000000"/>
              <w:bottom w:val="single" w:sz="4" w:space="0" w:color="000000"/>
              <w:right w:val="single" w:sz="4" w:space="0" w:color="000000"/>
            </w:tcBorders>
          </w:tcPr>
          <w:p w:rsidR="007D7140" w:rsidRDefault="00A207BA">
            <w:pPr>
              <w:ind w:left="48"/>
              <w:jc w:val="center"/>
              <w:rPr>
                <w:lang w:val="hu-HU"/>
              </w:rPr>
            </w:pPr>
            <w:r>
              <w:rPr>
                <w:lang w:val="hu-HU"/>
              </w:rPr>
              <w:t>0,69, 1,90</w:t>
            </w:r>
          </w:p>
        </w:tc>
        <w:tc>
          <w:tcPr>
            <w:tcW w:w="1842" w:type="dxa"/>
            <w:tcBorders>
              <w:top w:val="single" w:sz="4" w:space="0" w:color="000000"/>
              <w:left w:val="single" w:sz="4" w:space="0" w:color="000000"/>
              <w:bottom w:val="single" w:sz="4" w:space="0" w:color="000000"/>
              <w:right w:val="single" w:sz="4" w:space="0" w:color="000000"/>
            </w:tcBorders>
          </w:tcPr>
          <w:p w:rsidR="007D7140" w:rsidRDefault="00A207BA">
            <w:pPr>
              <w:ind w:left="46"/>
              <w:jc w:val="center"/>
              <w:rPr>
                <w:lang w:val="hu-HU"/>
              </w:rPr>
            </w:pPr>
            <w:r>
              <w:rPr>
                <w:lang w:val="hu-HU"/>
              </w:rPr>
              <w:t>0,80, 2,07</w:t>
            </w:r>
          </w:p>
        </w:tc>
      </w:tr>
    </w:tbl>
    <w:p w:rsidR="007D7140" w:rsidRDefault="007D7140">
      <w:pPr>
        <w:ind w:left="7" w:right="142"/>
        <w:rPr>
          <w:lang w:val="hu-HU"/>
        </w:rPr>
      </w:pPr>
    </w:p>
    <w:p w:rsidR="007D7140" w:rsidRDefault="00A207BA">
      <w:pPr>
        <w:ind w:left="7" w:right="142"/>
        <w:rPr>
          <w:lang w:val="hu-HU"/>
        </w:rPr>
      </w:pPr>
      <w:r>
        <w:rPr>
          <w:lang w:val="hu-HU"/>
        </w:rPr>
        <w:t>A RE</w:t>
      </w:r>
      <w:r>
        <w:rPr>
          <w:lang w:val="hu-HU"/>
        </w:rPr>
        <w:noBreakHyphen/>
        <w:t>SONATE vizsgálat célja a dabigatrán</w:t>
      </w:r>
      <w:r>
        <w:rPr>
          <w:lang w:val="hu-HU"/>
        </w:rPr>
        <w:noBreakHyphen/>
        <w:t>etexilát visszatérő szimptómás MVT és/PE prevenciójában mutatott szuperioritásának értékelése a placebóhoz képest olyan betegeknél, akik már legalább 6</w:t>
      </w:r>
      <w:r>
        <w:rPr>
          <w:lang w:val="hu-HU"/>
        </w:rPr>
        <w:noBreakHyphen/>
        <w:t>18 hónapja részesültek K</w:t>
      </w:r>
      <w:r>
        <w:rPr>
          <w:lang w:val="hu-HU"/>
        </w:rPr>
        <w:noBreakHyphen/>
        <w:t>vitamin</w:t>
      </w:r>
      <w:r>
        <w:rPr>
          <w:lang w:val="hu-HU"/>
        </w:rPr>
        <w:noBreakHyphen/>
        <w:t>antagonista</w:t>
      </w:r>
      <w:r>
        <w:rPr>
          <w:lang w:val="hu-HU"/>
        </w:rPr>
        <w:noBreakHyphen/>
        <w:t>kezelésben. A tervezett kezelés kétszer 150 mg dabigatrán</w:t>
      </w:r>
      <w:r>
        <w:rPr>
          <w:lang w:val="hu-HU"/>
        </w:rPr>
        <w:noBreakHyphen/>
        <w:t>etexilát volt 6 hónapon át, monitorozás szükségessége nélkül.</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SONATE vizsgálat igazolta a dabigatrán</w:t>
      </w:r>
      <w:r>
        <w:rPr>
          <w:lang w:val="hu-HU"/>
        </w:rPr>
        <w:noBreakHyphen/>
        <w:t>etexilát placebóhoz viszonyított, a visszatérő szimptómás MVT/PE prevenciójában mutatott szuperioritását, beleértve az ismeretlen okú haláleseteket is, a kezelési időszak alatt a kockázat 5,6%</w:t>
      </w:r>
      <w:r>
        <w:rPr>
          <w:lang w:val="hu-HU"/>
        </w:rPr>
        <w:noBreakHyphen/>
        <w:t>ról 0,4%</w:t>
      </w:r>
      <w:r>
        <w:rPr>
          <w:lang w:val="hu-HU"/>
        </w:rPr>
        <w:noBreakHyphen/>
        <w:t>ra csökkent (a relatív hazárdon alapuló relatív kockázatcsökkenés 92% (p</w:t>
      </w:r>
      <w:r w:rsidR="00D973D6">
        <w:rPr>
          <w:lang w:val="hu-HU"/>
        </w:rPr>
        <w:t> </w:t>
      </w:r>
      <w:r>
        <w:rPr>
          <w:lang w:val="hu-HU"/>
        </w:rPr>
        <w:t>&lt; 0,0001). A primer végpontok szekunder és szenzitivitási analízise és minden szekunder végpont a dabigatrán</w:t>
      </w:r>
      <w:r>
        <w:rPr>
          <w:lang w:val="hu-HU"/>
        </w:rPr>
        <w:noBreakHyphen/>
        <w:t>etexilát placebóhoz viszonyított szuperioritását igazolta.</w:t>
      </w:r>
    </w:p>
    <w:p w:rsidR="007D7140" w:rsidRDefault="007D7140">
      <w:pPr>
        <w:ind w:left="7" w:right="9"/>
        <w:rPr>
          <w:lang w:val="hu-HU"/>
        </w:rPr>
      </w:pPr>
    </w:p>
    <w:p w:rsidR="007D7140" w:rsidRDefault="00A207BA">
      <w:pPr>
        <w:ind w:left="7" w:right="9"/>
        <w:rPr>
          <w:lang w:val="hu-HU"/>
        </w:rPr>
      </w:pPr>
      <w:r>
        <w:rPr>
          <w:lang w:val="hu-HU"/>
        </w:rPr>
        <w:t>A vizsgálat magában foglalt egy 12 hónapos megfigyeléses utánkövetést a kezelés befejezése után. A gyógyszerelés leállítását követően a hatás a megfigyelési időszak végéig fennmaradt, ami arra utal, hogy a kezdeti dabigatrán</w:t>
      </w:r>
      <w:r>
        <w:rPr>
          <w:lang w:val="hu-HU"/>
        </w:rPr>
        <w:noBreakHyphen/>
        <w:t>etexilát-kezelés hatása tartós volt. Rebound hatást nem figyeltek meg. A követés végére a VTE események a dabigatrán</w:t>
      </w:r>
      <w:r>
        <w:rPr>
          <w:lang w:val="hu-HU"/>
        </w:rPr>
        <w:noBreakHyphen/>
        <w:t>etexiláttal kezelt betegek 6,9%</w:t>
      </w:r>
      <w:r>
        <w:rPr>
          <w:lang w:val="hu-HU"/>
        </w:rPr>
        <w:noBreakHyphen/>
        <w:t>ánál, míg a placebót kapók 10,7%</w:t>
      </w:r>
      <w:r>
        <w:rPr>
          <w:lang w:val="hu-HU"/>
        </w:rPr>
        <w:noBreakHyphen/>
        <w:t>ánál voltak észlelhetők (relatív hazárd 0,61 [95%</w:t>
      </w:r>
      <w:r>
        <w:rPr>
          <w:lang w:val="hu-HU"/>
        </w:rPr>
        <w:noBreakHyphen/>
        <w:t xml:space="preserve">os </w:t>
      </w:r>
      <w:r w:rsidR="00D973D6">
        <w:rPr>
          <w:lang w:val="hu-HU"/>
        </w:rPr>
        <w:t>CI:</w:t>
      </w:r>
      <w:r>
        <w:rPr>
          <w:lang w:val="hu-HU"/>
        </w:rPr>
        <w:t>0,42, 0,88], p = 0,0082).</w:t>
      </w:r>
    </w:p>
    <w:p w:rsidR="007D7140" w:rsidRDefault="007D7140">
      <w:pPr>
        <w:ind w:left="7" w:right="9"/>
        <w:rPr>
          <w:lang w:val="hu-HU"/>
        </w:rPr>
      </w:pPr>
    </w:p>
    <w:p w:rsidR="007D7140" w:rsidRDefault="00A207BA">
      <w:pPr>
        <w:keepNext/>
        <w:widowControl/>
        <w:ind w:left="1276" w:hanging="1276"/>
        <w:rPr>
          <w:b/>
          <w:bCs/>
          <w:lang w:val="hu-HU"/>
        </w:rPr>
      </w:pPr>
      <w:r>
        <w:rPr>
          <w:b/>
          <w:bCs/>
          <w:lang w:val="hu-HU"/>
        </w:rPr>
        <w:t xml:space="preserve">29. táblázat: A primer és szekunder hatásossági végpontok </w:t>
      </w:r>
      <w:bookmarkStart w:id="14" w:name="_Hlk139538126"/>
      <w:r>
        <w:rPr>
          <w:b/>
          <w:bCs/>
          <w:lang w:val="hu-HU"/>
        </w:rPr>
        <w:t>(a VTE, az MVT és/vagy PE eredője)</w:t>
      </w:r>
      <w:bookmarkEnd w:id="14"/>
      <w:r>
        <w:rPr>
          <w:b/>
          <w:bCs/>
          <w:lang w:val="hu-HU"/>
        </w:rPr>
        <w:t xml:space="preserve"> analízise a kezelés utáni időszak végéig a RE-SONATE vizsgálatban</w:t>
      </w:r>
    </w:p>
    <w:p w:rsidR="007D7140" w:rsidRDefault="007D7140">
      <w:pPr>
        <w:keepNext/>
        <w:widowControl/>
        <w:ind w:left="1274" w:hanging="1277"/>
        <w:rPr>
          <w:lang w:val="hu-HU"/>
        </w:rPr>
      </w:pPr>
    </w:p>
    <w:tbl>
      <w:tblPr>
        <w:tblStyle w:val="TableGrid"/>
        <w:tblW w:w="9101" w:type="dxa"/>
        <w:tblInd w:w="-34" w:type="dxa"/>
        <w:tblCellMar>
          <w:top w:w="51" w:type="dxa"/>
          <w:left w:w="70" w:type="dxa"/>
          <w:right w:w="25" w:type="dxa"/>
        </w:tblCellMar>
        <w:tblLook w:val="04A0" w:firstRow="1" w:lastRow="0" w:firstColumn="1" w:lastColumn="0" w:noHBand="0" w:noVBand="1"/>
      </w:tblPr>
      <w:tblGrid>
        <w:gridCol w:w="4282"/>
        <w:gridCol w:w="3118"/>
        <w:gridCol w:w="1701"/>
      </w:tblGrid>
      <w:tr w:rsidR="007D7140">
        <w:trPr>
          <w:trHeight w:val="552"/>
        </w:trPr>
        <w:tc>
          <w:tcPr>
            <w:tcW w:w="4282" w:type="dxa"/>
            <w:tcBorders>
              <w:top w:val="single" w:sz="4" w:space="0" w:color="000000"/>
              <w:left w:val="single" w:sz="4" w:space="0" w:color="000000"/>
              <w:bottom w:val="single" w:sz="4" w:space="0" w:color="000000"/>
              <w:right w:val="single" w:sz="4" w:space="0" w:color="000000"/>
            </w:tcBorders>
          </w:tcPr>
          <w:p w:rsidR="007D7140" w:rsidRDefault="007D7140">
            <w:pPr>
              <w:keepNext/>
              <w:widowControl/>
              <w:rPr>
                <w:lang w:val="hu-HU"/>
              </w:rPr>
            </w:pPr>
          </w:p>
        </w:tc>
        <w:tc>
          <w:tcPr>
            <w:tcW w:w="3118" w:type="dxa"/>
            <w:tcBorders>
              <w:top w:val="single" w:sz="4" w:space="0" w:color="000000"/>
              <w:left w:val="single" w:sz="4" w:space="0" w:color="000000"/>
              <w:bottom w:val="single" w:sz="4" w:space="0" w:color="000000"/>
              <w:right w:val="single" w:sz="6" w:space="0" w:color="000000"/>
            </w:tcBorders>
          </w:tcPr>
          <w:p w:rsidR="007D7140" w:rsidRDefault="00A207BA">
            <w:pPr>
              <w:keepNext/>
              <w:widowControl/>
              <w:ind w:left="75" w:right="116"/>
              <w:jc w:val="center"/>
              <w:rPr>
                <w:lang w:val="hu-HU"/>
              </w:rPr>
            </w:pPr>
            <w:r>
              <w:rPr>
                <w:lang w:val="hu-HU"/>
              </w:rPr>
              <w:t>Dabigatrán</w:t>
            </w:r>
            <w:r>
              <w:rPr>
                <w:lang w:val="hu-HU"/>
              </w:rPr>
              <w:noBreakHyphen/>
              <w:t>etexilát naponta kétszer 150 mg</w:t>
            </w:r>
          </w:p>
        </w:tc>
        <w:tc>
          <w:tcPr>
            <w:tcW w:w="1701" w:type="dxa"/>
            <w:tcBorders>
              <w:top w:val="single" w:sz="4" w:space="0" w:color="000000"/>
              <w:left w:val="single" w:sz="6" w:space="0" w:color="000000"/>
              <w:bottom w:val="single" w:sz="4" w:space="0" w:color="000000"/>
              <w:right w:val="single" w:sz="4" w:space="0" w:color="000000"/>
            </w:tcBorders>
          </w:tcPr>
          <w:p w:rsidR="007D7140" w:rsidRDefault="00A207BA">
            <w:pPr>
              <w:keepNext/>
              <w:widowControl/>
              <w:ind w:right="44"/>
              <w:jc w:val="center"/>
              <w:rPr>
                <w:lang w:val="hu-HU"/>
              </w:rPr>
            </w:pPr>
            <w:r>
              <w:rPr>
                <w:lang w:val="hu-HU"/>
              </w:rPr>
              <w:t>Placebo</w:t>
            </w:r>
          </w:p>
        </w:tc>
      </w:tr>
      <w:tr w:rsidR="007D7140">
        <w:trPr>
          <w:trHeight w:val="26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Kezelt betegek </w:t>
            </w:r>
          </w:p>
        </w:tc>
        <w:tc>
          <w:tcPr>
            <w:tcW w:w="3118" w:type="dxa"/>
            <w:tcBorders>
              <w:top w:val="single" w:sz="4" w:space="0" w:color="000000"/>
              <w:left w:val="single" w:sz="4" w:space="0" w:color="000000"/>
              <w:bottom w:val="single" w:sz="4" w:space="0" w:color="000000"/>
              <w:right w:val="single" w:sz="6" w:space="0" w:color="000000"/>
            </w:tcBorders>
          </w:tcPr>
          <w:p w:rsidR="007D7140" w:rsidRDefault="00A207BA">
            <w:pPr>
              <w:ind w:right="53"/>
              <w:jc w:val="center"/>
              <w:rPr>
                <w:lang w:val="hu-HU"/>
              </w:rPr>
            </w:pPr>
            <w:r>
              <w:rPr>
                <w:lang w:val="hu-HU"/>
              </w:rPr>
              <w:t xml:space="preserve">681 </w:t>
            </w:r>
          </w:p>
        </w:tc>
        <w:tc>
          <w:tcPr>
            <w:tcW w:w="1701" w:type="dxa"/>
            <w:tcBorders>
              <w:top w:val="single" w:sz="4" w:space="0" w:color="000000"/>
              <w:left w:val="single" w:sz="6" w:space="0" w:color="000000"/>
              <w:bottom w:val="single" w:sz="4" w:space="0" w:color="000000"/>
              <w:right w:val="single" w:sz="4" w:space="0" w:color="000000"/>
            </w:tcBorders>
          </w:tcPr>
          <w:p w:rsidR="007D7140" w:rsidRDefault="00A207BA">
            <w:pPr>
              <w:ind w:right="42"/>
              <w:jc w:val="center"/>
              <w:rPr>
                <w:lang w:val="hu-HU"/>
              </w:rPr>
            </w:pPr>
            <w:r>
              <w:rPr>
                <w:lang w:val="hu-HU"/>
              </w:rPr>
              <w:t xml:space="preserve">662 </w:t>
            </w:r>
          </w:p>
        </w:tc>
      </w:tr>
      <w:tr w:rsidR="007D7140">
        <w:trPr>
          <w:trHeight w:val="325"/>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Visszatérő szimptómás VTE és azzal összefüggő halál</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9"/>
              <w:jc w:val="center"/>
              <w:rPr>
                <w:lang w:val="hu-HU"/>
              </w:rPr>
            </w:pPr>
            <w:r>
              <w:rPr>
                <w:lang w:val="hu-HU"/>
              </w:rPr>
              <w:t>3 (0,4%)</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3"/>
              <w:jc w:val="center"/>
              <w:rPr>
                <w:lang w:val="hu-HU"/>
              </w:rPr>
            </w:pPr>
            <w:r>
              <w:rPr>
                <w:lang w:val="hu-HU"/>
              </w:rPr>
              <w:t>37 (5,6%)</w:t>
            </w:r>
          </w:p>
        </w:tc>
      </w:tr>
      <w:tr w:rsidR="007D7140">
        <w:trPr>
          <w:trHeight w:val="49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 xml:space="preserve">Relatív hazárd vs. placebo </w:t>
            </w:r>
          </w:p>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left="745" w:right="797"/>
              <w:jc w:val="center"/>
              <w:rPr>
                <w:lang w:val="hu-HU"/>
              </w:rPr>
            </w:pPr>
            <w:r>
              <w:rPr>
                <w:lang w:val="hu-HU"/>
              </w:rPr>
              <w:t>0,08 (0,02, 0,25)</w:t>
            </w:r>
          </w:p>
        </w:tc>
        <w:tc>
          <w:tcPr>
            <w:tcW w:w="1701" w:type="dxa"/>
            <w:tcBorders>
              <w:top w:val="single" w:sz="4" w:space="0" w:color="000000"/>
              <w:left w:val="single" w:sz="6" w:space="0" w:color="000000"/>
              <w:bottom w:val="single" w:sz="4" w:space="0" w:color="000000"/>
              <w:right w:val="single" w:sz="4" w:space="0" w:color="000000"/>
            </w:tcBorders>
          </w:tcPr>
          <w:p w:rsidR="007D7140" w:rsidRDefault="007D7140">
            <w:pPr>
              <w:rPr>
                <w:lang w:val="hu-HU"/>
              </w:rPr>
            </w:pPr>
          </w:p>
        </w:tc>
      </w:tr>
      <w:tr w:rsidR="007D7140">
        <w:trPr>
          <w:trHeight w:val="340"/>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tabs>
                <w:tab w:val="right" w:pos="2218"/>
              </w:tabs>
              <w:rPr>
                <w:lang w:val="hu-HU"/>
              </w:rPr>
            </w:pPr>
            <w:r>
              <w:rPr>
                <w:lang w:val="hu-HU"/>
              </w:rPr>
              <w:t>A szuperioritásra vonatkozó p</w:t>
            </w:r>
            <w:r>
              <w:rPr>
                <w:lang w:val="hu-HU"/>
              </w:rPr>
              <w:noBreakHyphen/>
              <w:t xml:space="preserve">érték </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&lt; 0,0001</w:t>
            </w:r>
          </w:p>
        </w:tc>
        <w:tc>
          <w:tcPr>
            <w:tcW w:w="1701" w:type="dxa"/>
            <w:tcBorders>
              <w:top w:val="single" w:sz="4" w:space="0" w:color="000000"/>
              <w:left w:val="single" w:sz="6" w:space="0" w:color="000000"/>
              <w:bottom w:val="single" w:sz="4" w:space="0" w:color="000000"/>
              <w:right w:val="single" w:sz="4" w:space="0" w:color="000000"/>
            </w:tcBorders>
          </w:tcPr>
          <w:p w:rsidR="007D7140" w:rsidRDefault="007D7140">
            <w:pPr>
              <w:rPr>
                <w:lang w:val="hu-HU"/>
              </w:rPr>
            </w:pPr>
          </w:p>
        </w:tc>
      </w:tr>
      <w:tr w:rsidR="007D7140">
        <w:trPr>
          <w:trHeight w:val="178"/>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Szekunder hatásossági végpontok</w:t>
            </w:r>
          </w:p>
        </w:tc>
        <w:tc>
          <w:tcPr>
            <w:tcW w:w="3118" w:type="dxa"/>
            <w:tcBorders>
              <w:top w:val="single" w:sz="4" w:space="0" w:color="000000"/>
              <w:left w:val="single" w:sz="4" w:space="0" w:color="000000"/>
              <w:bottom w:val="single" w:sz="4" w:space="0" w:color="000000"/>
              <w:right w:val="single" w:sz="6" w:space="0" w:color="000000"/>
            </w:tcBorders>
          </w:tcPr>
          <w:p w:rsidR="007D7140" w:rsidRDefault="007D7140">
            <w:pPr>
              <w:rPr>
                <w:lang w:val="hu-HU"/>
              </w:rPr>
            </w:pPr>
          </w:p>
        </w:tc>
        <w:tc>
          <w:tcPr>
            <w:tcW w:w="1701" w:type="dxa"/>
            <w:tcBorders>
              <w:top w:val="single" w:sz="4" w:space="0" w:color="000000"/>
              <w:left w:val="single" w:sz="6" w:space="0" w:color="000000"/>
              <w:bottom w:val="single" w:sz="4" w:space="0" w:color="000000"/>
              <w:right w:val="single" w:sz="4" w:space="0" w:color="000000"/>
            </w:tcBorders>
          </w:tcPr>
          <w:p w:rsidR="007D7140" w:rsidRDefault="007D7140">
            <w:pPr>
              <w:rPr>
                <w:lang w:val="hu-HU"/>
              </w:rPr>
            </w:pPr>
          </w:p>
        </w:tc>
      </w:tr>
      <w:tr w:rsidR="007D7140">
        <w:trPr>
          <w:trHeight w:val="283"/>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Visszatérő szimptómás VTE és bármely okból bekövetkező halálozás</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9"/>
              <w:jc w:val="center"/>
              <w:rPr>
                <w:lang w:val="hu-HU"/>
              </w:rPr>
            </w:pPr>
            <w:r>
              <w:rPr>
                <w:lang w:val="hu-HU"/>
              </w:rPr>
              <w:t>3 (0,4%)</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3"/>
              <w:jc w:val="center"/>
              <w:rPr>
                <w:lang w:val="hu-HU"/>
              </w:rPr>
            </w:pPr>
            <w:r>
              <w:rPr>
                <w:lang w:val="hu-HU"/>
              </w:rPr>
              <w:t>37 (5,6%)</w:t>
            </w:r>
          </w:p>
        </w:tc>
      </w:tr>
      <w:tr w:rsidR="007D7140">
        <w:trPr>
          <w:trHeight w:val="37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 xml:space="preserve">os konfidencia intervallum </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0,09, 1,28</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2"/>
              <w:jc w:val="center"/>
              <w:rPr>
                <w:lang w:val="hu-HU"/>
              </w:rPr>
            </w:pPr>
            <w:r>
              <w:rPr>
                <w:lang w:val="hu-HU"/>
              </w:rPr>
              <w:t>3,97, 7,62</w:t>
            </w:r>
          </w:p>
        </w:tc>
      </w:tr>
      <w:tr w:rsidR="007D7140">
        <w:trPr>
          <w:trHeight w:val="264"/>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Szimptómás MVT</w:t>
            </w:r>
          </w:p>
        </w:tc>
        <w:tc>
          <w:tcPr>
            <w:tcW w:w="3118" w:type="dxa"/>
            <w:tcBorders>
              <w:top w:val="single" w:sz="4" w:space="0" w:color="000000"/>
              <w:left w:val="single" w:sz="4" w:space="0" w:color="000000"/>
              <w:bottom w:val="single" w:sz="4" w:space="0" w:color="000000"/>
              <w:right w:val="single" w:sz="6" w:space="0" w:color="000000"/>
            </w:tcBorders>
          </w:tcPr>
          <w:p w:rsidR="007D7140" w:rsidRDefault="00A207BA">
            <w:pPr>
              <w:ind w:right="49"/>
              <w:jc w:val="center"/>
              <w:rPr>
                <w:lang w:val="hu-HU"/>
              </w:rPr>
            </w:pPr>
            <w:r>
              <w:rPr>
                <w:lang w:val="hu-HU"/>
              </w:rPr>
              <w:t>2 (0,3%)</w:t>
            </w:r>
          </w:p>
        </w:tc>
        <w:tc>
          <w:tcPr>
            <w:tcW w:w="1701" w:type="dxa"/>
            <w:tcBorders>
              <w:top w:val="single" w:sz="4" w:space="0" w:color="000000"/>
              <w:left w:val="single" w:sz="6" w:space="0" w:color="000000"/>
              <w:bottom w:val="single" w:sz="4" w:space="0" w:color="000000"/>
              <w:right w:val="single" w:sz="4" w:space="0" w:color="000000"/>
            </w:tcBorders>
          </w:tcPr>
          <w:p w:rsidR="007D7140" w:rsidRDefault="00A207BA">
            <w:pPr>
              <w:ind w:right="43"/>
              <w:jc w:val="center"/>
              <w:rPr>
                <w:lang w:val="hu-HU"/>
              </w:rPr>
            </w:pPr>
            <w:r>
              <w:rPr>
                <w:lang w:val="hu-HU"/>
              </w:rPr>
              <w:t>23 (3,5%)</w:t>
            </w:r>
          </w:p>
        </w:tc>
      </w:tr>
      <w:tr w:rsidR="007D7140">
        <w:trPr>
          <w:trHeight w:val="327"/>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95%-os konfidencia intervallum</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0,04, 1,06</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2"/>
              <w:jc w:val="center"/>
              <w:rPr>
                <w:lang w:val="hu-HU"/>
              </w:rPr>
            </w:pPr>
            <w:r>
              <w:rPr>
                <w:lang w:val="hu-HU"/>
              </w:rPr>
              <w:t>2,21, 5,17</w:t>
            </w:r>
          </w:p>
        </w:tc>
      </w:tr>
      <w:tr w:rsidR="007D7140">
        <w:trPr>
          <w:trHeight w:val="26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lastRenderedPageBreak/>
              <w:t>Szimptómás PE</w:t>
            </w:r>
          </w:p>
        </w:tc>
        <w:tc>
          <w:tcPr>
            <w:tcW w:w="3118" w:type="dxa"/>
            <w:tcBorders>
              <w:top w:val="single" w:sz="4" w:space="0" w:color="000000"/>
              <w:left w:val="single" w:sz="4" w:space="0" w:color="000000"/>
              <w:bottom w:val="single" w:sz="4" w:space="0" w:color="000000"/>
              <w:right w:val="single" w:sz="6" w:space="0" w:color="000000"/>
            </w:tcBorders>
          </w:tcPr>
          <w:p w:rsidR="007D7140" w:rsidRDefault="00A207BA">
            <w:pPr>
              <w:ind w:right="49"/>
              <w:jc w:val="center"/>
              <w:rPr>
                <w:lang w:val="hu-HU"/>
              </w:rPr>
            </w:pPr>
            <w:r>
              <w:rPr>
                <w:lang w:val="hu-HU"/>
              </w:rPr>
              <w:t>1 (0,1%)</w:t>
            </w:r>
          </w:p>
        </w:tc>
        <w:tc>
          <w:tcPr>
            <w:tcW w:w="1701" w:type="dxa"/>
            <w:tcBorders>
              <w:top w:val="single" w:sz="4" w:space="0" w:color="000000"/>
              <w:left w:val="single" w:sz="6" w:space="0" w:color="000000"/>
              <w:bottom w:val="single" w:sz="4" w:space="0" w:color="000000"/>
              <w:right w:val="single" w:sz="4" w:space="0" w:color="000000"/>
            </w:tcBorders>
          </w:tcPr>
          <w:p w:rsidR="007D7140" w:rsidRDefault="00A207BA">
            <w:pPr>
              <w:ind w:right="43"/>
              <w:jc w:val="center"/>
              <w:rPr>
                <w:lang w:val="hu-HU"/>
              </w:rPr>
            </w:pPr>
            <w:r>
              <w:rPr>
                <w:lang w:val="hu-HU"/>
              </w:rPr>
              <w:t>14 (2,1%)</w:t>
            </w:r>
          </w:p>
        </w:tc>
      </w:tr>
      <w:tr w:rsidR="007D7140">
        <w:trPr>
          <w:trHeight w:val="323"/>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0,00, 0,82</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2"/>
              <w:jc w:val="center"/>
              <w:rPr>
                <w:lang w:val="hu-HU"/>
              </w:rPr>
            </w:pPr>
            <w:r>
              <w:rPr>
                <w:lang w:val="hu-HU"/>
              </w:rPr>
              <w:t>1,16, 3,52</w:t>
            </w:r>
          </w:p>
        </w:tc>
      </w:tr>
      <w:tr w:rsidR="007D7140">
        <w:trPr>
          <w:trHeight w:val="215"/>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VTE</w:t>
            </w:r>
            <w:r>
              <w:rPr>
                <w:lang w:val="hu-HU"/>
              </w:rPr>
              <w:noBreakHyphen/>
              <w:t>vel összefüggő halál</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52"/>
              <w:jc w:val="center"/>
              <w:rPr>
                <w:lang w:val="hu-HU"/>
              </w:rPr>
            </w:pPr>
            <w:r>
              <w:rPr>
                <w:lang w:val="hu-HU"/>
              </w:rPr>
              <w:t>0 (0)</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1"/>
              <w:jc w:val="center"/>
              <w:rPr>
                <w:lang w:val="hu-HU"/>
              </w:rPr>
            </w:pPr>
            <w:r>
              <w:rPr>
                <w:lang w:val="hu-HU"/>
              </w:rPr>
              <w:t>0 (0)</w:t>
            </w:r>
          </w:p>
        </w:tc>
      </w:tr>
      <w:tr w:rsidR="007D7140">
        <w:trPr>
          <w:trHeight w:val="33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0,00, 0,54</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2"/>
              <w:jc w:val="center"/>
              <w:rPr>
                <w:lang w:val="hu-HU"/>
              </w:rPr>
            </w:pPr>
            <w:r>
              <w:rPr>
                <w:lang w:val="hu-HU"/>
              </w:rPr>
              <w:t>0,00, 0,56</w:t>
            </w:r>
          </w:p>
        </w:tc>
      </w:tr>
      <w:tr w:rsidR="007D7140">
        <w:trPr>
          <w:trHeight w:val="264"/>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Ismeretlen okú halálozás</w:t>
            </w:r>
          </w:p>
        </w:tc>
        <w:tc>
          <w:tcPr>
            <w:tcW w:w="3118" w:type="dxa"/>
            <w:tcBorders>
              <w:top w:val="single" w:sz="4" w:space="0" w:color="000000"/>
              <w:left w:val="single" w:sz="4" w:space="0" w:color="000000"/>
              <w:bottom w:val="single" w:sz="4" w:space="0" w:color="000000"/>
              <w:right w:val="single" w:sz="6" w:space="0" w:color="000000"/>
            </w:tcBorders>
          </w:tcPr>
          <w:p w:rsidR="007D7140" w:rsidRDefault="00A207BA">
            <w:pPr>
              <w:ind w:right="52"/>
              <w:jc w:val="center"/>
              <w:rPr>
                <w:lang w:val="hu-HU"/>
              </w:rPr>
            </w:pPr>
            <w:r>
              <w:rPr>
                <w:lang w:val="hu-HU"/>
              </w:rPr>
              <w:t>0 (0)</w:t>
            </w:r>
          </w:p>
        </w:tc>
        <w:tc>
          <w:tcPr>
            <w:tcW w:w="1701" w:type="dxa"/>
            <w:tcBorders>
              <w:top w:val="single" w:sz="4" w:space="0" w:color="000000"/>
              <w:left w:val="single" w:sz="6" w:space="0" w:color="000000"/>
              <w:bottom w:val="single" w:sz="4" w:space="0" w:color="000000"/>
              <w:right w:val="single" w:sz="4" w:space="0" w:color="000000"/>
            </w:tcBorders>
          </w:tcPr>
          <w:p w:rsidR="007D7140" w:rsidRDefault="00A207BA">
            <w:pPr>
              <w:ind w:right="43"/>
              <w:jc w:val="center"/>
              <w:rPr>
                <w:lang w:val="hu-HU"/>
              </w:rPr>
            </w:pPr>
            <w:r>
              <w:rPr>
                <w:lang w:val="hu-HU"/>
              </w:rPr>
              <w:t>2 (0,3%)</w:t>
            </w:r>
          </w:p>
        </w:tc>
      </w:tr>
      <w:tr w:rsidR="007D7140">
        <w:trPr>
          <w:trHeight w:val="328"/>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0,00, 0,54</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2"/>
              <w:jc w:val="center"/>
              <w:rPr>
                <w:lang w:val="hu-HU"/>
              </w:rPr>
            </w:pPr>
            <w:r>
              <w:rPr>
                <w:lang w:val="hu-HU"/>
              </w:rPr>
              <w:t>0,04, 1,09</w:t>
            </w:r>
          </w:p>
        </w:tc>
      </w:tr>
      <w:tr w:rsidR="007D7140">
        <w:trPr>
          <w:trHeight w:val="262"/>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Bármely okból bekövetkező halálozás</w:t>
            </w:r>
          </w:p>
        </w:tc>
        <w:tc>
          <w:tcPr>
            <w:tcW w:w="3118" w:type="dxa"/>
            <w:tcBorders>
              <w:top w:val="single" w:sz="4" w:space="0" w:color="000000"/>
              <w:left w:val="single" w:sz="4" w:space="0" w:color="000000"/>
              <w:bottom w:val="single" w:sz="4" w:space="0" w:color="000000"/>
              <w:right w:val="single" w:sz="6" w:space="0" w:color="000000"/>
            </w:tcBorders>
          </w:tcPr>
          <w:p w:rsidR="007D7140" w:rsidRDefault="00A207BA">
            <w:pPr>
              <w:ind w:right="52"/>
              <w:jc w:val="center"/>
              <w:rPr>
                <w:lang w:val="hu-HU"/>
              </w:rPr>
            </w:pPr>
            <w:r>
              <w:rPr>
                <w:lang w:val="hu-HU"/>
              </w:rPr>
              <w:t>0 (0)</w:t>
            </w:r>
          </w:p>
        </w:tc>
        <w:tc>
          <w:tcPr>
            <w:tcW w:w="1701" w:type="dxa"/>
            <w:tcBorders>
              <w:top w:val="single" w:sz="4" w:space="0" w:color="000000"/>
              <w:left w:val="single" w:sz="6" w:space="0" w:color="000000"/>
              <w:bottom w:val="single" w:sz="4" w:space="0" w:color="000000"/>
              <w:right w:val="single" w:sz="4" w:space="0" w:color="000000"/>
            </w:tcBorders>
          </w:tcPr>
          <w:p w:rsidR="007D7140" w:rsidRDefault="00A207BA">
            <w:pPr>
              <w:ind w:right="43"/>
              <w:jc w:val="center"/>
              <w:rPr>
                <w:lang w:val="hu-HU"/>
              </w:rPr>
            </w:pPr>
            <w:r>
              <w:rPr>
                <w:lang w:val="hu-HU"/>
              </w:rPr>
              <w:t>2 (0,3%)</w:t>
            </w:r>
          </w:p>
        </w:tc>
      </w:tr>
      <w:tr w:rsidR="007D7140">
        <w:trPr>
          <w:trHeight w:val="311"/>
        </w:trPr>
        <w:tc>
          <w:tcPr>
            <w:tcW w:w="4282" w:type="dxa"/>
            <w:tcBorders>
              <w:top w:val="single" w:sz="4" w:space="0" w:color="000000"/>
              <w:left w:val="single" w:sz="4" w:space="0" w:color="000000"/>
              <w:bottom w:val="single" w:sz="4" w:space="0" w:color="000000"/>
              <w:right w:val="single" w:sz="4" w:space="0" w:color="000000"/>
            </w:tcBorders>
          </w:tcPr>
          <w:p w:rsidR="007D7140" w:rsidRDefault="00A207BA">
            <w:pPr>
              <w:rPr>
                <w:lang w:val="hu-HU"/>
              </w:rPr>
            </w:pPr>
            <w:r>
              <w:rPr>
                <w:lang w:val="hu-HU"/>
              </w:rPr>
              <w:t>95%</w:t>
            </w:r>
            <w:r>
              <w:rPr>
                <w:lang w:val="hu-HU"/>
              </w:rPr>
              <w:noBreakHyphen/>
              <w:t>os konfidencia intervallum</w:t>
            </w:r>
          </w:p>
        </w:tc>
        <w:tc>
          <w:tcPr>
            <w:tcW w:w="3118" w:type="dxa"/>
            <w:tcBorders>
              <w:top w:val="single" w:sz="4" w:space="0" w:color="000000"/>
              <w:left w:val="single" w:sz="4" w:space="0" w:color="000000"/>
              <w:bottom w:val="single" w:sz="4" w:space="0" w:color="000000"/>
              <w:right w:val="single" w:sz="6" w:space="0" w:color="000000"/>
            </w:tcBorders>
            <w:vAlign w:val="center"/>
          </w:tcPr>
          <w:p w:rsidR="007D7140" w:rsidRDefault="00A207BA">
            <w:pPr>
              <w:ind w:right="48"/>
              <w:jc w:val="center"/>
              <w:rPr>
                <w:lang w:val="hu-HU"/>
              </w:rPr>
            </w:pPr>
            <w:r>
              <w:rPr>
                <w:lang w:val="hu-HU"/>
              </w:rPr>
              <w:t>0,00, 0,54</w:t>
            </w:r>
          </w:p>
        </w:tc>
        <w:tc>
          <w:tcPr>
            <w:tcW w:w="1701" w:type="dxa"/>
            <w:tcBorders>
              <w:top w:val="single" w:sz="4" w:space="0" w:color="000000"/>
              <w:left w:val="single" w:sz="6" w:space="0" w:color="000000"/>
              <w:bottom w:val="single" w:sz="4" w:space="0" w:color="000000"/>
              <w:right w:val="single" w:sz="4" w:space="0" w:color="000000"/>
            </w:tcBorders>
            <w:vAlign w:val="center"/>
          </w:tcPr>
          <w:p w:rsidR="007D7140" w:rsidRDefault="00A207BA">
            <w:pPr>
              <w:ind w:right="42"/>
              <w:jc w:val="center"/>
              <w:rPr>
                <w:lang w:val="hu-HU"/>
              </w:rPr>
            </w:pPr>
            <w:r>
              <w:rPr>
                <w:lang w:val="hu-HU"/>
              </w:rPr>
              <w:t>0,04, 1,09</w:t>
            </w:r>
          </w:p>
        </w:tc>
      </w:tr>
    </w:tbl>
    <w:p w:rsidR="007D7140" w:rsidRDefault="007D7140">
      <w:pPr>
        <w:rPr>
          <w:lang w:val="hu-HU"/>
        </w:rPr>
      </w:pPr>
    </w:p>
    <w:p w:rsidR="007D7140" w:rsidRDefault="00A207BA">
      <w:pPr>
        <w:rPr>
          <w:i/>
          <w:lang w:val="hu-HU"/>
        </w:rPr>
      </w:pPr>
      <w:r>
        <w:rPr>
          <w:i/>
          <w:u w:val="single"/>
          <w:lang w:val="hu-HU"/>
        </w:rPr>
        <w:t>A</w:t>
      </w:r>
      <w:r>
        <w:rPr>
          <w:i/>
          <w:spacing w:val="-7"/>
          <w:u w:val="single"/>
          <w:lang w:val="hu-HU"/>
        </w:rPr>
        <w:t xml:space="preserve"> </w:t>
      </w:r>
      <w:r>
        <w:rPr>
          <w:i/>
          <w:u w:val="single"/>
          <w:lang w:val="hu-HU"/>
        </w:rPr>
        <w:t>thromboembolia</w:t>
      </w:r>
      <w:r>
        <w:rPr>
          <w:i/>
          <w:spacing w:val="-7"/>
          <w:u w:val="single"/>
          <w:lang w:val="hu-HU"/>
        </w:rPr>
        <w:t xml:space="preserve"> </w:t>
      </w:r>
      <w:r>
        <w:rPr>
          <w:i/>
          <w:u w:val="single"/>
          <w:lang w:val="hu-HU"/>
        </w:rPr>
        <w:t>megelőzésére</w:t>
      </w:r>
      <w:r>
        <w:rPr>
          <w:i/>
          <w:spacing w:val="-6"/>
          <w:u w:val="single"/>
          <w:lang w:val="hu-HU"/>
        </w:rPr>
        <w:t xml:space="preserve"> </w:t>
      </w:r>
      <w:r>
        <w:rPr>
          <w:i/>
          <w:u w:val="single"/>
          <w:lang w:val="hu-HU"/>
        </w:rPr>
        <w:t>irányuló</w:t>
      </w:r>
      <w:r>
        <w:rPr>
          <w:i/>
          <w:spacing w:val="-6"/>
          <w:u w:val="single"/>
          <w:lang w:val="hu-HU"/>
        </w:rPr>
        <w:t xml:space="preserve"> </w:t>
      </w:r>
      <w:r>
        <w:rPr>
          <w:i/>
          <w:u w:val="single"/>
          <w:lang w:val="hu-HU"/>
        </w:rPr>
        <w:t>klinikai</w:t>
      </w:r>
      <w:r>
        <w:rPr>
          <w:i/>
          <w:spacing w:val="-6"/>
          <w:u w:val="single"/>
          <w:lang w:val="hu-HU"/>
        </w:rPr>
        <w:t xml:space="preserve"> </w:t>
      </w:r>
      <w:r>
        <w:rPr>
          <w:i/>
          <w:u w:val="single"/>
          <w:lang w:val="hu-HU"/>
        </w:rPr>
        <w:t>vizsgálatok</w:t>
      </w:r>
      <w:r>
        <w:rPr>
          <w:i/>
          <w:spacing w:val="-6"/>
          <w:u w:val="single"/>
          <w:lang w:val="hu-HU"/>
        </w:rPr>
        <w:t xml:space="preserve"> </w:t>
      </w:r>
      <w:r>
        <w:rPr>
          <w:i/>
          <w:u w:val="single"/>
          <w:lang w:val="hu-HU"/>
        </w:rPr>
        <w:t>műbillentyű</w:t>
      </w:r>
      <w:r>
        <w:rPr>
          <w:i/>
          <w:spacing w:val="-6"/>
          <w:u w:val="single"/>
          <w:lang w:val="hu-HU"/>
        </w:rPr>
        <w:t xml:space="preserve"> </w:t>
      </w:r>
      <w:r>
        <w:rPr>
          <w:i/>
          <w:u w:val="single"/>
          <w:lang w:val="hu-HU"/>
        </w:rPr>
        <w:t>beültetett</w:t>
      </w:r>
      <w:r>
        <w:rPr>
          <w:i/>
          <w:spacing w:val="-6"/>
          <w:u w:val="single"/>
          <w:lang w:val="hu-HU"/>
        </w:rPr>
        <w:t xml:space="preserve"> </w:t>
      </w:r>
      <w:r>
        <w:rPr>
          <w:i/>
          <w:u w:val="single"/>
          <w:lang w:val="hu-HU"/>
        </w:rPr>
        <w:t>betegeknél</w:t>
      </w:r>
    </w:p>
    <w:p w:rsidR="007D7140" w:rsidRDefault="007D7140">
      <w:pPr>
        <w:rPr>
          <w:lang w:val="hu-HU"/>
        </w:rPr>
      </w:pPr>
    </w:p>
    <w:p w:rsidR="007D7140" w:rsidRDefault="00A207BA">
      <w:pPr>
        <w:rPr>
          <w:lang w:val="hu-HU"/>
        </w:rPr>
      </w:pPr>
      <w:r>
        <w:rPr>
          <w:lang w:val="hu-HU"/>
        </w:rPr>
        <w:t>Egy II. fázisú vizsgálat a dabigatrán</w:t>
      </w:r>
      <w:r>
        <w:rPr>
          <w:lang w:val="hu-HU"/>
        </w:rPr>
        <w:noBreakHyphen/>
        <w:t>etexilátot és a warfarint vizsgálta összesen 252, a közelmúltban (pl. az aktuális kórházi kezelés során) mechanikus műbillentyű beültetésen átesett, valamint</w:t>
      </w:r>
      <w:r>
        <w:rPr>
          <w:spacing w:val="1"/>
          <w:lang w:val="hu-HU"/>
        </w:rPr>
        <w:t xml:space="preserve"> </w:t>
      </w:r>
      <w:r>
        <w:rPr>
          <w:lang w:val="hu-HU"/>
        </w:rPr>
        <w:t>mechanikus műbillentyű beültetésen több mint három hónappal korábban átesett betegeknél. Több</w:t>
      </w:r>
      <w:r>
        <w:rPr>
          <w:spacing w:val="1"/>
          <w:lang w:val="hu-HU"/>
        </w:rPr>
        <w:t xml:space="preserve"> </w:t>
      </w:r>
      <w:r>
        <w:rPr>
          <w:lang w:val="hu-HU"/>
        </w:rPr>
        <w:t>thromboemboliás</w:t>
      </w:r>
      <w:r>
        <w:rPr>
          <w:spacing w:val="-3"/>
          <w:lang w:val="hu-HU"/>
        </w:rPr>
        <w:t xml:space="preserve"> </w:t>
      </w:r>
      <w:r>
        <w:rPr>
          <w:lang w:val="hu-HU"/>
        </w:rPr>
        <w:t>eseményt</w:t>
      </w:r>
      <w:r>
        <w:rPr>
          <w:spacing w:val="-2"/>
          <w:lang w:val="hu-HU"/>
        </w:rPr>
        <w:t xml:space="preserve"> </w:t>
      </w:r>
      <w:r>
        <w:rPr>
          <w:lang w:val="hu-HU"/>
        </w:rPr>
        <w:t>(főként</w:t>
      </w:r>
      <w:r>
        <w:rPr>
          <w:spacing w:val="-2"/>
          <w:lang w:val="hu-HU"/>
        </w:rPr>
        <w:t xml:space="preserve"> </w:t>
      </w:r>
      <w:r>
        <w:rPr>
          <w:lang w:val="hu-HU"/>
        </w:rPr>
        <w:t>stroke</w:t>
      </w:r>
      <w:r>
        <w:rPr>
          <w:lang w:val="hu-HU"/>
        </w:rPr>
        <w:noBreakHyphen/>
        <w:t>ot</w:t>
      </w:r>
      <w:r>
        <w:rPr>
          <w:spacing w:val="-2"/>
          <w:lang w:val="hu-HU"/>
        </w:rPr>
        <w:t xml:space="preserve"> </w:t>
      </w:r>
      <w:r>
        <w:rPr>
          <w:lang w:val="hu-HU"/>
        </w:rPr>
        <w:t>és</w:t>
      </w:r>
      <w:r>
        <w:rPr>
          <w:spacing w:val="-3"/>
          <w:lang w:val="hu-HU"/>
        </w:rPr>
        <w:t xml:space="preserve"> </w:t>
      </w:r>
      <w:r>
        <w:rPr>
          <w:lang w:val="hu-HU"/>
        </w:rPr>
        <w:t>szimptomatikus/aszimptomatikus műbillentyű</w:t>
      </w:r>
      <w:r>
        <w:rPr>
          <w:lang w:val="hu-HU"/>
        </w:rPr>
        <w:noBreakHyphen/>
        <w:t>thrombosist) és több vérzéses eseményt figyeltek meg a dabigatrán</w:t>
      </w:r>
      <w:r>
        <w:rPr>
          <w:lang w:val="hu-HU"/>
        </w:rPr>
        <w:noBreakHyphen/>
        <w:t>etexilátnál, mint a</w:t>
      </w:r>
      <w:r>
        <w:rPr>
          <w:spacing w:val="1"/>
          <w:lang w:val="hu-HU"/>
        </w:rPr>
        <w:t xml:space="preserve"> </w:t>
      </w:r>
      <w:r>
        <w:rPr>
          <w:lang w:val="hu-HU"/>
        </w:rPr>
        <w:t>warfarinnál. A korai posztoperatív szakban lévő betegeknél a jelentős vérzéses események döntően</w:t>
      </w:r>
      <w:r>
        <w:rPr>
          <w:spacing w:val="1"/>
          <w:lang w:val="hu-HU"/>
        </w:rPr>
        <w:t xml:space="preserve"> </w:t>
      </w:r>
      <w:r>
        <w:rPr>
          <w:lang w:val="hu-HU"/>
        </w:rPr>
        <w:t>véres pericardialis folyadékgyülem formájában jelentkeztek, különösen azoknál a betegeknél, akik a</w:t>
      </w:r>
      <w:r>
        <w:rPr>
          <w:spacing w:val="1"/>
          <w:lang w:val="hu-HU"/>
        </w:rPr>
        <w:t xml:space="preserve"> </w:t>
      </w:r>
      <w:r>
        <w:rPr>
          <w:lang w:val="hu-HU"/>
        </w:rPr>
        <w:t>billentyűbeültetés</w:t>
      </w:r>
      <w:r>
        <w:rPr>
          <w:spacing w:val="-5"/>
          <w:lang w:val="hu-HU"/>
        </w:rPr>
        <w:t xml:space="preserve"> </w:t>
      </w:r>
      <w:r>
        <w:rPr>
          <w:lang w:val="hu-HU"/>
        </w:rPr>
        <w:t>után</w:t>
      </w:r>
      <w:r>
        <w:rPr>
          <w:spacing w:val="-4"/>
          <w:lang w:val="hu-HU"/>
        </w:rPr>
        <w:t xml:space="preserve"> </w:t>
      </w:r>
      <w:r>
        <w:rPr>
          <w:lang w:val="hu-HU"/>
        </w:rPr>
        <w:t>korán</w:t>
      </w:r>
      <w:r>
        <w:rPr>
          <w:spacing w:val="-5"/>
          <w:lang w:val="hu-HU"/>
        </w:rPr>
        <w:t xml:space="preserve"> </w:t>
      </w:r>
      <w:r>
        <w:rPr>
          <w:lang w:val="hu-HU"/>
        </w:rPr>
        <w:t>(a</w:t>
      </w:r>
      <w:r>
        <w:rPr>
          <w:spacing w:val="-4"/>
          <w:lang w:val="hu-HU"/>
        </w:rPr>
        <w:t xml:space="preserve"> </w:t>
      </w:r>
      <w:r>
        <w:rPr>
          <w:lang w:val="hu-HU"/>
        </w:rPr>
        <w:t>3.</w:t>
      </w:r>
      <w:r>
        <w:rPr>
          <w:spacing w:val="-3"/>
          <w:lang w:val="hu-HU"/>
        </w:rPr>
        <w:t> nap</w:t>
      </w:r>
      <w:r>
        <w:rPr>
          <w:lang w:val="hu-HU"/>
        </w:rPr>
        <w:t>on)</w:t>
      </w:r>
      <w:r>
        <w:rPr>
          <w:spacing w:val="-5"/>
          <w:lang w:val="hu-HU"/>
        </w:rPr>
        <w:t xml:space="preserve"> </w:t>
      </w:r>
      <w:r>
        <w:rPr>
          <w:lang w:val="hu-HU"/>
        </w:rPr>
        <w:t>megkezdték</w:t>
      </w:r>
      <w:r>
        <w:rPr>
          <w:spacing w:val="-4"/>
          <w:lang w:val="hu-HU"/>
        </w:rPr>
        <w:t xml:space="preserve"> </w:t>
      </w:r>
      <w:r>
        <w:rPr>
          <w:lang w:val="hu-HU"/>
        </w:rPr>
        <w:t>a</w:t>
      </w:r>
      <w:r>
        <w:rPr>
          <w:spacing w:val="-4"/>
          <w:lang w:val="hu-HU"/>
        </w:rPr>
        <w:t xml:space="preserve"> </w:t>
      </w:r>
      <w:r>
        <w:rPr>
          <w:lang w:val="hu-HU"/>
        </w:rPr>
        <w:t>dabigatrán</w:t>
      </w:r>
      <w:r>
        <w:rPr>
          <w:lang w:val="hu-HU"/>
        </w:rPr>
        <w:noBreakHyphen/>
        <w:t>etexilát</w:t>
      </w:r>
      <w:r>
        <w:rPr>
          <w:spacing w:val="-4"/>
          <w:lang w:val="hu-HU"/>
        </w:rPr>
        <w:t xml:space="preserve"> </w:t>
      </w:r>
      <w:r>
        <w:rPr>
          <w:lang w:val="hu-HU"/>
        </w:rPr>
        <w:t>szedését</w:t>
      </w:r>
      <w:r>
        <w:rPr>
          <w:spacing w:val="-5"/>
          <w:lang w:val="hu-HU"/>
        </w:rPr>
        <w:t xml:space="preserve"> </w:t>
      </w:r>
      <w:r>
        <w:rPr>
          <w:lang w:val="hu-HU"/>
        </w:rPr>
        <w:t>(lásd</w:t>
      </w:r>
      <w:r>
        <w:rPr>
          <w:spacing w:val="-4"/>
          <w:lang w:val="hu-HU"/>
        </w:rPr>
        <w:t xml:space="preserve"> </w:t>
      </w:r>
      <w:r>
        <w:rPr>
          <w:lang w:val="hu-HU"/>
        </w:rPr>
        <w:t>4.3</w:t>
      </w:r>
      <w:r>
        <w:rPr>
          <w:spacing w:val="-4"/>
          <w:lang w:val="hu-HU"/>
        </w:rPr>
        <w:t> pont</w:t>
      </w:r>
      <w:r>
        <w:rPr>
          <w:lang w:val="hu-HU"/>
        </w:rPr>
        <w:t>).</w:t>
      </w:r>
    </w:p>
    <w:p w:rsidR="007D7140" w:rsidRDefault="007D7140">
      <w:pPr>
        <w:rPr>
          <w:lang w:val="hu-HU"/>
        </w:rPr>
      </w:pPr>
    </w:p>
    <w:p w:rsidR="007D7140" w:rsidRDefault="00A207BA">
      <w:pPr>
        <w:rPr>
          <w:i/>
          <w:lang w:val="hu-HU"/>
        </w:rPr>
      </w:pPr>
      <w:r>
        <w:rPr>
          <w:i/>
          <w:u w:val="single"/>
          <w:lang w:val="hu-HU"/>
        </w:rPr>
        <w:t>Gyermekek</w:t>
      </w:r>
      <w:r>
        <w:rPr>
          <w:i/>
          <w:spacing w:val="-4"/>
          <w:u w:val="single"/>
          <w:lang w:val="hu-HU"/>
        </w:rPr>
        <w:t xml:space="preserve"> </w:t>
      </w:r>
      <w:r>
        <w:rPr>
          <w:i/>
          <w:u w:val="single"/>
          <w:lang w:val="hu-HU"/>
        </w:rPr>
        <w:t>és</w:t>
      </w:r>
      <w:r>
        <w:rPr>
          <w:i/>
          <w:spacing w:val="-4"/>
          <w:u w:val="single"/>
          <w:lang w:val="hu-HU"/>
        </w:rPr>
        <w:t xml:space="preserve"> </w:t>
      </w:r>
      <w:r>
        <w:rPr>
          <w:i/>
          <w:u w:val="single"/>
          <w:lang w:val="hu-HU"/>
        </w:rPr>
        <w:t>serdülők</w:t>
      </w:r>
    </w:p>
    <w:p w:rsidR="007D7140" w:rsidRDefault="007D7140">
      <w:pPr>
        <w:rPr>
          <w:lang w:val="hu-HU"/>
        </w:rPr>
      </w:pPr>
    </w:p>
    <w:p w:rsidR="007D7140" w:rsidRDefault="00A207BA">
      <w:pPr>
        <w:rPr>
          <w:i/>
          <w:lang w:val="hu-HU"/>
        </w:rPr>
      </w:pPr>
      <w:r>
        <w:rPr>
          <w:i/>
          <w:u w:val="single"/>
          <w:lang w:val="hu-HU"/>
        </w:rPr>
        <w:t>Klinikai</w:t>
      </w:r>
      <w:r>
        <w:rPr>
          <w:i/>
          <w:spacing w:val="-7"/>
          <w:u w:val="single"/>
          <w:lang w:val="hu-HU"/>
        </w:rPr>
        <w:t xml:space="preserve"> </w:t>
      </w:r>
      <w:r>
        <w:rPr>
          <w:i/>
          <w:u w:val="single"/>
          <w:lang w:val="hu-HU"/>
        </w:rPr>
        <w:t>vizsgálatok</w:t>
      </w:r>
      <w:r>
        <w:rPr>
          <w:i/>
          <w:spacing w:val="-6"/>
          <w:u w:val="single"/>
          <w:lang w:val="hu-HU"/>
        </w:rPr>
        <w:t xml:space="preserve"> </w:t>
      </w:r>
      <w:r>
        <w:rPr>
          <w:i/>
          <w:u w:val="single"/>
          <w:lang w:val="hu-HU"/>
        </w:rPr>
        <w:t>a</w:t>
      </w:r>
      <w:r>
        <w:rPr>
          <w:i/>
          <w:spacing w:val="-6"/>
          <w:u w:val="single"/>
          <w:lang w:val="hu-HU"/>
        </w:rPr>
        <w:t xml:space="preserve"> </w:t>
      </w:r>
      <w:r>
        <w:rPr>
          <w:i/>
          <w:u w:val="single"/>
          <w:lang w:val="hu-HU"/>
        </w:rPr>
        <w:t>nagyízületi</w:t>
      </w:r>
      <w:r>
        <w:rPr>
          <w:i/>
          <w:spacing w:val="-6"/>
          <w:u w:val="single"/>
          <w:lang w:val="hu-HU"/>
        </w:rPr>
        <w:t xml:space="preserve"> </w:t>
      </w:r>
      <w:r>
        <w:rPr>
          <w:i/>
          <w:u w:val="single"/>
          <w:lang w:val="hu-HU"/>
        </w:rPr>
        <w:t>endoprotézis-műtéteket</w:t>
      </w:r>
      <w:r>
        <w:rPr>
          <w:i/>
          <w:spacing w:val="-7"/>
          <w:u w:val="single"/>
          <w:lang w:val="hu-HU"/>
        </w:rPr>
        <w:t xml:space="preserve"> </w:t>
      </w:r>
      <w:r>
        <w:rPr>
          <w:i/>
          <w:u w:val="single"/>
          <w:lang w:val="hu-HU"/>
        </w:rPr>
        <w:t>követő</w:t>
      </w:r>
      <w:r>
        <w:rPr>
          <w:i/>
          <w:spacing w:val="-6"/>
          <w:u w:val="single"/>
          <w:lang w:val="hu-HU"/>
        </w:rPr>
        <w:t xml:space="preserve"> </w:t>
      </w:r>
      <w:r>
        <w:rPr>
          <w:i/>
          <w:u w:val="single"/>
          <w:lang w:val="hu-HU"/>
        </w:rPr>
        <w:t>VTE</w:t>
      </w:r>
      <w:r>
        <w:rPr>
          <w:i/>
          <w:spacing w:val="-6"/>
          <w:u w:val="single"/>
          <w:lang w:val="hu-HU"/>
        </w:rPr>
        <w:t xml:space="preserve"> </w:t>
      </w:r>
      <w:r>
        <w:rPr>
          <w:i/>
          <w:u w:val="single"/>
          <w:lang w:val="hu-HU"/>
        </w:rPr>
        <w:t>megelőzésére</w:t>
      </w:r>
    </w:p>
    <w:p w:rsidR="007D7140" w:rsidRDefault="00A207BA">
      <w:pPr>
        <w:ind w:left="7"/>
        <w:rPr>
          <w:lang w:val="hu-HU"/>
        </w:rPr>
      </w:pPr>
      <w:r>
        <w:rPr>
          <w:i/>
          <w:u w:val="single" w:color="000000"/>
          <w:lang w:val="hu-HU"/>
        </w:rPr>
        <w:t>A stroke és a szisztémás embolisatio prevenciója nem billentyű eredetű pitvarfibrillációban szenvedő,</w:t>
      </w:r>
      <w:r>
        <w:rPr>
          <w:i/>
          <w:lang w:val="hu-HU"/>
        </w:rPr>
        <w:t xml:space="preserve"> </w:t>
      </w:r>
      <w:r>
        <w:rPr>
          <w:i/>
          <w:u w:val="single" w:color="000000"/>
          <w:lang w:val="hu-HU"/>
        </w:rPr>
        <w:t>egy vagy több rizikótényezővel rendelkező felnőtt betegeknél</w:t>
      </w:r>
    </w:p>
    <w:p w:rsidR="007D7140" w:rsidRDefault="007D7140">
      <w:pPr>
        <w:rPr>
          <w:i/>
          <w:lang w:val="hu-HU"/>
        </w:rPr>
      </w:pPr>
    </w:p>
    <w:p w:rsidR="007D7140" w:rsidRDefault="00A207BA">
      <w:pPr>
        <w:ind w:left="7" w:right="9"/>
        <w:rPr>
          <w:lang w:val="hu-HU"/>
        </w:rPr>
      </w:pPr>
      <w:r>
        <w:rPr>
          <w:lang w:val="hu-HU"/>
        </w:rPr>
        <w:t>Az Európai Gyógyszerügynökség a gyermekek esetén minden korosztálynál eltekint a dabigatrán</w:t>
      </w:r>
      <w:r>
        <w:rPr>
          <w:lang w:val="hu-HU"/>
        </w:rPr>
        <w:noBreakHyphen/>
        <w:t>etexilát</w:t>
      </w:r>
      <w:r>
        <w:rPr>
          <w:lang w:val="hu-HU"/>
        </w:rPr>
        <w:noBreakHyphen/>
        <w:t xml:space="preserve"> tartalmú referenciakészítmény vizsgálati eredményeinek benyújtási kötelezettségétől a VTE primer prevenciója elektív, teljes csípőízületi endoprotézis vagy teljes térdízületi endoprotézis műtéten átesett betegeknél, valamint stroke és a szisztémás embolisatio prevenciója nem billentyű eredetű pitvarfibrillációban szenvedő betegeknél javallatok esetén (lásd 4.2 pont, gyermekgyógyászati alkalmazásra vonatkozó információk).</w:t>
      </w:r>
    </w:p>
    <w:p w:rsidR="007D7140" w:rsidRDefault="007D7140">
      <w:pPr>
        <w:rPr>
          <w:lang w:val="hu-HU"/>
        </w:rPr>
      </w:pPr>
    </w:p>
    <w:p w:rsidR="007D7140" w:rsidRDefault="00A207BA">
      <w:pPr>
        <w:rPr>
          <w:i/>
          <w:u w:val="single"/>
          <w:lang w:val="hu-HU"/>
        </w:rPr>
      </w:pPr>
      <w:r>
        <w:rPr>
          <w:i/>
          <w:u w:val="single"/>
          <w:lang w:val="hu-HU"/>
        </w:rPr>
        <w:t>VTE</w:t>
      </w:r>
      <w:r>
        <w:rPr>
          <w:i/>
          <w:spacing w:val="-5"/>
          <w:u w:val="single"/>
          <w:lang w:val="hu-HU"/>
        </w:rPr>
        <w:t xml:space="preserve"> </w:t>
      </w:r>
      <w:r>
        <w:rPr>
          <w:i/>
          <w:u w:val="single"/>
          <w:lang w:val="hu-HU"/>
        </w:rPr>
        <w:t>kezelése</w:t>
      </w:r>
      <w:r>
        <w:rPr>
          <w:i/>
          <w:spacing w:val="-4"/>
          <w:u w:val="single"/>
          <w:lang w:val="hu-HU"/>
        </w:rPr>
        <w:t xml:space="preserve"> </w:t>
      </w:r>
      <w:r>
        <w:rPr>
          <w:i/>
          <w:u w:val="single"/>
          <w:lang w:val="hu-HU"/>
        </w:rPr>
        <w:t>és</w:t>
      </w:r>
      <w:r>
        <w:rPr>
          <w:i/>
          <w:spacing w:val="-5"/>
          <w:u w:val="single"/>
          <w:lang w:val="hu-HU"/>
        </w:rPr>
        <w:t xml:space="preserve"> </w:t>
      </w:r>
      <w:r>
        <w:rPr>
          <w:i/>
          <w:u w:val="single"/>
          <w:lang w:val="hu-HU"/>
        </w:rPr>
        <w:t>VTE</w:t>
      </w:r>
      <w:r>
        <w:rPr>
          <w:i/>
          <w:spacing w:val="-4"/>
          <w:u w:val="single"/>
          <w:lang w:val="hu-HU"/>
        </w:rPr>
        <w:t xml:space="preserve"> </w:t>
      </w:r>
      <w:r>
        <w:rPr>
          <w:i/>
          <w:u w:val="single"/>
          <w:lang w:val="hu-HU"/>
        </w:rPr>
        <w:t>kiújulásának</w:t>
      </w:r>
      <w:r>
        <w:rPr>
          <w:i/>
          <w:spacing w:val="-5"/>
          <w:u w:val="single"/>
          <w:lang w:val="hu-HU"/>
        </w:rPr>
        <w:t xml:space="preserve"> </w:t>
      </w:r>
      <w:r>
        <w:rPr>
          <w:i/>
          <w:u w:val="single"/>
          <w:lang w:val="hu-HU"/>
        </w:rPr>
        <w:t>megelőzése</w:t>
      </w:r>
      <w:r>
        <w:rPr>
          <w:i/>
          <w:spacing w:val="-4"/>
          <w:u w:val="single"/>
          <w:lang w:val="hu-HU"/>
        </w:rPr>
        <w:t xml:space="preserve"> </w:t>
      </w:r>
      <w:r>
        <w:rPr>
          <w:i/>
          <w:u w:val="single"/>
          <w:lang w:val="hu-HU"/>
        </w:rPr>
        <w:t>gyermekeknél</w:t>
      </w:r>
      <w:r>
        <w:rPr>
          <w:i/>
          <w:spacing w:val="-6"/>
          <w:u w:val="single"/>
          <w:lang w:val="hu-HU"/>
        </w:rPr>
        <w:t xml:space="preserve"> </w:t>
      </w:r>
      <w:r>
        <w:rPr>
          <w:i/>
          <w:u w:val="single"/>
          <w:lang w:val="hu-HU"/>
        </w:rPr>
        <w:t>és</w:t>
      </w:r>
      <w:r>
        <w:rPr>
          <w:i/>
          <w:spacing w:val="-4"/>
          <w:u w:val="single"/>
          <w:lang w:val="hu-HU"/>
        </w:rPr>
        <w:t xml:space="preserve"> </w:t>
      </w:r>
      <w:r>
        <w:rPr>
          <w:i/>
          <w:u w:val="single"/>
          <w:lang w:val="hu-HU"/>
        </w:rPr>
        <w:t>serdülőknél</w:t>
      </w:r>
    </w:p>
    <w:p w:rsidR="007D7140" w:rsidRDefault="007D7140">
      <w:pPr>
        <w:rPr>
          <w:i/>
          <w:u w:val="single"/>
          <w:lang w:val="hu-HU"/>
        </w:rPr>
      </w:pPr>
    </w:p>
    <w:p w:rsidR="007D7140" w:rsidRDefault="00A207BA">
      <w:pPr>
        <w:rPr>
          <w:lang w:val="hu-HU"/>
        </w:rPr>
      </w:pPr>
      <w:r>
        <w:rPr>
          <w:lang w:val="hu-HU"/>
        </w:rPr>
        <w:t>A DIVERSITY vizsgálatot azért végezték, hogy bizonyítsák a dabigatrán</w:t>
      </w:r>
      <w:r>
        <w:rPr>
          <w:lang w:val="hu-HU"/>
        </w:rPr>
        <w:noBreakHyphen/>
        <w:t>etexilát hatásosságát és</w:t>
      </w:r>
      <w:r>
        <w:rPr>
          <w:spacing w:val="1"/>
          <w:lang w:val="hu-HU"/>
        </w:rPr>
        <w:t xml:space="preserve"> </w:t>
      </w:r>
      <w:r>
        <w:rPr>
          <w:lang w:val="hu-HU"/>
        </w:rPr>
        <w:t>biztonságosságát a standard ellátással (standard of care, SOC) összehasonlítva, VTE kezelésében gyermekeknél és serdülőknél a születéstől a betöltött 18. életévig. A vizsgálat nyílt elrendezésű, randomizált, parallel csoportos,</w:t>
      </w:r>
      <w:r>
        <w:rPr>
          <w:spacing w:val="1"/>
          <w:lang w:val="hu-HU"/>
        </w:rPr>
        <w:t xml:space="preserve"> </w:t>
      </w:r>
      <w:r>
        <w:rPr>
          <w:lang w:val="hu-HU"/>
        </w:rPr>
        <w:t>non</w:t>
      </w:r>
      <w:r>
        <w:rPr>
          <w:lang w:val="hu-HU"/>
        </w:rPr>
        <w:noBreakHyphen/>
        <w:t>inferioritási vizsgálat volt. A bevont betegeket 2:1 arányban randomizálták a dabigatrán</w:t>
      </w:r>
      <w:r>
        <w:rPr>
          <w:lang w:val="hu-HU"/>
        </w:rPr>
        <w:noBreakHyphen/>
        <w:t>etexilát</w:t>
      </w:r>
      <w:r>
        <w:rPr>
          <w:spacing w:val="1"/>
          <w:lang w:val="hu-HU"/>
        </w:rPr>
        <w:t xml:space="preserve"> </w:t>
      </w:r>
      <w:r>
        <w:rPr>
          <w:lang w:val="hu-HU"/>
        </w:rPr>
        <w:t>életkornak megfelelő gyógyszerformájára (kapszula, bevont granulátum vagy belsőleges oldat) (a</w:t>
      </w:r>
      <w:r>
        <w:rPr>
          <w:spacing w:val="1"/>
          <w:lang w:val="hu-HU"/>
        </w:rPr>
        <w:t xml:space="preserve"> </w:t>
      </w:r>
      <w:r>
        <w:rPr>
          <w:lang w:val="hu-HU"/>
        </w:rPr>
        <w:t>dózist az életkorhoz és a testtömeghez igazították) vagy a standard ellátásra (SOC), amely kis</w:t>
      </w:r>
      <w:r>
        <w:rPr>
          <w:spacing w:val="1"/>
          <w:lang w:val="hu-HU"/>
        </w:rPr>
        <w:t xml:space="preserve"> </w:t>
      </w:r>
      <w:r>
        <w:rPr>
          <w:lang w:val="hu-HU"/>
        </w:rPr>
        <w:t>molekulatömegű heparin (low molecular weight heparins, LMWH) vagy K-vitamin antagonista (KVA) vagy fondaparinux volt (egy</w:t>
      </w:r>
      <w:r>
        <w:rPr>
          <w:spacing w:val="1"/>
          <w:lang w:val="hu-HU"/>
        </w:rPr>
        <w:t xml:space="preserve"> </w:t>
      </w:r>
      <w:r>
        <w:rPr>
          <w:lang w:val="hu-HU"/>
        </w:rPr>
        <w:t>12 éves betegnél). Az elsődleges végpont egy összetett végpont volt, ami a következőket foglalta magában: a thrombus teljes</w:t>
      </w:r>
      <w:r>
        <w:rPr>
          <w:spacing w:val="1"/>
          <w:lang w:val="hu-HU"/>
        </w:rPr>
        <w:t xml:space="preserve"> </w:t>
      </w:r>
      <w:r>
        <w:rPr>
          <w:lang w:val="hu-HU"/>
        </w:rPr>
        <w:t>megszűnése, a VTE nem újult ki és nem következett be VTE miatti mortalitás. Az</w:t>
      </w:r>
      <w:r>
        <w:rPr>
          <w:spacing w:val="1"/>
          <w:lang w:val="hu-HU"/>
        </w:rPr>
        <w:t xml:space="preserve"> </w:t>
      </w:r>
      <w:r>
        <w:rPr>
          <w:lang w:val="hu-HU"/>
        </w:rPr>
        <w:t>aktív</w:t>
      </w:r>
      <w:r>
        <w:rPr>
          <w:spacing w:val="-2"/>
          <w:lang w:val="hu-HU"/>
        </w:rPr>
        <w:t xml:space="preserve"> </w:t>
      </w:r>
      <w:r>
        <w:rPr>
          <w:lang w:val="hu-HU"/>
        </w:rPr>
        <w:t>meningitis,</w:t>
      </w:r>
      <w:r>
        <w:rPr>
          <w:spacing w:val="-2"/>
          <w:lang w:val="hu-HU"/>
        </w:rPr>
        <w:t xml:space="preserve"> </w:t>
      </w:r>
      <w:r>
        <w:rPr>
          <w:lang w:val="hu-HU"/>
        </w:rPr>
        <w:t>encephalitis</w:t>
      </w:r>
      <w:r>
        <w:rPr>
          <w:spacing w:val="-2"/>
          <w:lang w:val="hu-HU"/>
        </w:rPr>
        <w:t xml:space="preserve"> </w:t>
      </w:r>
      <w:r>
        <w:rPr>
          <w:lang w:val="hu-HU"/>
        </w:rPr>
        <w:t>és</w:t>
      </w:r>
      <w:r>
        <w:rPr>
          <w:spacing w:val="-2"/>
          <w:lang w:val="hu-HU"/>
        </w:rPr>
        <w:t xml:space="preserve"> </w:t>
      </w:r>
      <w:r>
        <w:rPr>
          <w:lang w:val="hu-HU"/>
        </w:rPr>
        <w:t>intracranialis</w:t>
      </w:r>
      <w:r>
        <w:rPr>
          <w:spacing w:val="-2"/>
          <w:lang w:val="hu-HU"/>
        </w:rPr>
        <w:t xml:space="preserve"> </w:t>
      </w:r>
      <w:r>
        <w:rPr>
          <w:lang w:val="hu-HU"/>
        </w:rPr>
        <w:t>abscessus</w:t>
      </w:r>
      <w:r>
        <w:rPr>
          <w:spacing w:val="-2"/>
          <w:lang w:val="hu-HU"/>
        </w:rPr>
        <w:t xml:space="preserve"> </w:t>
      </w:r>
      <w:r>
        <w:rPr>
          <w:lang w:val="hu-HU"/>
        </w:rPr>
        <w:t>kizáró</w:t>
      </w:r>
      <w:r>
        <w:rPr>
          <w:spacing w:val="-2"/>
          <w:lang w:val="hu-HU"/>
        </w:rPr>
        <w:t xml:space="preserve"> </w:t>
      </w:r>
      <w:r>
        <w:rPr>
          <w:lang w:val="hu-HU"/>
        </w:rPr>
        <w:t>tényezők</w:t>
      </w:r>
      <w:r>
        <w:rPr>
          <w:spacing w:val="-2"/>
          <w:lang w:val="hu-HU"/>
        </w:rPr>
        <w:t xml:space="preserve"> </w:t>
      </w:r>
      <w:r>
        <w:rPr>
          <w:lang w:val="hu-HU"/>
        </w:rPr>
        <w:t>voltak.</w:t>
      </w:r>
    </w:p>
    <w:p w:rsidR="007D7140" w:rsidRDefault="00A207BA">
      <w:pPr>
        <w:rPr>
          <w:lang w:val="hu-HU"/>
        </w:rPr>
      </w:pPr>
      <w:r>
        <w:rPr>
          <w:lang w:val="hu-HU"/>
        </w:rPr>
        <w:t>Összesen 267 beteget randomizáltak. Közülük 176 beteget kezeltek dabigatrán</w:t>
      </w:r>
      <w:r>
        <w:rPr>
          <w:lang w:val="hu-HU"/>
        </w:rPr>
        <w:noBreakHyphen/>
        <w:t>etexiláttal és 90 beteget a standard kezeléssel (1 randomizált beteget nem kezeltek). 168 beteg volt 12 </w:t>
      </w:r>
      <w:r>
        <w:rPr>
          <w:lang w:val="hu-HU"/>
        </w:rPr>
        <w:noBreakHyphen/>
        <w:t> &lt; 18 éves, 64 beteg</w:t>
      </w:r>
      <w:r>
        <w:rPr>
          <w:spacing w:val="1"/>
          <w:lang w:val="hu-HU"/>
        </w:rPr>
        <w:t xml:space="preserve"> </w:t>
      </w:r>
      <w:r>
        <w:rPr>
          <w:lang w:val="hu-HU"/>
        </w:rPr>
        <w:t>2 </w:t>
      </w:r>
      <w:r>
        <w:rPr>
          <w:lang w:val="hu-HU"/>
        </w:rPr>
        <w:noBreakHyphen/>
        <w:t> &lt; 12 éves</w:t>
      </w:r>
      <w:r>
        <w:rPr>
          <w:spacing w:val="-2"/>
          <w:lang w:val="hu-HU"/>
        </w:rPr>
        <w:t xml:space="preserve"> </w:t>
      </w:r>
      <w:r>
        <w:rPr>
          <w:lang w:val="hu-HU"/>
        </w:rPr>
        <w:t>és</w:t>
      </w:r>
      <w:r>
        <w:rPr>
          <w:spacing w:val="-1"/>
          <w:lang w:val="hu-HU"/>
        </w:rPr>
        <w:t xml:space="preserve"> </w:t>
      </w:r>
      <w:r>
        <w:rPr>
          <w:lang w:val="hu-HU"/>
        </w:rPr>
        <w:t>35 beteg</w:t>
      </w:r>
      <w:r>
        <w:rPr>
          <w:spacing w:val="-1"/>
          <w:lang w:val="hu-HU"/>
        </w:rPr>
        <w:t xml:space="preserve"> </w:t>
      </w:r>
      <w:r>
        <w:rPr>
          <w:lang w:val="hu-HU"/>
        </w:rPr>
        <w:t>volt</w:t>
      </w:r>
      <w:r>
        <w:rPr>
          <w:spacing w:val="-1"/>
          <w:lang w:val="hu-HU"/>
        </w:rPr>
        <w:t xml:space="preserve"> </w:t>
      </w:r>
      <w:r>
        <w:rPr>
          <w:lang w:val="hu-HU"/>
        </w:rPr>
        <w:t>2 évesnél</w:t>
      </w:r>
      <w:r>
        <w:rPr>
          <w:spacing w:val="-2"/>
          <w:lang w:val="hu-HU"/>
        </w:rPr>
        <w:t xml:space="preserve"> </w:t>
      </w:r>
      <w:r>
        <w:rPr>
          <w:lang w:val="hu-HU"/>
        </w:rPr>
        <w:t>fiatalabb.</w:t>
      </w:r>
    </w:p>
    <w:p w:rsidR="007D7140" w:rsidRDefault="00A207BA">
      <w:pPr>
        <w:rPr>
          <w:lang w:val="hu-HU"/>
        </w:rPr>
      </w:pPr>
      <w:r>
        <w:rPr>
          <w:lang w:val="hu-HU"/>
        </w:rPr>
        <w:t>A 267 randomizált beteg közül a dabigatrán</w:t>
      </w:r>
      <w:r>
        <w:rPr>
          <w:lang w:val="hu-HU"/>
        </w:rPr>
        <w:noBreakHyphen/>
        <w:t>etexilát csoportból 81 beteg (45,8%) és a standard ellátást kapó</w:t>
      </w:r>
      <w:r>
        <w:rPr>
          <w:spacing w:val="1"/>
          <w:lang w:val="hu-HU"/>
        </w:rPr>
        <w:t xml:space="preserve"> </w:t>
      </w:r>
      <w:r>
        <w:rPr>
          <w:lang w:val="hu-HU"/>
        </w:rPr>
        <w:t>kezelési csoportból 38 beteg (42,2%) felelt meg az összetett elsődleges végpontnak (thrombus teljes megszűnése, nem újult ki a VTE és nem következett be VTE miatti mortalitás). A megfelelő arányok</w:t>
      </w:r>
      <w:r>
        <w:rPr>
          <w:spacing w:val="1"/>
          <w:lang w:val="hu-HU"/>
        </w:rPr>
        <w:t xml:space="preserve"> </w:t>
      </w:r>
      <w:r>
        <w:rPr>
          <w:lang w:val="hu-HU"/>
        </w:rPr>
        <w:t>különbsége</w:t>
      </w:r>
      <w:r>
        <w:rPr>
          <w:spacing w:val="-4"/>
          <w:lang w:val="hu-HU"/>
        </w:rPr>
        <w:t xml:space="preserve"> </w:t>
      </w:r>
      <w:r>
        <w:rPr>
          <w:lang w:val="hu-HU"/>
        </w:rPr>
        <w:t xml:space="preserve">bizonyította, </w:t>
      </w:r>
      <w:bookmarkStart w:id="15" w:name="_Hlk139535139"/>
      <w:r>
        <w:rPr>
          <w:lang w:val="hu-HU"/>
        </w:rPr>
        <w:t>hogy a dabigatrán</w:t>
      </w:r>
      <w:r>
        <w:rPr>
          <w:lang w:val="hu-HU"/>
        </w:rPr>
        <w:noBreakHyphen/>
        <w:t>etexilát</w:t>
      </w:r>
      <w:r>
        <w:rPr>
          <w:spacing w:val="-4"/>
          <w:lang w:val="hu-HU"/>
        </w:rPr>
        <w:t xml:space="preserve"> nem rosszabb (</w:t>
      </w:r>
      <w:r>
        <w:rPr>
          <w:lang w:val="hu-HU"/>
        </w:rPr>
        <w:t>non</w:t>
      </w:r>
      <w:r>
        <w:rPr>
          <w:lang w:val="hu-HU"/>
        </w:rPr>
        <w:noBreakHyphen/>
        <w:t>inferior), mint a</w:t>
      </w:r>
      <w:r>
        <w:rPr>
          <w:spacing w:val="-4"/>
          <w:lang w:val="hu-HU"/>
        </w:rPr>
        <w:t xml:space="preserve"> </w:t>
      </w:r>
      <w:r>
        <w:rPr>
          <w:lang w:val="hu-HU"/>
        </w:rPr>
        <w:t>standard</w:t>
      </w:r>
      <w:r>
        <w:rPr>
          <w:spacing w:val="-3"/>
          <w:lang w:val="hu-HU"/>
        </w:rPr>
        <w:t xml:space="preserve"> </w:t>
      </w:r>
      <w:r>
        <w:rPr>
          <w:lang w:val="hu-HU"/>
        </w:rPr>
        <w:t>ellátás</w:t>
      </w:r>
      <w:bookmarkEnd w:id="15"/>
      <w:r>
        <w:rPr>
          <w:lang w:val="hu-HU"/>
        </w:rPr>
        <w:t xml:space="preserve">. Általánosságban konzisztens eredményeket figyeltek meg az alcsoportokban: nem </w:t>
      </w:r>
      <w:r>
        <w:rPr>
          <w:lang w:val="hu-HU"/>
        </w:rPr>
        <w:lastRenderedPageBreak/>
        <w:t>volt szignifikáns</w:t>
      </w:r>
      <w:r>
        <w:rPr>
          <w:spacing w:val="1"/>
          <w:lang w:val="hu-HU"/>
        </w:rPr>
        <w:t xml:space="preserve"> </w:t>
      </w:r>
      <w:r>
        <w:rPr>
          <w:lang w:val="hu-HU"/>
        </w:rPr>
        <w:t>különbség a kezelési hatásosságban az életkor, nem, régió és bizonyos kockázati tényezők megléte</w:t>
      </w:r>
      <w:r>
        <w:rPr>
          <w:spacing w:val="1"/>
          <w:lang w:val="hu-HU"/>
        </w:rPr>
        <w:t xml:space="preserve"> </w:t>
      </w:r>
      <w:r>
        <w:rPr>
          <w:lang w:val="hu-HU"/>
        </w:rPr>
        <w:t>szerinti</w:t>
      </w:r>
      <w:r>
        <w:rPr>
          <w:spacing w:val="-5"/>
          <w:lang w:val="hu-HU"/>
        </w:rPr>
        <w:t xml:space="preserve"> </w:t>
      </w:r>
      <w:r>
        <w:rPr>
          <w:lang w:val="hu-HU"/>
        </w:rPr>
        <w:t>alcsoportokban.</w:t>
      </w:r>
      <w:r>
        <w:rPr>
          <w:spacing w:val="-5"/>
          <w:lang w:val="hu-HU"/>
        </w:rPr>
        <w:t xml:space="preserve"> </w:t>
      </w:r>
      <w:r>
        <w:rPr>
          <w:lang w:val="hu-HU"/>
        </w:rPr>
        <w:t>A</w:t>
      </w:r>
      <w:r>
        <w:rPr>
          <w:spacing w:val="-5"/>
          <w:lang w:val="hu-HU"/>
        </w:rPr>
        <w:t xml:space="preserve"> </w:t>
      </w:r>
      <w:r>
        <w:rPr>
          <w:lang w:val="hu-HU"/>
        </w:rPr>
        <w:t>3,</w:t>
      </w:r>
      <w:r>
        <w:rPr>
          <w:spacing w:val="-5"/>
          <w:lang w:val="hu-HU"/>
        </w:rPr>
        <w:t xml:space="preserve"> </w:t>
      </w:r>
      <w:r>
        <w:rPr>
          <w:lang w:val="hu-HU"/>
        </w:rPr>
        <w:t>különböző</w:t>
      </w:r>
      <w:r>
        <w:rPr>
          <w:spacing w:val="-5"/>
          <w:lang w:val="hu-HU"/>
        </w:rPr>
        <w:t xml:space="preserve"> </w:t>
      </w:r>
      <w:r>
        <w:rPr>
          <w:lang w:val="hu-HU"/>
        </w:rPr>
        <w:t>életkor</w:t>
      </w:r>
      <w:r>
        <w:rPr>
          <w:spacing w:val="-4"/>
          <w:lang w:val="hu-HU"/>
        </w:rPr>
        <w:t xml:space="preserve"> </w:t>
      </w:r>
      <w:r>
        <w:rPr>
          <w:lang w:val="hu-HU"/>
        </w:rPr>
        <w:t>szerinti</w:t>
      </w:r>
      <w:r>
        <w:rPr>
          <w:spacing w:val="-5"/>
          <w:lang w:val="hu-HU"/>
        </w:rPr>
        <w:t xml:space="preserve"> </w:t>
      </w:r>
      <w:r>
        <w:rPr>
          <w:lang w:val="hu-HU"/>
        </w:rPr>
        <w:t>rétegnél</w:t>
      </w:r>
      <w:r>
        <w:rPr>
          <w:spacing w:val="-5"/>
          <w:lang w:val="hu-HU"/>
        </w:rPr>
        <w:t xml:space="preserve"> </w:t>
      </w:r>
      <w:r>
        <w:rPr>
          <w:lang w:val="hu-HU"/>
        </w:rPr>
        <w:t>az</w:t>
      </w:r>
      <w:r>
        <w:rPr>
          <w:spacing w:val="-5"/>
          <w:lang w:val="hu-HU"/>
        </w:rPr>
        <w:t xml:space="preserve"> </w:t>
      </w:r>
      <w:r>
        <w:rPr>
          <w:lang w:val="hu-HU"/>
        </w:rPr>
        <w:t>elsődleges</w:t>
      </w:r>
      <w:r>
        <w:rPr>
          <w:spacing w:val="-5"/>
          <w:lang w:val="hu-HU"/>
        </w:rPr>
        <w:t xml:space="preserve"> </w:t>
      </w:r>
      <w:r>
        <w:rPr>
          <w:lang w:val="hu-HU"/>
        </w:rPr>
        <w:t>hatásossági</w:t>
      </w:r>
      <w:r>
        <w:rPr>
          <w:spacing w:val="-5"/>
          <w:lang w:val="hu-HU"/>
        </w:rPr>
        <w:t xml:space="preserve"> </w:t>
      </w:r>
      <w:r>
        <w:rPr>
          <w:lang w:val="hu-HU"/>
        </w:rPr>
        <w:t>végpontot elért betegek aránya a dabigatrán</w:t>
      </w:r>
      <w:r>
        <w:rPr>
          <w:lang w:val="hu-HU"/>
        </w:rPr>
        <w:noBreakHyphen/>
        <w:t>etexilát és a standard ellátás csoportban sorrendben a következő</w:t>
      </w:r>
      <w:r>
        <w:rPr>
          <w:spacing w:val="1"/>
          <w:lang w:val="hu-HU"/>
        </w:rPr>
        <w:t xml:space="preserve"> </w:t>
      </w:r>
      <w:r>
        <w:rPr>
          <w:lang w:val="hu-HU"/>
        </w:rPr>
        <w:t>volt: születéstől &lt; 2 éves korig 13/22 (59,1%) és 7/13 (53,8%), 2 évtől &lt; 12 éves korig 21/43</w:t>
      </w:r>
      <w:r>
        <w:rPr>
          <w:spacing w:val="1"/>
          <w:lang w:val="hu-HU"/>
        </w:rPr>
        <w:t xml:space="preserve"> </w:t>
      </w:r>
      <w:r>
        <w:rPr>
          <w:lang w:val="hu-HU"/>
        </w:rPr>
        <w:t>(48,8%) és 12/21 (57,1%), illetve 12 évtől &lt; 18 éves korig 47/112 (42,0%) és 19/56 (33,9%).</w:t>
      </w:r>
    </w:p>
    <w:p w:rsidR="007D7140" w:rsidRDefault="00A207BA">
      <w:pPr>
        <w:rPr>
          <w:lang w:val="hu-HU"/>
        </w:rPr>
      </w:pPr>
      <w:r>
        <w:rPr>
          <w:lang w:val="hu-HU"/>
        </w:rPr>
        <w:t xml:space="preserve"> Major</w:t>
      </w:r>
      <w:r>
        <w:rPr>
          <w:spacing w:val="1"/>
          <w:lang w:val="hu-HU"/>
        </w:rPr>
        <w:t xml:space="preserve"> </w:t>
      </w:r>
      <w:r>
        <w:rPr>
          <w:lang w:val="hu-HU"/>
        </w:rPr>
        <w:t>vérzésnek</w:t>
      </w:r>
      <w:r>
        <w:rPr>
          <w:spacing w:val="1"/>
          <w:lang w:val="hu-HU"/>
        </w:rPr>
        <w:t xml:space="preserve"> </w:t>
      </w:r>
      <w:r>
        <w:rPr>
          <w:lang w:val="hu-HU"/>
        </w:rPr>
        <w:t>minősített</w:t>
      </w:r>
      <w:r>
        <w:rPr>
          <w:spacing w:val="1"/>
          <w:lang w:val="hu-HU"/>
        </w:rPr>
        <w:t xml:space="preserve"> </w:t>
      </w:r>
      <w:r>
        <w:rPr>
          <w:lang w:val="hu-HU"/>
        </w:rPr>
        <w:t>eseteket</w:t>
      </w:r>
      <w:r>
        <w:rPr>
          <w:spacing w:val="1"/>
          <w:lang w:val="hu-HU"/>
        </w:rPr>
        <w:t xml:space="preserve"> </w:t>
      </w:r>
      <w:r>
        <w:rPr>
          <w:lang w:val="hu-HU"/>
        </w:rPr>
        <w:t>4 betegnél</w:t>
      </w:r>
      <w:r>
        <w:rPr>
          <w:spacing w:val="1"/>
          <w:lang w:val="hu-HU"/>
        </w:rPr>
        <w:t xml:space="preserve"> </w:t>
      </w:r>
      <w:r>
        <w:rPr>
          <w:lang w:val="hu-HU"/>
        </w:rPr>
        <w:t>(2,3%)</w:t>
      </w:r>
      <w:r>
        <w:rPr>
          <w:spacing w:val="1"/>
          <w:lang w:val="hu-HU"/>
        </w:rPr>
        <w:t xml:space="preserve"> </w:t>
      </w:r>
      <w:r>
        <w:rPr>
          <w:lang w:val="hu-HU"/>
        </w:rPr>
        <w:t>jelentettek</w:t>
      </w:r>
      <w:r>
        <w:rPr>
          <w:spacing w:val="1"/>
          <w:lang w:val="hu-HU"/>
        </w:rPr>
        <w:t xml:space="preserve"> </w:t>
      </w:r>
      <w:r>
        <w:rPr>
          <w:lang w:val="hu-HU"/>
        </w:rPr>
        <w:t>a</w:t>
      </w:r>
      <w:r>
        <w:rPr>
          <w:spacing w:val="1"/>
          <w:lang w:val="hu-HU"/>
        </w:rPr>
        <w:t xml:space="preserve"> </w:t>
      </w:r>
      <w:r>
        <w:rPr>
          <w:lang w:val="hu-HU"/>
        </w:rPr>
        <w:t>dabigatrán</w:t>
      </w:r>
      <w:r>
        <w:rPr>
          <w:lang w:val="hu-HU"/>
        </w:rPr>
        <w:noBreakHyphen/>
        <w:t>etexilát</w:t>
      </w:r>
      <w:r>
        <w:rPr>
          <w:spacing w:val="1"/>
          <w:lang w:val="hu-HU"/>
        </w:rPr>
        <w:t xml:space="preserve"> </w:t>
      </w:r>
      <w:r>
        <w:rPr>
          <w:lang w:val="hu-HU"/>
        </w:rPr>
        <w:t>csoportban</w:t>
      </w:r>
      <w:r>
        <w:rPr>
          <w:spacing w:val="1"/>
          <w:lang w:val="hu-HU"/>
        </w:rPr>
        <w:t xml:space="preserve"> </w:t>
      </w:r>
      <w:r>
        <w:rPr>
          <w:lang w:val="hu-HU"/>
        </w:rPr>
        <w:t>és</w:t>
      </w:r>
      <w:r>
        <w:rPr>
          <w:spacing w:val="1"/>
          <w:lang w:val="hu-HU"/>
        </w:rPr>
        <w:t xml:space="preserve"> </w:t>
      </w:r>
      <w:r>
        <w:rPr>
          <w:lang w:val="hu-HU"/>
        </w:rPr>
        <w:t>2 betegnél (2,2%) a standard ellátást kapó csoportban. Nem volt statisztikailag szignifikáns</w:t>
      </w:r>
      <w:r>
        <w:rPr>
          <w:spacing w:val="1"/>
          <w:lang w:val="hu-HU"/>
        </w:rPr>
        <w:t xml:space="preserve"> </w:t>
      </w:r>
      <w:r>
        <w:rPr>
          <w:lang w:val="hu-HU"/>
        </w:rPr>
        <w:t>különbség az első major vérzéses eseményig eltelt időben. A dabigatrán</w:t>
      </w:r>
      <w:r>
        <w:rPr>
          <w:lang w:val="hu-HU"/>
        </w:rPr>
        <w:noBreakHyphen/>
        <w:t>etexilát karon 38 beteg</w:t>
      </w:r>
      <w:r>
        <w:rPr>
          <w:spacing w:val="1"/>
          <w:lang w:val="hu-HU"/>
        </w:rPr>
        <w:t xml:space="preserve"> </w:t>
      </w:r>
      <w:r>
        <w:rPr>
          <w:lang w:val="hu-HU"/>
        </w:rPr>
        <w:t>(21,6%) és a standard ellátást kapó karon 22 beteg (24,4%) tapasztalt minősített vérzéses eseményt,</w:t>
      </w:r>
      <w:r>
        <w:rPr>
          <w:spacing w:val="1"/>
          <w:lang w:val="hu-HU"/>
        </w:rPr>
        <w:t xml:space="preserve"> </w:t>
      </w:r>
      <w:r>
        <w:rPr>
          <w:lang w:val="hu-HU"/>
        </w:rPr>
        <w:t>ezek többségét minornak sorolták be. A minősített major vérzéses események (MVE) vagy a</w:t>
      </w:r>
      <w:r>
        <w:rPr>
          <w:spacing w:val="1"/>
          <w:lang w:val="hu-HU"/>
        </w:rPr>
        <w:t xml:space="preserve"> </w:t>
      </w:r>
      <w:r>
        <w:rPr>
          <w:lang w:val="hu-HU"/>
        </w:rPr>
        <w:t>klinikailag releváns nem major (</w:t>
      </w:r>
      <w:r>
        <w:t xml:space="preserve">clinically relevant non-major, </w:t>
      </w:r>
      <w:r>
        <w:rPr>
          <w:lang w:val="hu-HU"/>
        </w:rPr>
        <w:t>CRNM) vérzések (a kezelésben) összetett végpontját a dabigatrán</w:t>
      </w:r>
      <w:r>
        <w:rPr>
          <w:lang w:val="hu-HU"/>
        </w:rPr>
        <w:noBreakHyphen/>
        <w:t>etexilát csoportban 6 betegnél (3,4%) és a standard ellátást kapó csoportban 3 betegnél (3,3%)</w:t>
      </w:r>
      <w:r>
        <w:rPr>
          <w:spacing w:val="1"/>
          <w:lang w:val="hu-HU"/>
        </w:rPr>
        <w:t xml:space="preserve"> </w:t>
      </w:r>
      <w:r>
        <w:rPr>
          <w:lang w:val="hu-HU"/>
        </w:rPr>
        <w:t>jelentették.</w:t>
      </w:r>
    </w:p>
    <w:p w:rsidR="007D7140" w:rsidRDefault="007D7140">
      <w:pPr>
        <w:rPr>
          <w:lang w:val="hu-HU"/>
        </w:rPr>
      </w:pPr>
    </w:p>
    <w:p w:rsidR="007D7140" w:rsidRDefault="00A207BA">
      <w:pPr>
        <w:rPr>
          <w:lang w:val="hu-HU"/>
        </w:rPr>
      </w:pPr>
      <w:r>
        <w:rPr>
          <w:lang w:val="hu-HU"/>
        </w:rPr>
        <w:t>Egy nyílt elrendezésű, egykaros, biztonságossági prospektív kohorszos, multicentrikus, III. fázisú</w:t>
      </w:r>
      <w:r>
        <w:rPr>
          <w:spacing w:val="1"/>
          <w:lang w:val="hu-HU"/>
        </w:rPr>
        <w:t xml:space="preserve"> </w:t>
      </w:r>
      <w:r>
        <w:rPr>
          <w:lang w:val="hu-HU"/>
        </w:rPr>
        <w:t>vizsgálatot (1160.108) végeztek a dabigatrán</w:t>
      </w:r>
      <w:r>
        <w:rPr>
          <w:lang w:val="hu-HU"/>
        </w:rPr>
        <w:noBreakHyphen/>
        <w:t>etexilát biztonságosságának felmérésére a VTE</w:t>
      </w:r>
      <w:r>
        <w:rPr>
          <w:spacing w:val="1"/>
          <w:lang w:val="hu-HU"/>
        </w:rPr>
        <w:t xml:space="preserve"> </w:t>
      </w:r>
      <w:r>
        <w:rPr>
          <w:lang w:val="hu-HU"/>
        </w:rPr>
        <w:t>kiújulásának prevenciójában gyermekeknél és serdülőknél, a születéstől a 18 éves kor betöltéséig. Az</w:t>
      </w:r>
      <w:r>
        <w:rPr>
          <w:spacing w:val="1"/>
          <w:lang w:val="hu-HU"/>
        </w:rPr>
        <w:t xml:space="preserve"> </w:t>
      </w:r>
      <w:r>
        <w:rPr>
          <w:lang w:val="hu-HU"/>
        </w:rPr>
        <w:t>igazolt VTE elsődleges kezelésének teljesítése után klinikai kockázati tényezők megléte miatt további</w:t>
      </w:r>
      <w:r>
        <w:rPr>
          <w:spacing w:val="1"/>
          <w:lang w:val="hu-HU"/>
        </w:rPr>
        <w:t xml:space="preserve"> </w:t>
      </w:r>
      <w:r>
        <w:rPr>
          <w:lang w:val="hu-HU"/>
        </w:rPr>
        <w:t>antikoagulálást (legalább 3 hónapig) igénylő betegek, valamint a DIVERSITY vizsgálatot teljesítő</w:t>
      </w:r>
      <w:r>
        <w:rPr>
          <w:spacing w:val="1"/>
          <w:lang w:val="hu-HU"/>
        </w:rPr>
        <w:t xml:space="preserve"> </w:t>
      </w:r>
      <w:r>
        <w:rPr>
          <w:lang w:val="hu-HU"/>
        </w:rPr>
        <w:t>betegek voltak bevonhatók a vizsgálatba. Az alkalmas betegek az életkoruk és testtömegük alapján</w:t>
      </w:r>
      <w:r>
        <w:rPr>
          <w:spacing w:val="1"/>
          <w:lang w:val="hu-HU"/>
        </w:rPr>
        <w:t xml:space="preserve"> </w:t>
      </w:r>
      <w:r>
        <w:rPr>
          <w:lang w:val="hu-HU"/>
        </w:rPr>
        <w:t>korrigált dózisban dabigatrán</w:t>
      </w:r>
      <w:r>
        <w:rPr>
          <w:lang w:val="hu-HU"/>
        </w:rPr>
        <w:noBreakHyphen/>
        <w:t>etexilátot kaptak az életkornak megfelelő gyógyszerformában (kapszula, bevont granulátum vagy belsőleges oldat), amíg a klinikai kockázati tényező meg nem szűnt, vagy</w:t>
      </w:r>
      <w:r>
        <w:rPr>
          <w:spacing w:val="1"/>
          <w:lang w:val="hu-HU"/>
        </w:rPr>
        <w:t xml:space="preserve"> </w:t>
      </w:r>
      <w:r>
        <w:rPr>
          <w:lang w:val="hu-HU"/>
        </w:rPr>
        <w:t>legfeljebb 12 hónapig. A vizsgálat elsődleges végpontjai közé tartoztak a VTE kiújulása, a major és a</w:t>
      </w:r>
      <w:r>
        <w:rPr>
          <w:spacing w:val="1"/>
          <w:lang w:val="hu-HU"/>
        </w:rPr>
        <w:t xml:space="preserve"> </w:t>
      </w:r>
      <w:r>
        <w:rPr>
          <w:lang w:val="hu-HU"/>
        </w:rPr>
        <w:t>minor vérzéses események, valamint a (teljes és a thrombotikus vagy thromboemboliás</w:t>
      </w:r>
      <w:r>
        <w:rPr>
          <w:spacing w:val="1"/>
          <w:lang w:val="hu-HU"/>
        </w:rPr>
        <w:t xml:space="preserve"> </w:t>
      </w:r>
      <w:r>
        <w:rPr>
          <w:lang w:val="hu-HU"/>
        </w:rPr>
        <w:t>eseményekkel összefüggő) mortalitás a 6. és a 12. hónapokban. A kimenet eseményeit egy független</w:t>
      </w:r>
      <w:r>
        <w:rPr>
          <w:spacing w:val="1"/>
          <w:lang w:val="hu-HU"/>
        </w:rPr>
        <w:t xml:space="preserve"> </w:t>
      </w:r>
      <w:r>
        <w:rPr>
          <w:lang w:val="hu-HU"/>
        </w:rPr>
        <w:t>értékelő bizottság</w:t>
      </w:r>
      <w:r>
        <w:rPr>
          <w:spacing w:val="-2"/>
          <w:lang w:val="hu-HU"/>
        </w:rPr>
        <w:t xml:space="preserve"> </w:t>
      </w:r>
      <w:r>
        <w:rPr>
          <w:lang w:val="hu-HU"/>
        </w:rPr>
        <w:t>minősítette</w:t>
      </w:r>
      <w:r>
        <w:rPr>
          <w:spacing w:val="-1"/>
          <w:lang w:val="hu-HU"/>
        </w:rPr>
        <w:t xml:space="preserve"> </w:t>
      </w:r>
      <w:r>
        <w:rPr>
          <w:lang w:val="hu-HU"/>
        </w:rPr>
        <w:t>vak</w:t>
      </w:r>
      <w:r>
        <w:rPr>
          <w:spacing w:val="-1"/>
          <w:lang w:val="hu-HU"/>
        </w:rPr>
        <w:t xml:space="preserve"> </w:t>
      </w:r>
      <w:r>
        <w:rPr>
          <w:lang w:val="hu-HU"/>
        </w:rPr>
        <w:t>módon.</w:t>
      </w:r>
    </w:p>
    <w:p w:rsidR="007D7140" w:rsidRDefault="00A207BA">
      <w:pPr>
        <w:rPr>
          <w:lang w:val="hu-HU"/>
        </w:rPr>
      </w:pPr>
      <w:r>
        <w:rPr>
          <w:lang w:val="hu-HU"/>
        </w:rPr>
        <w:t>Összesen</w:t>
      </w:r>
      <w:r>
        <w:rPr>
          <w:spacing w:val="-3"/>
          <w:lang w:val="hu-HU"/>
        </w:rPr>
        <w:t xml:space="preserve"> </w:t>
      </w:r>
      <w:r>
        <w:rPr>
          <w:lang w:val="hu-HU"/>
        </w:rPr>
        <w:t>214 beteg</w:t>
      </w:r>
      <w:r>
        <w:rPr>
          <w:spacing w:val="-4"/>
          <w:lang w:val="hu-HU"/>
        </w:rPr>
        <w:t xml:space="preserve"> </w:t>
      </w:r>
      <w:r>
        <w:rPr>
          <w:lang w:val="hu-HU"/>
        </w:rPr>
        <w:t>lépett</w:t>
      </w:r>
      <w:r>
        <w:rPr>
          <w:spacing w:val="-3"/>
          <w:lang w:val="hu-HU"/>
        </w:rPr>
        <w:t xml:space="preserve"> </w:t>
      </w:r>
      <w:r>
        <w:rPr>
          <w:lang w:val="hu-HU"/>
        </w:rPr>
        <w:t>be</w:t>
      </w:r>
      <w:r>
        <w:rPr>
          <w:spacing w:val="-4"/>
          <w:lang w:val="hu-HU"/>
        </w:rPr>
        <w:t xml:space="preserve"> </w:t>
      </w:r>
      <w:r>
        <w:rPr>
          <w:lang w:val="hu-HU"/>
        </w:rPr>
        <w:t>a</w:t>
      </w:r>
      <w:r>
        <w:rPr>
          <w:spacing w:val="-3"/>
          <w:lang w:val="hu-HU"/>
        </w:rPr>
        <w:t xml:space="preserve"> </w:t>
      </w:r>
      <w:r>
        <w:rPr>
          <w:lang w:val="hu-HU"/>
        </w:rPr>
        <w:t>vizsgálatba,</w:t>
      </w:r>
      <w:r>
        <w:rPr>
          <w:spacing w:val="-3"/>
          <w:lang w:val="hu-HU"/>
        </w:rPr>
        <w:t xml:space="preserve"> </w:t>
      </w:r>
      <w:r>
        <w:rPr>
          <w:lang w:val="hu-HU"/>
        </w:rPr>
        <w:t>köztük</w:t>
      </w:r>
      <w:r>
        <w:rPr>
          <w:spacing w:val="-4"/>
          <w:lang w:val="hu-HU"/>
        </w:rPr>
        <w:t xml:space="preserve"> </w:t>
      </w:r>
      <w:r>
        <w:rPr>
          <w:lang w:val="hu-HU"/>
        </w:rPr>
        <w:t>162 beteg</w:t>
      </w:r>
      <w:r>
        <w:rPr>
          <w:spacing w:val="-4"/>
          <w:lang w:val="hu-HU"/>
        </w:rPr>
        <w:t xml:space="preserve"> </w:t>
      </w:r>
      <w:r>
        <w:rPr>
          <w:lang w:val="hu-HU"/>
        </w:rPr>
        <w:t>az</w:t>
      </w:r>
      <w:r>
        <w:rPr>
          <w:spacing w:val="-3"/>
          <w:lang w:val="hu-HU"/>
        </w:rPr>
        <w:t xml:space="preserve"> </w:t>
      </w:r>
      <w:r>
        <w:rPr>
          <w:lang w:val="hu-HU"/>
        </w:rPr>
        <w:t>életkor</w:t>
      </w:r>
      <w:r>
        <w:rPr>
          <w:spacing w:val="-3"/>
          <w:lang w:val="hu-HU"/>
        </w:rPr>
        <w:t xml:space="preserve"> </w:t>
      </w:r>
      <w:r>
        <w:rPr>
          <w:lang w:val="hu-HU"/>
        </w:rPr>
        <w:t>szerinti</w:t>
      </w:r>
      <w:r>
        <w:rPr>
          <w:spacing w:val="-4"/>
          <w:lang w:val="hu-HU"/>
        </w:rPr>
        <w:t xml:space="preserve"> </w:t>
      </w:r>
      <w:r>
        <w:rPr>
          <w:lang w:val="hu-HU"/>
        </w:rPr>
        <w:t>1.</w:t>
      </w:r>
      <w:r>
        <w:rPr>
          <w:spacing w:val="-5"/>
          <w:lang w:val="hu-HU"/>
        </w:rPr>
        <w:t xml:space="preserve"> </w:t>
      </w:r>
      <w:r>
        <w:rPr>
          <w:lang w:val="hu-HU"/>
        </w:rPr>
        <w:t>rétegbe (12 </w:t>
      </w:r>
      <w:r>
        <w:rPr>
          <w:lang w:val="hu-HU"/>
        </w:rPr>
        <w:noBreakHyphen/>
        <w:t> &lt; 18 éves kor), 43 beteg az életkor szerinti 2. rétegbe (2 </w:t>
      </w:r>
      <w:r>
        <w:rPr>
          <w:lang w:val="hu-HU"/>
        </w:rPr>
        <w:noBreakHyphen/>
        <w:t> &lt; 12 éves kor) és 9 beteg az életkor</w:t>
      </w:r>
      <w:r>
        <w:rPr>
          <w:spacing w:val="1"/>
          <w:lang w:val="hu-HU"/>
        </w:rPr>
        <w:t xml:space="preserve"> </w:t>
      </w:r>
      <w:r>
        <w:rPr>
          <w:lang w:val="hu-HU"/>
        </w:rPr>
        <w:t>szerinti 3. rétegbe (születés </w:t>
      </w:r>
      <w:r>
        <w:rPr>
          <w:lang w:val="hu-HU"/>
        </w:rPr>
        <w:noBreakHyphen/>
        <w:t> &lt; 2 éves kor) tartozott. A kezelési időszakban, a kezelés kezdete utáni</w:t>
      </w:r>
      <w:r>
        <w:rPr>
          <w:spacing w:val="1"/>
          <w:lang w:val="hu-HU"/>
        </w:rPr>
        <w:t xml:space="preserve"> </w:t>
      </w:r>
      <w:r>
        <w:rPr>
          <w:lang w:val="hu-HU"/>
        </w:rPr>
        <w:t xml:space="preserve">első 12 hónapban 3 betegnél (1,4%) újult ki a VTE, amit a bizottság is megerősített. </w:t>
      </w:r>
    </w:p>
    <w:p w:rsidR="007D7140" w:rsidRDefault="00A207BA">
      <w:pPr>
        <w:rPr>
          <w:lang w:val="hu-HU"/>
        </w:rPr>
      </w:pPr>
      <w:r>
        <w:rPr>
          <w:lang w:val="hu-HU"/>
        </w:rPr>
        <w:t>A kezelési</w:t>
      </w:r>
      <w:r>
        <w:rPr>
          <w:spacing w:val="1"/>
          <w:lang w:val="hu-HU"/>
        </w:rPr>
        <w:t xml:space="preserve"> </w:t>
      </w:r>
      <w:r>
        <w:rPr>
          <w:lang w:val="hu-HU"/>
        </w:rPr>
        <w:t>időszakban 48 betegnél (22,5%) jelentettek megerősített vérzéses eseményt az első 12 hónapban. A</w:t>
      </w:r>
      <w:r>
        <w:rPr>
          <w:spacing w:val="1"/>
          <w:lang w:val="hu-HU"/>
        </w:rPr>
        <w:t xml:space="preserve"> </w:t>
      </w:r>
      <w:r>
        <w:rPr>
          <w:lang w:val="hu-HU"/>
        </w:rPr>
        <w:t>vérzéses események többsége minor volt. 3 betegnél (1,4%) egy megerősített major vérzéses esemény jelentkezett</w:t>
      </w:r>
      <w:r>
        <w:rPr>
          <w:spacing w:val="2"/>
          <w:lang w:val="hu-HU"/>
        </w:rPr>
        <w:t xml:space="preserve"> </w:t>
      </w:r>
      <w:r>
        <w:rPr>
          <w:lang w:val="hu-HU"/>
        </w:rPr>
        <w:t>az</w:t>
      </w:r>
      <w:r>
        <w:rPr>
          <w:spacing w:val="3"/>
          <w:lang w:val="hu-HU"/>
        </w:rPr>
        <w:t xml:space="preserve"> </w:t>
      </w:r>
      <w:r>
        <w:rPr>
          <w:lang w:val="hu-HU"/>
        </w:rPr>
        <w:t>első</w:t>
      </w:r>
      <w:r>
        <w:rPr>
          <w:spacing w:val="3"/>
          <w:lang w:val="hu-HU"/>
        </w:rPr>
        <w:t xml:space="preserve"> </w:t>
      </w:r>
      <w:r>
        <w:rPr>
          <w:lang w:val="hu-HU"/>
        </w:rPr>
        <w:t>12 hónapban.</w:t>
      </w:r>
      <w:r>
        <w:rPr>
          <w:spacing w:val="3"/>
          <w:lang w:val="hu-HU"/>
        </w:rPr>
        <w:t xml:space="preserve"> </w:t>
      </w:r>
      <w:r>
        <w:rPr>
          <w:lang w:val="hu-HU"/>
        </w:rPr>
        <w:t>3 betegnél</w:t>
      </w:r>
      <w:r>
        <w:rPr>
          <w:spacing w:val="3"/>
          <w:lang w:val="hu-HU"/>
        </w:rPr>
        <w:t xml:space="preserve"> </w:t>
      </w:r>
      <w:r>
        <w:rPr>
          <w:lang w:val="hu-HU"/>
        </w:rPr>
        <w:t>(1,4%)</w:t>
      </w:r>
      <w:r>
        <w:rPr>
          <w:spacing w:val="3"/>
          <w:lang w:val="hu-HU"/>
        </w:rPr>
        <w:t xml:space="preserve"> </w:t>
      </w:r>
      <w:r>
        <w:rPr>
          <w:lang w:val="hu-HU"/>
        </w:rPr>
        <w:t>jelentkezett</w:t>
      </w:r>
      <w:r>
        <w:rPr>
          <w:spacing w:val="3"/>
          <w:lang w:val="hu-HU"/>
        </w:rPr>
        <w:t xml:space="preserve"> </w:t>
      </w:r>
      <w:r>
        <w:rPr>
          <w:lang w:val="hu-HU"/>
        </w:rPr>
        <w:t>megerősített</w:t>
      </w:r>
      <w:r>
        <w:rPr>
          <w:spacing w:val="3"/>
          <w:lang w:val="hu-HU"/>
        </w:rPr>
        <w:t xml:space="preserve"> </w:t>
      </w:r>
      <w:r>
        <w:rPr>
          <w:lang w:val="hu-HU"/>
        </w:rPr>
        <w:t>CRNM</w:t>
      </w:r>
      <w:r>
        <w:rPr>
          <w:spacing w:val="3"/>
          <w:lang w:val="hu-HU"/>
        </w:rPr>
        <w:t xml:space="preserve"> </w:t>
      </w:r>
      <w:r>
        <w:rPr>
          <w:lang w:val="hu-HU"/>
        </w:rPr>
        <w:t>vérzés</w:t>
      </w:r>
      <w:r>
        <w:rPr>
          <w:spacing w:val="3"/>
          <w:lang w:val="hu-HU"/>
        </w:rPr>
        <w:t xml:space="preserve"> </w:t>
      </w:r>
      <w:r>
        <w:rPr>
          <w:lang w:val="hu-HU"/>
        </w:rPr>
        <w:t>az</w:t>
      </w:r>
      <w:r>
        <w:rPr>
          <w:spacing w:val="3"/>
          <w:lang w:val="hu-HU"/>
        </w:rPr>
        <w:t xml:space="preserve"> </w:t>
      </w:r>
      <w:r>
        <w:rPr>
          <w:lang w:val="hu-HU"/>
        </w:rPr>
        <w:t>első</w:t>
      </w:r>
      <w:r>
        <w:rPr>
          <w:spacing w:val="1"/>
          <w:lang w:val="hu-HU"/>
        </w:rPr>
        <w:t xml:space="preserve"> </w:t>
      </w:r>
      <w:r>
        <w:rPr>
          <w:lang w:val="hu-HU"/>
        </w:rPr>
        <w:t>12 hónapban. A kezelés alatt nem következett be haláleset. A kezelési időszakban 3 betegnél (1,4%)</w:t>
      </w:r>
      <w:r>
        <w:rPr>
          <w:spacing w:val="1"/>
          <w:lang w:val="hu-HU"/>
        </w:rPr>
        <w:t xml:space="preserve"> </w:t>
      </w:r>
      <w:r>
        <w:rPr>
          <w:lang w:val="hu-HU"/>
        </w:rPr>
        <w:t>alakult</w:t>
      </w:r>
      <w:r>
        <w:rPr>
          <w:spacing w:val="-3"/>
          <w:lang w:val="hu-HU"/>
        </w:rPr>
        <w:t xml:space="preserve"> </w:t>
      </w:r>
      <w:r>
        <w:rPr>
          <w:lang w:val="hu-HU"/>
        </w:rPr>
        <w:t>ki</w:t>
      </w:r>
      <w:r>
        <w:rPr>
          <w:spacing w:val="-3"/>
          <w:lang w:val="hu-HU"/>
        </w:rPr>
        <w:t xml:space="preserve"> </w:t>
      </w:r>
      <w:r>
        <w:rPr>
          <w:lang w:val="hu-HU"/>
        </w:rPr>
        <w:t>post-thrombotikus</w:t>
      </w:r>
      <w:r>
        <w:rPr>
          <w:spacing w:val="-3"/>
          <w:lang w:val="hu-HU"/>
        </w:rPr>
        <w:t xml:space="preserve"> </w:t>
      </w:r>
      <w:r>
        <w:rPr>
          <w:lang w:val="hu-HU"/>
        </w:rPr>
        <w:t>szindróma</w:t>
      </w:r>
      <w:r>
        <w:rPr>
          <w:spacing w:val="-3"/>
          <w:lang w:val="hu-HU"/>
        </w:rPr>
        <w:t xml:space="preserve"> </w:t>
      </w:r>
      <w:r>
        <w:rPr>
          <w:lang w:val="hu-HU"/>
        </w:rPr>
        <w:t>(</w:t>
      </w:r>
      <w:r>
        <w:t>post thrombotic syndrome,</w:t>
      </w:r>
      <w:r>
        <w:rPr>
          <w:lang w:val="hu-HU"/>
        </w:rPr>
        <w:t xml:space="preserve"> PTS)</w:t>
      </w:r>
      <w:r>
        <w:rPr>
          <w:spacing w:val="-3"/>
          <w:lang w:val="hu-HU"/>
        </w:rPr>
        <w:t xml:space="preserve"> </w:t>
      </w:r>
      <w:r>
        <w:rPr>
          <w:lang w:val="hu-HU"/>
        </w:rPr>
        <w:t>vagy</w:t>
      </w:r>
      <w:r>
        <w:rPr>
          <w:spacing w:val="-3"/>
          <w:lang w:val="hu-HU"/>
        </w:rPr>
        <w:t xml:space="preserve"> </w:t>
      </w:r>
      <w:r>
        <w:rPr>
          <w:lang w:val="hu-HU"/>
        </w:rPr>
        <w:t>rosszabbodott</w:t>
      </w:r>
      <w:r>
        <w:rPr>
          <w:spacing w:val="-3"/>
          <w:lang w:val="hu-HU"/>
        </w:rPr>
        <w:t xml:space="preserve"> </w:t>
      </w:r>
      <w:r>
        <w:rPr>
          <w:lang w:val="hu-HU"/>
        </w:rPr>
        <w:t>a</w:t>
      </w:r>
      <w:r>
        <w:rPr>
          <w:spacing w:val="-3"/>
          <w:lang w:val="hu-HU"/>
        </w:rPr>
        <w:t xml:space="preserve"> </w:t>
      </w:r>
      <w:r>
        <w:rPr>
          <w:lang w:val="hu-HU"/>
        </w:rPr>
        <w:t>PTS</w:t>
      </w:r>
      <w:r>
        <w:rPr>
          <w:spacing w:val="-3"/>
          <w:lang w:val="hu-HU"/>
        </w:rPr>
        <w:t xml:space="preserve"> </w:t>
      </w:r>
      <w:r>
        <w:rPr>
          <w:lang w:val="hu-HU"/>
        </w:rPr>
        <w:t>az</w:t>
      </w:r>
      <w:r>
        <w:rPr>
          <w:spacing w:val="-3"/>
          <w:lang w:val="hu-HU"/>
        </w:rPr>
        <w:t xml:space="preserve"> </w:t>
      </w:r>
      <w:r>
        <w:rPr>
          <w:lang w:val="hu-HU"/>
        </w:rPr>
        <w:t>első</w:t>
      </w:r>
      <w:r>
        <w:rPr>
          <w:spacing w:val="-3"/>
          <w:lang w:val="hu-HU"/>
        </w:rPr>
        <w:t xml:space="preserve"> </w:t>
      </w:r>
      <w:r>
        <w:rPr>
          <w:lang w:val="hu-HU"/>
        </w:rPr>
        <w:t>12 hónapban.</w:t>
      </w:r>
    </w:p>
    <w:p w:rsidR="007D7140" w:rsidRDefault="007D7140">
      <w:pPr>
        <w:rPr>
          <w:lang w:val="hu-HU"/>
        </w:rPr>
      </w:pPr>
    </w:p>
    <w:p w:rsidR="007D7140" w:rsidRDefault="00A207BA">
      <w:pPr>
        <w:tabs>
          <w:tab w:val="left" w:pos="567"/>
        </w:tabs>
        <w:rPr>
          <w:b/>
          <w:bCs/>
          <w:lang w:val="hu-HU"/>
        </w:rPr>
      </w:pPr>
      <w:r>
        <w:rPr>
          <w:b/>
          <w:bCs/>
          <w:lang w:val="hu-HU"/>
        </w:rPr>
        <w:t>5.2</w:t>
      </w:r>
      <w:r>
        <w:rPr>
          <w:b/>
          <w:bCs/>
          <w:lang w:val="hu-HU"/>
        </w:rPr>
        <w:tab/>
        <w:t>Farmakokinetikai</w:t>
      </w:r>
      <w:r>
        <w:rPr>
          <w:b/>
          <w:bCs/>
          <w:spacing w:val="-9"/>
          <w:lang w:val="hu-HU"/>
        </w:rPr>
        <w:t xml:space="preserve"> </w:t>
      </w:r>
      <w:r>
        <w:rPr>
          <w:b/>
          <w:bCs/>
          <w:lang w:val="hu-HU"/>
        </w:rPr>
        <w:t>tulajdonságok</w:t>
      </w:r>
    </w:p>
    <w:p w:rsidR="007D7140" w:rsidRDefault="007D7140">
      <w:pPr>
        <w:rPr>
          <w:lang w:val="hu-HU"/>
        </w:rPr>
      </w:pPr>
    </w:p>
    <w:p w:rsidR="007D7140" w:rsidRDefault="00A207BA">
      <w:pPr>
        <w:rPr>
          <w:lang w:val="hu-HU"/>
        </w:rPr>
      </w:pPr>
      <w:r>
        <w:rPr>
          <w:lang w:val="hu-HU"/>
        </w:rPr>
        <w:t>Szájon át történő alkalmazást követően a dabigatrán</w:t>
      </w:r>
      <w:r>
        <w:rPr>
          <w:lang w:val="hu-HU"/>
        </w:rPr>
        <w:noBreakHyphen/>
        <w:t>etexilát gyorsan és teljes mértékben átalakul dabigatránná, ami a</w:t>
      </w:r>
      <w:r>
        <w:rPr>
          <w:spacing w:val="1"/>
          <w:lang w:val="hu-HU"/>
        </w:rPr>
        <w:t xml:space="preserve"> </w:t>
      </w:r>
      <w:r>
        <w:rPr>
          <w:lang w:val="hu-HU"/>
        </w:rPr>
        <w:t>plazmában az aktív forma. Az elsődleges metabolikus út a dabigatrán</w:t>
      </w:r>
      <w:r>
        <w:rPr>
          <w:lang w:val="hu-HU"/>
        </w:rPr>
        <w:noBreakHyphen/>
        <w:t>etexilát prodrug észteráz által</w:t>
      </w:r>
      <w:r>
        <w:rPr>
          <w:spacing w:val="1"/>
          <w:lang w:val="hu-HU"/>
        </w:rPr>
        <w:t xml:space="preserve"> </w:t>
      </w:r>
      <w:r>
        <w:rPr>
          <w:lang w:val="hu-HU"/>
        </w:rPr>
        <w:t>katalizált hidrolízisen keresztüli hasítása aktiv dabigatránná. A dabigatrán</w:t>
      </w:r>
      <w:r>
        <w:rPr>
          <w:lang w:val="hu-HU"/>
        </w:rPr>
        <w:noBreakHyphen/>
        <w:t>etexilát per os alkalmazását követően a dabigatrán</w:t>
      </w:r>
      <w:r>
        <w:rPr>
          <w:spacing w:val="-1"/>
          <w:lang w:val="hu-HU"/>
        </w:rPr>
        <w:t xml:space="preserve"> </w:t>
      </w:r>
      <w:r>
        <w:rPr>
          <w:lang w:val="hu-HU"/>
        </w:rPr>
        <w:t>abszolút</w:t>
      </w:r>
      <w:r>
        <w:rPr>
          <w:spacing w:val="-2"/>
          <w:lang w:val="hu-HU"/>
        </w:rPr>
        <w:t xml:space="preserve"> </w:t>
      </w:r>
      <w:r>
        <w:rPr>
          <w:lang w:val="hu-HU"/>
        </w:rPr>
        <w:t>biohasznosulása</w:t>
      </w:r>
      <w:r>
        <w:rPr>
          <w:spacing w:val="-1"/>
          <w:lang w:val="hu-HU"/>
        </w:rPr>
        <w:t xml:space="preserve"> </w:t>
      </w:r>
      <w:r>
        <w:rPr>
          <w:lang w:val="hu-HU"/>
        </w:rPr>
        <w:t>körülbelül</w:t>
      </w:r>
      <w:r>
        <w:rPr>
          <w:spacing w:val="-1"/>
          <w:lang w:val="hu-HU"/>
        </w:rPr>
        <w:t xml:space="preserve"> </w:t>
      </w:r>
      <w:r>
        <w:rPr>
          <w:lang w:val="hu-HU"/>
        </w:rPr>
        <w:t>6,5%.</w:t>
      </w:r>
    </w:p>
    <w:p w:rsidR="007D7140" w:rsidRDefault="00A207BA">
      <w:pPr>
        <w:rPr>
          <w:lang w:val="hu-HU"/>
        </w:rPr>
      </w:pPr>
      <w:r>
        <w:rPr>
          <w:lang w:val="hu-HU"/>
        </w:rPr>
        <w:t>A dabigatrán</w:t>
      </w:r>
      <w:r>
        <w:rPr>
          <w:lang w:val="hu-HU"/>
        </w:rPr>
        <w:noBreakHyphen/>
        <w:t>etexilát egészséges önkénteseknek történő orális adása után a dabigatrán farmakokinetikai profilját a plazmában a plazmakoncentrációk gyors emelkedése jellemzi, a C</w:t>
      </w:r>
      <w:r>
        <w:rPr>
          <w:vertAlign w:val="subscript"/>
          <w:lang w:val="hu-HU"/>
        </w:rPr>
        <w:t>max</w:t>
      </w:r>
      <w:r>
        <w:rPr>
          <w:lang w:val="hu-HU"/>
        </w:rPr>
        <w:t xml:space="preserve"> a</w:t>
      </w:r>
      <w:r>
        <w:rPr>
          <w:spacing w:val="1"/>
          <w:position w:val="2"/>
          <w:lang w:val="hu-HU"/>
        </w:rPr>
        <w:t xml:space="preserve"> </w:t>
      </w:r>
      <w:r>
        <w:rPr>
          <w:lang w:val="hu-HU"/>
        </w:rPr>
        <w:t>bevételt</w:t>
      </w:r>
      <w:r>
        <w:rPr>
          <w:spacing w:val="-2"/>
          <w:lang w:val="hu-HU"/>
        </w:rPr>
        <w:t xml:space="preserve"> </w:t>
      </w:r>
      <w:r>
        <w:rPr>
          <w:lang w:val="hu-HU"/>
        </w:rPr>
        <w:t>követően 0,5</w:t>
      </w:r>
      <w:r>
        <w:rPr>
          <w:lang w:val="hu-HU"/>
        </w:rPr>
        <w:noBreakHyphen/>
        <w:t>2 órán belül kialakul.</w:t>
      </w:r>
    </w:p>
    <w:p w:rsidR="007D7140" w:rsidRDefault="007D7140">
      <w:pPr>
        <w:rPr>
          <w:lang w:val="hu-HU"/>
        </w:rPr>
      </w:pPr>
    </w:p>
    <w:p w:rsidR="007D7140" w:rsidRDefault="00A207BA">
      <w:pPr>
        <w:rPr>
          <w:lang w:val="hu-HU"/>
        </w:rPr>
      </w:pPr>
      <w:r>
        <w:rPr>
          <w:u w:val="single"/>
          <w:lang w:val="hu-HU"/>
        </w:rPr>
        <w:t>Felszívódás</w:t>
      </w:r>
    </w:p>
    <w:p w:rsidR="007D7140" w:rsidRDefault="007D7140">
      <w:pPr>
        <w:rPr>
          <w:lang w:val="hu-HU"/>
        </w:rPr>
      </w:pPr>
    </w:p>
    <w:p w:rsidR="007D7140" w:rsidRDefault="00A207BA">
      <w:pPr>
        <w:rPr>
          <w:lang w:val="hu-HU"/>
        </w:rPr>
      </w:pPr>
      <w:r>
        <w:rPr>
          <w:lang w:val="hu-HU"/>
        </w:rPr>
        <w:t>Egy, a dabigatrán</w:t>
      </w:r>
      <w:r>
        <w:rPr>
          <w:lang w:val="hu-HU"/>
        </w:rPr>
        <w:noBreakHyphen/>
        <w:t>etexilát posztoperatív, a műtét után 1</w:t>
      </w:r>
      <w:r>
        <w:rPr>
          <w:lang w:val="hu-HU"/>
        </w:rPr>
        <w:noBreakHyphen/>
        <w:t>3 órával történő felszívódását értékelő</w:t>
      </w:r>
      <w:r>
        <w:rPr>
          <w:spacing w:val="1"/>
          <w:lang w:val="hu-HU"/>
        </w:rPr>
        <w:t xml:space="preserve"> </w:t>
      </w:r>
      <w:r>
        <w:rPr>
          <w:lang w:val="hu-HU"/>
        </w:rPr>
        <w:t>vizsgálat viszonylag lassú felszívódást mutatott az egészséges önkéntesekkel összehasonlítva, a plazmakoncentráció-idő profil egyenletes volt, magas plazma csúcskoncentrációk nélkül. A plazma</w:t>
      </w:r>
      <w:r>
        <w:rPr>
          <w:spacing w:val="1"/>
          <w:lang w:val="hu-HU"/>
        </w:rPr>
        <w:t xml:space="preserve"> </w:t>
      </w:r>
      <w:r>
        <w:rPr>
          <w:lang w:val="hu-HU"/>
        </w:rPr>
        <w:t>csúcskoncentrációk – függetlenül az orális gyógyszerformától – a posztoperatív időszakban a beadást követően 6 óra múlva alakultak ki az olyan hozzájáruló tényezők miatt, mint az anesztézia, gastrointestinalis paresis és a</w:t>
      </w:r>
      <w:r>
        <w:rPr>
          <w:spacing w:val="1"/>
          <w:lang w:val="hu-HU"/>
        </w:rPr>
        <w:t xml:space="preserve"> </w:t>
      </w:r>
      <w:r>
        <w:rPr>
          <w:lang w:val="hu-HU"/>
        </w:rPr>
        <w:t xml:space="preserve">műtét hatásai. Egy másik vizsgálatban kimutatták, hogy lassú és </w:t>
      </w:r>
      <w:r>
        <w:rPr>
          <w:lang w:val="hu-HU"/>
        </w:rPr>
        <w:lastRenderedPageBreak/>
        <w:t>elhúzódó felszívódás általában csak a műtét napján észlelhető. A további napokon a dabigatrán felszívódása gyors, és a plazma</w:t>
      </w:r>
      <w:r>
        <w:rPr>
          <w:spacing w:val="1"/>
          <w:lang w:val="hu-HU"/>
        </w:rPr>
        <w:t xml:space="preserve"> </w:t>
      </w:r>
      <w:r>
        <w:rPr>
          <w:lang w:val="hu-HU"/>
        </w:rPr>
        <w:t>csúcskoncentrációk</w:t>
      </w:r>
      <w:r>
        <w:rPr>
          <w:spacing w:val="-2"/>
          <w:lang w:val="hu-HU"/>
        </w:rPr>
        <w:t xml:space="preserve"> </w:t>
      </w:r>
      <w:r>
        <w:rPr>
          <w:lang w:val="hu-HU"/>
        </w:rPr>
        <w:t>2</w:t>
      </w:r>
      <w:r>
        <w:rPr>
          <w:spacing w:val="-2"/>
          <w:lang w:val="hu-HU"/>
        </w:rPr>
        <w:t> </w:t>
      </w:r>
      <w:r>
        <w:rPr>
          <w:lang w:val="hu-HU"/>
        </w:rPr>
        <w:t>órával</w:t>
      </w:r>
      <w:r>
        <w:rPr>
          <w:spacing w:val="-1"/>
          <w:lang w:val="hu-HU"/>
        </w:rPr>
        <w:t xml:space="preserve"> </w:t>
      </w:r>
      <w:r>
        <w:rPr>
          <w:lang w:val="hu-HU"/>
        </w:rPr>
        <w:t>a</w:t>
      </w:r>
      <w:r>
        <w:rPr>
          <w:spacing w:val="-2"/>
          <w:lang w:val="hu-HU"/>
        </w:rPr>
        <w:t xml:space="preserve"> </w:t>
      </w:r>
      <w:r>
        <w:rPr>
          <w:lang w:val="hu-HU"/>
        </w:rPr>
        <w:t>gyógyszer</w:t>
      </w:r>
      <w:r>
        <w:rPr>
          <w:spacing w:val="-2"/>
          <w:lang w:val="hu-HU"/>
        </w:rPr>
        <w:t xml:space="preserve"> </w:t>
      </w:r>
      <w:r>
        <w:rPr>
          <w:lang w:val="hu-HU"/>
        </w:rPr>
        <w:t>beadását</w:t>
      </w:r>
      <w:r>
        <w:rPr>
          <w:spacing w:val="-1"/>
          <w:lang w:val="hu-HU"/>
        </w:rPr>
        <w:t xml:space="preserve"> </w:t>
      </w:r>
      <w:r>
        <w:rPr>
          <w:lang w:val="hu-HU"/>
        </w:rPr>
        <w:t>követően</w:t>
      </w:r>
      <w:r>
        <w:rPr>
          <w:spacing w:val="-2"/>
          <w:lang w:val="hu-HU"/>
        </w:rPr>
        <w:t xml:space="preserve"> </w:t>
      </w:r>
      <w:r>
        <w:rPr>
          <w:lang w:val="hu-HU"/>
        </w:rPr>
        <w:t>kialakulnak.</w:t>
      </w:r>
    </w:p>
    <w:p w:rsidR="007D7140" w:rsidRDefault="007D7140">
      <w:pPr>
        <w:rPr>
          <w:lang w:val="hu-HU"/>
        </w:rPr>
      </w:pPr>
    </w:p>
    <w:p w:rsidR="007D7140" w:rsidRDefault="00A207BA">
      <w:pPr>
        <w:rPr>
          <w:lang w:val="hu-HU"/>
        </w:rPr>
      </w:pPr>
      <w:r>
        <w:rPr>
          <w:lang w:val="hu-HU"/>
        </w:rPr>
        <w:t>Az étkezés nem befolyásolja a dabigatrán</w:t>
      </w:r>
      <w:r>
        <w:rPr>
          <w:lang w:val="hu-HU"/>
        </w:rPr>
        <w:noBreakHyphen/>
        <w:t>etexilát biohasznosulását, de 2 órával megnyújtja a plazma csúcskoncentráció</w:t>
      </w:r>
      <w:r>
        <w:rPr>
          <w:spacing w:val="-2"/>
          <w:lang w:val="hu-HU"/>
        </w:rPr>
        <w:t xml:space="preserve"> </w:t>
      </w:r>
      <w:r>
        <w:rPr>
          <w:lang w:val="hu-HU"/>
        </w:rPr>
        <w:t>kialakulásához</w:t>
      </w:r>
      <w:r>
        <w:rPr>
          <w:spacing w:val="-1"/>
          <w:lang w:val="hu-HU"/>
        </w:rPr>
        <w:t xml:space="preserve"> </w:t>
      </w:r>
      <w:r>
        <w:rPr>
          <w:lang w:val="hu-HU"/>
        </w:rPr>
        <w:t>szükséges</w:t>
      </w:r>
      <w:r>
        <w:rPr>
          <w:spacing w:val="-1"/>
          <w:lang w:val="hu-HU"/>
        </w:rPr>
        <w:t xml:space="preserve"> </w:t>
      </w:r>
      <w:r>
        <w:rPr>
          <w:lang w:val="hu-HU"/>
        </w:rPr>
        <w:t>időt.</w:t>
      </w:r>
    </w:p>
    <w:p w:rsidR="007D7140" w:rsidRDefault="007D7140">
      <w:pPr>
        <w:rPr>
          <w:lang w:val="hu-HU"/>
        </w:rPr>
      </w:pPr>
    </w:p>
    <w:p w:rsidR="007D7140" w:rsidRDefault="00A207BA">
      <w:pPr>
        <w:rPr>
          <w:lang w:val="hu-HU"/>
        </w:rPr>
      </w:pPr>
      <w:r>
        <w:rPr>
          <w:position w:val="2"/>
          <w:lang w:val="hu-HU"/>
        </w:rPr>
        <w:t>A</w:t>
      </w:r>
      <w:r>
        <w:rPr>
          <w:spacing w:val="-3"/>
          <w:position w:val="2"/>
          <w:lang w:val="hu-HU"/>
        </w:rPr>
        <w:t xml:space="preserve"> </w:t>
      </w:r>
      <w:r>
        <w:rPr>
          <w:position w:val="2"/>
          <w:lang w:val="hu-HU"/>
        </w:rPr>
        <w:t>C</w:t>
      </w:r>
      <w:r>
        <w:rPr>
          <w:position w:val="2"/>
          <w:vertAlign w:val="subscript"/>
          <w:lang w:val="hu-HU"/>
        </w:rPr>
        <w:t>max</w:t>
      </w:r>
      <w:r>
        <w:rPr>
          <w:spacing w:val="15"/>
          <w:lang w:val="hu-HU"/>
        </w:rPr>
        <w:t xml:space="preserve"> </w:t>
      </w:r>
      <w:r>
        <w:rPr>
          <w:position w:val="2"/>
          <w:lang w:val="hu-HU"/>
        </w:rPr>
        <w:t>és</w:t>
      </w:r>
      <w:r>
        <w:rPr>
          <w:spacing w:val="-2"/>
          <w:position w:val="2"/>
          <w:lang w:val="hu-HU"/>
        </w:rPr>
        <w:t xml:space="preserve"> </w:t>
      </w:r>
      <w:r>
        <w:rPr>
          <w:position w:val="2"/>
          <w:lang w:val="hu-HU"/>
        </w:rPr>
        <w:t>az</w:t>
      </w:r>
      <w:r>
        <w:rPr>
          <w:spacing w:val="-3"/>
          <w:position w:val="2"/>
          <w:lang w:val="hu-HU"/>
        </w:rPr>
        <w:t xml:space="preserve"> </w:t>
      </w:r>
      <w:r>
        <w:rPr>
          <w:position w:val="2"/>
          <w:lang w:val="hu-HU"/>
        </w:rPr>
        <w:t>AUC</w:t>
      </w:r>
      <w:r>
        <w:rPr>
          <w:spacing w:val="-2"/>
          <w:position w:val="2"/>
          <w:lang w:val="hu-HU"/>
        </w:rPr>
        <w:t xml:space="preserve"> </w:t>
      </w:r>
      <w:r>
        <w:rPr>
          <w:position w:val="2"/>
          <w:lang w:val="hu-HU"/>
        </w:rPr>
        <w:t>arányos</w:t>
      </w:r>
      <w:r>
        <w:rPr>
          <w:spacing w:val="-3"/>
          <w:position w:val="2"/>
          <w:lang w:val="hu-HU"/>
        </w:rPr>
        <w:t xml:space="preserve"> </w:t>
      </w:r>
      <w:r>
        <w:rPr>
          <w:position w:val="2"/>
          <w:lang w:val="hu-HU"/>
        </w:rPr>
        <w:t>volt</w:t>
      </w:r>
      <w:r>
        <w:rPr>
          <w:spacing w:val="-2"/>
          <w:position w:val="2"/>
          <w:lang w:val="hu-HU"/>
        </w:rPr>
        <w:t xml:space="preserve"> </w:t>
      </w:r>
      <w:r>
        <w:rPr>
          <w:position w:val="2"/>
          <w:lang w:val="hu-HU"/>
        </w:rPr>
        <w:t>a</w:t>
      </w:r>
      <w:r>
        <w:rPr>
          <w:spacing w:val="-3"/>
          <w:position w:val="2"/>
          <w:lang w:val="hu-HU"/>
        </w:rPr>
        <w:t xml:space="preserve"> </w:t>
      </w:r>
      <w:r>
        <w:rPr>
          <w:position w:val="2"/>
          <w:lang w:val="hu-HU"/>
        </w:rPr>
        <w:t>beadott</w:t>
      </w:r>
      <w:r>
        <w:rPr>
          <w:spacing w:val="-2"/>
          <w:position w:val="2"/>
          <w:lang w:val="hu-HU"/>
        </w:rPr>
        <w:t xml:space="preserve"> </w:t>
      </w:r>
      <w:r>
        <w:rPr>
          <w:position w:val="2"/>
          <w:lang w:val="hu-HU"/>
        </w:rPr>
        <w:t>dózissal.</w:t>
      </w:r>
    </w:p>
    <w:p w:rsidR="007D7140" w:rsidRDefault="007D7140">
      <w:pPr>
        <w:rPr>
          <w:lang w:val="hu-HU"/>
        </w:rPr>
      </w:pPr>
    </w:p>
    <w:p w:rsidR="007D7140" w:rsidRDefault="00A207BA">
      <w:pPr>
        <w:rPr>
          <w:lang w:val="hu-HU"/>
        </w:rPr>
      </w:pPr>
      <w:r>
        <w:rPr>
          <w:lang w:val="hu-HU"/>
        </w:rPr>
        <w:t>A referencia kapszula formához viszonyítva az orális biohasznosulás egyszeri dózis után 75%</w:t>
      </w:r>
      <w:r>
        <w:rPr>
          <w:lang w:val="hu-HU"/>
        </w:rPr>
        <w:noBreakHyphen/>
        <w:t>kal,</w:t>
      </w:r>
      <w:r>
        <w:rPr>
          <w:spacing w:val="1"/>
          <w:lang w:val="hu-HU"/>
        </w:rPr>
        <w:t xml:space="preserve"> </w:t>
      </w:r>
      <w:r>
        <w:rPr>
          <w:lang w:val="hu-HU"/>
        </w:rPr>
        <w:t>dinamikus egyensúlyi állapotban 37%</w:t>
      </w:r>
      <w:r>
        <w:rPr>
          <w:lang w:val="hu-HU"/>
        </w:rPr>
        <w:noBreakHyphen/>
        <w:t>kal nőhet, ha a pelleteket a hidroxi</w:t>
      </w:r>
      <w:r>
        <w:rPr>
          <w:lang w:val="hu-HU"/>
        </w:rPr>
        <w:noBreakHyphen/>
        <w:t>propilmetil</w:t>
      </w:r>
      <w:r>
        <w:rPr>
          <w:lang w:val="hu-HU"/>
        </w:rPr>
        <w:noBreakHyphen/>
        <w:t>cellulóz</w:t>
      </w:r>
      <w:r>
        <w:rPr>
          <w:spacing w:val="1"/>
          <w:lang w:val="hu-HU"/>
        </w:rPr>
        <w:t xml:space="preserve"> </w:t>
      </w:r>
      <w:r>
        <w:rPr>
          <w:lang w:val="hu-HU"/>
        </w:rPr>
        <w:t>(HPMC) kapszulahéj nélkül veszik be. Ezért a klinikai alkalmazás során a HPMC kapszulák épségét mindig meg kell őrizni annak érdekében, hogy elkerüljék a dabigatrán</w:t>
      </w:r>
      <w:r>
        <w:rPr>
          <w:lang w:val="hu-HU"/>
        </w:rPr>
        <w:noBreakHyphen/>
        <w:t>etexilát biohasznosulásának</w:t>
      </w:r>
      <w:r>
        <w:rPr>
          <w:spacing w:val="1"/>
          <w:lang w:val="hu-HU"/>
        </w:rPr>
        <w:t xml:space="preserve"> </w:t>
      </w:r>
      <w:r>
        <w:rPr>
          <w:lang w:val="hu-HU"/>
        </w:rPr>
        <w:t>nem</w:t>
      </w:r>
      <w:r>
        <w:rPr>
          <w:spacing w:val="-2"/>
          <w:lang w:val="hu-HU"/>
        </w:rPr>
        <w:t xml:space="preserve"> </w:t>
      </w:r>
      <w:r>
        <w:rPr>
          <w:lang w:val="hu-HU"/>
        </w:rPr>
        <w:t>tervezett</w:t>
      </w:r>
      <w:r>
        <w:rPr>
          <w:spacing w:val="-1"/>
          <w:lang w:val="hu-HU"/>
        </w:rPr>
        <w:t xml:space="preserve"> </w:t>
      </w:r>
      <w:r>
        <w:rPr>
          <w:lang w:val="hu-HU"/>
        </w:rPr>
        <w:t>fokozódását</w:t>
      </w:r>
      <w:r>
        <w:rPr>
          <w:spacing w:val="-1"/>
          <w:lang w:val="hu-HU"/>
        </w:rPr>
        <w:t xml:space="preserve"> </w:t>
      </w:r>
      <w:r>
        <w:rPr>
          <w:lang w:val="hu-HU"/>
        </w:rPr>
        <w:t>(lásd</w:t>
      </w:r>
      <w:r>
        <w:rPr>
          <w:spacing w:val="-1"/>
          <w:lang w:val="hu-HU"/>
        </w:rPr>
        <w:t xml:space="preserve"> </w:t>
      </w:r>
      <w:r>
        <w:rPr>
          <w:lang w:val="hu-HU"/>
        </w:rPr>
        <w:t>4.2</w:t>
      </w:r>
      <w:r>
        <w:rPr>
          <w:spacing w:val="-1"/>
          <w:lang w:val="hu-HU"/>
        </w:rPr>
        <w:t> pont</w:t>
      </w:r>
      <w:r>
        <w:rPr>
          <w:lang w:val="hu-HU"/>
        </w:rPr>
        <w:t>).</w:t>
      </w:r>
    </w:p>
    <w:p w:rsidR="007D7140" w:rsidRDefault="007D7140">
      <w:pPr>
        <w:rPr>
          <w:lang w:val="hu-HU"/>
        </w:rPr>
      </w:pPr>
    </w:p>
    <w:p w:rsidR="007D7140" w:rsidRDefault="00A207BA">
      <w:pPr>
        <w:rPr>
          <w:lang w:val="hu-HU"/>
        </w:rPr>
      </w:pPr>
      <w:r>
        <w:rPr>
          <w:u w:val="single"/>
          <w:lang w:val="hu-HU"/>
        </w:rPr>
        <w:t>Eloszlás</w:t>
      </w:r>
    </w:p>
    <w:p w:rsidR="007D7140" w:rsidRDefault="007D7140">
      <w:pPr>
        <w:rPr>
          <w:lang w:val="hu-HU"/>
        </w:rPr>
      </w:pPr>
    </w:p>
    <w:p w:rsidR="007D7140" w:rsidRDefault="00A207BA">
      <w:pPr>
        <w:rPr>
          <w:lang w:val="hu-HU"/>
        </w:rPr>
      </w:pPr>
      <w:r>
        <w:rPr>
          <w:lang w:val="hu-HU"/>
        </w:rPr>
        <w:t>A dabigatrán emberi plazmafehérjékhez történő kismértékű (34</w:t>
      </w:r>
      <w:r>
        <w:rPr>
          <w:lang w:val="hu-HU"/>
        </w:rPr>
        <w:noBreakHyphen/>
        <w:t>35%), koncentrációtól független kötődését figyelték meg. A dabigatrán 60</w:t>
      </w:r>
      <w:r>
        <w:rPr>
          <w:lang w:val="hu-HU"/>
        </w:rPr>
        <w:noBreakHyphen/>
        <w:t>70 l-es eloszlási térfogata meghaladja a test teljes víztartalmát, ami a</w:t>
      </w:r>
      <w:r>
        <w:rPr>
          <w:spacing w:val="1"/>
          <w:lang w:val="hu-HU"/>
        </w:rPr>
        <w:t xml:space="preserve"> </w:t>
      </w:r>
      <w:r>
        <w:rPr>
          <w:lang w:val="hu-HU"/>
        </w:rPr>
        <w:t>dabigatrán</w:t>
      </w:r>
      <w:r>
        <w:rPr>
          <w:spacing w:val="-2"/>
          <w:lang w:val="hu-HU"/>
        </w:rPr>
        <w:t xml:space="preserve"> </w:t>
      </w:r>
      <w:r>
        <w:rPr>
          <w:lang w:val="hu-HU"/>
        </w:rPr>
        <w:t>közepes</w:t>
      </w:r>
      <w:r>
        <w:rPr>
          <w:spacing w:val="-1"/>
          <w:lang w:val="hu-HU"/>
        </w:rPr>
        <w:t xml:space="preserve"> </w:t>
      </w:r>
      <w:r>
        <w:rPr>
          <w:lang w:val="hu-HU"/>
        </w:rPr>
        <w:t>mértékű</w:t>
      </w:r>
      <w:r>
        <w:rPr>
          <w:spacing w:val="-1"/>
          <w:lang w:val="hu-HU"/>
        </w:rPr>
        <w:t xml:space="preserve"> </w:t>
      </w:r>
      <w:r>
        <w:rPr>
          <w:lang w:val="hu-HU"/>
        </w:rPr>
        <w:t>szöveti</w:t>
      </w:r>
      <w:r>
        <w:rPr>
          <w:spacing w:val="-2"/>
          <w:lang w:val="hu-HU"/>
        </w:rPr>
        <w:t xml:space="preserve"> el</w:t>
      </w:r>
      <w:r>
        <w:rPr>
          <w:lang w:val="hu-HU"/>
        </w:rPr>
        <w:t>oszlására</w:t>
      </w:r>
      <w:r>
        <w:rPr>
          <w:spacing w:val="-1"/>
          <w:lang w:val="hu-HU"/>
        </w:rPr>
        <w:t xml:space="preserve"> </w:t>
      </w:r>
      <w:r>
        <w:rPr>
          <w:lang w:val="hu-HU"/>
        </w:rPr>
        <w:t>utal.</w:t>
      </w:r>
    </w:p>
    <w:p w:rsidR="007D7140" w:rsidRDefault="007D7140">
      <w:pPr>
        <w:rPr>
          <w:lang w:val="hu-HU"/>
        </w:rPr>
      </w:pPr>
    </w:p>
    <w:p w:rsidR="007D7140" w:rsidRDefault="00A207BA">
      <w:pPr>
        <w:rPr>
          <w:lang w:val="hu-HU"/>
        </w:rPr>
      </w:pPr>
      <w:r>
        <w:rPr>
          <w:u w:val="single"/>
          <w:lang w:val="hu-HU"/>
        </w:rPr>
        <w:t>Biotranszformáció</w:t>
      </w:r>
    </w:p>
    <w:p w:rsidR="007D7140" w:rsidRDefault="007D7140">
      <w:pPr>
        <w:rPr>
          <w:lang w:val="hu-HU"/>
        </w:rPr>
      </w:pPr>
    </w:p>
    <w:p w:rsidR="007D7140" w:rsidRDefault="00A207BA">
      <w:pPr>
        <w:rPr>
          <w:lang w:val="hu-HU"/>
        </w:rPr>
      </w:pPr>
      <w:r>
        <w:rPr>
          <w:lang w:val="hu-HU"/>
        </w:rPr>
        <w:t>A</w:t>
      </w:r>
      <w:r>
        <w:rPr>
          <w:spacing w:val="5"/>
          <w:lang w:val="hu-HU"/>
        </w:rPr>
        <w:t xml:space="preserve"> </w:t>
      </w:r>
      <w:r>
        <w:rPr>
          <w:lang w:val="hu-HU"/>
        </w:rPr>
        <w:t>dabigatrán</w:t>
      </w:r>
      <w:r>
        <w:rPr>
          <w:spacing w:val="6"/>
          <w:lang w:val="hu-HU"/>
        </w:rPr>
        <w:t xml:space="preserve"> </w:t>
      </w:r>
      <w:r>
        <w:rPr>
          <w:lang w:val="hu-HU"/>
        </w:rPr>
        <w:t>metabolizmusát</w:t>
      </w:r>
      <w:r>
        <w:rPr>
          <w:spacing w:val="6"/>
          <w:lang w:val="hu-HU"/>
        </w:rPr>
        <w:t xml:space="preserve"> </w:t>
      </w:r>
      <w:r>
        <w:rPr>
          <w:lang w:val="hu-HU"/>
        </w:rPr>
        <w:t>és</w:t>
      </w:r>
      <w:r>
        <w:rPr>
          <w:spacing w:val="6"/>
          <w:lang w:val="hu-HU"/>
        </w:rPr>
        <w:t xml:space="preserve"> </w:t>
      </w:r>
      <w:r>
        <w:rPr>
          <w:lang w:val="hu-HU"/>
        </w:rPr>
        <w:t>kiválasztódását</w:t>
      </w:r>
      <w:r>
        <w:rPr>
          <w:spacing w:val="5"/>
          <w:lang w:val="hu-HU"/>
        </w:rPr>
        <w:t xml:space="preserve"> </w:t>
      </w:r>
      <w:r>
        <w:rPr>
          <w:lang w:val="hu-HU"/>
        </w:rPr>
        <w:t>egyetlen dózis,</w:t>
      </w:r>
      <w:r>
        <w:rPr>
          <w:spacing w:val="6"/>
          <w:lang w:val="hu-HU"/>
        </w:rPr>
        <w:t xml:space="preserve"> </w:t>
      </w:r>
      <w:r>
        <w:rPr>
          <w:lang w:val="hu-HU"/>
        </w:rPr>
        <w:t>intravénásan</w:t>
      </w:r>
      <w:r>
        <w:rPr>
          <w:spacing w:val="6"/>
          <w:lang w:val="hu-HU"/>
        </w:rPr>
        <w:t xml:space="preserve"> </w:t>
      </w:r>
      <w:r>
        <w:rPr>
          <w:lang w:val="hu-HU"/>
        </w:rPr>
        <w:t>alkalmazott,</w:t>
      </w:r>
      <w:r>
        <w:rPr>
          <w:spacing w:val="5"/>
          <w:lang w:val="hu-HU"/>
        </w:rPr>
        <w:t xml:space="preserve"> </w:t>
      </w:r>
      <w:r>
        <w:rPr>
          <w:lang w:val="hu-HU"/>
        </w:rPr>
        <w:t>radioizotóppal</w:t>
      </w:r>
      <w:r>
        <w:rPr>
          <w:spacing w:val="1"/>
          <w:lang w:val="hu-HU"/>
        </w:rPr>
        <w:t xml:space="preserve"> </w:t>
      </w:r>
      <w:r>
        <w:rPr>
          <w:lang w:val="hu-HU"/>
        </w:rPr>
        <w:t>jelölt dabigatrán beadását követően vizsgálták egészséges férfiaknál. Egyetlen intravénás dózis után a</w:t>
      </w:r>
      <w:r>
        <w:rPr>
          <w:spacing w:val="1"/>
          <w:lang w:val="hu-HU"/>
        </w:rPr>
        <w:t xml:space="preserve"> </w:t>
      </w:r>
      <w:r>
        <w:rPr>
          <w:lang w:val="hu-HU"/>
        </w:rPr>
        <w:t>dabigatránból származó radioaktivitás elsősorban a vizelettel ürült (85%). A beadott dózis 6%</w:t>
      </w:r>
      <w:r>
        <w:rPr>
          <w:lang w:val="hu-HU"/>
        </w:rPr>
        <w:noBreakHyphen/>
        <w:t xml:space="preserve">a ürült </w:t>
      </w:r>
      <w:bookmarkStart w:id="16" w:name="_Hlk139034143"/>
      <w:r>
        <w:rPr>
          <w:lang w:val="hu-HU"/>
        </w:rPr>
        <w:t>a széklettel</w:t>
      </w:r>
      <w:bookmarkEnd w:id="16"/>
      <w:r>
        <w:rPr>
          <w:lang w:val="hu-HU"/>
        </w:rPr>
        <w:t>. A beadott dózis 88</w:t>
      </w:r>
      <w:r>
        <w:rPr>
          <w:lang w:val="hu-HU"/>
        </w:rPr>
        <w:noBreakHyphen/>
        <w:t>94%</w:t>
      </w:r>
      <w:r>
        <w:rPr>
          <w:lang w:val="hu-HU"/>
        </w:rPr>
        <w:noBreakHyphen/>
        <w:t>ának megfelelő teljes radioaktivitás volt kinyerhető a beadást</w:t>
      </w:r>
      <w:r>
        <w:rPr>
          <w:spacing w:val="1"/>
          <w:lang w:val="hu-HU"/>
        </w:rPr>
        <w:t xml:space="preserve"> </w:t>
      </w:r>
      <w:r>
        <w:rPr>
          <w:lang w:val="hu-HU"/>
        </w:rPr>
        <w:t>követően</w:t>
      </w:r>
      <w:r>
        <w:rPr>
          <w:spacing w:val="-2"/>
          <w:lang w:val="hu-HU"/>
        </w:rPr>
        <w:t xml:space="preserve"> </w:t>
      </w:r>
      <w:r>
        <w:rPr>
          <w:lang w:val="hu-HU"/>
        </w:rPr>
        <w:t>168 órával.</w:t>
      </w:r>
    </w:p>
    <w:p w:rsidR="007D7140" w:rsidRDefault="00A207BA">
      <w:pPr>
        <w:rPr>
          <w:lang w:val="hu-HU"/>
        </w:rPr>
      </w:pPr>
      <w:r>
        <w:rPr>
          <w:lang w:val="hu-HU"/>
        </w:rPr>
        <w:t>A dabigatrán farmakológiailag aktív acilglükuronidekké konjugálódik. Négy pozicionális izomer, 1</w:t>
      </w:r>
      <w:r>
        <w:rPr>
          <w:lang w:val="hu-HU"/>
        </w:rPr>
        <w:noBreakHyphen/>
        <w:t>O</w:t>
      </w:r>
      <w:r>
        <w:rPr>
          <w:lang w:val="hu-HU"/>
        </w:rPr>
        <w:noBreakHyphen/>
        <w:t>, 2-O</w:t>
      </w:r>
      <w:r>
        <w:rPr>
          <w:lang w:val="hu-HU"/>
        </w:rPr>
        <w:noBreakHyphen/>
        <w:t>, 3-O</w:t>
      </w:r>
      <w:r>
        <w:rPr>
          <w:lang w:val="hu-HU"/>
        </w:rPr>
        <w:noBreakHyphen/>
        <w:t>, 4-O-acilglükuronid létezik, amelyek az összes dabigatrán kevesebb, mint 10%</w:t>
      </w:r>
      <w:r>
        <w:rPr>
          <w:lang w:val="hu-HU"/>
        </w:rPr>
        <w:noBreakHyphen/>
        <w:t>át teszik ki a</w:t>
      </w:r>
      <w:r>
        <w:rPr>
          <w:spacing w:val="1"/>
          <w:lang w:val="hu-HU"/>
        </w:rPr>
        <w:t xml:space="preserve"> </w:t>
      </w:r>
      <w:r>
        <w:rPr>
          <w:lang w:val="hu-HU"/>
        </w:rPr>
        <w:t>plazmában. Egyéb metabolitok nyomai csak nagyon érzékeny analitikai módszerekkel voltak</w:t>
      </w:r>
      <w:r>
        <w:rPr>
          <w:spacing w:val="1"/>
          <w:lang w:val="hu-HU"/>
        </w:rPr>
        <w:t xml:space="preserve"> </w:t>
      </w:r>
      <w:r>
        <w:rPr>
          <w:lang w:val="hu-HU"/>
        </w:rPr>
        <w:t>kimutathatók. A dabigatrán elsősorban változatlan formában ürül a vizelettel, körülbelül 100 ml/perc sebességgel,</w:t>
      </w:r>
      <w:r>
        <w:rPr>
          <w:spacing w:val="-2"/>
          <w:lang w:val="hu-HU"/>
        </w:rPr>
        <w:t xml:space="preserve"> </w:t>
      </w:r>
      <w:r>
        <w:rPr>
          <w:lang w:val="hu-HU"/>
        </w:rPr>
        <w:t>ami</w:t>
      </w:r>
      <w:r>
        <w:rPr>
          <w:spacing w:val="-1"/>
          <w:lang w:val="hu-HU"/>
        </w:rPr>
        <w:t xml:space="preserve"> </w:t>
      </w:r>
      <w:r>
        <w:rPr>
          <w:lang w:val="hu-HU"/>
        </w:rPr>
        <w:t>megfelel</w:t>
      </w:r>
      <w:r>
        <w:rPr>
          <w:spacing w:val="-2"/>
          <w:lang w:val="hu-HU"/>
        </w:rPr>
        <w:t xml:space="preserve"> </w:t>
      </w:r>
      <w:r>
        <w:rPr>
          <w:lang w:val="hu-HU"/>
        </w:rPr>
        <w:t>a</w:t>
      </w:r>
      <w:r>
        <w:rPr>
          <w:spacing w:val="-1"/>
          <w:lang w:val="hu-HU"/>
        </w:rPr>
        <w:t xml:space="preserve"> </w:t>
      </w:r>
      <w:r>
        <w:rPr>
          <w:lang w:val="hu-HU"/>
        </w:rPr>
        <w:t>glomeruláris</w:t>
      </w:r>
      <w:r>
        <w:rPr>
          <w:spacing w:val="-1"/>
          <w:lang w:val="hu-HU"/>
        </w:rPr>
        <w:t xml:space="preserve"> </w:t>
      </w:r>
      <w:r>
        <w:rPr>
          <w:lang w:val="hu-HU"/>
        </w:rPr>
        <w:t>filtrációs</w:t>
      </w:r>
      <w:r>
        <w:rPr>
          <w:spacing w:val="-2"/>
          <w:lang w:val="hu-HU"/>
        </w:rPr>
        <w:t xml:space="preserve"> </w:t>
      </w:r>
      <w:r>
        <w:rPr>
          <w:lang w:val="hu-HU"/>
        </w:rPr>
        <w:t>rátának.</w:t>
      </w:r>
    </w:p>
    <w:p w:rsidR="007D7140" w:rsidRDefault="007D7140">
      <w:pPr>
        <w:rPr>
          <w:lang w:val="hu-HU"/>
        </w:rPr>
      </w:pPr>
    </w:p>
    <w:p w:rsidR="007D7140" w:rsidRDefault="00A207BA">
      <w:pPr>
        <w:rPr>
          <w:lang w:val="hu-HU"/>
        </w:rPr>
      </w:pPr>
      <w:r>
        <w:rPr>
          <w:u w:val="single"/>
          <w:lang w:val="hu-HU"/>
        </w:rPr>
        <w:t>Elimináció</w:t>
      </w:r>
    </w:p>
    <w:p w:rsidR="007D7140" w:rsidRDefault="007D7140">
      <w:pPr>
        <w:rPr>
          <w:lang w:val="hu-HU"/>
        </w:rPr>
      </w:pPr>
    </w:p>
    <w:p w:rsidR="007D7140" w:rsidRDefault="00A207BA">
      <w:pPr>
        <w:rPr>
          <w:lang w:val="hu-HU"/>
        </w:rPr>
      </w:pPr>
      <w:r>
        <w:rPr>
          <w:lang w:val="hu-HU"/>
        </w:rPr>
        <w:t>A dabigatrán plazmakoncentrációi biexponenciális csökkenést mutattak, az átlagos terminális felezési idő 11 óra volt egészséges, idős vizsgálati egyéneknél. Több dózis beadását követően 12</w:t>
      </w:r>
      <w:r>
        <w:rPr>
          <w:lang w:val="hu-HU"/>
        </w:rPr>
        <w:noBreakHyphen/>
        <w:t>14 órás terminális</w:t>
      </w:r>
      <w:r>
        <w:rPr>
          <w:spacing w:val="1"/>
          <w:lang w:val="hu-HU"/>
        </w:rPr>
        <w:t xml:space="preserve"> </w:t>
      </w:r>
      <w:r>
        <w:rPr>
          <w:lang w:val="hu-HU"/>
        </w:rPr>
        <w:t>felezési időt figyeltek meg. A felezési idő a dózistól független volt. A felezési idő megnyúlt, ha a</w:t>
      </w:r>
      <w:r>
        <w:rPr>
          <w:spacing w:val="1"/>
          <w:lang w:val="hu-HU"/>
        </w:rPr>
        <w:t xml:space="preserve"> </w:t>
      </w:r>
      <w:r>
        <w:rPr>
          <w:lang w:val="hu-HU"/>
        </w:rPr>
        <w:t>vesefunkció</w:t>
      </w:r>
      <w:r>
        <w:rPr>
          <w:spacing w:val="-2"/>
          <w:lang w:val="hu-HU"/>
        </w:rPr>
        <w:t xml:space="preserve"> </w:t>
      </w:r>
      <w:r>
        <w:rPr>
          <w:lang w:val="hu-HU"/>
        </w:rPr>
        <w:t>károsodott,</w:t>
      </w:r>
      <w:r>
        <w:rPr>
          <w:spacing w:val="-1"/>
          <w:lang w:val="hu-HU"/>
        </w:rPr>
        <w:t xml:space="preserve"> </w:t>
      </w:r>
      <w:r>
        <w:rPr>
          <w:lang w:val="hu-HU"/>
        </w:rPr>
        <w:t>amint</w:t>
      </w:r>
      <w:r>
        <w:rPr>
          <w:spacing w:val="-1"/>
          <w:lang w:val="hu-HU"/>
        </w:rPr>
        <w:t xml:space="preserve"> </w:t>
      </w:r>
      <w:r>
        <w:rPr>
          <w:lang w:val="hu-HU"/>
        </w:rPr>
        <w:t>azt</w:t>
      </w:r>
      <w:r>
        <w:rPr>
          <w:spacing w:val="-2"/>
          <w:lang w:val="hu-HU"/>
        </w:rPr>
        <w:t xml:space="preserve"> </w:t>
      </w:r>
      <w:r>
        <w:rPr>
          <w:lang w:val="hu-HU"/>
        </w:rPr>
        <w:t>a</w:t>
      </w:r>
      <w:r>
        <w:rPr>
          <w:spacing w:val="-1"/>
          <w:lang w:val="hu-HU"/>
        </w:rPr>
        <w:t xml:space="preserve"> </w:t>
      </w:r>
      <w:r>
        <w:rPr>
          <w:lang w:val="hu-HU"/>
        </w:rPr>
        <w:t>30.</w:t>
      </w:r>
      <w:r>
        <w:rPr>
          <w:spacing w:val="-3"/>
          <w:lang w:val="hu-HU"/>
        </w:rPr>
        <w:t xml:space="preserve"> </w:t>
      </w:r>
      <w:r>
        <w:rPr>
          <w:lang w:val="hu-HU"/>
        </w:rPr>
        <w:t>táblázat</w:t>
      </w:r>
      <w:r>
        <w:rPr>
          <w:spacing w:val="-2"/>
          <w:lang w:val="hu-HU"/>
        </w:rPr>
        <w:t xml:space="preserve"> </w:t>
      </w:r>
      <w:r>
        <w:rPr>
          <w:lang w:val="hu-HU"/>
        </w:rPr>
        <w:t>mutatja.</w:t>
      </w:r>
    </w:p>
    <w:p w:rsidR="007D7140" w:rsidRDefault="007D7140">
      <w:pPr>
        <w:rPr>
          <w:lang w:val="hu-HU"/>
        </w:rPr>
      </w:pPr>
    </w:p>
    <w:p w:rsidR="007D7140" w:rsidRDefault="00A207BA">
      <w:pPr>
        <w:rPr>
          <w:lang w:val="hu-HU"/>
        </w:rPr>
      </w:pPr>
      <w:r>
        <w:rPr>
          <w:u w:val="single"/>
          <w:lang w:val="hu-HU"/>
        </w:rPr>
        <w:t>Különleges</w:t>
      </w:r>
      <w:r>
        <w:rPr>
          <w:spacing w:val="-8"/>
          <w:u w:val="single"/>
          <w:lang w:val="hu-HU"/>
        </w:rPr>
        <w:t xml:space="preserve"> </w:t>
      </w:r>
      <w:r>
        <w:rPr>
          <w:u w:val="single"/>
          <w:lang w:val="hu-HU"/>
        </w:rPr>
        <w:t>betegcsoportok</w:t>
      </w:r>
    </w:p>
    <w:p w:rsidR="007D7140" w:rsidRDefault="007D7140">
      <w:pPr>
        <w:rPr>
          <w:lang w:val="hu-HU"/>
        </w:rPr>
      </w:pPr>
    </w:p>
    <w:p w:rsidR="007D7140" w:rsidRDefault="00A207BA">
      <w:pPr>
        <w:rPr>
          <w:i/>
          <w:lang w:val="hu-HU"/>
        </w:rPr>
      </w:pPr>
      <w:r>
        <w:rPr>
          <w:i/>
          <w:u w:val="single"/>
          <w:lang w:val="hu-HU"/>
        </w:rPr>
        <w:t>Vesekárosodás</w:t>
      </w:r>
    </w:p>
    <w:p w:rsidR="007D7140" w:rsidRDefault="00A207BA">
      <w:pPr>
        <w:rPr>
          <w:lang w:val="hu-HU"/>
        </w:rPr>
      </w:pPr>
      <w:r>
        <w:rPr>
          <w:lang w:val="hu-HU"/>
        </w:rPr>
        <w:t>Az I. fázisú vizsgálatokban a dabigatrán</w:t>
      </w:r>
      <w:r>
        <w:rPr>
          <w:lang w:val="hu-HU"/>
        </w:rPr>
        <w:noBreakHyphen/>
        <w:t>expozíció (AUC) a dabigatrán</w:t>
      </w:r>
      <w:r>
        <w:rPr>
          <w:lang w:val="hu-HU"/>
        </w:rPr>
        <w:noBreakHyphen/>
        <w:t>etexilát orális adását követően körülbelül</w:t>
      </w:r>
      <w:r>
        <w:rPr>
          <w:spacing w:val="-3"/>
          <w:lang w:val="hu-HU"/>
        </w:rPr>
        <w:t xml:space="preserve"> </w:t>
      </w:r>
      <w:r>
        <w:rPr>
          <w:lang w:val="hu-HU"/>
        </w:rPr>
        <w:t>2,7</w:t>
      </w:r>
      <w:r>
        <w:rPr>
          <w:lang w:val="hu-HU"/>
        </w:rPr>
        <w:noBreakHyphen/>
        <w:t>szer</w:t>
      </w:r>
      <w:r>
        <w:rPr>
          <w:spacing w:val="-3"/>
          <w:lang w:val="hu-HU"/>
        </w:rPr>
        <w:t xml:space="preserve"> </w:t>
      </w:r>
      <w:r>
        <w:rPr>
          <w:lang w:val="hu-HU"/>
        </w:rPr>
        <w:t>nagyobb</w:t>
      </w:r>
      <w:r>
        <w:rPr>
          <w:spacing w:val="-3"/>
          <w:lang w:val="hu-HU"/>
        </w:rPr>
        <w:t xml:space="preserve"> </w:t>
      </w:r>
      <w:r>
        <w:rPr>
          <w:lang w:val="hu-HU"/>
        </w:rPr>
        <w:t>közepesen</w:t>
      </w:r>
      <w:r>
        <w:rPr>
          <w:spacing w:val="-3"/>
          <w:lang w:val="hu-HU"/>
        </w:rPr>
        <w:t xml:space="preserve"> </w:t>
      </w:r>
      <w:r>
        <w:rPr>
          <w:lang w:val="hu-HU"/>
        </w:rPr>
        <w:t>súlyos</w:t>
      </w:r>
      <w:r>
        <w:rPr>
          <w:spacing w:val="-3"/>
          <w:lang w:val="hu-HU"/>
        </w:rPr>
        <w:t xml:space="preserve"> </w:t>
      </w:r>
      <w:r>
        <w:rPr>
          <w:lang w:val="hu-HU"/>
        </w:rPr>
        <w:t>fokú</w:t>
      </w:r>
      <w:r>
        <w:rPr>
          <w:spacing w:val="-3"/>
          <w:lang w:val="hu-HU"/>
        </w:rPr>
        <w:t xml:space="preserve"> </w:t>
      </w:r>
      <w:r>
        <w:rPr>
          <w:lang w:val="hu-HU"/>
        </w:rPr>
        <w:t>vesekárosodásban</w:t>
      </w:r>
      <w:r>
        <w:rPr>
          <w:spacing w:val="-3"/>
          <w:lang w:val="hu-HU"/>
        </w:rPr>
        <w:t xml:space="preserve"> </w:t>
      </w:r>
      <w:r>
        <w:rPr>
          <w:lang w:val="hu-HU"/>
        </w:rPr>
        <w:t>(kreatinin-clearance 30</w:t>
      </w:r>
      <w:r>
        <w:rPr>
          <w:lang w:val="hu-HU"/>
        </w:rPr>
        <w:noBreakHyphen/>
        <w:t xml:space="preserve">50 ml/perc) szenvedő felnőtt önkénteseknél, mint azoknál, akiknek nincs vesekárosodásuk.  </w:t>
      </w:r>
    </w:p>
    <w:p w:rsidR="007D7140" w:rsidRDefault="007D7140">
      <w:pPr>
        <w:rPr>
          <w:lang w:val="hu-HU"/>
        </w:rPr>
      </w:pPr>
    </w:p>
    <w:p w:rsidR="007D7140" w:rsidRDefault="00A207BA">
      <w:pPr>
        <w:rPr>
          <w:lang w:val="hu-HU"/>
        </w:rPr>
      </w:pPr>
      <w:bookmarkStart w:id="17" w:name="_Hlk139034317"/>
      <w:r>
        <w:rPr>
          <w:lang w:val="hu-HU"/>
        </w:rPr>
        <w:t>Kisszámú, súlyos fokú vesekárosodásban (kreatinin-clearance 10</w:t>
      </w:r>
      <w:r>
        <w:rPr>
          <w:lang w:val="hu-HU"/>
        </w:rPr>
        <w:noBreakHyphen/>
        <w:t xml:space="preserve">30 ml/perc) szenvedő felnőtt önkéntesnél </w:t>
      </w:r>
      <w:bookmarkEnd w:id="17"/>
      <w:r>
        <w:rPr>
          <w:lang w:val="hu-HU"/>
        </w:rPr>
        <w:t>a dabigatrán</w:t>
      </w:r>
      <w:r>
        <w:rPr>
          <w:lang w:val="hu-HU"/>
        </w:rPr>
        <w:noBreakHyphen/>
        <w:t>expozíció (AUC) körülbelül 6</w:t>
      </w:r>
      <w:r>
        <w:rPr>
          <w:lang w:val="hu-HU"/>
        </w:rPr>
        <w:noBreakHyphen/>
        <w:t>szor nagyobb, a felezési idő pedig 2</w:t>
      </w:r>
      <w:r>
        <w:rPr>
          <w:lang w:val="hu-HU"/>
        </w:rPr>
        <w:noBreakHyphen/>
        <w:t>szer</w:t>
      </w:r>
      <w:r>
        <w:rPr>
          <w:spacing w:val="1"/>
          <w:lang w:val="hu-HU"/>
        </w:rPr>
        <w:t xml:space="preserve"> </w:t>
      </w:r>
      <w:r>
        <w:rPr>
          <w:lang w:val="hu-HU"/>
        </w:rPr>
        <w:t>hosszabb volt, mint a vesekárosodásban nem szenvedő populációnál megfigyelt értékek (lásd 4.2, 4.3 és</w:t>
      </w:r>
      <w:r>
        <w:rPr>
          <w:spacing w:val="-1"/>
          <w:lang w:val="hu-HU"/>
        </w:rPr>
        <w:t xml:space="preserve"> </w:t>
      </w:r>
      <w:r>
        <w:rPr>
          <w:lang w:val="hu-HU"/>
        </w:rPr>
        <w:t>4.4 pont).</w:t>
      </w:r>
    </w:p>
    <w:p w:rsidR="007D7140" w:rsidRDefault="007D7140">
      <w:pPr>
        <w:rPr>
          <w:lang w:val="hu-HU"/>
        </w:rPr>
      </w:pPr>
    </w:p>
    <w:p w:rsidR="007D7140" w:rsidRDefault="00A207BA">
      <w:pPr>
        <w:keepNext/>
        <w:keepLines/>
        <w:ind w:left="567" w:hanging="567"/>
        <w:rPr>
          <w:lang w:val="hu-HU"/>
        </w:rPr>
      </w:pPr>
      <w:r>
        <w:rPr>
          <w:b/>
          <w:bCs/>
          <w:lang w:val="hu-HU"/>
        </w:rPr>
        <w:lastRenderedPageBreak/>
        <w:t xml:space="preserve">30. </w:t>
      </w:r>
      <w:r>
        <w:rPr>
          <w:b/>
          <w:bCs/>
          <w:lang w:val="hu-HU"/>
        </w:rPr>
        <w:tab/>
        <w:t>táblázat:</w:t>
      </w:r>
      <w:r>
        <w:rPr>
          <w:spacing w:val="1"/>
          <w:lang w:val="hu-HU"/>
        </w:rPr>
        <w:t xml:space="preserve"> </w:t>
      </w:r>
      <w:r>
        <w:rPr>
          <w:b/>
          <w:bCs/>
          <w:lang w:val="hu-HU"/>
        </w:rPr>
        <w:t>Az össz-dabigatrán felezési ideje egészséges és károsodott veseműködésű vizsgálati alanyoknál.</w:t>
      </w:r>
    </w:p>
    <w:p w:rsidR="007D7140" w:rsidRDefault="007D7140">
      <w:pPr>
        <w:keepNext/>
        <w:keepLines/>
        <w:rPr>
          <w:lang w:val="hu-HU"/>
        </w:rPr>
      </w:pPr>
    </w:p>
    <w:tbl>
      <w:tblPr>
        <w:tblStyle w:val="TableNormal1"/>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07"/>
        <w:gridCol w:w="6065"/>
      </w:tblGrid>
      <w:tr w:rsidR="007D7140">
        <w:trPr>
          <w:trHeight w:val="760"/>
        </w:trPr>
        <w:tc>
          <w:tcPr>
            <w:tcW w:w="3007" w:type="dxa"/>
          </w:tcPr>
          <w:p w:rsidR="007D7140" w:rsidRDefault="00A207BA">
            <w:pPr>
              <w:jc w:val="center"/>
              <w:rPr>
                <w:lang w:val="hu-HU"/>
              </w:rPr>
            </w:pPr>
            <w:r>
              <w:rPr>
                <w:lang w:val="hu-HU"/>
              </w:rPr>
              <w:t>glomerulus filtrációs ráta</w:t>
            </w:r>
          </w:p>
          <w:p w:rsidR="007D7140" w:rsidRDefault="00A207BA">
            <w:pPr>
              <w:jc w:val="center"/>
              <w:rPr>
                <w:lang w:val="hu-HU"/>
              </w:rPr>
            </w:pPr>
            <w:r>
              <w:rPr>
                <w:lang w:val="hu-HU"/>
              </w:rPr>
              <w:t>(CrCl,)</w:t>
            </w:r>
          </w:p>
          <w:p w:rsidR="007D7140" w:rsidRDefault="00A207BA">
            <w:pPr>
              <w:jc w:val="center"/>
              <w:rPr>
                <w:lang w:val="hu-HU"/>
              </w:rPr>
            </w:pPr>
            <w:r>
              <w:rPr>
                <w:lang w:val="hu-HU"/>
              </w:rPr>
              <w:t>[ml/perc]</w:t>
            </w:r>
          </w:p>
        </w:tc>
        <w:tc>
          <w:tcPr>
            <w:tcW w:w="6065" w:type="dxa"/>
          </w:tcPr>
          <w:p w:rsidR="007D7140" w:rsidRDefault="00A207BA">
            <w:pPr>
              <w:jc w:val="center"/>
              <w:rPr>
                <w:lang w:val="hu-HU"/>
              </w:rPr>
            </w:pPr>
            <w:r>
              <w:rPr>
                <w:lang w:val="hu-HU"/>
              </w:rPr>
              <w:t xml:space="preserve">geometriai átlag (gCV%; tartomány) </w:t>
            </w:r>
          </w:p>
          <w:p w:rsidR="007D7140" w:rsidRDefault="00A207BA">
            <w:pPr>
              <w:jc w:val="center"/>
              <w:rPr>
                <w:lang w:val="hu-HU"/>
              </w:rPr>
            </w:pPr>
            <w:r>
              <w:rPr>
                <w:lang w:val="hu-HU"/>
              </w:rPr>
              <w:t>felezési idő</w:t>
            </w:r>
          </w:p>
          <w:p w:rsidR="007D7140" w:rsidRDefault="00A207BA">
            <w:pPr>
              <w:jc w:val="center"/>
              <w:rPr>
                <w:lang w:val="hu-HU"/>
              </w:rPr>
            </w:pPr>
            <w:r>
              <w:rPr>
                <w:lang w:val="hu-HU"/>
              </w:rPr>
              <w:t>[óra]</w:t>
            </w:r>
          </w:p>
        </w:tc>
      </w:tr>
      <w:tr w:rsidR="007D7140">
        <w:trPr>
          <w:trHeight w:val="251"/>
        </w:trPr>
        <w:tc>
          <w:tcPr>
            <w:tcW w:w="3007" w:type="dxa"/>
          </w:tcPr>
          <w:p w:rsidR="007D7140" w:rsidRDefault="00A207BA">
            <w:pPr>
              <w:jc w:val="center"/>
              <w:rPr>
                <w:lang w:val="hu-HU"/>
              </w:rPr>
            </w:pPr>
            <w:r>
              <w:rPr>
                <w:lang w:val="hu-HU"/>
              </w:rPr>
              <w:t>≥ 80</w:t>
            </w:r>
          </w:p>
        </w:tc>
        <w:tc>
          <w:tcPr>
            <w:tcW w:w="6065" w:type="dxa"/>
          </w:tcPr>
          <w:p w:rsidR="007D7140" w:rsidRDefault="00A207BA">
            <w:pPr>
              <w:jc w:val="center"/>
              <w:rPr>
                <w:lang w:val="hu-HU"/>
              </w:rPr>
            </w:pPr>
            <w:r>
              <w:rPr>
                <w:lang w:val="hu-HU"/>
              </w:rPr>
              <w:t>13,4</w:t>
            </w:r>
            <w:r>
              <w:rPr>
                <w:spacing w:val="-4"/>
                <w:lang w:val="hu-HU"/>
              </w:rPr>
              <w:t xml:space="preserve"> </w:t>
            </w:r>
            <w:r>
              <w:rPr>
                <w:lang w:val="hu-HU"/>
              </w:rPr>
              <w:t>(25,7%;</w:t>
            </w:r>
            <w:r>
              <w:rPr>
                <w:spacing w:val="-4"/>
                <w:lang w:val="hu-HU"/>
              </w:rPr>
              <w:t xml:space="preserve"> </w:t>
            </w:r>
            <w:r>
              <w:rPr>
                <w:lang w:val="hu-HU"/>
              </w:rPr>
              <w:t>11,0</w:t>
            </w:r>
            <w:r>
              <w:rPr>
                <w:lang w:val="hu-HU"/>
              </w:rPr>
              <w:noBreakHyphen/>
              <w:t>21,6)</w:t>
            </w:r>
          </w:p>
        </w:tc>
      </w:tr>
      <w:tr w:rsidR="007D7140">
        <w:trPr>
          <w:trHeight w:val="292"/>
        </w:trPr>
        <w:tc>
          <w:tcPr>
            <w:tcW w:w="3007" w:type="dxa"/>
          </w:tcPr>
          <w:p w:rsidR="007D7140" w:rsidRDefault="00A207BA">
            <w:pPr>
              <w:jc w:val="center"/>
              <w:rPr>
                <w:lang w:val="hu-HU"/>
              </w:rPr>
            </w:pPr>
            <w:r>
              <w:rPr>
                <w:lang w:val="hu-HU"/>
              </w:rPr>
              <w:t>≥ 50 </w:t>
            </w:r>
            <w:r>
              <w:rPr>
                <w:lang w:val="hu-HU"/>
              </w:rPr>
              <w:noBreakHyphen/>
              <w:t> &lt;</w:t>
            </w:r>
            <w:r>
              <w:rPr>
                <w:spacing w:val="1"/>
                <w:lang w:val="hu-HU"/>
              </w:rPr>
              <w:t> </w:t>
            </w:r>
            <w:r>
              <w:rPr>
                <w:lang w:val="hu-HU"/>
              </w:rPr>
              <w:t>80</w:t>
            </w:r>
          </w:p>
        </w:tc>
        <w:tc>
          <w:tcPr>
            <w:tcW w:w="6065" w:type="dxa"/>
          </w:tcPr>
          <w:p w:rsidR="007D7140" w:rsidRDefault="00A207BA">
            <w:pPr>
              <w:jc w:val="center"/>
              <w:rPr>
                <w:lang w:val="hu-HU"/>
              </w:rPr>
            </w:pPr>
            <w:r>
              <w:rPr>
                <w:lang w:val="hu-HU"/>
              </w:rPr>
              <w:t>15,3</w:t>
            </w:r>
            <w:r>
              <w:rPr>
                <w:spacing w:val="-6"/>
                <w:lang w:val="hu-HU"/>
              </w:rPr>
              <w:t xml:space="preserve"> </w:t>
            </w:r>
            <w:r>
              <w:rPr>
                <w:lang w:val="hu-HU"/>
              </w:rPr>
              <w:t>(42,7%;11,7</w:t>
            </w:r>
            <w:r>
              <w:rPr>
                <w:lang w:val="hu-HU"/>
              </w:rPr>
              <w:noBreakHyphen/>
              <w:t>34,1)</w:t>
            </w:r>
          </w:p>
        </w:tc>
      </w:tr>
      <w:tr w:rsidR="007D7140">
        <w:trPr>
          <w:trHeight w:val="253"/>
        </w:trPr>
        <w:tc>
          <w:tcPr>
            <w:tcW w:w="3007" w:type="dxa"/>
          </w:tcPr>
          <w:p w:rsidR="007D7140" w:rsidRDefault="00A207BA">
            <w:pPr>
              <w:jc w:val="center"/>
              <w:rPr>
                <w:lang w:val="hu-HU"/>
              </w:rPr>
            </w:pPr>
            <w:r>
              <w:rPr>
                <w:lang w:val="hu-HU"/>
              </w:rPr>
              <w:t>≥</w:t>
            </w:r>
            <w:r>
              <w:rPr>
                <w:spacing w:val="1"/>
                <w:lang w:val="hu-HU"/>
              </w:rPr>
              <w:t> </w:t>
            </w:r>
            <w:r>
              <w:rPr>
                <w:lang w:val="hu-HU"/>
              </w:rPr>
              <w:t>30 </w:t>
            </w:r>
            <w:r>
              <w:rPr>
                <w:lang w:val="hu-HU"/>
              </w:rPr>
              <w:noBreakHyphen/>
              <w:t> &lt; 50</w:t>
            </w:r>
          </w:p>
        </w:tc>
        <w:tc>
          <w:tcPr>
            <w:tcW w:w="6065" w:type="dxa"/>
          </w:tcPr>
          <w:p w:rsidR="007D7140" w:rsidRDefault="00A207BA">
            <w:pPr>
              <w:jc w:val="center"/>
              <w:rPr>
                <w:lang w:val="hu-HU"/>
              </w:rPr>
            </w:pPr>
            <w:r>
              <w:rPr>
                <w:lang w:val="hu-HU"/>
              </w:rPr>
              <w:t>18,4</w:t>
            </w:r>
            <w:r>
              <w:rPr>
                <w:spacing w:val="-4"/>
                <w:lang w:val="hu-HU"/>
              </w:rPr>
              <w:t xml:space="preserve"> </w:t>
            </w:r>
            <w:r>
              <w:rPr>
                <w:lang w:val="hu-HU"/>
              </w:rPr>
              <w:t>(18,5</w:t>
            </w:r>
            <w:r>
              <w:rPr>
                <w:spacing w:val="-3"/>
                <w:lang w:val="hu-HU"/>
              </w:rPr>
              <w:t xml:space="preserve"> </w:t>
            </w:r>
            <w:r>
              <w:rPr>
                <w:lang w:val="hu-HU"/>
              </w:rPr>
              <w:t>%;13,3</w:t>
            </w:r>
            <w:r>
              <w:rPr>
                <w:lang w:val="hu-HU"/>
              </w:rPr>
              <w:noBreakHyphen/>
              <w:t>23,0)</w:t>
            </w:r>
          </w:p>
        </w:tc>
      </w:tr>
      <w:tr w:rsidR="007D7140">
        <w:trPr>
          <w:trHeight w:val="253"/>
        </w:trPr>
        <w:tc>
          <w:tcPr>
            <w:tcW w:w="3007" w:type="dxa"/>
          </w:tcPr>
          <w:p w:rsidR="007D7140" w:rsidRDefault="00A207BA">
            <w:pPr>
              <w:jc w:val="center"/>
              <w:rPr>
                <w:lang w:val="hu-HU"/>
              </w:rPr>
            </w:pPr>
            <w:r>
              <w:rPr>
                <w:lang w:val="hu-HU"/>
              </w:rPr>
              <w:t>&lt; 30</w:t>
            </w:r>
          </w:p>
        </w:tc>
        <w:tc>
          <w:tcPr>
            <w:tcW w:w="6065" w:type="dxa"/>
          </w:tcPr>
          <w:p w:rsidR="007D7140" w:rsidRDefault="00A207BA">
            <w:pPr>
              <w:jc w:val="center"/>
              <w:rPr>
                <w:lang w:val="hu-HU"/>
              </w:rPr>
            </w:pPr>
            <w:r>
              <w:rPr>
                <w:lang w:val="hu-HU"/>
              </w:rPr>
              <w:t>27,2</w:t>
            </w:r>
            <w:r>
              <w:rPr>
                <w:spacing w:val="-4"/>
                <w:lang w:val="hu-HU"/>
              </w:rPr>
              <w:t xml:space="preserve"> </w:t>
            </w:r>
            <w:r>
              <w:rPr>
                <w:lang w:val="hu-HU"/>
              </w:rPr>
              <w:t>(15,3%;</w:t>
            </w:r>
            <w:r>
              <w:rPr>
                <w:spacing w:val="-4"/>
                <w:lang w:val="hu-HU"/>
              </w:rPr>
              <w:t xml:space="preserve"> </w:t>
            </w:r>
            <w:r>
              <w:rPr>
                <w:lang w:val="hu-HU"/>
              </w:rPr>
              <w:t>21,6</w:t>
            </w:r>
            <w:r>
              <w:rPr>
                <w:lang w:val="hu-HU"/>
              </w:rPr>
              <w:noBreakHyphen/>
              <w:t>35,0)</w:t>
            </w:r>
          </w:p>
        </w:tc>
      </w:tr>
    </w:tbl>
    <w:p w:rsidR="007D7140" w:rsidRDefault="007D7140">
      <w:pPr>
        <w:rPr>
          <w:lang w:val="hu-HU"/>
        </w:rPr>
      </w:pPr>
    </w:p>
    <w:p w:rsidR="007D7140" w:rsidRDefault="00A207BA">
      <w:pPr>
        <w:rPr>
          <w:lang w:val="hu-HU"/>
        </w:rPr>
      </w:pPr>
      <w:r>
        <w:rPr>
          <w:lang w:val="hu-HU"/>
        </w:rPr>
        <w:t>Ezenkívül a dabigatrán</w:t>
      </w:r>
      <w:r>
        <w:rPr>
          <w:lang w:val="hu-HU"/>
        </w:rPr>
        <w:noBreakHyphen/>
        <w:t>expozíciót (mélyponti érték és csúcsérték) egy prospektív, nyílt elrendezésű, randomizált farmakokinetikai vizsgálatban értékelték, nem billentyű eredetű pitvarfibrillációban</w:t>
      </w:r>
      <w:r>
        <w:rPr>
          <w:spacing w:val="1"/>
          <w:lang w:val="hu-HU"/>
        </w:rPr>
        <w:t xml:space="preserve"> </w:t>
      </w:r>
      <w:r>
        <w:rPr>
          <w:lang w:val="hu-HU"/>
        </w:rPr>
        <w:t>szenvedő,</w:t>
      </w:r>
      <w:r>
        <w:rPr>
          <w:spacing w:val="-3"/>
          <w:lang w:val="hu-HU"/>
        </w:rPr>
        <w:t xml:space="preserve"> </w:t>
      </w:r>
      <w:r>
        <w:rPr>
          <w:lang w:val="hu-HU"/>
        </w:rPr>
        <w:t>súlyosan</w:t>
      </w:r>
      <w:r>
        <w:rPr>
          <w:spacing w:val="-3"/>
          <w:lang w:val="hu-HU"/>
        </w:rPr>
        <w:t xml:space="preserve"> </w:t>
      </w:r>
      <w:r>
        <w:rPr>
          <w:lang w:val="hu-HU"/>
        </w:rPr>
        <w:t>károsodott</w:t>
      </w:r>
      <w:r>
        <w:rPr>
          <w:spacing w:val="-2"/>
          <w:lang w:val="hu-HU"/>
        </w:rPr>
        <w:t xml:space="preserve"> </w:t>
      </w:r>
      <w:r>
        <w:rPr>
          <w:lang w:val="hu-HU"/>
        </w:rPr>
        <w:t>veseműködésű</w:t>
      </w:r>
      <w:r>
        <w:rPr>
          <w:spacing w:val="-3"/>
          <w:lang w:val="hu-HU"/>
        </w:rPr>
        <w:t xml:space="preserve"> </w:t>
      </w:r>
      <w:r>
        <w:rPr>
          <w:lang w:val="hu-HU"/>
        </w:rPr>
        <w:t>(a meghatározás</w:t>
      </w:r>
      <w:r>
        <w:rPr>
          <w:spacing w:val="-3"/>
          <w:lang w:val="hu-HU"/>
        </w:rPr>
        <w:t xml:space="preserve"> </w:t>
      </w:r>
      <w:r>
        <w:rPr>
          <w:lang w:val="hu-HU"/>
        </w:rPr>
        <w:t>szerint</w:t>
      </w:r>
      <w:r>
        <w:rPr>
          <w:spacing w:val="-2"/>
          <w:lang w:val="hu-HU"/>
        </w:rPr>
        <w:t xml:space="preserve"> </w:t>
      </w:r>
      <w:r>
        <w:rPr>
          <w:lang w:val="hu-HU"/>
        </w:rPr>
        <w:t>15</w:t>
      </w:r>
      <w:r>
        <w:rPr>
          <w:lang w:val="hu-HU"/>
        </w:rPr>
        <w:noBreakHyphen/>
        <w:t>30 ml/perc</w:t>
      </w:r>
      <w:r>
        <w:rPr>
          <w:spacing w:val="-3"/>
          <w:lang w:val="hu-HU"/>
        </w:rPr>
        <w:t xml:space="preserve"> </w:t>
      </w:r>
      <w:r>
        <w:rPr>
          <w:lang w:val="hu-HU"/>
        </w:rPr>
        <w:t>közötti kreatinin</w:t>
      </w:r>
      <w:r>
        <w:rPr>
          <w:lang w:val="hu-HU"/>
        </w:rPr>
        <w:noBreakHyphen/>
        <w:t>clearance</w:t>
      </w:r>
      <w:r>
        <w:rPr>
          <w:lang w:val="hu-HU"/>
        </w:rPr>
        <w:noBreakHyphen/>
        <w:t>ű [CrCl]) betegek bevonásával, akik naponta kétszer 75 mg dabigatrán</w:t>
      </w:r>
      <w:r>
        <w:rPr>
          <w:lang w:val="hu-HU"/>
        </w:rPr>
        <w:noBreakHyphen/>
        <w:t>etexilátot kaptak.</w:t>
      </w:r>
    </w:p>
    <w:p w:rsidR="007D7140" w:rsidRDefault="00A207BA">
      <w:pPr>
        <w:rPr>
          <w:lang w:val="hu-HU"/>
        </w:rPr>
      </w:pPr>
      <w:r>
        <w:rPr>
          <w:lang w:val="hu-HU"/>
        </w:rPr>
        <w:t>Ez a kezelési séma 155 ng/ml</w:t>
      </w:r>
      <w:r>
        <w:rPr>
          <w:lang w:val="hu-HU"/>
        </w:rPr>
        <w:noBreakHyphen/>
        <w:t>es (gCV: 76,9%) mértani közép mélyponti koncentrációt eredményezett, amelyet közvetlenül a következő dózis beadása előtt mértek, valamint 202 ng/ml-es (gCV: 70,6%)</w:t>
      </w:r>
      <w:r>
        <w:rPr>
          <w:spacing w:val="1"/>
          <w:lang w:val="hu-HU"/>
        </w:rPr>
        <w:t xml:space="preserve"> </w:t>
      </w:r>
      <w:r>
        <w:rPr>
          <w:lang w:val="hu-HU"/>
        </w:rPr>
        <w:t>geometriai</w:t>
      </w:r>
      <w:r>
        <w:rPr>
          <w:spacing w:val="-3"/>
          <w:lang w:val="hu-HU"/>
        </w:rPr>
        <w:t xml:space="preserve"> </w:t>
      </w:r>
      <w:r>
        <w:rPr>
          <w:lang w:val="hu-HU"/>
        </w:rPr>
        <w:t>átlagú</w:t>
      </w:r>
      <w:r>
        <w:rPr>
          <w:spacing w:val="-3"/>
          <w:lang w:val="hu-HU"/>
        </w:rPr>
        <w:t xml:space="preserve"> </w:t>
      </w:r>
      <w:r>
        <w:rPr>
          <w:lang w:val="hu-HU"/>
        </w:rPr>
        <w:t>csúcskoncentrációt,</w:t>
      </w:r>
      <w:r>
        <w:rPr>
          <w:spacing w:val="-3"/>
          <w:lang w:val="hu-HU"/>
        </w:rPr>
        <w:t xml:space="preserve"> </w:t>
      </w:r>
      <w:r>
        <w:rPr>
          <w:lang w:val="hu-HU"/>
        </w:rPr>
        <w:t>amelyet</w:t>
      </w:r>
      <w:r>
        <w:rPr>
          <w:spacing w:val="-3"/>
          <w:lang w:val="hu-HU"/>
        </w:rPr>
        <w:t xml:space="preserve"> </w:t>
      </w:r>
      <w:r>
        <w:rPr>
          <w:lang w:val="hu-HU"/>
        </w:rPr>
        <w:t>az</w:t>
      </w:r>
      <w:r>
        <w:rPr>
          <w:spacing w:val="-3"/>
          <w:lang w:val="hu-HU"/>
        </w:rPr>
        <w:t xml:space="preserve"> </w:t>
      </w:r>
      <w:r>
        <w:rPr>
          <w:lang w:val="hu-HU"/>
        </w:rPr>
        <w:t>utolsó</w:t>
      </w:r>
      <w:r>
        <w:rPr>
          <w:spacing w:val="-3"/>
          <w:lang w:val="hu-HU"/>
        </w:rPr>
        <w:t xml:space="preserve"> </w:t>
      </w:r>
      <w:r>
        <w:rPr>
          <w:lang w:val="hu-HU"/>
        </w:rPr>
        <w:t>dózis</w:t>
      </w:r>
      <w:r>
        <w:rPr>
          <w:spacing w:val="-3"/>
          <w:lang w:val="hu-HU"/>
        </w:rPr>
        <w:t xml:space="preserve"> </w:t>
      </w:r>
      <w:r>
        <w:rPr>
          <w:lang w:val="hu-HU"/>
        </w:rPr>
        <w:t>beadása</w:t>
      </w:r>
      <w:r>
        <w:rPr>
          <w:spacing w:val="-2"/>
          <w:lang w:val="hu-HU"/>
        </w:rPr>
        <w:t xml:space="preserve"> </w:t>
      </w:r>
      <w:r>
        <w:rPr>
          <w:lang w:val="hu-HU"/>
        </w:rPr>
        <w:t>után</w:t>
      </w:r>
      <w:r>
        <w:rPr>
          <w:spacing w:val="-3"/>
          <w:lang w:val="hu-HU"/>
        </w:rPr>
        <w:t xml:space="preserve"> </w:t>
      </w:r>
      <w:r>
        <w:rPr>
          <w:lang w:val="hu-HU"/>
        </w:rPr>
        <w:t>két</w:t>
      </w:r>
      <w:r>
        <w:rPr>
          <w:spacing w:val="-3"/>
          <w:lang w:val="hu-HU"/>
        </w:rPr>
        <w:t xml:space="preserve"> </w:t>
      </w:r>
      <w:r>
        <w:rPr>
          <w:lang w:val="hu-HU"/>
        </w:rPr>
        <w:t>órával</w:t>
      </w:r>
      <w:r>
        <w:rPr>
          <w:spacing w:val="-3"/>
          <w:lang w:val="hu-HU"/>
        </w:rPr>
        <w:t xml:space="preserve"> </w:t>
      </w:r>
      <w:r>
        <w:rPr>
          <w:lang w:val="hu-HU"/>
        </w:rPr>
        <w:t>mértek.</w:t>
      </w:r>
    </w:p>
    <w:p w:rsidR="007D7140" w:rsidRDefault="007D7140">
      <w:pPr>
        <w:rPr>
          <w:lang w:val="hu-HU"/>
        </w:rPr>
      </w:pPr>
    </w:p>
    <w:p w:rsidR="007D7140" w:rsidRDefault="00A207BA">
      <w:pPr>
        <w:rPr>
          <w:lang w:val="hu-HU"/>
        </w:rPr>
      </w:pPr>
      <w:r>
        <w:rPr>
          <w:lang w:val="hu-HU"/>
        </w:rPr>
        <w:t>A dabigatrán</w:t>
      </w:r>
      <w:r>
        <w:rPr>
          <w:spacing w:val="1"/>
          <w:lang w:val="hu-HU"/>
        </w:rPr>
        <w:t xml:space="preserve"> </w:t>
      </w:r>
      <w:r>
        <w:rPr>
          <w:lang w:val="hu-HU"/>
        </w:rPr>
        <w:t>haemodialízissel</w:t>
      </w:r>
      <w:r>
        <w:rPr>
          <w:spacing w:val="1"/>
          <w:lang w:val="hu-HU"/>
        </w:rPr>
        <w:t xml:space="preserve"> </w:t>
      </w:r>
      <w:r>
        <w:rPr>
          <w:lang w:val="hu-HU"/>
        </w:rPr>
        <w:t>történő ürülését</w:t>
      </w:r>
      <w:r>
        <w:rPr>
          <w:spacing w:val="1"/>
          <w:lang w:val="hu-HU"/>
        </w:rPr>
        <w:t xml:space="preserve"> </w:t>
      </w:r>
      <w:r>
        <w:rPr>
          <w:lang w:val="hu-HU"/>
        </w:rPr>
        <w:t>7, végstádiumú vesebetegségben</w:t>
      </w:r>
      <w:r>
        <w:rPr>
          <w:spacing w:val="1"/>
          <w:lang w:val="hu-HU"/>
        </w:rPr>
        <w:t xml:space="preserve"> </w:t>
      </w:r>
      <w:r>
        <w:rPr>
          <w:lang w:val="hu-HU"/>
        </w:rPr>
        <w:t>(</w:t>
      </w:r>
      <w:r>
        <w:t xml:space="preserve">end-stage renal disease, </w:t>
      </w:r>
      <w:r>
        <w:rPr>
          <w:lang w:val="hu-HU"/>
        </w:rPr>
        <w:t>ESRD)</w:t>
      </w:r>
      <w:r>
        <w:rPr>
          <w:spacing w:val="1"/>
          <w:lang w:val="hu-HU"/>
        </w:rPr>
        <w:t xml:space="preserve"> </w:t>
      </w:r>
      <w:r>
        <w:rPr>
          <w:lang w:val="hu-HU"/>
        </w:rPr>
        <w:t>szenvedő,</w:t>
      </w:r>
      <w:r>
        <w:rPr>
          <w:spacing w:val="1"/>
          <w:lang w:val="hu-HU"/>
        </w:rPr>
        <w:t xml:space="preserve"> </w:t>
      </w:r>
      <w:r>
        <w:rPr>
          <w:lang w:val="hu-HU"/>
        </w:rPr>
        <w:t>nem pitvarfibrilláló felnőtt betegnél vizsgálták. A dialízist 700 ml/perc dializáló oldat áramlási</w:t>
      </w:r>
      <w:r>
        <w:rPr>
          <w:spacing w:val="1"/>
          <w:lang w:val="hu-HU"/>
        </w:rPr>
        <w:t xml:space="preserve"> </w:t>
      </w:r>
      <w:r>
        <w:rPr>
          <w:lang w:val="hu-HU"/>
        </w:rPr>
        <w:t>sebességgel végezték 4 órán át, a véráramlás sebessége 200 ml/perc vagy 350</w:t>
      </w:r>
      <w:r>
        <w:rPr>
          <w:lang w:val="hu-HU"/>
        </w:rPr>
        <w:noBreakHyphen/>
        <w:t>390 ml/perc volt. Ez a dabigatrán</w:t>
      </w:r>
      <w:r>
        <w:rPr>
          <w:lang w:val="hu-HU"/>
        </w:rPr>
        <w:noBreakHyphen/>
        <w:t>koncentráció sorrendben 50%</w:t>
      </w:r>
      <w:r>
        <w:rPr>
          <w:lang w:val="hu-HU"/>
        </w:rPr>
        <w:noBreakHyphen/>
        <w:t>os, illetve 60%</w:t>
      </w:r>
      <w:r>
        <w:rPr>
          <w:lang w:val="hu-HU"/>
        </w:rPr>
        <w:noBreakHyphen/>
        <w:t>os csökkenését eredményezte. A dialízissel eltávolított gyógyszer mennyisége 300 ml/perc véráramlási sebességig</w:t>
      </w:r>
      <w:r>
        <w:rPr>
          <w:spacing w:val="1"/>
          <w:lang w:val="hu-HU"/>
        </w:rPr>
        <w:t xml:space="preserve"> </w:t>
      </w:r>
      <w:r>
        <w:rPr>
          <w:lang w:val="hu-HU"/>
        </w:rPr>
        <w:t>arányos a véráramlás sebességével. A dabigatrán antikoaguláns aktivitása a plazmakoncentráció</w:t>
      </w:r>
      <w:r>
        <w:rPr>
          <w:spacing w:val="1"/>
          <w:lang w:val="hu-HU"/>
        </w:rPr>
        <w:t xml:space="preserve"> </w:t>
      </w:r>
      <w:r>
        <w:rPr>
          <w:lang w:val="hu-HU"/>
        </w:rPr>
        <w:t>csökkenésével</w:t>
      </w:r>
      <w:r>
        <w:rPr>
          <w:spacing w:val="-2"/>
          <w:lang w:val="hu-HU"/>
        </w:rPr>
        <w:t xml:space="preserve"> </w:t>
      </w:r>
      <w:r>
        <w:rPr>
          <w:lang w:val="hu-HU"/>
        </w:rPr>
        <w:t>csökkent</w:t>
      </w:r>
      <w:r>
        <w:rPr>
          <w:spacing w:val="-1"/>
          <w:lang w:val="hu-HU"/>
        </w:rPr>
        <w:t xml:space="preserve"> </w:t>
      </w:r>
      <w:r>
        <w:rPr>
          <w:lang w:val="hu-HU"/>
        </w:rPr>
        <w:t>és</w:t>
      </w:r>
      <w:r>
        <w:rPr>
          <w:spacing w:val="-2"/>
          <w:lang w:val="hu-HU"/>
        </w:rPr>
        <w:t xml:space="preserve"> </w:t>
      </w:r>
      <w:r>
        <w:rPr>
          <w:lang w:val="hu-HU"/>
        </w:rPr>
        <w:t>a</w:t>
      </w:r>
      <w:r>
        <w:rPr>
          <w:spacing w:val="-1"/>
          <w:lang w:val="hu-HU"/>
        </w:rPr>
        <w:t xml:space="preserve"> </w:t>
      </w:r>
      <w:r>
        <w:rPr>
          <w:lang w:val="hu-HU"/>
        </w:rPr>
        <w:t>FK/FD</w:t>
      </w:r>
      <w:r>
        <w:rPr>
          <w:spacing w:val="-2"/>
          <w:lang w:val="hu-HU"/>
        </w:rPr>
        <w:t xml:space="preserve"> </w:t>
      </w:r>
      <w:r>
        <w:rPr>
          <w:lang w:val="hu-HU"/>
        </w:rPr>
        <w:t>arányt</w:t>
      </w:r>
      <w:r>
        <w:rPr>
          <w:spacing w:val="-1"/>
          <w:lang w:val="hu-HU"/>
        </w:rPr>
        <w:t xml:space="preserve"> </w:t>
      </w:r>
      <w:r>
        <w:rPr>
          <w:lang w:val="hu-HU"/>
        </w:rPr>
        <w:t>az</w:t>
      </w:r>
      <w:r>
        <w:rPr>
          <w:spacing w:val="-2"/>
          <w:lang w:val="hu-HU"/>
        </w:rPr>
        <w:t xml:space="preserve"> </w:t>
      </w:r>
      <w:r>
        <w:rPr>
          <w:lang w:val="hu-HU"/>
        </w:rPr>
        <w:t>eljárás</w:t>
      </w:r>
      <w:r>
        <w:rPr>
          <w:spacing w:val="-1"/>
          <w:lang w:val="hu-HU"/>
        </w:rPr>
        <w:t xml:space="preserve"> </w:t>
      </w:r>
      <w:r>
        <w:rPr>
          <w:lang w:val="hu-HU"/>
        </w:rPr>
        <w:t>nem</w:t>
      </w:r>
      <w:r>
        <w:rPr>
          <w:spacing w:val="-2"/>
          <w:lang w:val="hu-HU"/>
        </w:rPr>
        <w:t xml:space="preserve"> </w:t>
      </w:r>
      <w:r>
        <w:rPr>
          <w:lang w:val="hu-HU"/>
        </w:rPr>
        <w:t>befolyásolta.</w:t>
      </w:r>
    </w:p>
    <w:p w:rsidR="007D7140" w:rsidRDefault="007D7140">
      <w:pPr>
        <w:rPr>
          <w:lang w:val="hu-HU"/>
        </w:rPr>
      </w:pPr>
    </w:p>
    <w:p w:rsidR="007D7140" w:rsidRDefault="00A207BA">
      <w:pPr>
        <w:ind w:left="7" w:right="9"/>
        <w:rPr>
          <w:lang w:val="hu-HU"/>
        </w:rPr>
      </w:pPr>
      <w:r>
        <w:rPr>
          <w:lang w:val="hu-HU"/>
        </w:rPr>
        <w:t>A kreatinin</w:t>
      </w:r>
      <w:r>
        <w:rPr>
          <w:lang w:val="hu-HU"/>
        </w:rPr>
        <w:noBreakHyphen/>
        <w:t>clearance középértéke a RE</w:t>
      </w:r>
      <w:r>
        <w:rPr>
          <w:lang w:val="hu-HU"/>
        </w:rPr>
        <w:noBreakHyphen/>
        <w:t>LY vizsgálatban 68,4 ml/perc volt. A RE</w:t>
      </w:r>
      <w:r>
        <w:rPr>
          <w:lang w:val="hu-HU"/>
        </w:rPr>
        <w:noBreakHyphen/>
        <w:t>LY betegeinek csaknem felének (45,8%) volt a kreatinin</w:t>
      </w:r>
      <w:r>
        <w:rPr>
          <w:lang w:val="hu-HU"/>
        </w:rPr>
        <w:noBreakHyphen/>
        <w:t>clearance</w:t>
      </w:r>
      <w:r>
        <w:rPr>
          <w:lang w:val="hu-HU"/>
        </w:rPr>
        <w:noBreakHyphen/>
        <w:t>e &gt; 50 – &lt; 80 ml/perc. A közepesen súlyos vesekárosodásban szenvedő betegeknél (CrCl 30 és 50 ml/perc között) a dabigatrán plazmakoncentrációja a beadás előtt 2,29</w:t>
      </w:r>
      <w:r>
        <w:rPr>
          <w:lang w:val="hu-HU"/>
        </w:rPr>
        <w:noBreakHyphen/>
        <w:t>szer, a beadás után pedig 1,81</w:t>
      </w:r>
      <w:r>
        <w:rPr>
          <w:lang w:val="hu-HU"/>
        </w:rPr>
        <w:noBreakHyphen/>
        <w:t>szer volt magasabb, a vesekárosodásban nem szenvedő betegekkel összehasonlítva (CrCl ≥ 80 ml/perc).</w:t>
      </w:r>
    </w:p>
    <w:p w:rsidR="007D7140" w:rsidRDefault="007D7140">
      <w:pPr>
        <w:ind w:left="7" w:right="9"/>
        <w:rPr>
          <w:lang w:val="hu-HU"/>
        </w:rPr>
      </w:pPr>
    </w:p>
    <w:p w:rsidR="007D7140" w:rsidRDefault="00A207BA">
      <w:pPr>
        <w:ind w:left="7" w:right="9"/>
        <w:rPr>
          <w:lang w:val="hu-HU"/>
        </w:rPr>
      </w:pPr>
      <w:r>
        <w:rPr>
          <w:lang w:val="hu-HU"/>
        </w:rPr>
        <w:t>A RE</w:t>
      </w:r>
      <w:r>
        <w:rPr>
          <w:lang w:val="hu-HU"/>
        </w:rPr>
        <w:noBreakHyphen/>
        <w:t>COVER vizsgálatban a kreatinin</w:t>
      </w:r>
      <w:r>
        <w:rPr>
          <w:lang w:val="hu-HU"/>
        </w:rPr>
        <w:noBreakHyphen/>
        <w:t>clearance középértéke 100,4 ml/perc volt. A betegek 21,7%</w:t>
      </w:r>
      <w:r>
        <w:rPr>
          <w:lang w:val="hu-HU"/>
        </w:rPr>
        <w:noBreakHyphen/>
        <w:t>ának volt enyhe (CrCl &gt; 50 </w:t>
      </w:r>
      <w:r>
        <w:rPr>
          <w:lang w:val="hu-HU"/>
        </w:rPr>
        <w:noBreakHyphen/>
        <w:t> &lt; 80 ml/perc), és 4,5%</w:t>
      </w:r>
      <w:r>
        <w:rPr>
          <w:lang w:val="hu-HU"/>
        </w:rPr>
        <w:noBreakHyphen/>
        <w:t>ának közepesen súlyos (CrCl 30</w:t>
      </w:r>
      <w:r>
        <w:rPr>
          <w:lang w:val="hu-HU"/>
        </w:rPr>
        <w:noBreakHyphen/>
        <w:t>50 ml/perc közötti) vesekárosodása. Az enyhe vesekárosodásban 1,8</w:t>
      </w:r>
      <w:r>
        <w:rPr>
          <w:lang w:val="hu-HU"/>
        </w:rPr>
        <w:noBreakHyphen/>
        <w:t>szer, a közepesen súlyos vesekárosodásban szenvedő betegeknél pedig 3,6</w:t>
      </w:r>
      <w:r>
        <w:rPr>
          <w:lang w:val="hu-HU"/>
        </w:rPr>
        <w:noBreakHyphen/>
        <w:t>szer magasabbak voltak a dabigatrán dinamikus egyensúlyi állapotú plazmakoncentrációi, mint azoknál a betegeknél, akiknél 80 ml/percnél magasabb volt a kreatinin</w:t>
      </w:r>
      <w:r>
        <w:rPr>
          <w:lang w:val="hu-HU"/>
        </w:rPr>
        <w:noBreakHyphen/>
        <w:t>clearance. Hasonló CrCl értékeket kaptak a RE</w:t>
      </w:r>
      <w:r>
        <w:rPr>
          <w:lang w:val="hu-HU"/>
        </w:rPr>
        <w:noBreakHyphen/>
        <w:t>COVER II vizsgálatban is.</w:t>
      </w:r>
    </w:p>
    <w:p w:rsidR="007D7140" w:rsidRDefault="007D7140">
      <w:pPr>
        <w:ind w:left="7" w:right="9"/>
        <w:rPr>
          <w:lang w:val="hu-HU"/>
        </w:rPr>
      </w:pPr>
    </w:p>
    <w:p w:rsidR="007D7140" w:rsidRDefault="00A207BA">
      <w:pPr>
        <w:ind w:left="7" w:right="113"/>
        <w:rPr>
          <w:lang w:val="hu-HU"/>
        </w:rPr>
      </w:pPr>
      <w:r>
        <w:rPr>
          <w:lang w:val="hu-HU"/>
        </w:rPr>
        <w:t>A RE</w:t>
      </w:r>
      <w:r>
        <w:rPr>
          <w:lang w:val="hu-HU"/>
        </w:rPr>
        <w:noBreakHyphen/>
        <w:t>MEDY és RE</w:t>
      </w:r>
      <w:r>
        <w:rPr>
          <w:lang w:val="hu-HU"/>
        </w:rPr>
        <w:noBreakHyphen/>
        <w:t>SONATE vizsgálatokban az átlagos kreatinin</w:t>
      </w:r>
      <w:r>
        <w:rPr>
          <w:lang w:val="hu-HU"/>
        </w:rPr>
        <w:noBreakHyphen/>
        <w:t>clearance érték sorrendben 99,0 ml/perc, illetve 99,7 ml/perc volt. A kreatinin</w:t>
      </w:r>
      <w:r>
        <w:rPr>
          <w:lang w:val="hu-HU"/>
        </w:rPr>
        <w:noBreakHyphen/>
        <w:t>clearance a betegek 22,9%</w:t>
      </w:r>
      <w:r>
        <w:rPr>
          <w:lang w:val="hu-HU"/>
        </w:rPr>
        <w:noBreakHyphen/>
        <w:t>ánál illetve 22,5%</w:t>
      </w:r>
      <w:r>
        <w:rPr>
          <w:lang w:val="hu-HU"/>
        </w:rPr>
        <w:noBreakHyphen/>
        <w:t xml:space="preserve">ánál volt </w:t>
      </w:r>
      <w:r>
        <w:t>&gt; </w:t>
      </w:r>
      <w:r>
        <w:rPr>
          <w:lang w:val="hu-HU"/>
        </w:rPr>
        <w:t>50</w:t>
      </w:r>
      <w:r>
        <w:rPr>
          <w:lang w:val="hu-HU"/>
        </w:rPr>
        <w:noBreakHyphen/>
      </w:r>
      <w:r>
        <w:t>&lt; </w:t>
      </w:r>
      <w:r>
        <w:rPr>
          <w:lang w:val="hu-HU"/>
        </w:rPr>
        <w:t>80 ml/perc, és 4,1%</w:t>
      </w:r>
      <w:r>
        <w:rPr>
          <w:lang w:val="hu-HU"/>
        </w:rPr>
        <w:noBreakHyphen/>
        <w:t>ánál illetve 4,8%</w:t>
      </w:r>
      <w:r>
        <w:rPr>
          <w:lang w:val="hu-HU"/>
        </w:rPr>
        <w:noBreakHyphen/>
        <w:t>ánál volt 30 és 50 ml/perc között a RE</w:t>
      </w:r>
      <w:r>
        <w:rPr>
          <w:lang w:val="hu-HU"/>
        </w:rPr>
        <w:noBreakHyphen/>
        <w:t>MEDY és a RESONATE vizsgálatokban.</w:t>
      </w:r>
    </w:p>
    <w:p w:rsidR="007D7140" w:rsidRDefault="007D7140">
      <w:pPr>
        <w:rPr>
          <w:lang w:val="hu-HU"/>
        </w:rPr>
      </w:pPr>
    </w:p>
    <w:p w:rsidR="007D7140" w:rsidRDefault="00A207BA">
      <w:pPr>
        <w:rPr>
          <w:i/>
          <w:lang w:val="hu-HU"/>
        </w:rPr>
      </w:pPr>
      <w:r>
        <w:rPr>
          <w:i/>
          <w:u w:val="single"/>
          <w:lang w:val="hu-HU"/>
        </w:rPr>
        <w:t>Idősek</w:t>
      </w:r>
    </w:p>
    <w:p w:rsidR="007D7140" w:rsidRDefault="00A207BA">
      <w:pPr>
        <w:rPr>
          <w:lang w:val="hu-HU"/>
        </w:rPr>
      </w:pPr>
      <w:r>
        <w:rPr>
          <w:lang w:val="hu-HU"/>
        </w:rPr>
        <w:t xml:space="preserve">Az idős egyénekkel végzett I. fázisú. specifikus farmakokinetikai vizsgálatok azt mutatták, hogy az </w:t>
      </w:r>
      <w:r>
        <w:rPr>
          <w:position w:val="2"/>
          <w:lang w:val="hu-HU"/>
        </w:rPr>
        <w:t>AUC</w:t>
      </w:r>
      <w:r>
        <w:rPr>
          <w:spacing w:val="-3"/>
          <w:position w:val="2"/>
          <w:lang w:val="hu-HU"/>
        </w:rPr>
        <w:t xml:space="preserve"> </w:t>
      </w:r>
      <w:r>
        <w:rPr>
          <w:position w:val="2"/>
          <w:lang w:val="hu-HU"/>
        </w:rPr>
        <w:t>40</w:t>
      </w:r>
      <w:r>
        <w:rPr>
          <w:position w:val="2"/>
          <w:lang w:val="hu-HU"/>
        </w:rPr>
        <w:noBreakHyphen/>
        <w:t>60%</w:t>
      </w:r>
      <w:r>
        <w:rPr>
          <w:position w:val="2"/>
          <w:lang w:val="hu-HU"/>
        </w:rPr>
        <w:noBreakHyphen/>
        <w:t>kal,</w:t>
      </w:r>
      <w:r>
        <w:rPr>
          <w:spacing w:val="-1"/>
          <w:position w:val="2"/>
          <w:lang w:val="hu-HU"/>
        </w:rPr>
        <w:t xml:space="preserve"> </w:t>
      </w:r>
      <w:r>
        <w:rPr>
          <w:position w:val="2"/>
          <w:lang w:val="hu-HU"/>
        </w:rPr>
        <w:t>és</w:t>
      </w:r>
      <w:r>
        <w:rPr>
          <w:spacing w:val="-1"/>
          <w:position w:val="2"/>
          <w:lang w:val="hu-HU"/>
        </w:rPr>
        <w:t xml:space="preserve"> </w:t>
      </w:r>
      <w:r>
        <w:rPr>
          <w:position w:val="2"/>
          <w:lang w:val="hu-HU"/>
        </w:rPr>
        <w:t>a</w:t>
      </w:r>
      <w:r>
        <w:rPr>
          <w:spacing w:val="-1"/>
          <w:position w:val="2"/>
          <w:lang w:val="hu-HU"/>
        </w:rPr>
        <w:t xml:space="preserve"> </w:t>
      </w:r>
      <w:r>
        <w:rPr>
          <w:position w:val="2"/>
          <w:lang w:val="hu-HU"/>
        </w:rPr>
        <w:t>C</w:t>
      </w:r>
      <w:r>
        <w:rPr>
          <w:position w:val="2"/>
          <w:vertAlign w:val="subscript"/>
          <w:lang w:val="hu-HU"/>
        </w:rPr>
        <w:t>max</w:t>
      </w:r>
      <w:r>
        <w:rPr>
          <w:spacing w:val="21"/>
          <w:lang w:val="hu-HU"/>
        </w:rPr>
        <w:t xml:space="preserve"> </w:t>
      </w:r>
      <w:r>
        <w:rPr>
          <w:position w:val="2"/>
          <w:lang w:val="hu-HU"/>
        </w:rPr>
        <w:t>több</w:t>
      </w:r>
      <w:r>
        <w:rPr>
          <w:spacing w:val="-2"/>
          <w:position w:val="2"/>
          <w:lang w:val="hu-HU"/>
        </w:rPr>
        <w:t xml:space="preserve"> </w:t>
      </w:r>
      <w:r>
        <w:rPr>
          <w:position w:val="2"/>
          <w:lang w:val="hu-HU"/>
        </w:rPr>
        <w:t>mint</w:t>
      </w:r>
      <w:r>
        <w:rPr>
          <w:spacing w:val="-2"/>
          <w:position w:val="2"/>
          <w:lang w:val="hu-HU"/>
        </w:rPr>
        <w:t xml:space="preserve"> </w:t>
      </w:r>
      <w:r>
        <w:rPr>
          <w:position w:val="2"/>
          <w:lang w:val="hu-HU"/>
        </w:rPr>
        <w:t>25%</w:t>
      </w:r>
      <w:r>
        <w:rPr>
          <w:position w:val="2"/>
          <w:lang w:val="hu-HU"/>
        </w:rPr>
        <w:noBreakHyphen/>
        <w:t>kal</w:t>
      </w:r>
      <w:r>
        <w:rPr>
          <w:spacing w:val="-2"/>
          <w:position w:val="2"/>
          <w:lang w:val="hu-HU"/>
        </w:rPr>
        <w:t xml:space="preserve"> </w:t>
      </w:r>
      <w:r>
        <w:rPr>
          <w:position w:val="2"/>
          <w:lang w:val="hu-HU"/>
        </w:rPr>
        <w:t>növekedett</w:t>
      </w:r>
      <w:r>
        <w:rPr>
          <w:spacing w:val="-2"/>
          <w:position w:val="2"/>
          <w:lang w:val="hu-HU"/>
        </w:rPr>
        <w:t xml:space="preserve"> </w:t>
      </w:r>
      <w:r>
        <w:rPr>
          <w:position w:val="2"/>
          <w:lang w:val="hu-HU"/>
        </w:rPr>
        <w:t>a</w:t>
      </w:r>
      <w:r>
        <w:rPr>
          <w:spacing w:val="-2"/>
          <w:position w:val="2"/>
          <w:lang w:val="hu-HU"/>
        </w:rPr>
        <w:t xml:space="preserve"> </w:t>
      </w:r>
      <w:r>
        <w:rPr>
          <w:position w:val="2"/>
          <w:lang w:val="hu-HU"/>
        </w:rPr>
        <w:t>fiatal</w:t>
      </w:r>
      <w:r>
        <w:rPr>
          <w:spacing w:val="-2"/>
          <w:position w:val="2"/>
          <w:lang w:val="hu-HU"/>
        </w:rPr>
        <w:t xml:space="preserve"> </w:t>
      </w:r>
      <w:r>
        <w:rPr>
          <w:position w:val="2"/>
          <w:lang w:val="hu-HU"/>
        </w:rPr>
        <w:t>egyénekhez</w:t>
      </w:r>
      <w:r>
        <w:rPr>
          <w:spacing w:val="-2"/>
          <w:position w:val="2"/>
          <w:lang w:val="hu-HU"/>
        </w:rPr>
        <w:t xml:space="preserve"> </w:t>
      </w:r>
      <w:r>
        <w:rPr>
          <w:position w:val="2"/>
          <w:lang w:val="hu-HU"/>
        </w:rPr>
        <w:t>képest.</w:t>
      </w:r>
    </w:p>
    <w:p w:rsidR="007D7140" w:rsidRDefault="00A207BA">
      <w:pPr>
        <w:rPr>
          <w:lang w:val="hu-HU"/>
        </w:rPr>
      </w:pPr>
      <w:r>
        <w:rPr>
          <w:lang w:val="hu-HU"/>
        </w:rPr>
        <w:t>Az életkor dabigatrán</w:t>
      </w:r>
      <w:r>
        <w:rPr>
          <w:lang w:val="hu-HU"/>
        </w:rPr>
        <w:noBreakHyphen/>
        <w:t>expozícióra gyakorolt hatását a RE</w:t>
      </w:r>
      <w:r>
        <w:rPr>
          <w:lang w:val="hu-HU"/>
        </w:rPr>
        <w:noBreakHyphen/>
        <w:t>LY vizsgálatban erősítették meg, körülbelül 31%</w:t>
      </w:r>
      <w:r>
        <w:rPr>
          <w:lang w:val="hu-HU"/>
        </w:rPr>
        <w:noBreakHyphen/>
        <w:t>kal magasabb mélyponti koncentrációkat találtak a 75 éves vagy annál idősebb vizsgálati személyeknél, és körülbelül 22%</w:t>
      </w:r>
      <w:r>
        <w:rPr>
          <w:lang w:val="hu-HU"/>
        </w:rPr>
        <w:noBreakHyphen/>
        <w:t>kal</w:t>
      </w:r>
      <w:r>
        <w:rPr>
          <w:spacing w:val="2"/>
          <w:lang w:val="hu-HU"/>
        </w:rPr>
        <w:t xml:space="preserve"> </w:t>
      </w:r>
      <w:r>
        <w:rPr>
          <w:lang w:val="hu-HU"/>
        </w:rPr>
        <w:t>alacsonyabb</w:t>
      </w:r>
      <w:r>
        <w:rPr>
          <w:spacing w:val="3"/>
          <w:lang w:val="hu-HU"/>
        </w:rPr>
        <w:t xml:space="preserve"> </w:t>
      </w:r>
      <w:r>
        <w:rPr>
          <w:lang w:val="hu-HU"/>
        </w:rPr>
        <w:t>mélyponti</w:t>
      </w:r>
      <w:r>
        <w:rPr>
          <w:spacing w:val="2"/>
          <w:lang w:val="hu-HU"/>
        </w:rPr>
        <w:t xml:space="preserve"> </w:t>
      </w:r>
      <w:r>
        <w:rPr>
          <w:lang w:val="hu-HU"/>
        </w:rPr>
        <w:t>koncentrációkat</w:t>
      </w:r>
      <w:r>
        <w:rPr>
          <w:spacing w:val="3"/>
          <w:lang w:val="hu-HU"/>
        </w:rPr>
        <w:t xml:space="preserve"> </w:t>
      </w:r>
      <w:r>
        <w:rPr>
          <w:lang w:val="hu-HU"/>
        </w:rPr>
        <w:t>mértek</w:t>
      </w:r>
      <w:r>
        <w:rPr>
          <w:spacing w:val="2"/>
          <w:lang w:val="hu-HU"/>
        </w:rPr>
        <w:t xml:space="preserve"> </w:t>
      </w:r>
      <w:r>
        <w:rPr>
          <w:lang w:val="hu-HU"/>
        </w:rPr>
        <w:t>65</w:t>
      </w:r>
      <w:r>
        <w:rPr>
          <w:spacing w:val="1"/>
          <w:lang w:val="hu-HU"/>
        </w:rPr>
        <w:t> év</w:t>
      </w:r>
      <w:r>
        <w:rPr>
          <w:spacing w:val="3"/>
          <w:lang w:val="hu-HU"/>
        </w:rPr>
        <w:t xml:space="preserve"> </w:t>
      </w:r>
      <w:r>
        <w:rPr>
          <w:lang w:val="hu-HU"/>
        </w:rPr>
        <w:t>alatti</w:t>
      </w:r>
      <w:r>
        <w:rPr>
          <w:spacing w:val="2"/>
          <w:lang w:val="hu-HU"/>
        </w:rPr>
        <w:t xml:space="preserve"> </w:t>
      </w:r>
      <w:r>
        <w:rPr>
          <w:lang w:val="hu-HU"/>
        </w:rPr>
        <w:t>vizsgálati</w:t>
      </w:r>
      <w:r>
        <w:rPr>
          <w:spacing w:val="1"/>
          <w:lang w:val="hu-HU"/>
        </w:rPr>
        <w:t xml:space="preserve"> </w:t>
      </w:r>
      <w:r>
        <w:rPr>
          <w:lang w:val="hu-HU"/>
        </w:rPr>
        <w:t>személyeknél</w:t>
      </w:r>
      <w:r>
        <w:rPr>
          <w:spacing w:val="-2"/>
          <w:lang w:val="hu-HU"/>
        </w:rPr>
        <w:t xml:space="preserve"> </w:t>
      </w:r>
      <w:r>
        <w:rPr>
          <w:lang w:val="hu-HU"/>
        </w:rPr>
        <w:t>a</w:t>
      </w:r>
      <w:r>
        <w:rPr>
          <w:spacing w:val="-2"/>
          <w:lang w:val="hu-HU"/>
        </w:rPr>
        <w:t xml:space="preserve"> </w:t>
      </w:r>
      <w:r>
        <w:rPr>
          <w:lang w:val="hu-HU"/>
        </w:rPr>
        <w:t>65</w:t>
      </w:r>
      <w:r>
        <w:rPr>
          <w:spacing w:val="-2"/>
          <w:lang w:val="hu-HU"/>
        </w:rPr>
        <w:t xml:space="preserve"> </w:t>
      </w:r>
      <w:r>
        <w:rPr>
          <w:lang w:val="hu-HU"/>
        </w:rPr>
        <w:t>és</w:t>
      </w:r>
      <w:r>
        <w:rPr>
          <w:spacing w:val="-2"/>
          <w:lang w:val="hu-HU"/>
        </w:rPr>
        <w:t xml:space="preserve"> </w:t>
      </w:r>
      <w:r>
        <w:rPr>
          <w:lang w:val="hu-HU"/>
        </w:rPr>
        <w:t>75 év</w:t>
      </w:r>
      <w:r>
        <w:rPr>
          <w:spacing w:val="-2"/>
          <w:lang w:val="hu-HU"/>
        </w:rPr>
        <w:t xml:space="preserve"> </w:t>
      </w:r>
      <w:r>
        <w:rPr>
          <w:lang w:val="hu-HU"/>
        </w:rPr>
        <w:t>közötti</w:t>
      </w:r>
      <w:r>
        <w:rPr>
          <w:spacing w:val="-2"/>
          <w:lang w:val="hu-HU"/>
        </w:rPr>
        <w:t xml:space="preserve"> korú </w:t>
      </w:r>
      <w:r>
        <w:rPr>
          <w:lang w:val="hu-HU"/>
        </w:rPr>
        <w:t>személyeknél</w:t>
      </w:r>
      <w:r>
        <w:rPr>
          <w:spacing w:val="-2"/>
          <w:lang w:val="hu-HU"/>
        </w:rPr>
        <w:t xml:space="preserve"> </w:t>
      </w:r>
      <w:r>
        <w:rPr>
          <w:lang w:val="hu-HU"/>
        </w:rPr>
        <w:t>mérthez</w:t>
      </w:r>
      <w:r>
        <w:rPr>
          <w:spacing w:val="-1"/>
          <w:lang w:val="hu-HU"/>
        </w:rPr>
        <w:t xml:space="preserve"> </w:t>
      </w:r>
      <w:r>
        <w:rPr>
          <w:lang w:val="hu-HU"/>
        </w:rPr>
        <w:t>képest</w:t>
      </w:r>
      <w:r>
        <w:rPr>
          <w:spacing w:val="-2"/>
          <w:lang w:val="hu-HU"/>
        </w:rPr>
        <w:t xml:space="preserve"> </w:t>
      </w:r>
      <w:r>
        <w:rPr>
          <w:lang w:val="hu-HU"/>
        </w:rPr>
        <w:t>(lásd</w:t>
      </w:r>
      <w:r>
        <w:rPr>
          <w:spacing w:val="-2"/>
          <w:lang w:val="hu-HU"/>
        </w:rPr>
        <w:t xml:space="preserve"> </w:t>
      </w:r>
      <w:r>
        <w:rPr>
          <w:lang w:val="hu-HU"/>
        </w:rPr>
        <w:t>4.2</w:t>
      </w:r>
      <w:r>
        <w:rPr>
          <w:spacing w:val="-2"/>
          <w:lang w:val="hu-HU"/>
        </w:rPr>
        <w:t xml:space="preserve"> </w:t>
      </w:r>
      <w:r>
        <w:rPr>
          <w:lang w:val="hu-HU"/>
        </w:rPr>
        <w:t>és 4.4</w:t>
      </w:r>
      <w:r>
        <w:rPr>
          <w:spacing w:val="-1"/>
          <w:lang w:val="hu-HU"/>
        </w:rPr>
        <w:t> pont</w:t>
      </w:r>
      <w:r>
        <w:rPr>
          <w:lang w:val="hu-HU"/>
        </w:rPr>
        <w:t>).</w:t>
      </w:r>
    </w:p>
    <w:p w:rsidR="007D7140" w:rsidRDefault="007D7140">
      <w:pPr>
        <w:rPr>
          <w:lang w:val="hu-HU"/>
        </w:rPr>
      </w:pPr>
    </w:p>
    <w:p w:rsidR="007D7140" w:rsidRDefault="00A207BA">
      <w:pPr>
        <w:rPr>
          <w:i/>
          <w:lang w:val="hu-HU"/>
        </w:rPr>
      </w:pPr>
      <w:r>
        <w:rPr>
          <w:i/>
          <w:u w:val="single"/>
          <w:lang w:val="hu-HU"/>
        </w:rPr>
        <w:t>Májkárosodás</w:t>
      </w:r>
    </w:p>
    <w:p w:rsidR="007D7140" w:rsidRDefault="00A207BA">
      <w:pPr>
        <w:rPr>
          <w:lang w:val="hu-HU"/>
        </w:rPr>
      </w:pPr>
      <w:r>
        <w:rPr>
          <w:lang w:val="hu-HU"/>
        </w:rPr>
        <w:t>Nem észleltek változást a dabigatrán</w:t>
      </w:r>
      <w:r>
        <w:rPr>
          <w:lang w:val="hu-HU"/>
        </w:rPr>
        <w:noBreakHyphen/>
        <w:t>expozíciójában 12, közepesen súlyos fokú</w:t>
      </w:r>
      <w:r>
        <w:rPr>
          <w:spacing w:val="1"/>
          <w:lang w:val="hu-HU"/>
        </w:rPr>
        <w:t xml:space="preserve"> </w:t>
      </w:r>
      <w:r>
        <w:rPr>
          <w:lang w:val="hu-HU"/>
        </w:rPr>
        <w:t>májkárosodásban (Child</w:t>
      </w:r>
      <w:r>
        <w:rPr>
          <w:lang w:val="hu-HU"/>
        </w:rPr>
        <w:noBreakHyphen/>
        <w:t>Pugh</w:t>
      </w:r>
      <w:r>
        <w:rPr>
          <w:spacing w:val="-3"/>
          <w:lang w:val="hu-HU"/>
        </w:rPr>
        <w:t xml:space="preserve"> </w:t>
      </w:r>
      <w:r>
        <w:rPr>
          <w:lang w:val="hu-HU"/>
        </w:rPr>
        <w:t>B)</w:t>
      </w:r>
      <w:r>
        <w:rPr>
          <w:spacing w:val="-3"/>
          <w:lang w:val="hu-HU"/>
        </w:rPr>
        <w:t xml:space="preserve"> </w:t>
      </w:r>
      <w:r>
        <w:rPr>
          <w:lang w:val="hu-HU"/>
        </w:rPr>
        <w:t>szenvedő</w:t>
      </w:r>
      <w:r>
        <w:rPr>
          <w:spacing w:val="-4"/>
          <w:lang w:val="hu-HU"/>
        </w:rPr>
        <w:t xml:space="preserve"> </w:t>
      </w:r>
      <w:r>
        <w:rPr>
          <w:lang w:val="hu-HU"/>
        </w:rPr>
        <w:t>felnőtt</w:t>
      </w:r>
      <w:r>
        <w:rPr>
          <w:spacing w:val="-3"/>
          <w:lang w:val="hu-HU"/>
        </w:rPr>
        <w:t xml:space="preserve"> </w:t>
      </w:r>
      <w:r>
        <w:rPr>
          <w:lang w:val="hu-HU"/>
        </w:rPr>
        <w:t>betegnél,</w:t>
      </w:r>
      <w:r>
        <w:rPr>
          <w:spacing w:val="-3"/>
          <w:lang w:val="hu-HU"/>
        </w:rPr>
        <w:t xml:space="preserve"> </w:t>
      </w:r>
      <w:r>
        <w:rPr>
          <w:lang w:val="hu-HU"/>
        </w:rPr>
        <w:t>a</w:t>
      </w:r>
      <w:r>
        <w:rPr>
          <w:spacing w:val="-4"/>
          <w:lang w:val="hu-HU"/>
        </w:rPr>
        <w:t xml:space="preserve"> </w:t>
      </w:r>
      <w:r>
        <w:rPr>
          <w:lang w:val="hu-HU"/>
        </w:rPr>
        <w:t>12 kontrollal</w:t>
      </w:r>
      <w:r>
        <w:rPr>
          <w:spacing w:val="-4"/>
          <w:lang w:val="hu-HU"/>
        </w:rPr>
        <w:t xml:space="preserve"> </w:t>
      </w:r>
      <w:r>
        <w:rPr>
          <w:lang w:val="hu-HU"/>
        </w:rPr>
        <w:t>összehasonlítva</w:t>
      </w:r>
      <w:r>
        <w:rPr>
          <w:spacing w:val="-3"/>
          <w:lang w:val="hu-HU"/>
        </w:rPr>
        <w:t xml:space="preserve"> </w:t>
      </w:r>
      <w:r>
        <w:rPr>
          <w:lang w:val="hu-HU"/>
        </w:rPr>
        <w:t>(lásd</w:t>
      </w:r>
      <w:r>
        <w:rPr>
          <w:spacing w:val="-3"/>
          <w:lang w:val="hu-HU"/>
        </w:rPr>
        <w:t xml:space="preserve"> </w:t>
      </w:r>
      <w:r>
        <w:rPr>
          <w:lang w:val="hu-HU"/>
        </w:rPr>
        <w:t>4.2</w:t>
      </w:r>
      <w:r>
        <w:rPr>
          <w:spacing w:val="-4"/>
          <w:lang w:val="hu-HU"/>
        </w:rPr>
        <w:t xml:space="preserve"> </w:t>
      </w:r>
      <w:r>
        <w:rPr>
          <w:lang w:val="hu-HU"/>
        </w:rPr>
        <w:t>és</w:t>
      </w:r>
      <w:r>
        <w:rPr>
          <w:spacing w:val="-3"/>
          <w:lang w:val="hu-HU"/>
        </w:rPr>
        <w:t xml:space="preserve"> </w:t>
      </w:r>
      <w:r>
        <w:rPr>
          <w:lang w:val="hu-HU"/>
        </w:rPr>
        <w:t>4.4</w:t>
      </w:r>
      <w:r>
        <w:rPr>
          <w:spacing w:val="-5"/>
          <w:lang w:val="hu-HU"/>
        </w:rPr>
        <w:t> pont</w:t>
      </w:r>
      <w:r>
        <w:rPr>
          <w:lang w:val="hu-HU"/>
        </w:rPr>
        <w:t>).</w:t>
      </w:r>
    </w:p>
    <w:p w:rsidR="007D7140" w:rsidRDefault="007D7140">
      <w:pPr>
        <w:rPr>
          <w:lang w:val="hu-HU"/>
        </w:rPr>
      </w:pPr>
    </w:p>
    <w:p w:rsidR="007D7140" w:rsidRDefault="00A207BA">
      <w:pPr>
        <w:rPr>
          <w:i/>
          <w:lang w:val="hu-HU"/>
        </w:rPr>
      </w:pPr>
      <w:r>
        <w:rPr>
          <w:i/>
          <w:u w:val="single"/>
          <w:lang w:val="hu-HU"/>
        </w:rPr>
        <w:t>Testtömeg</w:t>
      </w:r>
    </w:p>
    <w:p w:rsidR="007D7140" w:rsidRDefault="00A207BA">
      <w:pPr>
        <w:rPr>
          <w:lang w:val="hu-HU"/>
        </w:rPr>
      </w:pPr>
      <w:r>
        <w:rPr>
          <w:lang w:val="hu-HU"/>
        </w:rPr>
        <w:t>A dabigatrán mélyponti koncentrációi körülbelül 20%</w:t>
      </w:r>
      <w:r>
        <w:rPr>
          <w:lang w:val="hu-HU"/>
        </w:rPr>
        <w:noBreakHyphen/>
        <w:t>kal alacsonyabbak voltak a 100 kg</w:t>
      </w:r>
      <w:r>
        <w:rPr>
          <w:lang w:val="hu-HU"/>
        </w:rPr>
        <w:noBreakHyphen/>
        <w:t>nál nagyobb testtömegű felnőtt betegeknél, mint az 50</w:t>
      </w:r>
      <w:r>
        <w:rPr>
          <w:lang w:val="hu-HU"/>
        </w:rPr>
        <w:noBreakHyphen/>
        <w:t>100 kg közöttieknél. A vizsgált személyek többsége</w:t>
      </w:r>
      <w:r>
        <w:rPr>
          <w:spacing w:val="1"/>
          <w:lang w:val="hu-HU"/>
        </w:rPr>
        <w:t xml:space="preserve"> </w:t>
      </w:r>
      <w:r>
        <w:rPr>
          <w:lang w:val="hu-HU"/>
        </w:rPr>
        <w:t>(80,8%) az ≥ 50 kg és &lt; 100 kg kategóriába esett, közöttük egyértelmű különbséget nem mutattak ki (lásd 4.2 és</w:t>
      </w:r>
      <w:r>
        <w:rPr>
          <w:spacing w:val="3"/>
          <w:lang w:val="hu-HU"/>
        </w:rPr>
        <w:t xml:space="preserve"> </w:t>
      </w:r>
      <w:r>
        <w:rPr>
          <w:lang w:val="hu-HU"/>
        </w:rPr>
        <w:t>4.4</w:t>
      </w:r>
      <w:r>
        <w:rPr>
          <w:spacing w:val="4"/>
          <w:lang w:val="hu-HU"/>
        </w:rPr>
        <w:t> pont</w:t>
      </w:r>
      <w:r>
        <w:rPr>
          <w:lang w:val="hu-HU"/>
        </w:rPr>
        <w:t>).</w:t>
      </w:r>
      <w:r>
        <w:rPr>
          <w:spacing w:val="3"/>
          <w:lang w:val="hu-HU"/>
        </w:rPr>
        <w:t xml:space="preserve"> </w:t>
      </w:r>
      <w:r>
        <w:rPr>
          <w:lang w:val="hu-HU"/>
        </w:rPr>
        <w:t>Az</w:t>
      </w:r>
      <w:r>
        <w:rPr>
          <w:spacing w:val="3"/>
          <w:lang w:val="hu-HU"/>
        </w:rPr>
        <w:t xml:space="preserve"> </w:t>
      </w:r>
      <w:r>
        <w:rPr>
          <w:lang w:val="hu-HU"/>
        </w:rPr>
        <w:t>50 kg</w:t>
      </w:r>
      <w:r>
        <w:rPr>
          <w:lang w:val="hu-HU"/>
        </w:rPr>
        <w:noBreakHyphen/>
        <w:t>nál</w:t>
      </w:r>
      <w:r>
        <w:rPr>
          <w:spacing w:val="3"/>
          <w:lang w:val="hu-HU"/>
        </w:rPr>
        <w:t xml:space="preserve"> </w:t>
      </w:r>
      <w:r>
        <w:rPr>
          <w:lang w:val="hu-HU"/>
        </w:rPr>
        <w:t>kisebb</w:t>
      </w:r>
      <w:r>
        <w:rPr>
          <w:spacing w:val="2"/>
          <w:lang w:val="hu-HU"/>
        </w:rPr>
        <w:t xml:space="preserve"> </w:t>
      </w:r>
      <w:r>
        <w:rPr>
          <w:lang w:val="hu-HU"/>
        </w:rPr>
        <w:t>testtömegű</w:t>
      </w:r>
      <w:r>
        <w:rPr>
          <w:spacing w:val="3"/>
          <w:lang w:val="hu-HU"/>
        </w:rPr>
        <w:t xml:space="preserve"> </w:t>
      </w:r>
      <w:r>
        <w:rPr>
          <w:lang w:val="hu-HU"/>
        </w:rPr>
        <w:t>felnőtt</w:t>
      </w:r>
      <w:r>
        <w:rPr>
          <w:spacing w:val="3"/>
          <w:lang w:val="hu-HU"/>
        </w:rPr>
        <w:t xml:space="preserve"> </w:t>
      </w:r>
      <w:r>
        <w:rPr>
          <w:lang w:val="hu-HU"/>
        </w:rPr>
        <w:t>betegekre</w:t>
      </w:r>
      <w:r>
        <w:rPr>
          <w:spacing w:val="3"/>
          <w:lang w:val="hu-HU"/>
        </w:rPr>
        <w:t xml:space="preserve"> </w:t>
      </w:r>
      <w:r>
        <w:rPr>
          <w:lang w:val="hu-HU"/>
        </w:rPr>
        <w:t>vonatkozó</w:t>
      </w:r>
      <w:r>
        <w:rPr>
          <w:spacing w:val="3"/>
          <w:lang w:val="hu-HU"/>
        </w:rPr>
        <w:t xml:space="preserve"> </w:t>
      </w:r>
      <w:r>
        <w:rPr>
          <w:lang w:val="hu-HU"/>
        </w:rPr>
        <w:t>klinikai</w:t>
      </w:r>
      <w:r>
        <w:rPr>
          <w:spacing w:val="3"/>
          <w:lang w:val="hu-HU"/>
        </w:rPr>
        <w:t xml:space="preserve"> </w:t>
      </w:r>
      <w:r>
        <w:rPr>
          <w:lang w:val="hu-HU"/>
        </w:rPr>
        <w:t>adatok</w:t>
      </w:r>
      <w:r>
        <w:rPr>
          <w:spacing w:val="1"/>
          <w:lang w:val="hu-HU"/>
        </w:rPr>
        <w:t xml:space="preserve"> </w:t>
      </w:r>
      <w:r>
        <w:rPr>
          <w:lang w:val="hu-HU"/>
        </w:rPr>
        <w:t>korlátozottak.</w:t>
      </w:r>
    </w:p>
    <w:p w:rsidR="007D7140" w:rsidRDefault="007D7140">
      <w:pPr>
        <w:rPr>
          <w:lang w:val="hu-HU"/>
        </w:rPr>
      </w:pPr>
    </w:p>
    <w:p w:rsidR="007D7140" w:rsidRDefault="00A207BA">
      <w:pPr>
        <w:rPr>
          <w:i/>
          <w:lang w:val="hu-HU"/>
        </w:rPr>
      </w:pPr>
      <w:r>
        <w:rPr>
          <w:i/>
          <w:u w:val="single"/>
          <w:lang w:val="hu-HU"/>
        </w:rPr>
        <w:t>Nem</w:t>
      </w:r>
    </w:p>
    <w:p w:rsidR="007D7140" w:rsidRDefault="00A207BA">
      <w:pPr>
        <w:pStyle w:val="Szvegtrzs"/>
        <w:rPr>
          <w:lang w:val="hu-HU"/>
        </w:rPr>
      </w:pPr>
      <w:r>
        <w:rPr>
          <w:lang w:val="hu-HU"/>
        </w:rPr>
        <w:t>A hatóanyag</w:t>
      </w:r>
      <w:r>
        <w:rPr>
          <w:lang w:val="hu-HU"/>
        </w:rPr>
        <w:noBreakHyphen/>
        <w:t>expozíció a primer VTE prevenciós vizsgálatokban nőknél körülbelül 40</w:t>
      </w:r>
      <w:r>
        <w:rPr>
          <w:lang w:val="hu-HU"/>
        </w:rPr>
        <w:noBreakHyphen/>
        <w:t>50%</w:t>
      </w:r>
      <w:r>
        <w:rPr>
          <w:lang w:val="hu-HU"/>
        </w:rPr>
        <w:noBreakHyphen/>
        <w:t>kal magasabb,</w:t>
      </w:r>
      <w:r>
        <w:rPr>
          <w:spacing w:val="-2"/>
          <w:lang w:val="hu-HU"/>
        </w:rPr>
        <w:t xml:space="preserve"> </w:t>
      </w:r>
      <w:r>
        <w:rPr>
          <w:lang w:val="hu-HU"/>
        </w:rPr>
        <w:t>de</w:t>
      </w:r>
      <w:r>
        <w:rPr>
          <w:spacing w:val="-1"/>
          <w:lang w:val="hu-HU"/>
        </w:rPr>
        <w:t xml:space="preserve"> </w:t>
      </w:r>
      <w:r>
        <w:rPr>
          <w:lang w:val="hu-HU"/>
        </w:rPr>
        <w:t>a</w:t>
      </w:r>
      <w:r>
        <w:rPr>
          <w:spacing w:val="-1"/>
          <w:lang w:val="hu-HU"/>
        </w:rPr>
        <w:t xml:space="preserve"> </w:t>
      </w:r>
      <w:r>
        <w:rPr>
          <w:lang w:val="hu-HU"/>
        </w:rPr>
        <w:t>dózis</w:t>
      </w:r>
      <w:r>
        <w:rPr>
          <w:spacing w:val="-1"/>
          <w:lang w:val="hu-HU"/>
        </w:rPr>
        <w:t xml:space="preserve"> </w:t>
      </w:r>
      <w:r>
        <w:rPr>
          <w:lang w:val="hu-HU"/>
        </w:rPr>
        <w:t>módosítása</w:t>
      </w:r>
      <w:r>
        <w:rPr>
          <w:spacing w:val="-2"/>
          <w:lang w:val="hu-HU"/>
        </w:rPr>
        <w:t xml:space="preserve"> </w:t>
      </w:r>
      <w:r>
        <w:rPr>
          <w:lang w:val="hu-HU"/>
        </w:rPr>
        <w:t>nem</w:t>
      </w:r>
      <w:r>
        <w:rPr>
          <w:spacing w:val="-1"/>
          <w:lang w:val="hu-HU"/>
        </w:rPr>
        <w:t xml:space="preserve"> </w:t>
      </w:r>
      <w:r>
        <w:rPr>
          <w:lang w:val="hu-HU"/>
        </w:rPr>
        <w:t>javasolt. Pitvarfibrilláló</w:t>
      </w:r>
      <w:r>
        <w:rPr>
          <w:spacing w:val="-5"/>
          <w:lang w:val="hu-HU"/>
        </w:rPr>
        <w:t xml:space="preserve"> </w:t>
      </w:r>
      <w:r>
        <w:rPr>
          <w:lang w:val="hu-HU"/>
        </w:rPr>
        <w:t>betegeknél</w:t>
      </w:r>
      <w:r>
        <w:rPr>
          <w:spacing w:val="-3"/>
          <w:lang w:val="hu-HU"/>
        </w:rPr>
        <w:t xml:space="preserve"> </w:t>
      </w:r>
      <w:r>
        <w:rPr>
          <w:lang w:val="hu-HU"/>
        </w:rPr>
        <w:t>a</w:t>
      </w:r>
      <w:r>
        <w:rPr>
          <w:spacing w:val="-3"/>
          <w:lang w:val="hu-HU"/>
        </w:rPr>
        <w:t xml:space="preserve"> </w:t>
      </w:r>
      <w:r>
        <w:rPr>
          <w:lang w:val="hu-HU"/>
        </w:rPr>
        <w:t>nőknél</w:t>
      </w:r>
      <w:r>
        <w:rPr>
          <w:spacing w:val="-3"/>
          <w:lang w:val="hu-HU"/>
        </w:rPr>
        <w:t xml:space="preserve"> </w:t>
      </w:r>
      <w:r>
        <w:rPr>
          <w:lang w:val="hu-HU"/>
        </w:rPr>
        <w:t>átlagosan</w:t>
      </w:r>
      <w:r>
        <w:rPr>
          <w:spacing w:val="-3"/>
          <w:lang w:val="hu-HU"/>
        </w:rPr>
        <w:t xml:space="preserve"> </w:t>
      </w:r>
      <w:r>
        <w:rPr>
          <w:lang w:val="hu-HU"/>
        </w:rPr>
        <w:t>30%-kal</w:t>
      </w:r>
      <w:r>
        <w:rPr>
          <w:spacing w:val="-3"/>
          <w:lang w:val="hu-HU"/>
        </w:rPr>
        <w:t xml:space="preserve"> </w:t>
      </w:r>
      <w:r>
        <w:rPr>
          <w:lang w:val="hu-HU"/>
        </w:rPr>
        <w:t>voltak</w:t>
      </w:r>
      <w:r>
        <w:rPr>
          <w:spacing w:val="-3"/>
          <w:lang w:val="hu-HU"/>
        </w:rPr>
        <w:t xml:space="preserve"> </w:t>
      </w:r>
      <w:r>
        <w:rPr>
          <w:lang w:val="hu-HU"/>
        </w:rPr>
        <w:t>magasabban</w:t>
      </w:r>
      <w:r>
        <w:rPr>
          <w:spacing w:val="-3"/>
          <w:lang w:val="hu-HU"/>
        </w:rPr>
        <w:t xml:space="preserve"> </w:t>
      </w:r>
      <w:r>
        <w:rPr>
          <w:lang w:val="hu-HU"/>
        </w:rPr>
        <w:t>a</w:t>
      </w:r>
      <w:r>
        <w:rPr>
          <w:spacing w:val="-3"/>
          <w:lang w:val="hu-HU"/>
        </w:rPr>
        <w:t xml:space="preserve"> </w:t>
      </w:r>
      <w:r>
        <w:rPr>
          <w:lang w:val="hu-HU"/>
        </w:rPr>
        <w:t>mélyponti</w:t>
      </w:r>
      <w:r>
        <w:rPr>
          <w:spacing w:val="-3"/>
          <w:lang w:val="hu-HU"/>
        </w:rPr>
        <w:t xml:space="preserve"> </w:t>
      </w:r>
      <w:r>
        <w:rPr>
          <w:lang w:val="hu-HU"/>
        </w:rPr>
        <w:t>és</w:t>
      </w:r>
      <w:r>
        <w:rPr>
          <w:spacing w:val="-3"/>
          <w:lang w:val="hu-HU"/>
        </w:rPr>
        <w:t xml:space="preserve"> </w:t>
      </w:r>
      <w:r>
        <w:rPr>
          <w:lang w:val="hu-HU"/>
        </w:rPr>
        <w:t>poszt-dózis koncentrációk. A dózis módosítása nem szükséges (lásd 4.2 pont).</w:t>
      </w:r>
    </w:p>
    <w:p w:rsidR="007D7140" w:rsidRDefault="007D7140">
      <w:pPr>
        <w:rPr>
          <w:lang w:val="hu-HU"/>
        </w:rPr>
      </w:pPr>
    </w:p>
    <w:p w:rsidR="007D7140" w:rsidRDefault="00A207BA">
      <w:pPr>
        <w:rPr>
          <w:i/>
          <w:lang w:val="hu-HU"/>
        </w:rPr>
      </w:pPr>
      <w:r>
        <w:rPr>
          <w:i/>
          <w:u w:val="single"/>
          <w:lang w:val="hu-HU"/>
        </w:rPr>
        <w:t>Etnikai</w:t>
      </w:r>
      <w:r>
        <w:rPr>
          <w:i/>
          <w:spacing w:val="-6"/>
          <w:u w:val="single"/>
          <w:lang w:val="hu-HU"/>
        </w:rPr>
        <w:t xml:space="preserve"> </w:t>
      </w:r>
      <w:r>
        <w:rPr>
          <w:i/>
          <w:u w:val="single"/>
          <w:lang w:val="hu-HU"/>
        </w:rPr>
        <w:t>származás</w:t>
      </w:r>
    </w:p>
    <w:p w:rsidR="007D7140" w:rsidRDefault="00A207BA">
      <w:pPr>
        <w:rPr>
          <w:lang w:val="hu-HU"/>
        </w:rPr>
      </w:pPr>
      <w:r>
        <w:rPr>
          <w:lang w:val="hu-HU"/>
        </w:rPr>
        <w:t>Nem figyeltek meg klinikailag releváns különbséget a dabigatrán farmakokinetikáját és</w:t>
      </w:r>
      <w:r>
        <w:rPr>
          <w:spacing w:val="1"/>
          <w:lang w:val="hu-HU"/>
        </w:rPr>
        <w:t xml:space="preserve"> </w:t>
      </w:r>
      <w:r>
        <w:rPr>
          <w:lang w:val="hu-HU"/>
        </w:rPr>
        <w:t>farmakodinámiáját</w:t>
      </w:r>
      <w:r>
        <w:rPr>
          <w:spacing w:val="-6"/>
          <w:lang w:val="hu-HU"/>
        </w:rPr>
        <w:t xml:space="preserve"> </w:t>
      </w:r>
      <w:r>
        <w:rPr>
          <w:lang w:val="hu-HU"/>
        </w:rPr>
        <w:t>illetően</w:t>
      </w:r>
      <w:r>
        <w:rPr>
          <w:spacing w:val="-5"/>
          <w:lang w:val="hu-HU"/>
        </w:rPr>
        <w:t xml:space="preserve"> </w:t>
      </w:r>
      <w:r>
        <w:rPr>
          <w:lang w:val="hu-HU"/>
        </w:rPr>
        <w:t>a</w:t>
      </w:r>
      <w:r>
        <w:rPr>
          <w:spacing w:val="-5"/>
          <w:lang w:val="hu-HU"/>
        </w:rPr>
        <w:t xml:space="preserve"> </w:t>
      </w:r>
      <w:r>
        <w:rPr>
          <w:lang w:val="hu-HU"/>
        </w:rPr>
        <w:t>fehér bőrű (kaukázusi),</w:t>
      </w:r>
      <w:r>
        <w:rPr>
          <w:spacing w:val="-5"/>
          <w:lang w:val="hu-HU"/>
        </w:rPr>
        <w:t xml:space="preserve"> </w:t>
      </w:r>
      <w:r>
        <w:rPr>
          <w:lang w:val="hu-HU"/>
        </w:rPr>
        <w:t>afro-amerikai,</w:t>
      </w:r>
      <w:r>
        <w:rPr>
          <w:spacing w:val="-5"/>
          <w:lang w:val="hu-HU"/>
        </w:rPr>
        <w:t xml:space="preserve"> </w:t>
      </w:r>
      <w:r>
        <w:rPr>
          <w:lang w:val="hu-HU"/>
        </w:rPr>
        <w:t>hispán,</w:t>
      </w:r>
      <w:r>
        <w:rPr>
          <w:spacing w:val="-6"/>
          <w:lang w:val="hu-HU"/>
        </w:rPr>
        <w:t xml:space="preserve"> </w:t>
      </w:r>
      <w:r>
        <w:rPr>
          <w:lang w:val="hu-HU"/>
        </w:rPr>
        <w:t>japán</w:t>
      </w:r>
      <w:r>
        <w:rPr>
          <w:spacing w:val="-5"/>
          <w:lang w:val="hu-HU"/>
        </w:rPr>
        <w:t xml:space="preserve"> </w:t>
      </w:r>
      <w:r>
        <w:rPr>
          <w:lang w:val="hu-HU"/>
        </w:rPr>
        <w:t>vagy</w:t>
      </w:r>
      <w:r>
        <w:rPr>
          <w:spacing w:val="-5"/>
          <w:lang w:val="hu-HU"/>
        </w:rPr>
        <w:t xml:space="preserve"> </w:t>
      </w:r>
      <w:r>
        <w:rPr>
          <w:lang w:val="hu-HU"/>
        </w:rPr>
        <w:t>kínai</w:t>
      </w:r>
      <w:r>
        <w:rPr>
          <w:spacing w:val="-5"/>
          <w:lang w:val="hu-HU"/>
        </w:rPr>
        <w:t xml:space="preserve"> </w:t>
      </w:r>
      <w:r>
        <w:rPr>
          <w:lang w:val="hu-HU"/>
        </w:rPr>
        <w:t>betegek</w:t>
      </w:r>
      <w:r>
        <w:rPr>
          <w:spacing w:val="-5"/>
          <w:lang w:val="hu-HU"/>
        </w:rPr>
        <w:t xml:space="preserve"> </w:t>
      </w:r>
      <w:r>
        <w:rPr>
          <w:lang w:val="hu-HU"/>
        </w:rPr>
        <w:t>között.</w:t>
      </w:r>
    </w:p>
    <w:p w:rsidR="007D7140" w:rsidRDefault="007D7140">
      <w:pPr>
        <w:rPr>
          <w:lang w:val="hu-HU"/>
        </w:rPr>
      </w:pPr>
    </w:p>
    <w:p w:rsidR="007D7140" w:rsidRDefault="00A207BA">
      <w:pPr>
        <w:rPr>
          <w:i/>
          <w:lang w:val="hu-HU"/>
        </w:rPr>
      </w:pPr>
      <w:r>
        <w:rPr>
          <w:i/>
          <w:u w:val="single"/>
          <w:lang w:val="hu-HU"/>
        </w:rPr>
        <w:t>Gyermekek</w:t>
      </w:r>
      <w:r>
        <w:rPr>
          <w:i/>
          <w:spacing w:val="-4"/>
          <w:u w:val="single"/>
          <w:lang w:val="hu-HU"/>
        </w:rPr>
        <w:t xml:space="preserve"> </w:t>
      </w:r>
      <w:r>
        <w:rPr>
          <w:i/>
          <w:u w:val="single"/>
          <w:lang w:val="hu-HU"/>
        </w:rPr>
        <w:t>és</w:t>
      </w:r>
      <w:r>
        <w:rPr>
          <w:i/>
          <w:spacing w:val="-4"/>
          <w:u w:val="single"/>
          <w:lang w:val="hu-HU"/>
        </w:rPr>
        <w:t xml:space="preserve"> </w:t>
      </w:r>
      <w:r>
        <w:rPr>
          <w:i/>
          <w:u w:val="single"/>
          <w:lang w:val="hu-HU"/>
        </w:rPr>
        <w:t>serdülők</w:t>
      </w:r>
    </w:p>
    <w:p w:rsidR="007D7140" w:rsidRDefault="00A207BA">
      <w:pPr>
        <w:rPr>
          <w:lang w:val="hu-HU"/>
        </w:rPr>
      </w:pPr>
      <w:r>
        <w:rPr>
          <w:lang w:val="hu-HU"/>
        </w:rPr>
        <w:t>A dabigatrán</w:t>
      </w:r>
      <w:r>
        <w:rPr>
          <w:lang w:val="hu-HU"/>
        </w:rPr>
        <w:noBreakHyphen/>
        <w:t>etexilát protokollban meghatározott adagolási algoritmus szerinti orális alkalmazása az MVT/PE miatt kezelt felnőtteknél tapasztalt tartománynak megfelelő expozíciót eredményezett. A</w:t>
      </w:r>
      <w:r>
        <w:rPr>
          <w:spacing w:val="1"/>
          <w:lang w:val="hu-HU"/>
        </w:rPr>
        <w:t xml:space="preserve"> </w:t>
      </w:r>
      <w:r>
        <w:rPr>
          <w:lang w:val="hu-HU"/>
        </w:rPr>
        <w:t>DIVERSITY és az 1160.108 vizsgálat összesített farmakokinetikai adatainak elemzése alapján a</w:t>
      </w:r>
      <w:r>
        <w:rPr>
          <w:spacing w:val="1"/>
          <w:lang w:val="hu-HU"/>
        </w:rPr>
        <w:t xml:space="preserve"> </w:t>
      </w:r>
      <w:r>
        <w:rPr>
          <w:lang w:val="hu-HU"/>
        </w:rPr>
        <w:t>megfigyelt</w:t>
      </w:r>
      <w:r>
        <w:rPr>
          <w:spacing w:val="-3"/>
          <w:lang w:val="hu-HU"/>
        </w:rPr>
        <w:t xml:space="preserve"> </w:t>
      </w:r>
      <w:r>
        <w:rPr>
          <w:lang w:val="hu-HU"/>
        </w:rPr>
        <w:t>mélyponti</w:t>
      </w:r>
      <w:r>
        <w:rPr>
          <w:spacing w:val="-2"/>
          <w:lang w:val="hu-HU"/>
        </w:rPr>
        <w:t xml:space="preserve"> </w:t>
      </w:r>
      <w:r>
        <w:rPr>
          <w:lang w:val="hu-HU"/>
        </w:rPr>
        <w:t>expozíció</w:t>
      </w:r>
      <w:r>
        <w:rPr>
          <w:spacing w:val="-2"/>
          <w:lang w:val="hu-HU"/>
        </w:rPr>
        <w:t xml:space="preserve"> </w:t>
      </w:r>
      <w:r>
        <w:rPr>
          <w:lang w:val="hu-HU"/>
        </w:rPr>
        <w:t>mértani középértéke</w:t>
      </w:r>
      <w:r>
        <w:rPr>
          <w:spacing w:val="-2"/>
          <w:lang w:val="hu-HU"/>
        </w:rPr>
        <w:t xml:space="preserve"> </w:t>
      </w:r>
      <w:r>
        <w:rPr>
          <w:lang w:val="hu-HU"/>
        </w:rPr>
        <w:t>a</w:t>
      </w:r>
      <w:r>
        <w:rPr>
          <w:spacing w:val="-2"/>
          <w:lang w:val="hu-HU"/>
        </w:rPr>
        <w:t xml:space="preserve"> </w:t>
      </w:r>
      <w:r>
        <w:rPr>
          <w:lang w:val="hu-HU"/>
        </w:rPr>
        <w:t>0 </w:t>
      </w:r>
      <w:r>
        <w:rPr>
          <w:lang w:val="hu-HU"/>
        </w:rPr>
        <w:noBreakHyphen/>
        <w:t> &lt; 2</w:t>
      </w:r>
      <w:r>
        <w:rPr>
          <w:spacing w:val="-1"/>
          <w:lang w:val="hu-HU"/>
        </w:rPr>
        <w:t> év</w:t>
      </w:r>
      <w:r>
        <w:rPr>
          <w:lang w:val="hu-HU"/>
        </w:rPr>
        <w:t>eseknél</w:t>
      </w:r>
      <w:r>
        <w:rPr>
          <w:spacing w:val="-2"/>
          <w:lang w:val="hu-HU"/>
        </w:rPr>
        <w:t xml:space="preserve"> </w:t>
      </w:r>
      <w:r>
        <w:rPr>
          <w:lang w:val="hu-HU"/>
        </w:rPr>
        <w:t>53,9 ng/ml,</w:t>
      </w:r>
      <w:r>
        <w:rPr>
          <w:spacing w:val="-2"/>
          <w:lang w:val="hu-HU"/>
        </w:rPr>
        <w:t xml:space="preserve"> </w:t>
      </w:r>
      <w:r>
        <w:rPr>
          <w:lang w:val="hu-HU"/>
        </w:rPr>
        <w:t>a 2 </w:t>
      </w:r>
      <w:r>
        <w:rPr>
          <w:lang w:val="hu-HU"/>
        </w:rPr>
        <w:noBreakHyphen/>
        <w:t> &lt; 12 éveseknél 63,0 ng/ml és a 12 </w:t>
      </w:r>
      <w:r>
        <w:rPr>
          <w:lang w:val="hu-HU"/>
        </w:rPr>
        <w:noBreakHyphen/>
        <w:t> &lt; 18 éveseknél 99,1 ng/ml volt a gyermek- és serdülőkorú VTE</w:t>
      </w:r>
      <w:r>
        <w:rPr>
          <w:lang w:val="hu-HU"/>
        </w:rPr>
        <w:noBreakHyphen/>
        <w:t>betegek</w:t>
      </w:r>
      <w:r>
        <w:rPr>
          <w:spacing w:val="-1"/>
          <w:lang w:val="hu-HU"/>
        </w:rPr>
        <w:t xml:space="preserve"> </w:t>
      </w:r>
      <w:r>
        <w:rPr>
          <w:lang w:val="hu-HU"/>
        </w:rPr>
        <w:t>körében.</w:t>
      </w:r>
    </w:p>
    <w:p w:rsidR="007D7140" w:rsidRDefault="007D7140">
      <w:pPr>
        <w:rPr>
          <w:lang w:val="hu-HU"/>
        </w:rPr>
      </w:pPr>
    </w:p>
    <w:p w:rsidR="007D7140" w:rsidRDefault="00A207BA">
      <w:pPr>
        <w:rPr>
          <w:lang w:val="hu-HU"/>
        </w:rPr>
      </w:pPr>
      <w:r>
        <w:rPr>
          <w:u w:val="single"/>
          <w:lang w:val="hu-HU"/>
        </w:rPr>
        <w:t>Farmakokinetikai</w:t>
      </w:r>
      <w:r>
        <w:rPr>
          <w:spacing w:val="-9"/>
          <w:u w:val="single"/>
          <w:lang w:val="hu-HU"/>
        </w:rPr>
        <w:t xml:space="preserve"> </w:t>
      </w:r>
      <w:r>
        <w:rPr>
          <w:u w:val="single"/>
          <w:lang w:val="hu-HU"/>
        </w:rPr>
        <w:t>interakciók</w:t>
      </w:r>
    </w:p>
    <w:p w:rsidR="007D7140" w:rsidRDefault="007D7140">
      <w:pPr>
        <w:rPr>
          <w:lang w:val="hu-HU"/>
        </w:rPr>
      </w:pPr>
    </w:p>
    <w:p w:rsidR="007D7140" w:rsidRDefault="00A207BA">
      <w:pPr>
        <w:rPr>
          <w:lang w:val="hu-HU"/>
        </w:rPr>
      </w:pPr>
      <w:r>
        <w:rPr>
          <w:lang w:val="hu-HU"/>
        </w:rPr>
        <w:t xml:space="preserve">Az </w:t>
      </w:r>
      <w:r>
        <w:rPr>
          <w:i/>
          <w:lang w:val="hu-HU"/>
        </w:rPr>
        <w:t xml:space="preserve">in vitro </w:t>
      </w:r>
      <w:r>
        <w:rPr>
          <w:lang w:val="hu-HU"/>
        </w:rPr>
        <w:t>interakciós vizsgálatok nem igazolták a citokróm P450 fő izoenzimeinek gátlását vagy</w:t>
      </w:r>
      <w:r>
        <w:rPr>
          <w:spacing w:val="1"/>
          <w:lang w:val="hu-HU"/>
        </w:rPr>
        <w:t xml:space="preserve"> </w:t>
      </w:r>
      <w:r>
        <w:rPr>
          <w:lang w:val="hu-HU"/>
        </w:rPr>
        <w:t xml:space="preserve">indukcióját. Ezt megerősítették az egészséges önkéntesekkel végzett </w:t>
      </w:r>
      <w:r>
        <w:rPr>
          <w:i/>
          <w:lang w:val="hu-HU"/>
        </w:rPr>
        <w:t xml:space="preserve">in vivo </w:t>
      </w:r>
      <w:r>
        <w:rPr>
          <w:lang w:val="hu-HU"/>
        </w:rPr>
        <w:t>vizsgálatok, amelyekben nem észleltek interakciót a kezelés és a következő hatóanyagok között: atorvasztatin (CYP3A4),</w:t>
      </w:r>
      <w:r>
        <w:rPr>
          <w:spacing w:val="1"/>
          <w:lang w:val="hu-HU"/>
        </w:rPr>
        <w:t xml:space="preserve"> </w:t>
      </w:r>
      <w:r>
        <w:rPr>
          <w:lang w:val="hu-HU"/>
        </w:rPr>
        <w:t>digoxin</w:t>
      </w:r>
      <w:r>
        <w:rPr>
          <w:spacing w:val="-1"/>
          <w:lang w:val="hu-HU"/>
        </w:rPr>
        <w:t xml:space="preserve"> </w:t>
      </w:r>
      <w:r>
        <w:rPr>
          <w:lang w:val="hu-HU"/>
        </w:rPr>
        <w:t>(P-gp</w:t>
      </w:r>
      <w:r>
        <w:rPr>
          <w:spacing w:val="-1"/>
          <w:lang w:val="hu-HU"/>
        </w:rPr>
        <w:t xml:space="preserve"> </w:t>
      </w:r>
      <w:r>
        <w:rPr>
          <w:lang w:val="hu-HU"/>
        </w:rPr>
        <w:t>transzporter</w:t>
      </w:r>
      <w:r>
        <w:rPr>
          <w:spacing w:val="-2"/>
          <w:lang w:val="hu-HU"/>
        </w:rPr>
        <w:t xml:space="preserve"> </w:t>
      </w:r>
      <w:r>
        <w:rPr>
          <w:lang w:val="hu-HU"/>
        </w:rPr>
        <w:t>interakció)</w:t>
      </w:r>
      <w:r>
        <w:rPr>
          <w:spacing w:val="-1"/>
          <w:lang w:val="hu-HU"/>
        </w:rPr>
        <w:t xml:space="preserve"> </w:t>
      </w:r>
      <w:r>
        <w:rPr>
          <w:lang w:val="hu-HU"/>
        </w:rPr>
        <w:t>és</w:t>
      </w:r>
      <w:r>
        <w:rPr>
          <w:spacing w:val="-1"/>
          <w:lang w:val="hu-HU"/>
        </w:rPr>
        <w:t xml:space="preserve"> </w:t>
      </w:r>
      <w:r>
        <w:rPr>
          <w:lang w:val="hu-HU"/>
        </w:rPr>
        <w:t>diklofenák</w:t>
      </w:r>
      <w:r>
        <w:rPr>
          <w:spacing w:val="-2"/>
          <w:lang w:val="hu-HU"/>
        </w:rPr>
        <w:t xml:space="preserve"> </w:t>
      </w:r>
      <w:r>
        <w:rPr>
          <w:lang w:val="hu-HU"/>
        </w:rPr>
        <w:t>(CYP2C9).</w:t>
      </w:r>
    </w:p>
    <w:p w:rsidR="007D7140" w:rsidRDefault="007D7140">
      <w:pPr>
        <w:rPr>
          <w:lang w:val="hu-HU"/>
        </w:rPr>
      </w:pPr>
    </w:p>
    <w:p w:rsidR="007D7140" w:rsidRDefault="00A207BA">
      <w:pPr>
        <w:tabs>
          <w:tab w:val="left" w:pos="567"/>
        </w:tabs>
        <w:rPr>
          <w:b/>
          <w:bCs/>
          <w:lang w:val="hu-HU"/>
        </w:rPr>
      </w:pPr>
      <w:r>
        <w:rPr>
          <w:b/>
          <w:bCs/>
          <w:lang w:val="hu-HU"/>
        </w:rPr>
        <w:t xml:space="preserve">5.3 </w:t>
      </w:r>
      <w:r>
        <w:rPr>
          <w:b/>
          <w:bCs/>
          <w:lang w:val="hu-HU"/>
        </w:rPr>
        <w:tab/>
        <w:t>A</w:t>
      </w:r>
      <w:r>
        <w:rPr>
          <w:b/>
          <w:bCs/>
          <w:spacing w:val="-6"/>
          <w:lang w:val="hu-HU"/>
        </w:rPr>
        <w:t xml:space="preserve"> </w:t>
      </w:r>
      <w:r>
        <w:rPr>
          <w:b/>
          <w:bCs/>
          <w:lang w:val="hu-HU"/>
        </w:rPr>
        <w:t>preklinikai</w:t>
      </w:r>
      <w:r>
        <w:rPr>
          <w:b/>
          <w:bCs/>
          <w:spacing w:val="-6"/>
          <w:lang w:val="hu-HU"/>
        </w:rPr>
        <w:t xml:space="preserve"> </w:t>
      </w:r>
      <w:r>
        <w:rPr>
          <w:b/>
          <w:bCs/>
          <w:lang w:val="hu-HU"/>
        </w:rPr>
        <w:t>biztonságossági</w:t>
      </w:r>
      <w:r>
        <w:rPr>
          <w:b/>
          <w:bCs/>
          <w:spacing w:val="-6"/>
          <w:lang w:val="hu-HU"/>
        </w:rPr>
        <w:t xml:space="preserve"> </w:t>
      </w:r>
      <w:r>
        <w:rPr>
          <w:b/>
          <w:bCs/>
          <w:lang w:val="hu-HU"/>
        </w:rPr>
        <w:t>vizsgálatok</w:t>
      </w:r>
      <w:r>
        <w:rPr>
          <w:b/>
          <w:bCs/>
          <w:spacing w:val="-6"/>
          <w:lang w:val="hu-HU"/>
        </w:rPr>
        <w:t xml:space="preserve"> </w:t>
      </w:r>
      <w:r>
        <w:rPr>
          <w:b/>
          <w:bCs/>
          <w:lang w:val="hu-HU"/>
        </w:rPr>
        <w:t>eredményei</w:t>
      </w:r>
    </w:p>
    <w:p w:rsidR="007D7140" w:rsidRDefault="007D7140">
      <w:pPr>
        <w:rPr>
          <w:lang w:val="hu-HU"/>
        </w:rPr>
      </w:pPr>
    </w:p>
    <w:p w:rsidR="007D7140" w:rsidRDefault="00A207BA">
      <w:pPr>
        <w:rPr>
          <w:lang w:val="hu-HU"/>
        </w:rPr>
      </w:pPr>
      <w:r>
        <w:rPr>
          <w:lang w:val="hu-HU"/>
        </w:rPr>
        <w:t>A hagyományos – farmakológiai biztonságossági, ismételt dózistoxicitási és genotoxicitási –</w:t>
      </w:r>
      <w:r>
        <w:rPr>
          <w:spacing w:val="-57"/>
          <w:lang w:val="hu-HU"/>
        </w:rPr>
        <w:t xml:space="preserve"> </w:t>
      </w:r>
      <w:r>
        <w:rPr>
          <w:lang w:val="hu-HU"/>
        </w:rPr>
        <w:t>vizsgálatokból származó nem klinikai jellegű adatok azt igazolták, hogy a készítmény</w:t>
      </w:r>
      <w:r>
        <w:rPr>
          <w:spacing w:val="1"/>
          <w:lang w:val="hu-HU"/>
        </w:rPr>
        <w:t xml:space="preserve"> </w:t>
      </w:r>
      <w:r>
        <w:rPr>
          <w:lang w:val="hu-HU"/>
        </w:rPr>
        <w:t>alkalmazásakor</w:t>
      </w:r>
      <w:r>
        <w:rPr>
          <w:spacing w:val="-2"/>
          <w:lang w:val="hu-HU"/>
        </w:rPr>
        <w:t xml:space="preserve"> </w:t>
      </w:r>
      <w:r>
        <w:rPr>
          <w:lang w:val="hu-HU"/>
        </w:rPr>
        <w:t>humán vonatkozásban</w:t>
      </w:r>
      <w:r>
        <w:rPr>
          <w:spacing w:val="-1"/>
          <w:lang w:val="hu-HU"/>
        </w:rPr>
        <w:t xml:space="preserve"> </w:t>
      </w:r>
      <w:r>
        <w:rPr>
          <w:lang w:val="hu-HU"/>
        </w:rPr>
        <w:t>különleges kockázat</w:t>
      </w:r>
      <w:r>
        <w:rPr>
          <w:spacing w:val="-1"/>
          <w:lang w:val="hu-HU"/>
        </w:rPr>
        <w:t xml:space="preserve"> </w:t>
      </w:r>
      <w:r>
        <w:rPr>
          <w:lang w:val="hu-HU"/>
        </w:rPr>
        <w:t>nem várható.</w:t>
      </w:r>
    </w:p>
    <w:p w:rsidR="007D7140" w:rsidRDefault="007D7140">
      <w:pPr>
        <w:rPr>
          <w:lang w:val="hu-HU"/>
        </w:rPr>
      </w:pPr>
    </w:p>
    <w:p w:rsidR="007D7140" w:rsidRDefault="00A207BA">
      <w:pPr>
        <w:rPr>
          <w:lang w:val="hu-HU"/>
        </w:rPr>
      </w:pPr>
      <w:r>
        <w:rPr>
          <w:lang w:val="hu-HU"/>
        </w:rPr>
        <w:t>Az ismételt dózistoxicitási vizsgálatokban megfigyelt hatások a dabigatrán felerősödött farmakodinámiás</w:t>
      </w:r>
      <w:r>
        <w:rPr>
          <w:spacing w:val="-2"/>
          <w:lang w:val="hu-HU"/>
        </w:rPr>
        <w:t xml:space="preserve"> </w:t>
      </w:r>
      <w:r>
        <w:rPr>
          <w:lang w:val="hu-HU"/>
        </w:rPr>
        <w:t>hatásának</w:t>
      </w:r>
      <w:r>
        <w:rPr>
          <w:spacing w:val="-1"/>
          <w:lang w:val="hu-HU"/>
        </w:rPr>
        <w:t xml:space="preserve"> </w:t>
      </w:r>
      <w:r>
        <w:rPr>
          <w:lang w:val="hu-HU"/>
        </w:rPr>
        <w:t>következtében</w:t>
      </w:r>
      <w:r>
        <w:rPr>
          <w:spacing w:val="-2"/>
          <w:lang w:val="hu-HU"/>
        </w:rPr>
        <w:t xml:space="preserve"> </w:t>
      </w:r>
      <w:r>
        <w:rPr>
          <w:lang w:val="hu-HU"/>
        </w:rPr>
        <w:t>alakultak</w:t>
      </w:r>
      <w:r>
        <w:rPr>
          <w:spacing w:val="-1"/>
          <w:lang w:val="hu-HU"/>
        </w:rPr>
        <w:t xml:space="preserve"> </w:t>
      </w:r>
      <w:r>
        <w:rPr>
          <w:lang w:val="hu-HU"/>
        </w:rPr>
        <w:t>ki.</w:t>
      </w:r>
    </w:p>
    <w:p w:rsidR="007D7140" w:rsidRDefault="007D7140">
      <w:pPr>
        <w:rPr>
          <w:lang w:val="hu-HU"/>
        </w:rPr>
      </w:pPr>
    </w:p>
    <w:p w:rsidR="007D7140" w:rsidRDefault="00A207BA">
      <w:pPr>
        <w:rPr>
          <w:lang w:val="hu-HU"/>
        </w:rPr>
      </w:pPr>
      <w:r>
        <w:rPr>
          <w:lang w:val="hu-HU"/>
        </w:rPr>
        <w:t>A nőstények termékenységére kifejtett hatást figyeltek meg csökkent implantációs arány és a</w:t>
      </w:r>
      <w:r>
        <w:rPr>
          <w:spacing w:val="1"/>
          <w:lang w:val="hu-HU"/>
        </w:rPr>
        <w:t xml:space="preserve"> </w:t>
      </w:r>
      <w:r>
        <w:rPr>
          <w:lang w:val="hu-HU"/>
        </w:rPr>
        <w:t>preimplantációs veszteség növekedésének formájában a 70 mg/kg</w:t>
      </w:r>
      <w:r>
        <w:rPr>
          <w:lang w:val="hu-HU"/>
        </w:rPr>
        <w:noBreakHyphen/>
        <w:t>os (a betegeknél megfigyelt</w:t>
      </w:r>
      <w:r>
        <w:rPr>
          <w:spacing w:val="1"/>
          <w:lang w:val="hu-HU"/>
        </w:rPr>
        <w:t xml:space="preserve"> </w:t>
      </w:r>
      <w:r>
        <w:rPr>
          <w:lang w:val="hu-HU"/>
        </w:rPr>
        <w:t>plazma expozíciós szintnél 5</w:t>
      </w:r>
      <w:r>
        <w:rPr>
          <w:lang w:val="hu-HU"/>
        </w:rPr>
        <w:noBreakHyphen/>
        <w:t>ször nagyobb) dózisoknál. Az anyára nézve toxikus dózisok (a</w:t>
      </w:r>
      <w:r>
        <w:rPr>
          <w:spacing w:val="1"/>
          <w:lang w:val="hu-HU"/>
        </w:rPr>
        <w:t xml:space="preserve"> </w:t>
      </w:r>
      <w:r>
        <w:rPr>
          <w:lang w:val="hu-HU"/>
        </w:rPr>
        <w:t>betegeknél megfigyelt plazma expozíció 5</w:t>
      </w:r>
      <w:r>
        <w:rPr>
          <w:lang w:val="hu-HU"/>
        </w:rPr>
        <w:noBreakHyphen/>
        <w:t>10</w:t>
      </w:r>
      <w:r>
        <w:rPr>
          <w:lang w:val="hu-HU"/>
        </w:rPr>
        <w:noBreakHyphen/>
        <w:t>szerese) esetén patkányoknál és nyulaknál a magzati</w:t>
      </w:r>
      <w:r>
        <w:rPr>
          <w:spacing w:val="1"/>
          <w:lang w:val="hu-HU"/>
        </w:rPr>
        <w:t xml:space="preserve"> </w:t>
      </w:r>
      <w:r>
        <w:rPr>
          <w:lang w:val="hu-HU"/>
        </w:rPr>
        <w:t>testtömeg és életképesség csökkenését, valamint a foetalis elváltozások számának növekedését figyelték meg. A pre-</w:t>
      </w:r>
      <w:r>
        <w:rPr>
          <w:spacing w:val="-2"/>
          <w:lang w:val="hu-HU"/>
        </w:rPr>
        <w:t xml:space="preserve"> </w:t>
      </w:r>
      <w:r>
        <w:rPr>
          <w:lang w:val="hu-HU"/>
        </w:rPr>
        <w:t>és</w:t>
      </w:r>
      <w:r>
        <w:rPr>
          <w:spacing w:val="1"/>
          <w:lang w:val="hu-HU"/>
        </w:rPr>
        <w:t xml:space="preserve"> </w:t>
      </w:r>
      <w:r>
        <w:rPr>
          <w:lang w:val="hu-HU"/>
        </w:rPr>
        <w:t>posztnatális</w:t>
      </w:r>
      <w:r>
        <w:rPr>
          <w:spacing w:val="1"/>
          <w:lang w:val="hu-HU"/>
        </w:rPr>
        <w:t xml:space="preserve"> </w:t>
      </w:r>
      <w:r>
        <w:rPr>
          <w:lang w:val="hu-HU"/>
        </w:rPr>
        <w:t>vizsgálatban</w:t>
      </w:r>
      <w:r>
        <w:rPr>
          <w:spacing w:val="1"/>
          <w:lang w:val="hu-HU"/>
        </w:rPr>
        <w:t xml:space="preserve"> </w:t>
      </w:r>
      <w:r>
        <w:rPr>
          <w:lang w:val="hu-HU"/>
        </w:rPr>
        <w:t>fokozott</w:t>
      </w:r>
      <w:r>
        <w:rPr>
          <w:spacing w:val="1"/>
          <w:lang w:val="hu-HU"/>
        </w:rPr>
        <w:t xml:space="preserve"> </w:t>
      </w:r>
      <w:r>
        <w:rPr>
          <w:lang w:val="hu-HU"/>
        </w:rPr>
        <w:t>magzati</w:t>
      </w:r>
      <w:r>
        <w:rPr>
          <w:spacing w:val="1"/>
          <w:lang w:val="hu-HU"/>
        </w:rPr>
        <w:t xml:space="preserve"> </w:t>
      </w:r>
      <w:r>
        <w:rPr>
          <w:lang w:val="hu-HU"/>
        </w:rPr>
        <w:t>mortalitást</w:t>
      </w:r>
      <w:r>
        <w:rPr>
          <w:spacing w:val="2"/>
          <w:lang w:val="hu-HU"/>
        </w:rPr>
        <w:t xml:space="preserve"> </w:t>
      </w:r>
      <w:r>
        <w:rPr>
          <w:lang w:val="hu-HU"/>
        </w:rPr>
        <w:t>észleltek</w:t>
      </w:r>
      <w:r>
        <w:rPr>
          <w:spacing w:val="1"/>
          <w:lang w:val="hu-HU"/>
        </w:rPr>
        <w:t xml:space="preserve"> az </w:t>
      </w:r>
      <w:r>
        <w:rPr>
          <w:lang w:val="hu-HU"/>
        </w:rPr>
        <w:t>anyára nézve</w:t>
      </w:r>
      <w:r>
        <w:rPr>
          <w:spacing w:val="1"/>
          <w:lang w:val="hu-HU"/>
        </w:rPr>
        <w:t xml:space="preserve"> </w:t>
      </w:r>
      <w:r>
        <w:rPr>
          <w:lang w:val="hu-HU"/>
        </w:rPr>
        <w:t>toxikus</w:t>
      </w:r>
      <w:r>
        <w:rPr>
          <w:spacing w:val="1"/>
          <w:lang w:val="hu-HU"/>
        </w:rPr>
        <w:t xml:space="preserve"> </w:t>
      </w:r>
      <w:r>
        <w:rPr>
          <w:lang w:val="hu-HU"/>
        </w:rPr>
        <w:t>dózisok</w:t>
      </w:r>
      <w:r>
        <w:rPr>
          <w:spacing w:val="1"/>
          <w:lang w:val="hu-HU"/>
        </w:rPr>
        <w:t xml:space="preserve"> </w:t>
      </w:r>
      <w:r>
        <w:rPr>
          <w:lang w:val="hu-HU"/>
        </w:rPr>
        <w:t>esetén</w:t>
      </w:r>
      <w:r>
        <w:rPr>
          <w:spacing w:val="1"/>
          <w:lang w:val="hu-HU"/>
        </w:rPr>
        <w:t xml:space="preserve"> </w:t>
      </w:r>
      <w:r>
        <w:rPr>
          <w:lang w:val="hu-HU"/>
        </w:rPr>
        <w:t>(ez</w:t>
      </w:r>
      <w:r>
        <w:rPr>
          <w:spacing w:val="-2"/>
          <w:lang w:val="hu-HU"/>
        </w:rPr>
        <w:t xml:space="preserve"> </w:t>
      </w:r>
      <w:r>
        <w:rPr>
          <w:lang w:val="hu-HU"/>
        </w:rPr>
        <w:t>a</w:t>
      </w:r>
      <w:r>
        <w:rPr>
          <w:spacing w:val="-2"/>
          <w:lang w:val="hu-HU"/>
        </w:rPr>
        <w:t xml:space="preserve"> </w:t>
      </w:r>
      <w:r>
        <w:rPr>
          <w:lang w:val="hu-HU"/>
        </w:rPr>
        <w:t>dózis</w:t>
      </w:r>
      <w:r>
        <w:rPr>
          <w:spacing w:val="-3"/>
          <w:lang w:val="hu-HU"/>
        </w:rPr>
        <w:t xml:space="preserve"> </w:t>
      </w:r>
      <w:r>
        <w:rPr>
          <w:lang w:val="hu-HU"/>
        </w:rPr>
        <w:t>megfelel</w:t>
      </w:r>
      <w:r>
        <w:rPr>
          <w:spacing w:val="-3"/>
          <w:lang w:val="hu-HU"/>
        </w:rPr>
        <w:t xml:space="preserve"> </w:t>
      </w:r>
      <w:r>
        <w:rPr>
          <w:lang w:val="hu-HU"/>
        </w:rPr>
        <w:t>a</w:t>
      </w:r>
      <w:r>
        <w:rPr>
          <w:spacing w:val="-3"/>
          <w:lang w:val="hu-HU"/>
        </w:rPr>
        <w:t xml:space="preserve"> </w:t>
      </w:r>
      <w:r>
        <w:rPr>
          <w:lang w:val="hu-HU"/>
        </w:rPr>
        <w:t>betegeknél</w:t>
      </w:r>
      <w:r>
        <w:rPr>
          <w:spacing w:val="-3"/>
          <w:lang w:val="hu-HU"/>
        </w:rPr>
        <w:t xml:space="preserve"> </w:t>
      </w:r>
      <w:r>
        <w:rPr>
          <w:lang w:val="hu-HU"/>
        </w:rPr>
        <w:t>megfigyelt</w:t>
      </w:r>
      <w:r>
        <w:rPr>
          <w:spacing w:val="-3"/>
          <w:lang w:val="hu-HU"/>
        </w:rPr>
        <w:t xml:space="preserve"> </w:t>
      </w:r>
      <w:r>
        <w:rPr>
          <w:lang w:val="hu-HU"/>
        </w:rPr>
        <w:t>dózisoknál</w:t>
      </w:r>
      <w:r>
        <w:rPr>
          <w:spacing w:val="-3"/>
          <w:lang w:val="hu-HU"/>
        </w:rPr>
        <w:t xml:space="preserve"> </w:t>
      </w:r>
      <w:r>
        <w:rPr>
          <w:lang w:val="hu-HU"/>
        </w:rPr>
        <w:t>4</w:t>
      </w:r>
      <w:r>
        <w:rPr>
          <w:lang w:val="hu-HU"/>
        </w:rPr>
        <w:noBreakHyphen/>
        <w:t>szer</w:t>
      </w:r>
      <w:r>
        <w:rPr>
          <w:spacing w:val="-2"/>
          <w:lang w:val="hu-HU"/>
        </w:rPr>
        <w:t xml:space="preserve"> </w:t>
      </w:r>
      <w:r>
        <w:rPr>
          <w:lang w:val="hu-HU"/>
        </w:rPr>
        <w:t>nagyobb</w:t>
      </w:r>
      <w:r>
        <w:rPr>
          <w:spacing w:val="-3"/>
          <w:lang w:val="hu-HU"/>
        </w:rPr>
        <w:t xml:space="preserve"> </w:t>
      </w:r>
      <w:r>
        <w:rPr>
          <w:lang w:val="hu-HU"/>
        </w:rPr>
        <w:t>plazma</w:t>
      </w:r>
      <w:r>
        <w:rPr>
          <w:lang w:val="hu-HU"/>
        </w:rPr>
        <w:noBreakHyphen/>
        <w:t>expozíciónak).</w:t>
      </w:r>
    </w:p>
    <w:p w:rsidR="007D7140" w:rsidRDefault="007D7140">
      <w:pPr>
        <w:rPr>
          <w:lang w:val="hu-HU"/>
        </w:rPr>
      </w:pPr>
    </w:p>
    <w:p w:rsidR="007D7140" w:rsidRDefault="00A207BA">
      <w:pPr>
        <w:rPr>
          <w:lang w:val="hu-HU"/>
        </w:rPr>
      </w:pPr>
      <w:bookmarkStart w:id="18" w:name="_Hlk139032607"/>
      <w:r>
        <w:rPr>
          <w:lang w:val="hu-HU"/>
        </w:rPr>
        <w:t>Egy, Han Wistar patkányokon végzett juvenilis toxicitási vizsgálatban, a mortalitást</w:t>
      </w:r>
      <w:r>
        <w:rPr>
          <w:spacing w:val="1"/>
          <w:lang w:val="hu-HU"/>
        </w:rPr>
        <w:t xml:space="preserve"> azokkal a </w:t>
      </w:r>
      <w:r>
        <w:rPr>
          <w:lang w:val="hu-HU"/>
        </w:rPr>
        <w:t>vérzéses eseményekkel hozták összefüggésbe, amelyek esetében az expozíciók hasonlóak voltak a</w:t>
      </w:r>
      <w:r>
        <w:rPr>
          <w:spacing w:val="3"/>
          <w:lang w:val="hu-HU"/>
        </w:rPr>
        <w:t xml:space="preserve"> </w:t>
      </w:r>
      <w:r>
        <w:rPr>
          <w:lang w:val="hu-HU"/>
        </w:rPr>
        <w:t>felnőtt</w:t>
      </w:r>
      <w:r>
        <w:rPr>
          <w:spacing w:val="2"/>
          <w:lang w:val="hu-HU"/>
        </w:rPr>
        <w:t xml:space="preserve"> </w:t>
      </w:r>
      <w:r>
        <w:rPr>
          <w:lang w:val="hu-HU"/>
        </w:rPr>
        <w:t>állatoknál</w:t>
      </w:r>
      <w:r>
        <w:rPr>
          <w:spacing w:val="2"/>
          <w:lang w:val="hu-HU"/>
        </w:rPr>
        <w:t xml:space="preserve"> </w:t>
      </w:r>
      <w:r>
        <w:rPr>
          <w:lang w:val="hu-HU"/>
        </w:rPr>
        <w:t>vérzést</w:t>
      </w:r>
      <w:r>
        <w:rPr>
          <w:spacing w:val="3"/>
          <w:lang w:val="hu-HU"/>
        </w:rPr>
        <w:t xml:space="preserve"> </w:t>
      </w:r>
      <w:r>
        <w:rPr>
          <w:lang w:val="hu-HU"/>
        </w:rPr>
        <w:t xml:space="preserve">előidéző szintekhez. </w:t>
      </w:r>
      <w:r>
        <w:rPr>
          <w:spacing w:val="2"/>
          <w:lang w:val="hu-HU"/>
        </w:rPr>
        <w:t>A</w:t>
      </w:r>
      <w:r>
        <w:rPr>
          <w:lang w:val="hu-HU"/>
        </w:rPr>
        <w:t xml:space="preserve"> mortalitást mind a felnőtt, mind</w:t>
      </w:r>
      <w:r>
        <w:rPr>
          <w:spacing w:val="2"/>
          <w:lang w:val="hu-HU"/>
        </w:rPr>
        <w:t xml:space="preserve"> </w:t>
      </w:r>
      <w:r>
        <w:rPr>
          <w:lang w:val="hu-HU"/>
        </w:rPr>
        <w:t>a</w:t>
      </w:r>
      <w:r>
        <w:rPr>
          <w:spacing w:val="3"/>
          <w:lang w:val="hu-HU"/>
        </w:rPr>
        <w:t xml:space="preserve"> </w:t>
      </w:r>
      <w:r>
        <w:rPr>
          <w:lang w:val="hu-HU"/>
        </w:rPr>
        <w:t>juvenilis</w:t>
      </w:r>
      <w:r>
        <w:rPr>
          <w:spacing w:val="2"/>
          <w:lang w:val="hu-HU"/>
        </w:rPr>
        <w:t xml:space="preserve"> </w:t>
      </w:r>
      <w:r>
        <w:rPr>
          <w:lang w:val="hu-HU"/>
        </w:rPr>
        <w:t>patkányoknál</w:t>
      </w:r>
      <w:r>
        <w:rPr>
          <w:spacing w:val="2"/>
          <w:lang w:val="hu-HU"/>
        </w:rPr>
        <w:t xml:space="preserve"> </w:t>
      </w:r>
      <w:r>
        <w:rPr>
          <w:lang w:val="hu-HU"/>
        </w:rPr>
        <w:t>a dabigatrán felerősödött farmakológiai hatásának tulajdonították, ami a beadással és</w:t>
      </w:r>
      <w:r>
        <w:rPr>
          <w:spacing w:val="1"/>
          <w:lang w:val="hu-HU"/>
        </w:rPr>
        <w:t xml:space="preserve"> </w:t>
      </w:r>
      <w:r>
        <w:rPr>
          <w:lang w:val="hu-HU"/>
        </w:rPr>
        <w:t xml:space="preserve">kezeléssel összefüggő mechanikai erőhatásokkal állt összefüggésben. A juvenilis toxicitási vizsgálatok </w:t>
      </w:r>
      <w:r>
        <w:rPr>
          <w:lang w:val="hu-HU"/>
        </w:rPr>
        <w:lastRenderedPageBreak/>
        <w:t>adatai nem</w:t>
      </w:r>
      <w:r>
        <w:rPr>
          <w:spacing w:val="5"/>
          <w:lang w:val="hu-HU"/>
        </w:rPr>
        <w:t xml:space="preserve"> </w:t>
      </w:r>
      <w:r>
        <w:rPr>
          <w:lang w:val="hu-HU"/>
        </w:rPr>
        <w:t>utaltak</w:t>
      </w:r>
      <w:r>
        <w:rPr>
          <w:spacing w:val="5"/>
          <w:lang w:val="hu-HU"/>
        </w:rPr>
        <w:t xml:space="preserve"> </w:t>
      </w:r>
      <w:r>
        <w:rPr>
          <w:lang w:val="hu-HU"/>
        </w:rPr>
        <w:t>a</w:t>
      </w:r>
      <w:r>
        <w:rPr>
          <w:spacing w:val="5"/>
          <w:lang w:val="hu-HU"/>
        </w:rPr>
        <w:t xml:space="preserve"> </w:t>
      </w:r>
      <w:r>
        <w:rPr>
          <w:lang w:val="hu-HU"/>
        </w:rPr>
        <w:t>toxicitásra</w:t>
      </w:r>
      <w:r>
        <w:rPr>
          <w:spacing w:val="4"/>
          <w:lang w:val="hu-HU"/>
        </w:rPr>
        <w:t xml:space="preserve"> </w:t>
      </w:r>
      <w:r>
        <w:rPr>
          <w:lang w:val="hu-HU"/>
        </w:rPr>
        <w:t>való</w:t>
      </w:r>
      <w:r>
        <w:rPr>
          <w:spacing w:val="5"/>
          <w:lang w:val="hu-HU"/>
        </w:rPr>
        <w:t xml:space="preserve"> </w:t>
      </w:r>
      <w:r>
        <w:rPr>
          <w:lang w:val="hu-HU"/>
        </w:rPr>
        <w:t>fokozott</w:t>
      </w:r>
      <w:r>
        <w:rPr>
          <w:spacing w:val="5"/>
          <w:lang w:val="hu-HU"/>
        </w:rPr>
        <w:t xml:space="preserve"> </w:t>
      </w:r>
      <w:r>
        <w:rPr>
          <w:lang w:val="hu-HU"/>
        </w:rPr>
        <w:t>érzékenységre,</w:t>
      </w:r>
      <w:r>
        <w:rPr>
          <w:spacing w:val="5"/>
          <w:lang w:val="hu-HU"/>
        </w:rPr>
        <w:t xml:space="preserve"> </w:t>
      </w:r>
      <w:r>
        <w:rPr>
          <w:lang w:val="hu-HU"/>
        </w:rPr>
        <w:t>sem</w:t>
      </w:r>
      <w:r>
        <w:rPr>
          <w:spacing w:val="4"/>
          <w:lang w:val="hu-HU"/>
        </w:rPr>
        <w:t xml:space="preserve"> </w:t>
      </w:r>
      <w:r>
        <w:rPr>
          <w:lang w:val="hu-HU"/>
        </w:rPr>
        <w:t>pedig</w:t>
      </w:r>
      <w:r>
        <w:rPr>
          <w:spacing w:val="5"/>
          <w:lang w:val="hu-HU"/>
        </w:rPr>
        <w:t xml:space="preserve"> </w:t>
      </w:r>
      <w:r>
        <w:rPr>
          <w:lang w:val="hu-HU"/>
        </w:rPr>
        <w:t>juvenilis</w:t>
      </w:r>
      <w:r>
        <w:rPr>
          <w:spacing w:val="5"/>
          <w:lang w:val="hu-HU"/>
        </w:rPr>
        <w:t xml:space="preserve"> </w:t>
      </w:r>
      <w:r>
        <w:rPr>
          <w:lang w:val="hu-HU"/>
        </w:rPr>
        <w:t>állatokra</w:t>
      </w:r>
      <w:r>
        <w:rPr>
          <w:spacing w:val="1"/>
          <w:lang w:val="hu-HU"/>
        </w:rPr>
        <w:t xml:space="preserve"> </w:t>
      </w:r>
      <w:r>
        <w:rPr>
          <w:lang w:val="hu-HU"/>
        </w:rPr>
        <w:t>specifikusan</w:t>
      </w:r>
      <w:r>
        <w:rPr>
          <w:spacing w:val="-2"/>
          <w:lang w:val="hu-HU"/>
        </w:rPr>
        <w:t xml:space="preserve"> </w:t>
      </w:r>
      <w:r>
        <w:rPr>
          <w:lang w:val="hu-HU"/>
        </w:rPr>
        <w:t>jellemző</w:t>
      </w:r>
      <w:r>
        <w:rPr>
          <w:spacing w:val="-1"/>
          <w:lang w:val="hu-HU"/>
        </w:rPr>
        <w:t xml:space="preserve"> </w:t>
      </w:r>
      <w:r>
        <w:rPr>
          <w:lang w:val="hu-HU"/>
        </w:rPr>
        <w:t>toxicitásra.</w:t>
      </w:r>
    </w:p>
    <w:bookmarkEnd w:id="18"/>
    <w:p w:rsidR="007D7140" w:rsidRDefault="007D7140">
      <w:pPr>
        <w:rPr>
          <w:lang w:val="hu-HU"/>
        </w:rPr>
      </w:pPr>
    </w:p>
    <w:p w:rsidR="007D7140" w:rsidRDefault="00A207BA">
      <w:pPr>
        <w:rPr>
          <w:lang w:val="hu-HU"/>
        </w:rPr>
      </w:pPr>
      <w:r>
        <w:rPr>
          <w:lang w:val="hu-HU"/>
        </w:rPr>
        <w:t>Patkányokkal és egerekkel végzett élethosszig tartó toxikológiai vizsgálatokban, maximum 200 mg/ttkg dózisig nem találtak bizonyítékot a dabigatrán karcinogén potenciáljára.</w:t>
      </w:r>
    </w:p>
    <w:p w:rsidR="007D7140" w:rsidRDefault="007D7140">
      <w:pPr>
        <w:rPr>
          <w:lang w:val="hu-HU"/>
        </w:rPr>
      </w:pPr>
    </w:p>
    <w:p w:rsidR="007D7140" w:rsidRDefault="00A207BA">
      <w:pPr>
        <w:rPr>
          <w:lang w:val="hu-HU"/>
        </w:rPr>
      </w:pPr>
      <w:r>
        <w:rPr>
          <w:lang w:val="hu-HU"/>
        </w:rPr>
        <w:t>A</w:t>
      </w:r>
      <w:r>
        <w:rPr>
          <w:spacing w:val="-4"/>
          <w:lang w:val="hu-HU"/>
        </w:rPr>
        <w:t xml:space="preserve"> </w:t>
      </w:r>
      <w:r>
        <w:rPr>
          <w:lang w:val="hu-HU"/>
        </w:rPr>
        <w:t>dabigatrán,</w:t>
      </w:r>
      <w:r>
        <w:rPr>
          <w:spacing w:val="-4"/>
          <w:lang w:val="hu-HU"/>
        </w:rPr>
        <w:t xml:space="preserve"> </w:t>
      </w:r>
      <w:r>
        <w:rPr>
          <w:lang w:val="hu-HU"/>
        </w:rPr>
        <w:t>a</w:t>
      </w:r>
      <w:r>
        <w:rPr>
          <w:spacing w:val="-4"/>
          <w:lang w:val="hu-HU"/>
        </w:rPr>
        <w:t xml:space="preserve"> </w:t>
      </w:r>
      <w:r>
        <w:rPr>
          <w:lang w:val="hu-HU"/>
        </w:rPr>
        <w:t>dabigatrán</w:t>
      </w:r>
      <w:r>
        <w:rPr>
          <w:lang w:val="hu-HU"/>
        </w:rPr>
        <w:noBreakHyphen/>
        <w:t>etexilát</w:t>
      </w:r>
      <w:r>
        <w:rPr>
          <w:spacing w:val="-4"/>
          <w:lang w:val="hu-HU"/>
        </w:rPr>
        <w:t xml:space="preserve"> </w:t>
      </w:r>
      <w:r>
        <w:rPr>
          <w:lang w:val="hu-HU"/>
        </w:rPr>
        <w:t>mezilát</w:t>
      </w:r>
      <w:r>
        <w:rPr>
          <w:spacing w:val="-4"/>
          <w:lang w:val="hu-HU"/>
        </w:rPr>
        <w:t xml:space="preserve"> </w:t>
      </w:r>
      <w:r>
        <w:rPr>
          <w:lang w:val="hu-HU"/>
        </w:rPr>
        <w:t>aktív</w:t>
      </w:r>
      <w:r>
        <w:rPr>
          <w:spacing w:val="-4"/>
          <w:lang w:val="hu-HU"/>
        </w:rPr>
        <w:t xml:space="preserve"> </w:t>
      </w:r>
      <w:r>
        <w:rPr>
          <w:lang w:val="hu-HU"/>
        </w:rPr>
        <w:t>összetevője</w:t>
      </w:r>
      <w:r>
        <w:rPr>
          <w:spacing w:val="-4"/>
          <w:lang w:val="hu-HU"/>
        </w:rPr>
        <w:t xml:space="preserve"> </w:t>
      </w:r>
      <w:r>
        <w:rPr>
          <w:lang w:val="hu-HU"/>
        </w:rPr>
        <w:t>a</w:t>
      </w:r>
      <w:r>
        <w:rPr>
          <w:spacing w:val="-4"/>
          <w:lang w:val="hu-HU"/>
        </w:rPr>
        <w:t xml:space="preserve"> </w:t>
      </w:r>
      <w:r>
        <w:rPr>
          <w:lang w:val="hu-HU"/>
        </w:rPr>
        <w:t>környezetben</w:t>
      </w:r>
      <w:r>
        <w:rPr>
          <w:spacing w:val="-4"/>
          <w:lang w:val="hu-HU"/>
        </w:rPr>
        <w:t xml:space="preserve"> </w:t>
      </w:r>
      <w:r>
        <w:rPr>
          <w:lang w:val="hu-HU"/>
        </w:rPr>
        <w:t>nem</w:t>
      </w:r>
      <w:r>
        <w:rPr>
          <w:spacing w:val="-4"/>
          <w:lang w:val="hu-HU"/>
        </w:rPr>
        <w:t xml:space="preserve"> </w:t>
      </w:r>
      <w:r>
        <w:rPr>
          <w:lang w:val="hu-HU"/>
        </w:rPr>
        <w:t>bomlik</w:t>
      </w:r>
      <w:r>
        <w:rPr>
          <w:spacing w:val="-4"/>
          <w:lang w:val="hu-HU"/>
        </w:rPr>
        <w:t xml:space="preserve"> </w:t>
      </w:r>
      <w:r>
        <w:rPr>
          <w:lang w:val="hu-HU"/>
        </w:rPr>
        <w:t>le.</w:t>
      </w:r>
    </w:p>
    <w:p w:rsidR="007D7140" w:rsidRDefault="007D7140">
      <w:pPr>
        <w:rPr>
          <w:lang w:val="hu-HU"/>
        </w:rPr>
      </w:pPr>
    </w:p>
    <w:p w:rsidR="007D7140" w:rsidRDefault="007D7140">
      <w:pPr>
        <w:rPr>
          <w:lang w:val="hu-HU"/>
        </w:rPr>
      </w:pPr>
    </w:p>
    <w:p w:rsidR="007D7140" w:rsidRDefault="00A207BA">
      <w:pPr>
        <w:pStyle w:val="Listaszerbekezds"/>
        <w:numPr>
          <w:ilvl w:val="0"/>
          <w:numId w:val="14"/>
        </w:numPr>
        <w:ind w:left="567" w:hanging="567"/>
        <w:rPr>
          <w:b/>
          <w:bCs/>
          <w:lang w:val="hu-HU"/>
        </w:rPr>
      </w:pPr>
      <w:r>
        <w:rPr>
          <w:b/>
          <w:bCs/>
          <w:lang w:val="hu-HU"/>
        </w:rPr>
        <w:t>GYÓGYSZERÉSZETI</w:t>
      </w:r>
      <w:r>
        <w:rPr>
          <w:b/>
          <w:bCs/>
          <w:spacing w:val="-6"/>
          <w:lang w:val="hu-HU"/>
        </w:rPr>
        <w:t xml:space="preserve"> </w:t>
      </w:r>
      <w:r>
        <w:rPr>
          <w:b/>
          <w:bCs/>
          <w:lang w:val="hu-HU"/>
        </w:rPr>
        <w:t>JELLEMZŐK</w:t>
      </w:r>
    </w:p>
    <w:p w:rsidR="007D7140" w:rsidRDefault="007D7140">
      <w:pPr>
        <w:rPr>
          <w:lang w:val="hu-HU"/>
        </w:rPr>
      </w:pPr>
    </w:p>
    <w:p w:rsidR="007D7140" w:rsidRDefault="00A207BA">
      <w:pPr>
        <w:tabs>
          <w:tab w:val="left" w:pos="567"/>
        </w:tabs>
        <w:rPr>
          <w:b/>
          <w:bCs/>
          <w:lang w:val="hu-HU"/>
        </w:rPr>
      </w:pPr>
      <w:r>
        <w:rPr>
          <w:b/>
          <w:bCs/>
          <w:lang w:val="hu-HU"/>
        </w:rPr>
        <w:t>6.1</w:t>
      </w:r>
      <w:r>
        <w:rPr>
          <w:b/>
          <w:bCs/>
          <w:lang w:val="hu-HU"/>
        </w:rPr>
        <w:tab/>
        <w:t>Segédanyagok</w:t>
      </w:r>
      <w:r>
        <w:rPr>
          <w:b/>
          <w:bCs/>
          <w:spacing w:val="-7"/>
          <w:lang w:val="hu-HU"/>
        </w:rPr>
        <w:t xml:space="preserve"> </w:t>
      </w:r>
      <w:r>
        <w:rPr>
          <w:b/>
          <w:bCs/>
          <w:lang w:val="hu-HU"/>
        </w:rPr>
        <w:t>felsorolása</w:t>
      </w:r>
    </w:p>
    <w:p w:rsidR="007D7140" w:rsidRDefault="007D7140">
      <w:pPr>
        <w:rPr>
          <w:lang w:val="hu-HU"/>
        </w:rPr>
      </w:pPr>
    </w:p>
    <w:p w:rsidR="007D7140" w:rsidRDefault="00A207BA">
      <w:pPr>
        <w:rPr>
          <w:u w:val="single"/>
          <w:lang w:val="hu-HU"/>
        </w:rPr>
      </w:pPr>
      <w:r>
        <w:rPr>
          <w:u w:val="single"/>
          <w:lang w:val="hu-HU"/>
        </w:rPr>
        <w:t>Kapszulatartalom</w:t>
      </w:r>
    </w:p>
    <w:p w:rsidR="007D7140" w:rsidRDefault="00A207BA">
      <w:pPr>
        <w:rPr>
          <w:rFonts w:eastAsia="Calibri"/>
          <w:lang w:val="hu-HU"/>
        </w:rPr>
      </w:pPr>
      <w:r>
        <w:rPr>
          <w:rFonts w:eastAsia="Calibri"/>
          <w:lang w:val="hu-HU"/>
        </w:rPr>
        <w:t>borkősav</w:t>
      </w:r>
    </w:p>
    <w:p w:rsidR="007D7140" w:rsidRDefault="00A207BA">
      <w:pPr>
        <w:rPr>
          <w:rFonts w:eastAsia="Calibri"/>
          <w:lang w:val="hu-HU"/>
        </w:rPr>
      </w:pPr>
      <w:r>
        <w:rPr>
          <w:rFonts w:eastAsia="Calibri"/>
          <w:lang w:val="hu-HU"/>
        </w:rPr>
        <w:t>hipromellóz (E464)</w:t>
      </w:r>
    </w:p>
    <w:p w:rsidR="007D7140" w:rsidRDefault="00A207BA">
      <w:pPr>
        <w:rPr>
          <w:rFonts w:eastAsia="Calibri"/>
          <w:lang w:val="hu-HU"/>
        </w:rPr>
      </w:pPr>
      <w:r>
        <w:rPr>
          <w:rFonts w:eastAsia="Calibri"/>
          <w:lang w:val="hu-HU"/>
        </w:rPr>
        <w:t>talkum</w:t>
      </w:r>
    </w:p>
    <w:p w:rsidR="007D7140" w:rsidRDefault="00A207BA">
      <w:pPr>
        <w:ind w:left="7" w:right="9"/>
        <w:rPr>
          <w:lang w:val="hu-HU"/>
        </w:rPr>
      </w:pPr>
      <w:r>
        <w:rPr>
          <w:lang w:val="hu-HU"/>
        </w:rPr>
        <w:t>hidroxipropilcellulóz</w:t>
      </w:r>
    </w:p>
    <w:p w:rsidR="007D7140" w:rsidRDefault="00A207BA">
      <w:pPr>
        <w:rPr>
          <w:lang w:val="hu-HU"/>
        </w:rPr>
      </w:pPr>
      <w:r>
        <w:rPr>
          <w:lang w:val="hu-HU"/>
        </w:rPr>
        <w:t>kroszkarmellóz-nátrium</w:t>
      </w:r>
    </w:p>
    <w:p w:rsidR="007D7140" w:rsidRDefault="00A207BA">
      <w:pPr>
        <w:rPr>
          <w:lang w:val="hu-HU"/>
        </w:rPr>
      </w:pPr>
      <w:r>
        <w:rPr>
          <w:lang w:val="hu-HU"/>
        </w:rPr>
        <w:t>magnézium-sztearát</w:t>
      </w:r>
    </w:p>
    <w:p w:rsidR="007D7140" w:rsidRDefault="007D7140">
      <w:pPr>
        <w:rPr>
          <w:lang w:val="hu-HU"/>
        </w:rPr>
      </w:pPr>
    </w:p>
    <w:p w:rsidR="007D7140" w:rsidRDefault="00A207BA">
      <w:pPr>
        <w:rPr>
          <w:u w:val="single"/>
          <w:lang w:val="hu-HU"/>
        </w:rPr>
      </w:pPr>
      <w:r>
        <w:rPr>
          <w:u w:val="single"/>
          <w:lang w:val="hu-HU"/>
        </w:rPr>
        <w:t xml:space="preserve">Kapszulahéj </w:t>
      </w:r>
    </w:p>
    <w:p w:rsidR="007D7140" w:rsidRDefault="00A207BA">
      <w:pPr>
        <w:rPr>
          <w:lang w:val="hu-HU"/>
        </w:rPr>
      </w:pPr>
      <w:r>
        <w:rPr>
          <w:lang w:val="hu-HU"/>
        </w:rPr>
        <w:t>titán-dioxid (E171)</w:t>
      </w:r>
    </w:p>
    <w:p w:rsidR="007D7140" w:rsidRDefault="00A207BA">
      <w:pPr>
        <w:ind w:left="7" w:right="6758"/>
        <w:rPr>
          <w:lang w:val="hu-HU"/>
        </w:rPr>
      </w:pPr>
      <w:r>
        <w:rPr>
          <w:lang w:val="hu-HU"/>
        </w:rPr>
        <w:t>hipromellóz (E464)</w:t>
      </w:r>
    </w:p>
    <w:p w:rsidR="007D7140" w:rsidRDefault="007D7140">
      <w:pPr>
        <w:rPr>
          <w:lang w:val="hu-HU"/>
        </w:rPr>
      </w:pPr>
    </w:p>
    <w:p w:rsidR="007D7140" w:rsidRDefault="00A207BA">
      <w:pPr>
        <w:rPr>
          <w:u w:val="single"/>
          <w:lang w:val="hu-HU"/>
        </w:rPr>
      </w:pPr>
      <w:r>
        <w:rPr>
          <w:u w:val="single"/>
          <w:lang w:val="hu-HU"/>
        </w:rPr>
        <w:t>Fekete jelölőfesték</w:t>
      </w:r>
    </w:p>
    <w:p w:rsidR="007D7140" w:rsidRDefault="00A207BA">
      <w:pPr>
        <w:spacing w:after="10"/>
        <w:ind w:left="29" w:right="11"/>
      </w:pPr>
      <w:r>
        <w:t>sellak (E904)</w:t>
      </w:r>
    </w:p>
    <w:p w:rsidR="007D7140" w:rsidRDefault="00A207BA">
      <w:pPr>
        <w:spacing w:after="10"/>
        <w:ind w:left="29" w:right="11"/>
      </w:pPr>
      <w:r>
        <w:t>propilénglikol (E1520)</w:t>
      </w:r>
    </w:p>
    <w:p w:rsidR="007D7140" w:rsidRDefault="00A207BA">
      <w:pPr>
        <w:spacing w:after="10"/>
        <w:ind w:left="29" w:right="11"/>
      </w:pPr>
      <w:r>
        <w:t>kálium-hidroxid (E525)</w:t>
      </w:r>
    </w:p>
    <w:p w:rsidR="007D7140" w:rsidRDefault="00A207BA">
      <w:r>
        <w:t>fekete vas-oxid (E172)</w:t>
      </w:r>
    </w:p>
    <w:p w:rsidR="007D7140" w:rsidRDefault="007D7140">
      <w:pPr>
        <w:rPr>
          <w:lang w:val="hu-HU"/>
        </w:rPr>
      </w:pPr>
    </w:p>
    <w:p w:rsidR="007D7140" w:rsidRDefault="00A207BA">
      <w:pPr>
        <w:tabs>
          <w:tab w:val="left" w:pos="567"/>
        </w:tabs>
        <w:rPr>
          <w:b/>
          <w:bCs/>
          <w:lang w:val="hu-HU"/>
        </w:rPr>
      </w:pPr>
      <w:r>
        <w:rPr>
          <w:b/>
          <w:bCs/>
          <w:lang w:val="hu-HU"/>
        </w:rPr>
        <w:t>6.2</w:t>
      </w:r>
      <w:r>
        <w:rPr>
          <w:b/>
          <w:bCs/>
          <w:lang w:val="hu-HU"/>
        </w:rPr>
        <w:tab/>
        <w:t>Inkompatibilitások</w:t>
      </w:r>
    </w:p>
    <w:p w:rsidR="007D7140" w:rsidRDefault="007D7140">
      <w:pPr>
        <w:rPr>
          <w:lang w:val="hu-HU"/>
        </w:rPr>
      </w:pPr>
    </w:p>
    <w:p w:rsidR="007D7140" w:rsidRDefault="00A207BA">
      <w:pPr>
        <w:rPr>
          <w:lang w:val="hu-HU"/>
        </w:rPr>
      </w:pPr>
      <w:r>
        <w:rPr>
          <w:lang w:val="hu-HU"/>
        </w:rPr>
        <w:t>Nem</w:t>
      </w:r>
      <w:r>
        <w:rPr>
          <w:spacing w:val="-5"/>
          <w:lang w:val="hu-HU"/>
        </w:rPr>
        <w:t xml:space="preserve"> </w:t>
      </w:r>
      <w:r>
        <w:rPr>
          <w:lang w:val="hu-HU"/>
        </w:rPr>
        <w:t>értelmezhető.</w:t>
      </w:r>
    </w:p>
    <w:p w:rsidR="007D7140" w:rsidRDefault="007D7140">
      <w:pPr>
        <w:rPr>
          <w:lang w:val="hu-HU"/>
        </w:rPr>
      </w:pPr>
    </w:p>
    <w:p w:rsidR="007D7140" w:rsidRDefault="00A207BA">
      <w:pPr>
        <w:tabs>
          <w:tab w:val="left" w:pos="567"/>
        </w:tabs>
        <w:rPr>
          <w:b/>
          <w:bCs/>
          <w:lang w:val="hu-HU"/>
        </w:rPr>
      </w:pPr>
      <w:r>
        <w:rPr>
          <w:b/>
          <w:bCs/>
          <w:lang w:val="hu-HU"/>
        </w:rPr>
        <w:t>6.3</w:t>
      </w:r>
      <w:r>
        <w:rPr>
          <w:b/>
          <w:bCs/>
          <w:lang w:val="hu-HU"/>
        </w:rPr>
        <w:tab/>
        <w:t>Felhasználhatósági</w:t>
      </w:r>
      <w:r>
        <w:rPr>
          <w:b/>
          <w:bCs/>
          <w:spacing w:val="-8"/>
          <w:lang w:val="hu-HU"/>
        </w:rPr>
        <w:t xml:space="preserve"> </w:t>
      </w:r>
      <w:r>
        <w:rPr>
          <w:b/>
          <w:bCs/>
          <w:lang w:val="hu-HU"/>
        </w:rPr>
        <w:t>időtartam</w:t>
      </w:r>
    </w:p>
    <w:p w:rsidR="007D7140" w:rsidRDefault="007D7140">
      <w:pPr>
        <w:rPr>
          <w:lang w:val="hu-HU"/>
        </w:rPr>
      </w:pPr>
    </w:p>
    <w:p w:rsidR="007D7140" w:rsidRDefault="00A207BA">
      <w:pPr>
        <w:rPr>
          <w:u w:val="single"/>
          <w:lang w:val="hu-HU"/>
        </w:rPr>
      </w:pPr>
      <w:r>
        <w:rPr>
          <w:u w:val="single"/>
          <w:lang w:val="hu-HU"/>
        </w:rPr>
        <w:t>Buborékcsomagolás és tartály</w:t>
      </w:r>
    </w:p>
    <w:p w:rsidR="007D7140" w:rsidRDefault="00A207BA">
      <w:pPr>
        <w:rPr>
          <w:lang w:val="hu-HU"/>
        </w:rPr>
      </w:pPr>
      <w:r>
        <w:rPr>
          <w:lang w:val="hu-HU"/>
        </w:rPr>
        <w:t>3 év</w:t>
      </w:r>
    </w:p>
    <w:p w:rsidR="007D7140" w:rsidRDefault="007D7140">
      <w:pPr>
        <w:rPr>
          <w:lang w:val="hu-HU"/>
        </w:rPr>
      </w:pPr>
    </w:p>
    <w:p w:rsidR="007D7140" w:rsidRDefault="00A207BA">
      <w:pPr>
        <w:rPr>
          <w:u w:val="single"/>
          <w:lang w:val="hu-HU"/>
        </w:rPr>
      </w:pPr>
      <w:r>
        <w:rPr>
          <w:u w:val="single"/>
          <w:lang w:val="hu-HU"/>
        </w:rPr>
        <w:t>Tartály</w:t>
      </w:r>
    </w:p>
    <w:p w:rsidR="007D7140" w:rsidRDefault="00A207BA">
      <w:pPr>
        <w:rPr>
          <w:lang w:val="hu-HU"/>
        </w:rPr>
      </w:pPr>
      <w:r>
        <w:rPr>
          <w:lang w:val="hu-HU"/>
        </w:rPr>
        <w:t>Az első felbontást követően: 60 nap</w:t>
      </w:r>
    </w:p>
    <w:p w:rsidR="007D7140" w:rsidRDefault="007D7140">
      <w:pPr>
        <w:rPr>
          <w:lang w:val="hu-HU"/>
        </w:rPr>
      </w:pPr>
    </w:p>
    <w:p w:rsidR="007D7140" w:rsidRDefault="00A207BA">
      <w:pPr>
        <w:tabs>
          <w:tab w:val="left" w:pos="567"/>
        </w:tabs>
        <w:rPr>
          <w:b/>
          <w:bCs/>
          <w:lang w:val="hu-HU"/>
        </w:rPr>
      </w:pPr>
      <w:r>
        <w:rPr>
          <w:b/>
          <w:bCs/>
          <w:lang w:val="hu-HU"/>
        </w:rPr>
        <w:t xml:space="preserve">6.4 </w:t>
      </w:r>
      <w:r>
        <w:rPr>
          <w:b/>
          <w:bCs/>
          <w:lang w:val="hu-HU"/>
        </w:rPr>
        <w:tab/>
        <w:t>Különleges</w:t>
      </w:r>
      <w:r>
        <w:rPr>
          <w:b/>
          <w:bCs/>
          <w:spacing w:val="-6"/>
          <w:lang w:val="hu-HU"/>
        </w:rPr>
        <w:t xml:space="preserve"> </w:t>
      </w:r>
      <w:r>
        <w:rPr>
          <w:b/>
          <w:bCs/>
          <w:lang w:val="hu-HU"/>
        </w:rPr>
        <w:t>tárolási</w:t>
      </w:r>
      <w:r>
        <w:rPr>
          <w:b/>
          <w:bCs/>
          <w:spacing w:val="-6"/>
          <w:lang w:val="hu-HU"/>
        </w:rPr>
        <w:t xml:space="preserve"> </w:t>
      </w:r>
      <w:r>
        <w:rPr>
          <w:b/>
          <w:bCs/>
          <w:lang w:val="hu-HU"/>
        </w:rPr>
        <w:t>előírások</w:t>
      </w:r>
    </w:p>
    <w:p w:rsidR="007D7140" w:rsidRDefault="007D7140">
      <w:pPr>
        <w:rPr>
          <w:lang w:val="hu-HU"/>
        </w:rPr>
      </w:pPr>
    </w:p>
    <w:p w:rsidR="007D7140" w:rsidRDefault="00A207BA">
      <w:pPr>
        <w:rPr>
          <w:u w:val="single"/>
          <w:lang w:val="hu-HU"/>
        </w:rPr>
      </w:pPr>
      <w:r>
        <w:rPr>
          <w:u w:val="single"/>
          <w:lang w:val="hu-HU"/>
        </w:rPr>
        <w:t>Buborékcsomagolás és tartály</w:t>
      </w:r>
    </w:p>
    <w:p w:rsidR="007D7140" w:rsidRDefault="00A207BA">
      <w:pPr>
        <w:rPr>
          <w:lang w:val="hu-HU"/>
        </w:rPr>
      </w:pPr>
      <w:r>
        <w:rPr>
          <w:lang w:val="hu-HU"/>
        </w:rPr>
        <w:t>Legfeljebb 30 ºC</w:t>
      </w:r>
      <w:r>
        <w:rPr>
          <w:lang w:val="hu-HU"/>
        </w:rPr>
        <w:noBreakHyphen/>
        <w:t>on tárolandó.</w:t>
      </w:r>
    </w:p>
    <w:p w:rsidR="007D7140" w:rsidRDefault="007D7140">
      <w:pPr>
        <w:rPr>
          <w:lang w:val="hu-HU"/>
        </w:rPr>
      </w:pPr>
    </w:p>
    <w:p w:rsidR="007D7140" w:rsidRDefault="00A207BA">
      <w:pPr>
        <w:tabs>
          <w:tab w:val="left" w:pos="567"/>
        </w:tabs>
        <w:rPr>
          <w:b/>
          <w:bCs/>
          <w:lang w:val="hu-HU"/>
        </w:rPr>
      </w:pPr>
      <w:r>
        <w:rPr>
          <w:b/>
          <w:bCs/>
          <w:lang w:val="hu-HU"/>
        </w:rPr>
        <w:t>6.5</w:t>
      </w:r>
      <w:r>
        <w:rPr>
          <w:b/>
          <w:bCs/>
          <w:lang w:val="hu-HU"/>
        </w:rPr>
        <w:tab/>
        <w:t>Csomagolás</w:t>
      </w:r>
      <w:r>
        <w:rPr>
          <w:b/>
          <w:bCs/>
          <w:spacing w:val="-5"/>
          <w:lang w:val="hu-HU"/>
        </w:rPr>
        <w:t xml:space="preserve"> </w:t>
      </w:r>
      <w:r>
        <w:rPr>
          <w:b/>
          <w:bCs/>
          <w:lang w:val="hu-HU"/>
        </w:rPr>
        <w:t>típusa</w:t>
      </w:r>
      <w:r>
        <w:rPr>
          <w:b/>
          <w:bCs/>
          <w:spacing w:val="-5"/>
          <w:lang w:val="hu-HU"/>
        </w:rPr>
        <w:t xml:space="preserve"> </w:t>
      </w:r>
      <w:r>
        <w:rPr>
          <w:b/>
          <w:bCs/>
          <w:lang w:val="hu-HU"/>
        </w:rPr>
        <w:t>és</w:t>
      </w:r>
      <w:r>
        <w:rPr>
          <w:b/>
          <w:bCs/>
          <w:spacing w:val="-4"/>
          <w:lang w:val="hu-HU"/>
        </w:rPr>
        <w:t xml:space="preserve"> </w:t>
      </w:r>
      <w:r>
        <w:rPr>
          <w:b/>
          <w:bCs/>
          <w:lang w:val="hu-HU"/>
        </w:rPr>
        <w:t>kiszerelése</w:t>
      </w:r>
    </w:p>
    <w:p w:rsidR="007D7140" w:rsidRDefault="007D7140">
      <w:pPr>
        <w:rPr>
          <w:lang w:val="hu-HU"/>
        </w:rPr>
      </w:pPr>
    </w:p>
    <w:p w:rsidR="007D7140" w:rsidRDefault="00A207BA">
      <w:pPr>
        <w:rPr>
          <w:lang w:val="hu-HU"/>
        </w:rPr>
      </w:pPr>
      <w:bookmarkStart w:id="19" w:name="_Hlk138954920"/>
      <w:r>
        <w:rPr>
          <w:lang w:val="hu-HU"/>
        </w:rPr>
        <w:t xml:space="preserve">10, 30, 60, 100, 180 és 200 db kemény kapszulát tartalmazó </w:t>
      </w:r>
      <w:r>
        <w:t>OPA/Al/nedvességmegkötő PE//Al/PE</w:t>
      </w:r>
      <w:r>
        <w:rPr>
          <w:lang w:val="hu-HU"/>
        </w:rPr>
        <w:t xml:space="preserve"> buborékcsomagolás.</w:t>
      </w:r>
    </w:p>
    <w:p w:rsidR="007D7140" w:rsidRDefault="007D7140">
      <w:pPr>
        <w:rPr>
          <w:lang w:val="hu-HU"/>
        </w:rPr>
      </w:pPr>
    </w:p>
    <w:p w:rsidR="007D7140" w:rsidRDefault="00A207BA">
      <w:pPr>
        <w:rPr>
          <w:lang w:val="hu-HU"/>
        </w:rPr>
      </w:pPr>
      <w:r>
        <w:rPr>
          <w:lang w:val="hu-HU"/>
        </w:rPr>
        <w:t xml:space="preserve">10 × 1, 20 × 1, 30 × 1, 50 × 1, 60 × 1, 100 × 1, 180 × 1 és 200 × 1 db kemény kapszulát tartalmazó </w:t>
      </w:r>
      <w:r>
        <w:t>OPA/Al/nedvességmegkötő PE//Al/PE</w:t>
      </w:r>
      <w:r>
        <w:rPr>
          <w:lang w:val="hu-HU"/>
        </w:rPr>
        <w:t xml:space="preserve"> adagonként perforált buborékcsomagolás.</w:t>
      </w:r>
    </w:p>
    <w:p w:rsidR="007D7140" w:rsidRDefault="007D7140">
      <w:pPr>
        <w:rPr>
          <w:lang w:val="hu-HU"/>
        </w:rPr>
      </w:pPr>
    </w:p>
    <w:p w:rsidR="007D7140" w:rsidRDefault="00A207BA">
      <w:pPr>
        <w:widowControl/>
        <w:rPr>
          <w:lang w:val="hu-HU"/>
        </w:rPr>
      </w:pPr>
      <w:r>
        <w:rPr>
          <w:lang w:val="hu-HU"/>
        </w:rPr>
        <w:lastRenderedPageBreak/>
        <w:t xml:space="preserve">Gyűjtőcsomagolás, amely 3 csomag, csomagonként 60 × 1 db kemény kapszulát (180 db kapszulát) tartalmaz, </w:t>
      </w:r>
      <w:r>
        <w:t>OPA/Al/nedvességmegkötő PE//Al/PE</w:t>
      </w:r>
      <w:r>
        <w:rPr>
          <w:lang w:val="hu-HU"/>
        </w:rPr>
        <w:t xml:space="preserve"> adagonként perforált buborékcsomagolásban.</w:t>
      </w:r>
    </w:p>
    <w:p w:rsidR="007D7140" w:rsidRDefault="007D7140">
      <w:pPr>
        <w:rPr>
          <w:lang w:val="hu-HU"/>
        </w:rPr>
      </w:pPr>
    </w:p>
    <w:p w:rsidR="007D7140" w:rsidRDefault="00A207BA">
      <w:pPr>
        <w:rPr>
          <w:lang w:val="hu-HU"/>
        </w:rPr>
      </w:pPr>
      <w:r>
        <w:rPr>
          <w:lang w:val="hu-HU"/>
        </w:rPr>
        <w:t xml:space="preserve">Gyűjtőcsomagolás, amely 2 csomag, csomagonként 50 × 1 db kemény kapszulát (100 db kapszulát) tartalmaz, </w:t>
      </w:r>
      <w:r>
        <w:t>OPA/Al/nedvességmegkötő PE//Al/PE</w:t>
      </w:r>
      <w:r>
        <w:rPr>
          <w:lang w:val="hu-HU"/>
        </w:rPr>
        <w:t xml:space="preserve"> adagonként perforált buborékcsomagolásban.</w:t>
      </w:r>
    </w:p>
    <w:p w:rsidR="007D7140" w:rsidRDefault="007D7140">
      <w:pPr>
        <w:rPr>
          <w:lang w:val="hu-HU"/>
        </w:rPr>
      </w:pPr>
    </w:p>
    <w:p w:rsidR="007D7140" w:rsidRDefault="00A207BA">
      <w:pPr>
        <w:rPr>
          <w:lang w:val="hu-HU"/>
        </w:rPr>
      </w:pPr>
      <w:bookmarkStart w:id="20" w:name="_Hlk143071070"/>
      <w:r>
        <w:rPr>
          <w:lang w:val="hu-HU"/>
        </w:rPr>
        <w:t xml:space="preserve">60 db kemény kapszula </w:t>
      </w:r>
      <w:r>
        <w:rPr>
          <w:spacing w:val="-3"/>
          <w:lang w:val="hu-HU"/>
        </w:rPr>
        <w:t>(1 tartály), 120 db kemény kapszula (2 tartály 60 db kemény kapszulával), 180 db kemény kapszula (3 tartály 60 db kemény kapszulával) nedvességmegkötőt tartalmazó polipropilén tartályban, amely gyermekzáras, csavaros, polipropilén kupakkal van lezárva, dobozban</w:t>
      </w:r>
      <w:r>
        <w:rPr>
          <w:lang w:val="hu-HU"/>
        </w:rPr>
        <w:t>.</w:t>
      </w:r>
      <w:bookmarkEnd w:id="19"/>
    </w:p>
    <w:bookmarkEnd w:id="20"/>
    <w:p w:rsidR="007D7140" w:rsidRDefault="007D7140">
      <w:pPr>
        <w:rPr>
          <w:lang w:val="hu-HU"/>
        </w:rPr>
      </w:pPr>
    </w:p>
    <w:p w:rsidR="007D7140" w:rsidRDefault="00A207BA">
      <w:pPr>
        <w:rPr>
          <w:lang w:val="hu-HU"/>
        </w:rPr>
      </w:pPr>
      <w:r>
        <w:rPr>
          <w:lang w:val="hu-HU"/>
        </w:rPr>
        <w:t>Nem</w:t>
      </w:r>
      <w:r>
        <w:rPr>
          <w:spacing w:val="-5"/>
          <w:lang w:val="hu-HU"/>
        </w:rPr>
        <w:t xml:space="preserve"> </w:t>
      </w:r>
      <w:r>
        <w:rPr>
          <w:lang w:val="hu-HU"/>
        </w:rPr>
        <w:t>feltétlenül</w:t>
      </w:r>
      <w:r>
        <w:rPr>
          <w:spacing w:val="-4"/>
          <w:lang w:val="hu-HU"/>
        </w:rPr>
        <w:t xml:space="preserve"> </w:t>
      </w:r>
      <w:r>
        <w:rPr>
          <w:lang w:val="hu-HU"/>
        </w:rPr>
        <w:t>mindegyik</w:t>
      </w:r>
      <w:r>
        <w:rPr>
          <w:spacing w:val="-5"/>
          <w:lang w:val="hu-HU"/>
        </w:rPr>
        <w:t xml:space="preserve"> </w:t>
      </w:r>
      <w:r>
        <w:rPr>
          <w:lang w:val="hu-HU"/>
        </w:rPr>
        <w:t>kiszerelés</w:t>
      </w:r>
      <w:r>
        <w:rPr>
          <w:spacing w:val="-4"/>
          <w:lang w:val="hu-HU"/>
        </w:rPr>
        <w:t xml:space="preserve"> </w:t>
      </w:r>
      <w:r>
        <w:rPr>
          <w:lang w:val="hu-HU"/>
        </w:rPr>
        <w:t>kerül</w:t>
      </w:r>
      <w:r>
        <w:rPr>
          <w:spacing w:val="-4"/>
          <w:lang w:val="hu-HU"/>
        </w:rPr>
        <w:t xml:space="preserve"> </w:t>
      </w:r>
      <w:r>
        <w:rPr>
          <w:lang w:val="hu-HU"/>
        </w:rPr>
        <w:t>kereskedelmi</w:t>
      </w:r>
      <w:r>
        <w:rPr>
          <w:spacing w:val="-5"/>
          <w:lang w:val="hu-HU"/>
        </w:rPr>
        <w:t xml:space="preserve"> </w:t>
      </w:r>
      <w:r>
        <w:rPr>
          <w:lang w:val="hu-HU"/>
        </w:rPr>
        <w:t>forgalomba.</w:t>
      </w:r>
    </w:p>
    <w:p w:rsidR="007D7140" w:rsidRDefault="007D7140">
      <w:pPr>
        <w:rPr>
          <w:lang w:val="hu-HU"/>
        </w:rPr>
      </w:pPr>
    </w:p>
    <w:p w:rsidR="007D7140" w:rsidRDefault="00A207BA">
      <w:pPr>
        <w:tabs>
          <w:tab w:val="left" w:pos="567"/>
        </w:tabs>
        <w:ind w:left="567" w:hanging="567"/>
        <w:rPr>
          <w:b/>
          <w:bCs/>
          <w:lang w:val="hu-HU"/>
        </w:rPr>
      </w:pPr>
      <w:r>
        <w:rPr>
          <w:b/>
          <w:bCs/>
          <w:lang w:val="hu-HU"/>
        </w:rPr>
        <w:t>6.6</w:t>
      </w:r>
      <w:r>
        <w:rPr>
          <w:b/>
          <w:bCs/>
          <w:lang w:val="hu-HU"/>
        </w:rPr>
        <w:tab/>
        <w:t>A megsemmisítésre vonatkozó különleges óvintézkedések és egyéb, a készítmény kezelésével</w:t>
      </w:r>
      <w:r>
        <w:rPr>
          <w:b/>
          <w:bCs/>
          <w:spacing w:val="-2"/>
          <w:lang w:val="hu-HU"/>
        </w:rPr>
        <w:t xml:space="preserve"> </w:t>
      </w:r>
      <w:r>
        <w:rPr>
          <w:b/>
          <w:bCs/>
          <w:lang w:val="hu-HU"/>
        </w:rPr>
        <w:t>kapcsolatos</w:t>
      </w:r>
      <w:r>
        <w:rPr>
          <w:b/>
          <w:bCs/>
          <w:spacing w:val="-1"/>
          <w:lang w:val="hu-HU"/>
        </w:rPr>
        <w:t xml:space="preserve"> </w:t>
      </w:r>
      <w:r>
        <w:rPr>
          <w:b/>
          <w:bCs/>
          <w:lang w:val="hu-HU"/>
        </w:rPr>
        <w:t>információk</w:t>
      </w:r>
    </w:p>
    <w:p w:rsidR="007D7140" w:rsidRDefault="007D7140">
      <w:pPr>
        <w:rPr>
          <w:lang w:val="hu-HU"/>
        </w:rPr>
      </w:pPr>
    </w:p>
    <w:p w:rsidR="007D7140" w:rsidRDefault="00A207BA">
      <w:pPr>
        <w:rPr>
          <w:lang w:val="hu-HU"/>
        </w:rPr>
      </w:pPr>
      <w:r>
        <w:rPr>
          <w:lang w:val="hu-HU"/>
        </w:rPr>
        <w:t>Bármilyen fel nem használt gyógyszer, illetve hulladékanyag megsemmisítését a gyógyszerekre vonatkozó</w:t>
      </w:r>
      <w:r>
        <w:rPr>
          <w:spacing w:val="-2"/>
          <w:lang w:val="hu-HU"/>
        </w:rPr>
        <w:t xml:space="preserve"> </w:t>
      </w:r>
      <w:r>
        <w:rPr>
          <w:lang w:val="hu-HU"/>
        </w:rPr>
        <w:t>előírások</w:t>
      </w:r>
      <w:r>
        <w:rPr>
          <w:spacing w:val="-1"/>
          <w:lang w:val="hu-HU"/>
        </w:rPr>
        <w:t xml:space="preserve"> </w:t>
      </w:r>
      <w:r>
        <w:rPr>
          <w:lang w:val="hu-HU"/>
        </w:rPr>
        <w:t>szerint</w:t>
      </w:r>
      <w:r>
        <w:rPr>
          <w:spacing w:val="-1"/>
          <w:lang w:val="hu-HU"/>
        </w:rPr>
        <w:t xml:space="preserve"> </w:t>
      </w:r>
      <w:r>
        <w:rPr>
          <w:lang w:val="hu-HU"/>
        </w:rPr>
        <w:t>kell</w:t>
      </w:r>
      <w:r>
        <w:rPr>
          <w:spacing w:val="-2"/>
          <w:lang w:val="hu-HU"/>
        </w:rPr>
        <w:t xml:space="preserve"> </w:t>
      </w:r>
      <w:r>
        <w:rPr>
          <w:lang w:val="hu-HU"/>
        </w:rPr>
        <w:t>végrehajtani.</w:t>
      </w:r>
    </w:p>
    <w:p w:rsidR="007D7140" w:rsidRDefault="007D7140">
      <w:pPr>
        <w:rPr>
          <w:lang w:val="hu-HU"/>
        </w:rPr>
      </w:pPr>
    </w:p>
    <w:p w:rsidR="007D7140" w:rsidRDefault="00A207BA">
      <w:pPr>
        <w:pStyle w:val="Nincstrkz"/>
      </w:pPr>
      <w:r>
        <w:t xml:space="preserve">Megjegyzés: </w:t>
      </w:r>
      <w:r>
        <w:rPr>
          <w:rFonts w:ascii="Wingdings" w:eastAsia="Wingdings" w:hAnsi="Wingdings" w:cs="Wingdings"/>
          <w:b/>
          <w:bCs/>
          <w:lang w:val="en-GB"/>
        </w:rPr>
        <w:t></w:t>
      </w:r>
      <w:r>
        <w:t xml:space="preserve"> (egy keresztes)</w:t>
      </w:r>
    </w:p>
    <w:p w:rsidR="007D7140" w:rsidRDefault="00A207BA">
      <w:pPr>
        <w:pStyle w:val="Nincstrkz"/>
      </w:pPr>
      <w:r>
        <w:t>Osztályozás: II./1 csoport</w:t>
      </w:r>
    </w:p>
    <w:p w:rsidR="007D7140" w:rsidRDefault="00A207BA">
      <w:pPr>
        <w:pStyle w:val="Nincstrkz"/>
      </w:pPr>
      <w:r>
        <w:t xml:space="preserve">Kizárólag orvosi rendelvényhez kötött gyógyszer osztályba, a (2) ca) pontja szerint </w:t>
      </w:r>
      <w:r>
        <w:rPr>
          <w:rFonts w:ascii="Times" w:hAnsi="Times" w:cs="Times"/>
        </w:rPr>
        <w:t>a szakorvosi/kórházi diagnózist követő járóbeteg-ellátásban alkalmazható gyógyszerek (J)</w:t>
      </w:r>
      <w:r>
        <w:t>.</w:t>
      </w:r>
    </w:p>
    <w:p w:rsidR="007D7140" w:rsidRDefault="007D7140">
      <w:pPr>
        <w:rPr>
          <w:lang w:val="hu-HU"/>
        </w:rPr>
      </w:pPr>
    </w:p>
    <w:p w:rsidR="007D7140" w:rsidRDefault="007D7140">
      <w:pPr>
        <w:rPr>
          <w:lang w:val="hu-HU"/>
        </w:rPr>
      </w:pPr>
    </w:p>
    <w:p w:rsidR="007D7140" w:rsidRDefault="00A207BA">
      <w:pPr>
        <w:tabs>
          <w:tab w:val="left" w:pos="567"/>
        </w:tabs>
        <w:rPr>
          <w:b/>
          <w:bCs/>
          <w:lang w:val="hu-HU"/>
        </w:rPr>
      </w:pPr>
      <w:r>
        <w:rPr>
          <w:b/>
          <w:bCs/>
          <w:lang w:val="hu-HU"/>
        </w:rPr>
        <w:t>7.</w:t>
      </w:r>
      <w:r>
        <w:rPr>
          <w:b/>
          <w:bCs/>
          <w:lang w:val="hu-HU"/>
        </w:rPr>
        <w:tab/>
        <w:t>A</w:t>
      </w:r>
      <w:r>
        <w:rPr>
          <w:b/>
          <w:bCs/>
          <w:spacing w:val="-4"/>
          <w:lang w:val="hu-HU"/>
        </w:rPr>
        <w:t xml:space="preserve"> </w:t>
      </w:r>
      <w:r>
        <w:rPr>
          <w:b/>
          <w:bCs/>
          <w:lang w:val="hu-HU"/>
        </w:rPr>
        <w:t>FORGALOMBA</w:t>
      </w:r>
      <w:r>
        <w:rPr>
          <w:b/>
          <w:bCs/>
          <w:spacing w:val="-3"/>
          <w:lang w:val="hu-HU"/>
        </w:rPr>
        <w:t xml:space="preserve"> </w:t>
      </w:r>
      <w:r>
        <w:rPr>
          <w:b/>
          <w:bCs/>
          <w:lang w:val="hu-HU"/>
        </w:rPr>
        <w:t>HOZATALI</w:t>
      </w:r>
      <w:r>
        <w:rPr>
          <w:b/>
          <w:bCs/>
          <w:spacing w:val="-3"/>
          <w:lang w:val="hu-HU"/>
        </w:rPr>
        <w:t xml:space="preserve"> </w:t>
      </w:r>
      <w:r>
        <w:rPr>
          <w:b/>
          <w:bCs/>
          <w:lang w:val="hu-HU"/>
        </w:rPr>
        <w:t>ENGEDÉLY</w:t>
      </w:r>
      <w:r>
        <w:rPr>
          <w:b/>
          <w:bCs/>
          <w:spacing w:val="-4"/>
          <w:lang w:val="hu-HU"/>
        </w:rPr>
        <w:t xml:space="preserve"> </w:t>
      </w:r>
      <w:r>
        <w:rPr>
          <w:b/>
          <w:bCs/>
          <w:lang w:val="hu-HU"/>
        </w:rPr>
        <w:t>JOGOSULTJA</w:t>
      </w:r>
    </w:p>
    <w:p w:rsidR="007D7140" w:rsidRDefault="007D7140">
      <w:pPr>
        <w:rPr>
          <w:lang w:val="hu-HU"/>
        </w:rPr>
      </w:pPr>
    </w:p>
    <w:p w:rsidR="007D7140" w:rsidRDefault="00A207BA">
      <w:bookmarkStart w:id="21" w:name="_Hlk138937023"/>
      <w:r>
        <w:t>Sandoz Hungária Kft.</w:t>
      </w:r>
    </w:p>
    <w:p w:rsidR="007D7140" w:rsidRDefault="00A207BA">
      <w:r>
        <w:t>1114 Budapest</w:t>
      </w:r>
    </w:p>
    <w:p w:rsidR="007D7140" w:rsidRDefault="00A207BA">
      <w:r>
        <w:t>Bartók Béla út 43-47</w:t>
      </w:r>
    </w:p>
    <w:bookmarkEnd w:id="21"/>
    <w:p w:rsidR="007D7140" w:rsidRDefault="007D7140">
      <w:pPr>
        <w:rPr>
          <w:lang w:val="hu-HU"/>
        </w:rPr>
      </w:pPr>
    </w:p>
    <w:p w:rsidR="007D7140" w:rsidRDefault="007D7140">
      <w:pPr>
        <w:rPr>
          <w:lang w:val="hu-HU"/>
        </w:rPr>
      </w:pPr>
    </w:p>
    <w:p w:rsidR="007D7140" w:rsidRDefault="00A207BA">
      <w:pPr>
        <w:pStyle w:val="Listaszerbekezds"/>
        <w:numPr>
          <w:ilvl w:val="0"/>
          <w:numId w:val="15"/>
        </w:numPr>
        <w:ind w:left="567" w:hanging="567"/>
        <w:rPr>
          <w:b/>
          <w:bCs/>
          <w:lang w:val="hu-HU"/>
        </w:rPr>
      </w:pPr>
      <w:r>
        <w:rPr>
          <w:b/>
          <w:bCs/>
          <w:lang w:val="hu-HU"/>
        </w:rPr>
        <w:t>A</w:t>
      </w:r>
      <w:r>
        <w:rPr>
          <w:b/>
          <w:bCs/>
          <w:spacing w:val="-4"/>
          <w:lang w:val="hu-HU"/>
        </w:rPr>
        <w:t xml:space="preserve"> </w:t>
      </w:r>
      <w:r>
        <w:rPr>
          <w:b/>
          <w:bCs/>
          <w:lang w:val="hu-HU"/>
        </w:rPr>
        <w:t>FORGALOMBA</w:t>
      </w:r>
      <w:r>
        <w:rPr>
          <w:b/>
          <w:bCs/>
          <w:spacing w:val="-3"/>
          <w:lang w:val="hu-HU"/>
        </w:rPr>
        <w:t xml:space="preserve"> </w:t>
      </w:r>
      <w:r>
        <w:rPr>
          <w:b/>
          <w:bCs/>
          <w:lang w:val="hu-HU"/>
        </w:rPr>
        <w:t>HOZATALI</w:t>
      </w:r>
      <w:r>
        <w:rPr>
          <w:b/>
          <w:bCs/>
          <w:spacing w:val="-3"/>
          <w:lang w:val="hu-HU"/>
        </w:rPr>
        <w:t xml:space="preserve"> </w:t>
      </w:r>
      <w:r>
        <w:rPr>
          <w:b/>
          <w:bCs/>
          <w:lang w:val="hu-HU"/>
        </w:rPr>
        <w:t>ENGEDÉLY</w:t>
      </w:r>
      <w:r>
        <w:rPr>
          <w:b/>
          <w:bCs/>
          <w:spacing w:val="-3"/>
          <w:lang w:val="hu-HU"/>
        </w:rPr>
        <w:t xml:space="preserve"> </w:t>
      </w:r>
      <w:r>
        <w:rPr>
          <w:b/>
          <w:bCs/>
          <w:lang w:val="hu-HU"/>
        </w:rPr>
        <w:t>SZÁMA(I)</w:t>
      </w:r>
    </w:p>
    <w:p w:rsidR="007D7140" w:rsidRDefault="007D7140">
      <w:pPr>
        <w:pStyle w:val="Listaszerbekezds"/>
        <w:ind w:left="567" w:firstLine="0"/>
        <w:rPr>
          <w:b/>
          <w:bCs/>
          <w:lang w:val="hu-HU"/>
        </w:rPr>
      </w:pPr>
    </w:p>
    <w:p w:rsidR="007D7140" w:rsidRDefault="00A207BA">
      <w:pPr>
        <w:tabs>
          <w:tab w:val="left" w:pos="2268"/>
        </w:tabs>
        <w:ind w:left="3544" w:hanging="3402"/>
      </w:pPr>
      <w:r>
        <w:t>OGYI-T-24289/08</w:t>
      </w:r>
      <w:r>
        <w:tab/>
        <w:t>10×</w:t>
      </w:r>
      <w:r>
        <w:tab/>
        <w:t>Opa/Alu/nedvességmegkötő PE-Alu/PE buborékcsomagolás</w:t>
      </w:r>
    </w:p>
    <w:p w:rsidR="007D7140" w:rsidRDefault="00A207BA">
      <w:pPr>
        <w:tabs>
          <w:tab w:val="left" w:pos="2268"/>
        </w:tabs>
        <w:ind w:left="3544" w:hanging="3402"/>
      </w:pPr>
      <w:r>
        <w:t>OGYI-T-24289/09</w:t>
      </w:r>
      <w:r>
        <w:tab/>
        <w:t>10×1</w:t>
      </w:r>
      <w:r>
        <w:tab/>
        <w:t>Opa/Alu/nedvességmegkötő PE-Alu/PE adagonként perforált buborékcsomagolás</w:t>
      </w:r>
    </w:p>
    <w:p w:rsidR="007D7140" w:rsidRDefault="00A207BA">
      <w:pPr>
        <w:tabs>
          <w:tab w:val="left" w:pos="2268"/>
        </w:tabs>
        <w:ind w:left="3544" w:hanging="3402"/>
      </w:pPr>
      <w:r>
        <w:t>OGYI-T-24289/10</w:t>
      </w:r>
      <w:r>
        <w:tab/>
        <w:t>30×</w:t>
      </w:r>
      <w:r>
        <w:tab/>
        <w:t xml:space="preserve">Opa/Alu/nedvességmegkötő PE-Alu/PE buborékcsomagolás </w:t>
      </w:r>
    </w:p>
    <w:p w:rsidR="007D7140" w:rsidRDefault="00A207BA">
      <w:pPr>
        <w:tabs>
          <w:tab w:val="left" w:pos="2268"/>
        </w:tabs>
        <w:ind w:left="3544" w:hanging="3402"/>
      </w:pPr>
      <w:r>
        <w:t>OGYI-T-24289/11</w:t>
      </w:r>
      <w:r>
        <w:tab/>
        <w:t>30×1</w:t>
      </w:r>
      <w:r>
        <w:tab/>
        <w:t>Opa/Alu/nedvességmegkötő PE-Alu/PE adagonként perforált buborékcsomagolás</w:t>
      </w:r>
    </w:p>
    <w:p w:rsidR="007D7140" w:rsidRDefault="00A207BA">
      <w:pPr>
        <w:tabs>
          <w:tab w:val="left" w:pos="2268"/>
        </w:tabs>
        <w:ind w:left="3544" w:hanging="3402"/>
      </w:pPr>
      <w:r>
        <w:t>OGYI-T-24289/12</w:t>
      </w:r>
      <w:r>
        <w:tab/>
        <w:t>60×</w:t>
      </w:r>
      <w:r>
        <w:tab/>
        <w:t>Opa/Alu/nedvességmegkötő PE-Alu/PE buborékcsomagolás</w:t>
      </w:r>
    </w:p>
    <w:p w:rsidR="007D7140" w:rsidRDefault="00A207BA">
      <w:pPr>
        <w:tabs>
          <w:tab w:val="left" w:pos="2268"/>
        </w:tabs>
        <w:ind w:left="3544" w:hanging="3402"/>
      </w:pPr>
      <w:r>
        <w:t>OGYI-T-24289/13</w:t>
      </w:r>
      <w:r>
        <w:tab/>
        <w:t>60×1</w:t>
      </w:r>
      <w:r>
        <w:tab/>
        <w:t>Opa/Alu/nedvességmegkötő PE-Alu/PE adagonként perforált buborékcsomagolás</w:t>
      </w:r>
    </w:p>
    <w:p w:rsidR="007D7140" w:rsidRDefault="00A207BA">
      <w:pPr>
        <w:tabs>
          <w:tab w:val="left" w:pos="2268"/>
        </w:tabs>
        <w:ind w:left="3544" w:hanging="3402"/>
      </w:pPr>
      <w:r>
        <w:t>OGYI-T-24289/14</w:t>
      </w:r>
      <w:r>
        <w:tab/>
        <w:t>60×</w:t>
      </w:r>
      <w:r>
        <w:tab/>
        <w:t>Polipropilén tartály, gyerekzáras, csavaros, nedvességmegkötőt tartalmazó polipropilén kupakkal</w:t>
      </w:r>
    </w:p>
    <w:p w:rsidR="007D7140" w:rsidRDefault="00A207BA">
      <w:pPr>
        <w:tabs>
          <w:tab w:val="left" w:pos="2268"/>
        </w:tabs>
        <w:ind w:left="3544" w:hanging="3402"/>
        <w:rPr>
          <w:lang w:val="hu-HU"/>
        </w:rPr>
      </w:pPr>
      <w:bookmarkStart w:id="22" w:name="_Hlk163072550"/>
      <w:bookmarkStart w:id="23" w:name="_Hlk163073569"/>
      <w:r>
        <w:rPr>
          <w:lang w:val="hu-HU"/>
        </w:rPr>
        <w:t>OGYI-T-24289/24</w:t>
      </w:r>
      <w:r>
        <w:rPr>
          <w:lang w:val="hu-HU"/>
        </w:rPr>
        <w:tab/>
        <w:t>120× (60×2)</w:t>
      </w:r>
      <w:r>
        <w:rPr>
          <w:lang w:val="hu-HU"/>
        </w:rPr>
        <w:tab/>
        <w:t>Polipropilén tartály, gyerekzáras, csavaros, nedvességmegkötőt tartalmazó polipropilén kupakkal</w:t>
      </w:r>
    </w:p>
    <w:p w:rsidR="007D7140" w:rsidRDefault="00A207BA">
      <w:pPr>
        <w:tabs>
          <w:tab w:val="left" w:pos="2268"/>
        </w:tabs>
        <w:ind w:left="3544" w:hanging="3402"/>
      </w:pPr>
      <w:r>
        <w:t>OGYI-T-24289/25</w:t>
      </w:r>
      <w:r>
        <w:tab/>
        <w:t>180</w:t>
      </w:r>
      <w:r>
        <w:rPr>
          <w:lang w:val="hu-HU"/>
        </w:rPr>
        <w:t>× (</w:t>
      </w:r>
      <w:r>
        <w:t>60×3)</w:t>
      </w:r>
      <w:r>
        <w:tab/>
        <w:t>Polipropilén tartály, gyerekzáras, csavaros, nedvességmegkötőt tartalmazó polipropilén kupakkal</w:t>
      </w:r>
      <w:bookmarkEnd w:id="22"/>
    </w:p>
    <w:p w:rsidR="007D7140" w:rsidRDefault="007D7140">
      <w:pPr>
        <w:rPr>
          <w:lang w:val="hu-HU"/>
        </w:rPr>
      </w:pPr>
    </w:p>
    <w:bookmarkEnd w:id="23"/>
    <w:p w:rsidR="007D7140" w:rsidRDefault="007D7140">
      <w:pPr>
        <w:rPr>
          <w:lang w:val="hu-HU"/>
        </w:rPr>
      </w:pPr>
    </w:p>
    <w:p w:rsidR="007D7140" w:rsidRDefault="00A207BA">
      <w:pPr>
        <w:pStyle w:val="Listaszerbekezds"/>
        <w:numPr>
          <w:ilvl w:val="0"/>
          <w:numId w:val="15"/>
        </w:numPr>
        <w:ind w:left="567" w:hanging="567"/>
        <w:rPr>
          <w:b/>
          <w:bCs/>
          <w:lang w:val="hu-HU"/>
        </w:rPr>
      </w:pPr>
      <w:r>
        <w:rPr>
          <w:b/>
          <w:bCs/>
          <w:lang w:val="hu-HU"/>
        </w:rPr>
        <w:t>A FORGALOMBA HOZATALI ENGEDÉLY ELSŐ KIADÁSÁNAK/ MEGÚJÍTÁSÁNAK</w:t>
      </w:r>
      <w:r>
        <w:rPr>
          <w:b/>
          <w:bCs/>
          <w:spacing w:val="-2"/>
          <w:lang w:val="hu-HU"/>
        </w:rPr>
        <w:t xml:space="preserve"> </w:t>
      </w:r>
      <w:r>
        <w:rPr>
          <w:b/>
          <w:bCs/>
          <w:lang w:val="hu-HU"/>
        </w:rPr>
        <w:t>DÁTUMA</w:t>
      </w:r>
    </w:p>
    <w:p w:rsidR="007D7140" w:rsidRDefault="007D7140">
      <w:pPr>
        <w:rPr>
          <w:lang w:val="hu-HU"/>
        </w:rPr>
      </w:pPr>
    </w:p>
    <w:p w:rsidR="007D7140" w:rsidRDefault="00A207BA">
      <w:pPr>
        <w:rPr>
          <w:lang w:val="hu-HU"/>
        </w:rPr>
      </w:pPr>
      <w:r>
        <w:rPr>
          <w:lang w:val="hu-HU"/>
        </w:rPr>
        <w:t>A</w:t>
      </w:r>
      <w:r>
        <w:rPr>
          <w:spacing w:val="-5"/>
          <w:lang w:val="hu-HU"/>
        </w:rPr>
        <w:t xml:space="preserve"> </w:t>
      </w:r>
      <w:r>
        <w:rPr>
          <w:lang w:val="hu-HU"/>
        </w:rPr>
        <w:t>forgalomba</w:t>
      </w:r>
      <w:r>
        <w:rPr>
          <w:spacing w:val="-4"/>
          <w:lang w:val="hu-HU"/>
        </w:rPr>
        <w:t xml:space="preserve"> </w:t>
      </w:r>
      <w:r>
        <w:rPr>
          <w:lang w:val="hu-HU"/>
        </w:rPr>
        <w:t>hozatali</w:t>
      </w:r>
      <w:r>
        <w:rPr>
          <w:spacing w:val="-4"/>
          <w:lang w:val="hu-HU"/>
        </w:rPr>
        <w:t xml:space="preserve"> </w:t>
      </w:r>
      <w:r>
        <w:rPr>
          <w:lang w:val="hu-HU"/>
        </w:rPr>
        <w:t>engedély</w:t>
      </w:r>
      <w:r>
        <w:rPr>
          <w:spacing w:val="-4"/>
          <w:lang w:val="hu-HU"/>
        </w:rPr>
        <w:t xml:space="preserve"> </w:t>
      </w:r>
      <w:r>
        <w:rPr>
          <w:lang w:val="hu-HU"/>
        </w:rPr>
        <w:t>első</w:t>
      </w:r>
      <w:r>
        <w:rPr>
          <w:spacing w:val="-4"/>
          <w:lang w:val="hu-HU"/>
        </w:rPr>
        <w:t xml:space="preserve"> </w:t>
      </w:r>
      <w:r>
        <w:rPr>
          <w:lang w:val="hu-HU"/>
        </w:rPr>
        <w:t>kiadásának</w:t>
      </w:r>
      <w:r>
        <w:rPr>
          <w:spacing w:val="-4"/>
          <w:lang w:val="hu-HU"/>
        </w:rPr>
        <w:t xml:space="preserve"> </w:t>
      </w:r>
      <w:r>
        <w:rPr>
          <w:lang w:val="hu-HU"/>
        </w:rPr>
        <w:t>dátuma:</w:t>
      </w:r>
      <w:r>
        <w:rPr>
          <w:spacing w:val="-4"/>
          <w:lang w:val="hu-HU"/>
        </w:rPr>
        <w:t xml:space="preserve"> 2023. szeptember 21.</w:t>
      </w:r>
    </w:p>
    <w:p w:rsidR="007D7140" w:rsidRDefault="007D7140">
      <w:pPr>
        <w:rPr>
          <w:lang w:val="hu-HU"/>
        </w:rPr>
      </w:pPr>
    </w:p>
    <w:p w:rsidR="007D7140" w:rsidRDefault="007D7140">
      <w:pPr>
        <w:rPr>
          <w:lang w:val="hu-HU"/>
        </w:rPr>
      </w:pPr>
    </w:p>
    <w:p w:rsidR="007D7140" w:rsidRDefault="00A207BA">
      <w:pPr>
        <w:pStyle w:val="Listaszerbekezds"/>
        <w:keepNext/>
        <w:numPr>
          <w:ilvl w:val="0"/>
          <w:numId w:val="16"/>
        </w:numPr>
        <w:ind w:left="567" w:hanging="567"/>
        <w:rPr>
          <w:b/>
          <w:bCs/>
          <w:lang w:val="hu-HU"/>
        </w:rPr>
      </w:pPr>
      <w:r>
        <w:rPr>
          <w:b/>
          <w:bCs/>
          <w:lang w:val="hu-HU"/>
        </w:rPr>
        <w:lastRenderedPageBreak/>
        <w:t>A</w:t>
      </w:r>
      <w:r>
        <w:rPr>
          <w:b/>
          <w:bCs/>
          <w:spacing w:val="-4"/>
          <w:lang w:val="hu-HU"/>
        </w:rPr>
        <w:t xml:space="preserve"> </w:t>
      </w:r>
      <w:r>
        <w:rPr>
          <w:b/>
          <w:bCs/>
          <w:lang w:val="hu-HU"/>
        </w:rPr>
        <w:t>SZÖVEG</w:t>
      </w:r>
      <w:r>
        <w:rPr>
          <w:b/>
          <w:bCs/>
          <w:spacing w:val="-3"/>
          <w:lang w:val="hu-HU"/>
        </w:rPr>
        <w:t xml:space="preserve"> </w:t>
      </w:r>
      <w:r>
        <w:rPr>
          <w:b/>
          <w:bCs/>
          <w:lang w:val="hu-HU"/>
        </w:rPr>
        <w:t>ELLENŐRZÉSÉNEK</w:t>
      </w:r>
      <w:r>
        <w:rPr>
          <w:b/>
          <w:bCs/>
          <w:spacing w:val="-3"/>
          <w:lang w:val="hu-HU"/>
        </w:rPr>
        <w:t xml:space="preserve"> </w:t>
      </w:r>
      <w:r>
        <w:rPr>
          <w:b/>
          <w:bCs/>
          <w:lang w:val="hu-HU"/>
        </w:rPr>
        <w:t>DÁTUMA</w:t>
      </w:r>
    </w:p>
    <w:p w:rsidR="007D7140" w:rsidRDefault="007D7140">
      <w:pPr>
        <w:rPr>
          <w:lang w:val="hu-HU"/>
        </w:rPr>
      </w:pPr>
    </w:p>
    <w:p w:rsidR="007D7140" w:rsidRDefault="00A207BA">
      <w:pPr>
        <w:rPr>
          <w:spacing w:val="-4"/>
          <w:lang w:val="hu-HU"/>
        </w:rPr>
      </w:pPr>
      <w:r>
        <w:rPr>
          <w:spacing w:val="-4"/>
          <w:lang w:val="hu-HU"/>
        </w:rPr>
        <w:t>202</w:t>
      </w:r>
      <w:r w:rsidR="00D973D6">
        <w:rPr>
          <w:spacing w:val="-4"/>
          <w:lang w:val="hu-HU"/>
        </w:rPr>
        <w:t>6. március 16.</w:t>
      </w:r>
    </w:p>
    <w:p w:rsidR="007D7140" w:rsidRDefault="007D7140">
      <w:pPr>
        <w:rPr>
          <w:spacing w:val="-4"/>
          <w:lang w:val="hu-HU"/>
        </w:rPr>
      </w:pPr>
    </w:p>
    <w:sectPr w:rsidR="007D7140">
      <w:headerReference w:type="default" r:id="rId8"/>
      <w:headerReference w:type="firs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7BA" w:rsidRDefault="00A207BA">
      <w:r>
        <w:separator/>
      </w:r>
    </w:p>
  </w:endnote>
  <w:endnote w:type="continuationSeparator" w:id="0">
    <w:p w:rsidR="00A207BA" w:rsidRDefault="00A2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BA" w:rsidRDefault="00A207BA">
    <w:pPr>
      <w:pStyle w:val="llb"/>
      <w:rPr>
        <w:sz w:val="18"/>
        <w:szCs w:val="18"/>
      </w:rPr>
    </w:pPr>
    <w:r w:rsidRPr="00A207BA">
      <w:rPr>
        <w:sz w:val="18"/>
        <w:szCs w:val="18"/>
      </w:rPr>
      <w:t>NNGYK/ETGY/5159/2026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7BA" w:rsidRDefault="00A207BA">
      <w:r>
        <w:separator/>
      </w:r>
    </w:p>
  </w:footnote>
  <w:footnote w:type="continuationSeparator" w:id="0">
    <w:p w:rsidR="00A207BA" w:rsidRDefault="00A20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9340059"/>
      <w:docPartObj>
        <w:docPartGallery w:val="Page Numbers (Top of Page)"/>
        <w:docPartUnique/>
      </w:docPartObj>
    </w:sdtPr>
    <w:sdtEndPr/>
    <w:sdtContent>
      <w:p w:rsidR="00A207BA" w:rsidRDefault="00A207BA">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27548" w:rsidRPr="00527548">
          <w:rPr>
            <w:noProof/>
            <w:sz w:val="18"/>
            <w:szCs w:val="18"/>
            <w:lang w:val="hu-HU"/>
          </w:rPr>
          <w:t>46</w:t>
        </w:r>
        <w:r>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BA" w:rsidRDefault="00A207B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71C0"/>
    <w:multiLevelType w:val="hybridMultilevel"/>
    <w:tmpl w:val="99028CF0"/>
    <w:lvl w:ilvl="0" w:tplc="040E0001">
      <w:start w:val="1"/>
      <w:numFmt w:val="bullet"/>
      <w:lvlText w:val=""/>
      <w:lvlJc w:val="left"/>
      <w:pPr>
        <w:ind w:left="566"/>
      </w:pPr>
      <w:rPr>
        <w:rFonts w:ascii="Symbol" w:hAnsi="Symbol" w:hint="default"/>
        <w:b w:val="0"/>
        <w:bCs w:val="0"/>
        <w:i w:val="0"/>
        <w:strike w:val="0"/>
        <w:dstrike w:val="0"/>
        <w:color w:val="000000"/>
        <w:sz w:val="22"/>
        <w:szCs w:val="22"/>
        <w:u w:val="none" w:color="000000"/>
        <w:bdr w:val="nil"/>
        <w:shd w:val="clear" w:color="auto" w:fill="auto"/>
        <w:vertAlign w:val="baseline"/>
      </w:rPr>
    </w:lvl>
    <w:lvl w:ilvl="1" w:tplc="FFFFFFFF">
      <w:start w:val="1"/>
      <w:numFmt w:val="bullet"/>
      <w:lvlText w:val="o"/>
      <w:lvlJc w:val="left"/>
      <w:pPr>
        <w:ind w:left="109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2" w:tplc="FFFFFFFF">
      <w:start w:val="1"/>
      <w:numFmt w:val="bullet"/>
      <w:lvlText w:val="▪"/>
      <w:lvlJc w:val="left"/>
      <w:pPr>
        <w:ind w:left="181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3" w:tplc="FFFFFFFF">
      <w:start w:val="1"/>
      <w:numFmt w:val="bullet"/>
      <w:lvlText w:val="•"/>
      <w:lvlJc w:val="left"/>
      <w:pPr>
        <w:ind w:left="253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4" w:tplc="FFFFFFFF">
      <w:start w:val="1"/>
      <w:numFmt w:val="bullet"/>
      <w:lvlText w:val="o"/>
      <w:lvlJc w:val="left"/>
      <w:pPr>
        <w:ind w:left="325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5" w:tplc="FFFFFFFF">
      <w:start w:val="1"/>
      <w:numFmt w:val="bullet"/>
      <w:lvlText w:val="▪"/>
      <w:lvlJc w:val="left"/>
      <w:pPr>
        <w:ind w:left="397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6" w:tplc="FFFFFFFF">
      <w:start w:val="1"/>
      <w:numFmt w:val="bullet"/>
      <w:lvlText w:val="•"/>
      <w:lvlJc w:val="left"/>
      <w:pPr>
        <w:ind w:left="469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7" w:tplc="FFFFFFFF">
      <w:start w:val="1"/>
      <w:numFmt w:val="bullet"/>
      <w:lvlText w:val="o"/>
      <w:lvlJc w:val="left"/>
      <w:pPr>
        <w:ind w:left="541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8" w:tplc="FFFFFFFF">
      <w:start w:val="1"/>
      <w:numFmt w:val="bullet"/>
      <w:lvlText w:val="▪"/>
      <w:lvlJc w:val="left"/>
      <w:pPr>
        <w:ind w:left="613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abstractNum>
  <w:abstractNum w:abstractNumId="1" w15:restartNumberingAfterBreak="0">
    <w:nsid w:val="02F409FF"/>
    <w:multiLevelType w:val="hybridMultilevel"/>
    <w:tmpl w:val="5E5417EA"/>
    <w:lvl w:ilvl="0" w:tplc="040E0001">
      <w:start w:val="1"/>
      <w:numFmt w:val="bullet"/>
      <w:lvlText w:val=""/>
      <w:lvlJc w:val="left"/>
      <w:pPr>
        <w:ind w:left="866" w:hanging="360"/>
      </w:pPr>
      <w:rPr>
        <w:rFonts w:ascii="Symbol" w:hAnsi="Symbol" w:hint="default"/>
      </w:rPr>
    </w:lvl>
    <w:lvl w:ilvl="1" w:tplc="040E0003" w:tentative="1">
      <w:start w:val="1"/>
      <w:numFmt w:val="bullet"/>
      <w:lvlText w:val="o"/>
      <w:lvlJc w:val="left"/>
      <w:pPr>
        <w:ind w:left="1586" w:hanging="360"/>
      </w:pPr>
      <w:rPr>
        <w:rFonts w:ascii="Courier New" w:hAnsi="Courier New" w:cs="Courier New" w:hint="default"/>
      </w:rPr>
    </w:lvl>
    <w:lvl w:ilvl="2" w:tplc="040E0005" w:tentative="1">
      <w:start w:val="1"/>
      <w:numFmt w:val="bullet"/>
      <w:lvlText w:val=""/>
      <w:lvlJc w:val="left"/>
      <w:pPr>
        <w:ind w:left="2306" w:hanging="360"/>
      </w:pPr>
      <w:rPr>
        <w:rFonts w:ascii="Wingdings" w:hAnsi="Wingdings" w:hint="default"/>
      </w:rPr>
    </w:lvl>
    <w:lvl w:ilvl="3" w:tplc="040E0001" w:tentative="1">
      <w:start w:val="1"/>
      <w:numFmt w:val="bullet"/>
      <w:lvlText w:val=""/>
      <w:lvlJc w:val="left"/>
      <w:pPr>
        <w:ind w:left="3026" w:hanging="360"/>
      </w:pPr>
      <w:rPr>
        <w:rFonts w:ascii="Symbol" w:hAnsi="Symbol" w:hint="default"/>
      </w:rPr>
    </w:lvl>
    <w:lvl w:ilvl="4" w:tplc="040E0003" w:tentative="1">
      <w:start w:val="1"/>
      <w:numFmt w:val="bullet"/>
      <w:lvlText w:val="o"/>
      <w:lvlJc w:val="left"/>
      <w:pPr>
        <w:ind w:left="3746" w:hanging="360"/>
      </w:pPr>
      <w:rPr>
        <w:rFonts w:ascii="Courier New" w:hAnsi="Courier New" w:cs="Courier New" w:hint="default"/>
      </w:rPr>
    </w:lvl>
    <w:lvl w:ilvl="5" w:tplc="040E0005" w:tentative="1">
      <w:start w:val="1"/>
      <w:numFmt w:val="bullet"/>
      <w:lvlText w:val=""/>
      <w:lvlJc w:val="left"/>
      <w:pPr>
        <w:ind w:left="4466" w:hanging="360"/>
      </w:pPr>
      <w:rPr>
        <w:rFonts w:ascii="Wingdings" w:hAnsi="Wingdings" w:hint="default"/>
      </w:rPr>
    </w:lvl>
    <w:lvl w:ilvl="6" w:tplc="040E0001" w:tentative="1">
      <w:start w:val="1"/>
      <w:numFmt w:val="bullet"/>
      <w:lvlText w:val=""/>
      <w:lvlJc w:val="left"/>
      <w:pPr>
        <w:ind w:left="5186" w:hanging="360"/>
      </w:pPr>
      <w:rPr>
        <w:rFonts w:ascii="Symbol" w:hAnsi="Symbol" w:hint="default"/>
      </w:rPr>
    </w:lvl>
    <w:lvl w:ilvl="7" w:tplc="040E0003" w:tentative="1">
      <w:start w:val="1"/>
      <w:numFmt w:val="bullet"/>
      <w:lvlText w:val="o"/>
      <w:lvlJc w:val="left"/>
      <w:pPr>
        <w:ind w:left="5906" w:hanging="360"/>
      </w:pPr>
      <w:rPr>
        <w:rFonts w:ascii="Courier New" w:hAnsi="Courier New" w:cs="Courier New" w:hint="default"/>
      </w:rPr>
    </w:lvl>
    <w:lvl w:ilvl="8" w:tplc="040E0005" w:tentative="1">
      <w:start w:val="1"/>
      <w:numFmt w:val="bullet"/>
      <w:lvlText w:val=""/>
      <w:lvlJc w:val="left"/>
      <w:pPr>
        <w:ind w:left="6626" w:hanging="360"/>
      </w:pPr>
      <w:rPr>
        <w:rFonts w:ascii="Wingdings" w:hAnsi="Wingdings" w:hint="default"/>
      </w:rPr>
    </w:lvl>
  </w:abstractNum>
  <w:abstractNum w:abstractNumId="2" w15:restartNumberingAfterBreak="0">
    <w:nsid w:val="08D86DF3"/>
    <w:multiLevelType w:val="hybridMultilevel"/>
    <w:tmpl w:val="A8B0D7CC"/>
    <w:lvl w:ilvl="0" w:tplc="040E0001">
      <w:start w:val="1"/>
      <w:numFmt w:val="bullet"/>
      <w:lvlText w:val=""/>
      <w:lvlJc w:val="left"/>
      <w:pPr>
        <w:ind w:left="866" w:hanging="360"/>
      </w:pPr>
      <w:rPr>
        <w:rFonts w:ascii="Symbol" w:hAnsi="Symbol" w:hint="default"/>
      </w:rPr>
    </w:lvl>
    <w:lvl w:ilvl="1" w:tplc="040E0003" w:tentative="1">
      <w:start w:val="1"/>
      <w:numFmt w:val="bullet"/>
      <w:lvlText w:val="o"/>
      <w:lvlJc w:val="left"/>
      <w:pPr>
        <w:ind w:left="1586" w:hanging="360"/>
      </w:pPr>
      <w:rPr>
        <w:rFonts w:ascii="Courier New" w:hAnsi="Courier New" w:cs="Courier New" w:hint="default"/>
      </w:rPr>
    </w:lvl>
    <w:lvl w:ilvl="2" w:tplc="040E0005" w:tentative="1">
      <w:start w:val="1"/>
      <w:numFmt w:val="bullet"/>
      <w:lvlText w:val=""/>
      <w:lvlJc w:val="left"/>
      <w:pPr>
        <w:ind w:left="2306" w:hanging="360"/>
      </w:pPr>
      <w:rPr>
        <w:rFonts w:ascii="Wingdings" w:hAnsi="Wingdings" w:hint="default"/>
      </w:rPr>
    </w:lvl>
    <w:lvl w:ilvl="3" w:tplc="040E0001" w:tentative="1">
      <w:start w:val="1"/>
      <w:numFmt w:val="bullet"/>
      <w:lvlText w:val=""/>
      <w:lvlJc w:val="left"/>
      <w:pPr>
        <w:ind w:left="3026" w:hanging="360"/>
      </w:pPr>
      <w:rPr>
        <w:rFonts w:ascii="Symbol" w:hAnsi="Symbol" w:hint="default"/>
      </w:rPr>
    </w:lvl>
    <w:lvl w:ilvl="4" w:tplc="040E0003" w:tentative="1">
      <w:start w:val="1"/>
      <w:numFmt w:val="bullet"/>
      <w:lvlText w:val="o"/>
      <w:lvlJc w:val="left"/>
      <w:pPr>
        <w:ind w:left="3746" w:hanging="360"/>
      </w:pPr>
      <w:rPr>
        <w:rFonts w:ascii="Courier New" w:hAnsi="Courier New" w:cs="Courier New" w:hint="default"/>
      </w:rPr>
    </w:lvl>
    <w:lvl w:ilvl="5" w:tplc="040E0005" w:tentative="1">
      <w:start w:val="1"/>
      <w:numFmt w:val="bullet"/>
      <w:lvlText w:val=""/>
      <w:lvlJc w:val="left"/>
      <w:pPr>
        <w:ind w:left="4466" w:hanging="360"/>
      </w:pPr>
      <w:rPr>
        <w:rFonts w:ascii="Wingdings" w:hAnsi="Wingdings" w:hint="default"/>
      </w:rPr>
    </w:lvl>
    <w:lvl w:ilvl="6" w:tplc="040E0001" w:tentative="1">
      <w:start w:val="1"/>
      <w:numFmt w:val="bullet"/>
      <w:lvlText w:val=""/>
      <w:lvlJc w:val="left"/>
      <w:pPr>
        <w:ind w:left="5186" w:hanging="360"/>
      </w:pPr>
      <w:rPr>
        <w:rFonts w:ascii="Symbol" w:hAnsi="Symbol" w:hint="default"/>
      </w:rPr>
    </w:lvl>
    <w:lvl w:ilvl="7" w:tplc="040E0003" w:tentative="1">
      <w:start w:val="1"/>
      <w:numFmt w:val="bullet"/>
      <w:lvlText w:val="o"/>
      <w:lvlJc w:val="left"/>
      <w:pPr>
        <w:ind w:left="5906" w:hanging="360"/>
      </w:pPr>
      <w:rPr>
        <w:rFonts w:ascii="Courier New" w:hAnsi="Courier New" w:cs="Courier New" w:hint="default"/>
      </w:rPr>
    </w:lvl>
    <w:lvl w:ilvl="8" w:tplc="040E0005" w:tentative="1">
      <w:start w:val="1"/>
      <w:numFmt w:val="bullet"/>
      <w:lvlText w:val=""/>
      <w:lvlJc w:val="left"/>
      <w:pPr>
        <w:ind w:left="6626" w:hanging="360"/>
      </w:pPr>
      <w:rPr>
        <w:rFonts w:ascii="Wingdings" w:hAnsi="Wingdings" w:hint="default"/>
      </w:rPr>
    </w:lvl>
  </w:abstractNum>
  <w:abstractNum w:abstractNumId="3" w15:restartNumberingAfterBreak="0">
    <w:nsid w:val="0D923BFA"/>
    <w:multiLevelType w:val="hybridMultilevel"/>
    <w:tmpl w:val="5C663C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EC3094C"/>
    <w:multiLevelType w:val="hybridMultilevel"/>
    <w:tmpl w:val="AB7646D2"/>
    <w:lvl w:ilvl="0" w:tplc="BF6C1868">
      <w:start w:val="8"/>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5517769"/>
    <w:multiLevelType w:val="hybridMultilevel"/>
    <w:tmpl w:val="70A03A24"/>
    <w:lvl w:ilvl="0" w:tplc="040E0001">
      <w:start w:val="1"/>
      <w:numFmt w:val="bullet"/>
      <w:lvlText w:val=""/>
      <w:lvlJc w:val="left"/>
      <w:pPr>
        <w:ind w:left="566"/>
      </w:pPr>
      <w:rPr>
        <w:rFonts w:ascii="Symbol" w:hAnsi="Symbol" w:hint="default"/>
        <w:b w:val="0"/>
        <w:bCs w:val="0"/>
        <w:i w:val="0"/>
        <w:strike w:val="0"/>
        <w:dstrike w:val="0"/>
        <w:color w:val="000000"/>
        <w:sz w:val="22"/>
        <w:szCs w:val="22"/>
        <w:u w:val="none" w:color="000000"/>
        <w:bdr w:val="nil"/>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3" w:tplc="FFFFFFFF">
      <w:start w:val="1"/>
      <w:numFmt w:val="bullet"/>
      <w:lvlText w:val="•"/>
      <w:lvlJc w:val="left"/>
      <w:pPr>
        <w:ind w:left="252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6" w:tplc="FFFFFFFF">
      <w:start w:val="1"/>
      <w:numFmt w:val="bullet"/>
      <w:lvlText w:val="•"/>
      <w:lvlJc w:val="left"/>
      <w:pPr>
        <w:ind w:left="468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abstractNum>
  <w:abstractNum w:abstractNumId="6" w15:restartNumberingAfterBreak="0">
    <w:nsid w:val="15E11266"/>
    <w:multiLevelType w:val="hybridMultilevel"/>
    <w:tmpl w:val="177C7772"/>
    <w:lvl w:ilvl="0" w:tplc="040E0001">
      <w:start w:val="1"/>
      <w:numFmt w:val="bullet"/>
      <w:lvlText w:val=""/>
      <w:lvlJc w:val="left"/>
      <w:pPr>
        <w:ind w:left="732"/>
      </w:pPr>
      <w:rPr>
        <w:rFonts w:ascii="Symbol" w:hAnsi="Symbol" w:hint="default"/>
        <w:b w:val="0"/>
        <w:bCs w:val="0"/>
        <w:i w:val="0"/>
        <w:strike w:val="0"/>
        <w:dstrike w:val="0"/>
        <w:color w:val="000000"/>
        <w:sz w:val="22"/>
        <w:szCs w:val="22"/>
        <w:u w:val="none" w:color="000000"/>
        <w:bdr w:val="nil"/>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3" w:tplc="FFFFFFFF">
      <w:start w:val="1"/>
      <w:numFmt w:val="bullet"/>
      <w:lvlText w:val="•"/>
      <w:lvlJc w:val="left"/>
      <w:pPr>
        <w:ind w:left="288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6" w:tplc="FFFFFFFF">
      <w:start w:val="1"/>
      <w:numFmt w:val="bullet"/>
      <w:lvlText w:val="•"/>
      <w:lvlJc w:val="left"/>
      <w:pPr>
        <w:ind w:left="504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abstractNum>
  <w:abstractNum w:abstractNumId="7" w15:restartNumberingAfterBreak="0">
    <w:nsid w:val="1EAA18E3"/>
    <w:multiLevelType w:val="hybridMultilevel"/>
    <w:tmpl w:val="879CD194"/>
    <w:lvl w:ilvl="0" w:tplc="DA8A6D90">
      <w:start w:val="10"/>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6F70348"/>
    <w:multiLevelType w:val="hybridMultilevel"/>
    <w:tmpl w:val="1004D60E"/>
    <w:lvl w:ilvl="0" w:tplc="040E0001">
      <w:start w:val="1"/>
      <w:numFmt w:val="bullet"/>
      <w:lvlText w:val=""/>
      <w:lvlJc w:val="left"/>
      <w:pPr>
        <w:ind w:left="566"/>
      </w:pPr>
      <w:rPr>
        <w:rFonts w:ascii="Symbol" w:hAnsi="Symbol" w:hint="default"/>
        <w:b w:val="0"/>
        <w:bCs w:val="0"/>
        <w:i w:val="0"/>
        <w:strike w:val="0"/>
        <w:dstrike w:val="0"/>
        <w:color w:val="000000"/>
        <w:sz w:val="22"/>
        <w:szCs w:val="22"/>
        <w:u w:val="none" w:color="000000"/>
        <w:bdr w:val="nil"/>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3" w:tplc="FFFFFFFF">
      <w:start w:val="1"/>
      <w:numFmt w:val="bullet"/>
      <w:lvlText w:val="•"/>
      <w:lvlJc w:val="left"/>
      <w:pPr>
        <w:ind w:left="252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6" w:tplc="FFFFFFFF">
      <w:start w:val="1"/>
      <w:numFmt w:val="bullet"/>
      <w:lvlText w:val="•"/>
      <w:lvlJc w:val="left"/>
      <w:pPr>
        <w:ind w:left="468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abstractNum>
  <w:abstractNum w:abstractNumId="9" w15:restartNumberingAfterBreak="0">
    <w:nsid w:val="3C066E0F"/>
    <w:multiLevelType w:val="hybridMultilevel"/>
    <w:tmpl w:val="88ACD91A"/>
    <w:lvl w:ilvl="0" w:tplc="040E0001">
      <w:start w:val="1"/>
      <w:numFmt w:val="bullet"/>
      <w:lvlText w:val=""/>
      <w:lvlJc w:val="left"/>
      <w:pPr>
        <w:ind w:left="566"/>
      </w:pPr>
      <w:rPr>
        <w:rFonts w:ascii="Symbol" w:hAnsi="Symbol" w:hint="default"/>
        <w:b w:val="0"/>
        <w:bCs w:val="0"/>
        <w:i w:val="0"/>
        <w:strike w:val="0"/>
        <w:dstrike w:val="0"/>
        <w:color w:val="000000"/>
        <w:sz w:val="22"/>
        <w:szCs w:val="22"/>
        <w:u w:val="none" w:color="000000"/>
        <w:bdr w:val="nil"/>
        <w:shd w:val="clear" w:color="auto" w:fill="auto"/>
        <w:vertAlign w:val="baseline"/>
      </w:rPr>
    </w:lvl>
    <w:lvl w:ilvl="1" w:tplc="FFFFFFFF">
      <w:start w:val="1"/>
      <w:numFmt w:val="bullet"/>
      <w:lvlText w:val="o"/>
      <w:lvlJc w:val="left"/>
      <w:pPr>
        <w:ind w:left="109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2" w:tplc="FFFFFFFF">
      <w:start w:val="1"/>
      <w:numFmt w:val="bullet"/>
      <w:lvlText w:val="▪"/>
      <w:lvlJc w:val="left"/>
      <w:pPr>
        <w:ind w:left="181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3" w:tplc="FFFFFFFF">
      <w:start w:val="1"/>
      <w:numFmt w:val="bullet"/>
      <w:lvlText w:val="•"/>
      <w:lvlJc w:val="left"/>
      <w:pPr>
        <w:ind w:left="253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4" w:tplc="FFFFFFFF">
      <w:start w:val="1"/>
      <w:numFmt w:val="bullet"/>
      <w:lvlText w:val="o"/>
      <w:lvlJc w:val="left"/>
      <w:pPr>
        <w:ind w:left="325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5" w:tplc="FFFFFFFF">
      <w:start w:val="1"/>
      <w:numFmt w:val="bullet"/>
      <w:lvlText w:val="▪"/>
      <w:lvlJc w:val="left"/>
      <w:pPr>
        <w:ind w:left="397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6" w:tplc="FFFFFFFF">
      <w:start w:val="1"/>
      <w:numFmt w:val="bullet"/>
      <w:lvlText w:val="•"/>
      <w:lvlJc w:val="left"/>
      <w:pPr>
        <w:ind w:left="4690"/>
      </w:pPr>
      <w:rPr>
        <w:rFonts w:ascii="Arial" w:eastAsia="Arial" w:hAnsi="Arial" w:cs="Arial"/>
        <w:b w:val="0"/>
        <w:bCs w:val="0"/>
        <w:i w:val="0"/>
        <w:strike w:val="0"/>
        <w:dstrike w:val="0"/>
        <w:color w:val="000000"/>
        <w:sz w:val="22"/>
        <w:szCs w:val="22"/>
        <w:u w:val="none" w:color="000000"/>
        <w:bdr w:val="nil"/>
        <w:shd w:val="clear" w:color="auto" w:fill="auto"/>
        <w:vertAlign w:val="baseline"/>
      </w:rPr>
    </w:lvl>
    <w:lvl w:ilvl="7" w:tplc="FFFFFFFF">
      <w:start w:val="1"/>
      <w:numFmt w:val="bullet"/>
      <w:lvlText w:val="o"/>
      <w:lvlJc w:val="left"/>
      <w:pPr>
        <w:ind w:left="541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lvl w:ilvl="8" w:tplc="FFFFFFFF">
      <w:start w:val="1"/>
      <w:numFmt w:val="bullet"/>
      <w:lvlText w:val="▪"/>
      <w:lvlJc w:val="left"/>
      <w:pPr>
        <w:ind w:left="6130"/>
      </w:pPr>
      <w:rPr>
        <w:rFonts w:ascii="Segoe UI Symbol" w:eastAsia="Segoe UI Symbol" w:hAnsi="Segoe UI Symbol" w:cs="Segoe UI Symbol"/>
        <w:b w:val="0"/>
        <w:bCs w:val="0"/>
        <w:i w:val="0"/>
        <w:strike w:val="0"/>
        <w:dstrike w:val="0"/>
        <w:color w:val="000000"/>
        <w:sz w:val="22"/>
        <w:szCs w:val="22"/>
        <w:u w:val="none" w:color="000000"/>
        <w:bdr w:val="nil"/>
        <w:shd w:val="clear" w:color="auto" w:fill="auto"/>
        <w:vertAlign w:val="baseline"/>
      </w:rPr>
    </w:lvl>
  </w:abstractNum>
  <w:abstractNum w:abstractNumId="10" w15:restartNumberingAfterBreak="0">
    <w:nsid w:val="48A2438D"/>
    <w:multiLevelType w:val="hybridMultilevel"/>
    <w:tmpl w:val="8EA015E0"/>
    <w:lvl w:ilvl="0" w:tplc="5D74A940">
      <w:start w:val="6"/>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7D4196E"/>
    <w:multiLevelType w:val="hybridMultilevel"/>
    <w:tmpl w:val="3F40F874"/>
    <w:lvl w:ilvl="0" w:tplc="040E0001">
      <w:start w:val="1"/>
      <w:numFmt w:val="bullet"/>
      <w:lvlText w:val=""/>
      <w:lvlJc w:val="left"/>
      <w:pPr>
        <w:ind w:left="720" w:hanging="360"/>
      </w:pPr>
      <w:rPr>
        <w:rFonts w:ascii="Symbol" w:hAnsi="Symbol"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2B578FF"/>
    <w:multiLevelType w:val="hybridMultilevel"/>
    <w:tmpl w:val="52DE84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98E440B"/>
    <w:multiLevelType w:val="hybridMultilevel"/>
    <w:tmpl w:val="920668FC"/>
    <w:lvl w:ilvl="0" w:tplc="34E8FF2A">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C9F639A"/>
    <w:multiLevelType w:val="hybridMultilevel"/>
    <w:tmpl w:val="9490CE8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786C0BC0"/>
    <w:multiLevelType w:val="hybridMultilevel"/>
    <w:tmpl w:val="06F8935C"/>
    <w:lvl w:ilvl="0" w:tplc="040E0001">
      <w:start w:val="1"/>
      <w:numFmt w:val="bullet"/>
      <w:lvlText w:val=""/>
      <w:lvlJc w:val="left"/>
      <w:pPr>
        <w:ind w:left="866" w:hanging="360"/>
      </w:pPr>
      <w:rPr>
        <w:rFonts w:ascii="Symbol" w:hAnsi="Symbol" w:hint="default"/>
      </w:rPr>
    </w:lvl>
    <w:lvl w:ilvl="1" w:tplc="040E0003" w:tentative="1">
      <w:start w:val="1"/>
      <w:numFmt w:val="bullet"/>
      <w:lvlText w:val="o"/>
      <w:lvlJc w:val="left"/>
      <w:pPr>
        <w:ind w:left="1586" w:hanging="360"/>
      </w:pPr>
      <w:rPr>
        <w:rFonts w:ascii="Courier New" w:hAnsi="Courier New" w:cs="Courier New" w:hint="default"/>
      </w:rPr>
    </w:lvl>
    <w:lvl w:ilvl="2" w:tplc="040E0005" w:tentative="1">
      <w:start w:val="1"/>
      <w:numFmt w:val="bullet"/>
      <w:lvlText w:val=""/>
      <w:lvlJc w:val="left"/>
      <w:pPr>
        <w:ind w:left="2306" w:hanging="360"/>
      </w:pPr>
      <w:rPr>
        <w:rFonts w:ascii="Wingdings" w:hAnsi="Wingdings" w:hint="default"/>
      </w:rPr>
    </w:lvl>
    <w:lvl w:ilvl="3" w:tplc="040E0001" w:tentative="1">
      <w:start w:val="1"/>
      <w:numFmt w:val="bullet"/>
      <w:lvlText w:val=""/>
      <w:lvlJc w:val="left"/>
      <w:pPr>
        <w:ind w:left="3026" w:hanging="360"/>
      </w:pPr>
      <w:rPr>
        <w:rFonts w:ascii="Symbol" w:hAnsi="Symbol" w:hint="default"/>
      </w:rPr>
    </w:lvl>
    <w:lvl w:ilvl="4" w:tplc="040E0003" w:tentative="1">
      <w:start w:val="1"/>
      <w:numFmt w:val="bullet"/>
      <w:lvlText w:val="o"/>
      <w:lvlJc w:val="left"/>
      <w:pPr>
        <w:ind w:left="3746" w:hanging="360"/>
      </w:pPr>
      <w:rPr>
        <w:rFonts w:ascii="Courier New" w:hAnsi="Courier New" w:cs="Courier New" w:hint="default"/>
      </w:rPr>
    </w:lvl>
    <w:lvl w:ilvl="5" w:tplc="040E0005" w:tentative="1">
      <w:start w:val="1"/>
      <w:numFmt w:val="bullet"/>
      <w:lvlText w:val=""/>
      <w:lvlJc w:val="left"/>
      <w:pPr>
        <w:ind w:left="4466" w:hanging="360"/>
      </w:pPr>
      <w:rPr>
        <w:rFonts w:ascii="Wingdings" w:hAnsi="Wingdings" w:hint="default"/>
      </w:rPr>
    </w:lvl>
    <w:lvl w:ilvl="6" w:tplc="040E0001" w:tentative="1">
      <w:start w:val="1"/>
      <w:numFmt w:val="bullet"/>
      <w:lvlText w:val=""/>
      <w:lvlJc w:val="left"/>
      <w:pPr>
        <w:ind w:left="5186" w:hanging="360"/>
      </w:pPr>
      <w:rPr>
        <w:rFonts w:ascii="Symbol" w:hAnsi="Symbol" w:hint="default"/>
      </w:rPr>
    </w:lvl>
    <w:lvl w:ilvl="7" w:tplc="040E0003" w:tentative="1">
      <w:start w:val="1"/>
      <w:numFmt w:val="bullet"/>
      <w:lvlText w:val="o"/>
      <w:lvlJc w:val="left"/>
      <w:pPr>
        <w:ind w:left="5906" w:hanging="360"/>
      </w:pPr>
      <w:rPr>
        <w:rFonts w:ascii="Courier New" w:hAnsi="Courier New" w:cs="Courier New" w:hint="default"/>
      </w:rPr>
    </w:lvl>
    <w:lvl w:ilvl="8" w:tplc="040E0005" w:tentative="1">
      <w:start w:val="1"/>
      <w:numFmt w:val="bullet"/>
      <w:lvlText w:val=""/>
      <w:lvlJc w:val="left"/>
      <w:pPr>
        <w:ind w:left="6626" w:hanging="360"/>
      </w:pPr>
      <w:rPr>
        <w:rFonts w:ascii="Wingdings" w:hAnsi="Wingdings" w:hint="default"/>
      </w:rPr>
    </w:lvl>
  </w:abstractNum>
  <w:num w:numId="1">
    <w:abstractNumId w:val="13"/>
  </w:num>
  <w:num w:numId="2">
    <w:abstractNumId w:val="12"/>
  </w:num>
  <w:num w:numId="3">
    <w:abstractNumId w:val="8"/>
  </w:num>
  <w:num w:numId="4">
    <w:abstractNumId w:val="5"/>
  </w:num>
  <w:num w:numId="5">
    <w:abstractNumId w:val="6"/>
  </w:num>
  <w:num w:numId="6">
    <w:abstractNumId w:val="11"/>
  </w:num>
  <w:num w:numId="7">
    <w:abstractNumId w:val="14"/>
  </w:num>
  <w:num w:numId="8">
    <w:abstractNumId w:val="1"/>
  </w:num>
  <w:num w:numId="9">
    <w:abstractNumId w:val="2"/>
  </w:num>
  <w:num w:numId="10">
    <w:abstractNumId w:val="15"/>
  </w:num>
  <w:num w:numId="11">
    <w:abstractNumId w:val="3"/>
  </w:num>
  <w:num w:numId="12">
    <w:abstractNumId w:val="9"/>
  </w:num>
  <w:num w:numId="13">
    <w:abstractNumId w:val="0"/>
  </w:num>
  <w:num w:numId="14">
    <w:abstractNumId w:val="10"/>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549"/>
    <w:rsid w:val="00000D2E"/>
    <w:rsid w:val="000017E2"/>
    <w:rsid w:val="00001D52"/>
    <w:rsid w:val="0000629A"/>
    <w:rsid w:val="000107FD"/>
    <w:rsid w:val="000128D1"/>
    <w:rsid w:val="00014135"/>
    <w:rsid w:val="0001555B"/>
    <w:rsid w:val="000158AF"/>
    <w:rsid w:val="00023E2F"/>
    <w:rsid w:val="000241C2"/>
    <w:rsid w:val="00030BAA"/>
    <w:rsid w:val="000375FF"/>
    <w:rsid w:val="0004029E"/>
    <w:rsid w:val="0004173B"/>
    <w:rsid w:val="00043400"/>
    <w:rsid w:val="000446E7"/>
    <w:rsid w:val="0004485B"/>
    <w:rsid w:val="00055F94"/>
    <w:rsid w:val="00063B45"/>
    <w:rsid w:val="0006539F"/>
    <w:rsid w:val="00065ABF"/>
    <w:rsid w:val="00065FB2"/>
    <w:rsid w:val="00070A8C"/>
    <w:rsid w:val="00077D0A"/>
    <w:rsid w:val="000830D5"/>
    <w:rsid w:val="00085DB4"/>
    <w:rsid w:val="00094880"/>
    <w:rsid w:val="00096095"/>
    <w:rsid w:val="00096FA3"/>
    <w:rsid w:val="000A1300"/>
    <w:rsid w:val="000A2994"/>
    <w:rsid w:val="000B75E7"/>
    <w:rsid w:val="000C4EC4"/>
    <w:rsid w:val="000C5ABC"/>
    <w:rsid w:val="000C6E93"/>
    <w:rsid w:val="000D0E27"/>
    <w:rsid w:val="000D1668"/>
    <w:rsid w:val="000D2420"/>
    <w:rsid w:val="000D72C6"/>
    <w:rsid w:val="000E4613"/>
    <w:rsid w:val="000E4C45"/>
    <w:rsid w:val="000E5507"/>
    <w:rsid w:val="000E6E9E"/>
    <w:rsid w:val="000F09BC"/>
    <w:rsid w:val="000F3E6B"/>
    <w:rsid w:val="00100757"/>
    <w:rsid w:val="00101AEF"/>
    <w:rsid w:val="00102E45"/>
    <w:rsid w:val="00105388"/>
    <w:rsid w:val="00110235"/>
    <w:rsid w:val="00112FE4"/>
    <w:rsid w:val="001221A3"/>
    <w:rsid w:val="00124D2B"/>
    <w:rsid w:val="0013164D"/>
    <w:rsid w:val="001324A2"/>
    <w:rsid w:val="00132B61"/>
    <w:rsid w:val="00142BC9"/>
    <w:rsid w:val="001443D2"/>
    <w:rsid w:val="001466A5"/>
    <w:rsid w:val="001541F0"/>
    <w:rsid w:val="00156B49"/>
    <w:rsid w:val="001631CA"/>
    <w:rsid w:val="0016342C"/>
    <w:rsid w:val="001737A4"/>
    <w:rsid w:val="00174F4F"/>
    <w:rsid w:val="00175EA8"/>
    <w:rsid w:val="00182A5C"/>
    <w:rsid w:val="00183342"/>
    <w:rsid w:val="0018609F"/>
    <w:rsid w:val="00190C51"/>
    <w:rsid w:val="00192661"/>
    <w:rsid w:val="001971BF"/>
    <w:rsid w:val="001A129A"/>
    <w:rsid w:val="001A3B80"/>
    <w:rsid w:val="001B5E6E"/>
    <w:rsid w:val="001C513B"/>
    <w:rsid w:val="001C51CD"/>
    <w:rsid w:val="001C709D"/>
    <w:rsid w:val="001D24A4"/>
    <w:rsid w:val="001D262C"/>
    <w:rsid w:val="001D357B"/>
    <w:rsid w:val="001E56BD"/>
    <w:rsid w:val="001E61CA"/>
    <w:rsid w:val="001F245F"/>
    <w:rsid w:val="001F41A2"/>
    <w:rsid w:val="001F518B"/>
    <w:rsid w:val="00200E09"/>
    <w:rsid w:val="002106F3"/>
    <w:rsid w:val="00212CE5"/>
    <w:rsid w:val="00223289"/>
    <w:rsid w:val="00223BE5"/>
    <w:rsid w:val="00227E30"/>
    <w:rsid w:val="00231A85"/>
    <w:rsid w:val="00232CD1"/>
    <w:rsid w:val="00234CE6"/>
    <w:rsid w:val="00235372"/>
    <w:rsid w:val="00235617"/>
    <w:rsid w:val="00237D24"/>
    <w:rsid w:val="00242673"/>
    <w:rsid w:val="00245906"/>
    <w:rsid w:val="00245F06"/>
    <w:rsid w:val="00247B08"/>
    <w:rsid w:val="00250631"/>
    <w:rsid w:val="002509DC"/>
    <w:rsid w:val="0025375A"/>
    <w:rsid w:val="00260549"/>
    <w:rsid w:val="00262163"/>
    <w:rsid w:val="002658AF"/>
    <w:rsid w:val="00273ACB"/>
    <w:rsid w:val="00273FE5"/>
    <w:rsid w:val="00280697"/>
    <w:rsid w:val="00283240"/>
    <w:rsid w:val="00283ECF"/>
    <w:rsid w:val="00286944"/>
    <w:rsid w:val="00287513"/>
    <w:rsid w:val="002905A7"/>
    <w:rsid w:val="00296B9C"/>
    <w:rsid w:val="002A46FF"/>
    <w:rsid w:val="002A580B"/>
    <w:rsid w:val="002A5F43"/>
    <w:rsid w:val="002A64F2"/>
    <w:rsid w:val="002B4B0C"/>
    <w:rsid w:val="002B4C08"/>
    <w:rsid w:val="002C0DE7"/>
    <w:rsid w:val="002C0EF1"/>
    <w:rsid w:val="002C2601"/>
    <w:rsid w:val="002C75A1"/>
    <w:rsid w:val="002C763A"/>
    <w:rsid w:val="002D64FD"/>
    <w:rsid w:val="002E12FE"/>
    <w:rsid w:val="002E30DE"/>
    <w:rsid w:val="002E4F98"/>
    <w:rsid w:val="002F132E"/>
    <w:rsid w:val="002F14ED"/>
    <w:rsid w:val="002F79AB"/>
    <w:rsid w:val="002F7BEB"/>
    <w:rsid w:val="003004BC"/>
    <w:rsid w:val="003008BC"/>
    <w:rsid w:val="00301228"/>
    <w:rsid w:val="003025A2"/>
    <w:rsid w:val="0030416B"/>
    <w:rsid w:val="00305E07"/>
    <w:rsid w:val="003101B5"/>
    <w:rsid w:val="00311682"/>
    <w:rsid w:val="0031433E"/>
    <w:rsid w:val="003143E4"/>
    <w:rsid w:val="0032595E"/>
    <w:rsid w:val="003275BF"/>
    <w:rsid w:val="00330D89"/>
    <w:rsid w:val="0033207A"/>
    <w:rsid w:val="00340C80"/>
    <w:rsid w:val="00344D57"/>
    <w:rsid w:val="00351585"/>
    <w:rsid w:val="00354428"/>
    <w:rsid w:val="0035794B"/>
    <w:rsid w:val="00361626"/>
    <w:rsid w:val="00366535"/>
    <w:rsid w:val="0037062F"/>
    <w:rsid w:val="00391EDD"/>
    <w:rsid w:val="0039337B"/>
    <w:rsid w:val="003934B6"/>
    <w:rsid w:val="003963EE"/>
    <w:rsid w:val="003B61CD"/>
    <w:rsid w:val="003B7454"/>
    <w:rsid w:val="003C4F71"/>
    <w:rsid w:val="003C7DDE"/>
    <w:rsid w:val="003D208A"/>
    <w:rsid w:val="003D364C"/>
    <w:rsid w:val="003D519E"/>
    <w:rsid w:val="003D5641"/>
    <w:rsid w:val="003D5ACA"/>
    <w:rsid w:val="003D6512"/>
    <w:rsid w:val="003D6EEA"/>
    <w:rsid w:val="003E1054"/>
    <w:rsid w:val="003F37AC"/>
    <w:rsid w:val="003F4164"/>
    <w:rsid w:val="003F6F5A"/>
    <w:rsid w:val="004076EE"/>
    <w:rsid w:val="00407C04"/>
    <w:rsid w:val="00410164"/>
    <w:rsid w:val="00416895"/>
    <w:rsid w:val="00422942"/>
    <w:rsid w:val="00425E06"/>
    <w:rsid w:val="004331BD"/>
    <w:rsid w:val="00437548"/>
    <w:rsid w:val="00443450"/>
    <w:rsid w:val="00446510"/>
    <w:rsid w:val="00446B3C"/>
    <w:rsid w:val="00454A4F"/>
    <w:rsid w:val="004565E6"/>
    <w:rsid w:val="00462895"/>
    <w:rsid w:val="00463F8E"/>
    <w:rsid w:val="004679B0"/>
    <w:rsid w:val="0048044D"/>
    <w:rsid w:val="004945DC"/>
    <w:rsid w:val="004A01FC"/>
    <w:rsid w:val="004A28CD"/>
    <w:rsid w:val="004B5FB6"/>
    <w:rsid w:val="004B6D93"/>
    <w:rsid w:val="004C3006"/>
    <w:rsid w:val="004C632C"/>
    <w:rsid w:val="004D21D0"/>
    <w:rsid w:val="004D7ABF"/>
    <w:rsid w:val="004E4A04"/>
    <w:rsid w:val="004E54CD"/>
    <w:rsid w:val="004F080F"/>
    <w:rsid w:val="004F08CA"/>
    <w:rsid w:val="004F1EAB"/>
    <w:rsid w:val="004F5496"/>
    <w:rsid w:val="0051195D"/>
    <w:rsid w:val="00511965"/>
    <w:rsid w:val="00516B28"/>
    <w:rsid w:val="00517B82"/>
    <w:rsid w:val="005238FD"/>
    <w:rsid w:val="00527548"/>
    <w:rsid w:val="00534270"/>
    <w:rsid w:val="00542601"/>
    <w:rsid w:val="00542BF5"/>
    <w:rsid w:val="00550817"/>
    <w:rsid w:val="005532AB"/>
    <w:rsid w:val="00556656"/>
    <w:rsid w:val="0055753E"/>
    <w:rsid w:val="00567C44"/>
    <w:rsid w:val="005802F4"/>
    <w:rsid w:val="005824A7"/>
    <w:rsid w:val="00582A9B"/>
    <w:rsid w:val="00583E1C"/>
    <w:rsid w:val="0058608C"/>
    <w:rsid w:val="0059032C"/>
    <w:rsid w:val="005A0DA4"/>
    <w:rsid w:val="005B44E3"/>
    <w:rsid w:val="005B6B78"/>
    <w:rsid w:val="005B70E7"/>
    <w:rsid w:val="005C6CF6"/>
    <w:rsid w:val="005D0F99"/>
    <w:rsid w:val="005D266B"/>
    <w:rsid w:val="005D3C76"/>
    <w:rsid w:val="005D46B4"/>
    <w:rsid w:val="005D4800"/>
    <w:rsid w:val="005D62DF"/>
    <w:rsid w:val="00604036"/>
    <w:rsid w:val="00612C98"/>
    <w:rsid w:val="00612D8C"/>
    <w:rsid w:val="006138F7"/>
    <w:rsid w:val="00620332"/>
    <w:rsid w:val="006213C1"/>
    <w:rsid w:val="006272A0"/>
    <w:rsid w:val="00631D6A"/>
    <w:rsid w:val="0063469C"/>
    <w:rsid w:val="00643D95"/>
    <w:rsid w:val="0064508D"/>
    <w:rsid w:val="0064518E"/>
    <w:rsid w:val="00646C02"/>
    <w:rsid w:val="0064798C"/>
    <w:rsid w:val="00650D79"/>
    <w:rsid w:val="00660274"/>
    <w:rsid w:val="00663F8F"/>
    <w:rsid w:val="006650B7"/>
    <w:rsid w:val="00665716"/>
    <w:rsid w:val="0067124A"/>
    <w:rsid w:val="00674710"/>
    <w:rsid w:val="00677390"/>
    <w:rsid w:val="00680C6B"/>
    <w:rsid w:val="00681176"/>
    <w:rsid w:val="00681ACD"/>
    <w:rsid w:val="006841B7"/>
    <w:rsid w:val="006845B5"/>
    <w:rsid w:val="00687D05"/>
    <w:rsid w:val="006908F9"/>
    <w:rsid w:val="00695066"/>
    <w:rsid w:val="006A1D08"/>
    <w:rsid w:val="006A3407"/>
    <w:rsid w:val="006A7FC9"/>
    <w:rsid w:val="006B3029"/>
    <w:rsid w:val="006B57F1"/>
    <w:rsid w:val="006B682A"/>
    <w:rsid w:val="006B73B4"/>
    <w:rsid w:val="006C3AEF"/>
    <w:rsid w:val="006C4715"/>
    <w:rsid w:val="006D2AF8"/>
    <w:rsid w:val="006E01C6"/>
    <w:rsid w:val="006F494E"/>
    <w:rsid w:val="006F5C2A"/>
    <w:rsid w:val="00702AF7"/>
    <w:rsid w:val="0070647C"/>
    <w:rsid w:val="007127BF"/>
    <w:rsid w:val="007178E6"/>
    <w:rsid w:val="00720FEE"/>
    <w:rsid w:val="0073017D"/>
    <w:rsid w:val="00731ADE"/>
    <w:rsid w:val="00754A51"/>
    <w:rsid w:val="00761A71"/>
    <w:rsid w:val="0076315F"/>
    <w:rsid w:val="007638EF"/>
    <w:rsid w:val="00770E8D"/>
    <w:rsid w:val="00771FDB"/>
    <w:rsid w:val="0077673D"/>
    <w:rsid w:val="00781114"/>
    <w:rsid w:val="0078141A"/>
    <w:rsid w:val="00782964"/>
    <w:rsid w:val="0078342C"/>
    <w:rsid w:val="007838AA"/>
    <w:rsid w:val="00787B06"/>
    <w:rsid w:val="00790A58"/>
    <w:rsid w:val="00790FC3"/>
    <w:rsid w:val="00791D73"/>
    <w:rsid w:val="007C03C8"/>
    <w:rsid w:val="007C44CB"/>
    <w:rsid w:val="007C6975"/>
    <w:rsid w:val="007C7BED"/>
    <w:rsid w:val="007D4C54"/>
    <w:rsid w:val="007D7140"/>
    <w:rsid w:val="007E5B6D"/>
    <w:rsid w:val="007F0A16"/>
    <w:rsid w:val="007F188B"/>
    <w:rsid w:val="007F31CF"/>
    <w:rsid w:val="007F394E"/>
    <w:rsid w:val="007F42C6"/>
    <w:rsid w:val="007F7A1E"/>
    <w:rsid w:val="008013A3"/>
    <w:rsid w:val="00802BBF"/>
    <w:rsid w:val="008033D2"/>
    <w:rsid w:val="00803CBA"/>
    <w:rsid w:val="00805DAF"/>
    <w:rsid w:val="0081191E"/>
    <w:rsid w:val="00812C4D"/>
    <w:rsid w:val="00826D25"/>
    <w:rsid w:val="00827CC0"/>
    <w:rsid w:val="008529AA"/>
    <w:rsid w:val="00860267"/>
    <w:rsid w:val="00863386"/>
    <w:rsid w:val="00865C24"/>
    <w:rsid w:val="008703BE"/>
    <w:rsid w:val="00874400"/>
    <w:rsid w:val="00877147"/>
    <w:rsid w:val="0087774E"/>
    <w:rsid w:val="00877B74"/>
    <w:rsid w:val="00882C63"/>
    <w:rsid w:val="0088456E"/>
    <w:rsid w:val="00884F34"/>
    <w:rsid w:val="00884FE6"/>
    <w:rsid w:val="00885E3E"/>
    <w:rsid w:val="008935FB"/>
    <w:rsid w:val="008949D7"/>
    <w:rsid w:val="00895F2F"/>
    <w:rsid w:val="00896005"/>
    <w:rsid w:val="008A13FB"/>
    <w:rsid w:val="008B2220"/>
    <w:rsid w:val="008B3E3E"/>
    <w:rsid w:val="008B4558"/>
    <w:rsid w:val="008B58AF"/>
    <w:rsid w:val="008C1C76"/>
    <w:rsid w:val="008C2136"/>
    <w:rsid w:val="008C5EA3"/>
    <w:rsid w:val="008D04BD"/>
    <w:rsid w:val="008D5605"/>
    <w:rsid w:val="008E06AE"/>
    <w:rsid w:val="008E6866"/>
    <w:rsid w:val="008E7D00"/>
    <w:rsid w:val="008F2B84"/>
    <w:rsid w:val="008F66CB"/>
    <w:rsid w:val="008F7852"/>
    <w:rsid w:val="00900407"/>
    <w:rsid w:val="009051BF"/>
    <w:rsid w:val="00905EA6"/>
    <w:rsid w:val="00907182"/>
    <w:rsid w:val="00907563"/>
    <w:rsid w:val="009103B1"/>
    <w:rsid w:val="009126F8"/>
    <w:rsid w:val="009250CA"/>
    <w:rsid w:val="00935023"/>
    <w:rsid w:val="009366A5"/>
    <w:rsid w:val="00936BD6"/>
    <w:rsid w:val="0093754B"/>
    <w:rsid w:val="0094790E"/>
    <w:rsid w:val="009558F4"/>
    <w:rsid w:val="00960CA2"/>
    <w:rsid w:val="00965330"/>
    <w:rsid w:val="00976E1A"/>
    <w:rsid w:val="00977D19"/>
    <w:rsid w:val="00980BDE"/>
    <w:rsid w:val="00981C11"/>
    <w:rsid w:val="00983E9C"/>
    <w:rsid w:val="0098560F"/>
    <w:rsid w:val="009916E4"/>
    <w:rsid w:val="00994FE7"/>
    <w:rsid w:val="0099672A"/>
    <w:rsid w:val="009A247C"/>
    <w:rsid w:val="009A2A1F"/>
    <w:rsid w:val="009B225F"/>
    <w:rsid w:val="009B33B2"/>
    <w:rsid w:val="009C21AE"/>
    <w:rsid w:val="009C528B"/>
    <w:rsid w:val="009D3F97"/>
    <w:rsid w:val="009F4ECD"/>
    <w:rsid w:val="009F5557"/>
    <w:rsid w:val="009F7B0D"/>
    <w:rsid w:val="00A007E3"/>
    <w:rsid w:val="00A02128"/>
    <w:rsid w:val="00A0375E"/>
    <w:rsid w:val="00A04E32"/>
    <w:rsid w:val="00A12429"/>
    <w:rsid w:val="00A207BA"/>
    <w:rsid w:val="00A23156"/>
    <w:rsid w:val="00A2658A"/>
    <w:rsid w:val="00A31FE6"/>
    <w:rsid w:val="00A41566"/>
    <w:rsid w:val="00A4187F"/>
    <w:rsid w:val="00A44A03"/>
    <w:rsid w:val="00A45AD8"/>
    <w:rsid w:val="00A51FB2"/>
    <w:rsid w:val="00A56F75"/>
    <w:rsid w:val="00A625DE"/>
    <w:rsid w:val="00A62FAF"/>
    <w:rsid w:val="00A65411"/>
    <w:rsid w:val="00A679C5"/>
    <w:rsid w:val="00A80A75"/>
    <w:rsid w:val="00A826FA"/>
    <w:rsid w:val="00A86890"/>
    <w:rsid w:val="00A872AA"/>
    <w:rsid w:val="00A91267"/>
    <w:rsid w:val="00A91B6B"/>
    <w:rsid w:val="00A926CB"/>
    <w:rsid w:val="00A955DB"/>
    <w:rsid w:val="00AA1772"/>
    <w:rsid w:val="00AA2261"/>
    <w:rsid w:val="00AB0A3F"/>
    <w:rsid w:val="00AB21EA"/>
    <w:rsid w:val="00AB663D"/>
    <w:rsid w:val="00AD0527"/>
    <w:rsid w:val="00AE0B11"/>
    <w:rsid w:val="00AE31D0"/>
    <w:rsid w:val="00AF0A51"/>
    <w:rsid w:val="00AF171F"/>
    <w:rsid w:val="00AF1932"/>
    <w:rsid w:val="00AF28A5"/>
    <w:rsid w:val="00AF4D30"/>
    <w:rsid w:val="00AF534E"/>
    <w:rsid w:val="00AF63F3"/>
    <w:rsid w:val="00B03E64"/>
    <w:rsid w:val="00B10ADE"/>
    <w:rsid w:val="00B1395E"/>
    <w:rsid w:val="00B14486"/>
    <w:rsid w:val="00B21FF0"/>
    <w:rsid w:val="00B223DA"/>
    <w:rsid w:val="00B2548E"/>
    <w:rsid w:val="00B34D97"/>
    <w:rsid w:val="00B425C8"/>
    <w:rsid w:val="00B44183"/>
    <w:rsid w:val="00B44FB1"/>
    <w:rsid w:val="00B50E0D"/>
    <w:rsid w:val="00B53D50"/>
    <w:rsid w:val="00B552AF"/>
    <w:rsid w:val="00B6044B"/>
    <w:rsid w:val="00B70C61"/>
    <w:rsid w:val="00B70FFA"/>
    <w:rsid w:val="00B71AB4"/>
    <w:rsid w:val="00B71DE4"/>
    <w:rsid w:val="00B74757"/>
    <w:rsid w:val="00B80321"/>
    <w:rsid w:val="00B868CF"/>
    <w:rsid w:val="00B87F91"/>
    <w:rsid w:val="00B933E0"/>
    <w:rsid w:val="00B95A0A"/>
    <w:rsid w:val="00B968AA"/>
    <w:rsid w:val="00BA0C48"/>
    <w:rsid w:val="00BA2743"/>
    <w:rsid w:val="00BA2AD9"/>
    <w:rsid w:val="00BA2CA3"/>
    <w:rsid w:val="00BA35C6"/>
    <w:rsid w:val="00BA64C4"/>
    <w:rsid w:val="00BA7E43"/>
    <w:rsid w:val="00BB0F07"/>
    <w:rsid w:val="00BB29B8"/>
    <w:rsid w:val="00BB4E12"/>
    <w:rsid w:val="00BB75A1"/>
    <w:rsid w:val="00BB7F44"/>
    <w:rsid w:val="00BC44C6"/>
    <w:rsid w:val="00BC7CC1"/>
    <w:rsid w:val="00BD2A3D"/>
    <w:rsid w:val="00BD2E01"/>
    <w:rsid w:val="00BD3C15"/>
    <w:rsid w:val="00BD69FB"/>
    <w:rsid w:val="00BD7A5E"/>
    <w:rsid w:val="00BE5074"/>
    <w:rsid w:val="00BE7661"/>
    <w:rsid w:val="00BF53C1"/>
    <w:rsid w:val="00BF798B"/>
    <w:rsid w:val="00C00721"/>
    <w:rsid w:val="00C02521"/>
    <w:rsid w:val="00C03AA0"/>
    <w:rsid w:val="00C260A9"/>
    <w:rsid w:val="00C33651"/>
    <w:rsid w:val="00C343A7"/>
    <w:rsid w:val="00C34C0E"/>
    <w:rsid w:val="00C369A8"/>
    <w:rsid w:val="00C401E0"/>
    <w:rsid w:val="00C40710"/>
    <w:rsid w:val="00C408C2"/>
    <w:rsid w:val="00C40DA2"/>
    <w:rsid w:val="00C43791"/>
    <w:rsid w:val="00C462DD"/>
    <w:rsid w:val="00C474CD"/>
    <w:rsid w:val="00C510D1"/>
    <w:rsid w:val="00C5659C"/>
    <w:rsid w:val="00C61DAA"/>
    <w:rsid w:val="00C65DAB"/>
    <w:rsid w:val="00C75C96"/>
    <w:rsid w:val="00C8228B"/>
    <w:rsid w:val="00C83F3C"/>
    <w:rsid w:val="00C8621D"/>
    <w:rsid w:val="00C95C70"/>
    <w:rsid w:val="00C9709B"/>
    <w:rsid w:val="00C9719A"/>
    <w:rsid w:val="00CA6DC6"/>
    <w:rsid w:val="00CB1706"/>
    <w:rsid w:val="00CB2D5C"/>
    <w:rsid w:val="00CB2ED6"/>
    <w:rsid w:val="00CB40C6"/>
    <w:rsid w:val="00CB64A2"/>
    <w:rsid w:val="00CC5C3E"/>
    <w:rsid w:val="00CD1913"/>
    <w:rsid w:val="00CD257E"/>
    <w:rsid w:val="00CD500A"/>
    <w:rsid w:val="00CE08ED"/>
    <w:rsid w:val="00CF0478"/>
    <w:rsid w:val="00CF3412"/>
    <w:rsid w:val="00CF5F41"/>
    <w:rsid w:val="00D02EC7"/>
    <w:rsid w:val="00D202DE"/>
    <w:rsid w:val="00D216ED"/>
    <w:rsid w:val="00D244B7"/>
    <w:rsid w:val="00D24801"/>
    <w:rsid w:val="00D24F94"/>
    <w:rsid w:val="00D31833"/>
    <w:rsid w:val="00D31C05"/>
    <w:rsid w:val="00D409F9"/>
    <w:rsid w:val="00D41B8D"/>
    <w:rsid w:val="00D45B1D"/>
    <w:rsid w:val="00D47E78"/>
    <w:rsid w:val="00D55752"/>
    <w:rsid w:val="00D56F3C"/>
    <w:rsid w:val="00D57185"/>
    <w:rsid w:val="00D63534"/>
    <w:rsid w:val="00D646A8"/>
    <w:rsid w:val="00D826B6"/>
    <w:rsid w:val="00D85BBD"/>
    <w:rsid w:val="00D86E1B"/>
    <w:rsid w:val="00D92ABC"/>
    <w:rsid w:val="00D92E62"/>
    <w:rsid w:val="00D93148"/>
    <w:rsid w:val="00D95332"/>
    <w:rsid w:val="00D9698C"/>
    <w:rsid w:val="00D97290"/>
    <w:rsid w:val="00D973D6"/>
    <w:rsid w:val="00D97644"/>
    <w:rsid w:val="00DA15D0"/>
    <w:rsid w:val="00DA21DF"/>
    <w:rsid w:val="00DA2F07"/>
    <w:rsid w:val="00DA6DB5"/>
    <w:rsid w:val="00DA745B"/>
    <w:rsid w:val="00DB44A0"/>
    <w:rsid w:val="00DB789D"/>
    <w:rsid w:val="00DB7E36"/>
    <w:rsid w:val="00DC39D8"/>
    <w:rsid w:val="00DC4432"/>
    <w:rsid w:val="00DD3E8A"/>
    <w:rsid w:val="00DE3707"/>
    <w:rsid w:val="00DE44F1"/>
    <w:rsid w:val="00DE5910"/>
    <w:rsid w:val="00DF092E"/>
    <w:rsid w:val="00DF231D"/>
    <w:rsid w:val="00DF2D36"/>
    <w:rsid w:val="00DF609E"/>
    <w:rsid w:val="00E02F2E"/>
    <w:rsid w:val="00E02FEC"/>
    <w:rsid w:val="00E0554F"/>
    <w:rsid w:val="00E11D84"/>
    <w:rsid w:val="00E134D3"/>
    <w:rsid w:val="00E14470"/>
    <w:rsid w:val="00E154C9"/>
    <w:rsid w:val="00E15755"/>
    <w:rsid w:val="00E21A51"/>
    <w:rsid w:val="00E24039"/>
    <w:rsid w:val="00E26CEC"/>
    <w:rsid w:val="00E33775"/>
    <w:rsid w:val="00E4020B"/>
    <w:rsid w:val="00E43C30"/>
    <w:rsid w:val="00E4404F"/>
    <w:rsid w:val="00E46E3A"/>
    <w:rsid w:val="00E5207A"/>
    <w:rsid w:val="00E54B2A"/>
    <w:rsid w:val="00E556CA"/>
    <w:rsid w:val="00E6139F"/>
    <w:rsid w:val="00E652BC"/>
    <w:rsid w:val="00E72FF5"/>
    <w:rsid w:val="00E741A9"/>
    <w:rsid w:val="00E74719"/>
    <w:rsid w:val="00E75EBF"/>
    <w:rsid w:val="00E8309F"/>
    <w:rsid w:val="00E83842"/>
    <w:rsid w:val="00E85179"/>
    <w:rsid w:val="00EB0DA6"/>
    <w:rsid w:val="00EB5875"/>
    <w:rsid w:val="00EB62AA"/>
    <w:rsid w:val="00EC1662"/>
    <w:rsid w:val="00EC4D02"/>
    <w:rsid w:val="00EC75EE"/>
    <w:rsid w:val="00ED004F"/>
    <w:rsid w:val="00ED0A61"/>
    <w:rsid w:val="00ED1921"/>
    <w:rsid w:val="00ED6C46"/>
    <w:rsid w:val="00EE22CE"/>
    <w:rsid w:val="00EE27A9"/>
    <w:rsid w:val="00EE4A55"/>
    <w:rsid w:val="00EE6FBB"/>
    <w:rsid w:val="00EF1F80"/>
    <w:rsid w:val="00EF282F"/>
    <w:rsid w:val="00EF575D"/>
    <w:rsid w:val="00EF7BDA"/>
    <w:rsid w:val="00F0001E"/>
    <w:rsid w:val="00F02184"/>
    <w:rsid w:val="00F13AE3"/>
    <w:rsid w:val="00F166F3"/>
    <w:rsid w:val="00F2282A"/>
    <w:rsid w:val="00F230FA"/>
    <w:rsid w:val="00F2581D"/>
    <w:rsid w:val="00F25F19"/>
    <w:rsid w:val="00F32BFB"/>
    <w:rsid w:val="00F33004"/>
    <w:rsid w:val="00F34341"/>
    <w:rsid w:val="00F35C39"/>
    <w:rsid w:val="00F35F4E"/>
    <w:rsid w:val="00F3742F"/>
    <w:rsid w:val="00F374F4"/>
    <w:rsid w:val="00F425F0"/>
    <w:rsid w:val="00F44539"/>
    <w:rsid w:val="00F521B2"/>
    <w:rsid w:val="00F5254A"/>
    <w:rsid w:val="00F530D8"/>
    <w:rsid w:val="00F63865"/>
    <w:rsid w:val="00F65EFE"/>
    <w:rsid w:val="00F8099B"/>
    <w:rsid w:val="00F81790"/>
    <w:rsid w:val="00F82F87"/>
    <w:rsid w:val="00F869DA"/>
    <w:rsid w:val="00F87906"/>
    <w:rsid w:val="00F90350"/>
    <w:rsid w:val="00F94F81"/>
    <w:rsid w:val="00F97D31"/>
    <w:rsid w:val="00FA020A"/>
    <w:rsid w:val="00FA2452"/>
    <w:rsid w:val="00FA3D8D"/>
    <w:rsid w:val="00FA4E9D"/>
    <w:rsid w:val="00FA5344"/>
    <w:rsid w:val="00FA534D"/>
    <w:rsid w:val="00FB2C01"/>
    <w:rsid w:val="00FD76BC"/>
    <w:rsid w:val="00FE3830"/>
    <w:rsid w:val="00FE59C6"/>
    <w:rsid w:val="00FF04A4"/>
    <w:rsid w:val="00FF15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AEC0D80C-755B-46D3-9965-3CA6F2A50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kern w:val="2"/>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widowControl w:val="0"/>
      <w:autoSpaceDE w:val="0"/>
      <w:autoSpaceDN w:val="0"/>
      <w:spacing w:after="0" w:line="240" w:lineRule="auto"/>
    </w:pPr>
    <w:rPr>
      <w:rFonts w:ascii="Times New Roman" w:hAnsi="Times New Roman"/>
      <w:kern w:val="0"/>
      <w:lang w:val="en-US"/>
    </w:rPr>
  </w:style>
  <w:style w:type="paragraph" w:styleId="Cmsor1">
    <w:name w:val="heading 1"/>
    <w:basedOn w:val="Norml"/>
    <w:link w:val="Cmsor1Char"/>
    <w:uiPriority w:val="9"/>
    <w:qFormat/>
    <w:pPr>
      <w:ind w:left="258"/>
      <w:outlineLvl w:val="0"/>
    </w:pPr>
    <w:rPr>
      <w:sz w:val="24"/>
      <w:szCs w:val="24"/>
    </w:rPr>
  </w:style>
  <w:style w:type="paragraph" w:styleId="Cmsor2">
    <w:name w:val="heading 2"/>
    <w:basedOn w:val="Norml"/>
    <w:link w:val="Cmsor2Char"/>
    <w:uiPriority w:val="9"/>
    <w:unhideWhenUsed/>
    <w:qFormat/>
    <w:pPr>
      <w:spacing w:before="20"/>
      <w:ind w:left="107"/>
      <w:outlineLvl w:val="1"/>
    </w:pPr>
    <w:rPr>
      <w:b/>
      <w:bCs/>
    </w:rPr>
  </w:style>
  <w:style w:type="paragraph" w:styleId="Cmsor3">
    <w:name w:val="heading 3"/>
    <w:basedOn w:val="Norml"/>
    <w:link w:val="Cmsor3Char"/>
    <w:uiPriority w:val="9"/>
    <w:unhideWhenUsed/>
    <w:qFormat/>
    <w:pPr>
      <w:ind w:left="332"/>
      <w:outlineLvl w:val="2"/>
    </w:pPr>
    <w:rPr>
      <w:b/>
      <w:bCs/>
    </w:rPr>
  </w:style>
  <w:style w:type="paragraph" w:styleId="Cmsor4">
    <w:name w:val="heading 4"/>
    <w:basedOn w:val="Norml"/>
    <w:link w:val="Cmsor4Char"/>
    <w:uiPriority w:val="9"/>
    <w:unhideWhenUsed/>
    <w:qFormat/>
    <w:pPr>
      <w:ind w:left="258"/>
      <w:outlineLvl w:val="3"/>
    </w:pPr>
    <w:rPr>
      <w:b/>
      <w:bCs/>
      <w:i/>
      <w:u w:val="single" w:color="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pPr>
      <w:spacing w:after="0" w:line="240" w:lineRule="auto"/>
    </w:pPr>
    <w:rPr>
      <w:rFonts w:ascii="Times New Roman" w:hAnsi="Times New Roman"/>
    </w:rPr>
  </w:style>
  <w:style w:type="character" w:customStyle="1" w:styleId="Cmsor1Char">
    <w:name w:val="Címsor 1 Char"/>
    <w:basedOn w:val="Bekezdsalapbettpusa"/>
    <w:link w:val="Cmsor1"/>
    <w:uiPriority w:val="9"/>
    <w:rPr>
      <w:rFonts w:ascii="Times New Roman" w:hAnsi="Times New Roman" w:cs="Times New Roman"/>
      <w:kern w:val="0"/>
      <w:sz w:val="24"/>
      <w:szCs w:val="24"/>
      <w:lang w:val="en-US"/>
    </w:rPr>
  </w:style>
  <w:style w:type="character" w:customStyle="1" w:styleId="Cmsor2Char">
    <w:name w:val="Címsor 2 Char"/>
    <w:basedOn w:val="Bekezdsalapbettpusa"/>
    <w:link w:val="Cmsor2"/>
    <w:uiPriority w:val="9"/>
    <w:rPr>
      <w:rFonts w:ascii="Times New Roman" w:hAnsi="Times New Roman" w:cs="Times New Roman"/>
      <w:b/>
      <w:bCs/>
      <w:kern w:val="0"/>
      <w:lang w:val="en-US"/>
    </w:rPr>
  </w:style>
  <w:style w:type="character" w:customStyle="1" w:styleId="Cmsor3Char">
    <w:name w:val="Címsor 3 Char"/>
    <w:basedOn w:val="Bekezdsalapbettpusa"/>
    <w:link w:val="Cmsor3"/>
    <w:uiPriority w:val="9"/>
    <w:rPr>
      <w:rFonts w:ascii="Times New Roman" w:hAnsi="Times New Roman" w:cs="Times New Roman"/>
      <w:b/>
      <w:bCs/>
      <w:kern w:val="0"/>
      <w:lang w:val="en-US"/>
    </w:rPr>
  </w:style>
  <w:style w:type="character" w:customStyle="1" w:styleId="Cmsor4Char">
    <w:name w:val="Címsor 4 Char"/>
    <w:basedOn w:val="Bekezdsalapbettpusa"/>
    <w:link w:val="Cmsor4"/>
    <w:uiPriority w:val="9"/>
    <w:rPr>
      <w:rFonts w:ascii="Times New Roman" w:hAnsi="Times New Roman" w:cs="Times New Roman"/>
      <w:b/>
      <w:bCs/>
      <w:i/>
      <w:kern w:val="0"/>
      <w:u w:val="single" w:color="000000"/>
      <w:lang w:val="en-US"/>
    </w:rPr>
  </w:style>
  <w:style w:type="table" w:customStyle="1" w:styleId="TableNormal1">
    <w:name w:val="Table Normal1"/>
    <w:uiPriority w:val="2"/>
    <w:semiHidden/>
    <w:unhideWhenUsed/>
    <w:qFormat/>
    <w:pPr>
      <w:widowControl w:val="0"/>
      <w:autoSpaceDE w:val="0"/>
      <w:autoSpaceDN w:val="0"/>
      <w:spacing w:after="0" w:line="240" w:lineRule="auto"/>
    </w:pPr>
    <w:rPr>
      <w:rFonts w:eastAsia="Calibri"/>
      <w:kern w:val="0"/>
      <w:lang w:val="en-US"/>
    </w:rPr>
    <w:tblPr>
      <w:tblStyleRowBandSize w:val="1"/>
      <w:tblStyleColBandSize w:val="1"/>
      <w:tblInd w:w="0" w:type="dxa"/>
      <w:tblCellMar>
        <w:top w:w="0" w:type="dxa"/>
        <w:left w:w="0" w:type="dxa"/>
        <w:bottom w:w="0" w:type="dxa"/>
        <w:right w:w="0" w:type="dxa"/>
      </w:tblCellMar>
    </w:tblPr>
  </w:style>
  <w:style w:type="paragraph" w:styleId="Szvegtrzs">
    <w:name w:val="Body Text"/>
    <w:basedOn w:val="Norml"/>
    <w:link w:val="SzvegtrzsChar"/>
    <w:uiPriority w:val="1"/>
    <w:qFormat/>
  </w:style>
  <w:style w:type="character" w:customStyle="1" w:styleId="SzvegtrzsChar">
    <w:name w:val="Szövegtörzs Char"/>
    <w:basedOn w:val="Bekezdsalapbettpusa"/>
    <w:link w:val="Szvegtrzs"/>
    <w:uiPriority w:val="1"/>
    <w:rPr>
      <w:rFonts w:ascii="Times New Roman" w:hAnsi="Times New Roman" w:cs="Times New Roman"/>
      <w:kern w:val="0"/>
      <w:lang w:val="en-US"/>
    </w:rPr>
  </w:style>
  <w:style w:type="paragraph" w:styleId="Listaszerbekezds">
    <w:name w:val="List Paragraph"/>
    <w:basedOn w:val="Norml"/>
    <w:uiPriority w:val="34"/>
    <w:qFormat/>
    <w:pPr>
      <w:ind w:left="824" w:hanging="567"/>
    </w:pPr>
  </w:style>
  <w:style w:type="paragraph" w:customStyle="1" w:styleId="TableParagraph">
    <w:name w:val="Table Paragraph"/>
    <w:basedOn w:val="Norml"/>
    <w:uiPriority w:val="1"/>
    <w:qFormat/>
    <w:pPr>
      <w:spacing w:line="234" w:lineRule="exact"/>
      <w:ind w:left="107"/>
    </w:pPr>
  </w:style>
  <w:style w:type="paragraph" w:styleId="lfej">
    <w:name w:val="header"/>
    <w:basedOn w:val="Norml"/>
    <w:link w:val="lfejChar"/>
    <w:uiPriority w:val="99"/>
    <w:unhideWhenUsed/>
    <w:pPr>
      <w:tabs>
        <w:tab w:val="center" w:pos="4536"/>
        <w:tab w:val="right" w:pos="9072"/>
      </w:tabs>
    </w:pPr>
  </w:style>
  <w:style w:type="character" w:customStyle="1" w:styleId="lfejChar">
    <w:name w:val="Élőfej Char"/>
    <w:basedOn w:val="Bekezdsalapbettpusa"/>
    <w:link w:val="lfej"/>
    <w:uiPriority w:val="99"/>
    <w:rPr>
      <w:rFonts w:ascii="Times New Roman" w:hAnsi="Times New Roman" w:cs="Times New Roman"/>
      <w:kern w:val="0"/>
      <w:lang w:val="en-US"/>
    </w:rPr>
  </w:style>
  <w:style w:type="paragraph" w:styleId="llb">
    <w:name w:val="footer"/>
    <w:basedOn w:val="Norml"/>
    <w:link w:val="llbChar"/>
    <w:uiPriority w:val="99"/>
    <w:unhideWhenUsed/>
    <w:pPr>
      <w:tabs>
        <w:tab w:val="center" w:pos="4536"/>
        <w:tab w:val="right" w:pos="9072"/>
      </w:tabs>
    </w:pPr>
  </w:style>
  <w:style w:type="character" w:customStyle="1" w:styleId="llbChar">
    <w:name w:val="Élőláb Char"/>
    <w:basedOn w:val="Bekezdsalapbettpusa"/>
    <w:link w:val="llb"/>
    <w:uiPriority w:val="99"/>
    <w:rPr>
      <w:rFonts w:ascii="Times New Roman" w:hAnsi="Times New Roman" w:cs="Times New Roman"/>
      <w:kern w:val="0"/>
      <w:lang w:val="en-US"/>
    </w:rPr>
  </w:style>
  <w:style w:type="character" w:styleId="Kiemels">
    <w:name w:val="Emphasis"/>
    <w:basedOn w:val="Bekezdsalapbettpusa"/>
    <w:uiPriority w:val="20"/>
    <w:qFormat/>
    <w:rPr>
      <w:i/>
    </w:rPr>
  </w:style>
  <w:style w:type="table" w:customStyle="1" w:styleId="TableGrid">
    <w:name w:val="TableGrid"/>
    <w:pPr>
      <w:spacing w:after="0" w:line="240" w:lineRule="auto"/>
    </w:pPr>
    <w:rPr>
      <w:rFonts w:eastAsia="DengXian"/>
      <w:kern w:val="0"/>
      <w:lang w:eastAsia="hu-HU"/>
    </w:rPr>
    <w:tblPr>
      <w:tblStyleRowBandSize w:val="1"/>
      <w:tblStyleColBandSize w:val="1"/>
      <w:tblCellMar>
        <w:top w:w="0" w:type="dxa"/>
        <w:left w:w="0" w:type="dxa"/>
        <w:bottom w:w="0" w:type="dxa"/>
        <w:right w:w="0" w:type="dxa"/>
      </w:tblCellMar>
    </w:tbl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
    <w:uiPriority w:val="99"/>
    <w:unhideWhenUsed/>
    <w:pPr>
      <w:widowControl/>
      <w:autoSpaceDE/>
      <w:autoSpaceDN/>
      <w:spacing w:after="15"/>
      <w:ind w:left="22" w:hanging="10"/>
    </w:pPr>
    <w:rPr>
      <w:color w:val="000000"/>
      <w:sz w:val="20"/>
      <w:szCs w:val="20"/>
      <w:lang w:val="hu-HU" w:eastAsia="hu-HU"/>
    </w:rPr>
  </w:style>
  <w:style w:type="character" w:customStyle="1" w:styleId="JegyzetszvegChar">
    <w:name w:val="Jegyzetszöveg Char"/>
    <w:basedOn w:val="Bekezdsalapbettpusa"/>
    <w:link w:val="Jegyzetszveg"/>
    <w:uiPriority w:val="99"/>
    <w:rPr>
      <w:rFonts w:ascii="Times New Roman" w:hAnsi="Times New Roman" w:cs="Times New Roman"/>
      <w:color w:val="000000"/>
      <w:kern w:val="0"/>
      <w:sz w:val="20"/>
      <w:szCs w:val="20"/>
      <w:lang w:eastAsia="hu-HU"/>
    </w:rPr>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basedOn w:val="JegyzetszvegChar"/>
    <w:link w:val="Megjegyzstrgya"/>
    <w:uiPriority w:val="99"/>
    <w:semiHidden/>
    <w:rPr>
      <w:rFonts w:ascii="Times New Roman" w:hAnsi="Times New Roman" w:cs="Times New Roman"/>
      <w:b/>
      <w:bCs/>
      <w:color w:val="000000"/>
      <w:kern w:val="0"/>
      <w:sz w:val="20"/>
      <w:szCs w:val="20"/>
      <w:lang w:eastAsia="hu-HU"/>
    </w:rPr>
  </w:style>
  <w:style w:type="paragraph" w:styleId="Vltozat">
    <w:name w:val="Revision"/>
    <w:uiPriority w:val="99"/>
    <w:semiHidden/>
    <w:pPr>
      <w:spacing w:after="0" w:line="240" w:lineRule="auto"/>
    </w:pPr>
    <w:rPr>
      <w:rFonts w:ascii="Times New Roman" w:hAnsi="Times New Roman"/>
      <w:color w:val="000000"/>
      <w:kern w:val="0"/>
      <w:lang w:eastAsia="hu-HU"/>
    </w:rPr>
  </w:style>
  <w:style w:type="paragraph" w:styleId="Buborkszveg">
    <w:name w:val="Balloon Text"/>
    <w:basedOn w:val="Norml"/>
    <w:link w:val="BuborkszvegChar"/>
    <w:uiPriority w:val="99"/>
    <w:semiHidden/>
    <w:unhideWhenUsed/>
    <w:pPr>
      <w:widowControl/>
      <w:autoSpaceDE/>
      <w:autoSpaceDN/>
      <w:ind w:left="22" w:hanging="10"/>
    </w:pPr>
    <w:rPr>
      <w:rFonts w:ascii="Segoe UI" w:hAnsi="Segoe UI" w:cs="Segoe UI"/>
      <w:color w:val="000000"/>
      <w:sz w:val="18"/>
      <w:szCs w:val="18"/>
      <w:lang w:val="hu-HU" w:eastAsia="hu-HU"/>
    </w:rPr>
  </w:style>
  <w:style w:type="character" w:customStyle="1" w:styleId="BuborkszvegChar">
    <w:name w:val="Buborékszöveg Char"/>
    <w:basedOn w:val="Bekezdsalapbettpusa"/>
    <w:link w:val="Buborkszveg"/>
    <w:uiPriority w:val="99"/>
    <w:semiHidden/>
    <w:rPr>
      <w:rFonts w:ascii="Segoe UI" w:hAnsi="Segoe UI" w:cs="Segoe UI"/>
      <w:color w:val="000000"/>
      <w:kern w:val="0"/>
      <w:sz w:val="18"/>
      <w:szCs w:val="18"/>
      <w:lang w:eastAsia="hu-HU"/>
    </w:rPr>
  </w:style>
  <w:style w:type="paragraph" w:styleId="Lbjegyzetszveg">
    <w:name w:val="footnote text"/>
    <w:basedOn w:val="Norml"/>
    <w:link w:val="LbjegyzetszvegChar"/>
    <w:uiPriority w:val="99"/>
    <w:semiHidden/>
    <w:unhideWhenUsed/>
    <w:pPr>
      <w:widowControl/>
      <w:autoSpaceDE/>
      <w:autoSpaceDN/>
      <w:ind w:left="22" w:hanging="10"/>
    </w:pPr>
    <w:rPr>
      <w:color w:val="000000"/>
      <w:sz w:val="20"/>
      <w:szCs w:val="20"/>
      <w:lang w:val="hu-HU" w:eastAsia="hu-HU"/>
    </w:rPr>
  </w:style>
  <w:style w:type="character" w:customStyle="1" w:styleId="LbjegyzetszvegChar">
    <w:name w:val="Lábjegyzetszöveg Char"/>
    <w:basedOn w:val="Bekezdsalapbettpusa"/>
    <w:link w:val="Lbjegyzetszveg"/>
    <w:uiPriority w:val="99"/>
    <w:semiHidden/>
    <w:rPr>
      <w:rFonts w:ascii="Times New Roman" w:hAnsi="Times New Roman" w:cs="Times New Roman"/>
      <w:color w:val="000000"/>
      <w:kern w:val="0"/>
      <w:sz w:val="20"/>
      <w:szCs w:val="20"/>
      <w:lang w:eastAsia="hu-HU"/>
    </w:rPr>
  </w:style>
  <w:style w:type="character" w:styleId="Lbjegyzet-hivatkozs">
    <w:name w:val="footnote reference"/>
    <w:basedOn w:val="Bekezdsalapbettpusa"/>
    <w:uiPriority w:val="99"/>
    <w:semiHidden/>
    <w:unhideWhenUsed/>
    <w:rPr>
      <w:vertAlign w:val="superscript"/>
    </w:rPr>
  </w:style>
  <w:style w:type="character" w:styleId="Vgjegyzet-hivatkozs">
    <w:name w:val="endnote reference"/>
    <w:basedOn w:val="Bekezdsalapbettpusa"/>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283939">
      <w:bodyDiv w:val="1"/>
      <w:marLeft w:val="0"/>
      <w:marRight w:val="0"/>
      <w:marTop w:val="0"/>
      <w:marBottom w:val="0"/>
      <w:divBdr>
        <w:top w:val="none" w:sz="0" w:space="0" w:color="auto"/>
        <w:left w:val="none" w:sz="0" w:space="0" w:color="auto"/>
        <w:bottom w:val="none" w:sz="0" w:space="0" w:color="auto"/>
        <w:right w:val="none" w:sz="0" w:space="0" w:color="auto"/>
      </w:divBdr>
    </w:div>
    <w:div w:id="65236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16647</Words>
  <Characters>114872</Characters>
  <Application>Microsoft Office Word</Application>
  <DocSecurity>0</DocSecurity>
  <Lines>957</Lines>
  <Paragraphs>262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HU_OGYEI.16.1.2</cp:lastModifiedBy>
  <cp:revision>3</cp:revision>
  <dcterms:created xsi:type="dcterms:W3CDTF">2026-04-27T14:21:00Z</dcterms:created>
  <dcterms:modified xsi:type="dcterms:W3CDTF">2026-04-27T14:22:00Z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2023-08-16T06:39:02Z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b3dd82b8-a0aa-4473-a7ea-e62c56932c7f</vt:lpwstr>
  </property>
  <property fmtid="{D5CDD505-2E9C-101B-9397-08002B2CF9AE}" pid="8" name="MSIP_Label_3c9bec58-8084-492e-8360-0e1cfe36408c_ContentBits">
    <vt:lpwstr>0</vt:lpwstr>
  </property>
  <property fmtid="{D5CDD505-2E9C-101B-9397-08002B2CF9AE}" pid="9" name="DMS_Doc_ID">
    <vt:lpwstr>131950153</vt:lpwstr>
  </property>
</Properties>
</file>