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88D35" w14:textId="001259F1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bookmarkStart w:id="0" w:name="_GoBack"/>
      <w:bookmarkEnd w:id="0"/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1.</w:t>
      </w:r>
      <w:r w:rsidR="00A4628F"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A GYÓGYSZER NEVE</w:t>
      </w:r>
    </w:p>
    <w:p w14:paraId="202DFF26" w14:textId="77777777" w:rsidR="000F49C4" w:rsidRPr="00623095" w:rsidRDefault="000F49C4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FA226EE" w14:textId="77777777" w:rsidR="009D55F5" w:rsidRPr="00623095" w:rsidRDefault="000B15F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6C6F37" w:rsidRPr="00623095">
        <w:rPr>
          <w:rFonts w:ascii="Times New Roman" w:eastAsia="TimesNewRoman" w:hAnsi="Times New Roman" w:cs="Times New Roman"/>
          <w:color w:val="000000"/>
        </w:rPr>
        <w:t>8</w:t>
      </w:r>
      <w:r w:rsidR="009D55F5" w:rsidRPr="00623095">
        <w:rPr>
          <w:rFonts w:ascii="Times New Roman" w:eastAsia="TimesNewRoman" w:hAnsi="Times New Roman" w:cs="Times New Roman"/>
          <w:color w:val="000000"/>
        </w:rPr>
        <w:t>0 mg/5 mg tabletta</w:t>
      </w:r>
    </w:p>
    <w:p w14:paraId="2ABC2EEF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06162B1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313C7F1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2.</w:t>
      </w:r>
      <w:r w:rsidR="00A4628F"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MINŐSÉGI ÉS MENNYISÉGI ÖSSZETÉTEL</w:t>
      </w:r>
    </w:p>
    <w:p w14:paraId="28EA1F66" w14:textId="77777777" w:rsidR="00DE7E61" w:rsidRPr="00623095" w:rsidRDefault="00DE7E6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C36466" w14:textId="77777777" w:rsidR="009D55F5" w:rsidRPr="00623095" w:rsidRDefault="006C6F37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8</w:t>
      </w:r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0 mg </w:t>
      </w:r>
      <w:proofErr w:type="spellStart"/>
      <w:r w:rsidR="009D55F5" w:rsidRPr="00623095">
        <w:rPr>
          <w:rFonts w:ascii="Times New Roman" w:eastAsia="TimesNewRoman" w:hAnsi="Times New Roman" w:cs="Times New Roman"/>
          <w:color w:val="000000"/>
        </w:rPr>
        <w:t>telmizartán</w:t>
      </w:r>
      <w:r w:rsidR="00B5566B" w:rsidRPr="00623095">
        <w:rPr>
          <w:rFonts w:ascii="Times New Roman" w:eastAsia="TimesNewRoman" w:hAnsi="Times New Roman" w:cs="Times New Roman"/>
          <w:color w:val="000000"/>
        </w:rPr>
        <w:t>t</w:t>
      </w:r>
      <w:proofErr w:type="spellEnd"/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és 5 mg </w:t>
      </w:r>
      <w:proofErr w:type="spellStart"/>
      <w:r w:rsidR="009D55F5" w:rsidRPr="00623095">
        <w:rPr>
          <w:rFonts w:ascii="Times New Roman" w:eastAsia="TimesNewRoman" w:hAnsi="Times New Roman" w:cs="Times New Roman"/>
          <w:color w:val="000000"/>
        </w:rPr>
        <w:t>amlodipin</w:t>
      </w:r>
      <w:r w:rsidR="00B5566B" w:rsidRPr="00623095">
        <w:rPr>
          <w:rFonts w:ascii="Times New Roman" w:eastAsia="TimesNewRoman" w:hAnsi="Times New Roman" w:cs="Times New Roman"/>
          <w:color w:val="000000"/>
        </w:rPr>
        <w:t>t</w:t>
      </w:r>
      <w:proofErr w:type="spellEnd"/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B5566B" w:rsidRPr="00623095">
        <w:rPr>
          <w:rFonts w:ascii="Times New Roman" w:eastAsia="TimesNewRoman" w:hAnsi="Times New Roman" w:cs="Times New Roman"/>
          <w:color w:val="000000"/>
        </w:rPr>
        <w:t xml:space="preserve">tartalmaz </w:t>
      </w:r>
      <w:r w:rsidR="009D55F5" w:rsidRPr="00623095">
        <w:rPr>
          <w:rFonts w:ascii="Times New Roman" w:eastAsia="TimesNewRoman" w:hAnsi="Times New Roman" w:cs="Times New Roman"/>
          <w:color w:val="000000"/>
        </w:rPr>
        <w:t>(</w:t>
      </w:r>
      <w:proofErr w:type="spellStart"/>
      <w:r w:rsidR="009D55F5" w:rsidRPr="00623095">
        <w:rPr>
          <w:rFonts w:ascii="Times New Roman" w:eastAsia="TimesNewRoman" w:hAnsi="Times New Roman" w:cs="Times New Roman"/>
          <w:color w:val="000000"/>
        </w:rPr>
        <w:t>amlodipin-bezilát</w:t>
      </w:r>
      <w:proofErr w:type="spellEnd"/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formájában) tablettánként.</w:t>
      </w:r>
    </w:p>
    <w:p w14:paraId="3AEF6D74" w14:textId="77777777" w:rsidR="00E41D6E" w:rsidRPr="00623095" w:rsidRDefault="00E41D6E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E46D129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segédanyagok teljes listáját lásd a 6.1 pontban.</w:t>
      </w:r>
    </w:p>
    <w:p w14:paraId="4DD2D973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CECFC87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AA0822A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3.</w:t>
      </w:r>
      <w:r w:rsidR="00A4628F"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GYÓGYSZERFORMA</w:t>
      </w:r>
    </w:p>
    <w:p w14:paraId="1AAE44CD" w14:textId="77777777" w:rsidR="00A4628F" w:rsidRPr="00623095" w:rsidRDefault="00A4628F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A922126" w14:textId="77777777" w:rsidR="009D55F5" w:rsidRPr="001B418D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1B418D">
        <w:rPr>
          <w:rFonts w:ascii="Times New Roman" w:eastAsia="TimesNewRoman" w:hAnsi="Times New Roman" w:cs="Times New Roman"/>
          <w:color w:val="000000"/>
        </w:rPr>
        <w:t>Tabletta</w:t>
      </w:r>
    </w:p>
    <w:p w14:paraId="430E7CE1" w14:textId="77777777" w:rsidR="009D55F5" w:rsidRPr="00623095" w:rsidRDefault="00FE6EEA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715FEE">
        <w:rPr>
          <w:rFonts w:ascii="Times New Roman" w:hAnsi="Times New Roman"/>
          <w:szCs w:val="24"/>
        </w:rPr>
        <w:t>Mindkét oldalán domború, hosszúkás alakú (</w:t>
      </w:r>
      <w:r w:rsidRPr="001B418D">
        <w:rPr>
          <w:rFonts w:ascii="Times New Roman" w:hAnsi="Times New Roman"/>
        </w:rPr>
        <w:t xml:space="preserve">14,7 – 15,3 mm × 7,0 – 7,6 mm méretű), </w:t>
      </w:r>
      <w:r w:rsidRPr="00715FEE">
        <w:rPr>
          <w:rFonts w:ascii="Times New Roman" w:hAnsi="Times New Roman"/>
          <w:szCs w:val="24"/>
        </w:rPr>
        <w:t>kétrétegű tabletta, az egyik oldala fehér vagy csaknem fehér, a másik oldala rózsaszínű, mely utóbbi halvány foltokat tartalmazhat</w:t>
      </w:r>
      <w:r w:rsidR="009D55F5" w:rsidRPr="001B418D">
        <w:rPr>
          <w:rFonts w:ascii="Times New Roman" w:eastAsia="TimesNewRoman" w:hAnsi="Times New Roman" w:cs="Times New Roman"/>
          <w:color w:val="000000"/>
        </w:rPr>
        <w:t>.</w:t>
      </w:r>
    </w:p>
    <w:p w14:paraId="1DD9A7EB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20BB697" w14:textId="77777777" w:rsidR="00992C02" w:rsidRPr="00623095" w:rsidRDefault="00992C02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6689EF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4.</w:t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  <w:t>KLINIKAI JELLEMZŐK</w:t>
      </w:r>
    </w:p>
    <w:p w14:paraId="06A82B7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color w:val="000000"/>
        </w:rPr>
      </w:pPr>
    </w:p>
    <w:p w14:paraId="7C98997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4.1</w:t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  <w:t>Terápiás javallatok</w:t>
      </w:r>
    </w:p>
    <w:p w14:paraId="054398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D2F410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Essentialis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kezelése felnőtteknél.</w:t>
      </w:r>
    </w:p>
    <w:p w14:paraId="68DDFDE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7639E9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Kiegészítő kezelés:</w:t>
      </w:r>
    </w:p>
    <w:p w14:paraId="33C85F8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80 mg/5 mg azoknál a felnőtteknél javallott, akiknek a vérnyomása nem állítható be megfelelően a forgalomban lévő, 40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</w:t>
      </w:r>
      <w:r w:rsidR="00B64CFC" w:rsidRPr="00623095">
        <w:rPr>
          <w:rFonts w:ascii="Times New Roman" w:eastAsia="TimesNewRoman" w:hAnsi="Times New Roman" w:cs="Times New Roman"/>
          <w:color w:val="000000"/>
        </w:rPr>
        <w:t xml:space="preserve"> 5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tartalmazó készítménnyel végzett kezeléssel.</w:t>
      </w:r>
    </w:p>
    <w:p w14:paraId="2906636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51FAB8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Helyettesítő kezelés:</w:t>
      </w:r>
    </w:p>
    <w:p w14:paraId="5B04165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külön-külön tablettákban szedő felnőtt betegek a külön tabletták helyett kaphatnak az egyes komponenseket ugyanolyan dózisban tartalmazó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tablettát.</w:t>
      </w:r>
    </w:p>
    <w:p w14:paraId="46DAA9C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DB10A45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4.2</w:t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  <w:t>Adagolás és alkalmazás</w:t>
      </w:r>
    </w:p>
    <w:p w14:paraId="1BE3C90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CA3710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Adagolás</w:t>
      </w:r>
    </w:p>
    <w:p w14:paraId="7533D37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gyógyszer javasolt dózisa naponta egy tabletta.</w:t>
      </w:r>
    </w:p>
    <w:p w14:paraId="60443F5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53FC96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javasolt maximális dózis naponta egy darab, 80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tartalmazó tabletta. Ez a készítmény hosszú távú kezelésre javallott.</w:t>
      </w:r>
    </w:p>
    <w:p w14:paraId="6B1E16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C440C8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 mellett grépfrút vagy grépfrútlé fogyasztása nem javasolt a betegek számára, mivel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egyes betegeknél fokozódhat, ami fokozott vérnyomáscsökkentő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hatást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eredményezhet (lásd 4.5 pont).</w:t>
      </w:r>
    </w:p>
    <w:p w14:paraId="59A0E8A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D0A8AF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  <w:u w:val="single"/>
        </w:rPr>
        <w:t>Kiegészítő kezelés</w:t>
      </w:r>
    </w:p>
    <w:p w14:paraId="6881EAF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80 mg/5 mg tabletta azoknak a betegeknek adható, akiknek a vérnyomása a forgalomban lévő, 40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</w:t>
      </w:r>
      <w:r w:rsidR="00597220" w:rsidRPr="00623095">
        <w:rPr>
          <w:rFonts w:ascii="Times New Roman" w:eastAsia="TimesNewRoman" w:hAnsi="Times New Roman" w:cs="Times New Roman"/>
          <w:color w:val="000000"/>
        </w:rPr>
        <w:t xml:space="preserve"> 5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tartalmazó készítménnyel végzett kezeléssel</w:t>
      </w:r>
      <w:r w:rsidRPr="00623095" w:rsidDel="001A11C3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>nem állítható be megfelelően.</w:t>
      </w:r>
    </w:p>
    <w:p w14:paraId="5B1FD94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FDF409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fix dózisú kombinációra való átállás előtt ajánlott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tartalmazó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monokomponensű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készítményekkel végezni a dózistitrálást. Amikor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klinikailag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indokolt, fontolóra lehet venni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monoterápiáról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fix kombinációra történő átállítást.</w:t>
      </w:r>
    </w:p>
    <w:p w14:paraId="62BD21B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color w:val="000000"/>
        </w:rPr>
      </w:pPr>
    </w:p>
    <w:p w14:paraId="0CC2587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Azok a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kezelt betegek, akiknél bármilyen dóziskorlátozó mellékhatás, pl.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jelentkezik, átállíthatók napi egy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40 mg/5 mg tablettára, így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dózisát a várt vérnyomáscsökkentő hatás gyengülése nélkül lehet csökkenteni.</w:t>
      </w:r>
    </w:p>
    <w:p w14:paraId="16C9C7C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6019CE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  <w:u w:val="single"/>
        </w:rPr>
        <w:t>Helyettesítő kezelés</w:t>
      </w:r>
    </w:p>
    <w:p w14:paraId="16EDC0B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külön-külön tablettákban szedő betegek a külön tabletták helyett kaphatnak napi egy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tablettát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az egyes komponenseket ugyanolyan dózisban tartalmazó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Cotanydon-ból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3A07AC3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3666B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Különleges betegcsoportok</w:t>
      </w:r>
    </w:p>
    <w:p w14:paraId="1B28D73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color w:val="000000"/>
        </w:rPr>
      </w:pPr>
    </w:p>
    <w:p w14:paraId="08D40C2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</w:rPr>
        <w:t>Idősek (&gt; 65 év)</w:t>
      </w:r>
    </w:p>
    <w:p w14:paraId="49E2109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dózist nem szükséges módosítani időseknél. A nagyon idős betegek esetén kevés információ áll rendelkezésre.</w:t>
      </w:r>
    </w:p>
    <w:p w14:paraId="00A3A9C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Időseknél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szokásos adagolása ajánlott, azonban dózisemeléskor körültekintően kell eljárni (lásd 4.4 pont).</w:t>
      </w:r>
    </w:p>
    <w:p w14:paraId="21B51C3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C0883E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</w:rPr>
        <w:t>Vesekárosodás</w:t>
      </w:r>
    </w:p>
    <w:p w14:paraId="2DB85DE4" w14:textId="51C04F9E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Súlyos vesekárosodásban szenvedő,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hemodializált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betegekkel kapcsolatban korlátozott tapasztalat áll rendelkezésre.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-kezelésben részesülő ilyen betegeknél körültekintés szükséges, mert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4A2733">
        <w:rPr>
          <w:rFonts w:ascii="Times New Roman" w:eastAsia="TimesNewRoman" w:hAnsi="Times New Roman" w:cs="Times New Roman"/>
          <w:color w:val="000000"/>
        </w:rPr>
        <w:t xml:space="preserve">nem </w:t>
      </w:r>
      <w:proofErr w:type="spellStart"/>
      <w:r w:rsidR="004A2733">
        <w:rPr>
          <w:rFonts w:ascii="Times New Roman" w:eastAsia="TimesNewRoman" w:hAnsi="Times New Roman" w:cs="Times New Roman"/>
          <w:color w:val="000000"/>
        </w:rPr>
        <w:t>dializálható</w:t>
      </w:r>
      <w:proofErr w:type="spellEnd"/>
      <w:r w:rsidR="004A2733">
        <w:rPr>
          <w:rFonts w:ascii="Times New Roman" w:eastAsia="TimesNewRoman" w:hAnsi="Times New Roman" w:cs="Times New Roman"/>
          <w:color w:val="000000"/>
        </w:rPr>
        <w:t>,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7366BC" w:rsidRPr="007366BC">
        <w:rPr>
          <w:rFonts w:ascii="Times New Roman" w:eastAsia="TimesNewRoman" w:hAnsi="Times New Roman" w:cs="Times New Roman"/>
          <w:color w:val="000000"/>
        </w:rPr>
        <w:t xml:space="preserve">pedig </w:t>
      </w:r>
      <w:proofErr w:type="spellStart"/>
      <w:r w:rsidR="007366BC" w:rsidRPr="007366BC">
        <w:rPr>
          <w:rFonts w:ascii="Times New Roman" w:eastAsia="TimesNewRoman" w:hAnsi="Times New Roman" w:cs="Times New Roman"/>
          <w:color w:val="000000"/>
        </w:rPr>
        <w:t>hemofiltrációval</w:t>
      </w:r>
      <w:proofErr w:type="spellEnd"/>
      <w:r w:rsidR="007366BC" w:rsidRPr="007366BC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nem távolítható el </w:t>
      </w:r>
      <w:r w:rsidR="005F1DF9" w:rsidRPr="005F1DF9">
        <w:rPr>
          <w:rFonts w:ascii="Times New Roman" w:eastAsia="TimesNewRoman" w:hAnsi="Times New Roman" w:cs="Times New Roman"/>
          <w:color w:val="000000"/>
        </w:rPr>
        <w:t xml:space="preserve">a vérkeringésből és nem </w:t>
      </w:r>
      <w:proofErr w:type="spellStart"/>
      <w:r w:rsidR="005F1DF9" w:rsidRPr="005F1DF9">
        <w:rPr>
          <w:rFonts w:ascii="Times New Roman" w:eastAsia="TimesNewRoman" w:hAnsi="Times New Roman" w:cs="Times New Roman"/>
          <w:color w:val="000000"/>
        </w:rPr>
        <w:t>dializálható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(lásd még 4.4 pont).</w:t>
      </w:r>
    </w:p>
    <w:p w14:paraId="14F6BB7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Enyhe és közepesen súlyos vesekárosodásban szenvedő betegeknél az adagolás módosítása nem szükséges.</w:t>
      </w:r>
    </w:p>
    <w:p w14:paraId="58826A3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E31C3B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</w:rPr>
        <w:t>Májkárosodás</w:t>
      </w:r>
    </w:p>
    <w:p w14:paraId="762DB6A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súlyos májkárosodásban ellenjavallt (lásd 4.3 pont).</w:t>
      </w:r>
    </w:p>
    <w:p w14:paraId="52C595A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Enyhe és közepesen súlyos májkárosodásban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csak óvatosan adható.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dózisa a napi egyszeri 40 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haladhatja meg (lásd 4.4 pont).</w:t>
      </w:r>
    </w:p>
    <w:p w14:paraId="010A6E0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82CA86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i/>
          <w:iCs/>
          <w:color w:val="000000"/>
        </w:rPr>
      </w:pPr>
      <w:r w:rsidRPr="00623095">
        <w:rPr>
          <w:rFonts w:ascii="Times New Roman" w:eastAsia="TimesNewRoman,Bold" w:hAnsi="Times New Roman" w:cs="Times New Roman"/>
          <w:i/>
          <w:iCs/>
          <w:color w:val="000000"/>
        </w:rPr>
        <w:t>Gyermekek és serdülők</w:t>
      </w:r>
    </w:p>
    <w:p w14:paraId="3445AD1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biztonságosságát és hatásosságát 18 évesnél fiatalabb gyermekek és serdülők esetében nem igazolták. Nincsenek rendelkezésre álló adatok.</w:t>
      </w:r>
    </w:p>
    <w:p w14:paraId="700F4F9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66D6DC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Az alkalmazás módja</w:t>
      </w:r>
    </w:p>
    <w:p w14:paraId="7F19F8C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Szájon át történő alkalmazásra.</w:t>
      </w:r>
    </w:p>
    <w:p w14:paraId="226B04E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étkezés közben vagy attól függetlenül is bevehető.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Cotanydon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bevétele valamennyi folyadékkal javasolt.</w:t>
      </w:r>
    </w:p>
    <w:p w14:paraId="7EA7D46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78B6B8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4.3</w:t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  <w:t>Ellenjavallatok</w:t>
      </w:r>
    </w:p>
    <w:p w14:paraId="0AA7D47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38E66DE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készítmény hatóanyagaival,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dihidropiridin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-származékokkal vagy a 6.1 pontban felsorolt bármely segédanyagával szembeni túlérzékenység.</w:t>
      </w:r>
    </w:p>
    <w:p w14:paraId="690D2EBC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terhesség második és harmadik trimesztere (lásd 4.4 és 4.6 pont).</w:t>
      </w:r>
    </w:p>
    <w:p w14:paraId="39C6C534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epeutak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obstruktív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betegségei és súlyos májkárosodás.</w:t>
      </w:r>
    </w:p>
    <w:p w14:paraId="19882CBE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Sokk (beleértve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cardiogen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sokkot is).</w:t>
      </w:r>
    </w:p>
    <w:p w14:paraId="18292821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balkamrai kiáramlási pálya szűkülete (pl. jelentős fokú aorta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stenosis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).</w:t>
      </w:r>
    </w:p>
    <w:p w14:paraId="7DF528D1" w14:textId="77777777" w:rsidR="007F4408" w:rsidRPr="00623095" w:rsidRDefault="007F4408" w:rsidP="00623095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contextualSpacing w:val="0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Myocardialis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infarctus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után kialakult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haemodinamikailag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instabil szívelégtelenség.</w:t>
      </w:r>
    </w:p>
    <w:p w14:paraId="412BC7E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7A1751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egyidejű alkalmazása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-tartalmú készítményekkel ellenjavallt diabetes mellitusban vagy vesekárosodásban szenvedő betegeknél (GFR &lt; 60 ml/perc/1,73 m</w:t>
      </w:r>
      <w:r w:rsidRPr="00623095">
        <w:rPr>
          <w:rFonts w:ascii="Times New Roman" w:eastAsia="TimesNewRoman" w:hAnsi="Times New Roman" w:cs="Times New Roman"/>
          <w:color w:val="000000"/>
          <w:vertAlign w:val="superscript"/>
        </w:rPr>
        <w:t>2</w:t>
      </w:r>
      <w:r w:rsidRPr="00623095">
        <w:rPr>
          <w:rFonts w:ascii="Times New Roman" w:eastAsia="TimesNewRoman" w:hAnsi="Times New Roman" w:cs="Times New Roman"/>
          <w:color w:val="000000"/>
        </w:rPr>
        <w:t>) (lásd 4.5 és 5.1 pont).</w:t>
      </w:r>
    </w:p>
    <w:p w14:paraId="1815AA5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23524FA" w14:textId="77777777" w:rsidR="007F4408" w:rsidRPr="00623095" w:rsidRDefault="007F4408" w:rsidP="00AD6C35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,Bold" w:hAnsi="Times New Roman" w:cs="Times New Roman"/>
          <w:b/>
          <w:bCs/>
          <w:color w:val="000000"/>
        </w:rPr>
      </w:pP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>4.4</w:t>
      </w:r>
      <w:r w:rsidRPr="00623095">
        <w:rPr>
          <w:rFonts w:ascii="Times New Roman" w:eastAsia="TimesNewRoman,Bold" w:hAnsi="Times New Roman" w:cs="Times New Roman"/>
          <w:b/>
          <w:bCs/>
          <w:color w:val="000000"/>
        </w:rPr>
        <w:tab/>
        <w:t>Különleges figyelmeztetések és az alkalmazással kapcsolatos óvintézkedések</w:t>
      </w:r>
    </w:p>
    <w:p w14:paraId="1BD83BFA" w14:textId="77777777" w:rsidR="007F4408" w:rsidRPr="00623095" w:rsidRDefault="007F4408" w:rsidP="00AD6C3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1819F4A" w14:textId="77777777" w:rsidR="007F4408" w:rsidRPr="00623095" w:rsidRDefault="007F4408" w:rsidP="00AD6C3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Terhesség</w:t>
      </w:r>
    </w:p>
    <w:p w14:paraId="74C8BFEF" w14:textId="5EDE7FBD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B44989">
        <w:rPr>
          <w:rFonts w:ascii="Times New Roman" w:eastAsia="TimesNewRoman" w:hAnsi="Times New Roman" w:cs="Times New Roman"/>
          <w:color w:val="000000"/>
        </w:rPr>
        <w:t>blokkolókkal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történő kezelést nem szabad elkezdeni terhesség alatt. Hacsak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CC3533">
        <w:rPr>
          <w:rFonts w:ascii="Times New Roman" w:eastAsia="TimesNewRoman" w:hAnsi="Times New Roman" w:cs="Times New Roman"/>
          <w:color w:val="000000"/>
        </w:rPr>
        <w:t>blokkolóval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történt kezelés folytatása nem elengedhetetlen, a terhességet tervező betegeket olyan 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kezelésre kell átállítani, amely a terhesség alatti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alkalmazást illetően megállapított biztonságossági profillal rendelkezik. Terhesség megállapítását követően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6063AF">
        <w:rPr>
          <w:rFonts w:ascii="Times New Roman" w:eastAsia="TimesNewRoman" w:hAnsi="Times New Roman" w:cs="Times New Roman"/>
          <w:color w:val="000000"/>
        </w:rPr>
        <w:t>blokkoló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kkal végzett kezelést azonnal le kell állítani, és amennyiben szükséges, egy másik </w:t>
      </w:r>
      <w:r w:rsidR="000372D0" w:rsidRPr="00623095">
        <w:rPr>
          <w:rFonts w:ascii="Times New Roman" w:eastAsia="TimesNewRoman" w:hAnsi="Times New Roman" w:cs="Times New Roman"/>
          <w:color w:val="000000"/>
        </w:rPr>
        <w:t xml:space="preserve">hatóanyaggal végzett </w:t>
      </w:r>
      <w:r w:rsidRPr="00623095">
        <w:rPr>
          <w:rFonts w:ascii="Times New Roman" w:eastAsia="TimesNewRoman" w:hAnsi="Times New Roman" w:cs="Times New Roman"/>
          <w:color w:val="000000"/>
        </w:rPr>
        <w:t>kezelést kell kezdeni (lásd 4.3 és 4.6 pont).</w:t>
      </w:r>
    </w:p>
    <w:p w14:paraId="54781CC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color w:val="000000"/>
        </w:rPr>
      </w:pPr>
    </w:p>
    <w:p w14:paraId="00FCA692" w14:textId="77777777" w:rsidR="00B948D6" w:rsidRPr="0024657B" w:rsidRDefault="00B948D6" w:rsidP="00B948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24657B">
        <w:rPr>
          <w:rFonts w:ascii="Times New Roman" w:eastAsia="TimesNewRoman" w:hAnsi="Times New Roman" w:cs="Times New Roman"/>
          <w:color w:val="000000"/>
          <w:u w:val="single"/>
        </w:rPr>
        <w:t>Intestinalis</w:t>
      </w:r>
      <w:proofErr w:type="spellEnd"/>
      <w:r w:rsidRPr="0024657B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24657B">
        <w:rPr>
          <w:rFonts w:ascii="Times New Roman" w:eastAsia="TimesNewRoman" w:hAnsi="Times New Roman" w:cs="Times New Roman"/>
          <w:color w:val="000000"/>
          <w:u w:val="single"/>
        </w:rPr>
        <w:t>angiooedema</w:t>
      </w:r>
      <w:proofErr w:type="spellEnd"/>
    </w:p>
    <w:p w14:paraId="36D0C5F1" w14:textId="0908E14C" w:rsidR="00B948D6" w:rsidRDefault="00B948D6" w:rsidP="00B948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Intestinalis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angiooedemáról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számoltak be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II-receptor-blokkolóval kezelt betegeknél (lásd 4.8 pont). Ezeknél a betegeknél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abdominalis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fájdalom, hányinger, hányás és hasmenés jelentkezett. A tünetek az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110ED0">
        <w:rPr>
          <w:rFonts w:ascii="Times New Roman" w:eastAsia="TimesNewRoman" w:hAnsi="Times New Roman" w:cs="Times New Roman"/>
          <w:color w:val="000000"/>
        </w:rPr>
        <w:t>-</w:t>
      </w:r>
      <w:r w:rsidRPr="001C4827">
        <w:rPr>
          <w:rFonts w:ascii="Times New Roman" w:eastAsia="TimesNewRoman" w:hAnsi="Times New Roman" w:cs="Times New Roman"/>
          <w:color w:val="000000"/>
        </w:rPr>
        <w:t xml:space="preserve">blokkolóval végzett kezelés leállítása után megszűntek. Amennyiben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intestinalis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angiooedemát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diagnosztizálnak, a</w:t>
      </w:r>
      <w:r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="00110ED0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-kezelést le kell állítani, és a beteget megfelelően </w:t>
      </w:r>
      <w:proofErr w:type="spellStart"/>
      <w:r w:rsidRPr="001C4827">
        <w:rPr>
          <w:rFonts w:ascii="Times New Roman" w:eastAsia="TimesNewRoman" w:hAnsi="Times New Roman" w:cs="Times New Roman"/>
          <w:color w:val="000000"/>
        </w:rPr>
        <w:t>monitorozni</w:t>
      </w:r>
      <w:proofErr w:type="spellEnd"/>
      <w:r w:rsidRPr="001C4827">
        <w:rPr>
          <w:rFonts w:ascii="Times New Roman" w:eastAsia="TimesNewRoman" w:hAnsi="Times New Roman" w:cs="Times New Roman"/>
          <w:color w:val="000000"/>
        </w:rPr>
        <w:t xml:space="preserve"> kell mindaddig, amíg a tünetek teljes mértékben meg nem szűnnek</w:t>
      </w:r>
      <w:r>
        <w:rPr>
          <w:rFonts w:ascii="Times New Roman" w:eastAsia="TimesNewRoman" w:hAnsi="Times New Roman" w:cs="Times New Roman"/>
          <w:color w:val="000000"/>
        </w:rPr>
        <w:t>.</w:t>
      </w:r>
    </w:p>
    <w:p w14:paraId="16E3743D" w14:textId="77777777" w:rsidR="00B948D6" w:rsidRDefault="00B948D6" w:rsidP="00B948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EF5AA62" w14:textId="10653D0A" w:rsidR="007F4408" w:rsidRPr="00623095" w:rsidRDefault="007F4408" w:rsidP="00B948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Májkárosodás</w:t>
      </w:r>
    </w:p>
    <w:p w14:paraId="519637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elsősorban az epével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eliminálódik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Az epeutak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obstruktív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betegségeiben vagy májelégtelenségben szenvedő betegeknél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clearance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csökkenésére lehet számítani. Májkárosodás esetén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felezési ideje és az AUC-értékek megnövekednek. Ilyen esetekre nincs az adagolásra vonatkozó javaslat. Ezért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-kezelést kisebb dózissal kell kezdeni és mind a kezelés megkezdésekor, mind a dózis emelésekor körültekintően kell eljárni.</w:t>
      </w:r>
    </w:p>
    <w:p w14:paraId="0ACE02C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Ezért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csak elővigyázatosan alkalmazható ezeknél a betegeknél.</w:t>
      </w:r>
    </w:p>
    <w:p w14:paraId="1C4D1D3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56715D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Renovascularis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hypertonia</w:t>
      </w:r>
      <w:proofErr w:type="spellEnd"/>
    </w:p>
    <w:p w14:paraId="6EBE5FF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Fokozódik a súlyos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veseelégtelenség kockázata, ha kétoldali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arteria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szűkületben, vagy az egyetlen funkcionáló vese artériájának szűkületében szenvedő betegeket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rendszerre (RAAS) ható gyógyszerekkel kezelnek.</w:t>
      </w:r>
    </w:p>
    <w:p w14:paraId="1873F4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389CC8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Vesekárosodás és vesetranszplantáció</w:t>
      </w:r>
    </w:p>
    <w:p w14:paraId="48770E63" w14:textId="18D7569F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Ha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vesekárosodásban szenvedő betegeknél alkalmazzák, a szérum kálium-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kreatininszintjének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rendszeres ellenőrzése ajánlott. A közelmúltban vesetranszplantáción átesett betegeknél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alkalmazásával nincsenek tapasztalatok.</w:t>
      </w:r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 Az </w:t>
      </w:r>
      <w:proofErr w:type="spellStart"/>
      <w:r w:rsidR="00AB34B1" w:rsidRPr="00AB34B1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 nem </w:t>
      </w:r>
      <w:proofErr w:type="spellStart"/>
      <w:r w:rsidR="00AB34B1" w:rsidRPr="00AB34B1">
        <w:rPr>
          <w:rFonts w:ascii="Times New Roman" w:eastAsia="TimesNewRoman" w:hAnsi="Times New Roman" w:cs="Times New Roman"/>
          <w:color w:val="000000"/>
        </w:rPr>
        <w:t>dializ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á</w:t>
      </w:r>
      <w:r w:rsidR="00AB34B1" w:rsidRPr="00AB34B1">
        <w:rPr>
          <w:rFonts w:ascii="Times New Roman" w:eastAsia="TimesNewRoman" w:hAnsi="Times New Roman" w:cs="Times New Roman"/>
          <w:color w:val="000000"/>
        </w:rPr>
        <w:t>lhat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ó</w:t>
      </w:r>
      <w:proofErr w:type="spellEnd"/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, a </w:t>
      </w:r>
      <w:proofErr w:type="spellStart"/>
      <w:r w:rsidR="00AB34B1" w:rsidRPr="00AB34B1">
        <w:rPr>
          <w:rFonts w:ascii="Times New Roman" w:eastAsia="TimesNewRoman" w:hAnsi="Times New Roman" w:cs="Times New Roman"/>
          <w:color w:val="000000"/>
        </w:rPr>
        <w:t>telmizart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á</w:t>
      </w:r>
      <w:r w:rsidR="00AB34B1" w:rsidRPr="00AB34B1">
        <w:rPr>
          <w:rFonts w:ascii="Times New Roman" w:eastAsia="TimesNewRoman" w:hAnsi="Times New Roman" w:cs="Times New Roman"/>
          <w:color w:val="000000"/>
        </w:rPr>
        <w:t>n</w:t>
      </w:r>
      <w:proofErr w:type="spellEnd"/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 pedig </w:t>
      </w:r>
      <w:proofErr w:type="spellStart"/>
      <w:r w:rsidR="00AB34B1" w:rsidRPr="00AB34B1">
        <w:rPr>
          <w:rFonts w:ascii="Times New Roman" w:eastAsia="TimesNewRoman" w:hAnsi="Times New Roman" w:cs="Times New Roman"/>
          <w:color w:val="000000"/>
        </w:rPr>
        <w:t>hemofiltr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á</w:t>
      </w:r>
      <w:r w:rsidR="00AB34B1" w:rsidRPr="00AB34B1">
        <w:rPr>
          <w:rFonts w:ascii="Times New Roman" w:eastAsia="TimesNewRoman" w:hAnsi="Times New Roman" w:cs="Times New Roman"/>
          <w:color w:val="000000"/>
        </w:rPr>
        <w:t>ci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ó</w:t>
      </w:r>
      <w:r w:rsidR="00AB34B1" w:rsidRPr="00AB34B1">
        <w:rPr>
          <w:rFonts w:ascii="Times New Roman" w:eastAsia="TimesNewRoman" w:hAnsi="Times New Roman" w:cs="Times New Roman"/>
          <w:color w:val="000000"/>
        </w:rPr>
        <w:t>val</w:t>
      </w:r>
      <w:proofErr w:type="spellEnd"/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 nem t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á</w:t>
      </w:r>
      <w:r w:rsidR="00AB34B1" w:rsidRPr="00AB34B1">
        <w:rPr>
          <w:rFonts w:ascii="Times New Roman" w:eastAsia="TimesNewRoman" w:hAnsi="Times New Roman" w:cs="Times New Roman"/>
          <w:color w:val="000000"/>
        </w:rPr>
        <w:t>vol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í</w:t>
      </w:r>
      <w:r w:rsidR="00AB34B1" w:rsidRPr="00AB34B1">
        <w:rPr>
          <w:rFonts w:ascii="Times New Roman" w:eastAsia="TimesNewRoman" w:hAnsi="Times New Roman" w:cs="Times New Roman"/>
          <w:color w:val="000000"/>
        </w:rPr>
        <w:t>that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ó</w:t>
      </w:r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 el a v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é</w:t>
      </w:r>
      <w:r w:rsidR="00AB34B1" w:rsidRPr="00AB34B1">
        <w:rPr>
          <w:rFonts w:ascii="Times New Roman" w:eastAsia="TimesNewRoman" w:hAnsi="Times New Roman" w:cs="Times New Roman"/>
          <w:color w:val="000000"/>
        </w:rPr>
        <w:t>rkering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é</w:t>
      </w:r>
      <w:r w:rsidR="00AB34B1" w:rsidRPr="00AB34B1">
        <w:rPr>
          <w:rFonts w:ascii="Times New Roman" w:eastAsia="TimesNewRoman" w:hAnsi="Times New Roman" w:cs="Times New Roman"/>
          <w:color w:val="000000"/>
        </w:rPr>
        <w:t>sb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ő</w:t>
      </w:r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l 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é</w:t>
      </w:r>
      <w:r w:rsidR="00AB34B1" w:rsidRPr="00AB34B1">
        <w:rPr>
          <w:rFonts w:ascii="Times New Roman" w:eastAsia="TimesNewRoman" w:hAnsi="Times New Roman" w:cs="Times New Roman"/>
          <w:color w:val="000000"/>
        </w:rPr>
        <w:t xml:space="preserve">s nem </w:t>
      </w:r>
      <w:proofErr w:type="spellStart"/>
      <w:r w:rsidR="00AB34B1" w:rsidRPr="00AB34B1">
        <w:rPr>
          <w:rFonts w:ascii="Times New Roman" w:eastAsia="TimesNewRoman" w:hAnsi="Times New Roman" w:cs="Times New Roman"/>
          <w:color w:val="000000"/>
        </w:rPr>
        <w:t>dializ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á</w:t>
      </w:r>
      <w:r w:rsidR="00AB34B1" w:rsidRPr="00AB34B1">
        <w:rPr>
          <w:rFonts w:ascii="Times New Roman" w:eastAsia="TimesNewRoman" w:hAnsi="Times New Roman" w:cs="Times New Roman"/>
          <w:color w:val="000000"/>
        </w:rPr>
        <w:t>lhat</w:t>
      </w:r>
      <w:r w:rsidR="00AB34B1" w:rsidRPr="00AB34B1">
        <w:rPr>
          <w:rFonts w:ascii="Times New Roman" w:eastAsia="TimesNewRoman" w:hAnsi="Times New Roman" w:cs="Times New Roman" w:hint="eastAsia"/>
          <w:color w:val="000000"/>
        </w:rPr>
        <w:t>ó</w:t>
      </w:r>
      <w:proofErr w:type="spellEnd"/>
      <w:r w:rsidR="00AB34B1" w:rsidRPr="00AB34B1">
        <w:rPr>
          <w:rFonts w:ascii="Times New Roman" w:eastAsia="TimesNewRoman" w:hAnsi="Times New Roman" w:cs="Times New Roman"/>
          <w:color w:val="000000"/>
        </w:rPr>
        <w:t>.</w:t>
      </w:r>
    </w:p>
    <w:p w14:paraId="1A6FB52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22A5A67" w14:textId="77777777" w:rsidR="00792EF0" w:rsidRPr="00792EF0" w:rsidRDefault="00792EF0" w:rsidP="00792EF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792EF0">
        <w:rPr>
          <w:rFonts w:ascii="Times New Roman" w:eastAsia="TimesNewRoman" w:hAnsi="Times New Roman" w:cs="Times New Roman"/>
          <w:color w:val="000000"/>
          <w:u w:val="single"/>
        </w:rPr>
        <w:t>Volumen- és/vagy nátriumhiányos betegek</w:t>
      </w:r>
    </w:p>
    <w:p w14:paraId="16421DE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Tünetekkel járó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léphet fel, különösen az első dózis után azoknál a betegeknél, akiknél pl. erőteljes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kezelés, sószegény diéta, hasmenés vagy hányás következtében kifejezett volumen- és/vagy nátriumhiány alakult ki. Ezeket az állapotokat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alkalmazásának elkezdése előtt korrigálni kell. Ha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 során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fordul elő, a beteget hanyatt kell fektetni, és szükség esetén intravénás infúzióban fiziológiás sóoldatot kell adni. A kezelés a vérnyomás stabilizálása után folytatható.</w:t>
      </w:r>
    </w:p>
    <w:p w14:paraId="01817B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F6FE9F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rendszer kettős blokádja (RAAS)</w:t>
      </w:r>
    </w:p>
    <w:p w14:paraId="636F577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Bizonyíték van rá, hogy az ACE-gátlók,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blokkolók vagy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egyidejű alkalmazása fokozza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vesekárosodás (beleértve az akut veseelégtelenséget is) kockázatát. A RAAS ACE-gátlók,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blokkolók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kombinált alkalmazásával történő kettős blokádja nem javasolt (lásd 4.5 és 5.1 pont).</w:t>
      </w:r>
    </w:p>
    <w:p w14:paraId="417C228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Ha a kettős blokád kezelést abszolút szükségesnek ítélik, az csak szakorvos felügyeletével, a vesefunkció, az elektrolitszintek és a vérnyomás gyakori és szoros ellenőrzése mellett történhet. Az ACE-gátlók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blokkolók egyidejűleg nem alkalmazhatók </w:t>
      </w:r>
      <w:r w:rsidRPr="00623095">
        <w:rPr>
          <w:rFonts w:ascii="Times New Roman" w:hAnsi="Times New Roman"/>
          <w:color w:val="000000"/>
        </w:rPr>
        <w:t xml:space="preserve">diabeteses </w:t>
      </w:r>
      <w:proofErr w:type="spellStart"/>
      <w:r w:rsidRPr="00623095">
        <w:rPr>
          <w:rFonts w:ascii="Times New Roman" w:hAnsi="Times New Roman"/>
          <w:color w:val="000000"/>
        </w:rPr>
        <w:t>nephropathiában</w:t>
      </w:r>
      <w:proofErr w:type="spellEnd"/>
      <w:r w:rsidRPr="00623095">
        <w:rPr>
          <w:rFonts w:ascii="Times New Roman" w:hAnsi="Times New Roman"/>
          <w:color w:val="000000"/>
        </w:rPr>
        <w:t xml:space="preserve"> szenvedő betegeknél</w:t>
      </w:r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5245D09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B5FFD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Egyéb,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rendszer stimulációjával járó állapotok</w:t>
      </w:r>
    </w:p>
    <w:p w14:paraId="0C7ED7B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Azoknál a betegeknél, akiknek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tónusa és a vesefunkciója elsősorban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 aktivitásától függ (pl. súlyos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pangásos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szívelégtelenség vagy vesebetegség esetén, ideértve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arteria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stenosisát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is), az e rendszerre ható gyógyszerekkel történő kezelés során akut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hyperazotaemiát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oliguriát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ritkán akut veseelégtelenséget észleltek (lásd 4.8 pont).</w:t>
      </w:r>
    </w:p>
    <w:p w14:paraId="79277E6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B29CC5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Primer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aldosteronismus</w:t>
      </w:r>
      <w:proofErr w:type="spellEnd"/>
    </w:p>
    <w:p w14:paraId="0D92624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Primer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aldosteronismusban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szenvedő betegek általában nem reagálnak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 gátlása útján ható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gyógyszerekre, ezért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 nem javasolt.</w:t>
      </w:r>
    </w:p>
    <w:p w14:paraId="43D225A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FFC216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Aortastenosis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mitralis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stenosis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hypertrophiás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obstructiv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cardiomyopathia</w:t>
      </w:r>
      <w:proofErr w:type="spellEnd"/>
    </w:p>
    <w:p w14:paraId="369B730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vasodilatatorokhoz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hasonlóan fokozott óvatosság szükséges aorta-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mitralis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stenosis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hypertrophiás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obstructiv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cardiomyopathia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esetén.</w:t>
      </w:r>
    </w:p>
    <w:p w14:paraId="04985C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425A5A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Instabil angina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pectoris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, akut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myocardialis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infarctus</w:t>
      </w:r>
      <w:proofErr w:type="spellEnd"/>
    </w:p>
    <w:p w14:paraId="135222B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Nincsenek olyan adatok, amelyek alátámasztanák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instabil angina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pectorisban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myocardialis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infarctus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alatt vagy az azt követő egy hónapon belül történő alkalmazását.</w:t>
      </w:r>
    </w:p>
    <w:p w14:paraId="510973E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2B161E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Szívelégtelenségben szenvedő betegek</w:t>
      </w:r>
    </w:p>
    <w:p w14:paraId="1A06B39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hosszútávú, placebokontrollos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végzett vizsgálatban, súlyos (NYHA III-IV-es stádiumú) szívelégtelenségben szenvedők körében több betegnél számoltak be tüdőödéma kialakulásáról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szedő csoportban, mint a placebocsoportban (lásd 5.1 pont). Ezért a szívelégtelenségben szenvedő betegeket megfelelő körültekintéssel kell kezelni.</w:t>
      </w:r>
    </w:p>
    <w:p w14:paraId="0E24705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kalciumcsatorna-blokkolókat, ideértve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elővigyázatossággal kell alkalmazni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pangásos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szívelégtelenségben szenvedő betegeknél, mivel növelhetik a jövőbeni kardiovaszkuláris események kockázatát és a mortalitást.</w:t>
      </w:r>
    </w:p>
    <w:p w14:paraId="26F5795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23CD50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Diabeteses betegek inzulin-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antidiabetikus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kezelés alatt</w:t>
      </w:r>
    </w:p>
    <w:p w14:paraId="62C4250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Ezeknél a betegeknél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 során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hypoglykaemia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fordulhat elő. Ezért ezeknél a betegeknél megfontolandó a vércukorszint megfelelő ellenőrzése. Az inzulin vagy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antidiabetikum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dózisának módosítása válhat szükségessé, ha az indokolt.</w:t>
      </w:r>
    </w:p>
    <w:p w14:paraId="19CDA16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0B61C8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Hyperkalaemia</w:t>
      </w:r>
      <w:proofErr w:type="spellEnd"/>
    </w:p>
    <w:p w14:paraId="65702EC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rendszerre ható gyógyszerek alkalmazása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eredményezhet.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halálos kimenetelű is lehet időseknél, veseelégtelenségben szenvedő betegeknél, cukorbetegeknél, egyidejűleg más, a szérum káliumszintjét esetleg emelő gyógyszert szedő betegeknél és/vagy más egyidejű események esetén.</w:t>
      </w:r>
    </w:p>
    <w:p w14:paraId="1BC008D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1204FB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rendszert befolyásoló gyógyszerek egyidejű alkalmazásának mérlegelése előtt az előny/kockázat arányt fel kell mérni.</w:t>
      </w:r>
    </w:p>
    <w:p w14:paraId="3F9FD68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mérlegelendő főbb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rizikófaktorai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:</w:t>
      </w:r>
    </w:p>
    <w:p w14:paraId="71F512B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color w:val="000000"/>
        </w:rPr>
        <w:tab/>
        <w:t>cukorbetegség, vesekárosodás, életkor (&gt; 70 év);</w:t>
      </w:r>
    </w:p>
    <w:p w14:paraId="61DAE57E" w14:textId="2EC8A241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color w:val="000000"/>
        </w:rPr>
        <w:tab/>
        <w:t xml:space="preserve">egy vagy több,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rendszeren ható és/vagy káliumpótló gyógyszer egyidejű alkalmazása. A következő gyógyszerek, illetve terápiás gyógyszercsoportok okozhatnak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: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káliumtartalmú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sópótló készítmények, káliummegtakarító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diuretikumok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ACE-gátlók,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92EF0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, nem-szteroid gyulladáscsökkentő gyógyszerek (beleértve a szelektív COX-2 gátlókat),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heparin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immunszuppresszív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szerek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ciklosporin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ill.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), valamint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trimetoprim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25A300D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color w:val="000000"/>
        </w:rPr>
        <w:tab/>
        <w:t xml:space="preserve">egyidejű események, különösképpen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dehydratio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akut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decompensatio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metabolikus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acidosis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vesefunkció-romlás, a vese állapotának hirtelen romlása (pl.: fertőző betegségek), sejtszétesés (pl.: akut végtagi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ischaemia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rhabdomyolisis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, kiterjedt trauma).</w:t>
      </w:r>
    </w:p>
    <w:p w14:paraId="796431C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3D6EBA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Ezen fokozott kockázatú betegeknél a szérum káliumszintjének szoros ellenőrzése szükséges (lásd 4.5 pont).</w:t>
      </w:r>
    </w:p>
    <w:p w14:paraId="371A197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F50AB5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Idősek</w:t>
      </w:r>
    </w:p>
    <w:p w14:paraId="54CB48F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időseknél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dózisának növelésekor elővigyázatossággal kell eljárni (lásd 4.2 és 5.2 pont).</w:t>
      </w:r>
    </w:p>
    <w:p w14:paraId="15BBAD9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BFE21C3" w14:textId="6205629D" w:rsidR="007F4408" w:rsidRPr="00623095" w:rsidRDefault="00947543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947543">
        <w:rPr>
          <w:rFonts w:ascii="Times New Roman" w:eastAsia="TimesNewRoman" w:hAnsi="Times New Roman" w:cs="Times New Roman"/>
          <w:color w:val="000000"/>
          <w:u w:val="single"/>
        </w:rPr>
        <w:t>Ischaemiás</w:t>
      </w:r>
      <w:proofErr w:type="spellEnd"/>
      <w:r w:rsidRPr="00947543">
        <w:rPr>
          <w:rFonts w:ascii="Times New Roman" w:eastAsia="TimesNewRoman" w:hAnsi="Times New Roman" w:cs="Times New Roman"/>
          <w:color w:val="000000"/>
          <w:u w:val="single"/>
        </w:rPr>
        <w:t xml:space="preserve"> szívbetegség</w:t>
      </w:r>
    </w:p>
    <w:p w14:paraId="3F62156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Miként más vérnyomáscsökkentő gyógyszerek esetében is,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ischaemiás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cardiomyopathiában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ischaemiás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betegségben szenvedőknél a vérnyomás túlzott mértékű csökkenése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myocardialis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infarctus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stroke kialakulásához vezethet.</w:t>
      </w:r>
    </w:p>
    <w:p w14:paraId="30DACE0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2EC98E" w14:textId="77777777" w:rsidR="00DF40EE" w:rsidRPr="00DF40EE" w:rsidRDefault="00DF40EE" w:rsidP="00DF40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DF40EE">
        <w:rPr>
          <w:rFonts w:ascii="Times New Roman" w:eastAsia="TimesNewRoman" w:hAnsi="Times New Roman" w:cs="Times New Roman"/>
          <w:color w:val="000000"/>
          <w:u w:val="single"/>
        </w:rPr>
        <w:lastRenderedPageBreak/>
        <w:t>Segédanyagok:</w:t>
      </w:r>
    </w:p>
    <w:p w14:paraId="551FC22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Ez a gyógyszer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kevesebb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mint 1 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mmol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nátriumot (23 mg) tartalmaz tablettánként, azaz gyakorlatilag „nátriummentes”.</w:t>
      </w:r>
    </w:p>
    <w:p w14:paraId="3E69496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8320DCB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4.5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Gyógyszerkölcsönhatások és egyéb interakciók</w:t>
      </w:r>
    </w:p>
    <w:p w14:paraId="63481D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0B2FB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klinikai vizsgálatokban nem figyeltek meg kölcsönhatást a fix dózisú kombináció két összetevője között.</w:t>
      </w:r>
    </w:p>
    <w:p w14:paraId="4D797ED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903A97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A kombinációval kapcsolatos kölcsönhatások</w:t>
      </w:r>
    </w:p>
    <w:p w14:paraId="2C8A00C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Gyógyszerinterakciós vizsgálatokat nem végeztek.</w:t>
      </w:r>
    </w:p>
    <w:p w14:paraId="454C4FA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B9945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Az egyidejű alkalmazás esetén figyelembe kell venni</w:t>
      </w:r>
    </w:p>
    <w:p w14:paraId="6210607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9528E0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Egyéb vérnyomáscsökkentő gyógyszerek</w:t>
      </w:r>
    </w:p>
    <w:p w14:paraId="5F205F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vérnyomáscsökkentő hatását más vérnyomáscsökkentő gyógyszerek egyidejű alkalmazása fokozhatja.</w:t>
      </w:r>
    </w:p>
    <w:p w14:paraId="77EDC5E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7CF38F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Vérnyomáscsökkentő hatású gyógyszerek</w:t>
      </w:r>
    </w:p>
    <w:p w14:paraId="63C93F2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farmakológiai tulajdonságaik alapján várható, hogy a következő gyógyszerek fokozhatják a vérnyomáscsökkentők, köztük ennek a gyógyszernek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hatását: pl.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baklofén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amifosztin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neuroleptikumok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antidepresszánsok.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orthostaticus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az alkohol is fokozhatja.</w:t>
      </w:r>
    </w:p>
    <w:p w14:paraId="3A88E33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082386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Kortikoszteroidok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(szisztémás alkalmazás esetén)</w:t>
      </w:r>
    </w:p>
    <w:p w14:paraId="0EB9DB4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vérnyomáscsökkentő hatás gyengül.</w:t>
      </w:r>
    </w:p>
    <w:p w14:paraId="0B1EC85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6F8109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telmizartánnal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kapcsolatos interakciók</w:t>
      </w:r>
    </w:p>
    <w:p w14:paraId="65A03A2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EE4D6B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Az egyidejű alkalmazás nem javasolt</w:t>
      </w:r>
    </w:p>
    <w:p w14:paraId="3C0D384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2354F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Káliummegtakarító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diuretikumok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vagy káliumpótló készítmények</w:t>
      </w:r>
    </w:p>
    <w:p w14:paraId="323C26FB" w14:textId="6FF35E99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DF40EE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, így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mérséklik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vízhajtók okozta káliumvesztést. A káliummegtakarító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diuretikumok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mint például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spironolakton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eplerenon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triamteren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amilorid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 káliumpótló vagy káliumot tartalmazó sópótló készítmények jelentősen megemelhetik a szérum káliumszintjét. Ha egyidejű alkalmazásuk igazolt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miatt indokolt, csak óvatosan és a szérum káliumszintjének gyakori ellenőrzése mellett alkalmazhatók.</w:t>
      </w:r>
    </w:p>
    <w:p w14:paraId="48B0491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DF001D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Lítium</w:t>
      </w:r>
    </w:p>
    <w:p w14:paraId="6B8482AE" w14:textId="7F85077C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szérum lítiumszintjének reverzibilis emelkedéséről és toxicitásról számoltak be a lítium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konvertáló enzim-gátlókkal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DF40EE">
        <w:rPr>
          <w:rFonts w:ascii="Times New Roman" w:eastAsia="TimesNewRoman" w:hAnsi="Times New Roman" w:cs="Times New Roman"/>
          <w:color w:val="000000"/>
        </w:rPr>
        <w:t>blokkolókkal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– köztük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– történő egyidejű alkalmazása kapcsán. Amennyiben ilyen kombináció alkalmazása szükséges, a szérum lítiumszintjének gondos ellenőrzése javasolt.</w:t>
      </w:r>
    </w:p>
    <w:p w14:paraId="55962FA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DAF80A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rendszerre (RAAS) ható egyéb vérnyomáscsökkentő szerek</w:t>
      </w:r>
    </w:p>
    <w:p w14:paraId="50E8203F" w14:textId="2D7D2DAA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klinikai vizsgálati adatok azt mutatták, hogy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renin-angiotenzin-aldoszteron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rendszernek (RAAS) ACE-gátlók,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77EC4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blokkolók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kombinációjával történő kettős blokádja nagyobb gyakorisággal okoz mellékhatásokat, például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vesekárosodást (beleértve az akut veseelégtelenséget is), mint csak egyféle RAAS-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ható szer alkalmazása (lásd 4.3, 4.4 és 5.1 pont).</w:t>
      </w:r>
    </w:p>
    <w:p w14:paraId="742A021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A9F8AE5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Óvatosságot igénylő egyidejű alkalmazás</w:t>
      </w:r>
    </w:p>
    <w:p w14:paraId="25A038F4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</w:p>
    <w:p w14:paraId="0EB5A03E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Nem-szteroid gyulladáscsökkentők</w:t>
      </w:r>
    </w:p>
    <w:p w14:paraId="5E8507CB" w14:textId="3A79C4ED" w:rsidR="00DF40EE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nem-szteroid gyulladáscsökkentők (úgymint a gyulladáscsökkentő dózisban alkalmazott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acetilszalicilsav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COX-2 gátlók és nem szelektív nem-szteroid gyulladáscsökkentők) csökkenthetik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DF40EE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hatását.</w:t>
      </w:r>
    </w:p>
    <w:p w14:paraId="68D11575" w14:textId="3624473F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Néhány vesekárosodásban szenvedő betegnél (pl.: dehidrált betegek, vesekárosodásban szenvedő idősek)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DF40EE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ciklooxigenáz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-gátló gyógyszerek egyidejű alkalmazása a vesefunkció további rosszabbodását, esetleg akut veseelégtelenséget eredményezhet, mely általában reverzibilis. Emiatt a kombináció csak óvatosan alkalmazható, különösen időseknél. A betegeket megfelelően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hidrálni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kell, illetve megfontolandó a vesefunkciónak az egyidejű kezelés megkezdését követően, illetve azután bizonyos időközönként történő ellenőrzése.</w:t>
      </w:r>
    </w:p>
    <w:p w14:paraId="3831066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BCFF35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Ramipril</w:t>
      </w:r>
      <w:proofErr w:type="spellEnd"/>
    </w:p>
    <w:p w14:paraId="03B71A7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vizsgálatban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ramipril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együttadása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ramipril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ramiprilát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AUC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0-24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-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max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-értékének 2,5-szeres növekedéséhez vezetett. Ennek a megfigyelésnek a klinikai jelentősége nem ismert.</w:t>
      </w:r>
    </w:p>
    <w:p w14:paraId="227FE4A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F72EFA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Az egyidejű alkalmazás esetén figyelembe kell venni</w:t>
      </w:r>
    </w:p>
    <w:p w14:paraId="176164A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E5EA22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Digoxin</w:t>
      </w:r>
      <w:proofErr w:type="spellEnd"/>
    </w:p>
    <w:p w14:paraId="5F804D7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Ha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digoxinnal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adták együtt,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digoxin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plazmában mért csúcskoncentrációjának (49%) és a mélyponti koncentrációjának (20%) közepes mértékű emelkedését figyelték meg.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 elkezdésekor, módosításakor és leállításakor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digoxin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-szintet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monitorozni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kell, hogy az a terápiás tartományban maradjon.</w:t>
      </w:r>
    </w:p>
    <w:p w14:paraId="5828EC7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504F62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 kapcsolatos interakciók</w:t>
      </w:r>
    </w:p>
    <w:p w14:paraId="1A63732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4469D1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Óvatosságot igénylő egyidejű alkalmazás</w:t>
      </w:r>
    </w:p>
    <w:p w14:paraId="5404DB4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</w:p>
    <w:p w14:paraId="595D633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CYP3A4-inhibitorok</w:t>
      </w:r>
    </w:p>
    <w:p w14:paraId="6EB55F0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erős vagy közepesen erős CYP3A4-inhibitorokkal történő együttes alkalmazása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proteáz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inhibitorok,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azol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típusú gombaellenes szerek,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makrolidok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mint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eritromicin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klaritromicin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;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verapamil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diltiazem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jelentősen megnövelheti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-expozíciót, ami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fokozott kockázatát eredményezi. Ezen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változások sokkal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kifejezettebbek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lehetnek időseknél. Ezért szükséges lehet a klinikai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dózis módosítása.</w:t>
      </w:r>
    </w:p>
    <w:p w14:paraId="3F0B3BA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CFD353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CYP3A4</w:t>
      </w:r>
      <w:r w:rsidRPr="00623095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i/>
          <w:iCs/>
          <w:color w:val="000000"/>
        </w:rPr>
        <w:t>induktorok</w:t>
      </w:r>
    </w:p>
    <w:p w14:paraId="08F0336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Ismert CYP3A4-induktorokkal való egyidejű alkalmazás esetén megváltozhat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plazmakoncentrációja. Emiatt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monitorozni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kell a vérnyomást, és meg kell fontolni a dózis módosítását az egyidejű gyógyszeralkalmazás alatt és után is, különösen erős CYP3A4-induktorok (pl.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rifampicin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közönséges orbáncfű –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Hypericum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perforatum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 alkalmazása esetén.</w:t>
      </w:r>
    </w:p>
    <w:p w14:paraId="01F028B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556E6D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Dantrolén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(infúzióban)</w:t>
      </w:r>
    </w:p>
    <w:p w14:paraId="21E1E72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Verapamil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intravénásan adott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dantrolén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együttes alkalmazásakor, állatoknál halálos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kamrafibrillációt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kardiovaszkuláris rendszer összeomlását figyelték meg, melyeket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kísért.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kockázata miatt a kalciumcsatorna-blokkolók, mint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adása kerülendő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malignus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hipertermiára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hajlamos betegeknél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malignus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hipertermia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kezelésében.</w:t>
      </w:r>
    </w:p>
    <w:p w14:paraId="726E6E8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1923DC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Grépfrút és grépfrútlé</w:t>
      </w:r>
    </w:p>
    <w:p w14:paraId="3259D3E4" w14:textId="28CE1008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</w:t>
      </w:r>
      <w:r w:rsidR="00DF40EE">
        <w:rPr>
          <w:rFonts w:ascii="Times New Roman" w:eastAsia="TimesNewRoman" w:hAnsi="Times New Roman" w:cs="Times New Roman"/>
          <w:color w:val="000000"/>
        </w:rPr>
        <w:t>z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="00DF40EE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="00DF40EE">
        <w:rPr>
          <w:rFonts w:ascii="Times New Roman" w:eastAsia="TimesNewRoman" w:hAnsi="Times New Roman" w:cs="Times New Roman"/>
          <w:color w:val="000000"/>
        </w:rPr>
        <w:t xml:space="preserve"> alkalmazásakor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grépfrút vagy grépfrútlé fogyasztása nem javasolt, mivel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egyes betegeknél fokozódhat, ami fokozott vérnyomáscsökkentő hatást eredményezhet.</w:t>
      </w:r>
    </w:p>
    <w:p w14:paraId="3B22935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7A5AD3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  <w:u w:val="single"/>
        </w:rPr>
        <w:t>Az egyidejű alkalmazás esetén figyelembe kell venni</w:t>
      </w:r>
    </w:p>
    <w:p w14:paraId="48FB26AB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</w:p>
    <w:p w14:paraId="66075C0A" w14:textId="77777777" w:rsidR="007F4408" w:rsidRPr="00623095" w:rsidRDefault="007F4408" w:rsidP="00AD6C35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Takrolimusz</w:t>
      </w:r>
      <w:proofErr w:type="spellEnd"/>
    </w:p>
    <w:p w14:paraId="4362D76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Fennáll a kockázata, hogy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vérszintje megemelkedik, ha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adják együtt, de ennek az interakciónak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mechanizmusa nem teljesen tisztázott.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-toxicitás elkerülése érdekében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takrolimusszal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kezelt betegeknél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 esetén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monitorozni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kell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vérszintjét, és szükség esetén módosítani kell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takrolimusz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dózisát.</w:t>
      </w:r>
    </w:p>
    <w:p w14:paraId="41ED85B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02FC9B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Ciklosporin</w:t>
      </w:r>
      <w:proofErr w:type="spellEnd"/>
    </w:p>
    <w:p w14:paraId="545B7F6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lastRenderedPageBreak/>
        <w:t>Ciklosporinnal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végeztek kölcsönhatás vizsgálatokat egészséges önkénteseknél vagy egyéb populációkkal, a vesetranszplantált betegeket kivéve, akiknél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ciklosporin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mélyponti koncentrációinak változó mértékű növekedését (átlagosan 0%-40%) figyelték meg. Mérlegelni kell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ciklosporinszintek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monitorozását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kezelt, vesetranszplantált betegeknél, és ha szükséges,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ciklosporin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dózisát csökkenteni kell.</w:t>
      </w:r>
    </w:p>
    <w:p w14:paraId="553446A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18818A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mTOR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(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Mechanistic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Target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of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Rapamycin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>) inhibitorok</w:t>
      </w:r>
    </w:p>
    <w:p w14:paraId="6D2705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mTOR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-inhibitorok, mint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szirolimusz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temszirolimusz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everolimusz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CYP3A-enzim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szubsztrátjai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 gyenge CYP3A-inhibitor.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mTOR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-inhibitorok és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együttes alkalmazása növelheti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mTOR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inhibitor-expozíciót.</w:t>
      </w:r>
    </w:p>
    <w:p w14:paraId="0D1D27F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292974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Szimvasztatin</w:t>
      </w:r>
      <w:proofErr w:type="spellEnd"/>
    </w:p>
    <w:p w14:paraId="3CC25E4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10 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ismételt dózisainak 80 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szimvasztatinnal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történő egyidejű alkalmazása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szimvasztatin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-expozíció 77%-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növekedését eredményezte az önmagában adagolt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szimvasztatin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kialakuló szinthez képest.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kapó betegeknél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szimvasztatin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dózisát napi 20 mg-ra kell korlátozni.</w:t>
      </w:r>
    </w:p>
    <w:p w14:paraId="07A6A6D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F5AC3DF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4.6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Termékenység, terhesség és szoptatás</w:t>
      </w:r>
    </w:p>
    <w:p w14:paraId="781905F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306F1A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Terhesség</w:t>
      </w:r>
    </w:p>
    <w:p w14:paraId="6C7095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terhes nőknél történő alkalmazásáról korlátozott mennyiségű adat áll rendelkezésre.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kombinációval nem végeztek állatokon reprodukciós toxicitási vizsgálatokat.</w:t>
      </w:r>
    </w:p>
    <w:p w14:paraId="36155B7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C62CDA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Telmizartán</w:t>
      </w:r>
      <w:proofErr w:type="spellEnd"/>
    </w:p>
    <w:p w14:paraId="25786F5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8531C6B" w14:textId="67D1F181" w:rsidR="007F4408" w:rsidRPr="00623095" w:rsidRDefault="007F4408" w:rsidP="0062309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7678A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alkalmazása nem javasolt a terhesség első trimeszterében (lásd 4.4 pont).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7678A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alkalmazása ellenjavallt a terhesség második és harmadik trimeszterében (lásd 4.3 és 4.4 pont).</w:t>
      </w:r>
    </w:p>
    <w:p w14:paraId="4775EBD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1E689E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végzett állatkísérletek során reproduktív toxicitást igazoltak (lásd 5.3 pont).</w:t>
      </w:r>
    </w:p>
    <w:p w14:paraId="544620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15E06DF" w14:textId="521405A3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terhesség első harmada alatti ACE-gátló expozíciót követő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teratogenitási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kockázatra vonatkozó epidemiológiai bizonyíték nem volt meggyőző, a kockázat kismértékű növekedése azonban nem zárható ki. Mivel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7678A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alkalmazásával járó kockázatra vonatkozóan nem állnak rendelkezésre kontrollált epidemiológiai adatok, hasonló kockázattal lehet számolni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ezen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gyógyszercsoport esetén is. Hacsak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blokkolóval történő kezelés folytatása nem elengedhetetlen, a terhességet tervező betegeket olyan 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kezelésre kell átállítani, melynek a terhesség alatti alkalmazásra vonatkozó biztonságossági profilja bizonyított. Terhesség megállapítását követően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7678A">
        <w:rPr>
          <w:rFonts w:ascii="Times New Roman" w:eastAsia="TimesNewRoman" w:hAnsi="Times New Roman" w:cs="Times New Roman"/>
          <w:color w:val="000000"/>
        </w:rPr>
        <w:t>blokkoló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szedését azonnal abba kell hagyni és amennyiben szükséges, egy másik </w:t>
      </w:r>
      <w:r w:rsidR="000372D0" w:rsidRPr="00623095">
        <w:rPr>
          <w:rFonts w:ascii="Times New Roman" w:eastAsia="TimesNewRoman" w:hAnsi="Times New Roman" w:cs="Times New Roman"/>
          <w:color w:val="000000"/>
        </w:rPr>
        <w:t xml:space="preserve">hatóanyaggal végzett </w:t>
      </w:r>
      <w:r w:rsidRPr="00623095">
        <w:rPr>
          <w:rFonts w:ascii="Times New Roman" w:eastAsia="TimesNewRoman" w:hAnsi="Times New Roman" w:cs="Times New Roman"/>
          <w:color w:val="000000"/>
        </w:rPr>
        <w:t>kezelést el kell kezdeni.</w:t>
      </w:r>
    </w:p>
    <w:p w14:paraId="2F3A58B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C69B400" w14:textId="7BB2D87D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77678A">
        <w:rPr>
          <w:rFonts w:ascii="Times New Roman" w:eastAsia="TimesNewRoman" w:hAnsi="Times New Roman" w:cs="Times New Roman"/>
          <w:color w:val="000000"/>
        </w:rPr>
        <w:t xml:space="preserve">blokkolóval végzett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kezelés a terhesség második és harmadik harmadában ismerten humán magzati toxicitást (csökkent vesefunkció,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oligohydramnion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 koponya-csontosodás retardációja) és újszülöttkori toxicitást (veseelégtelenség,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 okoz (lásd 5.3 pont).</w:t>
      </w:r>
    </w:p>
    <w:p w14:paraId="2E2B5033" w14:textId="793D433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Amennyiben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3C4D18">
        <w:rPr>
          <w:rFonts w:ascii="Times New Roman" w:eastAsia="TimesNewRoman" w:hAnsi="Times New Roman" w:cs="Times New Roman"/>
          <w:color w:val="000000"/>
        </w:rPr>
        <w:t>blokkoló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expozíció a terhesség második trimeszterében vagy azután történt, a vesefunkció és a koponya ultrahangvizsgálata javasolt.</w:t>
      </w:r>
    </w:p>
    <w:p w14:paraId="4EB07318" w14:textId="7F4877FF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Azokat a csecsemőket, akiknek az édesanyja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3C4D18">
        <w:rPr>
          <w:rFonts w:ascii="Times New Roman" w:eastAsia="TimesNewRoman" w:hAnsi="Times New Roman" w:cs="Times New Roman"/>
          <w:color w:val="000000"/>
        </w:rPr>
        <w:t>blokkolót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szedett, meg kell figyelni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kialakulásának észlelése érdekében (lásd 4.3 és 4.4 pont).</w:t>
      </w:r>
    </w:p>
    <w:p w14:paraId="623C2CE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9932A7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Amlodipin</w:t>
      </w:r>
      <w:proofErr w:type="spellEnd"/>
    </w:p>
    <w:p w14:paraId="5DD169A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biztonságosságát terhesség alatt nem igazolták.</w:t>
      </w:r>
    </w:p>
    <w:p w14:paraId="45CE212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Állatkísérletekben nagy dózis mellett reprodukciós toxicitást észleltek (lásd 5.3 pont).</w:t>
      </w:r>
    </w:p>
    <w:p w14:paraId="0FD9A81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C12173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Szoptatás</w:t>
      </w:r>
    </w:p>
    <w:p w14:paraId="4D10FD1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kiválasztódik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humán anyatejbe. Becslések szerint a csecsemő által felvett dózis az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>anyai dózis 3–7%-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interkvartilis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tartományában található, de legfeljebb 15%.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csecsemőre gyakorolt hatásai a nem ismertek.</w:t>
      </w:r>
    </w:p>
    <w:p w14:paraId="1FCADF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Mivel nem áll rendelkezésre információ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szoptatás alatt történő alkalmazására vonatkozóan,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 nem javasolt, és másik, a szoptatásra vonatkozóan jobban alátámasztott biztonságossági profillal rendelkező kezelés választandó, különösen újszülött vagy koraszülött szoptatása esetén.</w:t>
      </w:r>
    </w:p>
    <w:p w14:paraId="44DEEB8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6FE5B2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Termékenység</w:t>
      </w:r>
    </w:p>
    <w:p w14:paraId="56FBE17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Nem állnak rendelkezésre a fix dózisú kombinációval vagy az egyedi komponensekkel végzett kontrollos klinikai vizsgálatokból származó adatok.</w:t>
      </w:r>
    </w:p>
    <w:p w14:paraId="1804E36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kombinációval külön reprodukciós toxicitási vizsgálatokat nem végeztek.</w:t>
      </w:r>
    </w:p>
    <w:p w14:paraId="0E94AC1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89B386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preklinikai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vizsgálatok során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esetében nem figyeltek meg a férfi vagy női termékenységre gyakorolt hatást.</w:t>
      </w:r>
    </w:p>
    <w:p w14:paraId="75D0F61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C7E465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Egyes, kalciumcsatorna-blokkolóval kezelt betegeknél a spermium feji végének reverzibilis biokémiai változásait figyelték meg.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termékenységre gyakorolt lehetséges hatásairól nincs elegendő klinikai adat. Egy patkányokon végzett vizsgálatban a hímek termékenységére gyakorolt nemkívánatos hatást találtak (lásd 5.3 pont).</w:t>
      </w:r>
    </w:p>
    <w:p w14:paraId="435D846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5ACFC3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4.7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A készítmény hatásai a gépjárművezetéshez és a gépek kezeléséhez szükséges képességekre</w:t>
      </w:r>
    </w:p>
    <w:p w14:paraId="0854CEE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9256C0" w14:textId="4E5E4481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Ez a gyógyszer közepes mértékben befolyásolja a gépjárművezetéshez és a gépek kezeléséhez szükséges képességeket. </w:t>
      </w:r>
      <w:r w:rsidR="005E31DD" w:rsidRPr="005E31DD">
        <w:rPr>
          <w:rFonts w:ascii="Times New Roman" w:eastAsia="TimesNewRoman" w:hAnsi="Times New Roman" w:cs="Times New Roman"/>
          <w:color w:val="000000"/>
        </w:rPr>
        <w:t>G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pj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>rm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ű</w:t>
      </w:r>
      <w:r w:rsidR="005E31DD" w:rsidRPr="005E31DD">
        <w:rPr>
          <w:rFonts w:ascii="Times New Roman" w:eastAsia="TimesNewRoman" w:hAnsi="Times New Roman" w:cs="Times New Roman"/>
          <w:color w:val="000000"/>
        </w:rPr>
        <w:t>vezet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skor vagy g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pek kezel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sekor figyelembe kell venni, hogy a v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rnyom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>scs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ö</w:t>
      </w:r>
      <w:r w:rsidR="005E31DD" w:rsidRPr="005E31DD">
        <w:rPr>
          <w:rFonts w:ascii="Times New Roman" w:eastAsia="TimesNewRoman" w:hAnsi="Times New Roman" w:cs="Times New Roman"/>
          <w:color w:val="000000"/>
        </w:rPr>
        <w:t>kkent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ő</w:t>
      </w:r>
      <w:r w:rsidR="005E31DD" w:rsidRPr="005E31DD">
        <w:rPr>
          <w:rFonts w:ascii="Times New Roman" w:eastAsia="TimesNewRoman" w:hAnsi="Times New Roman" w:cs="Times New Roman"/>
          <w:color w:val="000000"/>
        </w:rPr>
        <w:t>kkel t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ö</w:t>
      </w:r>
      <w:r w:rsidR="005E31DD" w:rsidRPr="005E31DD">
        <w:rPr>
          <w:rFonts w:ascii="Times New Roman" w:eastAsia="TimesNewRoman" w:hAnsi="Times New Roman" w:cs="Times New Roman"/>
          <w:color w:val="000000"/>
        </w:rPr>
        <w:t>rt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n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ő</w:t>
      </w:r>
      <w:r w:rsidR="005E31DD" w:rsidRPr="005E31DD">
        <w:rPr>
          <w:rFonts w:ascii="Times New Roman" w:eastAsia="TimesNewRoman" w:hAnsi="Times New Roman" w:cs="Times New Roman"/>
          <w:color w:val="000000"/>
        </w:rPr>
        <w:t xml:space="preserve"> kezel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s mell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khat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>sak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 xml:space="preserve">nt olykor 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>jul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 xml:space="preserve">s, </w:t>
      </w:r>
      <w:proofErr w:type="spellStart"/>
      <w:r w:rsidR="005E31DD" w:rsidRPr="005E31DD">
        <w:rPr>
          <w:rFonts w:ascii="Times New Roman" w:eastAsia="TimesNewRoman" w:hAnsi="Times New Roman" w:cs="Times New Roman"/>
          <w:color w:val="000000"/>
        </w:rPr>
        <w:t>somnolencia</w:t>
      </w:r>
      <w:proofErr w:type="spellEnd"/>
      <w:r w:rsidR="005E31DD" w:rsidRPr="005E31DD">
        <w:rPr>
          <w:rFonts w:ascii="Times New Roman" w:eastAsia="TimesNewRoman" w:hAnsi="Times New Roman" w:cs="Times New Roman"/>
          <w:color w:val="000000"/>
        </w:rPr>
        <w:t>, sz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d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ü</w:t>
      </w:r>
      <w:r w:rsidR="005E31DD" w:rsidRPr="005E31DD">
        <w:rPr>
          <w:rFonts w:ascii="Times New Roman" w:eastAsia="TimesNewRoman" w:hAnsi="Times New Roman" w:cs="Times New Roman"/>
          <w:color w:val="000000"/>
        </w:rPr>
        <w:t>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s vagy vertigo 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é</w:t>
      </w:r>
      <w:r w:rsidR="005E31DD" w:rsidRPr="005E31DD">
        <w:rPr>
          <w:rFonts w:ascii="Times New Roman" w:eastAsia="TimesNewRoman" w:hAnsi="Times New Roman" w:cs="Times New Roman"/>
          <w:color w:val="000000"/>
        </w:rPr>
        <w:t>phet fel (l</w:t>
      </w:r>
      <w:r w:rsidR="005E31DD" w:rsidRPr="005E31DD">
        <w:rPr>
          <w:rFonts w:ascii="Times New Roman" w:eastAsia="TimesNewRoman" w:hAnsi="Times New Roman" w:cs="Times New Roman" w:hint="eastAsia"/>
          <w:color w:val="000000"/>
        </w:rPr>
        <w:t>á</w:t>
      </w:r>
      <w:r w:rsidR="005E31DD" w:rsidRPr="005E31DD">
        <w:rPr>
          <w:rFonts w:ascii="Times New Roman" w:eastAsia="TimesNewRoman" w:hAnsi="Times New Roman" w:cs="Times New Roman"/>
          <w:color w:val="000000"/>
        </w:rPr>
        <w:t>sd 4.8 pont).</w:t>
      </w:r>
      <w:r w:rsidR="005E31DD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>Ha a betegnél ezek a mellékhatások jelentkeznek, a veszélyes tevékenységeket, pl. gépjárművezetést vagy gépek kezelését kerülnie kell.</w:t>
      </w:r>
    </w:p>
    <w:p w14:paraId="6116CDA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2DB7713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4.8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Nemkívánatos hatások, mellékhatások</w:t>
      </w:r>
    </w:p>
    <w:p w14:paraId="7873E8B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1B3CC5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A biztonságossági profil összefoglalása</w:t>
      </w:r>
    </w:p>
    <w:p w14:paraId="39B3C67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0D1329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leggyakoribb mellékhatások között szerepel a szédülés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peripheriás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 A súlyos ájulás ritkán fordulhat elő (1000 betegből legfeljebb 1-et érinthet).</w:t>
      </w:r>
    </w:p>
    <w:p w14:paraId="348EE4F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8F3635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külön alkalmazott összetevők bármelyikével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korábban megfigyelt mellékhatások potenciálisan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mellékhatásai is lehetnek, még akkor is, ha a klinikai vizsgálatokban és a forgalomba hozatalt követően ezeket nem figyelték meg.</w:t>
      </w:r>
    </w:p>
    <w:p w14:paraId="5C382CD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21C510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A mellékhatások táblázatos felsorolása</w:t>
      </w:r>
    </w:p>
    <w:p w14:paraId="435E349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biztonságosságát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tolerálhatóságát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5 kontrollos klinikai vizsgálatban értékelték, több mint 3500 beteg bevonásával, akik közül több mint 2500-an kaptak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kombinációban.</w:t>
      </w:r>
    </w:p>
    <w:p w14:paraId="1015639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F9AA20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mellékhatások gyakoriság szerint, a következő egyezményes módon kerülnek osztályozásra:</w:t>
      </w:r>
    </w:p>
    <w:p w14:paraId="0A4697E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nagyon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gyakori (≥1/10), gyakori (≥1/100 - &lt;1/10), nem gyakori (≥1/1000 - &lt;1/100), ritka (≥1/10 000 -&lt;1/1000), nagyon ritka (&lt;1/10 000), nem ismert (a rendelkezésre álló adatokból a gyakoriság nem állapítható meg).</w:t>
      </w:r>
    </w:p>
    <w:p w14:paraId="513F071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A0096D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Az egyes gyakorisági kategóriákon belül a mellékhatások csökkenő súlyosság szerint kerülnek megadásra.</w:t>
      </w:r>
    </w:p>
    <w:p w14:paraId="03A8600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2093"/>
        <w:gridCol w:w="2564"/>
        <w:gridCol w:w="2692"/>
      </w:tblGrid>
      <w:tr w:rsidR="007F4408" w:rsidRPr="005906ED" w14:paraId="778FC435" w14:textId="77777777" w:rsidTr="00203E37">
        <w:tc>
          <w:tcPr>
            <w:tcW w:w="0" w:type="auto"/>
            <w:shd w:val="clear" w:color="auto" w:fill="auto"/>
          </w:tcPr>
          <w:p w14:paraId="6D788172" w14:textId="77777777" w:rsidR="007F4408" w:rsidRPr="00623095" w:rsidRDefault="007F4408" w:rsidP="00203E37">
            <w:pPr>
              <w:pStyle w:val="Cmsor1"/>
              <w:widowControl w:val="0"/>
              <w:kinsoku w:val="0"/>
              <w:overflowPunct w:val="0"/>
              <w:rPr>
                <w:bCs w:val="0"/>
                <w:lang w:val="hu-HU"/>
              </w:rPr>
            </w:pPr>
            <w:r w:rsidRPr="00623095">
              <w:rPr>
                <w:lang w:val="hu-HU"/>
              </w:rPr>
              <w:t>Szervrendszeri kategória</w:t>
            </w:r>
          </w:p>
          <w:p w14:paraId="430AE641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14301E90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5906ED">
              <w:rPr>
                <w:rFonts w:ascii="Times New Roman" w:hAnsi="Times New Roman" w:cs="Times New Roman"/>
                <w:b/>
                <w:bCs/>
              </w:rPr>
              <w:t>Cotanydon</w:t>
            </w:r>
            <w:proofErr w:type="spellEnd"/>
            <w:r w:rsidRPr="005906E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51130B7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5906ED">
              <w:rPr>
                <w:rFonts w:ascii="Times New Roman" w:hAnsi="Times New Roman" w:cs="Times New Roman"/>
                <w:b/>
                <w:bCs/>
              </w:rPr>
              <w:t>Telmizartán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868B03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5906ED">
              <w:rPr>
                <w:rFonts w:ascii="Times New Roman" w:hAnsi="Times New Roman" w:cs="Times New Roman"/>
                <w:b/>
                <w:bCs/>
              </w:rPr>
              <w:t>Amlodipin</w:t>
            </w:r>
            <w:proofErr w:type="spellEnd"/>
          </w:p>
        </w:tc>
      </w:tr>
      <w:tr w:rsidR="007F4408" w:rsidRPr="005906ED" w14:paraId="4D87C614" w14:textId="77777777" w:rsidTr="00203E37">
        <w:tc>
          <w:tcPr>
            <w:tcW w:w="0" w:type="auto"/>
            <w:gridSpan w:val="4"/>
            <w:shd w:val="clear" w:color="auto" w:fill="auto"/>
          </w:tcPr>
          <w:p w14:paraId="61672874" w14:textId="77777777" w:rsidR="007F4408" w:rsidRPr="00623095" w:rsidRDefault="007F4408" w:rsidP="00203E37">
            <w:pPr>
              <w:pStyle w:val="Cmsor2"/>
              <w:widowControl w:val="0"/>
              <w:kinsoku w:val="0"/>
              <w:overflowPunct w:val="0"/>
              <w:rPr>
                <w:b w:val="0"/>
                <w:bCs w:val="0"/>
                <w:i w:val="0"/>
                <w:iCs w:val="0"/>
                <w:lang w:val="hu-HU"/>
              </w:rPr>
            </w:pPr>
            <w:r w:rsidRPr="00623095">
              <w:rPr>
                <w:lang w:val="hu-HU"/>
              </w:rPr>
              <w:t>Fertőző betegségek és parazitafertőzések</w:t>
            </w:r>
          </w:p>
        </w:tc>
      </w:tr>
      <w:tr w:rsidR="007F4408" w:rsidRPr="005906ED" w14:paraId="5C497049" w14:textId="77777777" w:rsidTr="00203E37">
        <w:tc>
          <w:tcPr>
            <w:tcW w:w="0" w:type="auto"/>
            <w:shd w:val="clear" w:color="auto" w:fill="auto"/>
          </w:tcPr>
          <w:p w14:paraId="6CC6C23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201650E4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A7FB9D1" w14:textId="34B7C3AD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felső légúti fertőzések,</w:t>
            </w:r>
            <w:r w:rsidR="00D933E0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lastRenderedPageBreak/>
              <w:t xml:space="preserve">köztük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pharyngitis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és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sinusitis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húgyúti fertőzések, beleértve a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cystitist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is</w:t>
            </w:r>
          </w:p>
        </w:tc>
        <w:tc>
          <w:tcPr>
            <w:tcW w:w="0" w:type="auto"/>
            <w:shd w:val="clear" w:color="auto" w:fill="auto"/>
          </w:tcPr>
          <w:p w14:paraId="210873A6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F4408" w:rsidRPr="005906ED" w14:paraId="5284E24F" w14:textId="77777777" w:rsidTr="00203E37">
        <w:tc>
          <w:tcPr>
            <w:tcW w:w="0" w:type="auto"/>
            <w:shd w:val="clear" w:color="auto" w:fill="auto"/>
          </w:tcPr>
          <w:p w14:paraId="08657737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Ritka </w:t>
            </w:r>
          </w:p>
        </w:tc>
        <w:tc>
          <w:tcPr>
            <w:tcW w:w="0" w:type="auto"/>
            <w:shd w:val="clear" w:color="auto" w:fill="auto"/>
          </w:tcPr>
          <w:p w14:paraId="379B3287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cystitis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EE2BB3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906ED">
              <w:rPr>
                <w:rFonts w:ascii="Times New Roman" w:hAnsi="Times New Roman" w:cs="Times New Roman"/>
              </w:rPr>
              <w:t>sepsis</w:t>
            </w:r>
            <w:proofErr w:type="spellEnd"/>
            <w:r w:rsidRPr="005906ED">
              <w:rPr>
                <w:rFonts w:ascii="Times New Roman" w:hAnsi="Times New Roman" w:cs="Times New Roman"/>
              </w:rPr>
              <w:t>, beleértve a halálos kimenetelű eseteket is</w:t>
            </w:r>
            <w:r w:rsidRPr="005906ED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70F56E1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F4408" w:rsidRPr="005906ED" w14:paraId="218B34BF" w14:textId="77777777" w:rsidTr="00203E37">
        <w:tc>
          <w:tcPr>
            <w:tcW w:w="0" w:type="auto"/>
            <w:gridSpan w:val="4"/>
            <w:shd w:val="clear" w:color="auto" w:fill="auto"/>
          </w:tcPr>
          <w:p w14:paraId="4EEAD21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Vérképzőszervi és nyirokrendszeri betegségek és tünetek</w:t>
            </w:r>
          </w:p>
        </w:tc>
      </w:tr>
      <w:tr w:rsidR="007F4408" w:rsidRPr="005906ED" w14:paraId="54792936" w14:textId="77777777" w:rsidTr="00203E37">
        <w:tc>
          <w:tcPr>
            <w:tcW w:w="0" w:type="auto"/>
            <w:shd w:val="clear" w:color="auto" w:fill="auto"/>
          </w:tcPr>
          <w:p w14:paraId="74733C2E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03D8A4C7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293627B5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906ED">
              <w:rPr>
                <w:rFonts w:ascii="Times New Roman" w:hAnsi="Times New Roman" w:cs="Times New Roman"/>
              </w:rPr>
              <w:t>anaemia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9E1430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F4408" w:rsidRPr="005906ED" w14:paraId="6637B943" w14:textId="77777777" w:rsidTr="00203E37">
        <w:tc>
          <w:tcPr>
            <w:tcW w:w="0" w:type="auto"/>
            <w:shd w:val="clear" w:color="auto" w:fill="auto"/>
          </w:tcPr>
          <w:p w14:paraId="472EEA2A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6DDA1629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629118FB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906ED">
              <w:rPr>
                <w:rFonts w:ascii="Times New Roman" w:hAnsi="Times New Roman" w:cs="Times New Roman"/>
              </w:rPr>
              <w:t>thrombocytopenia</w:t>
            </w:r>
            <w:proofErr w:type="spellEnd"/>
            <w:r w:rsidRPr="005906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906ED">
              <w:rPr>
                <w:rFonts w:ascii="Times New Roman" w:hAnsi="Times New Roman" w:cs="Times New Roman"/>
              </w:rPr>
              <w:t>eosinophilia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783936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F4408" w:rsidRPr="005906ED" w14:paraId="429CBBDF" w14:textId="77777777" w:rsidTr="00203E37">
        <w:tc>
          <w:tcPr>
            <w:tcW w:w="0" w:type="auto"/>
            <w:shd w:val="clear" w:color="auto" w:fill="auto"/>
          </w:tcPr>
          <w:p w14:paraId="02CB27DE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06ED">
              <w:rPr>
                <w:rFonts w:ascii="Times New Roman" w:hAnsi="Times New Roman" w:cs="Times New Roman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46C53209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161D5A91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7F28283E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5906ED">
              <w:rPr>
                <w:rFonts w:ascii="Times New Roman" w:hAnsi="Times New Roman" w:cs="Times New Roman"/>
                <w:spacing w:val="1"/>
              </w:rPr>
              <w:t>l</w:t>
            </w:r>
            <w:r w:rsidRPr="005906ED">
              <w:rPr>
                <w:rFonts w:ascii="Times New Roman" w:hAnsi="Times New Roman" w:cs="Times New Roman"/>
                <w:spacing w:val="-1"/>
              </w:rPr>
              <w:t>eukocytopenia</w:t>
            </w:r>
            <w:proofErr w:type="spellEnd"/>
            <w:r w:rsidRPr="005906ED">
              <w:rPr>
                <w:rFonts w:ascii="Times New Roman" w:hAnsi="Times New Roman" w:cs="Times New Roman"/>
                <w:spacing w:val="-1"/>
              </w:rPr>
              <w:t xml:space="preserve">, </w:t>
            </w:r>
            <w:proofErr w:type="spellStart"/>
            <w:r w:rsidRPr="005906ED">
              <w:rPr>
                <w:rFonts w:ascii="Times New Roman" w:hAnsi="Times New Roman" w:cs="Times New Roman"/>
                <w:spacing w:val="-1"/>
              </w:rPr>
              <w:t>thrombocytopenia</w:t>
            </w:r>
            <w:proofErr w:type="spellEnd"/>
          </w:p>
        </w:tc>
      </w:tr>
      <w:tr w:rsidR="007F4408" w:rsidRPr="005906ED" w14:paraId="6370EA00" w14:textId="77777777" w:rsidTr="00203E37">
        <w:tc>
          <w:tcPr>
            <w:tcW w:w="0" w:type="auto"/>
            <w:gridSpan w:val="4"/>
            <w:shd w:val="clear" w:color="auto" w:fill="auto"/>
          </w:tcPr>
          <w:p w14:paraId="11E042D7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Immunrendszeri betegségek és tünetek</w:t>
            </w:r>
          </w:p>
        </w:tc>
      </w:tr>
      <w:tr w:rsidR="007F4408" w:rsidRPr="005906ED" w14:paraId="65515793" w14:textId="77777777" w:rsidTr="00203E37">
        <w:tc>
          <w:tcPr>
            <w:tcW w:w="0" w:type="auto"/>
            <w:shd w:val="clear" w:color="auto" w:fill="auto"/>
          </w:tcPr>
          <w:p w14:paraId="7DCDEF2B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605D3769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3239B79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túlérzékenység,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anaphylaxiás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reakciók</w:t>
            </w:r>
          </w:p>
        </w:tc>
        <w:tc>
          <w:tcPr>
            <w:tcW w:w="0" w:type="auto"/>
            <w:shd w:val="clear" w:color="auto" w:fill="auto"/>
          </w:tcPr>
          <w:p w14:paraId="3810531D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2B3E5704" w14:textId="77777777" w:rsidTr="00203E37">
        <w:tc>
          <w:tcPr>
            <w:tcW w:w="0" w:type="auto"/>
            <w:shd w:val="clear" w:color="auto" w:fill="auto"/>
          </w:tcPr>
          <w:p w14:paraId="7C998CA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29B5ABE0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98F75A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FA2951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túlérzékenység</w:t>
            </w:r>
          </w:p>
        </w:tc>
      </w:tr>
      <w:tr w:rsidR="007F4408" w:rsidRPr="005906ED" w14:paraId="5159C37F" w14:textId="77777777" w:rsidTr="00203E37">
        <w:tc>
          <w:tcPr>
            <w:tcW w:w="0" w:type="auto"/>
            <w:gridSpan w:val="4"/>
            <w:shd w:val="clear" w:color="auto" w:fill="auto"/>
          </w:tcPr>
          <w:p w14:paraId="119D0F1F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Anyagcsere- és táplálkozási betegségek és tünetek</w:t>
            </w:r>
          </w:p>
        </w:tc>
      </w:tr>
      <w:tr w:rsidR="007F4408" w:rsidRPr="005906ED" w14:paraId="68E8094F" w14:textId="77777777" w:rsidTr="00203E37">
        <w:tc>
          <w:tcPr>
            <w:tcW w:w="0" w:type="auto"/>
            <w:shd w:val="clear" w:color="auto" w:fill="auto"/>
          </w:tcPr>
          <w:p w14:paraId="7BADB18E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51818D4B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216680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pacing w:val="-1"/>
                <w:sz w:val="22"/>
                <w:szCs w:val="22"/>
                <w:lang w:val="hu-HU"/>
              </w:rPr>
              <w:t>hyperkalaemia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A30447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0DE04D6C" w14:textId="77777777" w:rsidTr="00203E37">
        <w:tc>
          <w:tcPr>
            <w:tcW w:w="0" w:type="auto"/>
            <w:shd w:val="clear" w:color="auto" w:fill="auto"/>
          </w:tcPr>
          <w:p w14:paraId="28B9FCA8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021E9486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6A3483D6" w14:textId="0DCB2163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hypoglykaemia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(cukorbetegeknél)</w:t>
            </w:r>
            <w:r w:rsidR="002D5AA8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="002D5AA8" w:rsidRPr="002D5AA8">
              <w:rPr>
                <w:rFonts w:ascii="Times New Roman" w:eastAsia="TimesNewRoman" w:hAnsi="Times New Roman" w:cs="Times New Roman"/>
                <w:color w:val="000000"/>
              </w:rPr>
              <w:t>hyponatraemia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B29A8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10F71DDF" w14:textId="77777777" w:rsidTr="00203E37">
        <w:tc>
          <w:tcPr>
            <w:tcW w:w="0" w:type="auto"/>
            <w:shd w:val="clear" w:color="auto" w:fill="auto"/>
          </w:tcPr>
          <w:p w14:paraId="7106EA3E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31554DB3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092AB90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5CC7D7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hyperglykaemia</w:t>
            </w:r>
            <w:proofErr w:type="spellEnd"/>
          </w:p>
        </w:tc>
      </w:tr>
      <w:tr w:rsidR="007F4408" w:rsidRPr="005906ED" w14:paraId="3B49FAFC" w14:textId="77777777" w:rsidTr="00203E37">
        <w:tc>
          <w:tcPr>
            <w:tcW w:w="0" w:type="auto"/>
            <w:gridSpan w:val="4"/>
            <w:shd w:val="clear" w:color="auto" w:fill="auto"/>
          </w:tcPr>
          <w:p w14:paraId="7341B858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Pszichiátriai kórképek</w:t>
            </w:r>
          </w:p>
        </w:tc>
      </w:tr>
      <w:tr w:rsidR="007F4408" w:rsidRPr="005906ED" w14:paraId="1920AD94" w14:textId="77777777" w:rsidTr="00203E37">
        <w:tc>
          <w:tcPr>
            <w:tcW w:w="0" w:type="auto"/>
            <w:shd w:val="clear" w:color="auto" w:fill="auto"/>
          </w:tcPr>
          <w:p w14:paraId="202E687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2F6B8689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B150AAA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146EDE2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hangulatváltozás</w:t>
            </w:r>
          </w:p>
        </w:tc>
      </w:tr>
      <w:tr w:rsidR="007F4408" w:rsidRPr="005906ED" w14:paraId="2CB31B71" w14:textId="77777777" w:rsidTr="00203E37">
        <w:tc>
          <w:tcPr>
            <w:tcW w:w="0" w:type="auto"/>
            <w:shd w:val="clear" w:color="auto" w:fill="auto"/>
          </w:tcPr>
          <w:p w14:paraId="15AFBC45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11D65635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depresszió, szorongás,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insomnia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B5F4B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6D7B4280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zavartság</w:t>
            </w:r>
          </w:p>
        </w:tc>
      </w:tr>
      <w:tr w:rsidR="007F4408" w:rsidRPr="005906ED" w14:paraId="572EEF4B" w14:textId="77777777" w:rsidTr="00203E37">
        <w:tc>
          <w:tcPr>
            <w:tcW w:w="0" w:type="auto"/>
            <w:gridSpan w:val="4"/>
            <w:shd w:val="clear" w:color="auto" w:fill="auto"/>
          </w:tcPr>
          <w:p w14:paraId="6E308A1A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Idegrendszeri betegségek és tünetek</w:t>
            </w:r>
          </w:p>
        </w:tc>
      </w:tr>
      <w:tr w:rsidR="007F4408" w:rsidRPr="005906ED" w14:paraId="649AA4F6" w14:textId="77777777" w:rsidTr="00203E37">
        <w:tc>
          <w:tcPr>
            <w:tcW w:w="0" w:type="auto"/>
            <w:shd w:val="clear" w:color="auto" w:fill="auto"/>
          </w:tcPr>
          <w:p w14:paraId="3E9F0728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Gyakori </w:t>
            </w:r>
          </w:p>
          <w:p w14:paraId="75E26D7C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0A8F13BA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spacing w:val="-1"/>
                <w:sz w:val="22"/>
                <w:lang w:val="hu-HU"/>
              </w:rPr>
              <w:t>szédülés</w:t>
            </w:r>
          </w:p>
        </w:tc>
        <w:tc>
          <w:tcPr>
            <w:tcW w:w="0" w:type="auto"/>
            <w:shd w:val="clear" w:color="auto" w:fill="auto"/>
          </w:tcPr>
          <w:p w14:paraId="2DF48CC8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19C98FB4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1"/>
              </w:rPr>
            </w:pPr>
          </w:p>
        </w:tc>
      </w:tr>
      <w:tr w:rsidR="007F4408" w:rsidRPr="005906ED" w14:paraId="4FF6C32A" w14:textId="77777777" w:rsidTr="00203E37">
        <w:tc>
          <w:tcPr>
            <w:tcW w:w="0" w:type="auto"/>
            <w:shd w:val="clear" w:color="auto" w:fill="auto"/>
          </w:tcPr>
          <w:p w14:paraId="1BB75087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Nem gyakori </w:t>
            </w:r>
          </w:p>
        </w:tc>
        <w:tc>
          <w:tcPr>
            <w:tcW w:w="0" w:type="auto"/>
            <w:shd w:val="clear" w:color="auto" w:fill="auto"/>
          </w:tcPr>
          <w:p w14:paraId="629918BE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somnolencia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migrén, fejfájás,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paraesthesia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5718BA" w14:textId="79AE707A" w:rsidR="007F4408" w:rsidRPr="00715FEE" w:rsidRDefault="00CA3612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15FEE">
              <w:rPr>
                <w:rFonts w:ascii="Times New Roman" w:hAnsi="Times New Roman" w:cs="Times New Roman"/>
              </w:rPr>
              <w:t>szédülés</w:t>
            </w:r>
          </w:p>
        </w:tc>
        <w:tc>
          <w:tcPr>
            <w:tcW w:w="0" w:type="auto"/>
            <w:shd w:val="clear" w:color="auto" w:fill="auto"/>
          </w:tcPr>
          <w:p w14:paraId="765C5A07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1"/>
              </w:rPr>
            </w:pPr>
          </w:p>
        </w:tc>
      </w:tr>
      <w:tr w:rsidR="007F4408" w:rsidRPr="005906ED" w14:paraId="7A83EA0B" w14:textId="77777777" w:rsidTr="00203E37">
        <w:tc>
          <w:tcPr>
            <w:tcW w:w="0" w:type="auto"/>
            <w:shd w:val="clear" w:color="auto" w:fill="auto"/>
          </w:tcPr>
          <w:p w14:paraId="48AA0F94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Ritka </w:t>
            </w:r>
          </w:p>
        </w:tc>
        <w:tc>
          <w:tcPr>
            <w:tcW w:w="0" w:type="auto"/>
            <w:shd w:val="clear" w:color="auto" w:fill="auto"/>
          </w:tcPr>
          <w:p w14:paraId="3F247B21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ájulás,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peripheriás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neuropathia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hypaesthesia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dysgeusia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tremor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947D12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0" w:type="auto"/>
            <w:shd w:val="clear" w:color="auto" w:fill="auto"/>
          </w:tcPr>
          <w:p w14:paraId="5C8F24CE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1"/>
              </w:rPr>
            </w:pPr>
          </w:p>
        </w:tc>
      </w:tr>
      <w:tr w:rsidR="007F4408" w:rsidRPr="005906ED" w14:paraId="017490E6" w14:textId="77777777" w:rsidTr="00203E37">
        <w:tc>
          <w:tcPr>
            <w:tcW w:w="0" w:type="auto"/>
            <w:shd w:val="clear" w:color="auto" w:fill="auto"/>
          </w:tcPr>
          <w:p w14:paraId="31B6A7D3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Nagyon ritka </w:t>
            </w:r>
          </w:p>
        </w:tc>
        <w:tc>
          <w:tcPr>
            <w:tcW w:w="0" w:type="auto"/>
            <w:shd w:val="clear" w:color="auto" w:fill="auto"/>
          </w:tcPr>
          <w:p w14:paraId="47511EF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E1EF235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543E9F5D" w14:textId="1176FAE8" w:rsidR="007F4408" w:rsidRPr="00623095" w:rsidRDefault="007F4408" w:rsidP="006A7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extrapyramidalis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szindróma,</w:t>
            </w:r>
            <w:r w:rsidRPr="005906ED">
              <w:rPr>
                <w:rFonts w:ascii="Times New Roman" w:hAnsi="Times New Roman" w:cs="Times New Roman"/>
                <w:spacing w:val="-1"/>
              </w:rPr>
              <w:t xml:space="preserve"> izomtónus-fokozódás</w:t>
            </w:r>
          </w:p>
        </w:tc>
      </w:tr>
      <w:tr w:rsidR="007F4408" w:rsidRPr="005906ED" w14:paraId="1F36AA45" w14:textId="77777777" w:rsidTr="00203E37">
        <w:tc>
          <w:tcPr>
            <w:tcW w:w="0" w:type="auto"/>
            <w:gridSpan w:val="4"/>
            <w:shd w:val="clear" w:color="auto" w:fill="auto"/>
          </w:tcPr>
          <w:p w14:paraId="6FE7806C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Szembetegségek és szemészeti tünetek</w:t>
            </w:r>
          </w:p>
        </w:tc>
      </w:tr>
      <w:tr w:rsidR="007F4408" w:rsidRPr="005906ED" w14:paraId="132425FA" w14:textId="77777777" w:rsidTr="00203E37">
        <w:tc>
          <w:tcPr>
            <w:tcW w:w="0" w:type="auto"/>
            <w:shd w:val="clear" w:color="auto" w:fill="auto"/>
          </w:tcPr>
          <w:p w14:paraId="0F2EE1D3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pacing w:val="-1"/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0" w:type="auto"/>
            <w:shd w:val="clear" w:color="auto" w:fill="auto"/>
          </w:tcPr>
          <w:p w14:paraId="149A1D71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7683DF5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51DCBE6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látászavar (beleértve a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diplópiát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)</w:t>
            </w:r>
          </w:p>
        </w:tc>
      </w:tr>
      <w:tr w:rsidR="007F4408" w:rsidRPr="005906ED" w14:paraId="31A83EB7" w14:textId="77777777" w:rsidTr="00203E37">
        <w:tc>
          <w:tcPr>
            <w:tcW w:w="0" w:type="auto"/>
            <w:shd w:val="clear" w:color="auto" w:fill="auto"/>
          </w:tcPr>
          <w:p w14:paraId="6CD19F31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40D4FD8E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6101A03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2C2AE5E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látásromlás</w:t>
            </w:r>
          </w:p>
        </w:tc>
      </w:tr>
      <w:tr w:rsidR="007F4408" w:rsidRPr="005906ED" w14:paraId="3B5602B9" w14:textId="77777777" w:rsidTr="00203E37">
        <w:tc>
          <w:tcPr>
            <w:tcW w:w="0" w:type="auto"/>
            <w:shd w:val="clear" w:color="auto" w:fill="auto"/>
          </w:tcPr>
          <w:p w14:paraId="1E7AC1FB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6670894E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6506E59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0" w:type="auto"/>
            <w:shd w:val="clear" w:color="auto" w:fill="auto"/>
          </w:tcPr>
          <w:p w14:paraId="56A60D3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113E06F1" w14:textId="77777777" w:rsidTr="00203E37">
        <w:tc>
          <w:tcPr>
            <w:tcW w:w="0" w:type="auto"/>
            <w:gridSpan w:val="4"/>
            <w:shd w:val="clear" w:color="auto" w:fill="auto"/>
          </w:tcPr>
          <w:p w14:paraId="6DB343D4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A fül és az egyensúly-érzékelő szerv betegségei és tünetei</w:t>
            </w:r>
          </w:p>
        </w:tc>
      </w:tr>
      <w:tr w:rsidR="007F4408" w:rsidRPr="005906ED" w14:paraId="0BD3D2CB" w14:textId="77777777" w:rsidTr="00203E37">
        <w:tc>
          <w:tcPr>
            <w:tcW w:w="0" w:type="auto"/>
            <w:shd w:val="clear" w:color="auto" w:fill="auto"/>
          </w:tcPr>
          <w:p w14:paraId="139D06D2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0A1B73C5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spacing w:val="-1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0" w:type="auto"/>
            <w:shd w:val="clear" w:color="auto" w:fill="auto"/>
          </w:tcPr>
          <w:p w14:paraId="5A34F8F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D4143D3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tinnitus</w:t>
            </w:r>
            <w:proofErr w:type="spellEnd"/>
          </w:p>
        </w:tc>
      </w:tr>
      <w:tr w:rsidR="007F4408" w:rsidRPr="005906ED" w14:paraId="386EAFFE" w14:textId="77777777" w:rsidTr="00203E37">
        <w:tc>
          <w:tcPr>
            <w:tcW w:w="0" w:type="auto"/>
            <w:gridSpan w:val="4"/>
            <w:shd w:val="clear" w:color="auto" w:fill="auto"/>
          </w:tcPr>
          <w:p w14:paraId="584A60C1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Szívbetegségek és a szívvel kapcsolatos tünetek</w:t>
            </w:r>
          </w:p>
        </w:tc>
      </w:tr>
      <w:tr w:rsidR="007F4408" w:rsidRPr="005906ED" w14:paraId="0309CD5D" w14:textId="77777777" w:rsidTr="00203E37">
        <w:tc>
          <w:tcPr>
            <w:tcW w:w="0" w:type="auto"/>
            <w:shd w:val="clear" w:color="auto" w:fill="auto"/>
          </w:tcPr>
          <w:p w14:paraId="096281FD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23216ACE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bradycardia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palpitatio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0B1489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481FB259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41BD8B2C" w14:textId="77777777" w:rsidTr="00203E37">
        <w:tc>
          <w:tcPr>
            <w:tcW w:w="0" w:type="auto"/>
            <w:shd w:val="clear" w:color="auto" w:fill="auto"/>
          </w:tcPr>
          <w:p w14:paraId="2A1811C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786E9A1E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61B62CA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tachycardia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A9BCD2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4865763A" w14:textId="77777777" w:rsidTr="00203E37">
        <w:tc>
          <w:tcPr>
            <w:tcW w:w="0" w:type="auto"/>
            <w:shd w:val="clear" w:color="auto" w:fill="auto"/>
          </w:tcPr>
          <w:p w14:paraId="1F90EA62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157C6B73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6132D6F1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766CD648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myocardialis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infarctus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arrhythmia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ventricularis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tachycardia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pitvarfibrilláció</w:t>
            </w:r>
            <w:proofErr w:type="spellEnd"/>
          </w:p>
        </w:tc>
      </w:tr>
      <w:tr w:rsidR="007F4408" w:rsidRPr="005906ED" w14:paraId="6D4F4F70" w14:textId="77777777" w:rsidTr="00203E37">
        <w:tc>
          <w:tcPr>
            <w:tcW w:w="0" w:type="auto"/>
            <w:gridSpan w:val="4"/>
            <w:shd w:val="clear" w:color="auto" w:fill="auto"/>
          </w:tcPr>
          <w:p w14:paraId="77756276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Érbetegségek és tünetek</w:t>
            </w:r>
          </w:p>
        </w:tc>
      </w:tr>
      <w:tr w:rsidR="007F4408" w:rsidRPr="005906ED" w14:paraId="12E859EC" w14:textId="77777777" w:rsidTr="00203E37">
        <w:tc>
          <w:tcPr>
            <w:tcW w:w="0" w:type="auto"/>
            <w:shd w:val="clear" w:color="auto" w:fill="auto"/>
          </w:tcPr>
          <w:p w14:paraId="16A75E39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2DD65ECA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hypotonia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lastRenderedPageBreak/>
              <w:t>orthostaticus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hypotonia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, kipirulás</w:t>
            </w:r>
          </w:p>
        </w:tc>
        <w:tc>
          <w:tcPr>
            <w:tcW w:w="0" w:type="auto"/>
            <w:shd w:val="clear" w:color="auto" w:fill="auto"/>
          </w:tcPr>
          <w:p w14:paraId="13FF3A0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16320A6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2E2AA052" w14:textId="77777777" w:rsidTr="00203E37">
        <w:tc>
          <w:tcPr>
            <w:tcW w:w="0" w:type="auto"/>
            <w:shd w:val="clear" w:color="auto" w:fill="auto"/>
          </w:tcPr>
          <w:p w14:paraId="76CE6F80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68986740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9BDF5DD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78E038A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vasculitis</w:t>
            </w:r>
            <w:proofErr w:type="spellEnd"/>
          </w:p>
        </w:tc>
      </w:tr>
      <w:tr w:rsidR="007F4408" w:rsidRPr="005906ED" w14:paraId="4663A569" w14:textId="77777777" w:rsidTr="00203E37">
        <w:tc>
          <w:tcPr>
            <w:tcW w:w="0" w:type="auto"/>
            <w:gridSpan w:val="4"/>
            <w:shd w:val="clear" w:color="auto" w:fill="auto"/>
          </w:tcPr>
          <w:p w14:paraId="345545CD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 xml:space="preserve">Légzőrendszeri, mellkasi és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mediastinalis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 xml:space="preserve"> betegségek és tünetek</w:t>
            </w:r>
          </w:p>
        </w:tc>
      </w:tr>
      <w:tr w:rsidR="007F4408" w:rsidRPr="005906ED" w14:paraId="5D5EA156" w14:textId="77777777" w:rsidTr="00203E37">
        <w:tc>
          <w:tcPr>
            <w:tcW w:w="0" w:type="auto"/>
            <w:shd w:val="clear" w:color="auto" w:fill="auto"/>
          </w:tcPr>
          <w:p w14:paraId="77CD821C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22056BA1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0" w:type="auto"/>
            <w:shd w:val="clear" w:color="auto" w:fill="auto"/>
          </w:tcPr>
          <w:p w14:paraId="44FEB1EA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pacing w:val="-1"/>
                <w:sz w:val="22"/>
                <w:szCs w:val="22"/>
                <w:lang w:val="hu-HU"/>
              </w:rPr>
              <w:t>dyspnoe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FC413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dyspnoe</w:t>
            </w:r>
            <w:proofErr w:type="spellEnd"/>
            <w:r w:rsidRPr="00623095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623095">
              <w:rPr>
                <w:sz w:val="22"/>
                <w:szCs w:val="22"/>
                <w:lang w:val="hu-HU"/>
              </w:rPr>
              <w:t>rhinitis</w:t>
            </w:r>
            <w:proofErr w:type="spellEnd"/>
          </w:p>
        </w:tc>
      </w:tr>
      <w:tr w:rsidR="007F4408" w:rsidRPr="005906ED" w14:paraId="1254771E" w14:textId="77777777" w:rsidTr="00203E37">
        <w:tc>
          <w:tcPr>
            <w:tcW w:w="0" w:type="auto"/>
            <w:shd w:val="clear" w:color="auto" w:fill="auto"/>
          </w:tcPr>
          <w:p w14:paraId="12604FAA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13DCE40F" w14:textId="77777777" w:rsidR="007F4408" w:rsidRPr="005906ED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interstitialis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tüdőbetegség</w:t>
            </w:r>
            <w:r w:rsidRPr="00623095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1C25C8E0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098006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06ADD0A8" w14:textId="77777777" w:rsidTr="00203E37">
        <w:tc>
          <w:tcPr>
            <w:tcW w:w="0" w:type="auto"/>
            <w:gridSpan w:val="4"/>
            <w:shd w:val="clear" w:color="auto" w:fill="auto"/>
          </w:tcPr>
          <w:p w14:paraId="4D6A6B93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Emésztőrendszeri betegségek és tünetek</w:t>
            </w:r>
          </w:p>
        </w:tc>
      </w:tr>
      <w:tr w:rsidR="007F4408" w:rsidRPr="005906ED" w14:paraId="11F39021" w14:textId="77777777" w:rsidTr="00203E37">
        <w:tc>
          <w:tcPr>
            <w:tcW w:w="0" w:type="auto"/>
            <w:shd w:val="clear" w:color="auto" w:fill="auto"/>
          </w:tcPr>
          <w:p w14:paraId="552A5FD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pacing w:val="-1"/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0" w:type="auto"/>
            <w:shd w:val="clear" w:color="auto" w:fill="auto"/>
          </w:tcPr>
          <w:p w14:paraId="55ACD99C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 w:right="951"/>
              <w:rPr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63250937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7D03B2E9" w14:textId="08DA9DFD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a székelési szokások megváltozása (például</w:t>
            </w:r>
            <w:r w:rsidR="00D933E0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hasmenés és székrekedés)</w:t>
            </w:r>
          </w:p>
        </w:tc>
      </w:tr>
      <w:tr w:rsidR="007F4408" w:rsidRPr="005906ED" w14:paraId="507FA6CB" w14:textId="77777777" w:rsidTr="00203E37">
        <w:tc>
          <w:tcPr>
            <w:tcW w:w="0" w:type="auto"/>
            <w:shd w:val="clear" w:color="auto" w:fill="auto"/>
          </w:tcPr>
          <w:p w14:paraId="47ED02A7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6A8B9124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hasi fájdalom, hasmenés, hányinger</w:t>
            </w:r>
          </w:p>
        </w:tc>
        <w:tc>
          <w:tcPr>
            <w:tcW w:w="0" w:type="auto"/>
            <w:shd w:val="clear" w:color="auto" w:fill="auto"/>
          </w:tcPr>
          <w:p w14:paraId="074BEF11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flatulencia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1F229D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</w:p>
        </w:tc>
      </w:tr>
      <w:tr w:rsidR="007F4408" w:rsidRPr="005906ED" w14:paraId="4A0A6B74" w14:textId="77777777" w:rsidTr="00203E37">
        <w:tc>
          <w:tcPr>
            <w:tcW w:w="0" w:type="auto"/>
            <w:shd w:val="clear" w:color="auto" w:fill="auto"/>
          </w:tcPr>
          <w:p w14:paraId="4C2E97B5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327ECC0D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hányás,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gingiva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hypertrophia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dyspepsia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, szájszárazság</w:t>
            </w:r>
          </w:p>
        </w:tc>
        <w:tc>
          <w:tcPr>
            <w:tcW w:w="0" w:type="auto"/>
            <w:shd w:val="clear" w:color="auto" w:fill="auto"/>
          </w:tcPr>
          <w:p w14:paraId="4566EBA2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hasi diszkomfortérzés</w:t>
            </w:r>
          </w:p>
        </w:tc>
        <w:tc>
          <w:tcPr>
            <w:tcW w:w="0" w:type="auto"/>
            <w:shd w:val="clear" w:color="auto" w:fill="auto"/>
          </w:tcPr>
          <w:p w14:paraId="186A88A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2AA86311" w14:textId="77777777" w:rsidTr="00203E37">
        <w:tc>
          <w:tcPr>
            <w:tcW w:w="0" w:type="auto"/>
            <w:shd w:val="clear" w:color="auto" w:fill="auto"/>
          </w:tcPr>
          <w:p w14:paraId="0CC91EBB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1AAC9A64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6AABB97B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58F784A4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pancreatitis</w:t>
            </w:r>
            <w:proofErr w:type="spellEnd"/>
            <w:r w:rsidRPr="00623095">
              <w:rPr>
                <w:sz w:val="22"/>
                <w:szCs w:val="22"/>
                <w:lang w:val="hu-HU"/>
              </w:rPr>
              <w:t>,</w:t>
            </w:r>
            <w:r w:rsidRPr="00623095">
              <w:rPr>
                <w:spacing w:val="1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23095">
              <w:rPr>
                <w:sz w:val="22"/>
                <w:szCs w:val="22"/>
                <w:lang w:val="hu-HU"/>
              </w:rPr>
              <w:t>gastritis</w:t>
            </w:r>
            <w:proofErr w:type="spellEnd"/>
          </w:p>
        </w:tc>
      </w:tr>
      <w:tr w:rsidR="007F4408" w:rsidRPr="005906ED" w14:paraId="63D7227A" w14:textId="77777777" w:rsidTr="00203E37">
        <w:tc>
          <w:tcPr>
            <w:tcW w:w="0" w:type="auto"/>
            <w:gridSpan w:val="4"/>
            <w:shd w:val="clear" w:color="auto" w:fill="auto"/>
          </w:tcPr>
          <w:p w14:paraId="18ED54B3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Máj- és epebetegségek, illetve tünetek</w:t>
            </w:r>
          </w:p>
        </w:tc>
      </w:tr>
      <w:tr w:rsidR="007F4408" w:rsidRPr="005906ED" w14:paraId="1BA90C7E" w14:textId="77777777" w:rsidTr="00203E37">
        <w:tc>
          <w:tcPr>
            <w:tcW w:w="0" w:type="auto"/>
            <w:shd w:val="clear" w:color="auto" w:fill="auto"/>
          </w:tcPr>
          <w:p w14:paraId="4F529F2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2FB0662C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1D4C7902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kóros májfunkciós értékek, májbetegség</w:t>
            </w:r>
            <w:r w:rsidRPr="00623095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19CAFF1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62964EB6" w14:textId="77777777" w:rsidTr="00203E37">
        <w:tc>
          <w:tcPr>
            <w:tcW w:w="0" w:type="auto"/>
            <w:shd w:val="clear" w:color="auto" w:fill="auto"/>
          </w:tcPr>
          <w:p w14:paraId="3F511045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23EA0062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631D76DB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C65A5C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hepatitis, sárgaság, emelkedett májenzimértékek (legtöbbször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cholestasissal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)</w:t>
            </w:r>
          </w:p>
        </w:tc>
      </w:tr>
      <w:tr w:rsidR="007F4408" w:rsidRPr="005906ED" w14:paraId="00903751" w14:textId="77777777" w:rsidTr="00203E37">
        <w:tc>
          <w:tcPr>
            <w:tcW w:w="0" w:type="auto"/>
            <w:gridSpan w:val="4"/>
            <w:shd w:val="clear" w:color="auto" w:fill="auto"/>
          </w:tcPr>
          <w:p w14:paraId="3B568099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A bőr és a bőr alatti szövet betegségei és tünetei</w:t>
            </w:r>
          </w:p>
        </w:tc>
      </w:tr>
      <w:tr w:rsidR="007F4408" w:rsidRPr="005906ED" w14:paraId="393C4F9C" w14:textId="77777777" w:rsidTr="00203E37">
        <w:tc>
          <w:tcPr>
            <w:tcW w:w="0" w:type="auto"/>
            <w:shd w:val="clear" w:color="auto" w:fill="auto"/>
          </w:tcPr>
          <w:p w14:paraId="37A6C7B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14486E2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0" w:type="auto"/>
            <w:shd w:val="clear" w:color="auto" w:fill="auto"/>
          </w:tcPr>
          <w:p w14:paraId="39B7B094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proofErr w:type="spellStart"/>
            <w:r w:rsidRPr="00623095">
              <w:rPr>
                <w:sz w:val="22"/>
                <w:szCs w:val="22"/>
                <w:lang w:val="hu-HU"/>
              </w:rPr>
              <w:t>hyperhidrosis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FC7C60" w14:textId="45EBBA18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right="9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</w:rPr>
              <w:t>alopecia, purpura, bőrelszíneződés, hyperhidrosis</w:t>
            </w:r>
          </w:p>
        </w:tc>
      </w:tr>
      <w:tr w:rsidR="007F4408" w:rsidRPr="005906ED" w14:paraId="07B3B5D2" w14:textId="77777777" w:rsidTr="00203E37">
        <w:tc>
          <w:tcPr>
            <w:tcW w:w="0" w:type="auto"/>
            <w:shd w:val="clear" w:color="auto" w:fill="auto"/>
          </w:tcPr>
          <w:p w14:paraId="59C6DA41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3CAFCD80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ekzema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erythema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, bőrkiütés</w:t>
            </w:r>
          </w:p>
        </w:tc>
        <w:tc>
          <w:tcPr>
            <w:tcW w:w="0" w:type="auto"/>
            <w:shd w:val="clear" w:color="auto" w:fill="auto"/>
          </w:tcPr>
          <w:p w14:paraId="3F6B71D4" w14:textId="1C845B4B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angiooedema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(</w:t>
            </w:r>
            <w:r w:rsidR="002D5AA8">
              <w:rPr>
                <w:rFonts w:ascii="Times New Roman" w:eastAsia="TimesNewRoman" w:hAnsi="Times New Roman" w:cs="Times New Roman"/>
                <w:color w:val="000000"/>
              </w:rPr>
              <w:t xml:space="preserve">beleértve a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halálos kimenetel</w:t>
            </w:r>
            <w:r w:rsidR="002D5AA8">
              <w:rPr>
                <w:rFonts w:ascii="Times New Roman" w:eastAsia="TimesNewRoman" w:hAnsi="Times New Roman" w:cs="Times New Roman"/>
                <w:color w:val="000000"/>
              </w:rPr>
              <w:t>ű eseteket is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), gyógyszerkiütés, toxikus bőrkiütés,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urticaria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FAB30D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237ECF9D" w14:textId="77777777" w:rsidTr="00203E37">
        <w:tc>
          <w:tcPr>
            <w:tcW w:w="0" w:type="auto"/>
            <w:shd w:val="clear" w:color="auto" w:fill="auto"/>
          </w:tcPr>
          <w:p w14:paraId="1452E054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0" w:type="auto"/>
            <w:shd w:val="clear" w:color="auto" w:fill="auto"/>
          </w:tcPr>
          <w:p w14:paraId="4A74C25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C507CE9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6D4F9C5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angiooedema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erythema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multiforme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urticaria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exfoliativ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dermatitis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Stevens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–Johnson-szindróma, fényérzékenység</w:t>
            </w:r>
          </w:p>
        </w:tc>
      </w:tr>
      <w:tr w:rsidR="007F4408" w:rsidRPr="005906ED" w14:paraId="0AE23F47" w14:textId="77777777" w:rsidTr="00203E37">
        <w:tc>
          <w:tcPr>
            <w:tcW w:w="0" w:type="auto"/>
            <w:shd w:val="clear" w:color="auto" w:fill="auto"/>
          </w:tcPr>
          <w:p w14:paraId="52EF73BB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0" w:type="auto"/>
            <w:shd w:val="clear" w:color="auto" w:fill="auto"/>
          </w:tcPr>
          <w:p w14:paraId="4737A187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3C3C94A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B1FB7FC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toxicus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epidermalis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necrolysis</w:t>
            </w:r>
            <w:proofErr w:type="spellEnd"/>
          </w:p>
        </w:tc>
      </w:tr>
      <w:tr w:rsidR="007F4408" w:rsidRPr="005906ED" w14:paraId="7EFE3699" w14:textId="77777777" w:rsidTr="00203E37">
        <w:tc>
          <w:tcPr>
            <w:tcW w:w="0" w:type="auto"/>
            <w:gridSpan w:val="4"/>
            <w:shd w:val="clear" w:color="auto" w:fill="auto"/>
          </w:tcPr>
          <w:p w14:paraId="24A23CA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A csont- és izomrendszer, valamint a kötőszövet betegségei és tünetei</w:t>
            </w:r>
          </w:p>
        </w:tc>
      </w:tr>
      <w:tr w:rsidR="007F4408" w:rsidRPr="005906ED" w14:paraId="250967E4" w14:textId="77777777" w:rsidTr="00203E37">
        <w:trPr>
          <w:trHeight w:val="596"/>
        </w:trPr>
        <w:tc>
          <w:tcPr>
            <w:tcW w:w="0" w:type="auto"/>
            <w:shd w:val="clear" w:color="auto" w:fill="auto"/>
          </w:tcPr>
          <w:p w14:paraId="79817A8C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Gyakori</w:t>
            </w:r>
          </w:p>
        </w:tc>
        <w:tc>
          <w:tcPr>
            <w:tcW w:w="0" w:type="auto"/>
            <w:shd w:val="clear" w:color="auto" w:fill="auto"/>
          </w:tcPr>
          <w:p w14:paraId="77474D82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5756FCA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054E39B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bokaduzzanat</w:t>
            </w:r>
          </w:p>
        </w:tc>
      </w:tr>
      <w:tr w:rsidR="007F4408" w:rsidRPr="005906ED" w14:paraId="10DD39DD" w14:textId="77777777" w:rsidTr="00203E37">
        <w:trPr>
          <w:trHeight w:val="596"/>
        </w:trPr>
        <w:tc>
          <w:tcPr>
            <w:tcW w:w="0" w:type="auto"/>
            <w:shd w:val="clear" w:color="auto" w:fill="auto"/>
          </w:tcPr>
          <w:p w14:paraId="74E36F11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0A565F23" w14:textId="78C438DC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arthralgia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,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izomgörcs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(lábikragörcs),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myalgia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8C737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5D368D72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0951484A" w14:textId="77777777" w:rsidTr="00203E37">
        <w:tc>
          <w:tcPr>
            <w:tcW w:w="0" w:type="auto"/>
            <w:shd w:val="clear" w:color="auto" w:fill="auto"/>
          </w:tcPr>
          <w:p w14:paraId="120198E6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365A067B" w14:textId="420E6F33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hátfájás,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végtagfájdalom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(lábfájás)</w:t>
            </w:r>
          </w:p>
        </w:tc>
        <w:tc>
          <w:tcPr>
            <w:tcW w:w="0" w:type="auto"/>
            <w:shd w:val="clear" w:color="auto" w:fill="auto"/>
          </w:tcPr>
          <w:p w14:paraId="6C6446AA" w14:textId="54C4DB15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ínfájdalom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(íngyulladás-szerű</w:t>
            </w:r>
            <w:r w:rsidR="00C15F5B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r w:rsidRPr="00623095">
              <w:rPr>
                <w:rFonts w:ascii="Times New Roman" w:eastAsia="TimesNewRoman" w:hAnsi="Times New Roman" w:cs="Times New Roman"/>
                <w:color w:val="000000"/>
              </w:rPr>
              <w:t>tünetek)</w:t>
            </w:r>
          </w:p>
        </w:tc>
        <w:tc>
          <w:tcPr>
            <w:tcW w:w="0" w:type="auto"/>
            <w:shd w:val="clear" w:color="auto" w:fill="auto"/>
          </w:tcPr>
          <w:p w14:paraId="5DF7DFCB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060DA117" w14:textId="77777777" w:rsidTr="00203E37">
        <w:tc>
          <w:tcPr>
            <w:tcW w:w="0" w:type="auto"/>
            <w:gridSpan w:val="4"/>
            <w:shd w:val="clear" w:color="auto" w:fill="auto"/>
          </w:tcPr>
          <w:p w14:paraId="0E4EF4AF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Vese- és húgyúti betegségek és tünetek</w:t>
            </w:r>
          </w:p>
        </w:tc>
      </w:tr>
      <w:tr w:rsidR="007F4408" w:rsidRPr="005906ED" w14:paraId="57C2B818" w14:textId="77777777" w:rsidTr="00203E37">
        <w:tc>
          <w:tcPr>
            <w:tcW w:w="0" w:type="auto"/>
            <w:shd w:val="clear" w:color="auto" w:fill="auto"/>
          </w:tcPr>
          <w:p w14:paraId="53E995B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43218DA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7945443E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vesekárosodás, az akut veseelégtelenséget is beleértve</w:t>
            </w:r>
          </w:p>
        </w:tc>
        <w:tc>
          <w:tcPr>
            <w:tcW w:w="0" w:type="auto"/>
            <w:shd w:val="clear" w:color="auto" w:fill="auto"/>
          </w:tcPr>
          <w:p w14:paraId="7157FE46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vizelési zavar,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pollakisuria</w:t>
            </w:r>
            <w:proofErr w:type="spellEnd"/>
          </w:p>
        </w:tc>
      </w:tr>
      <w:tr w:rsidR="007F4408" w:rsidRPr="005906ED" w14:paraId="378EA1E9" w14:textId="77777777" w:rsidTr="00203E37">
        <w:tc>
          <w:tcPr>
            <w:tcW w:w="0" w:type="auto"/>
            <w:shd w:val="clear" w:color="auto" w:fill="auto"/>
          </w:tcPr>
          <w:p w14:paraId="641D4383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lastRenderedPageBreak/>
              <w:t>Ritka</w:t>
            </w:r>
          </w:p>
        </w:tc>
        <w:tc>
          <w:tcPr>
            <w:tcW w:w="0" w:type="auto"/>
            <w:shd w:val="clear" w:color="auto" w:fill="auto"/>
          </w:tcPr>
          <w:p w14:paraId="51B3EDC7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nocturia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B5C86D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1ED6F556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1A7CC57A" w14:textId="77777777" w:rsidTr="00203E37">
        <w:tc>
          <w:tcPr>
            <w:tcW w:w="0" w:type="auto"/>
            <w:gridSpan w:val="4"/>
            <w:shd w:val="clear" w:color="auto" w:fill="auto"/>
          </w:tcPr>
          <w:p w14:paraId="75E62DED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A nemi szervekkel és az emlőkkel kapcsolatos betegségek és tünetek</w:t>
            </w:r>
          </w:p>
        </w:tc>
      </w:tr>
      <w:tr w:rsidR="007F4408" w:rsidRPr="005906ED" w14:paraId="246BFC49" w14:textId="77777777" w:rsidTr="00203E37">
        <w:tc>
          <w:tcPr>
            <w:tcW w:w="0" w:type="auto"/>
            <w:shd w:val="clear" w:color="auto" w:fill="auto"/>
          </w:tcPr>
          <w:p w14:paraId="3FB08DD8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733E7DF8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erectilis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dysfunctio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737F84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4CEFBE7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gynecomastia</w:t>
            </w:r>
            <w:proofErr w:type="spellEnd"/>
          </w:p>
        </w:tc>
      </w:tr>
      <w:tr w:rsidR="007F4408" w:rsidRPr="005906ED" w14:paraId="4AE15A88" w14:textId="77777777" w:rsidTr="00203E37">
        <w:tc>
          <w:tcPr>
            <w:tcW w:w="0" w:type="auto"/>
            <w:gridSpan w:val="4"/>
            <w:shd w:val="clear" w:color="auto" w:fill="auto"/>
          </w:tcPr>
          <w:p w14:paraId="5DBA3071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Általános tünetek, az alkalmazás helyén fellépő reakciók</w:t>
            </w:r>
          </w:p>
        </w:tc>
      </w:tr>
      <w:tr w:rsidR="007F4408" w:rsidRPr="005906ED" w14:paraId="1FF86914" w14:textId="77777777" w:rsidTr="00203E37">
        <w:tc>
          <w:tcPr>
            <w:tcW w:w="0" w:type="auto"/>
            <w:shd w:val="clear" w:color="auto" w:fill="auto"/>
          </w:tcPr>
          <w:p w14:paraId="425AFA6F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0" w:type="auto"/>
            <w:shd w:val="clear" w:color="auto" w:fill="auto"/>
          </w:tcPr>
          <w:p w14:paraId="374644CC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peripheriás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oedema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CA2319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pacing w:val="-1"/>
                <w:sz w:val="22"/>
                <w:szCs w:val="22"/>
                <w:lang w:val="hu-HU"/>
              </w:rPr>
            </w:pPr>
          </w:p>
        </w:tc>
        <w:tc>
          <w:tcPr>
            <w:tcW w:w="0" w:type="auto"/>
            <w:shd w:val="clear" w:color="auto" w:fill="auto"/>
          </w:tcPr>
          <w:p w14:paraId="6EB13984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6713FF7A" w14:textId="77777777" w:rsidTr="00203E37">
        <w:tc>
          <w:tcPr>
            <w:tcW w:w="0" w:type="auto"/>
            <w:shd w:val="clear" w:color="auto" w:fill="auto"/>
          </w:tcPr>
          <w:p w14:paraId="17E3DBF1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1B795E75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gyengeség, mellkasi fájdalom, fáradtság,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oedema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2960EF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14:paraId="40786DA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fájdalom</w:t>
            </w:r>
          </w:p>
        </w:tc>
      </w:tr>
      <w:tr w:rsidR="007F4408" w:rsidRPr="005906ED" w14:paraId="5A363712" w14:textId="77777777" w:rsidTr="00203E37">
        <w:tc>
          <w:tcPr>
            <w:tcW w:w="0" w:type="auto"/>
            <w:shd w:val="clear" w:color="auto" w:fill="auto"/>
          </w:tcPr>
          <w:p w14:paraId="053CDAAB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0A9D8274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ind w:left="145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rossz közérzet</w:t>
            </w:r>
          </w:p>
        </w:tc>
        <w:tc>
          <w:tcPr>
            <w:tcW w:w="0" w:type="auto"/>
            <w:shd w:val="clear" w:color="auto" w:fill="auto"/>
          </w:tcPr>
          <w:p w14:paraId="57A255AF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influenzaszerű megbetegedés</w:t>
            </w:r>
          </w:p>
        </w:tc>
        <w:tc>
          <w:tcPr>
            <w:tcW w:w="0" w:type="auto"/>
            <w:shd w:val="clear" w:color="auto" w:fill="auto"/>
          </w:tcPr>
          <w:p w14:paraId="09BE0799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4408" w:rsidRPr="005906ED" w14:paraId="25840595" w14:textId="77777777" w:rsidTr="00203E37">
        <w:tc>
          <w:tcPr>
            <w:tcW w:w="0" w:type="auto"/>
            <w:gridSpan w:val="4"/>
            <w:shd w:val="clear" w:color="auto" w:fill="auto"/>
          </w:tcPr>
          <w:p w14:paraId="6CEB9A1C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b/>
                <w:bCs/>
                <w:i/>
                <w:iCs/>
                <w:color w:val="000000"/>
              </w:rPr>
              <w:t>Laboratóriumi és egyéb vizsgálatok eredményei</w:t>
            </w:r>
          </w:p>
        </w:tc>
      </w:tr>
      <w:tr w:rsidR="007F4408" w:rsidRPr="005906ED" w14:paraId="007AB756" w14:textId="77777777" w:rsidTr="00203E37">
        <w:tc>
          <w:tcPr>
            <w:tcW w:w="0" w:type="auto"/>
            <w:shd w:val="clear" w:color="auto" w:fill="auto"/>
          </w:tcPr>
          <w:p w14:paraId="54D6DDB3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0" w:type="auto"/>
            <w:shd w:val="clear" w:color="auto" w:fill="auto"/>
          </w:tcPr>
          <w:p w14:paraId="5203FB2F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emelkedett májenzimszintek</w:t>
            </w:r>
          </w:p>
        </w:tc>
        <w:tc>
          <w:tcPr>
            <w:tcW w:w="0" w:type="auto"/>
            <w:shd w:val="clear" w:color="auto" w:fill="auto"/>
          </w:tcPr>
          <w:p w14:paraId="7DC82E22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emelkedett 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kreatininszint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 xml:space="preserve"> a vérben</w:t>
            </w:r>
          </w:p>
        </w:tc>
        <w:tc>
          <w:tcPr>
            <w:tcW w:w="0" w:type="auto"/>
            <w:shd w:val="clear" w:color="auto" w:fill="auto"/>
          </w:tcPr>
          <w:p w14:paraId="039EDC6B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hízás, fogyás</w:t>
            </w:r>
          </w:p>
        </w:tc>
      </w:tr>
      <w:tr w:rsidR="007F4408" w:rsidRPr="005906ED" w14:paraId="3C8F8DBE" w14:textId="77777777" w:rsidTr="00203E37">
        <w:tc>
          <w:tcPr>
            <w:tcW w:w="0" w:type="auto"/>
            <w:shd w:val="clear" w:color="auto" w:fill="auto"/>
          </w:tcPr>
          <w:p w14:paraId="7ED81623" w14:textId="77777777" w:rsidR="007F4408" w:rsidRPr="00623095" w:rsidRDefault="007F4408" w:rsidP="00203E37">
            <w:pPr>
              <w:pStyle w:val="TableParagraph"/>
              <w:widowControl w:val="0"/>
              <w:kinsoku w:val="0"/>
              <w:overflowPunct w:val="0"/>
              <w:rPr>
                <w:sz w:val="22"/>
                <w:szCs w:val="22"/>
                <w:lang w:val="hu-HU"/>
              </w:rPr>
            </w:pPr>
            <w:r w:rsidRPr="00623095">
              <w:rPr>
                <w:rFonts w:eastAsia="TimesNewRoman"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0" w:type="auto"/>
            <w:shd w:val="clear" w:color="auto" w:fill="auto"/>
          </w:tcPr>
          <w:p w14:paraId="42D629E3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emelkedett húgysavszint a vérben</w:t>
            </w:r>
          </w:p>
        </w:tc>
        <w:tc>
          <w:tcPr>
            <w:tcW w:w="0" w:type="auto"/>
            <w:shd w:val="clear" w:color="auto" w:fill="auto"/>
          </w:tcPr>
          <w:p w14:paraId="2D11C182" w14:textId="77777777" w:rsidR="007F4408" w:rsidRPr="00623095" w:rsidRDefault="007F4408" w:rsidP="00203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" w:hAnsi="Times New Roman" w:cs="Times New Roman"/>
                <w:color w:val="000000"/>
              </w:rPr>
            </w:pPr>
            <w:r w:rsidRPr="00623095">
              <w:rPr>
                <w:rFonts w:ascii="Times New Roman" w:eastAsia="TimesNewRoman" w:hAnsi="Times New Roman" w:cs="Times New Roman"/>
                <w:color w:val="000000"/>
              </w:rPr>
              <w:t>emelkedett kreatin-</w:t>
            </w:r>
            <w:proofErr w:type="spellStart"/>
            <w:r w:rsidRPr="00623095">
              <w:rPr>
                <w:rFonts w:ascii="Times New Roman" w:eastAsia="TimesNewRoman" w:hAnsi="Times New Roman" w:cs="Times New Roman"/>
                <w:color w:val="000000"/>
              </w:rPr>
              <w:t>foszfokinázszint</w:t>
            </w:r>
            <w:proofErr w:type="spellEnd"/>
            <w:r w:rsidRPr="00623095">
              <w:rPr>
                <w:rFonts w:ascii="Times New Roman" w:eastAsia="TimesNewRoman" w:hAnsi="Times New Roman" w:cs="Times New Roman"/>
                <w:color w:val="000000"/>
              </w:rPr>
              <w:t>, csökkent hemoglobinszint</w:t>
            </w:r>
          </w:p>
        </w:tc>
        <w:tc>
          <w:tcPr>
            <w:tcW w:w="0" w:type="auto"/>
            <w:shd w:val="clear" w:color="auto" w:fill="auto"/>
          </w:tcPr>
          <w:p w14:paraId="1D395C1D" w14:textId="77777777" w:rsidR="007F4408" w:rsidRPr="005906ED" w:rsidRDefault="007F4408" w:rsidP="00203E3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6A3D774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314F28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  <w:vertAlign w:val="super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>: A jelenség véletlen felfedezés, vagy egy ez idáig ismeretlen mechanizmus következménye lehet.</w:t>
      </w:r>
    </w:p>
    <w:p w14:paraId="65A8C67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  <w:vertAlign w:val="superscript"/>
        </w:rPr>
        <w:t>2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: A forgalomba hozatalt követő esetekben tapasztalt kóros májfunkciós értékek/májbetegség legtöbbször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szedő japán betegeknél fordult elő. Valószínűsíthető, hogy ezek a mellékhatások a japán betegeknél gyakrabban jelentkeznek.</w:t>
      </w:r>
    </w:p>
    <w:p w14:paraId="16D2772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  <w:vertAlign w:val="superscript"/>
        </w:rPr>
        <w:t>3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: A gyógyszer forgalomba hozatalát követően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összefüggésben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interstitialis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tüdőbetegség (főként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interstitialis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pneumonia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eosinophil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pneumonia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 eseteit jelentették.</w:t>
      </w:r>
    </w:p>
    <w:p w14:paraId="23320EA7" w14:textId="77777777" w:rsidR="007F4408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F446FA0" w14:textId="77777777" w:rsidR="00762B1B" w:rsidRPr="0024657B" w:rsidRDefault="00762B1B" w:rsidP="00762B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24657B">
        <w:rPr>
          <w:rFonts w:ascii="Times New Roman" w:eastAsia="TimesNewRoman" w:hAnsi="Times New Roman" w:cs="Times New Roman"/>
          <w:color w:val="000000"/>
          <w:u w:val="single"/>
        </w:rPr>
        <w:t>Néhány kiválasztott mellékhatás leírása:</w:t>
      </w:r>
    </w:p>
    <w:p w14:paraId="5F7B3A5E" w14:textId="77777777" w:rsidR="00762B1B" w:rsidRDefault="00762B1B" w:rsidP="00762B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8D553E">
        <w:rPr>
          <w:rFonts w:ascii="Times New Roman" w:eastAsia="TimesNewRoman" w:hAnsi="Times New Roman" w:cs="Times New Roman"/>
          <w:color w:val="000000"/>
        </w:rPr>
        <w:t xml:space="preserve">Egyes esetekben </w:t>
      </w:r>
      <w:proofErr w:type="spellStart"/>
      <w:r w:rsidRPr="008D553E">
        <w:rPr>
          <w:rFonts w:ascii="Times New Roman" w:eastAsia="TimesNewRoman" w:hAnsi="Times New Roman" w:cs="Times New Roman"/>
          <w:color w:val="000000"/>
        </w:rPr>
        <w:t>intestinalis</w:t>
      </w:r>
      <w:proofErr w:type="spellEnd"/>
      <w:r w:rsidRPr="008D553E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8D553E">
        <w:rPr>
          <w:rFonts w:ascii="Times New Roman" w:eastAsia="TimesNewRoman" w:hAnsi="Times New Roman" w:cs="Times New Roman"/>
          <w:color w:val="000000"/>
        </w:rPr>
        <w:t>angiooedemáról</w:t>
      </w:r>
      <w:proofErr w:type="spellEnd"/>
      <w:r w:rsidRPr="008D553E">
        <w:rPr>
          <w:rFonts w:ascii="Times New Roman" w:eastAsia="TimesNewRoman" w:hAnsi="Times New Roman" w:cs="Times New Roman"/>
          <w:color w:val="000000"/>
        </w:rPr>
        <w:t xml:space="preserve"> számoltak be </w:t>
      </w:r>
      <w:proofErr w:type="spellStart"/>
      <w:r w:rsidRPr="008D553E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8D553E">
        <w:rPr>
          <w:rFonts w:ascii="Times New Roman" w:eastAsia="TimesNewRoman" w:hAnsi="Times New Roman" w:cs="Times New Roman"/>
          <w:color w:val="000000"/>
        </w:rPr>
        <w:t xml:space="preserve"> II-receptor-blokkoló alkalmazását követően (lásd 4.4 pont).</w:t>
      </w:r>
    </w:p>
    <w:p w14:paraId="419268DF" w14:textId="77777777" w:rsidR="00762B1B" w:rsidRPr="00623095" w:rsidRDefault="00762B1B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268DD5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Feltételezett mellékhatások bejelentése</w:t>
      </w:r>
    </w:p>
    <w:p w14:paraId="1BFFD65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0CF17AE" w14:textId="562974C2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8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egészségügyi szakembereket kérjük, hogy jelentsék be a feltételezett mellékhatásokat a hatóság részére az </w:t>
      </w:r>
      <w:hyperlink r:id="rId10" w:history="1">
        <w:r w:rsidR="00D159B7" w:rsidRPr="00623095">
          <w:rPr>
            <w:rStyle w:val="llbChar"/>
            <w:rFonts w:ascii="Times New Roman" w:hAnsi="Times New Roman" w:cs="Times New Roman"/>
          </w:rPr>
          <w:t>V. függelékben</w:t>
        </w:r>
      </w:hyperlink>
      <w:r w:rsidRPr="00623095">
        <w:rPr>
          <w:rFonts w:ascii="Times New Roman" w:eastAsia="TimesNewRoman" w:hAnsi="Times New Roman" w:cs="Times New Roman"/>
          <w:color w:val="0000FF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>található elérhetőségek valamelyikén keresztül</w:t>
      </w:r>
      <w:r w:rsidRPr="00623095">
        <w:rPr>
          <w:rFonts w:ascii="Times New Roman" w:eastAsia="TimesNewRoman" w:hAnsi="Times New Roman" w:cs="Times New Roman"/>
          <w:color w:val="008000"/>
        </w:rPr>
        <w:t>.</w:t>
      </w:r>
    </w:p>
    <w:p w14:paraId="63CC580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15930D9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4.9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Túladagolás</w:t>
      </w:r>
    </w:p>
    <w:p w14:paraId="45B3D2C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EAA870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Tünetek:</w:t>
      </w:r>
    </w:p>
    <w:p w14:paraId="0F0B8DE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túladagolás jelei és tünetei várhatóan a felerősödött farmakológiai hatásnak megfelelőek.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-túladagolás várható legjellemzőbb tünete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tachycardia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Jelentettek ezen kívül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bradycardiát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, szédülést, szérum-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kreatininszint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-emelkedést és akut veseelégtelenséget is.</w:t>
      </w:r>
    </w:p>
    <w:p w14:paraId="494FE0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-túladagolás túlzott mértékű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peripheriás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vasodilatatiót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esetleg reflexes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tachycardiát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okozhat. Jelentettek súlyos és feltehetőleg elhúzódó, akár fatális kimenetellel járó sokkot okozó szisztémás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is.</w:t>
      </w:r>
    </w:p>
    <w:p w14:paraId="1855826B" w14:textId="77777777" w:rsidR="007F4408" w:rsidRDefault="00612660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12660">
        <w:rPr>
          <w:rFonts w:ascii="Times New Roman" w:eastAsia="TimesNewRoman" w:hAnsi="Times New Roman" w:cs="Times New Roman"/>
          <w:color w:val="000000"/>
        </w:rPr>
        <w:t xml:space="preserve">Ritka előfordulási gyakorisággal nem </w:t>
      </w:r>
      <w:proofErr w:type="spellStart"/>
      <w:r w:rsidRPr="00612660">
        <w:rPr>
          <w:rFonts w:ascii="Times New Roman" w:eastAsia="TimesNewRoman" w:hAnsi="Times New Roman" w:cs="Times New Roman"/>
          <w:color w:val="000000"/>
        </w:rPr>
        <w:t>kardiogén</w:t>
      </w:r>
      <w:proofErr w:type="spellEnd"/>
      <w:r w:rsidRPr="00612660">
        <w:rPr>
          <w:rFonts w:ascii="Times New Roman" w:eastAsia="TimesNewRoman" w:hAnsi="Times New Roman" w:cs="Times New Roman"/>
          <w:color w:val="000000"/>
        </w:rPr>
        <w:t xml:space="preserve"> eredetű tüdőödémát jelentettek az </w:t>
      </w:r>
      <w:proofErr w:type="spellStart"/>
      <w:r w:rsidRPr="00612660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12660">
        <w:rPr>
          <w:rFonts w:ascii="Times New Roman" w:eastAsia="TimesNewRoman" w:hAnsi="Times New Roman" w:cs="Times New Roman"/>
          <w:color w:val="000000"/>
        </w:rPr>
        <w:t>-túladagolás következményeként, amely késői kezdettel (24-48</w:t>
      </w:r>
      <w:r>
        <w:rPr>
          <w:rFonts w:ascii="Times New Roman" w:eastAsia="TimesNewRoman" w:hAnsi="Times New Roman" w:cs="Times New Roman"/>
          <w:color w:val="000000"/>
        </w:rPr>
        <w:t> </w:t>
      </w:r>
      <w:r w:rsidRPr="00612660">
        <w:rPr>
          <w:rFonts w:ascii="Times New Roman" w:eastAsia="TimesNewRoman" w:hAnsi="Times New Roman" w:cs="Times New Roman"/>
          <w:color w:val="000000"/>
        </w:rPr>
        <w:t xml:space="preserve">órával a bevétel után) jelentkezhet, és légzéstámogatást tesz szükségessé. A perfúzió és a perctérfogat fenntartására irányuló korai </w:t>
      </w:r>
      <w:proofErr w:type="spellStart"/>
      <w:r w:rsidRPr="00612660">
        <w:rPr>
          <w:rFonts w:ascii="Times New Roman" w:eastAsia="TimesNewRoman" w:hAnsi="Times New Roman" w:cs="Times New Roman"/>
          <w:color w:val="000000"/>
        </w:rPr>
        <w:t>újraélesztési</w:t>
      </w:r>
      <w:proofErr w:type="spellEnd"/>
      <w:r w:rsidRPr="00612660">
        <w:rPr>
          <w:rFonts w:ascii="Times New Roman" w:eastAsia="TimesNewRoman" w:hAnsi="Times New Roman" w:cs="Times New Roman"/>
          <w:color w:val="000000"/>
        </w:rPr>
        <w:t xml:space="preserve"> intézkedések (beleértve a folyadéktúlterhelést) kiváltó tényezők lehetnek.</w:t>
      </w:r>
    </w:p>
    <w:p w14:paraId="2378FA18" w14:textId="77777777" w:rsidR="00612660" w:rsidRPr="00612660" w:rsidRDefault="00612660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31F3F8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Kezelés:</w:t>
      </w:r>
    </w:p>
    <w:p w14:paraId="10D55C4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beteget szorosan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monitorozni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kell, a kezelés tüneti és szupportív. A kezelés függ a bevétel óta eltelt időtől és a tünetek súlyosságától. Javasolt a hánytatás és/vagy gyomormosás. Az aktív szén hatásos lehet mind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-, mind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-túladagolás kezelésében.</w:t>
      </w:r>
    </w:p>
    <w:p w14:paraId="64423D8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Gyakran kell ellenőrizni a szérum elektrolitszinteket és a szérum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kreatininértékeit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a beteget felemelt végtagokkal hanyatt kell fektetni, és gyors só- és folyadékpótlást kell végezni.</w:t>
      </w:r>
    </w:p>
    <w:p w14:paraId="5C402CA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Szupportív kezelést kell kezdeni.</w:t>
      </w:r>
    </w:p>
    <w:p w14:paraId="24FEDC9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kalciumcsatorna-blokád hatásainak felfüggesztésére az intravénásan adott kalcium-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glükonát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hasznos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>lehet. Néhány esetben a gyomormosás eredményes lehet. Egészséges önkénteseknél a 10 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 adása után 2 órán belül az aktív szén adása csökkentette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felszívódásának mértékét.</w:t>
      </w:r>
    </w:p>
    <w:p w14:paraId="52765A20" w14:textId="77777777" w:rsidR="0016736C" w:rsidRPr="0016736C" w:rsidRDefault="0016736C" w:rsidP="00167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16736C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16736C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16736C">
        <w:rPr>
          <w:rFonts w:ascii="Times New Roman" w:eastAsia="TimesNewRoman" w:hAnsi="Times New Roman" w:cs="Times New Roman"/>
          <w:color w:val="000000"/>
        </w:rPr>
        <w:t xml:space="preserve"> nem </w:t>
      </w:r>
      <w:proofErr w:type="spellStart"/>
      <w:r w:rsidRPr="0016736C">
        <w:rPr>
          <w:rFonts w:ascii="Times New Roman" w:eastAsia="TimesNewRoman" w:hAnsi="Times New Roman" w:cs="Times New Roman"/>
          <w:color w:val="000000"/>
        </w:rPr>
        <w:t>dializ</w:t>
      </w:r>
      <w:r w:rsidRPr="0016736C">
        <w:rPr>
          <w:rFonts w:ascii="Times New Roman" w:eastAsia="TimesNewRoman" w:hAnsi="Times New Roman" w:cs="Times New Roman" w:hint="eastAsia"/>
          <w:color w:val="000000"/>
        </w:rPr>
        <w:t>á</w:t>
      </w:r>
      <w:r w:rsidRPr="0016736C">
        <w:rPr>
          <w:rFonts w:ascii="Times New Roman" w:eastAsia="TimesNewRoman" w:hAnsi="Times New Roman" w:cs="Times New Roman"/>
          <w:color w:val="000000"/>
        </w:rPr>
        <w:t>lhat</w:t>
      </w:r>
      <w:r w:rsidRPr="0016736C">
        <w:rPr>
          <w:rFonts w:ascii="Times New Roman" w:eastAsia="TimesNewRoman" w:hAnsi="Times New Roman" w:cs="Times New Roman" w:hint="eastAsia"/>
          <w:color w:val="000000"/>
        </w:rPr>
        <w:t>ó</w:t>
      </w:r>
      <w:proofErr w:type="spellEnd"/>
      <w:r w:rsidRPr="0016736C">
        <w:rPr>
          <w:rFonts w:ascii="Times New Roman" w:eastAsia="TimesNewRoman" w:hAnsi="Times New Roman" w:cs="Times New Roman"/>
          <w:color w:val="000000"/>
        </w:rPr>
        <w:t xml:space="preserve">, a </w:t>
      </w:r>
      <w:proofErr w:type="spellStart"/>
      <w:r w:rsidRPr="0016736C">
        <w:rPr>
          <w:rFonts w:ascii="Times New Roman" w:eastAsia="TimesNewRoman" w:hAnsi="Times New Roman" w:cs="Times New Roman"/>
          <w:color w:val="000000"/>
        </w:rPr>
        <w:t>telmizart</w:t>
      </w:r>
      <w:r w:rsidRPr="0016736C">
        <w:rPr>
          <w:rFonts w:ascii="Times New Roman" w:eastAsia="TimesNewRoman" w:hAnsi="Times New Roman" w:cs="Times New Roman" w:hint="eastAsia"/>
          <w:color w:val="000000"/>
        </w:rPr>
        <w:t>á</w:t>
      </w:r>
      <w:r w:rsidRPr="0016736C">
        <w:rPr>
          <w:rFonts w:ascii="Times New Roman" w:eastAsia="TimesNewRoman" w:hAnsi="Times New Roman" w:cs="Times New Roman"/>
          <w:color w:val="000000"/>
        </w:rPr>
        <w:t>n</w:t>
      </w:r>
      <w:proofErr w:type="spellEnd"/>
      <w:r w:rsidRPr="0016736C">
        <w:rPr>
          <w:rFonts w:ascii="Times New Roman" w:eastAsia="TimesNewRoman" w:hAnsi="Times New Roman" w:cs="Times New Roman"/>
          <w:color w:val="000000"/>
        </w:rPr>
        <w:t xml:space="preserve"> pedig </w:t>
      </w:r>
      <w:proofErr w:type="spellStart"/>
      <w:r w:rsidRPr="0016736C">
        <w:rPr>
          <w:rFonts w:ascii="Times New Roman" w:eastAsia="TimesNewRoman" w:hAnsi="Times New Roman" w:cs="Times New Roman"/>
          <w:color w:val="000000"/>
        </w:rPr>
        <w:t>hemofiltr</w:t>
      </w:r>
      <w:r w:rsidRPr="0016736C">
        <w:rPr>
          <w:rFonts w:ascii="Times New Roman" w:eastAsia="TimesNewRoman" w:hAnsi="Times New Roman" w:cs="Times New Roman" w:hint="eastAsia"/>
          <w:color w:val="000000"/>
        </w:rPr>
        <w:t>á</w:t>
      </w:r>
      <w:r w:rsidRPr="0016736C">
        <w:rPr>
          <w:rFonts w:ascii="Times New Roman" w:eastAsia="TimesNewRoman" w:hAnsi="Times New Roman" w:cs="Times New Roman"/>
          <w:color w:val="000000"/>
        </w:rPr>
        <w:t>ci</w:t>
      </w:r>
      <w:r w:rsidRPr="0016736C">
        <w:rPr>
          <w:rFonts w:ascii="Times New Roman" w:eastAsia="TimesNewRoman" w:hAnsi="Times New Roman" w:cs="Times New Roman" w:hint="eastAsia"/>
          <w:color w:val="000000"/>
        </w:rPr>
        <w:t>ó</w:t>
      </w:r>
      <w:r w:rsidRPr="0016736C">
        <w:rPr>
          <w:rFonts w:ascii="Times New Roman" w:eastAsia="TimesNewRoman" w:hAnsi="Times New Roman" w:cs="Times New Roman"/>
          <w:color w:val="000000"/>
        </w:rPr>
        <w:t>val</w:t>
      </w:r>
      <w:proofErr w:type="spellEnd"/>
      <w:r w:rsidRPr="0016736C">
        <w:rPr>
          <w:rFonts w:ascii="Times New Roman" w:eastAsia="TimesNewRoman" w:hAnsi="Times New Roman" w:cs="Times New Roman"/>
          <w:color w:val="000000"/>
        </w:rPr>
        <w:t xml:space="preserve"> nem t</w:t>
      </w:r>
      <w:r w:rsidRPr="0016736C">
        <w:rPr>
          <w:rFonts w:ascii="Times New Roman" w:eastAsia="TimesNewRoman" w:hAnsi="Times New Roman" w:cs="Times New Roman" w:hint="eastAsia"/>
          <w:color w:val="000000"/>
        </w:rPr>
        <w:t>á</w:t>
      </w:r>
      <w:r w:rsidRPr="0016736C">
        <w:rPr>
          <w:rFonts w:ascii="Times New Roman" w:eastAsia="TimesNewRoman" w:hAnsi="Times New Roman" w:cs="Times New Roman"/>
          <w:color w:val="000000"/>
        </w:rPr>
        <w:t>vol</w:t>
      </w:r>
      <w:r w:rsidRPr="0016736C">
        <w:rPr>
          <w:rFonts w:ascii="Times New Roman" w:eastAsia="TimesNewRoman" w:hAnsi="Times New Roman" w:cs="Times New Roman" w:hint="eastAsia"/>
          <w:color w:val="000000"/>
        </w:rPr>
        <w:t>í</w:t>
      </w:r>
      <w:r w:rsidRPr="0016736C">
        <w:rPr>
          <w:rFonts w:ascii="Times New Roman" w:eastAsia="TimesNewRoman" w:hAnsi="Times New Roman" w:cs="Times New Roman"/>
          <w:color w:val="000000"/>
        </w:rPr>
        <w:t>that</w:t>
      </w:r>
      <w:r w:rsidRPr="0016736C">
        <w:rPr>
          <w:rFonts w:ascii="Times New Roman" w:eastAsia="TimesNewRoman" w:hAnsi="Times New Roman" w:cs="Times New Roman" w:hint="eastAsia"/>
          <w:color w:val="000000"/>
        </w:rPr>
        <w:t>ó</w:t>
      </w:r>
      <w:r w:rsidRPr="0016736C">
        <w:rPr>
          <w:rFonts w:ascii="Times New Roman" w:eastAsia="TimesNewRoman" w:hAnsi="Times New Roman" w:cs="Times New Roman"/>
          <w:color w:val="000000"/>
        </w:rPr>
        <w:t xml:space="preserve"> el a v</w:t>
      </w:r>
      <w:r w:rsidRPr="0016736C">
        <w:rPr>
          <w:rFonts w:ascii="Times New Roman" w:eastAsia="TimesNewRoman" w:hAnsi="Times New Roman" w:cs="Times New Roman" w:hint="eastAsia"/>
          <w:color w:val="000000"/>
        </w:rPr>
        <w:t>é</w:t>
      </w:r>
      <w:r w:rsidRPr="0016736C">
        <w:rPr>
          <w:rFonts w:ascii="Times New Roman" w:eastAsia="TimesNewRoman" w:hAnsi="Times New Roman" w:cs="Times New Roman"/>
          <w:color w:val="000000"/>
        </w:rPr>
        <w:t>rkering</w:t>
      </w:r>
      <w:r w:rsidRPr="0016736C">
        <w:rPr>
          <w:rFonts w:ascii="Times New Roman" w:eastAsia="TimesNewRoman" w:hAnsi="Times New Roman" w:cs="Times New Roman" w:hint="eastAsia"/>
          <w:color w:val="000000"/>
        </w:rPr>
        <w:t>é</w:t>
      </w:r>
      <w:r w:rsidRPr="0016736C">
        <w:rPr>
          <w:rFonts w:ascii="Times New Roman" w:eastAsia="TimesNewRoman" w:hAnsi="Times New Roman" w:cs="Times New Roman"/>
          <w:color w:val="000000"/>
        </w:rPr>
        <w:t>sb</w:t>
      </w:r>
      <w:r w:rsidRPr="0016736C">
        <w:rPr>
          <w:rFonts w:ascii="Times New Roman" w:eastAsia="TimesNewRoman" w:hAnsi="Times New Roman" w:cs="Times New Roman" w:hint="eastAsia"/>
          <w:color w:val="000000"/>
        </w:rPr>
        <w:t>ő</w:t>
      </w:r>
      <w:r w:rsidRPr="0016736C">
        <w:rPr>
          <w:rFonts w:ascii="Times New Roman" w:eastAsia="TimesNewRoman" w:hAnsi="Times New Roman" w:cs="Times New Roman"/>
          <w:color w:val="000000"/>
        </w:rPr>
        <w:t xml:space="preserve">l </w:t>
      </w:r>
      <w:r w:rsidRPr="0016736C">
        <w:rPr>
          <w:rFonts w:ascii="Times New Roman" w:eastAsia="TimesNewRoman" w:hAnsi="Times New Roman" w:cs="Times New Roman" w:hint="eastAsia"/>
          <w:color w:val="000000"/>
        </w:rPr>
        <w:t>é</w:t>
      </w:r>
      <w:r w:rsidRPr="0016736C">
        <w:rPr>
          <w:rFonts w:ascii="Times New Roman" w:eastAsia="TimesNewRoman" w:hAnsi="Times New Roman" w:cs="Times New Roman"/>
          <w:color w:val="000000"/>
        </w:rPr>
        <w:t xml:space="preserve">s nem </w:t>
      </w:r>
      <w:proofErr w:type="spellStart"/>
      <w:r w:rsidRPr="0016736C">
        <w:rPr>
          <w:rFonts w:ascii="Times New Roman" w:eastAsia="TimesNewRoman" w:hAnsi="Times New Roman" w:cs="Times New Roman"/>
          <w:color w:val="000000"/>
        </w:rPr>
        <w:t>dializ</w:t>
      </w:r>
      <w:r w:rsidRPr="0016736C">
        <w:rPr>
          <w:rFonts w:ascii="Times New Roman" w:eastAsia="TimesNewRoman" w:hAnsi="Times New Roman" w:cs="Times New Roman" w:hint="eastAsia"/>
          <w:color w:val="000000"/>
        </w:rPr>
        <w:t>á</w:t>
      </w:r>
      <w:r w:rsidRPr="0016736C">
        <w:rPr>
          <w:rFonts w:ascii="Times New Roman" w:eastAsia="TimesNewRoman" w:hAnsi="Times New Roman" w:cs="Times New Roman"/>
          <w:color w:val="000000"/>
        </w:rPr>
        <w:t>lhat</w:t>
      </w:r>
      <w:r w:rsidRPr="0016736C">
        <w:rPr>
          <w:rFonts w:ascii="Times New Roman" w:eastAsia="TimesNewRoman" w:hAnsi="Times New Roman" w:cs="Times New Roman" w:hint="eastAsia"/>
          <w:color w:val="000000"/>
        </w:rPr>
        <w:t>ó</w:t>
      </w:r>
      <w:proofErr w:type="spellEnd"/>
      <w:r w:rsidRPr="0016736C">
        <w:rPr>
          <w:rFonts w:ascii="Times New Roman" w:eastAsia="TimesNewRoman" w:hAnsi="Times New Roman" w:cs="Times New Roman"/>
          <w:color w:val="000000"/>
        </w:rPr>
        <w:t>.</w:t>
      </w:r>
    </w:p>
    <w:p w14:paraId="3412773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374EF3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809260E" w14:textId="77777777" w:rsidR="007F4408" w:rsidRPr="00623095" w:rsidRDefault="007F4408" w:rsidP="007F440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5.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>FARMAKOLÓGIAI TULAJDONSÁGOK</w:t>
      </w:r>
    </w:p>
    <w:p w14:paraId="1205DF9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65EC0E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5.1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proofErr w:type="spellStart"/>
      <w:r w:rsidRPr="00623095">
        <w:rPr>
          <w:rFonts w:ascii="Times New Roman" w:eastAsia="TimesNewRoman" w:hAnsi="Times New Roman" w:cs="Times New Roman"/>
          <w:b/>
          <w:bCs/>
          <w:color w:val="000000"/>
        </w:rPr>
        <w:t>Farmakodinámiás</w:t>
      </w:r>
      <w:proofErr w:type="spellEnd"/>
      <w:r w:rsidRPr="00623095">
        <w:rPr>
          <w:rFonts w:ascii="Times New Roman" w:eastAsia="TimesNewRoman" w:hAnsi="Times New Roman" w:cs="Times New Roman"/>
          <w:b/>
          <w:bCs/>
          <w:color w:val="000000"/>
        </w:rPr>
        <w:t xml:space="preserve"> tulajdonságok</w:t>
      </w:r>
    </w:p>
    <w:p w14:paraId="7C1A2D3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3464B2A" w14:textId="7A46706D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Farmakoterápiás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csoport: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Renin-angiotenzin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rendszerre ható szerek,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16736C">
        <w:rPr>
          <w:rFonts w:ascii="Times New Roman" w:eastAsia="TimesNewRoman" w:hAnsi="Times New Roman" w:cs="Times New Roman"/>
          <w:color w:val="000000"/>
        </w:rPr>
        <w:t>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16736C">
        <w:rPr>
          <w:rFonts w:ascii="Times New Roman" w:eastAsia="TimesNewRoman" w:hAnsi="Times New Roman" w:cs="Times New Roman"/>
          <w:color w:val="000000"/>
        </w:rPr>
        <w:t>blokkolók (ARB-k)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és kalciumcsatorna-blokkolók, ATC kód: C09DB04</w:t>
      </w:r>
    </w:p>
    <w:p w14:paraId="0ABE412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FD76105" w14:textId="5EDFF8B4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két, egymás hatását kiegészítő vérnyomáscsökkentő vegyületből áll, amely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essentialis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szenvedő betegek vérnyomásának kezelésére szolgál: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105FFD">
        <w:rPr>
          <w:rFonts w:ascii="Times New Roman" w:eastAsia="TimesNewRoman" w:hAnsi="Times New Roman" w:cs="Times New Roman"/>
          <w:color w:val="000000"/>
        </w:rPr>
        <w:t>blokkoló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,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dihidropiridin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típusú kalciumcsatorna-blokkoló.</w:t>
      </w:r>
    </w:p>
    <w:p w14:paraId="44B1D87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hatóanyagok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ezen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kombinációja additív vérnyomáscsökkentő hatással rendelkezik, nagyobb mértékben csökkenti a vérnyomást, mint bármelyik összetevő önmagában.</w:t>
      </w:r>
    </w:p>
    <w:p w14:paraId="75C9B99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naponta egyszer adott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hatékonyan és tartósan csökkenti a vérnyomást a 24 órás terápiás dózistartományban.</w:t>
      </w:r>
    </w:p>
    <w:p w14:paraId="56E20C2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F931D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Telmizartán</w:t>
      </w:r>
      <w:proofErr w:type="spellEnd"/>
    </w:p>
    <w:p w14:paraId="4AF93695" w14:textId="515504B4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per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adható, hatékony és szelektív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48533C">
        <w:rPr>
          <w:rFonts w:ascii="Times New Roman" w:eastAsia="TimesNewRoman" w:hAnsi="Times New Roman" w:cs="Times New Roman"/>
          <w:color w:val="000000"/>
        </w:rPr>
        <w:t>-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(AT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típusú) </w:t>
      </w:r>
      <w:r w:rsidR="00105FFD">
        <w:rPr>
          <w:rFonts w:ascii="Times New Roman" w:eastAsia="TimesNewRoman" w:hAnsi="Times New Roman" w:cs="Times New Roman"/>
          <w:color w:val="000000"/>
        </w:rPr>
        <w:t>blokkoló</w:t>
      </w:r>
      <w:r w:rsidRPr="00623095">
        <w:rPr>
          <w:rFonts w:ascii="Times New Roman" w:eastAsia="TimesNewRoman" w:hAnsi="Times New Roman" w:cs="Times New Roman"/>
          <w:color w:val="000000"/>
        </w:rPr>
        <w:t>. Az 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-receptor altípushoz nagy affinitással kötődő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leszorítja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II-t az 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-receptorról, amely felelős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 ismert farmakológiai hatásaiért.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fejt ki semmilyen parciális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agonista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hatást az 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>-receptoron. Szelektíven kötődik az 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1</w:t>
      </w:r>
      <w:r w:rsidRPr="00623095">
        <w:rPr>
          <w:rFonts w:ascii="Times New Roman" w:eastAsia="TimesNewRoman" w:hAnsi="Times New Roman" w:cs="Times New Roman"/>
          <w:color w:val="000000"/>
        </w:rPr>
        <w:t>-receptorokhoz és ez a kötődés tartós.</w:t>
      </w:r>
    </w:p>
    <w:p w14:paraId="55AFBE2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mutat affinitást más receptorokhoz (pl. AT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2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vagy egyéb, kevésbé leírt AT-receptorok). E receptorok funkcionális szerepe nem ismert, miként az sem, hogy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II, melynek szintjét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emeli, előidézheti-e túlstimulálásukat.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csökkenti a plazma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aldoszteronszintjét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gátolja az emberi plazma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reninaktivitását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nem blokkolja az ioncsatornákat.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gátolja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bradykinin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lebontását is végző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-konvertáló enzimet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kinináz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II), ezért nem várható, hogy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bradykinin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-közvetítette mellékhatásokat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potencírozza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521FD29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9DDAEB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Embernél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80 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dózisban szinte teljes mértékben gátolja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 által kiváltott vérnyomás-emelkedést. Ez a gátló hatás 24 órán át fennmarad és még 48 óra múlva is kimutatható.</w:t>
      </w:r>
    </w:p>
    <w:p w14:paraId="3884522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74FD04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első dózisa után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 fokozatosan, 3 óra alatt fejlődik ki. A maximális vérnyomáscsökkentő hatás rendszerint 4-8 héttel a kezelés megkezdése után alakul ki, és hosszú távú kezelés esetén is fennmarad.</w:t>
      </w:r>
    </w:p>
    <w:p w14:paraId="5BF5D2D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0A5570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Ambuláns vérnyomás-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eredményei alapján a vérnyomáscsökkentő hatás erőssége 24 órán keresztül állandó, beleértve a következő dózis bevétele előtti utolsó 4 órát is. Ezt megerősítette, hogy a placebokontrollos vizsgálatokban a 40 és 80 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620926E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426209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 a szisztolés és diasztolés vérnyomást egyaránt csökkenti, a szívfrekvenciát azonban nem módosítja. Nincs még magyarázat arra, hogyan járul hozzá a vérnyomáscsökkentő hatáshoz a gyógyszer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nátriuretikus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hatása.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vérnyomáscsökkentő hatásának erőssége nem marad el más vegyületcsoportokba tartozó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antihipertenzívumokétól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(ezt igazolják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atenololt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enalaprilt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hidroklorotiazidot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lizinoprilt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összehasonlító klinikai vizsgálatok).</w:t>
      </w:r>
    </w:p>
    <w:p w14:paraId="15BD40C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86A2EA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adagolásának hirtelen leállítása után a vérnyomás fokozatosan, néhány nap alatt tér vissza a kezelés előtti értékre, nem lép fel „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rebound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” vérnyomás-emelkedés.</w:t>
      </w:r>
    </w:p>
    <w:p w14:paraId="3C8C0D1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3DEF81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száraz köhögés lényegesen ritkábban jelentkezett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kezelt betegeknél, mint azoknál, akiknek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-konvertáló enzim-inhibitort adtak, azon klinikai vizsgálatokban, amelyekben a két vérnyomáscsökkentő kezelést hasonlították össze.</w:t>
      </w:r>
    </w:p>
    <w:p w14:paraId="7BE0177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EF1284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Két nagy,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randomizált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, kontrollos vizsgálatban (ONTARGET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ONgoing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Telmisartan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Alone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and in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combination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with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Ramipril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Global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Endpoint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Trial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és VA NEPHRON-D (The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Veterans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Affairs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Nephropathy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 Diabetes)) vizsgálták az ACE-gátló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 kombinált alkalmazását.</w:t>
      </w:r>
    </w:p>
    <w:p w14:paraId="64A2923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ONTARGET vizsgálatot olyan betegekkel végezték, akiknek a kórtörténetében kardiovaszkuláris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cerebrovaszkuláris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betegség, vagy szervkárosodással járó II-es típusú diabetes mellitus szerepelt. A VA NEPHRON-D vizsgálatot II-es típusú diabetesben és diabeteses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nephropathiában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szenvedő betegekkel végezték.</w:t>
      </w:r>
    </w:p>
    <w:p w14:paraId="4BD130A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Ezek a vizsgálatok nem mutattak ki szignifikánsan előnyös hatásokat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renális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és/vagy kardiovaszkuláris kimenetel és a mortalitás vonatkozásában, miközben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megfigyelthez képest nőtt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akut vesekárosodás és/vagy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kockázata. A hasonló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farmakodinámiás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tulajdonságok alapján ezek az eredmények más ACE-gátlók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blokkolók esetében is relevánsak.</w:t>
      </w:r>
    </w:p>
    <w:p w14:paraId="3345937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ACE-gátlók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blokkolók egyidejűleg nem alkalmazhatók </w:t>
      </w:r>
      <w:r w:rsidRPr="00623095">
        <w:rPr>
          <w:rFonts w:ascii="Times New Roman" w:hAnsi="Times New Roman"/>
          <w:color w:val="000000"/>
        </w:rPr>
        <w:t xml:space="preserve">diabeteses </w:t>
      </w:r>
      <w:proofErr w:type="spellStart"/>
      <w:r w:rsidRPr="00623095">
        <w:rPr>
          <w:rFonts w:ascii="Times New Roman" w:hAnsi="Times New Roman"/>
          <w:color w:val="000000"/>
        </w:rPr>
        <w:t>nephropathiaban</w:t>
      </w:r>
      <w:proofErr w:type="spellEnd"/>
      <w:r w:rsidRPr="00623095">
        <w:rPr>
          <w:rFonts w:ascii="Times New Roman" w:hAnsi="Times New Roman"/>
          <w:color w:val="000000"/>
        </w:rPr>
        <w:t xml:space="preserve"> szenvedő betegeknél</w:t>
      </w:r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0F366F8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66081B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Az ALTITUDE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Aliskiren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Trial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Type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2 Diabetes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Using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Cardiovascular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and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Disease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Endpoints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vizsgálat célja az volt, hogy megállapítsák, előnyös-e a standard ACE-gátló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 blokkoló kezelés kiegészítése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-csoportban, mint a placebocsoportban, és a jelentős mellékhatások illetve súlyos mellékhatások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hyperkalaemia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veseműködési zavar) is gyakoribbak voltak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aliszkirén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-csoportban, mint a placebocsoportban.</w:t>
      </w:r>
    </w:p>
    <w:p w14:paraId="2F5CA81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0A8473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Amlodipin</w:t>
      </w:r>
      <w:proofErr w:type="spellEnd"/>
    </w:p>
    <w:p w14:paraId="22C0641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dihidropiridinek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csoportjába tartozó kalcium-ion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influx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-gátló (lassúcsatorna-blokkoló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kalciumantagonista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), amely gátolja a kalciumionok beáramlását a sejtmembránon keresztül a szívizomsejtekbe és az erek simaizomsejtjeibe.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vérnyomáscsökkentő hatásának mechanizmusa az erek simaizomzatára kifejtett direkt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relaxáló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 eredménye, ami csökkenti a perifériás érellenállást és a vérnyomást. A kísérletes adatok azt mutatják, hogy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kötődik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dihidropiridin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nem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dihidropiridin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kötőhelyekhez is.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viszonylag érszelektív, nagyobb mértékben hat az erek simaizomsejtjeire, mint a szívizomsejtekre.</w:t>
      </w:r>
    </w:p>
    <w:p w14:paraId="49CD9EA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04C38A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 a napi egyszeri alkalmazás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klinikailag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jelentős vérnyomáscsökkenést biztosít mind fekvő, mind álló testhelyzetben, 24 órás időtartamon keresztül. A lassú hatáskezdet miatt az akut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hypotonia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jellemző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alkalmazásakor.</w:t>
      </w:r>
    </w:p>
    <w:p w14:paraId="3725F2D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5E15D3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Normál veseműködésű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terápiás dózisának hatására csökken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rezisztencia, nő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glomerularis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filtrációs ráta és az effektív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plazmaátáramlás, anélkül, hogy megváltozna a filtrációs frakció vagy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proteinuria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71C3167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442F37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alkalmazása nem járt semmilyen nemkívánatos metabolikus eseménnyel, nem változtatta meg a plazma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lipidszintjeit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és alkalmazható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asthmában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, diabetesben és köszvényben szenvedő betegeknél is.</w:t>
      </w:r>
    </w:p>
    <w:p w14:paraId="7782A9F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ABE659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Alkalmazása szívelégtelenségben szenvedő betegeknél</w:t>
      </w:r>
    </w:p>
    <w:p w14:paraId="254CCA3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Szívelégtelenségben szenvedő betegeknél végzett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haemodinamikai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vizsgálatok alapján, valamint NYHA II-IV.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stádiumú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szívelégtelenségben szenvedő betegekkel terheléssel végzett kontrollos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klinikai vizsgálatok a terheléssel szembeni tolerancia, a bal kamrai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ejekciós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frakció, valamint a klinikai tünetek értékelése alapján azt mutatták, hogy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rontotta a betegek klinikai állapotát.</w:t>
      </w:r>
    </w:p>
    <w:p w14:paraId="0DF78BB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CB6864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placebokontrollos vizsgálat (PRAISE), amiben NYHA III-IV.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stádiumú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szívelégtelenségben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digoxint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diuretikumokat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ACE-gátlókat szedő betegeket vizsgáltak, azt mutatta, hogy szívelégtelenségben szenvedő betegeknél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vezetett a mortalitási kockázat, ill. a kombinált mortalitási és morbiditási kockázat növekedéséhez.</w:t>
      </w:r>
    </w:p>
    <w:p w14:paraId="314A13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1CCC1D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végzett, utókövetéses, hosszú távú, placebokontrollos vizsgálatban (PRAISE-2) kimutatták, hogy klinikai tünetek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ischaemiás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betegséget bizonyító objektív leletek nélküli NYHA III-IV.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stádiumú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szívelégtelenségben szenvedő, stabil dózisú ACE-gátlót, digitáliszt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diuretikumot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kapó betegeknél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befolyásolta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mortalitást. Ugyanebben a betegpopulációban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 mellett gyakrabban fordult elő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tüdőoedema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273426D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6C2337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  <w:u w:val="single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amlodipin</w:t>
      </w:r>
      <w:proofErr w:type="spellEnd"/>
    </w:p>
    <w:p w14:paraId="333D194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nyolchetes, multicentrikus,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randomizált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kettős vak, placebokontrollos, párhuzamos csoportokkal végzett, faktoriális vizsgálatban 1461, enyhétől súlyos fokúig terjedő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(átlagos, ülő helyzetben mért diasztolés vérnyomás ≥95 és &lt;119 Hgmm) szenvedő beteget kezeltek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minden egyes dóziskombinációjával.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szignifikánsan nagyobb mértékben csökkentette a diasztolés és szisztolés vérnyomást, és nagyobb arányú volt a beállított vérnyomású betegek aránya, mint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monoterápiában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adott egyes komponensek esetén.</w:t>
      </w:r>
    </w:p>
    <w:p w14:paraId="4A0053D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99E74F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dózisfüggő mértékben csökkentette a szisztolés/diasztolés vérnyomást a terápiás dózistartományban (40 mg/5 mg: -21,8/-16,5 Hgmm; 80 mg/5 mg: -22,1 /-18,2 Hgmm; 40 mg/10 mg: -24,7 /-20,2 Hgmm és 80 mg/10 mg: -26,4/-20,1 Hgmm).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A diasztolés vérnyomást a fenti sorrendben a betegek 71,6%, 74,8%, 82,1%, 85,3%-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ánál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sikerült 90 Hgmm alá csökkenteni. Az értékeket kiindulási értékre és az országra vetítve korrigálták.</w:t>
      </w:r>
    </w:p>
    <w:p w14:paraId="1EFB0C1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00BA3B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vérnyomáscsökkentő hatás nagyobb részt a kezelés kezdetét követő 2 héten belül kialakult. A betegek egy 1050 fős alcsoportjában, akik közepesen súlyos vagy súlyos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szenvedtek (diasztolés vérnyomás ≥100 Hgmm), 32,7-51,8% reagált kielégítő mértékben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amlodipin-monoterápiára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 xml:space="preserve">A szisztolés/diasztolés vérnyomás megfigyelt átlagos csökkenése 5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tartalmazó kombinációs kezelés esetén (40 mg/5 mg: -22,2/-17,2 Hgmm; 80 mg/5 mg: - 22,5/-19,1 Hgmm) hasonló vagy jobb volt, mint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(-21.0/-17.6 Hgmm), és szignifikánsan alacsonyabb volt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előfordulása (40 mg/5 mg esetén: 1,4%; 80 mg/5 mg esetén: 0,5%;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esetén: 17,6%).</w:t>
      </w:r>
      <w:proofErr w:type="gramEnd"/>
    </w:p>
    <w:p w14:paraId="7993DF9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8F5B4B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automatizált ambuláns vérnyomás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monitorozás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(ABPM) a betegek 562 fős alcsoportjában megerősítette a kórházi körülmények között mért szisztolés és diasztolés vérnyomáscsökkenés eredményeit, amelyek következetesek voltak a teljes 24 órás adagolási periódusban.</w:t>
      </w:r>
    </w:p>
    <w:p w14:paraId="4521C87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C15234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további multicentrikus,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randomizált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kettős vak, aktív kontrollos, párhuzamos csoportokkal végzett vizsgálatban összesen 1097 olyan, enyhétől súlyos fokúig terjedő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szenvedő beteg kapott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kombinációt (40 mg/5 mg vagy 80 mg/5 mg)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(5 mg vagy 10 mg) önmagában, akiknek a vérnyomását 5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sikerült megfelelően beállítani.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 xml:space="preserve">Nyolchetes kezelés után mindegyik kombináció statisztikailag szignifikánsan jobban csökkentette a szisztolés és diasztolés vérnyomást, mint a két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(40 mg/5 mg esetén: -13,6/-9,4 Hgmm, 80 mg/5 mg esetén: -15,0/-10,6 Hgmm, versus 5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esetén: -6,2/-5,7 Hgmm,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esetén: -11,1/-8,0 Hgmm), és nagyobb arányban normalizálódott a diasztolés vérnyomás, mint a megfelelő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(40 mg/5 mg adásakor: 56,7%, 80 mg/5 mg adásakor: 63,8%, versus 5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adásakor: 42%,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adásakor: 56,7%).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gyakorisága szignifikánsan alacsonyabb volt a 40 mg/5 mg és 80 mg/5 mg esetén a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-kezeléssel összehasonlítva (4,4%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24,9%).</w:t>
      </w:r>
    </w:p>
    <w:p w14:paraId="11F61EC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A085C1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Egy másik multicentrikus,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randomizált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kettős vak, aktív kontrollos, párhuzamos csoportokkal végzett vizsgálatban összesen 947 olyan, enyhétől súlyos fokúig terjedő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szenvedő beteg kapott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lastRenderedPageBreak/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kombinációt (40 mg/10 mg vagy 80 mg/10 mg) 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önmagában (10 mg), akiknek a vérnyomását 10 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sikerült megfelelően beállítani.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 xml:space="preserve">8 hetes kezelés után mindegyik kombináció statisztikailag szignifikánsan jobban csökkentette a szisztolés és diasztolés vérnyomást, mint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(40 mg/10 mg adásakor: -11,1/-9,2 Hgmm, 80 mg/10 mg adásakor: -11,3/-9,3 Hgmm, versus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adásakor: -7,4/-6,5 Hgmm), és nagyobb arányban normalizálódott a diasztolés vérnyomás, mint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 (40 mg/10 mg esetén: 63,7%, 80 mg/10 mg esetén: 66,5%, versus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esetén: 51,1%).</w:t>
      </w:r>
      <w:proofErr w:type="gramEnd"/>
    </w:p>
    <w:p w14:paraId="1DC0B77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54C22E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Két hasonló, nyílt elrendezésű, hosszú távú követéses, további 6 hónapig végzett vizsgálatban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hatása a teljes vizsgálati periódusban fennmaradt. Kimutatták továbbá, hogy azoknál a betegeknél, akiknek a vérnyomását nem tudták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40 mg/10 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dózisával megfelelően beállítani,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dózisának 80 mg/10 mg-ra történő emelésével a vérnyomás tovább csökkent.</w:t>
      </w:r>
    </w:p>
    <w:p w14:paraId="54E3F8B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8C98DE6" w14:textId="45A25C22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mellékhatások teljes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incidenciája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kombinációval végzett klinikai vizsgálati program során alacsony volt, a kezelt betegek mindössze 12,7%-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a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észlelt mellékhatást. A leggyakoribb mellékhatás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peripheriás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 szédülés volt, lásd még 4.8 pont. A jelentett mellékhatások megfeleltek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komponens biztonságossági profilja alapján várhatónak, ahhoz képest sem új, sem súlyosabb mellékhatást nem figyeltek meg.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oedemával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kapcsolatos események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peripheriás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generalizált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következetesen ritkábbak voltak azoknál a betegeknél, akik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kombinációt kaptak, a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kapókkal összehasonlítva. A faktoriális elrendezésű vizsgálatban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gyakorisága 1,3</w:t>
      </w:r>
      <w:r w:rsidR="006A7C22">
        <w:rPr>
          <w:rFonts w:ascii="Times New Roman" w:eastAsia="TimesNewRoman" w:hAnsi="Times New Roman" w:cs="Times New Roman"/>
          <w:color w:val="000000"/>
        </w:rPr>
        <w:t>%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volt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40 mg/5 mg és 80 mg/5 mg dózisai, 8,8%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40 mg/10 mg és 80 mg/10 mg dózisai és 18,4% a 10 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esetén. Azoknál a betegeknél, akiknek a vérnyomását 5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amlodipinnel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lehetett megfelelően beállítani,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oedema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gyakorisága 4,4% volt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40 mg/5 mg és a 80 mg/5 mg dózisai esetén, és 24,9% 10 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amlodipin-monoterápia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adása esetén.</w:t>
      </w:r>
    </w:p>
    <w:p w14:paraId="77558F5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868CDD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 vérnyomáscsökkentő hatása hasonló volt az életkortól és nemtől függetlenül, és hasonló volt a diabeteses és nem diabeteses betegeknél.</w:t>
      </w:r>
    </w:p>
    <w:p w14:paraId="57AD13F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5E384F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kombinációt csak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 vizsgálták.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egy nagy, kimeneteli vizsgálatban 25620, nagy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cardiovascularis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kockázatú betegnél vizsgálták (ONTARGET).</w:t>
      </w:r>
    </w:p>
    <w:p w14:paraId="2470748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krónikus stabil anginában,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vasospasticus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anginában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angiográfiával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igazolt coronaria betegségben vizsgálták.</w:t>
      </w:r>
    </w:p>
    <w:p w14:paraId="0932805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172264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Gyermekek és serdülők</w:t>
      </w:r>
    </w:p>
    <w:p w14:paraId="4334479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Európai Gyógyszerügynökség a gyermekek és serdülők esetén minden korosztálynál eltekint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tartalmú </w:t>
      </w:r>
      <w:r w:rsidRPr="00623095">
        <w:rPr>
          <w:rFonts w:ascii="Times New Roman" w:hAnsi="Times New Roman"/>
          <w:color w:val="000000"/>
        </w:rPr>
        <w:t>referencia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készítmény vizsgálati eredményeinek benyújtási kötelezettségétől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(lásd 4.2 pont, gyermekgyógyászati alkalmazásra vonatkozó információk).</w:t>
      </w:r>
    </w:p>
    <w:p w14:paraId="47AC44C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6D657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5.2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proofErr w:type="spellStart"/>
      <w:r w:rsidRPr="00623095">
        <w:rPr>
          <w:rFonts w:ascii="Times New Roman" w:eastAsia="TimesNewRoman" w:hAnsi="Times New Roman" w:cs="Times New Roman"/>
          <w:b/>
          <w:bCs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b/>
          <w:bCs/>
          <w:color w:val="000000"/>
        </w:rPr>
        <w:t xml:space="preserve"> tulajdonságok</w:t>
      </w:r>
    </w:p>
    <w:p w14:paraId="57D8B37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F691A4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 xml:space="preserve">A fix dózisú kombináció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farmakokinetikája</w:t>
      </w:r>
      <w:proofErr w:type="spellEnd"/>
    </w:p>
    <w:p w14:paraId="6E228F1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telmizartán-amlodipin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kombinációs készítmény felszívódásának sebessége és mértéke megfelel a külön-külön tablettákban adott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biohasznosulásának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3ED7D85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992848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Felszívódás</w:t>
      </w:r>
    </w:p>
    <w:p w14:paraId="04F3E8F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felszívódása gyors, bár a felszívódott mennyiség változó.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átlagos abszolút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körülbelül 50%. Ha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étkezés közben veszik be,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plazmakoncentráció-idő görbe alatti területének (AUC0</w:t>
      </w:r>
      <w:r w:rsidRPr="00623095">
        <w:rPr>
          <w:rFonts w:ascii="Times New Roman" w:eastAsia="SimSun" w:hAnsi="Times New Roman" w:cs="Times New Roman"/>
          <w:vertAlign w:val="subscript"/>
          <w:lang w:eastAsia="pl-PL"/>
        </w:rPr>
        <w:t>0-∞</w:t>
      </w:r>
      <w:r w:rsidRPr="00623095">
        <w:rPr>
          <w:rFonts w:ascii="Times New Roman" w:eastAsia="TimesNewRoman" w:hAnsi="Times New Roman" w:cs="Times New Roman"/>
          <w:color w:val="000000"/>
        </w:rPr>
        <w:t>) csökkenése körülbelül 6% (40 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dózis) és 19% (160 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dózis) között változik. A bevételt követően 3 órával a plazmakoncentrációk hasonlóak, akár éhgyomorra, akár étkezés közben vették be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1C3E351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9884F0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Terápiás dózisok </w:t>
      </w: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per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adását követően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jól felszívódik, a vérben a csúcskoncentrációk a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bevétel után 6-12 órával alakulnak ki. Az abszolút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becsült aránya 64 és 80% között van.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befolyásolja az étkezés.</w:t>
      </w:r>
    </w:p>
    <w:p w14:paraId="1D4CDA4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85E664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Eloszlás</w:t>
      </w:r>
    </w:p>
    <w:p w14:paraId="48868A2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nagymértékben (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&gt;99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,5%) kötődik a plazmafehérjékhez, elsősorban az albuminhoz és az α1-savas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glikoproteinhez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6C6E1A1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dinamikus egyensúlyi állapotban a látszólagos megoszlási térfogat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dss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 középértéke körülbelül 500 liter.</w:t>
      </w:r>
    </w:p>
    <w:p w14:paraId="56EC834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A7441C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megoszlási térfogata körülbelül 21 l/kg. </w:t>
      </w: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In vitro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vizsgálatok azt mutatják, hogy a keringő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körülbelül 97,5%-a kötődik plazmafehérjékhez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hypertoniás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betegeknél.</w:t>
      </w:r>
    </w:p>
    <w:p w14:paraId="690C887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0DB61B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Biotranszformáció</w:t>
      </w:r>
      <w:proofErr w:type="spellEnd"/>
    </w:p>
    <w:p w14:paraId="1B41982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az anyavegyület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glükoronid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-konjugációjával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metabolizálódik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. A konjugált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metabolit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rendelkezik farmakológiai aktivitással.</w:t>
      </w:r>
    </w:p>
    <w:p w14:paraId="3E77F49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AEF944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nagymértékben (körülbelül 90%-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metabolizálódik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 májban inaktív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metabolitokká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7417796C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39A0F1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Elimináció</w:t>
      </w:r>
    </w:p>
    <w:p w14:paraId="0841735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eliminációja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biexponenciálisan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csökkenő görbével jellemezhető, terminális felezési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ideje &gt;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20 óra. A maximális plazmakoncentráció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max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), és kisebb mértékben a plazmakoncentráció-idő görbe alatti terület (AUC) az alkalmazott dózishoz képest nem arányosan nő. A javasolt dózisok alkalmazásakor nem észlelték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klinikai szempontból számottevő akkumulációját. Nőknél magasabb plazmaszinteket mértek, mint férfiaknál, ez azonban nem befolyásolta számottevően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hatásosságot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51F3B5B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D8EFBC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szájon át (vagy intravénásan) adott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szinte teljes mértékben a széklettel, javarészt változatlan vegyületként ürül ki a szervezetből. Az alkalmazott dózisnak 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kevesebb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mint 1%-a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választódik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ki a vizeletben. A máj vérátáramlásához (kb. 1500 ml/perc) viszonyítva a teljes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plazmaclearance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Cl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tot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) értéke magas (kb. 1000 ml/perc).</w:t>
      </w:r>
    </w:p>
    <w:p w14:paraId="415DFA6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D5B2318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eliminációja a plazmából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bifázisos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a terminális felezési idő körülbelül 30-50 óra, ami a napi egyszeri adagolás esetén állandó. A dinamikus egyensúlyi plazmaszintek 7-8 napos folyamatos alkalmazás után alakulnak ki. Az eredeti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10%-</w:t>
      </w: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a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, és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metabolitok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60%-a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választódik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ki a vizelettel.</w:t>
      </w:r>
    </w:p>
    <w:p w14:paraId="3C5E30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489B7D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Linearitás/nem-linearitás</w:t>
      </w:r>
    </w:p>
    <w:p w14:paraId="325DB45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AUC kismértékű csökkenése feltehetően nem csökkenti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terápiás hatékonyságát.</w:t>
      </w:r>
    </w:p>
    <w:p w14:paraId="4FDBC77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Nincs egyenes arányosság a beadott dózis és a plazmakoncentrációk között.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max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kisebb mértékben az AUC a 40 mg-nál nagyobb dózisok esetén nem arányosan nő.</w:t>
      </w:r>
    </w:p>
    <w:p w14:paraId="3D800EF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4CB522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lineáris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mutat.</w:t>
      </w:r>
    </w:p>
    <w:p w14:paraId="371A968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20C968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Különleges betegcsoportok</w:t>
      </w:r>
    </w:p>
    <w:p w14:paraId="07F76D5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A2A9A91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r w:rsidRPr="00623095">
        <w:rPr>
          <w:rFonts w:ascii="Times New Roman" w:eastAsia="TimesNewRoman" w:hAnsi="Times New Roman" w:cs="Times New Roman"/>
          <w:color w:val="000000"/>
          <w:u w:val="single"/>
        </w:rPr>
        <w:t>Gyermekek és serdülők (18 éves kor alatt)</w:t>
      </w:r>
    </w:p>
    <w:p w14:paraId="0F787F1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Gyermekekre és serdülőkre vonatkozó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adatok nem állnak rendelkezésre.</w:t>
      </w:r>
    </w:p>
    <w:p w14:paraId="1CB0B46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206AB5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Nem</w:t>
      </w:r>
    </w:p>
    <w:p w14:paraId="14E7F81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Különbséget figyeltek meg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plazmakoncentrációiban,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</w:t>
      </w:r>
      <w:r w:rsidRPr="00623095">
        <w:rPr>
          <w:rFonts w:ascii="Times New Roman" w:eastAsia="TimesNewRoman" w:hAnsi="Times New Roman" w:cs="Times New Roman"/>
          <w:color w:val="000000"/>
          <w:vertAlign w:val="subscript"/>
        </w:rPr>
        <w:t>max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körülbelül 3-szor, az AUC pedig 2-szer nagyobb nőknél, mint férfiaknál.</w:t>
      </w:r>
    </w:p>
    <w:p w14:paraId="2225F2E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4E58D7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Idősek</w:t>
      </w:r>
    </w:p>
    <w:p w14:paraId="15711BD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jellemzői nem különböznek a fiatalabb és az idősebb betegeknél.</w:t>
      </w:r>
    </w:p>
    <w:p w14:paraId="2F4612D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plazma-csúcskoncentrációinak kialakulásához szükséges idő ugyanolyan hosszú az idős, mint a fiatalabb betegeknél. Időseknél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amlodipin-clearance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általában csökken, ami a plazmakoncentráció-idő görbe alatti terület (AUC) és a terminális eliminációs felezési idő növekedését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>eredményezi.</w:t>
      </w:r>
    </w:p>
    <w:p w14:paraId="2E4DDF7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C82500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Vesekárosodás</w:t>
      </w:r>
    </w:p>
    <w:p w14:paraId="2E46575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Enyhe, közepesen súlyos és súlyos vesekárosodásban szenvedő betegeknél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plazmakoncentrációjának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megduplázódását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figyelték meg. Azonban a veseelégtelenségben szenvedő,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hemodializált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betegeknél alacsonyabb plazmaszinteket mértek.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veseelégtelenségben szenvedő betegeknél is nagymértékben kötődik a plazmafehérjékhez, ezért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hemodialízissel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távolítható el a keringésből.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eliminációs felezési ideje nem változik vesekárosodás esetén.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farmakokinetikáját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befolyásolja jelentős mértékben a vesekárosodás.</w:t>
      </w:r>
    </w:p>
    <w:p w14:paraId="5B929E2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2CABC7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Májkárosodás</w:t>
      </w:r>
    </w:p>
    <w:p w14:paraId="56AD5A8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Májkárosodásban szenvedő betegeknél végzett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farmakokinetikai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vizsgálatok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abszolút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biohasznosulásának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közel 100%-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ig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történő növekedését mutatták.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eliminációs felezési ideje nem változik májkárosodásban. Májelégtelenségben szenvedő betegeknél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clearance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-e csökken, ami az AUC körülbelül 40-60%-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emelkedését eredményezi.</w:t>
      </w:r>
    </w:p>
    <w:p w14:paraId="5376CE73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FDAF0B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5.3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ab/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b/>
          <w:bCs/>
          <w:color w:val="000000"/>
        </w:rPr>
        <w:t>preklinikai</w:t>
      </w:r>
      <w:proofErr w:type="spellEnd"/>
      <w:r w:rsidRPr="00623095">
        <w:rPr>
          <w:rFonts w:ascii="Times New Roman" w:eastAsia="TimesNewRoman" w:hAnsi="Times New Roman" w:cs="Times New Roman"/>
          <w:b/>
          <w:bCs/>
          <w:color w:val="000000"/>
        </w:rPr>
        <w:t xml:space="preserve"> biztonságossági vizsgálatok eredményei</w:t>
      </w:r>
    </w:p>
    <w:p w14:paraId="5D51554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441527F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Mivel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az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nem klinikai toxicitási profilja nem fedi egymást, a kombináció esetén nem kell a toxicitás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exacerbációjára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számítani. Ezt megerősítették egy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szubkrónikus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(13 hetes), patkányokkal végzett toxikológiai vizsgálatban, amelyben 3,2/0,8, 10/2,5 és 40/10 mg/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ttkg-os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dózisokat vizsgáltak.</w:t>
      </w:r>
    </w:p>
    <w:p w14:paraId="2906937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C5471C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fix dózisú kombináció összetevőire vonatkozó, rendelkezésre álló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preklinikai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adatok az alábbiakban találhatók:</w:t>
      </w:r>
    </w:p>
    <w:p w14:paraId="4E9DE3E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A3D755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Telmizartán</w:t>
      </w:r>
      <w:proofErr w:type="spellEnd"/>
    </w:p>
    <w:p w14:paraId="42CAF1E1" w14:textId="0AA3F648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preklinikai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biztonságossági vizsgálatokban a klinikai alkalmazásra javasolt terápiás tartománynak megfelelő expozíciót okozó dózisok a vörösvértest-jellemzők (vörösvértestszám, hemoglobinszint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hematokritérték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 csökkenését, a vese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hemodinamikai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paramétereinek változásait (emelkedett karbamid-nitrogén-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kreatininszint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), valamint a szérum káliumszintjének emelkedését észlelték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normotensiós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állatokban. Kutyában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vesetubulusok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kitágulását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atrophiáját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figyelték meg. A gyomornyálkahártya károsodását (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erosiók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, fekélyképződés vagy gyulladás) kutyában és patkányban is megfigyelték. Ezeknek az ACE-gátlókkal illetve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105FFD">
        <w:rPr>
          <w:rFonts w:ascii="Times New Roman" w:eastAsia="TimesNewRoman" w:hAnsi="Times New Roman" w:cs="Times New Roman"/>
          <w:color w:val="000000"/>
        </w:rPr>
        <w:t>blokkoló</w:t>
      </w:r>
      <w:r w:rsidR="00C47BD8">
        <w:rPr>
          <w:rFonts w:ascii="Times New Roman" w:eastAsia="TimesNewRoman" w:hAnsi="Times New Roman" w:cs="Times New Roman"/>
          <w:color w:val="000000"/>
        </w:rPr>
        <w:t>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kal végzett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preklinikai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vizsgálatokból már ismert, gyógyszerfüggő mellékhatásoknak a kialakulása sóoldat </w:t>
      </w:r>
      <w:r w:rsidRPr="00623095">
        <w:rPr>
          <w:rFonts w:ascii="Times New Roman" w:eastAsia="TimesNewRoman" w:hAnsi="Times New Roman" w:cs="Times New Roman"/>
          <w:i/>
          <w:color w:val="000000"/>
        </w:rPr>
        <w:t xml:space="preserve">per </w:t>
      </w:r>
      <w:proofErr w:type="spellStart"/>
      <w:r w:rsidRPr="00623095">
        <w:rPr>
          <w:rFonts w:ascii="Times New Roman" w:eastAsia="TimesNewRoman" w:hAnsi="Times New Roman" w:cs="Times New Roman"/>
          <w:i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adásával megelőzhető volt. Mindkét fajban a plazma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reninaktivitás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fokozódását, továbbá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juxtaglomerularis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sejtek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hypertrophiáját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és/vagy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hyperplasiáját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észlelték. Ezek úgyszintén az ACE-gátlók és más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angiotenzin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II-receptor</w:t>
      </w:r>
      <w:r w:rsidR="006A7C22">
        <w:rPr>
          <w:rFonts w:ascii="Times New Roman" w:eastAsia="TimesNewRoman" w:hAnsi="Times New Roman" w:cs="Times New Roman"/>
          <w:color w:val="000000"/>
        </w:rPr>
        <w:t>-</w:t>
      </w:r>
      <w:r w:rsidR="00C47BD8">
        <w:rPr>
          <w:rFonts w:ascii="Times New Roman" w:eastAsia="TimesNewRoman" w:hAnsi="Times New Roman" w:cs="Times New Roman"/>
          <w:color w:val="000000"/>
        </w:rPr>
        <w:t>blokkolók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gyógyszercsaládjára jellemző hatásoknak tekinthetők, klinikai szempontból azonban valószínűleg nincs jelentőségük.</w:t>
      </w:r>
    </w:p>
    <w:p w14:paraId="7EAE20D2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Teratogén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hatása egyértelműen nem bizonyított, azonban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telmizartán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toxikus dózistartományában megfigyeltek az utódok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postnatalis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fejlődésére kifejtett olyan hatást, mint pl. alacsonyabb testsúly és késleltetett szemnyitás.</w:t>
      </w:r>
    </w:p>
    <w:p w14:paraId="792E218E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Az </w:t>
      </w:r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in vitro 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vizsgálatokban nem igazoltak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mutagenitást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és jelentős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clastogén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aktivitást és patkánynál és egérnél nem volt kimutatható 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karcinogenitás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79CA3BC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E64DAA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  <w:u w:val="single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  <w:u w:val="single"/>
        </w:rPr>
        <w:t>Amlodipin</w:t>
      </w:r>
      <w:proofErr w:type="spellEnd"/>
    </w:p>
    <w:p w14:paraId="5E24EE8A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Reproduktív toxicitás</w:t>
      </w:r>
    </w:p>
    <w:p w14:paraId="49E014F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Patkányokkal és egerekkel végzett reprodukciós vizsgálatok az ellés időpontjának későbbre tolódását, a vajúdás időtartamának megnyúlását és az utódok alacsonyabb túlélését mutatták, az ember számára maximálisan javasolt dózis 50-szeresét alkalmazva, mg/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ttkg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alapján.</w:t>
      </w:r>
    </w:p>
    <w:p w14:paraId="3491836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D6BC6D0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r w:rsidRPr="00623095">
        <w:rPr>
          <w:rFonts w:ascii="Times New Roman" w:eastAsia="TimesNewRoman" w:hAnsi="Times New Roman" w:cs="Times New Roman"/>
          <w:i/>
          <w:iCs/>
          <w:color w:val="000000"/>
        </w:rPr>
        <w:t>A termékenység károsodása</w:t>
      </w:r>
    </w:p>
    <w:p w14:paraId="3AB6E7B7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fertilitásra kifejtett hatásokat nem észleltek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oralis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amlodipin-maleáttal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kezelt patkányoknál (hímeket 64 napig, nőstényeket 14 napig kezelték a párzás előtt) 10 mg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ttkg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/nap dózisig (ez körülbelül 8-szorosa* a maximális javasolt 10 mg/nap humán dózisnak mg/m</w:t>
      </w:r>
      <w:r w:rsidRPr="00623095">
        <w:rPr>
          <w:rFonts w:ascii="Times New Roman" w:hAnsi="Times New Roman"/>
          <w:color w:val="000000"/>
          <w:vertAlign w:val="superscript"/>
        </w:rPr>
        <w:t>2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alapon).</w:t>
      </w:r>
    </w:p>
    <w:p w14:paraId="15E41C44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Egy további patkányokon végzett vizsgálat során, melyben hím patkányokat kezeltek 30 napon keresztül mg/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ttkg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alapján az embernél alkalmazott dózisokhoz hasonló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amlodipin-bezilát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dózisokkal, </w:t>
      </w:r>
      <w:r w:rsidRPr="00623095">
        <w:rPr>
          <w:rFonts w:ascii="Times New Roman" w:eastAsia="TimesNewRoman" w:hAnsi="Times New Roman" w:cs="Times New Roman"/>
          <w:color w:val="000000"/>
        </w:rPr>
        <w:lastRenderedPageBreak/>
        <w:t xml:space="preserve">csökkent tüszőérés-serkentő hormont (FSH) és tesztoszteronszintet észleltek. Továbbá csökkent a sperma sűrűsége és az érett spermiumok és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Sertoli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-sejtek száma.</w:t>
      </w:r>
    </w:p>
    <w:p w14:paraId="6B1D2CCD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94C94F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i/>
          <w:iCs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Karcinogenitás</w:t>
      </w:r>
      <w:proofErr w:type="spellEnd"/>
      <w:r w:rsidRPr="00623095">
        <w:rPr>
          <w:rFonts w:ascii="Times New Roman" w:eastAsia="TimesNewRoman" w:hAnsi="Times New Roman" w:cs="Times New Roman"/>
          <w:i/>
          <w:iCs/>
          <w:color w:val="000000"/>
        </w:rPr>
        <w:t xml:space="preserve">, </w:t>
      </w:r>
      <w:proofErr w:type="spellStart"/>
      <w:r w:rsidRPr="00623095">
        <w:rPr>
          <w:rFonts w:ascii="Times New Roman" w:eastAsia="TimesNewRoman" w:hAnsi="Times New Roman" w:cs="Times New Roman"/>
          <w:i/>
          <w:iCs/>
          <w:color w:val="000000"/>
        </w:rPr>
        <w:t>mutagenitás</w:t>
      </w:r>
      <w:proofErr w:type="spellEnd"/>
    </w:p>
    <w:p w14:paraId="69FC3939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Patkányok és egerek 2 éves, táplálékhoz adott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amlodipin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-kezelése 0,5, 1,25 és 2,5 mg/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ttkg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/nap dózisszintet biztosító koncentrációnál nem mutatott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karcinogenitást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 A legnagyobb dózis (egereknél a maximális klinikai dózisszintnek megfelelő dózis, patkányoknál a kétszerese a javasolt 10 mg-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os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maximális klinikai dózisszintnek, mg/m</w:t>
      </w:r>
      <w:r w:rsidRPr="00623095">
        <w:rPr>
          <w:rFonts w:ascii="Times New Roman" w:hAnsi="Times New Roman"/>
          <w:color w:val="000000"/>
          <w:vertAlign w:val="superscript"/>
        </w:rPr>
        <w:t>2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alapon) az egereknél megközelítette a maximális tolerálható dózist, azonban a patkányoknál nem.</w:t>
      </w:r>
    </w:p>
    <w:p w14:paraId="0C2C29F5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mutagenitás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-vizsgálatok nem mutattak a gyógyszerrel összefüggésbe hozható hatásokat sem a gének, sem a kromoszómák szintjén.</w:t>
      </w:r>
    </w:p>
    <w:p w14:paraId="15526536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5018DDB" w14:textId="77777777" w:rsidR="007F4408" w:rsidRPr="00623095" w:rsidRDefault="007F4408" w:rsidP="007F44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*50 kg-os beteg testtömeget véve alapul.</w:t>
      </w:r>
    </w:p>
    <w:p w14:paraId="77ABB7BD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1B4BBCF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D95A846" w14:textId="77777777" w:rsidR="009D55F5" w:rsidRPr="00623095" w:rsidRDefault="009D55F5" w:rsidP="006360F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</w:t>
      </w:r>
      <w:r w:rsidR="00F1476F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GYÓGYSZERÉSZETI JELLEMZŐK</w:t>
      </w:r>
    </w:p>
    <w:p w14:paraId="5165687C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A663BD5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6.1</w:t>
      </w:r>
      <w:r w:rsidR="00F1476F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Segédanyagok felsorolása</w:t>
      </w:r>
    </w:p>
    <w:p w14:paraId="7F122B99" w14:textId="77777777" w:rsidR="00B9230A" w:rsidRPr="00623095" w:rsidRDefault="00B9230A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71F88E3" w14:textId="77777777" w:rsidR="00CC3B20" w:rsidRPr="00623095" w:rsidRDefault="00CC3B20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nátrium-hidroxid</w:t>
      </w:r>
      <w:proofErr w:type="gramEnd"/>
    </w:p>
    <w:p w14:paraId="0FD3537F" w14:textId="77777777" w:rsidR="00CC3B20" w:rsidRPr="00623095" w:rsidRDefault="00CC3B20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meglumin</w:t>
      </w:r>
      <w:proofErr w:type="spellEnd"/>
    </w:p>
    <w:p w14:paraId="3936D952" w14:textId="77777777" w:rsidR="00CC3B20" w:rsidRPr="00623095" w:rsidRDefault="00CC3B20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povidon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 xml:space="preserve"> K25</w:t>
      </w:r>
    </w:p>
    <w:p w14:paraId="083C02BF" w14:textId="77777777" w:rsidR="00A20D87" w:rsidRPr="00623095" w:rsidRDefault="00FE6EEA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vörös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A20D87" w:rsidRPr="00623095">
        <w:rPr>
          <w:rFonts w:ascii="Times New Roman" w:eastAsia="TimesNewRoman" w:hAnsi="Times New Roman" w:cs="Times New Roman"/>
          <w:color w:val="000000"/>
        </w:rPr>
        <w:t>vas-oxid (E172)</w:t>
      </w:r>
    </w:p>
    <w:p w14:paraId="014218B5" w14:textId="77777777" w:rsidR="00944CFD" w:rsidRPr="00623095" w:rsidRDefault="00944CFD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mannit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(E421)</w:t>
      </w:r>
    </w:p>
    <w:p w14:paraId="5FBA7786" w14:textId="77777777" w:rsidR="00A20D87" w:rsidRPr="00623095" w:rsidRDefault="00A20D87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mikrokristályos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cellulóz</w:t>
      </w:r>
    </w:p>
    <w:p w14:paraId="0F882A1F" w14:textId="77777777" w:rsidR="00CA6419" w:rsidRPr="00623095" w:rsidRDefault="008908D6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krosz</w:t>
      </w:r>
      <w:r w:rsidR="00CA6419" w:rsidRPr="00623095">
        <w:rPr>
          <w:rFonts w:ascii="Times New Roman" w:eastAsia="TimesNewRoman" w:hAnsi="Times New Roman" w:cs="Times New Roman"/>
          <w:color w:val="000000"/>
        </w:rPr>
        <w:t>povidon</w:t>
      </w:r>
      <w:proofErr w:type="spellEnd"/>
    </w:p>
    <w:p w14:paraId="75C4AF6A" w14:textId="77777777" w:rsidR="00726CB6" w:rsidRPr="00623095" w:rsidRDefault="00726CB6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magnézium-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sztearát</w:t>
      </w:r>
      <w:proofErr w:type="spellEnd"/>
    </w:p>
    <w:p w14:paraId="158A72A4" w14:textId="77777777" w:rsidR="00944CFD" w:rsidRPr="00623095" w:rsidRDefault="00944CFD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hidegen</w:t>
      </w:r>
      <w:proofErr w:type="gramEnd"/>
      <w:r w:rsidRPr="00623095">
        <w:rPr>
          <w:rFonts w:ascii="Times New Roman" w:eastAsia="TimesNewRoman" w:hAnsi="Times New Roman" w:cs="Times New Roman"/>
          <w:color w:val="000000"/>
        </w:rPr>
        <w:t xml:space="preserve"> duzzadó keményítő</w:t>
      </w:r>
    </w:p>
    <w:p w14:paraId="7B5CBE3D" w14:textId="77777777" w:rsidR="00944CFD" w:rsidRPr="00623095" w:rsidRDefault="00944CFD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kukoricakeményítő</w:t>
      </w:r>
      <w:proofErr w:type="gramEnd"/>
    </w:p>
    <w:p w14:paraId="2FFB20FF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proofErr w:type="gramStart"/>
      <w:r w:rsidRPr="00623095">
        <w:rPr>
          <w:rFonts w:ascii="Times New Roman" w:eastAsia="TimesNewRoman" w:hAnsi="Times New Roman" w:cs="Times New Roman"/>
          <w:color w:val="000000"/>
        </w:rPr>
        <w:t>vízmentes</w:t>
      </w:r>
      <w:proofErr w:type="gramEnd"/>
      <w:r w:rsidR="00FE6EEA" w:rsidRPr="00623095">
        <w:rPr>
          <w:rFonts w:ascii="Times New Roman" w:eastAsia="TimesNewRoman" w:hAnsi="Times New Roman" w:cs="Times New Roman"/>
          <w:color w:val="000000"/>
        </w:rPr>
        <w:t>,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kolloid szilícium-dioxid</w:t>
      </w:r>
    </w:p>
    <w:p w14:paraId="502DB3C6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456844E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6.2</w:t>
      </w:r>
      <w:r w:rsidR="00F1476F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Inkompatibilitások</w:t>
      </w:r>
    </w:p>
    <w:p w14:paraId="061E61DB" w14:textId="77777777" w:rsidR="00923814" w:rsidRPr="00623095" w:rsidRDefault="00923814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69CC6E7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Nem értelmezhető.</w:t>
      </w:r>
    </w:p>
    <w:p w14:paraId="57877C89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3C16DD6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6.3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Felhasználhatósági időtartam</w:t>
      </w:r>
    </w:p>
    <w:p w14:paraId="2E9F6AF5" w14:textId="77777777" w:rsidR="00923814" w:rsidRPr="00623095" w:rsidRDefault="00923814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4D70608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3 év</w:t>
      </w:r>
    </w:p>
    <w:p w14:paraId="380F3042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9BB152A" w14:textId="77777777" w:rsidR="009D55F5" w:rsidRPr="00623095" w:rsidRDefault="009D55F5" w:rsidP="006360F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6.4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Különleges tárolási előírások</w:t>
      </w:r>
    </w:p>
    <w:p w14:paraId="5927C725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60FBCF1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A fénytől való védelem érdekében az eredeti csomagolásban tárolandó.</w:t>
      </w:r>
    </w:p>
    <w:p w14:paraId="04D055FA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77F04ED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6.5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Csomagolás típusa és kiszerelése</w:t>
      </w:r>
    </w:p>
    <w:p w14:paraId="6EECDF45" w14:textId="77777777" w:rsidR="00F73C1B" w:rsidRPr="00623095" w:rsidRDefault="00F73C1B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03E5ED8" w14:textId="57D3A540" w:rsidR="009D55F5" w:rsidRPr="00623095" w:rsidRDefault="00682F14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OPA/</w:t>
      </w:r>
      <w:r w:rsidR="009D55F5" w:rsidRPr="00623095">
        <w:rPr>
          <w:rFonts w:ascii="Times New Roman" w:eastAsia="TimesNewRoman" w:hAnsi="Times New Roman" w:cs="Times New Roman"/>
          <w:color w:val="000000"/>
        </w:rPr>
        <w:t>alumínium</w:t>
      </w:r>
      <w:r w:rsidRPr="00623095">
        <w:rPr>
          <w:rFonts w:ascii="Times New Roman" w:eastAsia="TimesNewRoman" w:hAnsi="Times New Roman" w:cs="Times New Roman"/>
          <w:color w:val="000000"/>
        </w:rPr>
        <w:t>/PVC</w:t>
      </w:r>
      <w:r w:rsidR="00FE6EEA" w:rsidRPr="00623095">
        <w:rPr>
          <w:rFonts w:ascii="Times New Roman" w:eastAsia="TimesNewRoman" w:hAnsi="Times New Roman" w:cs="Times New Roman"/>
          <w:color w:val="000000"/>
        </w:rPr>
        <w:t xml:space="preserve">//alumínium </w:t>
      </w:r>
      <w:r w:rsidR="009D55F5" w:rsidRPr="00623095">
        <w:rPr>
          <w:rFonts w:ascii="Times New Roman" w:eastAsia="TimesNewRoman" w:hAnsi="Times New Roman" w:cs="Times New Roman"/>
          <w:color w:val="000000"/>
        </w:rPr>
        <w:t>buborékcsomagolás</w:t>
      </w:r>
      <w:r w:rsidR="00FE6EEA" w:rsidRPr="00623095">
        <w:rPr>
          <w:rFonts w:ascii="Times New Roman" w:eastAsia="TimesNewRoman" w:hAnsi="Times New Roman" w:cs="Times New Roman"/>
          <w:color w:val="000000"/>
        </w:rPr>
        <w:t>ban és</w:t>
      </w:r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dobozban</w:t>
      </w:r>
      <w:r w:rsidR="00FE6EEA" w:rsidRPr="00623095">
        <w:rPr>
          <w:rFonts w:ascii="Times New Roman" w:eastAsia="TimesNewRoman" w:hAnsi="Times New Roman" w:cs="Times New Roman"/>
          <w:color w:val="000000"/>
        </w:rPr>
        <w:t>.</w:t>
      </w:r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="008B5B71" w:rsidRPr="00623095">
        <w:rPr>
          <w:rFonts w:ascii="Times New Roman" w:eastAsia="TimesNewRoman" w:hAnsi="Times New Roman" w:cs="Times New Roman"/>
          <w:color w:val="000000"/>
        </w:rPr>
        <w:t>30</w:t>
      </w:r>
      <w:r w:rsidR="009D55F5" w:rsidRPr="00623095">
        <w:rPr>
          <w:rFonts w:ascii="Times New Roman" w:eastAsia="TimesNewRoman" w:hAnsi="Times New Roman" w:cs="Times New Roman"/>
          <w:color w:val="000000"/>
        </w:rPr>
        <w:t xml:space="preserve"> tabletta</w:t>
      </w:r>
      <w:r w:rsidR="006A7C22">
        <w:rPr>
          <w:rFonts w:ascii="Times New Roman" w:eastAsia="TimesNewRoman" w:hAnsi="Times New Roman" w:cs="Times New Roman"/>
          <w:color w:val="000000"/>
        </w:rPr>
        <w:t xml:space="preserve"> </w:t>
      </w:r>
      <w:r w:rsidR="00FE6EEA" w:rsidRPr="00623095">
        <w:rPr>
          <w:rFonts w:ascii="Times New Roman" w:eastAsia="TimesNewRoman" w:hAnsi="Times New Roman" w:cs="Times New Roman"/>
          <w:color w:val="000000"/>
        </w:rPr>
        <w:t>dobozonként.</w:t>
      </w:r>
    </w:p>
    <w:p w14:paraId="43C932D9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18B09962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6.</w:t>
      </w:r>
      <w:r w:rsidR="00022A07" w:rsidRPr="00623095">
        <w:rPr>
          <w:rFonts w:ascii="Times New Roman" w:eastAsia="TimesNewRoman" w:hAnsi="Times New Roman" w:cs="Times New Roman"/>
          <w:b/>
          <w:bCs/>
          <w:color w:val="000000"/>
        </w:rPr>
        <w:t>6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A megsemmisítésre vonatkozó különleges óvintézkedések</w:t>
      </w:r>
      <w:r w:rsidR="00FE6EEA" w:rsidRPr="00623095">
        <w:rPr>
          <w:rFonts w:ascii="Times New Roman" w:eastAsia="TimesNewRoman" w:hAnsi="Times New Roman" w:cs="Times New Roman"/>
          <w:b/>
          <w:bCs/>
          <w:color w:val="000000"/>
        </w:rPr>
        <w:t xml:space="preserve"> és egyéb, a készítmény kezelésével kapcsolatos információk</w:t>
      </w:r>
    </w:p>
    <w:p w14:paraId="49F90351" w14:textId="77777777" w:rsidR="00F73C1B" w:rsidRPr="00623095" w:rsidRDefault="00F73C1B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1011589" w14:textId="77777777" w:rsidR="009D55F5" w:rsidRPr="00623095" w:rsidRDefault="00022A07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hAnsi="Times New Roman" w:cs="Times New Roman"/>
        </w:rPr>
        <w:t>Bármilyen fel nem használt gyógyszer, illetve hulladékanyag megsemmisítését a gyógyszerekre vonatkozó előírások szerint kell végrehajtani.</w:t>
      </w:r>
    </w:p>
    <w:p w14:paraId="51A4242D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10CB27C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Megjegyzés: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</w:t>
      </w:r>
      <w:r w:rsidRPr="00623095">
        <w:rPr>
          <w:rFonts w:ascii="Wingdings" w:hAnsi="Wingdings" w:cs="Wingdings"/>
          <w:lang w:eastAsia="hu-HU"/>
        </w:rPr>
        <w:t></w:t>
      </w:r>
      <w:r w:rsidRPr="00623095">
        <w:rPr>
          <w:rFonts w:ascii="Times New Roman" w:eastAsia="TimesNewRoman" w:hAnsi="Times New Roman" w:cs="Times New Roman"/>
          <w:color w:val="000000"/>
        </w:rPr>
        <w:t xml:space="preserve"> (egy keresztes)</w:t>
      </w:r>
    </w:p>
    <w:p w14:paraId="7F27F43E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Osztályozás: </w:t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II. csoport</w:t>
      </w:r>
    </w:p>
    <w:p w14:paraId="3AD1ED61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Kizárólag orvosi rendelvényhez kötött gyógyszer (V)</w:t>
      </w:r>
      <w:r w:rsidR="004C71CF"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228C69A6" w14:textId="77777777" w:rsidR="00022A07" w:rsidRPr="00623095" w:rsidRDefault="00022A07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FBDBCC0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CFEFB7A" w14:textId="77777777" w:rsidR="009D55F5" w:rsidRPr="00623095" w:rsidRDefault="009D55F5" w:rsidP="006360F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7.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A FORGALOMBA HOZATALI ENGEDÉLY JOGOSULTJA</w:t>
      </w:r>
    </w:p>
    <w:p w14:paraId="4D02362F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8E5921F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Richter Gedeon </w:t>
      </w:r>
      <w:proofErr w:type="spellStart"/>
      <w:r w:rsidRPr="00623095">
        <w:rPr>
          <w:rFonts w:ascii="Times New Roman" w:eastAsia="TimesNewRoman" w:hAnsi="Times New Roman" w:cs="Times New Roman"/>
          <w:color w:val="000000"/>
        </w:rPr>
        <w:t>Nyrt</w:t>
      </w:r>
      <w:proofErr w:type="spellEnd"/>
      <w:r w:rsidRPr="00623095">
        <w:rPr>
          <w:rFonts w:ascii="Times New Roman" w:eastAsia="TimesNewRoman" w:hAnsi="Times New Roman" w:cs="Times New Roman"/>
          <w:color w:val="000000"/>
        </w:rPr>
        <w:t>.</w:t>
      </w:r>
    </w:p>
    <w:p w14:paraId="4A23A26D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H-1103 Budapest</w:t>
      </w:r>
    </w:p>
    <w:p w14:paraId="541B1067" w14:textId="77777777" w:rsidR="00022A07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Gyömrői út 19-21.</w:t>
      </w:r>
    </w:p>
    <w:p w14:paraId="2D513355" w14:textId="77777777" w:rsidR="00C049E1" w:rsidRPr="00623095" w:rsidRDefault="00022A07" w:rsidP="00022A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>Magyarország</w:t>
      </w:r>
    </w:p>
    <w:p w14:paraId="1F2B1DA5" w14:textId="266E7AB6" w:rsidR="00C049E1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77666045" w14:textId="77777777" w:rsidR="00110ED0" w:rsidRPr="00623095" w:rsidRDefault="00110ED0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541D0DA5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8.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 xml:space="preserve">A FORGALOMBA HOZATALI ENGEDÉLY </w:t>
      </w:r>
      <w:proofErr w:type="gramStart"/>
      <w:r w:rsidRPr="00623095">
        <w:rPr>
          <w:rFonts w:ascii="Times New Roman" w:eastAsia="TimesNewRoman" w:hAnsi="Times New Roman" w:cs="Times New Roman"/>
          <w:b/>
          <w:bCs/>
          <w:color w:val="000000"/>
        </w:rPr>
        <w:t>SZÁMA(</w:t>
      </w:r>
      <w:proofErr w:type="gramEnd"/>
      <w:r w:rsidRPr="00623095">
        <w:rPr>
          <w:rFonts w:ascii="Times New Roman" w:eastAsia="TimesNewRoman" w:hAnsi="Times New Roman" w:cs="Times New Roman"/>
          <w:b/>
          <w:bCs/>
          <w:color w:val="000000"/>
        </w:rPr>
        <w:t>I)</w:t>
      </w:r>
    </w:p>
    <w:p w14:paraId="79A15073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3C983FFE" w14:textId="77777777" w:rsidR="000B6BD1" w:rsidRDefault="000B6BD1" w:rsidP="000B6BD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OGYI-T-23907/02     30×</w:t>
      </w:r>
    </w:p>
    <w:p w14:paraId="37DBC2A0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04C63551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42F818F3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9.</w:t>
      </w:r>
      <w:r w:rsidR="00610BF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A FORGALOMBA HOZATALI ENGEDÉLY ELSŐ KIADÁSÁNAK/</w:t>
      </w:r>
    </w:p>
    <w:p w14:paraId="42E208C8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MEGÚJÍTÁSÁNAK DÁTUMA</w:t>
      </w:r>
    </w:p>
    <w:p w14:paraId="7477A6B6" w14:textId="77777777" w:rsidR="00022A07" w:rsidRPr="00051536" w:rsidRDefault="00022A07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2D438DF4" w14:textId="77777777" w:rsidR="009D55F5" w:rsidRPr="00623095" w:rsidRDefault="009D55F5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  <w:r w:rsidRPr="00623095">
        <w:rPr>
          <w:rFonts w:ascii="Times New Roman" w:eastAsia="TimesNewRoman" w:hAnsi="Times New Roman" w:cs="Times New Roman"/>
          <w:color w:val="000000"/>
        </w:rPr>
        <w:t xml:space="preserve">A forgalomba hozatali engedély első kiadásának dátuma: </w:t>
      </w:r>
      <w:r w:rsidR="000B6BD1">
        <w:rPr>
          <w:rFonts w:ascii="Times New Roman" w:eastAsia="TimesNewRoman" w:hAnsi="Times New Roman" w:cs="Times New Roman"/>
          <w:color w:val="000000"/>
        </w:rPr>
        <w:t>2021. július 1.</w:t>
      </w:r>
    </w:p>
    <w:p w14:paraId="13A98A9B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A37224A" w14:textId="77777777" w:rsidR="00C049E1" w:rsidRPr="00623095" w:rsidRDefault="00C049E1" w:rsidP="006360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color w:val="000000"/>
        </w:rPr>
      </w:pPr>
    </w:p>
    <w:p w14:paraId="602B63BF" w14:textId="77777777" w:rsidR="009D55F5" w:rsidRPr="006360FE" w:rsidRDefault="009D55F5" w:rsidP="006360F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color w:val="000000"/>
        </w:rPr>
      </w:pPr>
      <w:r w:rsidRPr="00623095">
        <w:rPr>
          <w:rFonts w:ascii="Times New Roman" w:eastAsia="TimesNewRoman" w:hAnsi="Times New Roman" w:cs="Times New Roman"/>
          <w:b/>
          <w:bCs/>
          <w:color w:val="000000"/>
        </w:rPr>
        <w:t>10.</w:t>
      </w:r>
      <w:r w:rsidR="00C55C09" w:rsidRPr="00623095">
        <w:rPr>
          <w:rFonts w:ascii="Times New Roman" w:eastAsia="TimesNewRoman" w:hAnsi="Times New Roman" w:cs="Times New Roman"/>
          <w:b/>
          <w:bCs/>
          <w:color w:val="000000"/>
        </w:rPr>
        <w:tab/>
      </w:r>
      <w:r w:rsidRPr="00623095">
        <w:rPr>
          <w:rFonts w:ascii="Times New Roman" w:eastAsia="TimesNewRoman" w:hAnsi="Times New Roman" w:cs="Times New Roman"/>
          <w:b/>
          <w:bCs/>
          <w:color w:val="000000"/>
        </w:rPr>
        <w:t>A SZÖVEG ELLENŐRZÉSÉNEK DÁTUMA</w:t>
      </w:r>
    </w:p>
    <w:p w14:paraId="7B9E81AE" w14:textId="77777777" w:rsidR="00A637C2" w:rsidRDefault="00A637C2" w:rsidP="006360FE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0AE1F49D" w14:textId="0F711ABC" w:rsidR="000B6BD1" w:rsidRPr="006360FE" w:rsidRDefault="001B418D" w:rsidP="006360FE">
      <w:pPr>
        <w:widowControl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2026. október 17.</w:t>
      </w:r>
    </w:p>
    <w:sectPr w:rsidR="000B6BD1" w:rsidRPr="006360FE" w:rsidSect="00051536">
      <w:headerReference w:type="default" r:id="rId11"/>
      <w:footerReference w:type="first" r:id="rId12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CF278" w14:textId="77777777" w:rsidR="00703B43" w:rsidRDefault="00703B43" w:rsidP="00BF7EE7">
      <w:pPr>
        <w:spacing w:after="0" w:line="240" w:lineRule="auto"/>
      </w:pPr>
      <w:r>
        <w:separator/>
      </w:r>
    </w:p>
  </w:endnote>
  <w:endnote w:type="continuationSeparator" w:id="0">
    <w:p w14:paraId="23A824C3" w14:textId="77777777" w:rsidR="00703B43" w:rsidRDefault="00703B43" w:rsidP="00BF7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894D5" w14:textId="011B5320" w:rsidR="00677EC4" w:rsidRPr="00623095" w:rsidRDefault="001B418D">
    <w:pPr>
      <w:pStyle w:val="llb"/>
      <w:rPr>
        <w:rFonts w:ascii="Times New Roman" w:hAnsi="Times New Roman" w:cs="Times New Roman"/>
        <w:sz w:val="18"/>
        <w:szCs w:val="18"/>
      </w:rPr>
    </w:pPr>
    <w:r w:rsidRPr="001B418D">
      <w:rPr>
        <w:rFonts w:ascii="Times New Roman" w:hAnsi="Times New Roman" w:cs="Times New Roman"/>
        <w:sz w:val="18"/>
        <w:szCs w:val="18"/>
      </w:rPr>
      <w:t>NNGYK/ETGY/22113/2026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CCA67" w14:textId="77777777" w:rsidR="00703B43" w:rsidRDefault="00703B43" w:rsidP="00BF7EE7">
      <w:pPr>
        <w:spacing w:after="0" w:line="240" w:lineRule="auto"/>
      </w:pPr>
      <w:r>
        <w:separator/>
      </w:r>
    </w:p>
  </w:footnote>
  <w:footnote w:type="continuationSeparator" w:id="0">
    <w:p w14:paraId="502BB58E" w14:textId="77777777" w:rsidR="00703B43" w:rsidRDefault="00703B43" w:rsidP="00BF7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AC936" w14:textId="532B2A7A" w:rsidR="00677EC4" w:rsidRPr="00623095" w:rsidRDefault="00677EC4" w:rsidP="00623095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623095">
      <w:rPr>
        <w:rFonts w:ascii="Times New Roman" w:hAnsi="Times New Roman" w:cs="Times New Roman"/>
        <w:sz w:val="18"/>
        <w:szCs w:val="18"/>
      </w:rPr>
      <w:fldChar w:fldCharType="begin"/>
    </w:r>
    <w:r w:rsidRPr="00623095">
      <w:rPr>
        <w:rFonts w:ascii="Times New Roman" w:hAnsi="Times New Roman" w:cs="Times New Roman"/>
        <w:sz w:val="18"/>
        <w:szCs w:val="18"/>
      </w:rPr>
      <w:instrText>PAGE   \* MERGEFORMAT</w:instrText>
    </w:r>
    <w:r w:rsidRPr="00623095">
      <w:rPr>
        <w:rFonts w:ascii="Times New Roman" w:hAnsi="Times New Roman" w:cs="Times New Roman"/>
        <w:sz w:val="18"/>
        <w:szCs w:val="18"/>
      </w:rPr>
      <w:fldChar w:fldCharType="separate"/>
    </w:r>
    <w:r w:rsidR="00715FEE">
      <w:rPr>
        <w:rFonts w:ascii="Times New Roman" w:hAnsi="Times New Roman" w:cs="Times New Roman"/>
        <w:noProof/>
        <w:sz w:val="18"/>
        <w:szCs w:val="18"/>
      </w:rPr>
      <w:t>18</w:t>
    </w:r>
    <w:r w:rsidRPr="00623095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94AA3"/>
    <w:multiLevelType w:val="hybridMultilevel"/>
    <w:tmpl w:val="FF1C718C"/>
    <w:lvl w:ilvl="0" w:tplc="C31EFFCC">
      <w:start w:val="4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F5"/>
    <w:rsid w:val="00022A07"/>
    <w:rsid w:val="00035A03"/>
    <w:rsid w:val="000372D0"/>
    <w:rsid w:val="00044943"/>
    <w:rsid w:val="00047008"/>
    <w:rsid w:val="00050756"/>
    <w:rsid w:val="00051536"/>
    <w:rsid w:val="00071BAA"/>
    <w:rsid w:val="000A1CE0"/>
    <w:rsid w:val="000A6B49"/>
    <w:rsid w:val="000B15F2"/>
    <w:rsid w:val="000B6BD1"/>
    <w:rsid w:val="000E575C"/>
    <w:rsid w:val="000F49C4"/>
    <w:rsid w:val="000F6414"/>
    <w:rsid w:val="00105FFD"/>
    <w:rsid w:val="00110ED0"/>
    <w:rsid w:val="00126314"/>
    <w:rsid w:val="00130F13"/>
    <w:rsid w:val="0013103F"/>
    <w:rsid w:val="00142281"/>
    <w:rsid w:val="001426CD"/>
    <w:rsid w:val="00146AA5"/>
    <w:rsid w:val="0015246F"/>
    <w:rsid w:val="0015428F"/>
    <w:rsid w:val="0016736C"/>
    <w:rsid w:val="001678FB"/>
    <w:rsid w:val="00171C2E"/>
    <w:rsid w:val="001740D0"/>
    <w:rsid w:val="00175282"/>
    <w:rsid w:val="00177973"/>
    <w:rsid w:val="00186240"/>
    <w:rsid w:val="00191EBC"/>
    <w:rsid w:val="001A11A1"/>
    <w:rsid w:val="001B418D"/>
    <w:rsid w:val="001B70AC"/>
    <w:rsid w:val="001B7B76"/>
    <w:rsid w:val="001C41CB"/>
    <w:rsid w:val="001D1362"/>
    <w:rsid w:val="001E12A7"/>
    <w:rsid w:val="001F3AC6"/>
    <w:rsid w:val="00203E37"/>
    <w:rsid w:val="00204F23"/>
    <w:rsid w:val="002332F5"/>
    <w:rsid w:val="00244A8C"/>
    <w:rsid w:val="002541B4"/>
    <w:rsid w:val="00255F4C"/>
    <w:rsid w:val="00260248"/>
    <w:rsid w:val="00265FC2"/>
    <w:rsid w:val="0027295A"/>
    <w:rsid w:val="00274B43"/>
    <w:rsid w:val="00276AEB"/>
    <w:rsid w:val="0028038E"/>
    <w:rsid w:val="0028744B"/>
    <w:rsid w:val="002B75F5"/>
    <w:rsid w:val="002B7EA6"/>
    <w:rsid w:val="002C0591"/>
    <w:rsid w:val="002D3C01"/>
    <w:rsid w:val="002D5AA8"/>
    <w:rsid w:val="002D66B3"/>
    <w:rsid w:val="002D6F2F"/>
    <w:rsid w:val="002F25A7"/>
    <w:rsid w:val="00305D1A"/>
    <w:rsid w:val="003104C2"/>
    <w:rsid w:val="0033523E"/>
    <w:rsid w:val="00341CC7"/>
    <w:rsid w:val="00362AEE"/>
    <w:rsid w:val="00366B30"/>
    <w:rsid w:val="00373D20"/>
    <w:rsid w:val="00383343"/>
    <w:rsid w:val="003903C7"/>
    <w:rsid w:val="003B2556"/>
    <w:rsid w:val="003B27EF"/>
    <w:rsid w:val="003B5202"/>
    <w:rsid w:val="003C4D18"/>
    <w:rsid w:val="003E605C"/>
    <w:rsid w:val="003E661E"/>
    <w:rsid w:val="003F1965"/>
    <w:rsid w:val="0040279F"/>
    <w:rsid w:val="00411850"/>
    <w:rsid w:val="004146C7"/>
    <w:rsid w:val="00417FAF"/>
    <w:rsid w:val="00445DE4"/>
    <w:rsid w:val="0044689C"/>
    <w:rsid w:val="00454FA5"/>
    <w:rsid w:val="00456951"/>
    <w:rsid w:val="00464820"/>
    <w:rsid w:val="00467E3B"/>
    <w:rsid w:val="00475B94"/>
    <w:rsid w:val="00475FC2"/>
    <w:rsid w:val="0048533C"/>
    <w:rsid w:val="004A2733"/>
    <w:rsid w:val="004C1445"/>
    <w:rsid w:val="004C31CB"/>
    <w:rsid w:val="004C54AD"/>
    <w:rsid w:val="004C71CF"/>
    <w:rsid w:val="004C7C29"/>
    <w:rsid w:val="004E0D33"/>
    <w:rsid w:val="005001BC"/>
    <w:rsid w:val="0050605D"/>
    <w:rsid w:val="00517E72"/>
    <w:rsid w:val="00520DEA"/>
    <w:rsid w:val="00527E6E"/>
    <w:rsid w:val="00534288"/>
    <w:rsid w:val="00540AF8"/>
    <w:rsid w:val="00562E91"/>
    <w:rsid w:val="00571DF8"/>
    <w:rsid w:val="00576EA9"/>
    <w:rsid w:val="00581623"/>
    <w:rsid w:val="00581D4E"/>
    <w:rsid w:val="0058612C"/>
    <w:rsid w:val="005864A3"/>
    <w:rsid w:val="005906ED"/>
    <w:rsid w:val="00597220"/>
    <w:rsid w:val="005A61DF"/>
    <w:rsid w:val="005B6EFF"/>
    <w:rsid w:val="005C46F0"/>
    <w:rsid w:val="005E1B4B"/>
    <w:rsid w:val="005E31DD"/>
    <w:rsid w:val="005F1DF9"/>
    <w:rsid w:val="005F28B8"/>
    <w:rsid w:val="006019FF"/>
    <w:rsid w:val="0060257C"/>
    <w:rsid w:val="006063AF"/>
    <w:rsid w:val="0060756A"/>
    <w:rsid w:val="00610BF9"/>
    <w:rsid w:val="00612660"/>
    <w:rsid w:val="0062234E"/>
    <w:rsid w:val="00623095"/>
    <w:rsid w:val="006360FE"/>
    <w:rsid w:val="0064010C"/>
    <w:rsid w:val="00641EA6"/>
    <w:rsid w:val="00642D0E"/>
    <w:rsid w:val="0065399F"/>
    <w:rsid w:val="00673A15"/>
    <w:rsid w:val="00677EC4"/>
    <w:rsid w:val="00682F14"/>
    <w:rsid w:val="006A56F3"/>
    <w:rsid w:val="006A7C22"/>
    <w:rsid w:val="006B0A35"/>
    <w:rsid w:val="006C293A"/>
    <w:rsid w:val="006C6F37"/>
    <w:rsid w:val="006E6809"/>
    <w:rsid w:val="006E6FCE"/>
    <w:rsid w:val="006F3485"/>
    <w:rsid w:val="00703B43"/>
    <w:rsid w:val="00713DD5"/>
    <w:rsid w:val="007159B2"/>
    <w:rsid w:val="00715FEE"/>
    <w:rsid w:val="007164D2"/>
    <w:rsid w:val="00722F02"/>
    <w:rsid w:val="007260FF"/>
    <w:rsid w:val="00726CB6"/>
    <w:rsid w:val="00734534"/>
    <w:rsid w:val="007366BC"/>
    <w:rsid w:val="00745430"/>
    <w:rsid w:val="007524CE"/>
    <w:rsid w:val="00752EE6"/>
    <w:rsid w:val="00762B1B"/>
    <w:rsid w:val="00765017"/>
    <w:rsid w:val="00766BB1"/>
    <w:rsid w:val="0077678A"/>
    <w:rsid w:val="007835CA"/>
    <w:rsid w:val="00786F5A"/>
    <w:rsid w:val="00792EF0"/>
    <w:rsid w:val="007A0779"/>
    <w:rsid w:val="007A6F02"/>
    <w:rsid w:val="007C639E"/>
    <w:rsid w:val="007F4408"/>
    <w:rsid w:val="00805A28"/>
    <w:rsid w:val="00806BCD"/>
    <w:rsid w:val="00811A11"/>
    <w:rsid w:val="00815130"/>
    <w:rsid w:val="00821FDC"/>
    <w:rsid w:val="00826ECE"/>
    <w:rsid w:val="008273F0"/>
    <w:rsid w:val="00834EC6"/>
    <w:rsid w:val="00842AE0"/>
    <w:rsid w:val="008455DA"/>
    <w:rsid w:val="0087304D"/>
    <w:rsid w:val="0087660A"/>
    <w:rsid w:val="008908D6"/>
    <w:rsid w:val="008950AB"/>
    <w:rsid w:val="00897181"/>
    <w:rsid w:val="008A43FF"/>
    <w:rsid w:val="008B5440"/>
    <w:rsid w:val="008B5B71"/>
    <w:rsid w:val="008D001A"/>
    <w:rsid w:val="008F27B3"/>
    <w:rsid w:val="00902952"/>
    <w:rsid w:val="0091365E"/>
    <w:rsid w:val="009161AC"/>
    <w:rsid w:val="00921A44"/>
    <w:rsid w:val="00923814"/>
    <w:rsid w:val="00933A86"/>
    <w:rsid w:val="00942C13"/>
    <w:rsid w:val="00944CFD"/>
    <w:rsid w:val="00946F42"/>
    <w:rsid w:val="00947543"/>
    <w:rsid w:val="00951A60"/>
    <w:rsid w:val="00956242"/>
    <w:rsid w:val="0098198E"/>
    <w:rsid w:val="00986D8F"/>
    <w:rsid w:val="00992C02"/>
    <w:rsid w:val="009D32B6"/>
    <w:rsid w:val="009D55F5"/>
    <w:rsid w:val="009F6774"/>
    <w:rsid w:val="00A06F32"/>
    <w:rsid w:val="00A20D87"/>
    <w:rsid w:val="00A22399"/>
    <w:rsid w:val="00A33B82"/>
    <w:rsid w:val="00A403C0"/>
    <w:rsid w:val="00A45B17"/>
    <w:rsid w:val="00A4628F"/>
    <w:rsid w:val="00A5147A"/>
    <w:rsid w:val="00A54C80"/>
    <w:rsid w:val="00A637C2"/>
    <w:rsid w:val="00A7002D"/>
    <w:rsid w:val="00A73C0D"/>
    <w:rsid w:val="00A91397"/>
    <w:rsid w:val="00AB34B1"/>
    <w:rsid w:val="00AC017B"/>
    <w:rsid w:val="00AC0877"/>
    <w:rsid w:val="00AC3543"/>
    <w:rsid w:val="00AC3FB9"/>
    <w:rsid w:val="00AD0721"/>
    <w:rsid w:val="00AD6C35"/>
    <w:rsid w:val="00AD7D12"/>
    <w:rsid w:val="00AE1645"/>
    <w:rsid w:val="00AE1A4F"/>
    <w:rsid w:val="00AE7B9A"/>
    <w:rsid w:val="00AF6AD6"/>
    <w:rsid w:val="00B027F7"/>
    <w:rsid w:val="00B0414F"/>
    <w:rsid w:val="00B0588D"/>
    <w:rsid w:val="00B1044E"/>
    <w:rsid w:val="00B21CEC"/>
    <w:rsid w:val="00B26572"/>
    <w:rsid w:val="00B32447"/>
    <w:rsid w:val="00B44989"/>
    <w:rsid w:val="00B44CCD"/>
    <w:rsid w:val="00B5566B"/>
    <w:rsid w:val="00B612AE"/>
    <w:rsid w:val="00B63097"/>
    <w:rsid w:val="00B64CFC"/>
    <w:rsid w:val="00B67D04"/>
    <w:rsid w:val="00B72C29"/>
    <w:rsid w:val="00B77FE1"/>
    <w:rsid w:val="00B80351"/>
    <w:rsid w:val="00B9230A"/>
    <w:rsid w:val="00B948D6"/>
    <w:rsid w:val="00BA4B31"/>
    <w:rsid w:val="00BB3756"/>
    <w:rsid w:val="00BC29FA"/>
    <w:rsid w:val="00BC443E"/>
    <w:rsid w:val="00BC453B"/>
    <w:rsid w:val="00BE1EC4"/>
    <w:rsid w:val="00BE3F0A"/>
    <w:rsid w:val="00BF7EE7"/>
    <w:rsid w:val="00C049E1"/>
    <w:rsid w:val="00C15F5B"/>
    <w:rsid w:val="00C1667D"/>
    <w:rsid w:val="00C20CE9"/>
    <w:rsid w:val="00C23751"/>
    <w:rsid w:val="00C249DC"/>
    <w:rsid w:val="00C25283"/>
    <w:rsid w:val="00C36D3D"/>
    <w:rsid w:val="00C47BD8"/>
    <w:rsid w:val="00C51BAD"/>
    <w:rsid w:val="00C55C09"/>
    <w:rsid w:val="00C624DE"/>
    <w:rsid w:val="00C7379C"/>
    <w:rsid w:val="00C74250"/>
    <w:rsid w:val="00CA3612"/>
    <w:rsid w:val="00CA6419"/>
    <w:rsid w:val="00CC3533"/>
    <w:rsid w:val="00CC3B20"/>
    <w:rsid w:val="00CC56C1"/>
    <w:rsid w:val="00CD643C"/>
    <w:rsid w:val="00CE38F9"/>
    <w:rsid w:val="00D046B2"/>
    <w:rsid w:val="00D15726"/>
    <w:rsid w:val="00D159B7"/>
    <w:rsid w:val="00D26150"/>
    <w:rsid w:val="00D3607F"/>
    <w:rsid w:val="00D36A53"/>
    <w:rsid w:val="00D37EB3"/>
    <w:rsid w:val="00D41082"/>
    <w:rsid w:val="00D44326"/>
    <w:rsid w:val="00D47CBA"/>
    <w:rsid w:val="00D51873"/>
    <w:rsid w:val="00D61A64"/>
    <w:rsid w:val="00D70FF3"/>
    <w:rsid w:val="00D75074"/>
    <w:rsid w:val="00D75430"/>
    <w:rsid w:val="00D82108"/>
    <w:rsid w:val="00D82DF4"/>
    <w:rsid w:val="00D907DF"/>
    <w:rsid w:val="00D933E0"/>
    <w:rsid w:val="00D93A14"/>
    <w:rsid w:val="00D96E34"/>
    <w:rsid w:val="00DB225C"/>
    <w:rsid w:val="00DC4516"/>
    <w:rsid w:val="00DD02C5"/>
    <w:rsid w:val="00DE53BC"/>
    <w:rsid w:val="00DE74DB"/>
    <w:rsid w:val="00DE7E61"/>
    <w:rsid w:val="00DF40EE"/>
    <w:rsid w:val="00E0268A"/>
    <w:rsid w:val="00E05DAD"/>
    <w:rsid w:val="00E11423"/>
    <w:rsid w:val="00E40E18"/>
    <w:rsid w:val="00E41D6E"/>
    <w:rsid w:val="00E4256B"/>
    <w:rsid w:val="00E532B7"/>
    <w:rsid w:val="00E55CED"/>
    <w:rsid w:val="00E718F2"/>
    <w:rsid w:val="00E71F37"/>
    <w:rsid w:val="00E853F1"/>
    <w:rsid w:val="00EA6400"/>
    <w:rsid w:val="00EB49DF"/>
    <w:rsid w:val="00ED3FA6"/>
    <w:rsid w:val="00EE1234"/>
    <w:rsid w:val="00EE56AE"/>
    <w:rsid w:val="00EE58B8"/>
    <w:rsid w:val="00F10393"/>
    <w:rsid w:val="00F1306B"/>
    <w:rsid w:val="00F1476F"/>
    <w:rsid w:val="00F31833"/>
    <w:rsid w:val="00F378C1"/>
    <w:rsid w:val="00F44E84"/>
    <w:rsid w:val="00F5562D"/>
    <w:rsid w:val="00F60715"/>
    <w:rsid w:val="00F704DD"/>
    <w:rsid w:val="00F73C1B"/>
    <w:rsid w:val="00F73E89"/>
    <w:rsid w:val="00F77E18"/>
    <w:rsid w:val="00F83B93"/>
    <w:rsid w:val="00F8643C"/>
    <w:rsid w:val="00F8773E"/>
    <w:rsid w:val="00F97581"/>
    <w:rsid w:val="00FA1162"/>
    <w:rsid w:val="00FA4686"/>
    <w:rsid w:val="00FB34AE"/>
    <w:rsid w:val="00FB58DF"/>
    <w:rsid w:val="00FE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7859"/>
  <w15:chartTrackingRefBased/>
  <w15:docId w15:val="{ECFC4A93-6347-426B-A7B5-B96094B8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1"/>
    <w:qFormat/>
    <w:rsid w:val="00A54C80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eastAsia="SimSun" w:hAnsi="Times New Roman" w:cs="Times New Roman"/>
      <w:b/>
      <w:bCs/>
      <w:lang w:val="pl-PL" w:eastAsia="pl-PL"/>
    </w:rPr>
  </w:style>
  <w:style w:type="paragraph" w:styleId="Cmsor2">
    <w:name w:val="heading 2"/>
    <w:basedOn w:val="Norml"/>
    <w:next w:val="Norml"/>
    <w:link w:val="Cmsor2Char"/>
    <w:uiPriority w:val="1"/>
    <w:qFormat/>
    <w:rsid w:val="00A54C80"/>
    <w:pPr>
      <w:autoSpaceDE w:val="0"/>
      <w:autoSpaceDN w:val="0"/>
      <w:adjustRightInd w:val="0"/>
      <w:spacing w:after="0" w:line="240" w:lineRule="auto"/>
      <w:ind w:left="40"/>
      <w:outlineLvl w:val="1"/>
    </w:pPr>
    <w:rPr>
      <w:rFonts w:ascii="Times New Roman" w:eastAsia="SimSun" w:hAnsi="Times New Roman" w:cs="Times New Roman"/>
      <w:b/>
      <w:bCs/>
      <w:i/>
      <w:iCs/>
      <w:lang w:val="pl-PL" w:eastAsia="pl-P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F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6F3485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D41082"/>
    <w:pPr>
      <w:ind w:left="720"/>
      <w:contextualSpacing/>
    </w:pPr>
  </w:style>
  <w:style w:type="character" w:customStyle="1" w:styleId="Cmsor1Char">
    <w:name w:val="Címsor 1 Char"/>
    <w:link w:val="Cmsor1"/>
    <w:uiPriority w:val="1"/>
    <w:rsid w:val="00A54C80"/>
    <w:rPr>
      <w:rFonts w:ascii="Times New Roman" w:eastAsia="SimSun" w:hAnsi="Times New Roman" w:cs="Times New Roman"/>
      <w:b/>
      <w:bCs/>
      <w:lang w:val="pl-PL" w:eastAsia="pl-PL"/>
    </w:rPr>
  </w:style>
  <w:style w:type="character" w:customStyle="1" w:styleId="Cmsor2Char">
    <w:name w:val="Címsor 2 Char"/>
    <w:link w:val="Cmsor2"/>
    <w:uiPriority w:val="1"/>
    <w:rsid w:val="00A54C80"/>
    <w:rPr>
      <w:rFonts w:ascii="Times New Roman" w:eastAsia="SimSun" w:hAnsi="Times New Roman" w:cs="Times New Roman"/>
      <w:b/>
      <w:bCs/>
      <w:i/>
      <w:iCs/>
      <w:lang w:val="pl-PL" w:eastAsia="pl-PL"/>
    </w:rPr>
  </w:style>
  <w:style w:type="paragraph" w:customStyle="1" w:styleId="TableParagraph">
    <w:name w:val="Table Paragraph"/>
    <w:basedOn w:val="Norml"/>
    <w:uiPriority w:val="1"/>
    <w:qFormat/>
    <w:rsid w:val="00A54C8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val="pl-PL" w:eastAsia="pl-PL"/>
    </w:rPr>
  </w:style>
  <w:style w:type="character" w:styleId="Jegyzethivatkozs">
    <w:name w:val="annotation reference"/>
    <w:uiPriority w:val="99"/>
    <w:semiHidden/>
    <w:unhideWhenUsed/>
    <w:rsid w:val="001F3AC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F3AC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1F3AC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3AC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F3AC6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7EE7"/>
  </w:style>
  <w:style w:type="paragraph" w:styleId="llb">
    <w:name w:val="footer"/>
    <w:basedOn w:val="Norml"/>
    <w:link w:val="llbChar"/>
    <w:uiPriority w:val="99"/>
    <w:unhideWhenUsed/>
    <w:rsid w:val="00BF7E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7EE7"/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D159B7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 w:cs="Times New Roman"/>
      <w:lang w:val="en-GB" w:eastAsia="hu-HU"/>
    </w:rPr>
  </w:style>
  <w:style w:type="paragraph" w:styleId="Vltozat">
    <w:name w:val="Revision"/>
    <w:hidden/>
    <w:uiPriority w:val="99"/>
    <w:semiHidden/>
    <w:rsid w:val="00D046B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a85ec6d4097127f1223e97a33fde9572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e4048f803f8bb5c88ce5ba5dcd5a123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99CBD9-DEAD-4A02-8FDA-05B0DABEA6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81557C-983B-4020-A23F-26231314D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12FE67-6EEB-4BF0-AAB7-AB0373306F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7077</Words>
  <Characters>48838</Characters>
  <Application>Microsoft Office Word</Application>
  <DocSecurity>0</DocSecurity>
  <Lines>406</Lines>
  <Paragraphs>111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Györgyi Katalin dr.</dc:creator>
  <cp:keywords/>
  <dc:description/>
  <cp:lastModifiedBy>HU OGYI 49.1</cp:lastModifiedBy>
  <cp:revision>4</cp:revision>
  <dcterms:created xsi:type="dcterms:W3CDTF">2026-06-05T10:56:00Z</dcterms:created>
  <dcterms:modified xsi:type="dcterms:W3CDTF">2026-10-19T12:19:00Z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