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5CF8E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1.</w:t>
      </w:r>
      <w:r w:rsidRPr="0092606E">
        <w:rPr>
          <w:b/>
          <w:bCs/>
          <w:lang w:val="hu-HU"/>
        </w:rPr>
        <w:tab/>
        <w:t>A GYÓGYSZER NEVE</w:t>
      </w:r>
    </w:p>
    <w:p w14:paraId="2C182C44" w14:textId="77777777" w:rsidR="0031336A" w:rsidRPr="0092606E" w:rsidRDefault="0031336A">
      <w:pPr>
        <w:keepNext/>
        <w:rPr>
          <w:iCs/>
          <w:snapToGrid w:val="0"/>
          <w:lang w:val="hu-HU"/>
        </w:rPr>
      </w:pPr>
    </w:p>
    <w:p w14:paraId="3666F097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Proursan 500 mg filmtabletta</w:t>
      </w:r>
    </w:p>
    <w:p w14:paraId="26289A10" w14:textId="77777777" w:rsidR="0031336A" w:rsidRPr="0092606E" w:rsidRDefault="0031336A">
      <w:pPr>
        <w:rPr>
          <w:lang w:val="hu-HU"/>
        </w:rPr>
      </w:pPr>
    </w:p>
    <w:p w14:paraId="7EAB1D0B" w14:textId="77777777" w:rsidR="0031336A" w:rsidRPr="0092606E" w:rsidRDefault="0031336A">
      <w:pPr>
        <w:rPr>
          <w:iCs/>
          <w:snapToGrid w:val="0"/>
          <w:lang w:val="hu-HU"/>
        </w:rPr>
      </w:pPr>
    </w:p>
    <w:p w14:paraId="058628E9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2.</w:t>
      </w:r>
      <w:r w:rsidRPr="0092606E">
        <w:rPr>
          <w:b/>
          <w:bCs/>
          <w:lang w:val="hu-HU"/>
        </w:rPr>
        <w:tab/>
        <w:t>MINŐSÉGI ÉS MENNYISÉGI ÖSSZETÉTEL</w:t>
      </w:r>
    </w:p>
    <w:p w14:paraId="06DC1424" w14:textId="77777777" w:rsidR="0031336A" w:rsidRPr="0092606E" w:rsidRDefault="0031336A">
      <w:pPr>
        <w:keepNext/>
        <w:rPr>
          <w:lang w:val="hu-HU"/>
        </w:rPr>
      </w:pPr>
    </w:p>
    <w:p w14:paraId="43FD63F9" w14:textId="1446F605" w:rsidR="0031336A" w:rsidRPr="0092606E" w:rsidRDefault="003D3C88">
      <w:pPr>
        <w:rPr>
          <w:lang w:val="hu-HU"/>
        </w:rPr>
      </w:pPr>
      <w:r w:rsidRPr="0092606E">
        <w:rPr>
          <w:lang w:val="hu-HU"/>
        </w:rPr>
        <w:t>500 mg urzodezoxikólsav</w:t>
      </w:r>
      <w:r w:rsidR="00AB6397" w:rsidRPr="0092606E">
        <w:rPr>
          <w:lang w:val="hu-HU"/>
        </w:rPr>
        <w:t>at</w:t>
      </w:r>
      <w:r w:rsidRPr="0092606E">
        <w:rPr>
          <w:lang w:val="hu-HU"/>
        </w:rPr>
        <w:t xml:space="preserve"> (UDCA) tartalmaz</w:t>
      </w:r>
      <w:r w:rsidR="00AB6397" w:rsidRPr="0092606E">
        <w:rPr>
          <w:lang w:val="hu-HU"/>
        </w:rPr>
        <w:t xml:space="preserve"> filmtablettánként</w:t>
      </w:r>
      <w:r w:rsidRPr="0092606E">
        <w:rPr>
          <w:lang w:val="hu-HU"/>
        </w:rPr>
        <w:t>.</w:t>
      </w:r>
    </w:p>
    <w:p w14:paraId="6AF11874" w14:textId="77777777" w:rsidR="0031336A" w:rsidRPr="0092606E" w:rsidRDefault="0031336A">
      <w:pPr>
        <w:rPr>
          <w:u w:val="single"/>
          <w:lang w:val="hu-HU"/>
        </w:rPr>
      </w:pPr>
    </w:p>
    <w:p w14:paraId="3E44018B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segédanyagok teljes listáját lásd a 6.1 pontban.</w:t>
      </w:r>
    </w:p>
    <w:p w14:paraId="51FBFE72" w14:textId="77777777" w:rsidR="0031336A" w:rsidRPr="0092606E" w:rsidRDefault="0031336A">
      <w:pPr>
        <w:rPr>
          <w:iCs/>
          <w:snapToGrid w:val="0"/>
          <w:lang w:val="hu-HU"/>
        </w:rPr>
      </w:pPr>
    </w:p>
    <w:p w14:paraId="4B5D4A28" w14:textId="77777777" w:rsidR="0031336A" w:rsidRPr="0092606E" w:rsidRDefault="0031336A">
      <w:pPr>
        <w:rPr>
          <w:iCs/>
          <w:snapToGrid w:val="0"/>
          <w:lang w:val="hu-HU"/>
        </w:rPr>
      </w:pPr>
    </w:p>
    <w:p w14:paraId="54F2CC34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3.</w:t>
      </w:r>
      <w:r w:rsidRPr="0092606E">
        <w:rPr>
          <w:b/>
          <w:bCs/>
          <w:lang w:val="hu-HU"/>
        </w:rPr>
        <w:tab/>
        <w:t>GYÓGYSZERFORMA</w:t>
      </w:r>
    </w:p>
    <w:p w14:paraId="0190C168" w14:textId="77777777" w:rsidR="0031336A" w:rsidRPr="0092606E" w:rsidRDefault="0031336A">
      <w:pPr>
        <w:keepNext/>
        <w:rPr>
          <w:lang w:val="hu-HU"/>
        </w:rPr>
      </w:pPr>
    </w:p>
    <w:p w14:paraId="29587671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Filmtabletta.</w:t>
      </w:r>
    </w:p>
    <w:p w14:paraId="41C4A7B7" w14:textId="0158CA67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Majdnem fehér, hosszúkás filmtabletta mindkét oldalán </w:t>
      </w:r>
      <w:r w:rsidR="00AB6397" w:rsidRPr="0092606E">
        <w:rPr>
          <w:lang w:val="hu-HU"/>
        </w:rPr>
        <w:t>bemetszéssel</w:t>
      </w:r>
      <w:r w:rsidRPr="0092606E">
        <w:rPr>
          <w:lang w:val="hu-HU"/>
        </w:rPr>
        <w:t>, hosszúsága 17 mm, szélessége 9 mm.</w:t>
      </w:r>
    </w:p>
    <w:p w14:paraId="3062F495" w14:textId="516714B4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tabletta</w:t>
      </w:r>
      <w:r w:rsidR="00AB6397" w:rsidRPr="0092606E">
        <w:rPr>
          <w:lang w:val="hu-HU"/>
        </w:rPr>
        <w:t xml:space="preserve"> a bemetszés mentén</w:t>
      </w:r>
      <w:r w:rsidRPr="0092606E">
        <w:rPr>
          <w:lang w:val="hu-HU"/>
        </w:rPr>
        <w:t xml:space="preserve"> egyenlő adagokra osztható.</w:t>
      </w:r>
    </w:p>
    <w:p w14:paraId="5F4DB2DF" w14:textId="77777777" w:rsidR="0031336A" w:rsidRPr="0092606E" w:rsidRDefault="0031336A">
      <w:pPr>
        <w:rPr>
          <w:iCs/>
          <w:snapToGrid w:val="0"/>
          <w:lang w:val="hu-HU"/>
        </w:rPr>
      </w:pPr>
    </w:p>
    <w:p w14:paraId="42D3FE70" w14:textId="77777777" w:rsidR="0031336A" w:rsidRPr="0092606E" w:rsidRDefault="0031336A">
      <w:pPr>
        <w:rPr>
          <w:lang w:val="hu-HU"/>
        </w:rPr>
      </w:pPr>
    </w:p>
    <w:p w14:paraId="59D4D7F7" w14:textId="77777777" w:rsidR="0031336A" w:rsidRPr="0092606E" w:rsidRDefault="003D3C88">
      <w:pPr>
        <w:keepNext/>
        <w:ind w:left="567" w:hanging="567"/>
        <w:rPr>
          <w:caps/>
          <w:lang w:val="hu-HU"/>
        </w:rPr>
      </w:pPr>
      <w:r w:rsidRPr="0092606E">
        <w:rPr>
          <w:b/>
          <w:bCs/>
          <w:caps/>
          <w:lang w:val="hu-HU"/>
        </w:rPr>
        <w:t>4.</w:t>
      </w:r>
      <w:r w:rsidRPr="0092606E">
        <w:rPr>
          <w:b/>
          <w:bCs/>
          <w:caps/>
          <w:lang w:val="hu-HU"/>
        </w:rPr>
        <w:tab/>
        <w:t>Klinikai jellemzők</w:t>
      </w:r>
    </w:p>
    <w:p w14:paraId="556E114B" w14:textId="77777777" w:rsidR="0031336A" w:rsidRPr="0092606E" w:rsidRDefault="0031336A">
      <w:pPr>
        <w:keepNext/>
        <w:rPr>
          <w:lang w:val="hu-HU"/>
        </w:rPr>
      </w:pPr>
    </w:p>
    <w:p w14:paraId="7A9A6008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4.1</w:t>
      </w:r>
      <w:r w:rsidRPr="0092606E">
        <w:rPr>
          <w:b/>
          <w:bCs/>
          <w:lang w:val="hu-HU"/>
        </w:rPr>
        <w:tab/>
        <w:t>Terápiás javallatok</w:t>
      </w:r>
    </w:p>
    <w:p w14:paraId="0F63016E" w14:textId="77777777" w:rsidR="0031336A" w:rsidRPr="0092606E" w:rsidRDefault="0031336A">
      <w:pPr>
        <w:keepNext/>
        <w:rPr>
          <w:lang w:val="hu-HU"/>
        </w:rPr>
      </w:pPr>
    </w:p>
    <w:p w14:paraId="253846B3" w14:textId="6CD6C044" w:rsidR="00AB6397" w:rsidRPr="0092606E" w:rsidRDefault="003D3C88">
      <w:pPr>
        <w:rPr>
          <w:lang w:val="hu-HU"/>
        </w:rPr>
      </w:pPr>
      <w:r w:rsidRPr="0092606E">
        <w:rPr>
          <w:lang w:val="hu-HU"/>
        </w:rPr>
        <w:t>Az epehólyagban található koleszterin epekövek feloldásához. A kövek</w:t>
      </w:r>
      <w:r w:rsidR="00AB6397" w:rsidRPr="0092606E">
        <w:rPr>
          <w:lang w:val="hu-HU"/>
        </w:rPr>
        <w:t xml:space="preserve"> a</w:t>
      </w:r>
      <w:r w:rsidRPr="0092606E">
        <w:rPr>
          <w:lang w:val="hu-HU"/>
        </w:rPr>
        <w:t xml:space="preserve"> röntgenfelvételen nem </w:t>
      </w:r>
      <w:r w:rsidR="00AB6397" w:rsidRPr="0092606E">
        <w:rPr>
          <w:lang w:val="hu-HU"/>
        </w:rPr>
        <w:t>jelenhetnek meg</w:t>
      </w:r>
      <w:r w:rsidRPr="0092606E">
        <w:rPr>
          <w:lang w:val="hu-HU"/>
        </w:rPr>
        <w:t xml:space="preserve">, és átmérőjük nem haladhatja meg a 15 mm-t. </w:t>
      </w:r>
      <w:r w:rsidR="00AB6397" w:rsidRPr="0092606E">
        <w:rPr>
          <w:lang w:val="hu-HU"/>
        </w:rPr>
        <w:t>A</w:t>
      </w:r>
      <w:r w:rsidRPr="0092606E">
        <w:rPr>
          <w:lang w:val="hu-HU"/>
        </w:rPr>
        <w:t>z epehólyag</w:t>
      </w:r>
      <w:r w:rsidR="00AB6397" w:rsidRPr="0092606E">
        <w:rPr>
          <w:lang w:val="hu-HU"/>
        </w:rPr>
        <w:t>nak</w:t>
      </w:r>
      <w:r w:rsidRPr="0092606E">
        <w:rPr>
          <w:lang w:val="hu-HU"/>
        </w:rPr>
        <w:t xml:space="preserve"> a</w:t>
      </w:r>
      <w:r w:rsidR="00AB6397" w:rsidRPr="0092606E">
        <w:rPr>
          <w:lang w:val="hu-HU"/>
        </w:rPr>
        <w:t>z</w:t>
      </w:r>
      <w:r w:rsidRPr="0092606E">
        <w:rPr>
          <w:lang w:val="hu-HU"/>
        </w:rPr>
        <w:t xml:space="preserve"> </w:t>
      </w:r>
      <w:r w:rsidR="00AB6397" w:rsidRPr="0092606E">
        <w:rPr>
          <w:lang w:val="hu-HU"/>
        </w:rPr>
        <w:t>epe</w:t>
      </w:r>
      <w:r w:rsidRPr="0092606E">
        <w:rPr>
          <w:lang w:val="hu-HU"/>
        </w:rPr>
        <w:t xml:space="preserve">kő (kövek) ellenére is </w:t>
      </w:r>
      <w:r w:rsidR="00AB6397" w:rsidRPr="0092606E">
        <w:rPr>
          <w:lang w:val="hu-HU"/>
        </w:rPr>
        <w:t>működőképesnek kell lennie</w:t>
      </w:r>
      <w:r w:rsidRPr="0092606E">
        <w:rPr>
          <w:lang w:val="hu-HU"/>
        </w:rPr>
        <w:t xml:space="preserve">. </w:t>
      </w:r>
    </w:p>
    <w:p w14:paraId="643A8970" w14:textId="7D54471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primer biliaris cholangitis (PBC) tüneti kezelésére, amennyiben nem áll fenn dekompenzált májcirrózis.</w:t>
      </w:r>
    </w:p>
    <w:p w14:paraId="34B77B89" w14:textId="77777777" w:rsidR="0031336A" w:rsidRPr="0092606E" w:rsidRDefault="0031336A">
      <w:pPr>
        <w:rPr>
          <w:lang w:val="hu-HU"/>
        </w:rPr>
      </w:pPr>
    </w:p>
    <w:p w14:paraId="7E0AF52E" w14:textId="77777777" w:rsidR="0031336A" w:rsidRPr="0092606E" w:rsidRDefault="003D3C88">
      <w:pPr>
        <w:keepNext/>
        <w:autoSpaceDE w:val="0"/>
        <w:autoSpaceDN w:val="0"/>
        <w:adjustRightInd w:val="0"/>
        <w:rPr>
          <w:iCs/>
          <w:u w:val="single"/>
          <w:lang w:val="hu-HU"/>
        </w:rPr>
      </w:pPr>
      <w:r w:rsidRPr="0092606E">
        <w:rPr>
          <w:u w:val="single"/>
          <w:lang w:val="hu-HU"/>
        </w:rPr>
        <w:t>Gyermekek és serdülők</w:t>
      </w:r>
    </w:p>
    <w:p w14:paraId="056CF1AE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cisztás fibrózissal összefüggő hepatobiliáris rendellenességek kezelésére 6 és 18 év közötti gyermekeknél.</w:t>
      </w:r>
    </w:p>
    <w:p w14:paraId="3F805F60" w14:textId="77777777" w:rsidR="0031336A" w:rsidRPr="0092606E" w:rsidRDefault="0031336A">
      <w:pPr>
        <w:rPr>
          <w:b/>
          <w:lang w:val="hu-HU"/>
        </w:rPr>
      </w:pPr>
    </w:p>
    <w:p w14:paraId="3AD7C46F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4.2</w:t>
      </w:r>
      <w:r w:rsidRPr="0092606E">
        <w:rPr>
          <w:b/>
          <w:bCs/>
          <w:lang w:val="hu-HU"/>
        </w:rPr>
        <w:tab/>
        <w:t>Adagolás és alkalmazás</w:t>
      </w:r>
    </w:p>
    <w:p w14:paraId="0297B902" w14:textId="77777777" w:rsidR="0031336A" w:rsidRPr="0092606E" w:rsidRDefault="0031336A">
      <w:pPr>
        <w:shd w:val="clear" w:color="auto" w:fill="FFFFFF"/>
        <w:rPr>
          <w:lang w:val="hu-HU"/>
        </w:rPr>
      </w:pPr>
    </w:p>
    <w:p w14:paraId="11A13DAC" w14:textId="18D681A1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71C7AEF3" w14:textId="77777777" w:rsidR="0031336A" w:rsidRPr="0092606E" w:rsidRDefault="003D3C88">
      <w:pPr>
        <w:pStyle w:val="Default"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Adagolás</w:t>
      </w:r>
    </w:p>
    <w:p w14:paraId="148F8B5A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61E1C4E6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különféle indikációkban az alábbi napi adagok ajánlottak:</w:t>
      </w:r>
    </w:p>
    <w:p w14:paraId="2D4B9727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47F286B6" w14:textId="77777777" w:rsidR="0031336A" w:rsidRPr="0092606E" w:rsidRDefault="003D3C88">
      <w:pPr>
        <w:pStyle w:val="Default"/>
        <w:keepNext/>
        <w:rPr>
          <w:i/>
          <w:sz w:val="22"/>
          <w:szCs w:val="22"/>
          <w:u w:val="single"/>
          <w:lang w:val="hu-HU"/>
        </w:rPr>
      </w:pPr>
      <w:r w:rsidRPr="0092606E">
        <w:rPr>
          <w:i/>
          <w:iCs/>
          <w:sz w:val="22"/>
          <w:szCs w:val="22"/>
          <w:u w:val="single"/>
          <w:lang w:val="hu-HU"/>
        </w:rPr>
        <w:t>A koleszterin epekövek feloldására</w:t>
      </w:r>
    </w:p>
    <w:p w14:paraId="3E26E243" w14:textId="77777777" w:rsidR="0031336A" w:rsidRPr="0092606E" w:rsidRDefault="0031336A">
      <w:pPr>
        <w:pStyle w:val="Default"/>
        <w:keepNext/>
        <w:rPr>
          <w:i/>
          <w:sz w:val="22"/>
          <w:szCs w:val="22"/>
          <w:u w:val="single"/>
          <w:lang w:val="hu-HU"/>
        </w:rPr>
      </w:pPr>
    </w:p>
    <w:p w14:paraId="74C2FEA0" w14:textId="22F0B34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Proursan 47 kg és ennél nagyobb testtömegű betegek</w:t>
      </w:r>
      <w:r w:rsidR="00E16C5D" w:rsidRPr="0092606E">
        <w:rPr>
          <w:sz w:val="22"/>
          <w:szCs w:val="22"/>
          <w:lang w:val="hu-HU"/>
        </w:rPr>
        <w:t xml:space="preserve"> </w:t>
      </w:r>
      <w:r w:rsidR="00AB6397" w:rsidRPr="0092606E">
        <w:rPr>
          <w:sz w:val="22"/>
          <w:szCs w:val="22"/>
          <w:lang w:val="hu-HU"/>
        </w:rPr>
        <w:t>esetében alkalmazható</w:t>
      </w:r>
      <w:r w:rsidRPr="0092606E">
        <w:rPr>
          <w:sz w:val="22"/>
          <w:szCs w:val="22"/>
          <w:lang w:val="hu-HU"/>
        </w:rPr>
        <w:t>. A 47 kg-nál kisebb testtömegű betegek vagy azok számára akik nem tudják lenyelni a Proursan filmtablettát, elérhető más, urzodezoxikólsavat tartalmazó gyógyszerforma (szuszpenzió).</w:t>
      </w:r>
    </w:p>
    <w:p w14:paraId="77AF3B9B" w14:textId="77777777" w:rsidR="0031336A" w:rsidRPr="0092606E" w:rsidRDefault="0031336A">
      <w:pPr>
        <w:pStyle w:val="Default"/>
        <w:keepNext/>
        <w:rPr>
          <w:i/>
          <w:sz w:val="22"/>
          <w:szCs w:val="22"/>
          <w:u w:val="single"/>
          <w:lang w:val="hu-HU"/>
        </w:rPr>
      </w:pPr>
    </w:p>
    <w:p w14:paraId="188E9056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Kb. 10 mg urzodezoxikólsav testtömeg-kilogrammonként, a következőképpen:</w:t>
      </w:r>
    </w:p>
    <w:p w14:paraId="304403CB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tbl>
      <w:tblPr>
        <w:tblW w:w="73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06"/>
        <w:gridCol w:w="2765"/>
      </w:tblGrid>
      <w:tr w:rsidR="0031336A" w:rsidRPr="0092606E" w14:paraId="1D120BDF" w14:textId="77777777">
        <w:tc>
          <w:tcPr>
            <w:tcW w:w="4606" w:type="dxa"/>
            <w:vAlign w:val="center"/>
          </w:tcPr>
          <w:p w14:paraId="3C524056" w14:textId="19ECEB40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47</w:t>
            </w:r>
            <w:r w:rsidR="00BB6910" w:rsidRPr="0092606E">
              <w:rPr>
                <w:sz w:val="22"/>
                <w:szCs w:val="22"/>
                <w:lang w:val="hu-HU"/>
              </w:rPr>
              <w:t>–</w:t>
            </w:r>
            <w:r w:rsidRPr="0092606E">
              <w:rPr>
                <w:sz w:val="22"/>
                <w:szCs w:val="22"/>
                <w:lang w:val="hu-HU"/>
              </w:rPr>
              <w:t>60 kg</w:t>
            </w:r>
          </w:p>
        </w:tc>
        <w:tc>
          <w:tcPr>
            <w:tcW w:w="2765" w:type="dxa"/>
            <w:vAlign w:val="center"/>
          </w:tcPr>
          <w:p w14:paraId="3A7B08EC" w14:textId="77777777" w:rsidR="0031336A" w:rsidRPr="0092606E" w:rsidRDefault="003D3C88">
            <w:pPr>
              <w:rPr>
                <w:lang w:val="hu-HU"/>
              </w:rPr>
            </w:pPr>
            <w:r w:rsidRPr="0092606E">
              <w:rPr>
                <w:lang w:val="hu-HU"/>
              </w:rPr>
              <w:t>1 db filmtabletta</w:t>
            </w:r>
          </w:p>
        </w:tc>
      </w:tr>
      <w:tr w:rsidR="0031336A" w:rsidRPr="0092606E" w14:paraId="16F54C26" w14:textId="77777777">
        <w:tc>
          <w:tcPr>
            <w:tcW w:w="4606" w:type="dxa"/>
            <w:vAlign w:val="center"/>
          </w:tcPr>
          <w:p w14:paraId="585E1E16" w14:textId="5B42706C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61</w:t>
            </w:r>
            <w:r w:rsidR="00BB6910" w:rsidRPr="0092606E">
              <w:rPr>
                <w:sz w:val="22"/>
                <w:szCs w:val="22"/>
                <w:lang w:val="hu-HU"/>
              </w:rPr>
              <w:t>–</w:t>
            </w:r>
            <w:r w:rsidRPr="0092606E">
              <w:rPr>
                <w:sz w:val="22"/>
                <w:szCs w:val="22"/>
                <w:lang w:val="hu-HU"/>
              </w:rPr>
              <w:t>80 kg</w:t>
            </w:r>
          </w:p>
        </w:tc>
        <w:tc>
          <w:tcPr>
            <w:tcW w:w="2765" w:type="dxa"/>
            <w:vAlign w:val="center"/>
          </w:tcPr>
          <w:p w14:paraId="2DB5150D" w14:textId="77777777" w:rsidR="0031336A" w:rsidRPr="0092606E" w:rsidRDefault="003D3C88">
            <w:pPr>
              <w:rPr>
                <w:lang w:val="hu-HU"/>
              </w:rPr>
            </w:pPr>
            <w:r w:rsidRPr="0092606E">
              <w:rPr>
                <w:lang w:val="hu-HU"/>
              </w:rPr>
              <w:t>1 ½ db filmtabletta</w:t>
            </w:r>
          </w:p>
        </w:tc>
      </w:tr>
      <w:tr w:rsidR="0031336A" w:rsidRPr="0092606E" w14:paraId="554D24FA" w14:textId="77777777">
        <w:tc>
          <w:tcPr>
            <w:tcW w:w="4606" w:type="dxa"/>
            <w:vAlign w:val="center"/>
          </w:tcPr>
          <w:p w14:paraId="5B76F8AA" w14:textId="08AEF55C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81</w:t>
            </w:r>
            <w:r w:rsidR="00BB6910" w:rsidRPr="0092606E">
              <w:rPr>
                <w:sz w:val="22"/>
                <w:szCs w:val="22"/>
                <w:lang w:val="hu-HU"/>
              </w:rPr>
              <w:t>–</w:t>
            </w:r>
            <w:r w:rsidRPr="0092606E">
              <w:rPr>
                <w:sz w:val="22"/>
                <w:szCs w:val="22"/>
                <w:lang w:val="hu-HU"/>
              </w:rPr>
              <w:t>100 kg</w:t>
            </w:r>
          </w:p>
        </w:tc>
        <w:tc>
          <w:tcPr>
            <w:tcW w:w="2765" w:type="dxa"/>
            <w:vAlign w:val="center"/>
          </w:tcPr>
          <w:p w14:paraId="7E2E67B2" w14:textId="77777777" w:rsidR="0031336A" w:rsidRPr="0092606E" w:rsidRDefault="003D3C88">
            <w:pPr>
              <w:rPr>
                <w:lang w:val="hu-HU"/>
              </w:rPr>
            </w:pPr>
            <w:r w:rsidRPr="0092606E">
              <w:rPr>
                <w:lang w:val="hu-HU"/>
              </w:rPr>
              <w:t>2 db filmtabletta</w:t>
            </w:r>
          </w:p>
        </w:tc>
      </w:tr>
      <w:tr w:rsidR="0031336A" w:rsidRPr="0092606E" w14:paraId="6D05CA33" w14:textId="77777777">
        <w:tc>
          <w:tcPr>
            <w:tcW w:w="4606" w:type="dxa"/>
            <w:vAlign w:val="center"/>
          </w:tcPr>
          <w:p w14:paraId="0B907AD7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100 kg fölött</w:t>
            </w:r>
          </w:p>
        </w:tc>
        <w:tc>
          <w:tcPr>
            <w:tcW w:w="2765" w:type="dxa"/>
            <w:vAlign w:val="center"/>
          </w:tcPr>
          <w:p w14:paraId="40C552C9" w14:textId="77777777" w:rsidR="0031336A" w:rsidRPr="0092606E" w:rsidRDefault="003D3C88">
            <w:pPr>
              <w:rPr>
                <w:lang w:val="hu-HU"/>
              </w:rPr>
            </w:pPr>
            <w:r w:rsidRPr="0092606E">
              <w:rPr>
                <w:lang w:val="hu-HU"/>
              </w:rPr>
              <w:t>2 ½ db filmtabletta</w:t>
            </w:r>
          </w:p>
        </w:tc>
      </w:tr>
    </w:tbl>
    <w:p w14:paraId="122AF6EC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154F80E5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filmtablettákat este, lefekvés előtt kell bevenni.</w:t>
      </w:r>
    </w:p>
    <w:p w14:paraId="26109DC5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66815A77" w14:textId="3B079128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lastRenderedPageBreak/>
        <w:t>Az epekövek feloldódásához szükséges idő 6 és 24 hónap között lehet. Ha az epekövek mérete 12</w:t>
      </w:r>
      <w:r w:rsidR="00BB6910" w:rsidRPr="0092606E">
        <w:rPr>
          <w:sz w:val="22"/>
          <w:szCs w:val="22"/>
          <w:lang w:val="hu-HU"/>
        </w:rPr>
        <w:t> </w:t>
      </w:r>
      <w:r w:rsidRPr="0092606E">
        <w:rPr>
          <w:sz w:val="22"/>
          <w:szCs w:val="22"/>
          <w:lang w:val="hu-HU"/>
        </w:rPr>
        <w:t>hónap alatt nem csökken, a kezelést nem szabad folytatni.</w:t>
      </w:r>
    </w:p>
    <w:p w14:paraId="0B788783" w14:textId="33DCE534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A kezelés </w:t>
      </w:r>
      <w:r w:rsidR="00BB6910" w:rsidRPr="0092606E">
        <w:rPr>
          <w:lang w:val="hu-HU"/>
        </w:rPr>
        <w:t xml:space="preserve">eredményét </w:t>
      </w:r>
      <w:r w:rsidRPr="0092606E">
        <w:rPr>
          <w:lang w:val="hu-HU"/>
        </w:rPr>
        <w:t>ultrahanggal vagy röntgennel 6 hónaponként kell ellenőrizni. Azt is ellenőrizni kell a követő vizsgálatok során, hogy közben a kövek</w:t>
      </w:r>
      <w:r w:rsidR="00BB6910" w:rsidRPr="0092606E">
        <w:rPr>
          <w:lang w:val="hu-HU"/>
        </w:rPr>
        <w:t xml:space="preserve"> nem meszesedtek-e el</w:t>
      </w:r>
      <w:r w:rsidRPr="0092606E">
        <w:rPr>
          <w:lang w:val="hu-HU"/>
        </w:rPr>
        <w:t>. Ilyen esetben a kezelés be kell fejezni.</w:t>
      </w:r>
    </w:p>
    <w:p w14:paraId="29F35EDE" w14:textId="77777777" w:rsidR="0031336A" w:rsidRPr="0092606E" w:rsidRDefault="0031336A">
      <w:pPr>
        <w:pStyle w:val="Default"/>
        <w:rPr>
          <w:sz w:val="22"/>
          <w:szCs w:val="22"/>
          <w:u w:val="single"/>
          <w:lang w:val="hu-HU"/>
        </w:rPr>
      </w:pPr>
    </w:p>
    <w:p w14:paraId="788B3FEA" w14:textId="77777777" w:rsidR="0031336A" w:rsidRPr="0092606E" w:rsidRDefault="003D3C88">
      <w:pPr>
        <w:pStyle w:val="Default"/>
        <w:keepNext/>
        <w:rPr>
          <w:i/>
          <w:sz w:val="22"/>
          <w:szCs w:val="22"/>
          <w:u w:val="single"/>
          <w:lang w:val="hu-HU"/>
        </w:rPr>
      </w:pPr>
      <w:r w:rsidRPr="0092606E">
        <w:rPr>
          <w:i/>
          <w:iCs/>
          <w:sz w:val="22"/>
          <w:szCs w:val="22"/>
          <w:u w:val="single"/>
          <w:lang w:val="hu-HU"/>
        </w:rPr>
        <w:t>A primer biliaris cholangitis (PBC) tüneti kezelésére</w:t>
      </w:r>
    </w:p>
    <w:p w14:paraId="111FE8F9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103960C4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Proursan 47 kg és ennél nagyobb testtömegű betegek számára megfelelő. A 47 kg-nál kisebb testtömegű betegek vagy azok számára akik nem tudják lenyelni a Proursan filmtablettát, elérhető más, urzodezoxikólsavat tartalmazó gyógyszerforma (szuszpenzió).</w:t>
      </w:r>
    </w:p>
    <w:p w14:paraId="0441FD8C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72A89C21" w14:textId="3C51D74E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napi dózis a testtömegtől függ, és 1 ½-től 3 ½ filmtablettáig terjedhet (14 ± 2 mg urzodezoxikólsav testtömegkilogrammonként).</w:t>
      </w:r>
    </w:p>
    <w:p w14:paraId="497A87A3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7CB2568C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kezelés első 3 hónapjában a Proursan filmtablettát a nap folyamán elosztva kell bevenni. A májértékek javulásával a napi adag bevehető naponta egyszer is, esténként.</w:t>
      </w:r>
    </w:p>
    <w:p w14:paraId="60AF2CFF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tbl>
      <w:tblPr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275"/>
        <w:gridCol w:w="1221"/>
        <w:gridCol w:w="1199"/>
        <w:gridCol w:w="1200"/>
        <w:gridCol w:w="1483"/>
      </w:tblGrid>
      <w:tr w:rsidR="0031336A" w:rsidRPr="0092606E" w14:paraId="6B4D239E" w14:textId="77777777">
        <w:trPr>
          <w:trHeight w:val="313"/>
        </w:trPr>
        <w:tc>
          <w:tcPr>
            <w:tcW w:w="1101" w:type="dxa"/>
            <w:vMerge w:val="restart"/>
            <w:vAlign w:val="center"/>
          </w:tcPr>
          <w:p w14:paraId="3B5E2175" w14:textId="31E52E39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Test</w:t>
            </w:r>
            <w:r w:rsidR="00BB6910" w:rsidRPr="0092606E">
              <w:rPr>
                <w:sz w:val="22"/>
                <w:szCs w:val="22"/>
                <w:lang w:val="hu-HU"/>
              </w:rPr>
              <w:softHyphen/>
            </w:r>
            <w:r w:rsidRPr="0092606E">
              <w:rPr>
                <w:sz w:val="22"/>
                <w:szCs w:val="22"/>
                <w:lang w:val="hu-HU"/>
              </w:rPr>
              <w:t>tömeg (kg)</w:t>
            </w:r>
          </w:p>
        </w:tc>
        <w:tc>
          <w:tcPr>
            <w:tcW w:w="1275" w:type="dxa"/>
            <w:vMerge w:val="restart"/>
            <w:vAlign w:val="center"/>
          </w:tcPr>
          <w:p w14:paraId="253651C8" w14:textId="77777777" w:rsidR="0031336A" w:rsidRPr="0092606E" w:rsidRDefault="003D3C88">
            <w:pPr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Napi dózis</w:t>
            </w:r>
          </w:p>
          <w:p w14:paraId="2FEC3C0D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Cs w:val="22"/>
                <w:lang w:val="hu-HU"/>
              </w:rPr>
              <w:t>(mg/ttkg)</w:t>
            </w:r>
          </w:p>
        </w:tc>
        <w:tc>
          <w:tcPr>
            <w:tcW w:w="5103" w:type="dxa"/>
            <w:gridSpan w:val="4"/>
            <w:vAlign w:val="center"/>
          </w:tcPr>
          <w:p w14:paraId="14C882C3" w14:textId="77777777" w:rsidR="0031336A" w:rsidRPr="0092606E" w:rsidRDefault="003D3C88">
            <w:pPr>
              <w:rPr>
                <w:lang w:val="hu-HU"/>
              </w:rPr>
            </w:pPr>
            <w:r w:rsidRPr="0092606E">
              <w:rPr>
                <w:lang w:val="hu-HU"/>
              </w:rPr>
              <w:t>Proursan 500 mg filmtabletta</w:t>
            </w:r>
          </w:p>
        </w:tc>
      </w:tr>
      <w:tr w:rsidR="0031336A" w:rsidRPr="0092606E" w14:paraId="503121C4" w14:textId="77777777">
        <w:trPr>
          <w:trHeight w:val="145"/>
        </w:trPr>
        <w:tc>
          <w:tcPr>
            <w:tcW w:w="1101" w:type="dxa"/>
            <w:vMerge/>
            <w:vAlign w:val="center"/>
          </w:tcPr>
          <w:p w14:paraId="095C47C2" w14:textId="77777777" w:rsidR="0031336A" w:rsidRPr="0092606E" w:rsidRDefault="0031336A">
            <w:pPr>
              <w:pStyle w:val="Default"/>
              <w:rPr>
                <w:sz w:val="22"/>
                <w:szCs w:val="22"/>
                <w:lang w:val="hu-HU"/>
              </w:rPr>
            </w:pPr>
          </w:p>
        </w:tc>
        <w:tc>
          <w:tcPr>
            <w:tcW w:w="1275" w:type="dxa"/>
            <w:vMerge/>
            <w:vAlign w:val="center"/>
          </w:tcPr>
          <w:p w14:paraId="34398B8F" w14:textId="77777777" w:rsidR="0031336A" w:rsidRPr="0092606E" w:rsidRDefault="0031336A">
            <w:pPr>
              <w:pStyle w:val="Default"/>
              <w:rPr>
                <w:sz w:val="22"/>
                <w:szCs w:val="22"/>
                <w:lang w:val="hu-HU"/>
              </w:rPr>
            </w:pPr>
          </w:p>
        </w:tc>
        <w:tc>
          <w:tcPr>
            <w:tcW w:w="3620" w:type="dxa"/>
            <w:gridSpan w:val="3"/>
            <w:vAlign w:val="center"/>
          </w:tcPr>
          <w:p w14:paraId="1EABBBA0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b/>
                <w:bCs/>
                <w:sz w:val="22"/>
                <w:szCs w:val="22"/>
                <w:lang w:val="hu-HU"/>
              </w:rPr>
              <w:t>első 3 hónap</w:t>
            </w:r>
          </w:p>
        </w:tc>
        <w:tc>
          <w:tcPr>
            <w:tcW w:w="1483" w:type="dxa"/>
            <w:vAlign w:val="center"/>
          </w:tcPr>
          <w:p w14:paraId="3D49B853" w14:textId="60BC52DA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b/>
                <w:bCs/>
                <w:sz w:val="22"/>
                <w:szCs w:val="22"/>
                <w:lang w:val="hu-HU"/>
              </w:rPr>
              <w:t>a későbbiek</w:t>
            </w:r>
            <w:r w:rsidR="00BB6910" w:rsidRPr="0092606E">
              <w:rPr>
                <w:b/>
                <w:bCs/>
                <w:sz w:val="22"/>
                <w:szCs w:val="22"/>
                <w:lang w:val="hu-HU"/>
              </w:rPr>
              <w:softHyphen/>
            </w:r>
            <w:r w:rsidRPr="0092606E">
              <w:rPr>
                <w:b/>
                <w:bCs/>
                <w:sz w:val="22"/>
                <w:szCs w:val="22"/>
                <w:lang w:val="hu-HU"/>
              </w:rPr>
              <w:t>ben</w:t>
            </w:r>
          </w:p>
        </w:tc>
      </w:tr>
      <w:tr w:rsidR="0031336A" w:rsidRPr="0092606E" w14:paraId="1BDC8384" w14:textId="77777777">
        <w:trPr>
          <w:trHeight w:val="145"/>
        </w:trPr>
        <w:tc>
          <w:tcPr>
            <w:tcW w:w="1101" w:type="dxa"/>
            <w:vMerge/>
            <w:vAlign w:val="center"/>
          </w:tcPr>
          <w:p w14:paraId="07E93F56" w14:textId="77777777" w:rsidR="0031336A" w:rsidRPr="0092606E" w:rsidRDefault="0031336A">
            <w:pPr>
              <w:pStyle w:val="Default"/>
              <w:rPr>
                <w:sz w:val="22"/>
                <w:szCs w:val="22"/>
                <w:lang w:val="hu-HU"/>
              </w:rPr>
            </w:pPr>
          </w:p>
        </w:tc>
        <w:tc>
          <w:tcPr>
            <w:tcW w:w="1275" w:type="dxa"/>
            <w:vMerge/>
            <w:vAlign w:val="center"/>
          </w:tcPr>
          <w:p w14:paraId="1A2F85A2" w14:textId="77777777" w:rsidR="0031336A" w:rsidRPr="0092606E" w:rsidRDefault="0031336A">
            <w:pPr>
              <w:pStyle w:val="Default"/>
              <w:rPr>
                <w:sz w:val="22"/>
                <w:szCs w:val="22"/>
                <w:lang w:val="hu-HU"/>
              </w:rPr>
            </w:pPr>
          </w:p>
        </w:tc>
        <w:tc>
          <w:tcPr>
            <w:tcW w:w="1221" w:type="dxa"/>
            <w:vAlign w:val="center"/>
          </w:tcPr>
          <w:p w14:paraId="2C2664F4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reggel</w:t>
            </w:r>
          </w:p>
        </w:tc>
        <w:tc>
          <w:tcPr>
            <w:tcW w:w="1199" w:type="dxa"/>
            <w:vAlign w:val="center"/>
          </w:tcPr>
          <w:p w14:paraId="57FBBAF5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délben</w:t>
            </w:r>
          </w:p>
        </w:tc>
        <w:tc>
          <w:tcPr>
            <w:tcW w:w="1200" w:type="dxa"/>
            <w:vAlign w:val="center"/>
          </w:tcPr>
          <w:p w14:paraId="6F402C6E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este</w:t>
            </w:r>
          </w:p>
        </w:tc>
        <w:tc>
          <w:tcPr>
            <w:tcW w:w="1483" w:type="dxa"/>
            <w:vAlign w:val="center"/>
          </w:tcPr>
          <w:p w14:paraId="0BF57997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este</w:t>
            </w:r>
          </w:p>
          <w:p w14:paraId="6346529F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 xml:space="preserve">(1 × naponta) </w:t>
            </w:r>
          </w:p>
        </w:tc>
      </w:tr>
      <w:tr w:rsidR="0031336A" w:rsidRPr="0092606E" w14:paraId="1E37BDBF" w14:textId="77777777">
        <w:trPr>
          <w:trHeight w:val="313"/>
        </w:trPr>
        <w:tc>
          <w:tcPr>
            <w:tcW w:w="1101" w:type="dxa"/>
            <w:vAlign w:val="center"/>
          </w:tcPr>
          <w:p w14:paraId="75AE2C0D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47–62</w:t>
            </w:r>
          </w:p>
        </w:tc>
        <w:tc>
          <w:tcPr>
            <w:tcW w:w="1275" w:type="dxa"/>
            <w:vAlign w:val="center"/>
          </w:tcPr>
          <w:p w14:paraId="35DCEB67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12–16</w:t>
            </w:r>
          </w:p>
        </w:tc>
        <w:tc>
          <w:tcPr>
            <w:tcW w:w="1221" w:type="dxa"/>
            <w:vAlign w:val="center"/>
          </w:tcPr>
          <w:p w14:paraId="773FB1D8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½</w:t>
            </w:r>
          </w:p>
        </w:tc>
        <w:tc>
          <w:tcPr>
            <w:tcW w:w="1199" w:type="dxa"/>
            <w:vAlign w:val="center"/>
          </w:tcPr>
          <w:p w14:paraId="6196AD18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½</w:t>
            </w:r>
          </w:p>
        </w:tc>
        <w:tc>
          <w:tcPr>
            <w:tcW w:w="1200" w:type="dxa"/>
            <w:vAlign w:val="center"/>
          </w:tcPr>
          <w:p w14:paraId="6C7B54D9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½</w:t>
            </w:r>
          </w:p>
        </w:tc>
        <w:tc>
          <w:tcPr>
            <w:tcW w:w="1483" w:type="dxa"/>
            <w:vAlign w:val="center"/>
          </w:tcPr>
          <w:p w14:paraId="5272EE95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 ½</w:t>
            </w:r>
          </w:p>
        </w:tc>
      </w:tr>
      <w:tr w:rsidR="0031336A" w:rsidRPr="0092606E" w14:paraId="2A690ECD" w14:textId="77777777">
        <w:trPr>
          <w:trHeight w:val="313"/>
        </w:trPr>
        <w:tc>
          <w:tcPr>
            <w:tcW w:w="1101" w:type="dxa"/>
            <w:vAlign w:val="center"/>
          </w:tcPr>
          <w:p w14:paraId="5B770647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63–78</w:t>
            </w:r>
          </w:p>
        </w:tc>
        <w:tc>
          <w:tcPr>
            <w:tcW w:w="1275" w:type="dxa"/>
            <w:vAlign w:val="center"/>
          </w:tcPr>
          <w:p w14:paraId="0038ACFC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13–16</w:t>
            </w:r>
          </w:p>
        </w:tc>
        <w:tc>
          <w:tcPr>
            <w:tcW w:w="1221" w:type="dxa"/>
            <w:vAlign w:val="center"/>
          </w:tcPr>
          <w:p w14:paraId="1950F533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½</w:t>
            </w:r>
          </w:p>
        </w:tc>
        <w:tc>
          <w:tcPr>
            <w:tcW w:w="1199" w:type="dxa"/>
            <w:vAlign w:val="center"/>
          </w:tcPr>
          <w:p w14:paraId="51DB5B1A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½</w:t>
            </w:r>
          </w:p>
        </w:tc>
        <w:tc>
          <w:tcPr>
            <w:tcW w:w="1200" w:type="dxa"/>
            <w:vAlign w:val="center"/>
          </w:tcPr>
          <w:p w14:paraId="6742D7C8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483" w:type="dxa"/>
            <w:vAlign w:val="center"/>
          </w:tcPr>
          <w:p w14:paraId="0A5CEFD2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2</w:t>
            </w:r>
          </w:p>
        </w:tc>
      </w:tr>
      <w:tr w:rsidR="0031336A" w:rsidRPr="0092606E" w14:paraId="40461D07" w14:textId="77777777">
        <w:trPr>
          <w:trHeight w:val="325"/>
        </w:trPr>
        <w:tc>
          <w:tcPr>
            <w:tcW w:w="1101" w:type="dxa"/>
            <w:vAlign w:val="center"/>
          </w:tcPr>
          <w:p w14:paraId="1B699B34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79–93</w:t>
            </w:r>
          </w:p>
        </w:tc>
        <w:tc>
          <w:tcPr>
            <w:tcW w:w="1275" w:type="dxa"/>
            <w:vAlign w:val="center"/>
          </w:tcPr>
          <w:p w14:paraId="3D73CD5E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13–16</w:t>
            </w:r>
          </w:p>
        </w:tc>
        <w:tc>
          <w:tcPr>
            <w:tcW w:w="1221" w:type="dxa"/>
            <w:vAlign w:val="center"/>
          </w:tcPr>
          <w:p w14:paraId="1E9A60D3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½</w:t>
            </w:r>
          </w:p>
        </w:tc>
        <w:tc>
          <w:tcPr>
            <w:tcW w:w="1199" w:type="dxa"/>
            <w:vAlign w:val="center"/>
          </w:tcPr>
          <w:p w14:paraId="238131AE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00" w:type="dxa"/>
            <w:vAlign w:val="center"/>
          </w:tcPr>
          <w:p w14:paraId="2E5BAE70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483" w:type="dxa"/>
            <w:vAlign w:val="center"/>
          </w:tcPr>
          <w:p w14:paraId="0E3FCA72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2 ½</w:t>
            </w:r>
          </w:p>
        </w:tc>
      </w:tr>
      <w:tr w:rsidR="0031336A" w:rsidRPr="0092606E" w14:paraId="7E9A1755" w14:textId="77777777">
        <w:trPr>
          <w:trHeight w:val="313"/>
        </w:trPr>
        <w:tc>
          <w:tcPr>
            <w:tcW w:w="1101" w:type="dxa"/>
            <w:vAlign w:val="center"/>
          </w:tcPr>
          <w:p w14:paraId="5CD4766C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94–109</w:t>
            </w:r>
          </w:p>
        </w:tc>
        <w:tc>
          <w:tcPr>
            <w:tcW w:w="1275" w:type="dxa"/>
            <w:vAlign w:val="center"/>
          </w:tcPr>
          <w:p w14:paraId="5DD0081E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14–16</w:t>
            </w:r>
          </w:p>
        </w:tc>
        <w:tc>
          <w:tcPr>
            <w:tcW w:w="1221" w:type="dxa"/>
            <w:vAlign w:val="center"/>
          </w:tcPr>
          <w:p w14:paraId="10D43C8B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199" w:type="dxa"/>
            <w:vAlign w:val="center"/>
          </w:tcPr>
          <w:p w14:paraId="39236B93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00" w:type="dxa"/>
            <w:vAlign w:val="center"/>
          </w:tcPr>
          <w:p w14:paraId="1EE2C065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483" w:type="dxa"/>
            <w:vAlign w:val="center"/>
          </w:tcPr>
          <w:p w14:paraId="7BFB9BEF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3</w:t>
            </w:r>
          </w:p>
        </w:tc>
      </w:tr>
      <w:tr w:rsidR="0031336A" w:rsidRPr="0092606E" w14:paraId="35F87655" w14:textId="77777777">
        <w:trPr>
          <w:trHeight w:val="325"/>
        </w:trPr>
        <w:tc>
          <w:tcPr>
            <w:tcW w:w="1101" w:type="dxa"/>
            <w:vAlign w:val="center"/>
          </w:tcPr>
          <w:p w14:paraId="787E0D4A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110 kg fölött</w:t>
            </w:r>
          </w:p>
        </w:tc>
        <w:tc>
          <w:tcPr>
            <w:tcW w:w="1275" w:type="dxa"/>
            <w:vAlign w:val="center"/>
          </w:tcPr>
          <w:p w14:paraId="16D0C200" w14:textId="77777777" w:rsidR="0031336A" w:rsidRPr="0092606E" w:rsidRDefault="003D3C88">
            <w:pPr>
              <w:pStyle w:val="Default"/>
              <w:rPr>
                <w:strike/>
                <w:sz w:val="22"/>
                <w:szCs w:val="22"/>
                <w:lang w:val="hu-HU"/>
              </w:rPr>
            </w:pPr>
            <w:r w:rsidRPr="0092606E">
              <w:rPr>
                <w:strike/>
                <w:sz w:val="22"/>
                <w:szCs w:val="22"/>
                <w:lang w:val="hu-HU"/>
              </w:rPr>
              <w:t>-</w:t>
            </w:r>
          </w:p>
        </w:tc>
        <w:tc>
          <w:tcPr>
            <w:tcW w:w="1221" w:type="dxa"/>
            <w:vAlign w:val="center"/>
          </w:tcPr>
          <w:p w14:paraId="61AF460D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199" w:type="dxa"/>
            <w:vAlign w:val="center"/>
          </w:tcPr>
          <w:p w14:paraId="1C1F4893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</w:t>
            </w:r>
          </w:p>
        </w:tc>
        <w:tc>
          <w:tcPr>
            <w:tcW w:w="1200" w:type="dxa"/>
            <w:vAlign w:val="center"/>
          </w:tcPr>
          <w:p w14:paraId="772FFFCC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1 ½</w:t>
            </w:r>
          </w:p>
        </w:tc>
        <w:tc>
          <w:tcPr>
            <w:tcW w:w="1483" w:type="dxa"/>
            <w:vAlign w:val="center"/>
          </w:tcPr>
          <w:p w14:paraId="0775317E" w14:textId="77777777" w:rsidR="0031336A" w:rsidRPr="0092606E" w:rsidRDefault="003D3C88">
            <w:pPr>
              <w:pStyle w:val="Default"/>
              <w:rPr>
                <w:sz w:val="22"/>
                <w:szCs w:val="22"/>
                <w:lang w:val="hu-HU"/>
              </w:rPr>
            </w:pPr>
            <w:r w:rsidRPr="0092606E">
              <w:rPr>
                <w:sz w:val="22"/>
                <w:szCs w:val="22"/>
                <w:lang w:val="hu-HU"/>
              </w:rPr>
              <w:t>3 ½</w:t>
            </w:r>
          </w:p>
        </w:tc>
      </w:tr>
    </w:tbl>
    <w:p w14:paraId="17E06044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15D9CBD3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Proursan alkalmazását PBC betegeknél határozatlan ideig lehet folytatni.</w:t>
      </w:r>
    </w:p>
    <w:p w14:paraId="5F6D1D31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7805BBD6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Lehetséges, hogy a primer biliaris cholangitisben szenvedő betegeknél a kezelés kezdetén a klinikai tünetek romlása, például a viszketés súlyosbodása figyelhető meg. Ha ez előfordul, a kezelést ½ Proursan filmtablettával kell folytatni, és fokozatosan kell továbbvinni a terápiát (növelni a napi adagot ½ filmtablettával hetente) addig, amíg a vonatkozó adagolási tervben szereplő adagot újra el nem érik.</w:t>
      </w:r>
    </w:p>
    <w:p w14:paraId="0F03F52F" w14:textId="77777777" w:rsidR="0031336A" w:rsidRPr="0092606E" w:rsidRDefault="0031336A">
      <w:pPr>
        <w:autoSpaceDE w:val="0"/>
        <w:autoSpaceDN w:val="0"/>
        <w:adjustRightInd w:val="0"/>
        <w:rPr>
          <w:i/>
          <w:iCs/>
          <w:lang w:val="hu-HU"/>
        </w:rPr>
      </w:pPr>
    </w:p>
    <w:p w14:paraId="25E1CA0B" w14:textId="77777777" w:rsidR="0031336A" w:rsidRPr="0092606E" w:rsidRDefault="003D3C88">
      <w:pPr>
        <w:keepNext/>
        <w:autoSpaceDE w:val="0"/>
        <w:autoSpaceDN w:val="0"/>
        <w:adjustRightInd w:val="0"/>
        <w:rPr>
          <w:i/>
          <w:iCs/>
          <w:u w:val="single"/>
          <w:lang w:val="hu-HU"/>
        </w:rPr>
      </w:pPr>
      <w:r w:rsidRPr="0092606E">
        <w:rPr>
          <w:i/>
          <w:iCs/>
          <w:u w:val="single"/>
          <w:lang w:val="hu-HU"/>
        </w:rPr>
        <w:t>Gyermekek és serdülők</w:t>
      </w:r>
    </w:p>
    <w:p w14:paraId="6210C3CA" w14:textId="2C996BCA" w:rsidR="0031336A" w:rsidRPr="0092606E" w:rsidRDefault="003D3C88">
      <w:pPr>
        <w:keepNext/>
        <w:autoSpaceDE w:val="0"/>
        <w:autoSpaceDN w:val="0"/>
        <w:adjustRightInd w:val="0"/>
        <w:rPr>
          <w:i/>
          <w:iCs/>
          <w:u w:val="single"/>
          <w:lang w:val="hu-HU"/>
        </w:rPr>
      </w:pPr>
      <w:r w:rsidRPr="0092606E">
        <w:rPr>
          <w:i/>
          <w:iCs/>
          <w:u w:val="single"/>
          <w:lang w:val="hu-HU"/>
        </w:rPr>
        <w:t>Cisztás fibrózisban szenvedő 6 és 18 év közötti gyermekek</w:t>
      </w:r>
    </w:p>
    <w:p w14:paraId="14C8E8A5" w14:textId="77777777" w:rsidR="007D7932" w:rsidRPr="0092606E" w:rsidRDefault="007D7932">
      <w:pPr>
        <w:keepNext/>
        <w:autoSpaceDE w:val="0"/>
        <w:autoSpaceDN w:val="0"/>
        <w:adjustRightInd w:val="0"/>
        <w:rPr>
          <w:i/>
          <w:u w:val="single"/>
          <w:lang w:val="hu-HU"/>
        </w:rPr>
      </w:pPr>
    </w:p>
    <w:p w14:paraId="3833F446" w14:textId="10EC1B0E" w:rsidR="0031336A" w:rsidRPr="0092606E" w:rsidRDefault="003D3C88">
      <w:pPr>
        <w:autoSpaceDE w:val="0"/>
        <w:autoSpaceDN w:val="0"/>
        <w:adjustRightInd w:val="0"/>
        <w:rPr>
          <w:lang w:val="hu-HU"/>
        </w:rPr>
      </w:pPr>
      <w:r w:rsidRPr="0092606E">
        <w:rPr>
          <w:lang w:val="hu-HU"/>
        </w:rPr>
        <w:t>20 mg/</w:t>
      </w:r>
      <w:r w:rsidR="007D7932" w:rsidRPr="0092606E">
        <w:rPr>
          <w:lang w:val="hu-HU"/>
        </w:rPr>
        <w:t>tt</w:t>
      </w:r>
      <w:r w:rsidRPr="0092606E">
        <w:rPr>
          <w:lang w:val="hu-HU"/>
        </w:rPr>
        <w:t>kg/nap 2–3 részre osztott adagokban, ami szükség esetén tovább növelhető 30 mg/kg/napig.</w:t>
      </w:r>
    </w:p>
    <w:p w14:paraId="3C2EFDBE" w14:textId="77777777" w:rsidR="0031336A" w:rsidRPr="0092606E" w:rsidRDefault="0031336A">
      <w:pPr>
        <w:autoSpaceDE w:val="0"/>
        <w:autoSpaceDN w:val="0"/>
        <w:adjustRightInd w:val="0"/>
        <w:rPr>
          <w:lang w:val="hu-HU"/>
        </w:rPr>
      </w:pPr>
    </w:p>
    <w:tbl>
      <w:tblPr>
        <w:tblW w:w="5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4"/>
        <w:gridCol w:w="1537"/>
        <w:gridCol w:w="1538"/>
        <w:gridCol w:w="1538"/>
      </w:tblGrid>
      <w:tr w:rsidR="0031336A" w:rsidRPr="0092606E" w14:paraId="7A1B62C9" w14:textId="77777777">
        <w:trPr>
          <w:trHeight w:val="20"/>
        </w:trPr>
        <w:tc>
          <w:tcPr>
            <w:tcW w:w="1384" w:type="dxa"/>
            <w:vMerge w:val="restart"/>
            <w:vAlign w:val="center"/>
          </w:tcPr>
          <w:p w14:paraId="71C93378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Testtömeg (kg)</w:t>
            </w:r>
          </w:p>
        </w:tc>
        <w:tc>
          <w:tcPr>
            <w:tcW w:w="4613" w:type="dxa"/>
            <w:gridSpan w:val="3"/>
            <w:vAlign w:val="center"/>
          </w:tcPr>
          <w:p w14:paraId="4EC86D71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lang w:val="hu-HU"/>
              </w:rPr>
              <w:t>Proursan 500 mg filmtabletta</w:t>
            </w:r>
          </w:p>
        </w:tc>
      </w:tr>
      <w:tr w:rsidR="0031336A" w:rsidRPr="0092606E" w14:paraId="5CF4C85D" w14:textId="77777777">
        <w:trPr>
          <w:trHeight w:val="148"/>
        </w:trPr>
        <w:tc>
          <w:tcPr>
            <w:tcW w:w="1384" w:type="dxa"/>
            <w:vMerge/>
            <w:vAlign w:val="center"/>
          </w:tcPr>
          <w:p w14:paraId="07A9B7F4" w14:textId="77777777" w:rsidR="0031336A" w:rsidRPr="0092606E" w:rsidRDefault="0031336A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</w:p>
        </w:tc>
        <w:tc>
          <w:tcPr>
            <w:tcW w:w="1537" w:type="dxa"/>
            <w:vAlign w:val="center"/>
          </w:tcPr>
          <w:p w14:paraId="1502B3BB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reggel</w:t>
            </w:r>
          </w:p>
        </w:tc>
        <w:tc>
          <w:tcPr>
            <w:tcW w:w="1538" w:type="dxa"/>
            <w:vAlign w:val="center"/>
          </w:tcPr>
          <w:p w14:paraId="23B5C73B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délben</w:t>
            </w:r>
          </w:p>
        </w:tc>
        <w:tc>
          <w:tcPr>
            <w:tcW w:w="1538" w:type="dxa"/>
            <w:vAlign w:val="center"/>
          </w:tcPr>
          <w:p w14:paraId="0FA8E20D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este</w:t>
            </w:r>
          </w:p>
        </w:tc>
      </w:tr>
      <w:tr w:rsidR="0031336A" w:rsidRPr="0092606E" w14:paraId="124BD506" w14:textId="77777777">
        <w:trPr>
          <w:trHeight w:val="320"/>
        </w:trPr>
        <w:tc>
          <w:tcPr>
            <w:tcW w:w="1384" w:type="dxa"/>
            <w:vAlign w:val="center"/>
          </w:tcPr>
          <w:p w14:paraId="35B7881B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20–29</w:t>
            </w:r>
          </w:p>
        </w:tc>
        <w:tc>
          <w:tcPr>
            <w:tcW w:w="1537" w:type="dxa"/>
            <w:vAlign w:val="center"/>
          </w:tcPr>
          <w:p w14:paraId="5CED31FF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½</w:t>
            </w:r>
          </w:p>
        </w:tc>
        <w:tc>
          <w:tcPr>
            <w:tcW w:w="1538" w:type="dxa"/>
            <w:vAlign w:val="center"/>
          </w:tcPr>
          <w:p w14:paraId="12A3FAB3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-</w:t>
            </w:r>
          </w:p>
        </w:tc>
        <w:tc>
          <w:tcPr>
            <w:tcW w:w="1538" w:type="dxa"/>
            <w:vAlign w:val="center"/>
          </w:tcPr>
          <w:p w14:paraId="37D5708E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½</w:t>
            </w:r>
          </w:p>
        </w:tc>
      </w:tr>
      <w:tr w:rsidR="0031336A" w:rsidRPr="0092606E" w14:paraId="170DE6B9" w14:textId="77777777">
        <w:trPr>
          <w:trHeight w:val="320"/>
        </w:trPr>
        <w:tc>
          <w:tcPr>
            <w:tcW w:w="1384" w:type="dxa"/>
            <w:vAlign w:val="center"/>
          </w:tcPr>
          <w:p w14:paraId="02380E11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30–39</w:t>
            </w:r>
          </w:p>
        </w:tc>
        <w:tc>
          <w:tcPr>
            <w:tcW w:w="1537" w:type="dxa"/>
            <w:vAlign w:val="center"/>
          </w:tcPr>
          <w:p w14:paraId="3B804F35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½</w:t>
            </w:r>
          </w:p>
        </w:tc>
        <w:tc>
          <w:tcPr>
            <w:tcW w:w="1538" w:type="dxa"/>
            <w:vAlign w:val="center"/>
          </w:tcPr>
          <w:p w14:paraId="446B8477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½</w:t>
            </w:r>
          </w:p>
        </w:tc>
        <w:tc>
          <w:tcPr>
            <w:tcW w:w="1538" w:type="dxa"/>
            <w:vAlign w:val="center"/>
          </w:tcPr>
          <w:p w14:paraId="6BC59C66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½</w:t>
            </w:r>
          </w:p>
        </w:tc>
      </w:tr>
      <w:tr w:rsidR="0031336A" w:rsidRPr="0092606E" w14:paraId="13657E80" w14:textId="77777777">
        <w:trPr>
          <w:trHeight w:val="320"/>
        </w:trPr>
        <w:tc>
          <w:tcPr>
            <w:tcW w:w="1384" w:type="dxa"/>
            <w:vAlign w:val="center"/>
          </w:tcPr>
          <w:p w14:paraId="0B590FD1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40–49</w:t>
            </w:r>
          </w:p>
        </w:tc>
        <w:tc>
          <w:tcPr>
            <w:tcW w:w="1537" w:type="dxa"/>
            <w:vAlign w:val="center"/>
          </w:tcPr>
          <w:p w14:paraId="72C078C6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½</w:t>
            </w:r>
          </w:p>
        </w:tc>
        <w:tc>
          <w:tcPr>
            <w:tcW w:w="1538" w:type="dxa"/>
            <w:vAlign w:val="center"/>
          </w:tcPr>
          <w:p w14:paraId="5CE63871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½</w:t>
            </w:r>
          </w:p>
        </w:tc>
        <w:tc>
          <w:tcPr>
            <w:tcW w:w="1538" w:type="dxa"/>
            <w:vAlign w:val="center"/>
          </w:tcPr>
          <w:p w14:paraId="07103247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</w:t>
            </w:r>
          </w:p>
        </w:tc>
      </w:tr>
      <w:tr w:rsidR="0031336A" w:rsidRPr="0092606E" w14:paraId="4861A258" w14:textId="77777777">
        <w:trPr>
          <w:trHeight w:val="308"/>
        </w:trPr>
        <w:tc>
          <w:tcPr>
            <w:tcW w:w="1384" w:type="dxa"/>
            <w:vAlign w:val="center"/>
          </w:tcPr>
          <w:p w14:paraId="37B2AA86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50–59</w:t>
            </w:r>
          </w:p>
        </w:tc>
        <w:tc>
          <w:tcPr>
            <w:tcW w:w="1537" w:type="dxa"/>
            <w:vAlign w:val="center"/>
          </w:tcPr>
          <w:p w14:paraId="5C44AF18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½</w:t>
            </w:r>
          </w:p>
        </w:tc>
        <w:tc>
          <w:tcPr>
            <w:tcW w:w="1538" w:type="dxa"/>
            <w:vAlign w:val="center"/>
          </w:tcPr>
          <w:p w14:paraId="51FE1272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</w:t>
            </w:r>
          </w:p>
        </w:tc>
        <w:tc>
          <w:tcPr>
            <w:tcW w:w="1538" w:type="dxa"/>
            <w:vAlign w:val="center"/>
          </w:tcPr>
          <w:p w14:paraId="1B167A61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</w:t>
            </w:r>
          </w:p>
        </w:tc>
      </w:tr>
      <w:tr w:rsidR="0031336A" w:rsidRPr="0092606E" w14:paraId="1485F1EA" w14:textId="77777777">
        <w:trPr>
          <w:trHeight w:val="332"/>
        </w:trPr>
        <w:tc>
          <w:tcPr>
            <w:tcW w:w="1384" w:type="dxa"/>
            <w:vAlign w:val="center"/>
          </w:tcPr>
          <w:p w14:paraId="649DF244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60–69</w:t>
            </w:r>
          </w:p>
        </w:tc>
        <w:tc>
          <w:tcPr>
            <w:tcW w:w="1537" w:type="dxa"/>
            <w:vAlign w:val="center"/>
          </w:tcPr>
          <w:p w14:paraId="1A6414EA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</w:t>
            </w:r>
          </w:p>
        </w:tc>
        <w:tc>
          <w:tcPr>
            <w:tcW w:w="1538" w:type="dxa"/>
            <w:vAlign w:val="center"/>
          </w:tcPr>
          <w:p w14:paraId="0C83124D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</w:t>
            </w:r>
          </w:p>
        </w:tc>
        <w:tc>
          <w:tcPr>
            <w:tcW w:w="1538" w:type="dxa"/>
            <w:vAlign w:val="center"/>
          </w:tcPr>
          <w:p w14:paraId="1B61DDC8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</w:t>
            </w:r>
          </w:p>
        </w:tc>
      </w:tr>
      <w:tr w:rsidR="0031336A" w:rsidRPr="0092606E" w14:paraId="2FE07470" w14:textId="77777777">
        <w:trPr>
          <w:trHeight w:val="320"/>
        </w:trPr>
        <w:tc>
          <w:tcPr>
            <w:tcW w:w="1384" w:type="dxa"/>
            <w:vAlign w:val="center"/>
          </w:tcPr>
          <w:p w14:paraId="719E5095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70–79</w:t>
            </w:r>
          </w:p>
        </w:tc>
        <w:tc>
          <w:tcPr>
            <w:tcW w:w="1537" w:type="dxa"/>
            <w:vAlign w:val="center"/>
          </w:tcPr>
          <w:p w14:paraId="61865545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</w:t>
            </w:r>
          </w:p>
        </w:tc>
        <w:tc>
          <w:tcPr>
            <w:tcW w:w="1538" w:type="dxa"/>
            <w:vAlign w:val="center"/>
          </w:tcPr>
          <w:p w14:paraId="79821CB1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</w:t>
            </w:r>
          </w:p>
        </w:tc>
        <w:tc>
          <w:tcPr>
            <w:tcW w:w="1538" w:type="dxa"/>
            <w:vAlign w:val="center"/>
          </w:tcPr>
          <w:p w14:paraId="0F93B055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1½</w:t>
            </w:r>
          </w:p>
        </w:tc>
      </w:tr>
      <w:tr w:rsidR="0031336A" w:rsidRPr="0092606E" w14:paraId="5AC0082D" w14:textId="77777777">
        <w:trPr>
          <w:trHeight w:val="320"/>
        </w:trPr>
        <w:tc>
          <w:tcPr>
            <w:tcW w:w="1384" w:type="dxa"/>
            <w:vAlign w:val="center"/>
          </w:tcPr>
          <w:p w14:paraId="50DFB212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80–89</w:t>
            </w:r>
          </w:p>
        </w:tc>
        <w:tc>
          <w:tcPr>
            <w:tcW w:w="1537" w:type="dxa"/>
            <w:vAlign w:val="center"/>
          </w:tcPr>
          <w:p w14:paraId="30BF3E06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</w:t>
            </w:r>
          </w:p>
        </w:tc>
        <w:tc>
          <w:tcPr>
            <w:tcW w:w="1538" w:type="dxa"/>
            <w:vAlign w:val="center"/>
          </w:tcPr>
          <w:p w14:paraId="33BB2BB8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1½</w:t>
            </w:r>
          </w:p>
        </w:tc>
        <w:tc>
          <w:tcPr>
            <w:tcW w:w="1538" w:type="dxa"/>
            <w:vAlign w:val="center"/>
          </w:tcPr>
          <w:p w14:paraId="2E890CE2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1½</w:t>
            </w:r>
          </w:p>
        </w:tc>
      </w:tr>
      <w:tr w:rsidR="0031336A" w:rsidRPr="0092606E" w14:paraId="47EA5ECE" w14:textId="77777777">
        <w:trPr>
          <w:trHeight w:val="320"/>
        </w:trPr>
        <w:tc>
          <w:tcPr>
            <w:tcW w:w="1384" w:type="dxa"/>
            <w:vAlign w:val="center"/>
          </w:tcPr>
          <w:p w14:paraId="14068A88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90–99</w:t>
            </w:r>
          </w:p>
        </w:tc>
        <w:tc>
          <w:tcPr>
            <w:tcW w:w="1537" w:type="dxa"/>
            <w:vAlign w:val="center"/>
          </w:tcPr>
          <w:p w14:paraId="59FD3143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1½</w:t>
            </w:r>
          </w:p>
        </w:tc>
        <w:tc>
          <w:tcPr>
            <w:tcW w:w="1538" w:type="dxa"/>
            <w:vAlign w:val="center"/>
          </w:tcPr>
          <w:p w14:paraId="6157B779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1½</w:t>
            </w:r>
          </w:p>
        </w:tc>
        <w:tc>
          <w:tcPr>
            <w:tcW w:w="1538" w:type="dxa"/>
            <w:vAlign w:val="center"/>
          </w:tcPr>
          <w:p w14:paraId="7D267884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1½</w:t>
            </w:r>
          </w:p>
        </w:tc>
      </w:tr>
      <w:tr w:rsidR="0031336A" w:rsidRPr="0092606E" w14:paraId="02947D18" w14:textId="77777777">
        <w:trPr>
          <w:trHeight w:val="308"/>
        </w:trPr>
        <w:tc>
          <w:tcPr>
            <w:tcW w:w="1384" w:type="dxa"/>
            <w:vAlign w:val="center"/>
          </w:tcPr>
          <w:p w14:paraId="0543F29C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lastRenderedPageBreak/>
              <w:t>100–109</w:t>
            </w:r>
          </w:p>
        </w:tc>
        <w:tc>
          <w:tcPr>
            <w:tcW w:w="1537" w:type="dxa"/>
            <w:vAlign w:val="center"/>
          </w:tcPr>
          <w:p w14:paraId="1ABF021F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1½</w:t>
            </w:r>
          </w:p>
        </w:tc>
        <w:tc>
          <w:tcPr>
            <w:tcW w:w="1538" w:type="dxa"/>
            <w:vAlign w:val="center"/>
          </w:tcPr>
          <w:p w14:paraId="2CC122A0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1½</w:t>
            </w:r>
          </w:p>
        </w:tc>
        <w:tc>
          <w:tcPr>
            <w:tcW w:w="1538" w:type="dxa"/>
            <w:vAlign w:val="center"/>
          </w:tcPr>
          <w:p w14:paraId="085A12EB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2</w:t>
            </w:r>
          </w:p>
        </w:tc>
      </w:tr>
      <w:tr w:rsidR="0031336A" w:rsidRPr="0092606E" w14:paraId="257B3A0B" w14:textId="77777777">
        <w:trPr>
          <w:trHeight w:val="332"/>
        </w:trPr>
        <w:tc>
          <w:tcPr>
            <w:tcW w:w="1384" w:type="dxa"/>
            <w:vAlign w:val="center"/>
          </w:tcPr>
          <w:p w14:paraId="158FAC48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110 kg fölött</w:t>
            </w:r>
          </w:p>
        </w:tc>
        <w:tc>
          <w:tcPr>
            <w:tcW w:w="1537" w:type="dxa"/>
            <w:vAlign w:val="center"/>
          </w:tcPr>
          <w:p w14:paraId="43D1003A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1½</w:t>
            </w:r>
          </w:p>
        </w:tc>
        <w:tc>
          <w:tcPr>
            <w:tcW w:w="1538" w:type="dxa"/>
            <w:vAlign w:val="center"/>
          </w:tcPr>
          <w:p w14:paraId="44029925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2</w:t>
            </w:r>
          </w:p>
        </w:tc>
        <w:tc>
          <w:tcPr>
            <w:tcW w:w="1538" w:type="dxa"/>
            <w:vAlign w:val="center"/>
          </w:tcPr>
          <w:p w14:paraId="32BA05BF" w14:textId="77777777" w:rsidR="0031336A" w:rsidRPr="0092606E" w:rsidRDefault="003D3C88">
            <w:pPr>
              <w:autoSpaceDE w:val="0"/>
              <w:autoSpaceDN w:val="0"/>
              <w:adjustRightInd w:val="0"/>
              <w:rPr>
                <w:color w:val="000000"/>
                <w:lang w:val="hu-HU"/>
              </w:rPr>
            </w:pPr>
            <w:r w:rsidRPr="0092606E">
              <w:rPr>
                <w:color w:val="000000"/>
                <w:lang w:val="hu-HU"/>
              </w:rPr>
              <w:t>2</w:t>
            </w:r>
          </w:p>
        </w:tc>
      </w:tr>
    </w:tbl>
    <w:p w14:paraId="036E80AE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414B4E08" w14:textId="77777777" w:rsidR="0031336A" w:rsidRPr="0092606E" w:rsidRDefault="003D3C88">
      <w:pPr>
        <w:pStyle w:val="Default"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lang w:val="hu-HU"/>
        </w:rPr>
        <w:t>A Proursan 6 éves kor alatti gyermekeknek nem alkalmas a gyógyszerforma és a hatáserősség miatt.</w:t>
      </w:r>
    </w:p>
    <w:p w14:paraId="00FD52F1" w14:textId="77777777" w:rsidR="0031336A" w:rsidRPr="0092606E" w:rsidRDefault="0031336A">
      <w:pPr>
        <w:pStyle w:val="Default"/>
        <w:rPr>
          <w:sz w:val="22"/>
          <w:szCs w:val="22"/>
          <w:u w:val="single"/>
          <w:lang w:val="hu-HU"/>
        </w:rPr>
      </w:pPr>
    </w:p>
    <w:p w14:paraId="11638659" w14:textId="77777777" w:rsidR="0031336A" w:rsidRPr="0092606E" w:rsidRDefault="0031336A">
      <w:pPr>
        <w:pStyle w:val="Default"/>
        <w:rPr>
          <w:sz w:val="22"/>
          <w:szCs w:val="22"/>
          <w:u w:val="single"/>
          <w:lang w:val="hu-HU"/>
        </w:rPr>
      </w:pPr>
    </w:p>
    <w:p w14:paraId="3225D0E9" w14:textId="77777777" w:rsidR="0031336A" w:rsidRPr="0092606E" w:rsidRDefault="003D3C88">
      <w:pPr>
        <w:pStyle w:val="Default"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Az alkalmazás módja</w:t>
      </w:r>
    </w:p>
    <w:p w14:paraId="6FCC520C" w14:textId="77777777" w:rsidR="0031336A" w:rsidRPr="0092606E" w:rsidRDefault="0031336A">
      <w:pPr>
        <w:pStyle w:val="Default"/>
        <w:rPr>
          <w:sz w:val="22"/>
          <w:szCs w:val="22"/>
          <w:u w:val="single"/>
          <w:lang w:val="hu-HU"/>
        </w:rPr>
      </w:pPr>
    </w:p>
    <w:p w14:paraId="0C747EED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filmtablettát folyadékkal szétrágás nélkül kell lenyelni.</w:t>
      </w:r>
    </w:p>
    <w:p w14:paraId="6C35FCD2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tablettát rendszeresen be kell venni.</w:t>
      </w:r>
    </w:p>
    <w:p w14:paraId="6E31035D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695B0962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4.3</w:t>
      </w:r>
      <w:r w:rsidRPr="0092606E">
        <w:rPr>
          <w:b/>
          <w:bCs/>
          <w:lang w:val="hu-HU"/>
        </w:rPr>
        <w:tab/>
        <w:t>Ellenjavallatok</w:t>
      </w:r>
    </w:p>
    <w:p w14:paraId="6483E584" w14:textId="77777777" w:rsidR="0031336A" w:rsidRPr="0092606E" w:rsidRDefault="0031336A">
      <w:pPr>
        <w:pStyle w:val="Odstavecseseznamem1"/>
        <w:keepNext/>
        <w:spacing w:after="0" w:line="240" w:lineRule="auto"/>
        <w:ind w:left="0"/>
        <w:contextualSpacing w:val="0"/>
        <w:rPr>
          <w:rFonts w:ascii="Times New Roman" w:hAnsi="Times New Roman"/>
          <w:lang w:val="hu-HU"/>
        </w:rPr>
      </w:pPr>
    </w:p>
    <w:p w14:paraId="3308EEE4" w14:textId="77777777" w:rsidR="0031336A" w:rsidRPr="0092606E" w:rsidRDefault="003D3C88">
      <w:pPr>
        <w:pStyle w:val="Odstavecseseznamem1"/>
        <w:keepNext/>
        <w:spacing w:after="0" w:line="240" w:lineRule="auto"/>
        <w:ind w:left="0"/>
        <w:contextualSpacing w:val="0"/>
        <w:rPr>
          <w:rFonts w:ascii="Times New Roman" w:hAnsi="Times New Roman"/>
          <w:lang w:val="hu-HU"/>
        </w:rPr>
      </w:pPr>
      <w:r w:rsidRPr="0092606E">
        <w:rPr>
          <w:rFonts w:ascii="Times New Roman" w:hAnsi="Times New Roman"/>
          <w:lang w:val="hu-HU"/>
        </w:rPr>
        <w:t>A Proursan nem alkakmazható olyan betegeknél, akiknél az alábbiak állnak fenn:</w:t>
      </w:r>
    </w:p>
    <w:p w14:paraId="78C176EB" w14:textId="77777777" w:rsidR="0031336A" w:rsidRPr="0092606E" w:rsidRDefault="003D3C88">
      <w:pPr>
        <w:ind w:left="567" w:hanging="567"/>
        <w:rPr>
          <w:lang w:val="hu-HU"/>
        </w:rPr>
      </w:pPr>
      <w:r w:rsidRPr="0092606E">
        <w:rPr>
          <w:lang w:val="hu-HU"/>
        </w:rPr>
        <w:t>-</w:t>
      </w:r>
      <w:r w:rsidRPr="0092606E">
        <w:rPr>
          <w:lang w:val="hu-HU"/>
        </w:rPr>
        <w:tab/>
        <w:t>az epesavakkal vagy a 6.1 pontban felsorolt bármely segédanyaggal szembeni túlérzékenység,</w:t>
      </w:r>
    </w:p>
    <w:p w14:paraId="30FC0A43" w14:textId="77777777" w:rsidR="0031336A" w:rsidRPr="0092606E" w:rsidRDefault="003D3C88">
      <w:pPr>
        <w:ind w:left="567" w:hanging="567"/>
        <w:rPr>
          <w:lang w:val="hu-HU"/>
        </w:rPr>
      </w:pPr>
      <w:r w:rsidRPr="0092606E">
        <w:rPr>
          <w:lang w:val="hu-HU"/>
        </w:rPr>
        <w:t>-</w:t>
      </w:r>
      <w:r w:rsidRPr="0092606E">
        <w:rPr>
          <w:lang w:val="hu-HU"/>
        </w:rPr>
        <w:tab/>
        <w:t>az epehólyag és az epeutak akut gyulladása,</w:t>
      </w:r>
    </w:p>
    <w:p w14:paraId="50226D9A" w14:textId="77777777" w:rsidR="0031336A" w:rsidRPr="0092606E" w:rsidRDefault="003D3C88">
      <w:pPr>
        <w:ind w:left="567" w:hanging="567"/>
        <w:rPr>
          <w:lang w:val="hu-HU"/>
        </w:rPr>
      </w:pPr>
      <w:r w:rsidRPr="0092606E">
        <w:rPr>
          <w:lang w:val="hu-HU"/>
        </w:rPr>
        <w:t>-</w:t>
      </w:r>
      <w:r w:rsidRPr="0092606E">
        <w:rPr>
          <w:lang w:val="hu-HU"/>
        </w:rPr>
        <w:tab/>
        <w:t>az epeutak elzáródása (az epevezeték vagy egy cisztás vezeték elzáródása),</w:t>
      </w:r>
    </w:p>
    <w:p w14:paraId="53D38ECD" w14:textId="77777777" w:rsidR="0031336A" w:rsidRPr="0092606E" w:rsidRDefault="003D3C88">
      <w:pPr>
        <w:ind w:left="567" w:hanging="567"/>
        <w:rPr>
          <w:lang w:val="hu-HU"/>
        </w:rPr>
      </w:pPr>
      <w:r w:rsidRPr="0092606E">
        <w:rPr>
          <w:lang w:val="hu-HU"/>
        </w:rPr>
        <w:t>-</w:t>
      </w:r>
      <w:r w:rsidRPr="0092606E">
        <w:rPr>
          <w:lang w:val="hu-HU"/>
        </w:rPr>
        <w:tab/>
        <w:t>gyakori epegörcsrohamok,</w:t>
      </w:r>
    </w:p>
    <w:p w14:paraId="761A30DA" w14:textId="2ABD95E4" w:rsidR="0031336A" w:rsidRPr="0092606E" w:rsidRDefault="003D3C88">
      <w:pPr>
        <w:ind w:left="567" w:hanging="567"/>
        <w:rPr>
          <w:lang w:val="hu-HU"/>
        </w:rPr>
      </w:pPr>
      <w:r w:rsidRPr="0092606E">
        <w:rPr>
          <w:lang w:val="hu-HU"/>
        </w:rPr>
        <w:t>-</w:t>
      </w:r>
      <w:r w:rsidRPr="0092606E">
        <w:rPr>
          <w:lang w:val="hu-HU"/>
        </w:rPr>
        <w:tab/>
      </w:r>
      <w:r w:rsidR="007D7932" w:rsidRPr="0092606E">
        <w:rPr>
          <w:lang w:val="hu-HU"/>
        </w:rPr>
        <w:t>röntgen árnyékot adó elmeszesedett</w:t>
      </w:r>
      <w:r w:rsidRPr="0092606E">
        <w:rPr>
          <w:lang w:val="hu-HU"/>
        </w:rPr>
        <w:t xml:space="preserve"> kalcifikálódott epekövek,</w:t>
      </w:r>
    </w:p>
    <w:p w14:paraId="65D107FD" w14:textId="77777777" w:rsidR="0031336A" w:rsidRPr="0092606E" w:rsidRDefault="003D3C88">
      <w:pPr>
        <w:ind w:left="567" w:hanging="567"/>
        <w:rPr>
          <w:lang w:val="hu-HU"/>
        </w:rPr>
      </w:pPr>
      <w:r w:rsidRPr="0092606E">
        <w:rPr>
          <w:lang w:val="hu-HU"/>
        </w:rPr>
        <w:t>-</w:t>
      </w:r>
      <w:r w:rsidRPr="0092606E">
        <w:rPr>
          <w:lang w:val="hu-HU"/>
        </w:rPr>
        <w:tab/>
        <w:t>az epehólyag csökkent kontraktilitása.</w:t>
      </w:r>
    </w:p>
    <w:p w14:paraId="1F2C6B39" w14:textId="77777777" w:rsidR="0031336A" w:rsidRPr="0092606E" w:rsidRDefault="0031336A">
      <w:pPr>
        <w:rPr>
          <w:lang w:val="hu-HU"/>
        </w:rPr>
      </w:pPr>
    </w:p>
    <w:p w14:paraId="061A3C48" w14:textId="77777777" w:rsidR="0031336A" w:rsidRPr="0092606E" w:rsidRDefault="003D3C88">
      <w:pPr>
        <w:keepNext/>
        <w:rPr>
          <w:rFonts w:eastAsia="Calibri"/>
          <w:u w:val="single"/>
          <w:lang w:val="hu-HU"/>
        </w:rPr>
      </w:pPr>
      <w:r w:rsidRPr="0092606E">
        <w:rPr>
          <w:u w:val="single"/>
          <w:lang w:val="hu-HU"/>
        </w:rPr>
        <w:t>Gyermekek és serdülők</w:t>
      </w:r>
    </w:p>
    <w:p w14:paraId="37875014" w14:textId="77777777" w:rsidR="0031336A" w:rsidRPr="0092606E" w:rsidRDefault="003D3C88">
      <w:pPr>
        <w:numPr>
          <w:ilvl w:val="0"/>
          <w:numId w:val="16"/>
        </w:numPr>
        <w:suppressAutoHyphens/>
        <w:ind w:left="357" w:hanging="357"/>
        <w:rPr>
          <w:rFonts w:eastAsiaTheme="minorEastAsia"/>
          <w:u w:val="single"/>
          <w:lang w:val="hu-HU"/>
        </w:rPr>
      </w:pPr>
      <w:r w:rsidRPr="0092606E">
        <w:rPr>
          <w:rFonts w:eastAsiaTheme="minorEastAsia"/>
          <w:lang w:val="hu-HU"/>
        </w:rPr>
        <w:t>sikertelen portoenterosztómia vagy a jó epeáramlás visszaállítás hiánya biliaris atresiában szenvedő gyerekeknél.</w:t>
      </w:r>
    </w:p>
    <w:p w14:paraId="5D17D266" w14:textId="77777777" w:rsidR="0031336A" w:rsidRPr="0092606E" w:rsidRDefault="0031336A">
      <w:pPr>
        <w:rPr>
          <w:lang w:val="hu-HU"/>
        </w:rPr>
      </w:pPr>
    </w:p>
    <w:p w14:paraId="75EF89AA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4.4</w:t>
      </w:r>
      <w:r w:rsidRPr="0092606E">
        <w:rPr>
          <w:b/>
          <w:bCs/>
          <w:lang w:val="hu-HU"/>
        </w:rPr>
        <w:tab/>
        <w:t>Különleges figyelmeztetések és az alkalmazással kapcsolatos óvintézkedések</w:t>
      </w:r>
    </w:p>
    <w:p w14:paraId="01812D35" w14:textId="77777777" w:rsidR="0031336A" w:rsidRPr="0092606E" w:rsidRDefault="0031336A">
      <w:pPr>
        <w:keepNext/>
        <w:rPr>
          <w:lang w:val="hu-HU"/>
        </w:rPr>
      </w:pPr>
    </w:p>
    <w:p w14:paraId="53AFF3D7" w14:textId="77777777" w:rsidR="0031336A" w:rsidRPr="0092606E" w:rsidRDefault="003D3C88">
      <w:pPr>
        <w:pStyle w:val="Default"/>
        <w:ind w:left="1200" w:hanging="1200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Proursan filmtablettát orvosi felügyelet mellett kell szedni.</w:t>
      </w:r>
    </w:p>
    <w:p w14:paraId="202A51AE" w14:textId="77777777" w:rsidR="0031336A" w:rsidRPr="0092606E" w:rsidRDefault="0031336A">
      <w:pPr>
        <w:pStyle w:val="Default"/>
        <w:ind w:left="1200" w:hanging="1200"/>
        <w:rPr>
          <w:sz w:val="22"/>
          <w:szCs w:val="22"/>
          <w:lang w:val="hu-HU"/>
        </w:rPr>
      </w:pPr>
    </w:p>
    <w:p w14:paraId="128C4599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Proursan 47 kg és ennél nagyobb testtömegű betegek számára megfelelő. A 47 kg-nál kisebb testtömegű betegek vagy azok számára akik nem tudják lenyelni a Proursan filmtablettát, elérhető más, urzodezoxikólsavat tartalmazó gyógyszerforma (szuszpenzió).</w:t>
      </w:r>
    </w:p>
    <w:p w14:paraId="2A56B9B4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5C1EEDEE" w14:textId="462C1B6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 xml:space="preserve">A kezelés első három hónapjában a májfunkciós paramétereket: </w:t>
      </w:r>
      <w:r w:rsidR="007D7932" w:rsidRPr="0092606E">
        <w:rPr>
          <w:sz w:val="22"/>
          <w:szCs w:val="22"/>
          <w:lang w:val="hu-HU"/>
        </w:rPr>
        <w:t>SGOT (ASAT), SGPT (ALAT)</w:t>
      </w:r>
      <w:r w:rsidRPr="0092606E">
        <w:rPr>
          <w:sz w:val="22"/>
          <w:szCs w:val="22"/>
          <w:lang w:val="hu-HU"/>
        </w:rPr>
        <w:t xml:space="preserve"> és γ-GT a kezelőorvosnak 4 hetenként monitoroznia kell, azután pedig 3 havonta. Amellett, hogy lehetővé teszi primer biliaris cholangitisben szenvedők között a reagálók és nem reagálók azonosításását, ez a monitorozás szintén lehetővé teszi a potenciális májkárosodás korai felismerését, különösen előrehaladott primer biliaris cholangitisben szenvedő betegeknél.</w:t>
      </w:r>
    </w:p>
    <w:p w14:paraId="299A9E80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2BBF6294" w14:textId="77777777" w:rsidR="0031336A" w:rsidRPr="0092606E" w:rsidRDefault="003D3C88">
      <w:pPr>
        <w:keepNext/>
        <w:rPr>
          <w:lang w:val="hu-HU"/>
        </w:rPr>
      </w:pPr>
      <w:r w:rsidRPr="0092606E">
        <w:rPr>
          <w:u w:val="single"/>
          <w:lang w:val="hu-HU"/>
        </w:rPr>
        <w:t>Ha az epehólyagban található koleszterin epekövek feloldására használják</w:t>
      </w:r>
    </w:p>
    <w:p w14:paraId="68358594" w14:textId="25241483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A terápiás előrehaladás értékelése és az epekövek esetleges </w:t>
      </w:r>
      <w:r w:rsidR="007D7932" w:rsidRPr="0092606E">
        <w:rPr>
          <w:lang w:val="hu-HU"/>
        </w:rPr>
        <w:t>elmeszesedésének</w:t>
      </w:r>
      <w:r w:rsidRPr="0092606E">
        <w:rPr>
          <w:lang w:val="hu-HU"/>
        </w:rPr>
        <w:t xml:space="preserve"> időben történő felismerése érdekében az epehólyagot vizualizálni kell (oralis cholecystographia) áttekintő nézetben és elzáródás nézetben álló és hanyatt fekvő helyzetben (ultrahangos kontroll) 6-10 hónappal a kezelés megkezdése után.</w:t>
      </w:r>
    </w:p>
    <w:p w14:paraId="68527959" w14:textId="77777777" w:rsidR="0031336A" w:rsidRPr="0092606E" w:rsidRDefault="0031336A">
      <w:pPr>
        <w:rPr>
          <w:lang w:val="hu-HU"/>
        </w:rPr>
      </w:pPr>
    </w:p>
    <w:p w14:paraId="3F062B77" w14:textId="7E91A428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Ha az epehólyag nem </w:t>
      </w:r>
      <w:r w:rsidR="007D7932" w:rsidRPr="0092606E">
        <w:rPr>
          <w:lang w:val="hu-HU"/>
        </w:rPr>
        <w:t xml:space="preserve">látható </w:t>
      </w:r>
      <w:r w:rsidRPr="0092606E">
        <w:rPr>
          <w:lang w:val="hu-HU"/>
        </w:rPr>
        <w:t xml:space="preserve">röntgenfelvételen vagy ha a kövek </w:t>
      </w:r>
      <w:r w:rsidR="007D7932" w:rsidRPr="0092606E">
        <w:rPr>
          <w:lang w:val="hu-HU"/>
        </w:rPr>
        <w:t>elmeszesedtek</w:t>
      </w:r>
      <w:r w:rsidRPr="0092606E">
        <w:rPr>
          <w:lang w:val="hu-HU"/>
        </w:rPr>
        <w:t>, csökkent az epehólyag kontraktilitása vagy gyakori epegörcs rohamok jelentkeznek, a Proursan filmtablettát nem szabad alkalmazni.</w:t>
      </w:r>
    </w:p>
    <w:p w14:paraId="6ABE4FCA" w14:textId="77777777" w:rsidR="0031336A" w:rsidRPr="0092606E" w:rsidRDefault="0031336A">
      <w:pPr>
        <w:rPr>
          <w:lang w:val="hu-HU"/>
        </w:rPr>
      </w:pPr>
    </w:p>
    <w:p w14:paraId="2207F73D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Proursan filmtablettát epekő feloldásra szedő nőbetegeknek hatékony nem hormonális fogamzásgátlást kell alkalmazniuk, mivel a hormonális fogamzásgátlók fokozhatják a biliaris lithiasist (lásd 4.5 és 4.6 pont).</w:t>
      </w:r>
    </w:p>
    <w:p w14:paraId="26A4A67E" w14:textId="77777777" w:rsidR="0031336A" w:rsidRPr="0092606E" w:rsidRDefault="0031336A">
      <w:pPr>
        <w:rPr>
          <w:lang w:val="hu-HU"/>
        </w:rPr>
      </w:pPr>
    </w:p>
    <w:p w14:paraId="1594069E" w14:textId="77777777" w:rsidR="0031336A" w:rsidRPr="0092606E" w:rsidRDefault="003D3C88">
      <w:pPr>
        <w:keepNext/>
        <w:rPr>
          <w:u w:val="single"/>
          <w:lang w:val="hu-HU"/>
        </w:rPr>
      </w:pPr>
      <w:r w:rsidRPr="0092606E">
        <w:rPr>
          <w:u w:val="single"/>
          <w:lang w:val="hu-HU"/>
        </w:rPr>
        <w:t>Ha a primer biliaris cholangitis (PBC) előrehaladott állapotának kezelésére használják</w:t>
      </w:r>
    </w:p>
    <w:p w14:paraId="6ACEA2E1" w14:textId="06677A15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Nagyon ritka esetekben a májcirrózis dekompenzációját figyelték meg, amely részben </w:t>
      </w:r>
      <w:r w:rsidR="007D7932" w:rsidRPr="0092606E">
        <w:rPr>
          <w:lang w:val="hu-HU"/>
        </w:rPr>
        <w:t>visszafejlődött</w:t>
      </w:r>
      <w:r w:rsidRPr="0092606E">
        <w:rPr>
          <w:lang w:val="hu-HU"/>
        </w:rPr>
        <w:t xml:space="preserve"> a kezelés abbahagyását követően.</w:t>
      </w:r>
    </w:p>
    <w:p w14:paraId="144B7685" w14:textId="77777777" w:rsidR="0031336A" w:rsidRPr="0092606E" w:rsidRDefault="0031336A">
      <w:pPr>
        <w:rPr>
          <w:lang w:val="hu-HU"/>
        </w:rPr>
      </w:pPr>
    </w:p>
    <w:p w14:paraId="2E0E8BA2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PBC-ben szenvedő betegeknél, ritka esetben a klinikai tünetek rosszabbodhatnak a kezelés kezdetén, például a viszketés fokozódhat. Ebben az esetben a Proursan filmtabletta adagját ½ Proursan 500 mg filmtablettára kell csökkenteni, majd fokozatosan kell újra növelni a 4.2 pontban ismertetett módon.</w:t>
      </w:r>
    </w:p>
    <w:p w14:paraId="7F0F8BFB" w14:textId="77777777" w:rsidR="0031336A" w:rsidRPr="0092606E" w:rsidRDefault="0031336A">
      <w:pPr>
        <w:rPr>
          <w:lang w:val="hu-HU"/>
        </w:rPr>
      </w:pPr>
    </w:p>
    <w:p w14:paraId="127A1CFD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Ha hasmenés lép fel, az adagot csökkenteni kell, tartós hasmenés esetén pedig a terápiát abba kell hagyni.</w:t>
      </w:r>
    </w:p>
    <w:p w14:paraId="71B6D2AD" w14:textId="77777777" w:rsidR="0031336A" w:rsidRPr="0092606E" w:rsidRDefault="0031336A">
      <w:pPr>
        <w:rPr>
          <w:lang w:val="hu-HU"/>
        </w:rPr>
      </w:pPr>
    </w:p>
    <w:p w14:paraId="0DBD1C9B" w14:textId="4AC31A8C" w:rsidR="0031336A" w:rsidRPr="0092606E" w:rsidRDefault="003D3C88">
      <w:pPr>
        <w:rPr>
          <w:u w:val="single"/>
          <w:lang w:val="hu-HU"/>
        </w:rPr>
      </w:pPr>
      <w:r w:rsidRPr="0092606E">
        <w:rPr>
          <w:u w:val="single"/>
          <w:lang w:val="hu-HU"/>
        </w:rPr>
        <w:t xml:space="preserve">A Proursan nátriumot tartalmaz </w:t>
      </w:r>
      <w:r w:rsidR="007D7932" w:rsidRPr="0092606E">
        <w:rPr>
          <w:u w:val="single"/>
          <w:lang w:val="hu-HU"/>
        </w:rPr>
        <w:t>[karboximetil-keményítő-nátrium (A típusú)]</w:t>
      </w:r>
    </w:p>
    <w:p w14:paraId="2AFF0D33" w14:textId="77777777" w:rsidR="0031336A" w:rsidRPr="0092606E" w:rsidRDefault="003D3C88">
      <w:pPr>
        <w:autoSpaceDE w:val="0"/>
        <w:autoSpaceDN w:val="0"/>
        <w:adjustRightInd w:val="0"/>
        <w:rPr>
          <w:lang w:val="hu-HU"/>
        </w:rPr>
      </w:pPr>
      <w:r w:rsidRPr="0092606E">
        <w:rPr>
          <w:lang w:val="hu-HU"/>
        </w:rPr>
        <w:t>Ez a gyógyszer kevesebb mint 1 mmol nátriumot (23 mg) tartalmaz tablettánként, azaz lényegében ‘nátriummentes’.</w:t>
      </w:r>
    </w:p>
    <w:p w14:paraId="15AA1B6C" w14:textId="77777777" w:rsidR="0031336A" w:rsidRPr="0092606E" w:rsidRDefault="0031336A">
      <w:pPr>
        <w:rPr>
          <w:lang w:val="hu-HU"/>
        </w:rPr>
      </w:pPr>
    </w:p>
    <w:p w14:paraId="39EAB30F" w14:textId="30241B86" w:rsidR="0031336A" w:rsidRPr="0092606E" w:rsidRDefault="0031336A">
      <w:pPr>
        <w:rPr>
          <w:lang w:val="hu-HU"/>
        </w:rPr>
      </w:pPr>
    </w:p>
    <w:p w14:paraId="7BE42275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4.5</w:t>
      </w:r>
      <w:r w:rsidRPr="0092606E">
        <w:rPr>
          <w:b/>
          <w:bCs/>
          <w:lang w:val="hu-HU"/>
        </w:rPr>
        <w:tab/>
        <w:t>Gyógyszerkölcsönhatások és egyéb interakciók</w:t>
      </w:r>
    </w:p>
    <w:p w14:paraId="7A0AE4CD" w14:textId="77777777" w:rsidR="0031336A" w:rsidRPr="0092606E" w:rsidRDefault="0031336A">
      <w:pPr>
        <w:keepNext/>
        <w:rPr>
          <w:lang w:val="hu-HU"/>
        </w:rPr>
      </w:pPr>
    </w:p>
    <w:p w14:paraId="0EF887E2" w14:textId="1D3FEA3D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 xml:space="preserve">A Proursan nem adható egyidejűleg kolesztiraminnal, kolesztipollal vagy alumínium-hidroxidot és/vagy szmektitet (alumínium-oxidot) tartalmazó </w:t>
      </w:r>
      <w:r w:rsidR="007D7932" w:rsidRPr="0092606E">
        <w:rPr>
          <w:sz w:val="22"/>
          <w:szCs w:val="22"/>
          <w:lang w:val="hu-HU"/>
        </w:rPr>
        <w:t>antacidumokkal</w:t>
      </w:r>
      <w:r w:rsidRPr="0092606E">
        <w:rPr>
          <w:sz w:val="22"/>
          <w:szCs w:val="22"/>
          <w:lang w:val="hu-HU"/>
        </w:rPr>
        <w:t>, mert ezek a készítmények megkötik az urzodezoxikólsavat a bélben, és ezáltal gátolják felszívódását és hatékonyságát. Ha ezen hatóanyagok valamelyikét tartalmazó készítmény alkalmazása mégis szükséges lenne, azt legalább 2</w:t>
      </w:r>
      <w:r w:rsidR="007D7932" w:rsidRPr="0092606E">
        <w:rPr>
          <w:sz w:val="22"/>
          <w:szCs w:val="22"/>
          <w:lang w:val="hu-HU"/>
        </w:rPr>
        <w:t> </w:t>
      </w:r>
      <w:r w:rsidRPr="0092606E">
        <w:rPr>
          <w:sz w:val="22"/>
          <w:szCs w:val="22"/>
          <w:lang w:val="hu-HU"/>
        </w:rPr>
        <w:t>órával a Proursan bevétele előtt vagy után kell bevenni.</w:t>
      </w:r>
    </w:p>
    <w:p w14:paraId="6F81A2DE" w14:textId="0EC4EEAE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Az urzodezoxikólsav befolyásolhatja a ciklosporin felszívódását a bélből. A ciklosporinkezelést kapó betegek vérk</w:t>
      </w:r>
      <w:r w:rsidR="007D7932" w:rsidRPr="0092606E">
        <w:rPr>
          <w:sz w:val="22"/>
          <w:szCs w:val="22"/>
          <w:lang w:val="hu-HU"/>
        </w:rPr>
        <w:t>szintjét</w:t>
      </w:r>
      <w:r w:rsidRPr="0092606E">
        <w:rPr>
          <w:sz w:val="22"/>
          <w:szCs w:val="22"/>
          <w:lang w:val="hu-HU"/>
        </w:rPr>
        <w:t xml:space="preserve"> ezért ellenőriznie kell az orvosnak, és a ciklosporin adagját szükség szerint módosítani kell.</w:t>
      </w:r>
    </w:p>
    <w:p w14:paraId="5B522093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78B8800A" w14:textId="5C8B61AE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Izolált esetekben az urzodezoxikólsav csökkentheti a ciprofl</w:t>
      </w:r>
      <w:r w:rsidR="00B7284A">
        <w:rPr>
          <w:sz w:val="22"/>
          <w:szCs w:val="22"/>
          <w:lang w:val="hu-HU"/>
        </w:rPr>
        <w:t>o</w:t>
      </w:r>
      <w:r w:rsidRPr="0092606E">
        <w:rPr>
          <w:sz w:val="22"/>
          <w:szCs w:val="22"/>
          <w:lang w:val="hu-HU"/>
        </w:rPr>
        <w:t>xacin felszívódását.</w:t>
      </w:r>
    </w:p>
    <w:p w14:paraId="5914FB43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14F82E75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Egy egészséges önkéntesen végzett klinikai vizsgálatban az UDCA (500 mg/nap) és a rozuvasztatin (20 mg/nap) együttes alkalmazása a rozuvasztatin kissé emelkedett plazmaszintjét eredményezte. Ennek a kölcsönhatásnak a klinikai relevanciája nem ismert más sztatinok vonatkozásában.</w:t>
      </w:r>
    </w:p>
    <w:p w14:paraId="101AEE50" w14:textId="77777777" w:rsidR="0031336A" w:rsidRPr="0092606E" w:rsidRDefault="0031336A">
      <w:pPr>
        <w:rPr>
          <w:lang w:val="hu-HU"/>
        </w:rPr>
      </w:pPr>
    </w:p>
    <w:p w14:paraId="74352231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Az urzodezoxikólsavról kimutatták, hogy csökkenti a kalcium antagonista nitrendipin plazma csúcskoncentrációját (C</w:t>
      </w:r>
      <w:r w:rsidRPr="0092606E">
        <w:rPr>
          <w:vertAlign w:val="subscript"/>
          <w:lang w:val="hu-HU"/>
        </w:rPr>
        <w:t>max</w:t>
      </w:r>
      <w:r w:rsidRPr="0092606E">
        <w:rPr>
          <w:lang w:val="hu-HU"/>
        </w:rPr>
        <w:t xml:space="preserve">) és görbe alatti területét (AUC). A nitrendipin és urzodezoxikólsav együttes alkalmazásának következményeit ajánlatos szorosan monitorozni. Szükség lehet a nitrendipine adagjának emelésére. A dapszon terápiás hatását csökkentő interakcióról is beszámoltak. Ezek a megfigyelések, az </w:t>
      </w:r>
      <w:r w:rsidRPr="0092606E">
        <w:rPr>
          <w:i/>
          <w:iCs/>
          <w:lang w:val="hu-HU"/>
        </w:rPr>
        <w:t>in vitro</w:t>
      </w:r>
      <w:r w:rsidRPr="0092606E">
        <w:rPr>
          <w:lang w:val="hu-HU"/>
        </w:rPr>
        <w:t xml:space="preserve"> eredményekkel együtt jelezhetik annak lehetőségét, hogy az urzodezoxikólsav indukálhatja a citokróm P450 3A enzimeket.</w:t>
      </w:r>
    </w:p>
    <w:p w14:paraId="356D954E" w14:textId="34054BD3" w:rsidR="0031336A" w:rsidRPr="0092606E" w:rsidRDefault="003D3C88">
      <w:pPr>
        <w:rPr>
          <w:lang w:val="hu-HU"/>
        </w:rPr>
      </w:pPr>
      <w:r w:rsidRPr="0092606E">
        <w:rPr>
          <w:lang w:val="hu-HU"/>
        </w:rPr>
        <w:t>Ugyanakkor ezt az indukciót nem figyelték meg a bude</w:t>
      </w:r>
      <w:r w:rsidR="007D7932" w:rsidRPr="0092606E">
        <w:rPr>
          <w:lang w:val="hu-HU"/>
        </w:rPr>
        <w:t>z</w:t>
      </w:r>
      <w:r w:rsidRPr="0092606E">
        <w:rPr>
          <w:lang w:val="hu-HU"/>
        </w:rPr>
        <w:t>oniddal, egy közismert citokróm P450 3A szubsztráttal végzett, jól megtervezett interakciós vizsgálatban.</w:t>
      </w:r>
    </w:p>
    <w:p w14:paraId="4805B391" w14:textId="77777777" w:rsidR="0031336A" w:rsidRPr="0092606E" w:rsidRDefault="0031336A">
      <w:pPr>
        <w:rPr>
          <w:lang w:val="hu-HU"/>
        </w:rPr>
      </w:pPr>
    </w:p>
    <w:p w14:paraId="1DC6A08A" w14:textId="469EB0FA" w:rsidR="0031336A" w:rsidRPr="0092606E" w:rsidRDefault="003D3C88">
      <w:pPr>
        <w:rPr>
          <w:lang w:val="hu-HU"/>
        </w:rPr>
      </w:pPr>
      <w:r w:rsidRPr="0092606E">
        <w:rPr>
          <w:lang w:val="hu-HU"/>
        </w:rPr>
        <w:t>Az ösztrogénhormonok és vér</w:t>
      </w:r>
      <w:r w:rsidR="00066453" w:rsidRPr="0092606E">
        <w:rPr>
          <w:lang w:val="hu-HU"/>
        </w:rPr>
        <w:t xml:space="preserve"> </w:t>
      </w:r>
      <w:r w:rsidRPr="0092606E">
        <w:rPr>
          <w:lang w:val="hu-HU"/>
        </w:rPr>
        <w:t>koleszterin</w:t>
      </w:r>
      <w:r w:rsidR="00066453" w:rsidRPr="0092606E">
        <w:rPr>
          <w:lang w:val="hu-HU"/>
        </w:rPr>
        <w:t xml:space="preserve">szintjét </w:t>
      </w:r>
      <w:r w:rsidRPr="0092606E">
        <w:rPr>
          <w:lang w:val="hu-HU"/>
        </w:rPr>
        <w:t xml:space="preserve">csökkentő </w:t>
      </w:r>
      <w:r w:rsidR="00066453" w:rsidRPr="0092606E">
        <w:rPr>
          <w:lang w:val="hu-HU"/>
        </w:rPr>
        <w:t>gyógy</w:t>
      </w:r>
      <w:r w:rsidRPr="0092606E">
        <w:rPr>
          <w:lang w:val="hu-HU"/>
        </w:rPr>
        <w:t>szerek, például a klofibrát, fokozzák a máj koleszterinkiválasztását, és ezáltal elősegíthetik az epekő képződését, ami az urzodezoxikólsav epekőfeloldó hatásá</w:t>
      </w:r>
      <w:r w:rsidR="00066453" w:rsidRPr="0092606E">
        <w:rPr>
          <w:lang w:val="hu-HU"/>
        </w:rPr>
        <w:t>val ellentétes</w:t>
      </w:r>
      <w:r w:rsidRPr="0092606E">
        <w:rPr>
          <w:lang w:val="hu-HU"/>
        </w:rPr>
        <w:t>.</w:t>
      </w:r>
    </w:p>
    <w:p w14:paraId="68097FF5" w14:textId="77777777" w:rsidR="0031336A" w:rsidRPr="0092606E" w:rsidRDefault="0031336A">
      <w:pPr>
        <w:rPr>
          <w:lang w:val="hu-HU"/>
        </w:rPr>
      </w:pPr>
    </w:p>
    <w:p w14:paraId="4F7ED230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4.6</w:t>
      </w:r>
      <w:r w:rsidRPr="0092606E">
        <w:rPr>
          <w:b/>
          <w:bCs/>
          <w:lang w:val="hu-HU"/>
        </w:rPr>
        <w:tab/>
        <w:t>Termékenység, terhesség és szoptatás</w:t>
      </w:r>
    </w:p>
    <w:p w14:paraId="4F5262C3" w14:textId="77777777" w:rsidR="0031336A" w:rsidRPr="0092606E" w:rsidRDefault="0031336A">
      <w:pPr>
        <w:keepNext/>
        <w:rPr>
          <w:lang w:val="hu-HU"/>
        </w:rPr>
      </w:pPr>
    </w:p>
    <w:p w14:paraId="26A3BF30" w14:textId="77777777" w:rsidR="0031336A" w:rsidRPr="0092606E" w:rsidRDefault="003D3C88">
      <w:pPr>
        <w:keepNext/>
        <w:autoSpaceDE w:val="0"/>
        <w:autoSpaceDN w:val="0"/>
        <w:adjustRightInd w:val="0"/>
        <w:rPr>
          <w:color w:val="000000"/>
          <w:u w:val="single"/>
          <w:lang w:val="hu-HU"/>
        </w:rPr>
      </w:pPr>
      <w:r w:rsidRPr="0092606E">
        <w:rPr>
          <w:color w:val="000000"/>
          <w:u w:val="single"/>
          <w:lang w:val="hu-HU"/>
        </w:rPr>
        <w:t>Terhesség</w:t>
      </w:r>
    </w:p>
    <w:p w14:paraId="72EA60F0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Az urzodezoxikólsav terhes nőknél történő alkalmazása tekintetében nem áll rendelkezésre információ vagy korlátozott mennyiségű információ áll rendelkezésre. Az állatkísérletek reproduktív toxicitást mutattak ki a terhesség korai szakaszában (lásd 5.3. pont). A Proursan csak akkor alkalmazható terhesség alatt, ha feltétlenül szükséges.</w:t>
      </w:r>
    </w:p>
    <w:p w14:paraId="2495C27D" w14:textId="77777777" w:rsidR="0031336A" w:rsidRPr="0092606E" w:rsidRDefault="0031336A">
      <w:pPr>
        <w:rPr>
          <w:lang w:val="hu-HU"/>
        </w:rPr>
      </w:pPr>
    </w:p>
    <w:p w14:paraId="2052ED16" w14:textId="50F833FF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fogamzóképes nőket csak akkor szabad kezelni, ha megbízható fogamzásgátlást alkalmaznak; nem hormonális vagy alacsony ösztrogéntartalmú orális fogamzásgátló módszer javasolt. Ugyanakkor a Proursan filmtablettát epekő feloldására szedő nőbetegeknek hatékony nem hormonális fogamzásgátlást kell alkalmazniuk, mivel a szájon át alkalmazott hormonális fogamzásgátlók fokozhatják a</w:t>
      </w:r>
      <w:r w:rsidR="00066453" w:rsidRPr="0092606E">
        <w:rPr>
          <w:lang w:val="hu-HU"/>
        </w:rPr>
        <w:t>z</w:t>
      </w:r>
      <w:r w:rsidRPr="0092606E">
        <w:rPr>
          <w:lang w:val="hu-HU"/>
        </w:rPr>
        <w:t xml:space="preserve"> </w:t>
      </w:r>
      <w:r w:rsidR="00066453" w:rsidRPr="0092606E">
        <w:rPr>
          <w:lang w:val="hu-HU"/>
        </w:rPr>
        <w:t>epekőképződést</w:t>
      </w:r>
      <w:r w:rsidRPr="0092606E">
        <w:rPr>
          <w:lang w:val="hu-HU"/>
        </w:rPr>
        <w:t>.</w:t>
      </w:r>
    </w:p>
    <w:p w14:paraId="285E16E5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lastRenderedPageBreak/>
        <w:t>A terhesség lehetőségét a kezelés megkezdése előtt ki kell zárni.</w:t>
      </w:r>
    </w:p>
    <w:p w14:paraId="3CA127FB" w14:textId="77777777" w:rsidR="0031336A" w:rsidRPr="0092606E" w:rsidRDefault="0031336A">
      <w:pPr>
        <w:rPr>
          <w:lang w:val="hu-HU"/>
        </w:rPr>
      </w:pPr>
    </w:p>
    <w:p w14:paraId="0D87AB64" w14:textId="77777777" w:rsidR="0031336A" w:rsidRPr="0092606E" w:rsidRDefault="003D3C88">
      <w:pPr>
        <w:keepNext/>
        <w:autoSpaceDE w:val="0"/>
        <w:autoSpaceDN w:val="0"/>
        <w:adjustRightInd w:val="0"/>
        <w:rPr>
          <w:color w:val="000000"/>
          <w:u w:val="single"/>
          <w:lang w:val="hu-HU"/>
        </w:rPr>
      </w:pPr>
      <w:r w:rsidRPr="0092606E">
        <w:rPr>
          <w:color w:val="000000"/>
          <w:u w:val="single"/>
          <w:lang w:val="hu-HU"/>
        </w:rPr>
        <w:t>Szoptatás</w:t>
      </w:r>
    </w:p>
    <w:p w14:paraId="28C6E1B0" w14:textId="5CEF9AEC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Néhány szoptató </w:t>
      </w:r>
      <w:r w:rsidR="00066453" w:rsidRPr="0092606E">
        <w:rPr>
          <w:lang w:val="hu-HU"/>
        </w:rPr>
        <w:t xml:space="preserve">nő </w:t>
      </w:r>
      <w:r w:rsidRPr="0092606E">
        <w:rPr>
          <w:lang w:val="hu-HU"/>
        </w:rPr>
        <w:t>dokumentált esete szerint az urzodezoxikólsav szintje a tejben rendkívül alacsony, és valószínűleg nem várható annak mellékhatása az anyatejjel táplált csecsemőknél.</w:t>
      </w:r>
    </w:p>
    <w:p w14:paraId="70CCE5EA" w14:textId="77777777" w:rsidR="0031336A" w:rsidRPr="0092606E" w:rsidRDefault="0031336A">
      <w:pPr>
        <w:rPr>
          <w:lang w:val="hu-HU"/>
        </w:rPr>
      </w:pPr>
    </w:p>
    <w:p w14:paraId="7F9D3F0F" w14:textId="77777777" w:rsidR="0031336A" w:rsidRPr="0092606E" w:rsidRDefault="003D3C88">
      <w:pPr>
        <w:keepNext/>
        <w:autoSpaceDE w:val="0"/>
        <w:autoSpaceDN w:val="0"/>
        <w:adjustRightInd w:val="0"/>
        <w:rPr>
          <w:color w:val="000000"/>
          <w:u w:val="single"/>
          <w:lang w:val="hu-HU"/>
        </w:rPr>
      </w:pPr>
      <w:r w:rsidRPr="0092606E">
        <w:rPr>
          <w:color w:val="000000"/>
          <w:u w:val="single"/>
          <w:lang w:val="hu-HU"/>
        </w:rPr>
        <w:t>Termékenység</w:t>
      </w:r>
    </w:p>
    <w:p w14:paraId="4E8928CC" w14:textId="6F172F0A" w:rsidR="0031336A" w:rsidRPr="0092606E" w:rsidRDefault="003D3C88">
      <w:pPr>
        <w:rPr>
          <w:lang w:val="hu-HU"/>
        </w:rPr>
      </w:pPr>
      <w:r w:rsidRPr="0092606E">
        <w:rPr>
          <w:lang w:val="hu-HU"/>
        </w:rPr>
        <w:t>Az állatkísérletekben nem mutatták ki az urzodezoxikólsav semmilyen hatását a termékenységre (lásd 5.3</w:t>
      </w:r>
      <w:r w:rsidR="00066453" w:rsidRPr="0092606E">
        <w:rPr>
          <w:lang w:val="hu-HU"/>
        </w:rPr>
        <w:t> </w:t>
      </w:r>
      <w:r w:rsidRPr="0092606E">
        <w:rPr>
          <w:lang w:val="hu-HU"/>
        </w:rPr>
        <w:t>pont). Az urzodezoxikólsav-kezelés termékenységre kifejtett hatásával kapcsolatban humán adatok nem állnak rendelkezésre.</w:t>
      </w:r>
    </w:p>
    <w:p w14:paraId="7EEEE7CE" w14:textId="77777777" w:rsidR="0031336A" w:rsidRPr="0092606E" w:rsidRDefault="0031336A">
      <w:pPr>
        <w:rPr>
          <w:lang w:val="hu-HU"/>
        </w:rPr>
      </w:pPr>
    </w:p>
    <w:p w14:paraId="2E3FD7E7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4.7</w:t>
      </w:r>
      <w:r w:rsidRPr="0092606E">
        <w:rPr>
          <w:b/>
          <w:bCs/>
          <w:lang w:val="hu-HU"/>
        </w:rPr>
        <w:tab/>
        <w:t>A készítmény hatásai a gépjárművezetéshez és a gépek kezeléséhez szükséges képességekre</w:t>
      </w:r>
    </w:p>
    <w:p w14:paraId="624A7B61" w14:textId="77777777" w:rsidR="0031336A" w:rsidRPr="0092606E" w:rsidRDefault="0031336A">
      <w:pPr>
        <w:keepNext/>
        <w:rPr>
          <w:lang w:val="hu-HU"/>
        </w:rPr>
      </w:pPr>
    </w:p>
    <w:p w14:paraId="5E6C167F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Az urzodezoxikólsav nincs hatással vagy elhanyagolható hatással van a gépjárművezetéshez és a gépek kezeléséhez szükséges képességekre.</w:t>
      </w:r>
    </w:p>
    <w:p w14:paraId="73A7F34E" w14:textId="77777777" w:rsidR="0031336A" w:rsidRPr="0092606E" w:rsidRDefault="0031336A">
      <w:pPr>
        <w:rPr>
          <w:b/>
          <w:lang w:val="hu-HU"/>
        </w:rPr>
      </w:pPr>
    </w:p>
    <w:p w14:paraId="0D2DEA21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4.8</w:t>
      </w:r>
      <w:r w:rsidRPr="0092606E">
        <w:rPr>
          <w:b/>
          <w:bCs/>
          <w:lang w:val="hu-HU"/>
        </w:rPr>
        <w:tab/>
        <w:t>Nemkívánatos hatások, mellékhatások</w:t>
      </w:r>
    </w:p>
    <w:p w14:paraId="0111D916" w14:textId="77777777" w:rsidR="00B7284A" w:rsidRDefault="00B7284A" w:rsidP="00B7284A">
      <w:pPr>
        <w:keepNext/>
      </w:pPr>
    </w:p>
    <w:p w14:paraId="24C1C902" w14:textId="77777777" w:rsidR="00B7284A" w:rsidRDefault="00B7284A" w:rsidP="00B7284A">
      <w:r w:rsidRPr="00097979">
        <w:rPr>
          <w:lang w:val="hu-HU"/>
        </w:rPr>
        <w:t xml:space="preserve">Az alábbi táblázat a klinikai vizsgálatok során és az </w:t>
      </w:r>
      <w:r w:rsidRPr="00534924">
        <w:rPr>
          <w:lang w:val="hu-HU"/>
        </w:rPr>
        <w:t>urzodezoxikólsav</w:t>
      </w:r>
      <w:r w:rsidRPr="00097979">
        <w:rPr>
          <w:lang w:val="hu-HU"/>
        </w:rPr>
        <w:t>val végzett kezelés alatt megfigyelt mellékhatásokat tartalmazza, MedDRA szervrendszerek és gyakoriság szerint kategorizálva. A gyakoriság meghatározása a következő</w:t>
      </w:r>
      <w:r>
        <w:rPr>
          <w:lang w:val="hu"/>
        </w:rPr>
        <w:t>: Nagyon gyakori (≥ 1/10), Gyakori (≥ 1/100 és &lt; 1/10 között), Nem gyakori (≥ 1/1000 és &lt; 1/100 között), Ritka (≥ 1/10 000 és &lt; 1/1000 között), Nagyon ritka (&lt; 1/10 000) vagy Nem ismert (a gyaoriság a rendelkezésre álló adatokból nem állapítható meg).</w:t>
      </w:r>
    </w:p>
    <w:p w14:paraId="3949050E" w14:textId="77777777" w:rsidR="00B7284A" w:rsidRDefault="00B7284A" w:rsidP="00B7284A"/>
    <w:tbl>
      <w:tblPr>
        <w:tblW w:w="92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B7284A" w:rsidRPr="001B3025" w14:paraId="2C09FC78" w14:textId="77777777" w:rsidTr="0059221C">
        <w:trPr>
          <w:trHeight w:val="132"/>
        </w:trPr>
        <w:tc>
          <w:tcPr>
            <w:tcW w:w="2302" w:type="dxa"/>
          </w:tcPr>
          <w:p w14:paraId="4153B953" w14:textId="77777777" w:rsidR="00B7284A" w:rsidRPr="00097979" w:rsidRDefault="00B7284A" w:rsidP="0059221C">
            <w:pPr>
              <w:jc w:val="both"/>
              <w:rPr>
                <w:b/>
                <w:bCs/>
                <w:lang w:val="hu-HU"/>
              </w:rPr>
            </w:pPr>
            <w:r w:rsidRPr="00097979">
              <w:rPr>
                <w:rStyle w:val="Kiemels2"/>
                <w:lang w:val="hu-HU"/>
              </w:rPr>
              <w:t>Szervrendszer (MedDRA)</w:t>
            </w:r>
          </w:p>
          <w:p w14:paraId="43F96F08" w14:textId="77777777" w:rsidR="00B7284A" w:rsidRPr="00097979" w:rsidRDefault="00B7284A" w:rsidP="0059221C">
            <w:pPr>
              <w:jc w:val="both"/>
              <w:rPr>
                <w:b/>
                <w:bCs/>
                <w:lang w:val="hu-HU" w:eastAsia="nl-NL"/>
              </w:rPr>
            </w:pPr>
          </w:p>
        </w:tc>
        <w:tc>
          <w:tcPr>
            <w:tcW w:w="2302" w:type="dxa"/>
          </w:tcPr>
          <w:p w14:paraId="5325637E" w14:textId="77777777" w:rsidR="00B7284A" w:rsidRPr="00097979" w:rsidRDefault="00B7284A" w:rsidP="0059221C">
            <w:pPr>
              <w:jc w:val="both"/>
              <w:rPr>
                <w:b/>
                <w:bCs/>
                <w:lang w:val="hu-HU" w:eastAsia="nl-NL"/>
              </w:rPr>
            </w:pPr>
            <w:r w:rsidRPr="00097979">
              <w:rPr>
                <w:b/>
                <w:bCs/>
                <w:lang w:val="hu-HU"/>
              </w:rPr>
              <w:t>Gyakori</w:t>
            </w:r>
          </w:p>
        </w:tc>
        <w:tc>
          <w:tcPr>
            <w:tcW w:w="2303" w:type="dxa"/>
          </w:tcPr>
          <w:p w14:paraId="5C66AD97" w14:textId="77777777" w:rsidR="00B7284A" w:rsidRPr="00097979" w:rsidRDefault="00B7284A" w:rsidP="0059221C">
            <w:pPr>
              <w:jc w:val="both"/>
              <w:rPr>
                <w:b/>
                <w:bCs/>
                <w:lang w:val="hu-HU" w:eastAsia="nl-NL"/>
              </w:rPr>
            </w:pPr>
            <w:r w:rsidRPr="00097979">
              <w:rPr>
                <w:b/>
                <w:bCs/>
                <w:lang w:val="hu-HU"/>
              </w:rPr>
              <w:t>Nagyon ritka</w:t>
            </w:r>
          </w:p>
        </w:tc>
        <w:tc>
          <w:tcPr>
            <w:tcW w:w="2303" w:type="dxa"/>
          </w:tcPr>
          <w:p w14:paraId="6A1E6B5F" w14:textId="77777777" w:rsidR="00B7284A" w:rsidRPr="00097979" w:rsidRDefault="00B7284A" w:rsidP="0059221C">
            <w:pPr>
              <w:jc w:val="both"/>
              <w:rPr>
                <w:b/>
                <w:bCs/>
                <w:lang w:val="hu-HU" w:eastAsia="nl-NL"/>
              </w:rPr>
            </w:pPr>
            <w:r w:rsidRPr="00097979">
              <w:rPr>
                <w:b/>
                <w:bCs/>
                <w:lang w:val="hu-HU"/>
              </w:rPr>
              <w:t>Nem ismert</w:t>
            </w:r>
          </w:p>
        </w:tc>
      </w:tr>
      <w:tr w:rsidR="00B7284A" w:rsidRPr="001B3025" w14:paraId="6EA5952B" w14:textId="77777777" w:rsidTr="0059221C">
        <w:tc>
          <w:tcPr>
            <w:tcW w:w="2302" w:type="dxa"/>
          </w:tcPr>
          <w:p w14:paraId="16276316" w14:textId="77777777" w:rsidR="00B7284A" w:rsidRPr="00097979" w:rsidRDefault="00B7284A" w:rsidP="0059221C">
            <w:pPr>
              <w:rPr>
                <w:i/>
                <w:iCs/>
                <w:lang w:val="hu-HU"/>
              </w:rPr>
            </w:pPr>
            <w:r w:rsidRPr="00097979">
              <w:rPr>
                <w:i/>
                <w:iCs/>
                <w:lang w:val="hu-HU"/>
              </w:rPr>
              <w:t>Emésztőrendszeri betegségek és tünetek</w:t>
            </w:r>
          </w:p>
          <w:p w14:paraId="0010EE28" w14:textId="77777777" w:rsidR="00B7284A" w:rsidRPr="00097979" w:rsidRDefault="00B7284A" w:rsidP="0059221C">
            <w:pPr>
              <w:jc w:val="both"/>
              <w:rPr>
                <w:i/>
                <w:iCs/>
                <w:lang w:val="hu-HU" w:eastAsia="nl-NL"/>
              </w:rPr>
            </w:pPr>
          </w:p>
        </w:tc>
        <w:tc>
          <w:tcPr>
            <w:tcW w:w="2302" w:type="dxa"/>
          </w:tcPr>
          <w:p w14:paraId="248D199F" w14:textId="77777777" w:rsidR="00B7284A" w:rsidRPr="00097979" w:rsidRDefault="00B7284A" w:rsidP="0059221C">
            <w:pPr>
              <w:jc w:val="both"/>
              <w:rPr>
                <w:lang w:val="hu-HU" w:eastAsia="nl-NL"/>
              </w:rPr>
            </w:pPr>
            <w:r w:rsidRPr="00097979">
              <w:rPr>
                <w:lang w:val="hu-HU"/>
              </w:rPr>
              <w:t>pépes széklet vagy hasmenés</w:t>
            </w:r>
          </w:p>
        </w:tc>
        <w:tc>
          <w:tcPr>
            <w:tcW w:w="2303" w:type="dxa"/>
          </w:tcPr>
          <w:p w14:paraId="541CBF3B" w14:textId="77777777" w:rsidR="00B7284A" w:rsidRPr="00097979" w:rsidRDefault="00B7284A" w:rsidP="0059221C">
            <w:pPr>
              <w:jc w:val="both"/>
              <w:rPr>
                <w:lang w:val="hu-HU" w:eastAsia="nl-NL"/>
              </w:rPr>
            </w:pPr>
            <w:r w:rsidRPr="00097979">
              <w:rPr>
                <w:lang w:val="hu-HU" w:eastAsia="nl-NL"/>
              </w:rPr>
              <w:t>erős jobb felső hasi fájdalom PBC-kezelés során</w:t>
            </w:r>
          </w:p>
        </w:tc>
        <w:tc>
          <w:tcPr>
            <w:tcW w:w="2303" w:type="dxa"/>
          </w:tcPr>
          <w:p w14:paraId="6DE11312" w14:textId="77777777" w:rsidR="00B7284A" w:rsidRPr="00097979" w:rsidRDefault="00B7284A" w:rsidP="0059221C">
            <w:pPr>
              <w:jc w:val="both"/>
              <w:rPr>
                <w:lang w:val="hu-HU" w:eastAsia="nl-NL"/>
              </w:rPr>
            </w:pPr>
            <w:r w:rsidRPr="00097979">
              <w:rPr>
                <w:lang w:val="hu-HU" w:eastAsia="nl-NL"/>
              </w:rPr>
              <w:t>hányinger, hányás</w:t>
            </w:r>
          </w:p>
        </w:tc>
      </w:tr>
      <w:tr w:rsidR="00B7284A" w:rsidRPr="00097979" w14:paraId="121AFF90" w14:textId="77777777" w:rsidTr="0059221C">
        <w:tc>
          <w:tcPr>
            <w:tcW w:w="2302" w:type="dxa"/>
          </w:tcPr>
          <w:p w14:paraId="615887BB" w14:textId="77777777" w:rsidR="00B7284A" w:rsidRPr="00097979" w:rsidRDefault="00B7284A" w:rsidP="0059221C">
            <w:pPr>
              <w:rPr>
                <w:i/>
                <w:iCs/>
                <w:lang w:val="hu-HU"/>
              </w:rPr>
            </w:pPr>
            <w:r w:rsidRPr="00097979">
              <w:rPr>
                <w:i/>
                <w:iCs/>
                <w:lang w:val="hu-HU"/>
              </w:rPr>
              <w:t>Máj-és epebetegségek, illetve tünetek</w:t>
            </w:r>
          </w:p>
          <w:p w14:paraId="1C5C0D8B" w14:textId="77777777" w:rsidR="00B7284A" w:rsidRPr="00097979" w:rsidRDefault="00B7284A" w:rsidP="0059221C">
            <w:pPr>
              <w:jc w:val="both"/>
              <w:rPr>
                <w:i/>
                <w:iCs/>
                <w:lang w:val="hu-HU" w:eastAsia="nl-NL"/>
              </w:rPr>
            </w:pPr>
          </w:p>
        </w:tc>
        <w:tc>
          <w:tcPr>
            <w:tcW w:w="2302" w:type="dxa"/>
          </w:tcPr>
          <w:p w14:paraId="12804399" w14:textId="77777777" w:rsidR="00B7284A" w:rsidRPr="00097979" w:rsidRDefault="00B7284A" w:rsidP="0059221C">
            <w:pPr>
              <w:jc w:val="both"/>
              <w:rPr>
                <w:lang w:val="hu-HU" w:eastAsia="nl-NL"/>
              </w:rPr>
            </w:pPr>
          </w:p>
        </w:tc>
        <w:tc>
          <w:tcPr>
            <w:tcW w:w="2303" w:type="dxa"/>
          </w:tcPr>
          <w:p w14:paraId="5DADFD9A" w14:textId="77777777" w:rsidR="00B7284A" w:rsidRPr="00097979" w:rsidRDefault="00B7284A" w:rsidP="0059221C">
            <w:pPr>
              <w:jc w:val="both"/>
              <w:rPr>
                <w:lang w:val="hu-HU" w:eastAsia="nl-NL"/>
              </w:rPr>
            </w:pPr>
            <w:r w:rsidRPr="00097979">
              <w:rPr>
                <w:lang w:val="hu-HU"/>
              </w:rPr>
              <w:t>epekő-elmeszesedés, a májcirrózis dekompenzációja</w:t>
            </w:r>
            <w:r w:rsidRPr="00097979">
              <w:rPr>
                <w:vertAlign w:val="superscript"/>
                <w:lang w:val="hu-HU" w:eastAsia="nl-NL"/>
              </w:rPr>
              <w:t>1</w:t>
            </w:r>
          </w:p>
        </w:tc>
        <w:tc>
          <w:tcPr>
            <w:tcW w:w="2303" w:type="dxa"/>
          </w:tcPr>
          <w:p w14:paraId="76E6DF8C" w14:textId="77777777" w:rsidR="00B7284A" w:rsidRPr="00097979" w:rsidRDefault="00B7284A" w:rsidP="0059221C">
            <w:pPr>
              <w:jc w:val="both"/>
              <w:rPr>
                <w:lang w:val="hu-HU" w:eastAsia="nl-NL"/>
              </w:rPr>
            </w:pPr>
          </w:p>
        </w:tc>
      </w:tr>
      <w:tr w:rsidR="00B7284A" w:rsidRPr="001B3025" w14:paraId="1E28878A" w14:textId="77777777" w:rsidTr="0059221C">
        <w:tc>
          <w:tcPr>
            <w:tcW w:w="2302" w:type="dxa"/>
          </w:tcPr>
          <w:p w14:paraId="30CAFAF9" w14:textId="77777777" w:rsidR="00B7284A" w:rsidRPr="00097979" w:rsidRDefault="00B7284A" w:rsidP="0059221C">
            <w:pPr>
              <w:rPr>
                <w:i/>
                <w:iCs/>
                <w:lang w:val="hu-HU"/>
              </w:rPr>
            </w:pPr>
            <w:r w:rsidRPr="00097979">
              <w:rPr>
                <w:i/>
                <w:iCs/>
                <w:lang w:val="hu-HU"/>
              </w:rPr>
              <w:t>A bőr és a bőr alatti szövet betegségei és tünetei</w:t>
            </w:r>
          </w:p>
          <w:p w14:paraId="760AFD1E" w14:textId="77777777" w:rsidR="00B7284A" w:rsidRPr="00097979" w:rsidRDefault="00B7284A" w:rsidP="0059221C">
            <w:pPr>
              <w:jc w:val="both"/>
              <w:rPr>
                <w:i/>
                <w:iCs/>
                <w:lang w:val="hu-HU" w:eastAsia="nl-NL"/>
              </w:rPr>
            </w:pPr>
          </w:p>
        </w:tc>
        <w:tc>
          <w:tcPr>
            <w:tcW w:w="2302" w:type="dxa"/>
          </w:tcPr>
          <w:p w14:paraId="1E9D5FDC" w14:textId="77777777" w:rsidR="00B7284A" w:rsidRPr="00097979" w:rsidRDefault="00B7284A" w:rsidP="0059221C">
            <w:pPr>
              <w:jc w:val="both"/>
              <w:rPr>
                <w:lang w:val="hu-HU" w:eastAsia="nl-NL"/>
              </w:rPr>
            </w:pPr>
          </w:p>
        </w:tc>
        <w:tc>
          <w:tcPr>
            <w:tcW w:w="2303" w:type="dxa"/>
          </w:tcPr>
          <w:p w14:paraId="16734D6C" w14:textId="77777777" w:rsidR="00B7284A" w:rsidRPr="00097979" w:rsidRDefault="00B7284A" w:rsidP="0059221C">
            <w:pPr>
              <w:jc w:val="both"/>
              <w:rPr>
                <w:lang w:val="hu-HU" w:eastAsia="nl-NL"/>
              </w:rPr>
            </w:pPr>
            <w:r w:rsidRPr="00097979">
              <w:rPr>
                <w:lang w:val="hu-HU" w:eastAsia="nl-NL"/>
              </w:rPr>
              <w:t>urticaria</w:t>
            </w:r>
          </w:p>
        </w:tc>
        <w:tc>
          <w:tcPr>
            <w:tcW w:w="2303" w:type="dxa"/>
          </w:tcPr>
          <w:p w14:paraId="606DDB2F" w14:textId="77777777" w:rsidR="00B7284A" w:rsidRPr="00097979" w:rsidRDefault="00B7284A" w:rsidP="0059221C">
            <w:pPr>
              <w:jc w:val="both"/>
              <w:rPr>
                <w:lang w:val="hu-HU"/>
              </w:rPr>
            </w:pPr>
            <w:r>
              <w:rPr>
                <w:lang w:val="hu-HU"/>
              </w:rPr>
              <w:t>v</w:t>
            </w:r>
            <w:r w:rsidRPr="00097979">
              <w:rPr>
                <w:lang w:val="hu-HU"/>
              </w:rPr>
              <w:t>iszketés</w:t>
            </w:r>
          </w:p>
          <w:p w14:paraId="717E87B1" w14:textId="77777777" w:rsidR="00B7284A" w:rsidRPr="00097979" w:rsidRDefault="00B7284A" w:rsidP="0059221C">
            <w:pPr>
              <w:jc w:val="both"/>
              <w:rPr>
                <w:lang w:val="hu-HU" w:eastAsia="nl-NL"/>
              </w:rPr>
            </w:pPr>
          </w:p>
        </w:tc>
      </w:tr>
    </w:tbl>
    <w:p w14:paraId="13E484E3" w14:textId="77777777" w:rsidR="00B7284A" w:rsidRPr="00097979" w:rsidRDefault="00B7284A" w:rsidP="00B7284A">
      <w:pPr>
        <w:rPr>
          <w:lang w:val="hu-HU" w:eastAsia="nl-NL"/>
        </w:rPr>
      </w:pPr>
      <w:r w:rsidRPr="00097979">
        <w:rPr>
          <w:vertAlign w:val="superscript"/>
          <w:lang w:val="hu-HU"/>
        </w:rPr>
        <w:t>1</w:t>
      </w:r>
      <w:r>
        <w:rPr>
          <w:vertAlign w:val="superscript"/>
          <w:lang w:val="hu-HU"/>
        </w:rPr>
        <w:t xml:space="preserve"> </w:t>
      </w:r>
      <w:r>
        <w:rPr>
          <w:lang w:val="hu-HU" w:eastAsia="nl-NL"/>
        </w:rPr>
        <w:t>A</w:t>
      </w:r>
      <w:r w:rsidRPr="00097979">
        <w:rPr>
          <w:lang w:val="hu-HU" w:eastAsia="nl-NL"/>
        </w:rPr>
        <w:t xml:space="preserve"> PBC előrehaladott stádiumainak kezelése során figyelték meg, és a kezelés abbahagyását követően részben visszafejlődött.</w:t>
      </w:r>
    </w:p>
    <w:p w14:paraId="660D1B28" w14:textId="77777777" w:rsidR="0031336A" w:rsidRPr="0092606E" w:rsidRDefault="0031336A">
      <w:pPr>
        <w:rPr>
          <w:u w:val="single"/>
          <w:lang w:val="hu-HU"/>
        </w:rPr>
      </w:pPr>
    </w:p>
    <w:p w14:paraId="1FD7C9D7" w14:textId="77777777" w:rsidR="0031336A" w:rsidRPr="0092606E" w:rsidRDefault="003D3C88">
      <w:pPr>
        <w:keepNext/>
        <w:autoSpaceDE w:val="0"/>
        <w:autoSpaceDN w:val="0"/>
        <w:adjustRightInd w:val="0"/>
        <w:rPr>
          <w:u w:val="single"/>
          <w:lang w:val="hu-HU"/>
        </w:rPr>
      </w:pPr>
      <w:r w:rsidRPr="0092606E">
        <w:rPr>
          <w:u w:val="single"/>
          <w:lang w:val="hu-HU"/>
        </w:rPr>
        <w:t>Feltételezett mellékhatások bejelentése</w:t>
      </w:r>
    </w:p>
    <w:p w14:paraId="3466FDB2" w14:textId="77777777" w:rsidR="0031336A" w:rsidRPr="0092606E" w:rsidRDefault="003D3C88">
      <w:pPr>
        <w:rPr>
          <w:b/>
          <w:lang w:val="hu-HU"/>
        </w:rPr>
      </w:pPr>
      <w:r w:rsidRPr="0092606E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</w:t>
      </w:r>
      <w:r w:rsidRPr="0092606E">
        <w:rPr>
          <w:highlight w:val="lightGray"/>
          <w:lang w:val="hu-HU"/>
        </w:rPr>
        <w:t xml:space="preserve">a hatóság részére az </w:t>
      </w:r>
      <w:hyperlink r:id="rId7" w:history="1">
        <w:r w:rsidRPr="0092606E">
          <w:rPr>
            <w:rStyle w:val="Hiperhivatkozs"/>
            <w:rFonts w:ascii="Times New Roman" w:hAnsi="Times New Roman"/>
            <w:highlight w:val="lightGray"/>
            <w:lang w:val="hu-HU"/>
          </w:rPr>
          <w:t>V. függelékben</w:t>
        </w:r>
      </w:hyperlink>
      <w:r w:rsidRPr="0092606E">
        <w:rPr>
          <w:lang w:val="hu-HU"/>
        </w:rPr>
        <w:t xml:space="preserve"> található elérhetőségek valamelyikén keresztül.</w:t>
      </w:r>
    </w:p>
    <w:p w14:paraId="6E1F5F2B" w14:textId="77777777" w:rsidR="0031336A" w:rsidRPr="0092606E" w:rsidRDefault="0031336A">
      <w:pPr>
        <w:rPr>
          <w:lang w:val="hu-HU"/>
        </w:rPr>
      </w:pPr>
    </w:p>
    <w:p w14:paraId="4492D5BA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4.9</w:t>
      </w:r>
      <w:r w:rsidRPr="0092606E">
        <w:rPr>
          <w:b/>
          <w:bCs/>
          <w:lang w:val="hu-HU"/>
        </w:rPr>
        <w:tab/>
        <w:t>Túladagolás</w:t>
      </w:r>
    </w:p>
    <w:p w14:paraId="501E29FE" w14:textId="77777777" w:rsidR="0031336A" w:rsidRPr="0092606E" w:rsidRDefault="0031336A">
      <w:pPr>
        <w:keepNext/>
        <w:rPr>
          <w:lang w:val="hu-HU"/>
        </w:rPr>
      </w:pPr>
    </w:p>
    <w:p w14:paraId="303DE4EB" w14:textId="77777777" w:rsidR="0031336A" w:rsidRPr="0092606E" w:rsidRDefault="003D3C88">
      <w:pPr>
        <w:pStyle w:val="Default"/>
        <w:rPr>
          <w:strike/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Túladagolás esetén hasmenés fordulhat elő. Általánosságban elmondható, hogy a túladagolás egyéb tünetei nem valószínűek, mert az urzodezoxikólsav felszívódása az adag növelésével csökken, így több választódik ki a székletben.</w:t>
      </w:r>
    </w:p>
    <w:p w14:paraId="5183D793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Nincs szükség ellenintézkedésre, és a bekövetkező hasmenést tünetileg kell kezelni a folyadékháztartás és az elektrolit-egyensúly helyreállításával.</w:t>
      </w:r>
    </w:p>
    <w:p w14:paraId="49F1F1D3" w14:textId="77777777" w:rsidR="0031336A" w:rsidRPr="0092606E" w:rsidRDefault="0031336A">
      <w:pPr>
        <w:rPr>
          <w:lang w:val="hu-HU"/>
        </w:rPr>
      </w:pPr>
    </w:p>
    <w:p w14:paraId="61D71A2B" w14:textId="77777777" w:rsidR="0031336A" w:rsidRPr="0092606E" w:rsidRDefault="003D3C88">
      <w:pPr>
        <w:keepNext/>
        <w:rPr>
          <w:u w:val="single"/>
          <w:lang w:val="hu-HU"/>
        </w:rPr>
      </w:pPr>
      <w:r w:rsidRPr="0092606E">
        <w:rPr>
          <w:u w:val="single"/>
          <w:lang w:val="hu-HU"/>
        </w:rPr>
        <w:lastRenderedPageBreak/>
        <w:t>Különleges betegcsoportokra vonatkozó kiegészítő információk</w:t>
      </w:r>
    </w:p>
    <w:p w14:paraId="1413E0C1" w14:textId="711CC91D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hosszú távú nagy dózisú urzodezoxikólsav-terápia (28-30 mg/</w:t>
      </w:r>
      <w:r w:rsidR="00066453" w:rsidRPr="0092606E">
        <w:rPr>
          <w:lang w:val="hu-HU"/>
        </w:rPr>
        <w:t>tt</w:t>
      </w:r>
      <w:r w:rsidRPr="0092606E">
        <w:rPr>
          <w:lang w:val="hu-HU"/>
        </w:rPr>
        <w:t>kg/nap) a primer sclerotizáló cholangitisben szenvedő betegeknél (indikáción túli alkalmazás) összefüggésbe hozható a súlyos nemkívánatos hatások nagyobb arányával.</w:t>
      </w:r>
    </w:p>
    <w:p w14:paraId="59A20CA0" w14:textId="77777777" w:rsidR="0031336A" w:rsidRPr="0092606E" w:rsidRDefault="0031336A">
      <w:pPr>
        <w:rPr>
          <w:lang w:val="hu-HU"/>
        </w:rPr>
      </w:pPr>
    </w:p>
    <w:p w14:paraId="38CB3F06" w14:textId="77777777" w:rsidR="0031336A" w:rsidRPr="0092606E" w:rsidRDefault="0031336A">
      <w:pPr>
        <w:rPr>
          <w:lang w:val="hu-HU"/>
        </w:rPr>
      </w:pPr>
    </w:p>
    <w:p w14:paraId="683DAE68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5.</w:t>
      </w:r>
      <w:r w:rsidRPr="0092606E">
        <w:rPr>
          <w:b/>
          <w:bCs/>
          <w:lang w:val="hu-HU"/>
        </w:rPr>
        <w:tab/>
        <w:t>FARMAKOLÓGIAI TULAJDONSÁGOK</w:t>
      </w:r>
    </w:p>
    <w:p w14:paraId="2158B4D5" w14:textId="77777777" w:rsidR="0031336A" w:rsidRPr="0092606E" w:rsidRDefault="0031336A">
      <w:pPr>
        <w:keepNext/>
        <w:rPr>
          <w:lang w:val="hu-HU"/>
        </w:rPr>
      </w:pPr>
    </w:p>
    <w:p w14:paraId="631E1C2E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5.1</w:t>
      </w:r>
      <w:r w:rsidRPr="0092606E">
        <w:rPr>
          <w:b/>
          <w:bCs/>
          <w:lang w:val="hu-HU"/>
        </w:rPr>
        <w:tab/>
        <w:t>Farmakodinámiás tulajdonságok</w:t>
      </w:r>
    </w:p>
    <w:p w14:paraId="152BF185" w14:textId="77777777" w:rsidR="0031336A" w:rsidRPr="0092606E" w:rsidRDefault="0031336A">
      <w:pPr>
        <w:keepNext/>
        <w:rPr>
          <w:lang w:val="hu-HU"/>
        </w:rPr>
      </w:pPr>
    </w:p>
    <w:p w14:paraId="51DD48DE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Farmakoterápiás csoport: epe- és májbetegségek gyógyszerei, epesav-készítmények, ATC kód: A05AA02.</w:t>
      </w:r>
    </w:p>
    <w:p w14:paraId="3141466A" w14:textId="77777777" w:rsidR="0031336A" w:rsidRPr="0092606E" w:rsidRDefault="0031336A">
      <w:pPr>
        <w:rPr>
          <w:lang w:val="hu-HU"/>
        </w:rPr>
      </w:pPr>
    </w:p>
    <w:p w14:paraId="30371B36" w14:textId="637DD4C8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Az urzodezoxikólsav kis mennyiségben megtalálható a </w:t>
      </w:r>
      <w:r w:rsidR="00066453" w:rsidRPr="0092606E">
        <w:rPr>
          <w:lang w:val="hu-HU"/>
        </w:rPr>
        <w:t xml:space="preserve">normál emberi </w:t>
      </w:r>
      <w:r w:rsidRPr="0092606E">
        <w:rPr>
          <w:lang w:val="hu-HU"/>
        </w:rPr>
        <w:t>epében.</w:t>
      </w:r>
    </w:p>
    <w:p w14:paraId="4D1BC421" w14:textId="6D58F8E3" w:rsidR="0031336A" w:rsidRPr="0092606E" w:rsidRDefault="00066453">
      <w:pPr>
        <w:rPr>
          <w:lang w:val="hu-HU"/>
        </w:rPr>
      </w:pPr>
      <w:r w:rsidRPr="0092606E">
        <w:rPr>
          <w:color w:val="000000"/>
          <w:lang w:val="hu-HU"/>
        </w:rPr>
        <w:t>Szájon át történő</w:t>
      </w:r>
      <w:r w:rsidR="003D3C88" w:rsidRPr="0092606E">
        <w:rPr>
          <w:lang w:val="hu-HU"/>
        </w:rPr>
        <w:t xml:space="preserve"> alkalmazását követően az epehólyag koleszterin-telítettségének csökkenését váltja ki a koleszterin belekben történő reszorpciójának gátlása és a koleszterin epébe történő kiválasztásának csökkenése révén. A koleszterin epekövek fokozatos szétesését feltehetően a koleszterin diszperziója és folyadékkristályok kialakulása okozza.</w:t>
      </w:r>
    </w:p>
    <w:p w14:paraId="3D3FF3D7" w14:textId="02F1957B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Az urzodezoxikólsav máj- és cholestaticus betegségekben kifejtett hatása, jelenlegi ismereteink szerint a lipofil, detergens típusú toxikus epesavaknak a hidrofil, sejtvédő és nem toxikus urzodezoxikólsavval történő helyettesítésén, a májsejtek kiválasztási teljesítményének </w:t>
      </w:r>
      <w:r w:rsidR="00066453" w:rsidRPr="0092606E">
        <w:rPr>
          <w:lang w:val="hu-HU"/>
        </w:rPr>
        <w:t xml:space="preserve">fokozásán </w:t>
      </w:r>
      <w:r w:rsidRPr="0092606E">
        <w:rPr>
          <w:lang w:val="hu-HU"/>
        </w:rPr>
        <w:t>és immunszabályzó folyamatokon alapul.</w:t>
      </w:r>
    </w:p>
    <w:p w14:paraId="597A4E61" w14:textId="77777777" w:rsidR="0031336A" w:rsidRPr="0092606E" w:rsidRDefault="0031336A">
      <w:pPr>
        <w:rPr>
          <w:lang w:val="hu-HU"/>
        </w:rPr>
      </w:pPr>
    </w:p>
    <w:p w14:paraId="441DBFD2" w14:textId="77777777" w:rsidR="0031336A" w:rsidRPr="0092606E" w:rsidRDefault="003D3C88">
      <w:pPr>
        <w:keepNext/>
        <w:rPr>
          <w:u w:val="single"/>
          <w:lang w:val="hu-HU"/>
        </w:rPr>
      </w:pPr>
      <w:r w:rsidRPr="0092606E">
        <w:rPr>
          <w:u w:val="single"/>
          <w:lang w:val="hu-HU"/>
        </w:rPr>
        <w:t>Gyermekek és serdülők</w:t>
      </w:r>
    </w:p>
    <w:p w14:paraId="4454BA4C" w14:textId="77777777" w:rsidR="0031336A" w:rsidRPr="0092606E" w:rsidRDefault="003D3C88">
      <w:pPr>
        <w:keepNext/>
        <w:rPr>
          <w:u w:val="single"/>
          <w:lang w:val="hu-HU"/>
        </w:rPr>
      </w:pPr>
      <w:r w:rsidRPr="0092606E">
        <w:rPr>
          <w:u w:val="single"/>
          <w:lang w:val="hu-HU"/>
        </w:rPr>
        <w:t>Cisztás fibrózis</w:t>
      </w:r>
    </w:p>
    <w:p w14:paraId="017BDBBE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 Klinikai jelentésekben hosszú távú, 10 és annál is több évre visszamenő tapasztalatok állnak rendelkezésre a máj-és epebetegséggel összefüggő cisztás fibrózisban (CFAHD) szenvedő gyermekek urzodezoxikólsavval történő kezeléséről. Bizonyított, hogy az urzodezoxikólsav-kezelés csökkenti az epevezeték proliferációt, megállítja a szövetkárosodás progresszióját, sőt visszafordítja a hepatobiliáris változásokat, ha a CFAHD korai stádiumában adják. A kezelés hatékonyságának optimalizálása érdekében az urzodezoxikólsav-terápiát azonnal el kell kezdeni, amint felállították a CFAHD diagnózisát.</w:t>
      </w:r>
    </w:p>
    <w:p w14:paraId="07A9AB3E" w14:textId="77777777" w:rsidR="0031336A" w:rsidRPr="0092606E" w:rsidRDefault="0031336A">
      <w:pPr>
        <w:rPr>
          <w:lang w:val="hu-HU"/>
        </w:rPr>
      </w:pPr>
    </w:p>
    <w:p w14:paraId="131B2B3D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5.2</w:t>
      </w:r>
      <w:r w:rsidRPr="0092606E">
        <w:rPr>
          <w:b/>
          <w:bCs/>
          <w:lang w:val="hu-HU"/>
        </w:rPr>
        <w:tab/>
        <w:t>Farmakokinetikai tulajdonságok</w:t>
      </w:r>
    </w:p>
    <w:p w14:paraId="14568D9B" w14:textId="77777777" w:rsidR="0031336A" w:rsidRPr="0092606E" w:rsidRDefault="0031336A">
      <w:pPr>
        <w:keepNext/>
        <w:rPr>
          <w:lang w:val="hu-HU"/>
        </w:rPr>
      </w:pPr>
    </w:p>
    <w:p w14:paraId="5783253F" w14:textId="77777777" w:rsidR="0031336A" w:rsidRPr="0092606E" w:rsidRDefault="003D3C88">
      <w:pPr>
        <w:pStyle w:val="Default"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Felszívódás</w:t>
      </w:r>
    </w:p>
    <w:p w14:paraId="5D38D157" w14:textId="6C3115A4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Az orálisan adott urzodezoxikólsav gyorsan felszívódik az éhbélben és az ileum felső részében passzív, az ileum alsó részében pedig aktív transzporton keresztül. A felszívódás aránya 60</w:t>
      </w:r>
      <w:r w:rsidR="00066453" w:rsidRPr="0092606E">
        <w:rPr>
          <w:sz w:val="22"/>
          <w:szCs w:val="22"/>
          <w:lang w:val="hu-HU"/>
        </w:rPr>
        <w:t>–</w:t>
      </w:r>
      <w:r w:rsidRPr="0092606E">
        <w:rPr>
          <w:sz w:val="22"/>
          <w:szCs w:val="22"/>
          <w:lang w:val="hu-HU"/>
        </w:rPr>
        <w:t>80</w:t>
      </w:r>
      <w:r w:rsidR="00066453" w:rsidRPr="0092606E">
        <w:rPr>
          <w:sz w:val="22"/>
          <w:szCs w:val="22"/>
          <w:lang w:val="hu-HU"/>
        </w:rPr>
        <w:t>%</w:t>
      </w:r>
      <w:r w:rsidRPr="0092606E">
        <w:rPr>
          <w:sz w:val="22"/>
          <w:szCs w:val="22"/>
          <w:lang w:val="hu-HU"/>
        </w:rPr>
        <w:t>.</w:t>
      </w:r>
    </w:p>
    <w:p w14:paraId="67C3EAE4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6217296F" w14:textId="77777777" w:rsidR="0031336A" w:rsidRPr="0092606E" w:rsidRDefault="003D3C88">
      <w:pPr>
        <w:pStyle w:val="Default"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Biotranszformáció és elimináció</w:t>
      </w:r>
    </w:p>
    <w:p w14:paraId="2D9D63CA" w14:textId="321829D5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felszívódást követően az epesav szinte teljesen konjugál a glicin és taurin aminosavakkal a májban, majd megtörténik az epekiválasztás. A májon keresztül zajló first-pass-clearance eléri a 60</w:t>
      </w:r>
      <w:r w:rsidR="00066453" w:rsidRPr="0092606E">
        <w:rPr>
          <w:sz w:val="22"/>
          <w:szCs w:val="22"/>
          <w:lang w:val="hu-HU"/>
        </w:rPr>
        <w:t>%-ot</w:t>
      </w:r>
      <w:r w:rsidRPr="0092606E">
        <w:rPr>
          <w:sz w:val="22"/>
          <w:szCs w:val="22"/>
          <w:lang w:val="hu-HU"/>
        </w:rPr>
        <w:t>.</w:t>
      </w:r>
    </w:p>
    <w:p w14:paraId="0A09F568" w14:textId="77777777" w:rsidR="0031336A" w:rsidRPr="0092606E" w:rsidRDefault="0031336A">
      <w:pPr>
        <w:rPr>
          <w:lang w:val="hu-HU"/>
        </w:rPr>
      </w:pPr>
    </w:p>
    <w:p w14:paraId="3B185306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bélben baktériumok hatására részleges bomlás következik be 7-keto-litokólsavra és litokólsavra. A litokólsav mérgező a máj számára, és máj parenchyma károsodást okoz számos állatfajnál. Emberben csak nagyon kis mértékben szívódik fel. Ezt a frakciót a máj szulfatálja, ezáltal méregteleníti, majd újra epe, majd azt követően pedig széklet kiválasztása történik.</w:t>
      </w:r>
    </w:p>
    <w:p w14:paraId="2F35E885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Az urzodezoxikólsav biológiai felezési ideje 3,5 és 5,8 nap között van.</w:t>
      </w:r>
    </w:p>
    <w:p w14:paraId="4225F9E7" w14:textId="77777777" w:rsidR="0031336A" w:rsidRPr="0092606E" w:rsidRDefault="0031336A">
      <w:pPr>
        <w:rPr>
          <w:lang w:val="hu-HU"/>
        </w:rPr>
      </w:pPr>
    </w:p>
    <w:p w14:paraId="45F0E69D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 napi adagtól és az alapbetegségtől vagy a máj állapotától függően a sokkal hidrofilabb természetű urzodezoxikólsav az epében halmozódik fel. Ezzel egyidejűleg relatíve csökken más, lipofilabb epesavak termelődése.</w:t>
      </w:r>
    </w:p>
    <w:p w14:paraId="45CBEAC1" w14:textId="77777777" w:rsidR="0031336A" w:rsidRPr="0092606E" w:rsidRDefault="0031336A">
      <w:pPr>
        <w:rPr>
          <w:lang w:val="hu-HU"/>
        </w:rPr>
      </w:pPr>
    </w:p>
    <w:p w14:paraId="3AF9C029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5.3</w:t>
      </w:r>
      <w:r w:rsidRPr="0092606E">
        <w:rPr>
          <w:b/>
          <w:bCs/>
          <w:lang w:val="hu-HU"/>
        </w:rPr>
        <w:tab/>
        <w:t>A preklinikai biztonságossági vizsgálatok eredményei</w:t>
      </w:r>
    </w:p>
    <w:p w14:paraId="1A4DBAC4" w14:textId="77777777" w:rsidR="0031336A" w:rsidRPr="0092606E" w:rsidRDefault="0031336A">
      <w:pPr>
        <w:keepNext/>
        <w:rPr>
          <w:lang w:val="hu-HU"/>
        </w:rPr>
      </w:pPr>
    </w:p>
    <w:p w14:paraId="3302AAD3" w14:textId="77777777" w:rsidR="0031336A" w:rsidRPr="0092606E" w:rsidRDefault="003D3C88">
      <w:pPr>
        <w:pStyle w:val="Default"/>
        <w:keepNext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Akut toxicitás</w:t>
      </w:r>
    </w:p>
    <w:p w14:paraId="08602E48" w14:textId="77777777" w:rsidR="0031336A" w:rsidRPr="0092606E" w:rsidRDefault="003D3C88">
      <w:pPr>
        <w:pStyle w:val="Default"/>
        <w:ind w:hanging="1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Az akut toxicitást vizsgáló állatkísérletek semmilyen toxikus károsodást nem jeleztek.</w:t>
      </w:r>
    </w:p>
    <w:p w14:paraId="6CDC3A86" w14:textId="77777777" w:rsidR="0031336A" w:rsidRPr="0092606E" w:rsidRDefault="0031336A">
      <w:pPr>
        <w:pStyle w:val="Default"/>
        <w:rPr>
          <w:sz w:val="22"/>
          <w:szCs w:val="22"/>
          <w:lang w:val="hu-HU"/>
        </w:rPr>
      </w:pPr>
    </w:p>
    <w:p w14:paraId="57BE13A0" w14:textId="77777777" w:rsidR="0031336A" w:rsidRPr="0092606E" w:rsidRDefault="003D3C88">
      <w:pPr>
        <w:pStyle w:val="Default"/>
        <w:keepNext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Krónikus toxicitás</w:t>
      </w:r>
    </w:p>
    <w:p w14:paraId="3203BF29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majmokon végzett szubkrónikus toxicitási vizsgálatok hepatotoxikus hatást mutattak ki a nagy dózist kapó csoportoknál, ami funkcionális változásokat (pl. májenzim változásokat) és morfológiai változásokat, például epevezeték proliferációt, portális gyulladásos gócokat és hepatocelluláris nekrózist okozott. A toxikus hatások nagy valószínűség szerint a lithocholsavnak, az urzodezoxikólsav egyik metabolitjának tulajdoníthatók, amely a majomnál - az emberrel ellentétben - nem detoxikálódik.</w:t>
      </w:r>
    </w:p>
    <w:p w14:paraId="54C96029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A klinikai tapasztalat megerősíti, hogy a leírt hepatotoxikus hatásoknak nincs relevanciája az embernél.</w:t>
      </w:r>
    </w:p>
    <w:p w14:paraId="4C7ADDAF" w14:textId="77777777" w:rsidR="0031336A" w:rsidRPr="0092606E" w:rsidRDefault="0031336A">
      <w:pPr>
        <w:rPr>
          <w:lang w:val="hu-HU"/>
        </w:rPr>
      </w:pPr>
    </w:p>
    <w:p w14:paraId="209765C8" w14:textId="77777777" w:rsidR="0031336A" w:rsidRPr="0092606E" w:rsidRDefault="003D3C88">
      <w:pPr>
        <w:pStyle w:val="Default"/>
        <w:keepNext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Karcinogén és mutagén hatás</w:t>
      </w:r>
    </w:p>
    <w:p w14:paraId="6B287003" w14:textId="6116408D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Az egereken és patkányokon folytatott hosszú távú vizsgálatok </w:t>
      </w:r>
      <w:r w:rsidR="00303745" w:rsidRPr="0092606E">
        <w:rPr>
          <w:lang w:val="hu-HU"/>
        </w:rPr>
        <w:t xml:space="preserve">során nem bizonyosodott be az </w:t>
      </w:r>
      <w:r w:rsidRPr="0092606E">
        <w:rPr>
          <w:lang w:val="hu-HU"/>
        </w:rPr>
        <w:t>urzodezoxikólsav karcinogén vagy mutagén hatás</w:t>
      </w:r>
      <w:r w:rsidR="00303745" w:rsidRPr="0092606E">
        <w:rPr>
          <w:lang w:val="hu-HU"/>
        </w:rPr>
        <w:t>a</w:t>
      </w:r>
      <w:r w:rsidRPr="0092606E">
        <w:rPr>
          <w:lang w:val="hu-HU"/>
        </w:rPr>
        <w:t>.</w:t>
      </w:r>
    </w:p>
    <w:p w14:paraId="095E1270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Az urzodezoxikólsavval végzett i</w:t>
      </w:r>
      <w:r w:rsidRPr="0092606E">
        <w:rPr>
          <w:i/>
          <w:iCs/>
          <w:sz w:val="22"/>
          <w:szCs w:val="22"/>
          <w:lang w:val="hu-HU"/>
        </w:rPr>
        <w:t>n vitro</w:t>
      </w:r>
      <w:r w:rsidRPr="0092606E">
        <w:rPr>
          <w:sz w:val="22"/>
          <w:szCs w:val="22"/>
          <w:lang w:val="hu-HU"/>
        </w:rPr>
        <w:t xml:space="preserve"> és </w:t>
      </w:r>
      <w:r w:rsidRPr="0092606E">
        <w:rPr>
          <w:i/>
          <w:iCs/>
          <w:sz w:val="22"/>
          <w:szCs w:val="22"/>
          <w:lang w:val="hu-HU"/>
        </w:rPr>
        <w:t>in vivo</w:t>
      </w:r>
      <w:r w:rsidRPr="0092606E">
        <w:rPr>
          <w:sz w:val="22"/>
          <w:szCs w:val="22"/>
          <w:lang w:val="hu-HU"/>
        </w:rPr>
        <w:t xml:space="preserve"> toxikológiai vizsgálatok eredménye negatív volt.</w:t>
      </w:r>
    </w:p>
    <w:p w14:paraId="78F6032A" w14:textId="77777777" w:rsidR="0031336A" w:rsidRPr="0092606E" w:rsidRDefault="0031336A">
      <w:pPr>
        <w:rPr>
          <w:lang w:val="hu-HU"/>
        </w:rPr>
      </w:pPr>
    </w:p>
    <w:p w14:paraId="10E4501B" w14:textId="77777777" w:rsidR="0031336A" w:rsidRPr="0092606E" w:rsidRDefault="003D3C88">
      <w:pPr>
        <w:pStyle w:val="Default"/>
        <w:keepNext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Reprodukciós toxicitás</w:t>
      </w:r>
    </w:p>
    <w:p w14:paraId="21E1DA60" w14:textId="2DB73E0F" w:rsidR="0031336A" w:rsidRPr="0092606E" w:rsidRDefault="003D3C88">
      <w:pPr>
        <w:rPr>
          <w:lang w:val="hu-HU"/>
        </w:rPr>
      </w:pPr>
      <w:r w:rsidRPr="0092606E">
        <w:rPr>
          <w:lang w:val="hu-HU"/>
        </w:rPr>
        <w:t>Patkányokon végzett vizsgálatokban faroktorzulás fordult elő az urzodezoxikólsav testtömeg-kilogrammonként 2000 mg-os adagját követően. Nyulaknál nem tapasztaltak teratogén hatásokat, bár voltak embriotoxikus hatások (100 mg/t</w:t>
      </w:r>
      <w:r w:rsidR="00303745" w:rsidRPr="0092606E">
        <w:rPr>
          <w:lang w:val="hu-HU"/>
        </w:rPr>
        <w:t>t</w:t>
      </w:r>
      <w:r w:rsidRPr="0092606E">
        <w:rPr>
          <w:lang w:val="hu-HU"/>
        </w:rPr>
        <w:t>kg adagtól). Az urzodezoxikólsav nem volt hatással a patkányok fertilitására és nem befolyásolta az utódok peri- és posztnatális fejlődését.</w:t>
      </w:r>
    </w:p>
    <w:p w14:paraId="7083620C" w14:textId="77777777" w:rsidR="0031336A" w:rsidRPr="0092606E" w:rsidRDefault="0031336A">
      <w:pPr>
        <w:rPr>
          <w:lang w:val="hu-HU"/>
        </w:rPr>
      </w:pPr>
    </w:p>
    <w:p w14:paraId="7B556A01" w14:textId="77777777" w:rsidR="0031336A" w:rsidRPr="0092606E" w:rsidRDefault="0031336A">
      <w:pPr>
        <w:rPr>
          <w:lang w:val="hu-HU"/>
        </w:rPr>
      </w:pPr>
    </w:p>
    <w:p w14:paraId="16D0AE1D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6.</w:t>
      </w:r>
      <w:r w:rsidRPr="0092606E">
        <w:rPr>
          <w:b/>
          <w:bCs/>
          <w:lang w:val="hu-HU"/>
        </w:rPr>
        <w:tab/>
        <w:t>GYÓGYSZERÉSZETI SAJÁTOSSÁGOK</w:t>
      </w:r>
    </w:p>
    <w:p w14:paraId="5EB44ADA" w14:textId="77777777" w:rsidR="0031336A" w:rsidRPr="0092606E" w:rsidRDefault="0031336A">
      <w:pPr>
        <w:keepNext/>
        <w:rPr>
          <w:lang w:val="hu-HU"/>
        </w:rPr>
      </w:pPr>
    </w:p>
    <w:p w14:paraId="45A86F80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6.1.</w:t>
      </w:r>
      <w:r w:rsidRPr="0092606E">
        <w:rPr>
          <w:b/>
          <w:bCs/>
          <w:lang w:val="hu-HU"/>
        </w:rPr>
        <w:tab/>
        <w:t>Segédanyagok felsorolása</w:t>
      </w:r>
    </w:p>
    <w:p w14:paraId="69CA6753" w14:textId="77777777" w:rsidR="0031336A" w:rsidRPr="0092606E" w:rsidRDefault="0031336A">
      <w:pPr>
        <w:pStyle w:val="Default"/>
        <w:keepNext/>
        <w:rPr>
          <w:sz w:val="22"/>
          <w:szCs w:val="22"/>
          <w:lang w:val="hu-HU"/>
        </w:rPr>
      </w:pPr>
    </w:p>
    <w:p w14:paraId="14EAD597" w14:textId="77777777" w:rsidR="0031336A" w:rsidRPr="0092606E" w:rsidRDefault="003D3C88">
      <w:pPr>
        <w:pStyle w:val="Default"/>
        <w:keepNext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Tablettamag</w:t>
      </w:r>
    </w:p>
    <w:p w14:paraId="1010ADB1" w14:textId="12DDBCFD" w:rsidR="0031336A" w:rsidRPr="0092606E" w:rsidRDefault="00EE52C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</w:t>
      </w:r>
      <w:r w:rsidR="003D3C88" w:rsidRPr="0092606E">
        <w:rPr>
          <w:sz w:val="22"/>
          <w:szCs w:val="22"/>
          <w:lang w:val="hu-HU"/>
        </w:rPr>
        <w:t>ukoricakeményítő</w:t>
      </w:r>
    </w:p>
    <w:p w14:paraId="6AE41CBD" w14:textId="4A0FD159" w:rsidR="0031336A" w:rsidRPr="0092606E" w:rsidRDefault="00EE52C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</w:t>
      </w:r>
      <w:r w:rsidR="00303745" w:rsidRPr="0092606E">
        <w:rPr>
          <w:sz w:val="22"/>
          <w:szCs w:val="22"/>
          <w:lang w:val="hu-HU"/>
        </w:rPr>
        <w:t>idegen</w:t>
      </w:r>
      <w:r w:rsidR="00303745" w:rsidRPr="0092606E">
        <w:rPr>
          <w:lang w:val="hu-HU"/>
        </w:rPr>
        <w:t xml:space="preserve"> duzzadó</w:t>
      </w:r>
      <w:r w:rsidR="003D3C88" w:rsidRPr="0092606E">
        <w:rPr>
          <w:sz w:val="22"/>
          <w:szCs w:val="22"/>
          <w:lang w:val="hu-HU"/>
        </w:rPr>
        <w:t xml:space="preserve"> kukoricakeményítő</w:t>
      </w:r>
    </w:p>
    <w:p w14:paraId="520D1D9A" w14:textId="1B493D52" w:rsidR="00303745" w:rsidRPr="0092606E" w:rsidRDefault="00EE52CC">
      <w:pPr>
        <w:pStyle w:val="Default"/>
        <w:rPr>
          <w:lang w:val="hu-HU"/>
        </w:rPr>
      </w:pPr>
      <w:r>
        <w:rPr>
          <w:lang w:val="hu-HU"/>
        </w:rPr>
        <w:t>k</w:t>
      </w:r>
      <w:r w:rsidR="00303745" w:rsidRPr="0092606E">
        <w:rPr>
          <w:lang w:val="hu-HU"/>
        </w:rPr>
        <w:t>arboximetil-keményítő-nátrium (A típusú)</w:t>
      </w:r>
    </w:p>
    <w:p w14:paraId="54D239A7" w14:textId="2BC6DEEB" w:rsidR="0031336A" w:rsidRPr="0092606E" w:rsidRDefault="00EE52C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3D3C88" w:rsidRPr="0092606E">
        <w:rPr>
          <w:sz w:val="22"/>
          <w:szCs w:val="22"/>
          <w:lang w:val="hu-HU"/>
        </w:rPr>
        <w:t>ízmentes kolloid szilícium-dioxid</w:t>
      </w:r>
    </w:p>
    <w:p w14:paraId="1FFA9C54" w14:textId="6E27664D" w:rsidR="0031336A" w:rsidRPr="0092606E" w:rsidRDefault="00EE52C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3D3C88" w:rsidRPr="0092606E">
        <w:rPr>
          <w:sz w:val="22"/>
          <w:szCs w:val="22"/>
          <w:lang w:val="hu-HU"/>
        </w:rPr>
        <w:t>agnézium-sztearát</w:t>
      </w:r>
    </w:p>
    <w:p w14:paraId="6C4C0221" w14:textId="77777777" w:rsidR="0031336A" w:rsidRPr="0092606E" w:rsidRDefault="0031336A">
      <w:pPr>
        <w:rPr>
          <w:lang w:val="hu-HU"/>
        </w:rPr>
      </w:pPr>
    </w:p>
    <w:p w14:paraId="3AFA8DFF" w14:textId="77777777" w:rsidR="0031336A" w:rsidRPr="0092606E" w:rsidRDefault="003D3C88">
      <w:pPr>
        <w:pStyle w:val="Default"/>
        <w:keepNext/>
        <w:rPr>
          <w:sz w:val="22"/>
          <w:szCs w:val="22"/>
          <w:u w:val="single"/>
          <w:lang w:val="hu-HU"/>
        </w:rPr>
      </w:pPr>
      <w:r w:rsidRPr="0092606E">
        <w:rPr>
          <w:sz w:val="22"/>
          <w:szCs w:val="22"/>
          <w:u w:val="single"/>
          <w:lang w:val="hu-HU"/>
        </w:rPr>
        <w:t>Filmbevonat</w:t>
      </w:r>
    </w:p>
    <w:p w14:paraId="39263997" w14:textId="77777777" w:rsidR="0031336A" w:rsidRPr="0092606E" w:rsidRDefault="003D3C88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>Opadry white 03B28796:</w:t>
      </w:r>
    </w:p>
    <w:p w14:paraId="0A7C3A6A" w14:textId="77777777" w:rsidR="0031336A" w:rsidRPr="0092606E" w:rsidRDefault="003D3C88">
      <w:pPr>
        <w:ind w:left="567" w:hanging="567"/>
        <w:rPr>
          <w:lang w:val="hu-HU"/>
        </w:rPr>
      </w:pPr>
      <w:r w:rsidRPr="0092606E">
        <w:rPr>
          <w:lang w:val="hu-HU"/>
        </w:rPr>
        <w:t>-</w:t>
      </w:r>
      <w:r w:rsidRPr="0092606E">
        <w:rPr>
          <w:lang w:val="hu-HU"/>
        </w:rPr>
        <w:tab/>
        <w:t>hipromellóz 6</w:t>
      </w:r>
    </w:p>
    <w:p w14:paraId="5AD99ED7" w14:textId="77777777" w:rsidR="0031336A" w:rsidRPr="0092606E" w:rsidRDefault="003D3C88">
      <w:pPr>
        <w:ind w:left="567" w:hanging="567"/>
        <w:rPr>
          <w:lang w:val="hu-HU"/>
        </w:rPr>
      </w:pPr>
      <w:r w:rsidRPr="0092606E">
        <w:rPr>
          <w:lang w:val="hu-HU"/>
        </w:rPr>
        <w:t>-</w:t>
      </w:r>
      <w:r w:rsidRPr="0092606E">
        <w:rPr>
          <w:lang w:val="hu-HU"/>
        </w:rPr>
        <w:tab/>
        <w:t>titán-dioxid (E171)</w:t>
      </w:r>
    </w:p>
    <w:p w14:paraId="69AF8FFF" w14:textId="77777777" w:rsidR="0031336A" w:rsidRPr="0092606E" w:rsidRDefault="003D3C88">
      <w:pPr>
        <w:ind w:left="567" w:hanging="567"/>
        <w:rPr>
          <w:lang w:val="hu-HU"/>
        </w:rPr>
      </w:pPr>
      <w:r w:rsidRPr="0092606E">
        <w:rPr>
          <w:lang w:val="hu-HU"/>
        </w:rPr>
        <w:t>-</w:t>
      </w:r>
      <w:r w:rsidRPr="0092606E">
        <w:rPr>
          <w:lang w:val="hu-HU"/>
        </w:rPr>
        <w:tab/>
        <w:t>makrogol 400</w:t>
      </w:r>
    </w:p>
    <w:p w14:paraId="0F340713" w14:textId="77777777" w:rsidR="0031336A" w:rsidRPr="0092606E" w:rsidRDefault="0031336A">
      <w:pPr>
        <w:rPr>
          <w:lang w:val="hu-HU"/>
        </w:rPr>
      </w:pPr>
    </w:p>
    <w:p w14:paraId="5A002AC9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6.2</w:t>
      </w:r>
      <w:r w:rsidRPr="0092606E">
        <w:rPr>
          <w:b/>
          <w:bCs/>
          <w:lang w:val="hu-HU"/>
        </w:rPr>
        <w:tab/>
        <w:t>Inkompatibilitások</w:t>
      </w:r>
    </w:p>
    <w:p w14:paraId="5376346A" w14:textId="77777777" w:rsidR="0031336A" w:rsidRPr="0092606E" w:rsidRDefault="0031336A">
      <w:pPr>
        <w:keepNext/>
        <w:rPr>
          <w:lang w:val="hu-HU"/>
        </w:rPr>
      </w:pPr>
    </w:p>
    <w:p w14:paraId="78C5A6B6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Nem értelmezhető.</w:t>
      </w:r>
    </w:p>
    <w:p w14:paraId="51999D03" w14:textId="77777777" w:rsidR="0031336A" w:rsidRPr="0092606E" w:rsidRDefault="0031336A">
      <w:pPr>
        <w:rPr>
          <w:lang w:val="hu-HU"/>
        </w:rPr>
      </w:pPr>
    </w:p>
    <w:p w14:paraId="0D29508A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6.3</w:t>
      </w:r>
      <w:r w:rsidRPr="0092606E">
        <w:rPr>
          <w:b/>
          <w:bCs/>
          <w:lang w:val="hu-HU"/>
        </w:rPr>
        <w:tab/>
        <w:t>Felhasználhatósági időtartam</w:t>
      </w:r>
    </w:p>
    <w:p w14:paraId="05036673" w14:textId="77777777" w:rsidR="0031336A" w:rsidRPr="0092606E" w:rsidRDefault="0031336A">
      <w:pPr>
        <w:keepNext/>
        <w:rPr>
          <w:lang w:val="hu-HU"/>
        </w:rPr>
      </w:pPr>
    </w:p>
    <w:p w14:paraId="6E7DF29C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5 év.</w:t>
      </w:r>
    </w:p>
    <w:p w14:paraId="70D14AA6" w14:textId="77777777" w:rsidR="0031336A" w:rsidRPr="0092606E" w:rsidRDefault="0031336A">
      <w:pPr>
        <w:rPr>
          <w:lang w:val="hu-HU"/>
        </w:rPr>
      </w:pPr>
    </w:p>
    <w:p w14:paraId="2829A570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6.4</w:t>
      </w:r>
      <w:r w:rsidRPr="0092606E">
        <w:rPr>
          <w:b/>
          <w:bCs/>
          <w:lang w:val="hu-HU"/>
        </w:rPr>
        <w:tab/>
        <w:t>Különleges tárolási előírások</w:t>
      </w:r>
    </w:p>
    <w:p w14:paraId="60BC7926" w14:textId="77777777" w:rsidR="0031336A" w:rsidRPr="0092606E" w:rsidRDefault="0031336A">
      <w:pPr>
        <w:keepNext/>
        <w:rPr>
          <w:lang w:val="hu-HU"/>
        </w:rPr>
      </w:pPr>
    </w:p>
    <w:p w14:paraId="2396CBDB" w14:textId="77777777" w:rsidR="00303745" w:rsidRPr="0092606E" w:rsidRDefault="00303745" w:rsidP="00303745">
      <w:pPr>
        <w:rPr>
          <w:lang w:val="hu-HU"/>
        </w:rPr>
      </w:pPr>
      <w:r w:rsidRPr="0092606E">
        <w:rPr>
          <w:noProof/>
          <w:lang w:val="hu-HU"/>
        </w:rPr>
        <w:t>Ez a gyógyszer nem igényel különleges tárolást</w:t>
      </w:r>
      <w:r w:rsidRPr="0092606E" w:rsidDel="00356EF4">
        <w:rPr>
          <w:lang w:val="hu-HU"/>
        </w:rPr>
        <w:t xml:space="preserve"> </w:t>
      </w:r>
    </w:p>
    <w:p w14:paraId="16B6735C" w14:textId="77777777" w:rsidR="0031336A" w:rsidRPr="0092606E" w:rsidRDefault="0031336A">
      <w:pPr>
        <w:rPr>
          <w:lang w:val="hu-HU"/>
        </w:rPr>
      </w:pPr>
    </w:p>
    <w:p w14:paraId="70744DDC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6.5.</w:t>
      </w:r>
      <w:r w:rsidRPr="0092606E">
        <w:rPr>
          <w:b/>
          <w:bCs/>
          <w:lang w:val="hu-HU"/>
        </w:rPr>
        <w:tab/>
        <w:t>Csomagolás típusa és kiszerelése</w:t>
      </w:r>
    </w:p>
    <w:p w14:paraId="38DBEF07" w14:textId="77777777" w:rsidR="0031336A" w:rsidRPr="0092606E" w:rsidRDefault="0031336A">
      <w:pPr>
        <w:keepNext/>
        <w:rPr>
          <w:lang w:val="hu-HU"/>
        </w:rPr>
      </w:pPr>
    </w:p>
    <w:p w14:paraId="686DADFE" w14:textId="4437D713" w:rsidR="0031336A" w:rsidRPr="0092606E" w:rsidRDefault="00303745">
      <w:pPr>
        <w:pStyle w:val="Default"/>
        <w:rPr>
          <w:sz w:val="22"/>
          <w:szCs w:val="22"/>
          <w:lang w:val="hu-HU"/>
        </w:rPr>
      </w:pPr>
      <w:r w:rsidRPr="0092606E">
        <w:rPr>
          <w:sz w:val="22"/>
          <w:szCs w:val="22"/>
          <w:lang w:val="hu-HU"/>
        </w:rPr>
        <w:t xml:space="preserve">Filmtabletták </w:t>
      </w:r>
      <w:r w:rsidR="003D3C88" w:rsidRPr="0092606E">
        <w:rPr>
          <w:sz w:val="22"/>
          <w:szCs w:val="22"/>
          <w:lang w:val="hu-HU"/>
        </w:rPr>
        <w:t>PVC/PVDC/Al buborék</w:t>
      </w:r>
      <w:r w:rsidRPr="0092606E">
        <w:rPr>
          <w:sz w:val="22"/>
          <w:szCs w:val="22"/>
          <w:lang w:val="hu-HU"/>
        </w:rPr>
        <w:t>csomagolásban</w:t>
      </w:r>
      <w:r w:rsidR="003D3C88" w:rsidRPr="0092606E">
        <w:rPr>
          <w:sz w:val="22"/>
          <w:szCs w:val="22"/>
          <w:lang w:val="hu-HU"/>
        </w:rPr>
        <w:t>, doboz</w:t>
      </w:r>
      <w:r w:rsidRPr="0092606E">
        <w:rPr>
          <w:sz w:val="22"/>
          <w:szCs w:val="22"/>
          <w:lang w:val="hu-HU"/>
        </w:rPr>
        <w:t>ban</w:t>
      </w:r>
      <w:r w:rsidR="003D3C88" w:rsidRPr="0092606E">
        <w:rPr>
          <w:sz w:val="22"/>
          <w:szCs w:val="22"/>
          <w:lang w:val="hu-HU"/>
        </w:rPr>
        <w:t>.</w:t>
      </w:r>
    </w:p>
    <w:p w14:paraId="52B8C9EE" w14:textId="6C39C68D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Kiszerelési egység: 20, </w:t>
      </w:r>
      <w:r w:rsidR="00CD005A" w:rsidRPr="0092606E">
        <w:rPr>
          <w:lang w:val="hu-HU"/>
        </w:rPr>
        <w:t xml:space="preserve">30, </w:t>
      </w:r>
      <w:r w:rsidRPr="0092606E">
        <w:rPr>
          <w:lang w:val="hu-HU"/>
        </w:rPr>
        <w:t>40, 50, 60, 80 vagy 100 tabletta.</w:t>
      </w:r>
    </w:p>
    <w:p w14:paraId="16279571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Nem feltétlenül mindegyik kiszerelés kerül kereskedelmi forgalomba.</w:t>
      </w:r>
    </w:p>
    <w:p w14:paraId="079CCBB3" w14:textId="77777777" w:rsidR="0031336A" w:rsidRPr="0092606E" w:rsidRDefault="0031336A">
      <w:pPr>
        <w:rPr>
          <w:lang w:val="hu-HU"/>
        </w:rPr>
      </w:pPr>
    </w:p>
    <w:p w14:paraId="253F359F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6.6</w:t>
      </w:r>
      <w:r w:rsidRPr="0092606E">
        <w:rPr>
          <w:b/>
          <w:bCs/>
          <w:lang w:val="hu-HU"/>
        </w:rPr>
        <w:tab/>
        <w:t>A megsemmisítésre vonatkozó különleges óvintézkedések és egyéb, a készítmény kezelésével kapcsolatos információk</w:t>
      </w:r>
    </w:p>
    <w:p w14:paraId="04F8D2F5" w14:textId="77777777" w:rsidR="0031336A" w:rsidRPr="0092606E" w:rsidRDefault="0031336A">
      <w:pPr>
        <w:keepNext/>
        <w:rPr>
          <w:lang w:val="hu-HU"/>
        </w:rPr>
      </w:pPr>
    </w:p>
    <w:p w14:paraId="58C1AB56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Nincsenek különleges előírások.</w:t>
      </w:r>
    </w:p>
    <w:p w14:paraId="18D6F423" w14:textId="77777777" w:rsidR="0031336A" w:rsidRPr="0092606E" w:rsidRDefault="003D3C88">
      <w:pPr>
        <w:rPr>
          <w:lang w:val="hu-HU"/>
        </w:rPr>
      </w:pPr>
      <w:r w:rsidRPr="0092606E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096099CA" w14:textId="1C37A642" w:rsidR="0031336A" w:rsidRPr="0092606E" w:rsidRDefault="0031336A">
      <w:pPr>
        <w:rPr>
          <w:lang w:val="hu-HU"/>
        </w:rPr>
      </w:pPr>
    </w:p>
    <w:p w14:paraId="25C98DC2" w14:textId="77777777" w:rsidR="00303745" w:rsidRPr="0092606E" w:rsidRDefault="00303745" w:rsidP="00303745">
      <w:pPr>
        <w:tabs>
          <w:tab w:val="left" w:pos="2415"/>
        </w:tabs>
        <w:rPr>
          <w:rFonts w:eastAsia="Luxi Sans"/>
          <w:lang w:val="hu-HU" w:eastAsia="hu-HU"/>
        </w:rPr>
      </w:pPr>
      <w:r w:rsidRPr="0092606E">
        <w:rPr>
          <w:b/>
          <w:lang w:val="hu-HU"/>
        </w:rPr>
        <w:t>Megjegyzés</w:t>
      </w:r>
      <w:r w:rsidRPr="0092606E">
        <w:rPr>
          <w:lang w:val="hu-HU"/>
        </w:rPr>
        <w:t xml:space="preserve">: </w:t>
      </w:r>
      <w:r w:rsidRPr="0092606E">
        <w:rPr>
          <w:lang w:val="hu-HU"/>
        </w:rPr>
        <w:sym w:font="Wingdings" w:char="F058"/>
      </w:r>
      <w:r w:rsidRPr="0092606E">
        <w:rPr>
          <w:b/>
          <w:bCs/>
          <w:lang w:val="hu-HU"/>
        </w:rPr>
        <w:t xml:space="preserve"> </w:t>
      </w:r>
      <w:r w:rsidRPr="0092606E">
        <w:rPr>
          <w:lang w:val="hu-HU"/>
        </w:rPr>
        <w:t>(egykeresztes).</w:t>
      </w:r>
    </w:p>
    <w:p w14:paraId="4050192D" w14:textId="77777777" w:rsidR="00303745" w:rsidRPr="0092606E" w:rsidRDefault="00303745" w:rsidP="00303745">
      <w:pPr>
        <w:ind w:left="270" w:hanging="255"/>
        <w:rPr>
          <w:lang w:val="hu-HU"/>
        </w:rPr>
      </w:pPr>
      <w:r w:rsidRPr="0092606E">
        <w:rPr>
          <w:lang w:val="hu-HU"/>
        </w:rPr>
        <w:t xml:space="preserve">Osztályozás: </w:t>
      </w:r>
      <w:r w:rsidRPr="0092606E">
        <w:rPr>
          <w:b/>
          <w:bCs/>
          <w:lang w:val="hu-HU"/>
        </w:rPr>
        <w:t>II. csoport.</w:t>
      </w:r>
      <w:r w:rsidRPr="0092606E">
        <w:rPr>
          <w:lang w:val="hu-HU"/>
        </w:rPr>
        <w:t xml:space="preserve"> </w:t>
      </w:r>
    </w:p>
    <w:p w14:paraId="5BE2BB0C" w14:textId="77777777" w:rsidR="00303745" w:rsidRPr="0092606E" w:rsidRDefault="00303745" w:rsidP="00303745">
      <w:pPr>
        <w:ind w:left="270" w:hanging="255"/>
        <w:rPr>
          <w:lang w:val="hu-HU"/>
        </w:rPr>
      </w:pPr>
      <w:r w:rsidRPr="0092606E">
        <w:rPr>
          <w:lang w:val="hu-HU"/>
        </w:rPr>
        <w:t>Kizárólag orvosi rendelvényhez kötött gyógyszer (V).</w:t>
      </w:r>
    </w:p>
    <w:p w14:paraId="1DF1F3FE" w14:textId="77777777" w:rsidR="00303745" w:rsidRPr="0092606E" w:rsidRDefault="00303745">
      <w:pPr>
        <w:rPr>
          <w:lang w:val="hu-HU"/>
        </w:rPr>
      </w:pPr>
    </w:p>
    <w:p w14:paraId="59F8A144" w14:textId="77777777" w:rsidR="0031336A" w:rsidRPr="0092606E" w:rsidRDefault="0031336A">
      <w:pPr>
        <w:rPr>
          <w:lang w:val="hu-HU"/>
        </w:rPr>
      </w:pPr>
    </w:p>
    <w:p w14:paraId="324F8119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7.</w:t>
      </w:r>
      <w:r w:rsidRPr="0092606E">
        <w:rPr>
          <w:b/>
          <w:bCs/>
          <w:lang w:val="hu-HU"/>
        </w:rPr>
        <w:tab/>
        <w:t>A FORGALOMBA HOZATALI ENGEDÉLY JOGOSULTJA</w:t>
      </w:r>
    </w:p>
    <w:p w14:paraId="2F187C4B" w14:textId="77777777" w:rsidR="0031336A" w:rsidRPr="0092606E" w:rsidRDefault="0031336A">
      <w:pPr>
        <w:keepNext/>
        <w:rPr>
          <w:lang w:val="hu-HU"/>
        </w:rPr>
      </w:pPr>
    </w:p>
    <w:p w14:paraId="138D87E1" w14:textId="2B1D1234" w:rsidR="0031336A" w:rsidRPr="0092606E" w:rsidRDefault="003D3C88">
      <w:pPr>
        <w:rPr>
          <w:lang w:val="hu-HU"/>
        </w:rPr>
      </w:pPr>
      <w:r w:rsidRPr="0092606E">
        <w:rPr>
          <w:lang w:val="hu-HU"/>
        </w:rPr>
        <w:t>Kappler Pharma Consult GmbH, Fonyoder Straße 18, 89340 Leipheim, Németország</w:t>
      </w:r>
    </w:p>
    <w:p w14:paraId="15501CC0" w14:textId="77777777" w:rsidR="003D3C88" w:rsidRPr="0092606E" w:rsidRDefault="003D3C88">
      <w:pPr>
        <w:rPr>
          <w:lang w:val="hu-HU"/>
        </w:rPr>
      </w:pPr>
    </w:p>
    <w:p w14:paraId="37A28A72" w14:textId="77777777" w:rsidR="0031336A" w:rsidRPr="0092606E" w:rsidRDefault="0031336A">
      <w:pPr>
        <w:rPr>
          <w:lang w:val="hu-HU"/>
        </w:rPr>
      </w:pPr>
    </w:p>
    <w:p w14:paraId="71A60ABB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8.</w:t>
      </w:r>
      <w:r w:rsidRPr="0092606E">
        <w:rPr>
          <w:b/>
          <w:bCs/>
          <w:lang w:val="hu-HU"/>
        </w:rPr>
        <w:tab/>
        <w:t>A FORGALOMBA HOZATALI ENGEDÉLY SZÁMA(I)</w:t>
      </w:r>
    </w:p>
    <w:p w14:paraId="09F6A78A" w14:textId="77777777" w:rsidR="0031336A" w:rsidRPr="0092606E" w:rsidRDefault="0031336A">
      <w:pPr>
        <w:keepNext/>
        <w:rPr>
          <w:lang w:val="hu-HU"/>
        </w:rPr>
      </w:pPr>
    </w:p>
    <w:p w14:paraId="13D5531B" w14:textId="1B19B11D" w:rsidR="004C2357" w:rsidRPr="0092606E" w:rsidRDefault="004C2357" w:rsidP="004C2357">
      <w:pPr>
        <w:keepNext/>
        <w:rPr>
          <w:lang w:val="hu-HU"/>
        </w:rPr>
      </w:pPr>
      <w:r w:rsidRPr="0092606E">
        <w:rPr>
          <w:lang w:val="hu-HU"/>
        </w:rPr>
        <w:t>OGYI-T-23988/13</w:t>
      </w:r>
      <w:r w:rsidRPr="0092606E">
        <w:rPr>
          <w:lang w:val="hu-HU"/>
        </w:rPr>
        <w:tab/>
        <w:t>20×</w:t>
      </w:r>
    </w:p>
    <w:p w14:paraId="44473510" w14:textId="42FD0F67" w:rsidR="00CD005A" w:rsidRPr="0092606E" w:rsidRDefault="00CD005A" w:rsidP="004C2357">
      <w:pPr>
        <w:keepNext/>
        <w:rPr>
          <w:lang w:val="hu-HU"/>
        </w:rPr>
      </w:pPr>
      <w:r w:rsidRPr="0092606E">
        <w:rPr>
          <w:lang w:val="hu-HU"/>
        </w:rPr>
        <w:t>OGYI-T-23988/</w:t>
      </w:r>
      <w:r w:rsidR="00E065F3">
        <w:rPr>
          <w:lang w:val="hu-HU"/>
        </w:rPr>
        <w:t>19</w:t>
      </w:r>
      <w:r w:rsidRPr="0092606E">
        <w:rPr>
          <w:lang w:val="hu-HU"/>
        </w:rPr>
        <w:tab/>
        <w:t>30×</w:t>
      </w:r>
    </w:p>
    <w:p w14:paraId="79E1DF03" w14:textId="2419659C" w:rsidR="004C2357" w:rsidRPr="0092606E" w:rsidRDefault="004C2357" w:rsidP="004C2357">
      <w:pPr>
        <w:keepNext/>
        <w:rPr>
          <w:lang w:val="hu-HU"/>
        </w:rPr>
      </w:pPr>
      <w:r w:rsidRPr="0092606E">
        <w:rPr>
          <w:lang w:val="hu-HU"/>
        </w:rPr>
        <w:t>OGYI-T-23988/14</w:t>
      </w:r>
      <w:r w:rsidRPr="0092606E">
        <w:rPr>
          <w:lang w:val="hu-HU"/>
        </w:rPr>
        <w:tab/>
        <w:t>40×</w:t>
      </w:r>
    </w:p>
    <w:p w14:paraId="69357CBC" w14:textId="72BCFAFB" w:rsidR="004C2357" w:rsidRPr="0092606E" w:rsidRDefault="004C2357" w:rsidP="004C2357">
      <w:pPr>
        <w:keepNext/>
        <w:rPr>
          <w:lang w:val="hu-HU"/>
        </w:rPr>
      </w:pPr>
      <w:r w:rsidRPr="0092606E">
        <w:rPr>
          <w:lang w:val="hu-HU"/>
        </w:rPr>
        <w:t>OGYI-T-23988/15</w:t>
      </w:r>
      <w:r w:rsidRPr="0092606E">
        <w:rPr>
          <w:lang w:val="hu-HU"/>
        </w:rPr>
        <w:tab/>
        <w:t>50×</w:t>
      </w:r>
    </w:p>
    <w:p w14:paraId="43FF21DF" w14:textId="0303CB45" w:rsidR="004C2357" w:rsidRPr="0092606E" w:rsidRDefault="004C2357" w:rsidP="004C2357">
      <w:pPr>
        <w:keepNext/>
        <w:rPr>
          <w:lang w:val="hu-HU"/>
        </w:rPr>
      </w:pPr>
      <w:r w:rsidRPr="0092606E">
        <w:rPr>
          <w:lang w:val="hu-HU"/>
        </w:rPr>
        <w:t>OGYI-T-23988/16</w:t>
      </w:r>
      <w:r w:rsidRPr="0092606E">
        <w:rPr>
          <w:lang w:val="hu-HU"/>
        </w:rPr>
        <w:tab/>
        <w:t>60×</w:t>
      </w:r>
    </w:p>
    <w:p w14:paraId="2DC33F3B" w14:textId="61EE83EB" w:rsidR="004C2357" w:rsidRPr="0092606E" w:rsidRDefault="004C2357" w:rsidP="004C2357">
      <w:pPr>
        <w:keepNext/>
        <w:rPr>
          <w:lang w:val="hu-HU"/>
        </w:rPr>
      </w:pPr>
      <w:r w:rsidRPr="0092606E">
        <w:rPr>
          <w:lang w:val="hu-HU"/>
        </w:rPr>
        <w:t>OGYI-T-23988/17</w:t>
      </w:r>
      <w:r w:rsidRPr="0092606E">
        <w:rPr>
          <w:lang w:val="hu-HU"/>
        </w:rPr>
        <w:tab/>
        <w:t>80×</w:t>
      </w:r>
    </w:p>
    <w:p w14:paraId="718CF819" w14:textId="1D88FF6B" w:rsidR="0031336A" w:rsidRPr="0092606E" w:rsidRDefault="004C2357">
      <w:pPr>
        <w:rPr>
          <w:lang w:val="hu-HU"/>
        </w:rPr>
      </w:pPr>
      <w:r w:rsidRPr="0092606E">
        <w:rPr>
          <w:lang w:val="hu-HU"/>
        </w:rPr>
        <w:t>OGYI-T-23988/18</w:t>
      </w:r>
      <w:r w:rsidRPr="0092606E">
        <w:rPr>
          <w:lang w:val="hu-HU"/>
        </w:rPr>
        <w:tab/>
        <w:t>100×</w:t>
      </w:r>
    </w:p>
    <w:p w14:paraId="4816C48D" w14:textId="46FA462F" w:rsidR="0031336A" w:rsidRPr="0092606E" w:rsidRDefault="0031336A">
      <w:pPr>
        <w:rPr>
          <w:lang w:val="hu-HU"/>
        </w:rPr>
      </w:pPr>
    </w:p>
    <w:p w14:paraId="0A634E7F" w14:textId="77777777" w:rsidR="004C2357" w:rsidRPr="0092606E" w:rsidRDefault="004C2357">
      <w:pPr>
        <w:rPr>
          <w:lang w:val="hu-HU"/>
        </w:rPr>
      </w:pPr>
    </w:p>
    <w:p w14:paraId="2C7F3D99" w14:textId="77777777" w:rsidR="0031336A" w:rsidRPr="0092606E" w:rsidRDefault="003D3C88">
      <w:pPr>
        <w:keepNext/>
        <w:ind w:left="567" w:hanging="567"/>
        <w:rPr>
          <w:lang w:val="hu-HU"/>
        </w:rPr>
      </w:pPr>
      <w:r w:rsidRPr="0092606E">
        <w:rPr>
          <w:b/>
          <w:bCs/>
          <w:lang w:val="hu-HU"/>
        </w:rPr>
        <w:t>9.</w:t>
      </w:r>
      <w:r w:rsidRPr="0092606E">
        <w:rPr>
          <w:b/>
          <w:bCs/>
          <w:lang w:val="hu-HU"/>
        </w:rPr>
        <w:tab/>
        <w:t>A FORGALOMBA HOZATALI ENGEDÉLY ELSŐ KIADÁSÁNAK/ MEGÚJÍTÁSÁNAK DÁTUMA</w:t>
      </w:r>
    </w:p>
    <w:p w14:paraId="286AF166" w14:textId="77777777" w:rsidR="0031336A" w:rsidRPr="0092606E" w:rsidRDefault="0031336A">
      <w:pPr>
        <w:keepNext/>
        <w:rPr>
          <w:lang w:val="hu-HU"/>
        </w:rPr>
      </w:pPr>
    </w:p>
    <w:p w14:paraId="29BB8F3A" w14:textId="2CC7D119" w:rsidR="0031336A" w:rsidRPr="0092606E" w:rsidRDefault="003D3C88">
      <w:pPr>
        <w:rPr>
          <w:lang w:val="hu-HU"/>
        </w:rPr>
      </w:pPr>
      <w:r w:rsidRPr="0092606E">
        <w:rPr>
          <w:lang w:val="hu-HU"/>
        </w:rPr>
        <w:t xml:space="preserve">A forgalomba hozatali engedély első kiadásának dátuma: </w:t>
      </w:r>
      <w:r w:rsidR="004C2357" w:rsidRPr="0092606E">
        <w:rPr>
          <w:lang w:val="hu-HU"/>
        </w:rPr>
        <w:t>2021. december 21.</w:t>
      </w:r>
    </w:p>
    <w:p w14:paraId="1B726E40" w14:textId="77777777" w:rsidR="0031336A" w:rsidRPr="0092606E" w:rsidRDefault="0031336A">
      <w:pPr>
        <w:rPr>
          <w:lang w:val="hu-HU"/>
        </w:rPr>
      </w:pPr>
    </w:p>
    <w:p w14:paraId="0FFC6059" w14:textId="77777777" w:rsidR="0031336A" w:rsidRPr="0092606E" w:rsidRDefault="0031336A">
      <w:pPr>
        <w:rPr>
          <w:lang w:val="hu-HU"/>
        </w:rPr>
      </w:pPr>
    </w:p>
    <w:p w14:paraId="6008FAAA" w14:textId="77777777" w:rsidR="0031336A" w:rsidRPr="0092606E" w:rsidRDefault="003D3C88">
      <w:pPr>
        <w:keepNext/>
        <w:ind w:left="567" w:hanging="567"/>
        <w:rPr>
          <w:b/>
          <w:lang w:val="hu-HU"/>
        </w:rPr>
      </w:pPr>
      <w:r w:rsidRPr="0092606E">
        <w:rPr>
          <w:b/>
          <w:bCs/>
          <w:lang w:val="hu-HU"/>
        </w:rPr>
        <w:t>10</w:t>
      </w:r>
      <w:r w:rsidRPr="0092606E">
        <w:rPr>
          <w:b/>
          <w:bCs/>
          <w:lang w:val="hu-HU"/>
        </w:rPr>
        <w:tab/>
        <w:t>A SZÖVEG ELLENŐRZÉSÉNEK DÁTUMA</w:t>
      </w:r>
    </w:p>
    <w:p w14:paraId="53853EC6" w14:textId="77777777" w:rsidR="0031336A" w:rsidRPr="0092606E" w:rsidRDefault="0031336A">
      <w:pPr>
        <w:keepNext/>
        <w:rPr>
          <w:lang w:val="hu-HU"/>
        </w:rPr>
      </w:pPr>
    </w:p>
    <w:p w14:paraId="39C604CD" w14:textId="22B87A76" w:rsidR="0031336A" w:rsidRPr="0092606E" w:rsidRDefault="00CE131A" w:rsidP="00CE131A">
      <w:pPr>
        <w:rPr>
          <w:i/>
          <w:lang w:val="hu-HU"/>
        </w:rPr>
      </w:pPr>
      <w:r w:rsidRPr="00CE131A">
        <w:rPr>
          <w:lang w:val="hu-HU"/>
        </w:rPr>
        <w:t>2026. március 14.</w:t>
      </w:r>
    </w:p>
    <w:sectPr w:rsidR="0031336A" w:rsidRPr="0092606E" w:rsidSect="00837E90">
      <w:headerReference w:type="default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F0DC4" w14:textId="77777777" w:rsidR="00820ED0" w:rsidRDefault="00820ED0">
      <w:r>
        <w:separator/>
      </w:r>
    </w:p>
  </w:endnote>
  <w:endnote w:type="continuationSeparator" w:id="0">
    <w:p w14:paraId="3B728E1A" w14:textId="77777777" w:rsidR="00820ED0" w:rsidRDefault="00820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xi Sans">
    <w:altName w:val="Times New Roman"/>
    <w:charset w:val="00"/>
    <w:family w:val="auto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5FA36" w14:textId="4C6F04FC" w:rsidR="0031336A" w:rsidRDefault="0031336A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9BD93" w14:textId="2C8E6B10" w:rsidR="00837E90" w:rsidRPr="00837E90" w:rsidRDefault="002247D6">
    <w:pPr>
      <w:pStyle w:val="llb"/>
      <w:rPr>
        <w:sz w:val="18"/>
        <w:szCs w:val="18"/>
      </w:rPr>
    </w:pPr>
    <w:r w:rsidRPr="002247D6">
      <w:rPr>
        <w:sz w:val="18"/>
        <w:szCs w:val="18"/>
      </w:rPr>
      <w:t>NNGYK/ETGY/10117/2026</w:t>
    </w:r>
    <w:r w:rsidR="00C2179B">
      <w:rPr>
        <w:sz w:val="18"/>
        <w:szCs w:val="18"/>
      </w:rPr>
      <w:tab/>
    </w:r>
    <w:r w:rsidR="00C2179B">
      <w:rPr>
        <w:sz w:val="18"/>
        <w:szCs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851DE" w14:textId="77777777" w:rsidR="00820ED0" w:rsidRDefault="00820ED0">
      <w:r>
        <w:separator/>
      </w:r>
    </w:p>
  </w:footnote>
  <w:footnote w:type="continuationSeparator" w:id="0">
    <w:p w14:paraId="4DE42E65" w14:textId="77777777" w:rsidR="00820ED0" w:rsidRDefault="00820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79745514"/>
      <w:docPartObj>
        <w:docPartGallery w:val="Page Numbers (Top of Page)"/>
        <w:docPartUnique/>
      </w:docPartObj>
    </w:sdtPr>
    <w:sdtEndPr/>
    <w:sdtContent>
      <w:p w14:paraId="0FF28F61" w14:textId="7DF7345A" w:rsidR="00AB6397" w:rsidRPr="00837E90" w:rsidRDefault="00AB6397">
        <w:pPr>
          <w:pStyle w:val="lfej"/>
          <w:jc w:val="center"/>
          <w:rPr>
            <w:sz w:val="18"/>
            <w:szCs w:val="18"/>
          </w:rPr>
        </w:pPr>
        <w:r w:rsidRPr="00837E90">
          <w:rPr>
            <w:sz w:val="18"/>
            <w:szCs w:val="18"/>
          </w:rPr>
          <w:fldChar w:fldCharType="begin"/>
        </w:r>
        <w:r w:rsidRPr="00837E90">
          <w:rPr>
            <w:sz w:val="18"/>
            <w:szCs w:val="18"/>
          </w:rPr>
          <w:instrText>PAGE   \* MERGEFORMAT</w:instrText>
        </w:r>
        <w:r w:rsidRPr="00837E90">
          <w:rPr>
            <w:sz w:val="18"/>
            <w:szCs w:val="18"/>
          </w:rPr>
          <w:fldChar w:fldCharType="separate"/>
        </w:r>
        <w:r w:rsidR="004C2357" w:rsidRPr="004C2357">
          <w:rPr>
            <w:noProof/>
            <w:sz w:val="18"/>
            <w:szCs w:val="18"/>
            <w:lang w:val="hu-HU"/>
          </w:rPr>
          <w:t>8</w:t>
        </w:r>
        <w:r w:rsidRPr="00837E90">
          <w:rPr>
            <w:sz w:val="18"/>
            <w:szCs w:val="18"/>
          </w:rPr>
          <w:fldChar w:fldCharType="end"/>
        </w:r>
      </w:p>
    </w:sdtContent>
  </w:sdt>
  <w:p w14:paraId="4E4FAC73" w14:textId="77777777" w:rsidR="00AB6397" w:rsidRDefault="00AB639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MusterSpiegelstrich-Aufzhlung"/>
      <w:lvlText w:val="-"/>
      <w:lvlJc w:val="left"/>
      <w:pPr>
        <w:tabs>
          <w:tab w:val="num" w:pos="360"/>
        </w:tabs>
      </w:pPr>
      <w:rPr>
        <w:rFonts w:ascii="Thorndale" w:hAnsi="Thorndale"/>
        <w:sz w:val="16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2421"/>
        </w:tabs>
      </w:pPr>
      <w:rPr>
        <w:rFonts w:cs="Times New Roman"/>
      </w:rPr>
    </w:lvl>
  </w:abstractNum>
  <w:abstractNum w:abstractNumId="2" w15:restartNumberingAfterBreak="0">
    <w:nsid w:val="02B16EEE"/>
    <w:multiLevelType w:val="hybridMultilevel"/>
    <w:tmpl w:val="E55EDD94"/>
    <w:lvl w:ilvl="0" w:tplc="824C28FE">
      <w:start w:val="4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 w15:restartNumberingAfterBreak="0">
    <w:nsid w:val="052D396E"/>
    <w:multiLevelType w:val="multilevel"/>
    <w:tmpl w:val="C0E0E2AC"/>
    <w:lvl w:ilvl="0">
      <w:start w:val="1"/>
      <w:numFmt w:val="decimal"/>
      <w:pStyle w:val="Styl1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2"/>
      <w:isLgl/>
      <w:lvlText w:val="%1.%2"/>
      <w:lvlJc w:val="left"/>
      <w:pPr>
        <w:tabs>
          <w:tab w:val="num" w:pos="747"/>
        </w:tabs>
        <w:ind w:left="747" w:hanging="567"/>
      </w:pPr>
      <w:rPr>
        <w:rFonts w:cs="Times New Roman"/>
        <w:b/>
        <w:i w:val="0"/>
        <w:vanish w:val="0"/>
        <w:u w:val="none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pStyle w:val="TJ1"/>
      <w:isLgl/>
      <w:lvlText w:val="%1.%2.%3.%4"/>
      <w:lvlJc w:val="left"/>
      <w:pPr>
        <w:tabs>
          <w:tab w:val="num" w:pos="108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4" w15:restartNumberingAfterBreak="0">
    <w:nsid w:val="0559590F"/>
    <w:multiLevelType w:val="hybridMultilevel"/>
    <w:tmpl w:val="BEAC5D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F46DB"/>
    <w:multiLevelType w:val="hybridMultilevel"/>
    <w:tmpl w:val="062AD2D8"/>
    <w:lvl w:ilvl="0" w:tplc="E3B6729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67D63DE"/>
    <w:multiLevelType w:val="hybridMultilevel"/>
    <w:tmpl w:val="10C47C78"/>
    <w:lvl w:ilvl="0" w:tplc="E3B67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987F9A"/>
    <w:multiLevelType w:val="hybridMultilevel"/>
    <w:tmpl w:val="018CBBD2"/>
    <w:lvl w:ilvl="0" w:tplc="E3B6729C">
      <w:start w:val="1"/>
      <w:numFmt w:val="bullet"/>
      <w:lvlText w:val="-"/>
      <w:lvlJc w:val="left"/>
      <w:pPr>
        <w:ind w:left="719" w:hanging="360"/>
      </w:pPr>
      <w:rPr>
        <w:rFonts w:ascii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ED854DD"/>
    <w:multiLevelType w:val="hybridMultilevel"/>
    <w:tmpl w:val="B588A70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9111E"/>
    <w:multiLevelType w:val="hybridMultilevel"/>
    <w:tmpl w:val="80500C5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1" w15:restartNumberingAfterBreak="0">
    <w:nsid w:val="36AA5C4C"/>
    <w:multiLevelType w:val="hybridMultilevel"/>
    <w:tmpl w:val="49C43E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635B6"/>
    <w:multiLevelType w:val="hybridMultilevel"/>
    <w:tmpl w:val="9730B2A0"/>
    <w:lvl w:ilvl="0" w:tplc="AFEEABE0">
      <w:start w:val="1"/>
      <w:numFmt w:val="decimal"/>
      <w:pStyle w:val="Aufzhlung1-2-3-4-5-6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8411C69"/>
    <w:multiLevelType w:val="hybridMultilevel"/>
    <w:tmpl w:val="3252DA34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DFA3159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64EB4792"/>
    <w:multiLevelType w:val="hybridMultilevel"/>
    <w:tmpl w:val="E13E8FF0"/>
    <w:lvl w:ilvl="0" w:tplc="FC6ECFD6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7" w15:restartNumberingAfterBreak="0">
    <w:nsid w:val="6B12689E"/>
    <w:multiLevelType w:val="hybridMultilevel"/>
    <w:tmpl w:val="907676D8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6E5A4F03"/>
    <w:multiLevelType w:val="multilevel"/>
    <w:tmpl w:val="DD2EBB2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7C8832C2"/>
    <w:multiLevelType w:val="hybridMultilevel"/>
    <w:tmpl w:val="360E3298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1840A2C">
      <w:start w:val="1"/>
      <w:numFmt w:val="bullet"/>
      <w:lvlText w:val=""/>
      <w:lvlJc w:val="left"/>
      <w:pPr>
        <w:tabs>
          <w:tab w:val="num" w:pos="1099"/>
        </w:tabs>
        <w:ind w:left="1099" w:hanging="360"/>
      </w:pPr>
      <w:rPr>
        <w:rFonts w:ascii="Symbol" w:hAnsi="Symbol" w:hint="default"/>
      </w:rPr>
    </w:lvl>
    <w:lvl w:ilvl="2" w:tplc="0407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num w:numId="1" w16cid:durableId="791019657">
    <w:abstractNumId w:val="12"/>
  </w:num>
  <w:num w:numId="2" w16cid:durableId="961040557">
    <w:abstractNumId w:val="0"/>
  </w:num>
  <w:num w:numId="3" w16cid:durableId="1725132566">
    <w:abstractNumId w:val="3"/>
  </w:num>
  <w:num w:numId="4" w16cid:durableId="1543444290">
    <w:abstractNumId w:val="11"/>
  </w:num>
  <w:num w:numId="5" w16cid:durableId="722022154">
    <w:abstractNumId w:val="9"/>
  </w:num>
  <w:num w:numId="6" w16cid:durableId="1017806455">
    <w:abstractNumId w:val="8"/>
  </w:num>
  <w:num w:numId="7" w16cid:durableId="1636253855">
    <w:abstractNumId w:val="14"/>
    <w:lvlOverride w:ilvl="0">
      <w:startOverride w:val="1"/>
    </w:lvlOverride>
  </w:num>
  <w:num w:numId="8" w16cid:durableId="1982886403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8933066">
    <w:abstractNumId w:val="6"/>
  </w:num>
  <w:num w:numId="10" w16cid:durableId="13275855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4567962">
    <w:abstractNumId w:val="16"/>
    <w:lvlOverride w:ilvl="0">
      <w:startOverride w:val="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889693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63776047">
    <w:abstractNumId w:val="10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37062792">
    <w:abstractNumId w:val="16"/>
  </w:num>
  <w:num w:numId="15" w16cid:durableId="1902054002">
    <w:abstractNumId w:val="10"/>
  </w:num>
  <w:num w:numId="16" w16cid:durableId="1314142241">
    <w:abstractNumId w:val="5"/>
  </w:num>
  <w:num w:numId="17" w16cid:durableId="684746214">
    <w:abstractNumId w:val="7"/>
  </w:num>
  <w:num w:numId="18" w16cid:durableId="1242833351">
    <w:abstractNumId w:val="18"/>
  </w:num>
  <w:num w:numId="19" w16cid:durableId="1012343256">
    <w:abstractNumId w:val="14"/>
  </w:num>
  <w:num w:numId="20" w16cid:durableId="821774556">
    <w:abstractNumId w:val="19"/>
  </w:num>
  <w:num w:numId="21" w16cid:durableId="627320922">
    <w:abstractNumId w:val="17"/>
  </w:num>
  <w:num w:numId="22" w16cid:durableId="1615480187">
    <w:abstractNumId w:val="13"/>
  </w:num>
  <w:num w:numId="23" w16cid:durableId="1433626791">
    <w:abstractNumId w:val="2"/>
  </w:num>
  <w:num w:numId="24" w16cid:durableId="7054956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3651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36A"/>
    <w:rsid w:val="00033861"/>
    <w:rsid w:val="00066453"/>
    <w:rsid w:val="00070572"/>
    <w:rsid w:val="0013544E"/>
    <w:rsid w:val="00222A34"/>
    <w:rsid w:val="002247D6"/>
    <w:rsid w:val="00296070"/>
    <w:rsid w:val="002F5E0D"/>
    <w:rsid w:val="00303745"/>
    <w:rsid w:val="0031336A"/>
    <w:rsid w:val="003D3C88"/>
    <w:rsid w:val="003D4EA9"/>
    <w:rsid w:val="004C2357"/>
    <w:rsid w:val="0055312C"/>
    <w:rsid w:val="0055657B"/>
    <w:rsid w:val="005D134B"/>
    <w:rsid w:val="00653097"/>
    <w:rsid w:val="00701779"/>
    <w:rsid w:val="00761709"/>
    <w:rsid w:val="007C50FC"/>
    <w:rsid w:val="007D7932"/>
    <w:rsid w:val="00820ED0"/>
    <w:rsid w:val="00837E90"/>
    <w:rsid w:val="008B2490"/>
    <w:rsid w:val="00916C34"/>
    <w:rsid w:val="0092606E"/>
    <w:rsid w:val="00980298"/>
    <w:rsid w:val="009F079A"/>
    <w:rsid w:val="00AB6397"/>
    <w:rsid w:val="00B7284A"/>
    <w:rsid w:val="00BB6910"/>
    <w:rsid w:val="00C2179B"/>
    <w:rsid w:val="00CD005A"/>
    <w:rsid w:val="00CE131A"/>
    <w:rsid w:val="00D21AEA"/>
    <w:rsid w:val="00D851E0"/>
    <w:rsid w:val="00DF1AB4"/>
    <w:rsid w:val="00E065F3"/>
    <w:rsid w:val="00E15FEC"/>
    <w:rsid w:val="00E16C5D"/>
    <w:rsid w:val="00E4334D"/>
    <w:rsid w:val="00EE52CC"/>
    <w:rsid w:val="00F6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BF4845"/>
  <w15:chartTrackingRefBased/>
  <w15:docId w15:val="{EE6AC688-B7D3-4121-834C-079771CFF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uiPriority="22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pPr>
      <w:keepNext/>
      <w:outlineLvl w:val="0"/>
    </w:pPr>
    <w:rPr>
      <w:i/>
      <w:sz w:val="32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customStyle="1" w:styleId="Formatvorlage1">
    <w:name w:val="Formatvorlage1"/>
    <w:basedOn w:val="Norml"/>
    <w:autoRedefine/>
    <w:pPr>
      <w:spacing w:before="120" w:after="120" w:line="360" w:lineRule="auto"/>
    </w:pPr>
    <w:rPr>
      <w:sz w:val="24"/>
    </w:rPr>
  </w:style>
  <w:style w:type="table" w:styleId="Rcsostblzat">
    <w:name w:val="Table Grid"/>
    <w:basedOn w:val="Normltblzat"/>
    <w:rPr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rPr>
      <w:rFonts w:cs="Times New Roman"/>
    </w:rPr>
  </w:style>
  <w:style w:type="paragraph" w:customStyle="1" w:styleId="Musterberschrift112">
    <w:name w:val="Muster_Überschrift1_12"/>
    <w:basedOn w:val="Norml"/>
    <w:pPr>
      <w:tabs>
        <w:tab w:val="left" w:pos="567"/>
      </w:tabs>
      <w:spacing w:before="240" w:after="240"/>
      <w:ind w:left="567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MusterHinweis">
    <w:name w:val="Muster_Hinweis"/>
    <w:basedOn w:val="Norml"/>
    <w:next w:val="Norml"/>
    <w:pPr>
      <w:spacing w:before="120" w:after="120"/>
      <w:ind w:left="1134"/>
    </w:pPr>
    <w:rPr>
      <w:rFonts w:ascii="Arial" w:hAnsi="Arial" w:cs="Arial"/>
      <w:sz w:val="18"/>
      <w:szCs w:val="18"/>
      <w:lang w:eastAsia="ar-SA"/>
    </w:rPr>
  </w:style>
  <w:style w:type="paragraph" w:customStyle="1" w:styleId="Aufzhlung1-2-3-4-5-6">
    <w:name w:val="Aufzählung_1-2-3-4-5-6..."/>
    <w:basedOn w:val="Norml"/>
    <w:pPr>
      <w:numPr>
        <w:numId w:val="1"/>
      </w:numPr>
      <w:suppressAutoHyphens/>
      <w:autoSpaceDE w:val="0"/>
      <w:autoSpaceDN w:val="0"/>
      <w:spacing w:after="120"/>
    </w:pPr>
    <w:rPr>
      <w:rFonts w:ascii="Arial" w:hAnsi="Arial" w:cs="Arial"/>
    </w:rPr>
  </w:style>
  <w:style w:type="paragraph" w:styleId="Cm">
    <w:name w:val="Title"/>
    <w:basedOn w:val="Norml"/>
    <w:next w:val="Podtitul"/>
    <w:qFormat/>
    <w:pPr>
      <w:suppressAutoHyphens/>
      <w:autoSpaceDE w:val="0"/>
      <w:autoSpaceDN w:val="0"/>
      <w:spacing w:before="480" w:after="480"/>
      <w:ind w:left="1701"/>
    </w:pPr>
    <w:rPr>
      <w:rFonts w:ascii="Arial" w:hAnsi="Arial" w:cs="Arial"/>
      <w:b/>
      <w:bCs/>
      <w:kern w:val="1"/>
      <w:sz w:val="28"/>
      <w:szCs w:val="28"/>
    </w:rPr>
  </w:style>
  <w:style w:type="paragraph" w:customStyle="1" w:styleId="Abs06">
    <w:name w:val="__Abs. /06"/>
    <w:pPr>
      <w:suppressAutoHyphens/>
      <w:autoSpaceDE w:val="0"/>
      <w:autoSpaceDN w:val="0"/>
      <w:spacing w:after="120" w:line="260" w:lineRule="exact"/>
      <w:jc w:val="both"/>
    </w:pPr>
    <w:rPr>
      <w:rFonts w:ascii="Arial" w:hAnsi="Arial" w:cs="Arial"/>
      <w:noProof/>
      <w:lang w:val="en-US" w:eastAsia="de-DE"/>
    </w:rPr>
  </w:style>
  <w:style w:type="paragraph" w:customStyle="1" w:styleId="Podtitul">
    <w:name w:val="Podtitul"/>
    <w:basedOn w:val="Norm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customStyle="1" w:styleId="MusterSpiegelstrich-Aufzhlung">
    <w:name w:val="Muster_Spiegelstrich-Aufzählung"/>
    <w:basedOn w:val="Norml"/>
    <w:pPr>
      <w:numPr>
        <w:numId w:val="2"/>
      </w:numPr>
      <w:suppressAutoHyphens/>
      <w:autoSpaceDE w:val="0"/>
      <w:autoSpaceDN w:val="0"/>
      <w:spacing w:after="120"/>
    </w:pPr>
    <w:rPr>
      <w:rFonts w:ascii="Arial" w:hAnsi="Arial" w:cs="Arial"/>
    </w:rPr>
  </w:style>
  <w:style w:type="paragraph" w:customStyle="1" w:styleId="knZulassung02">
    <w:name w:val="knZulassung02"/>
    <w:basedOn w:val="Norml"/>
    <w:pPr>
      <w:suppressAutoHyphens/>
      <w:autoSpaceDE w:val="0"/>
      <w:autoSpaceDN w:val="0"/>
      <w:spacing w:after="120"/>
      <w:ind w:left="1843" w:right="284"/>
    </w:pPr>
    <w:rPr>
      <w:rFonts w:ascii="Courier" w:hAnsi="Courier" w:cs="Courier"/>
      <w:sz w:val="24"/>
      <w:szCs w:val="24"/>
    </w:rPr>
  </w:style>
  <w:style w:type="paragraph" w:customStyle="1" w:styleId="MusterTitel">
    <w:name w:val="Muster_Titel"/>
    <w:basedOn w:val="Cm"/>
    <w:pPr>
      <w:suppressAutoHyphens w:val="0"/>
      <w:autoSpaceDE/>
      <w:autoSpaceDN/>
      <w:ind w:left="567"/>
      <w:jc w:val="center"/>
    </w:pPr>
    <w:rPr>
      <w:b w:val="0"/>
      <w:bCs w:val="0"/>
      <w:lang w:eastAsia="ar-SA"/>
    </w:rPr>
  </w:style>
  <w:style w:type="paragraph" w:customStyle="1" w:styleId="MusterTitelspcde">
    <w:name w:val="Muster_Titel_spcde"/>
    <w:basedOn w:val="MusterTitel"/>
    <w:rPr>
      <w:b/>
      <w:bCs/>
    </w:rPr>
  </w:style>
  <w:style w:type="paragraph" w:styleId="Szvegtrzsbehzssal2">
    <w:name w:val="Body Text Indent 2"/>
    <w:basedOn w:val="Norml"/>
    <w:pPr>
      <w:spacing w:after="120" w:line="480" w:lineRule="auto"/>
      <w:ind w:left="283"/>
    </w:pPr>
    <w:rPr>
      <w:sz w:val="20"/>
      <w:lang w:val="nl-NL" w:eastAsia="nl-NL"/>
    </w:rPr>
  </w:style>
  <w:style w:type="paragraph" w:styleId="Szvegtrzsbehzssal">
    <w:name w:val="Body Text Indent"/>
    <w:basedOn w:val="Norml"/>
    <w:pPr>
      <w:spacing w:after="120"/>
      <w:ind w:left="283"/>
    </w:p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  <w:style w:type="paragraph" w:customStyle="1" w:styleId="Style2">
    <w:name w:val="Style 2"/>
    <w:basedOn w:val="Norml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">
    <w:name w:val="Style 1"/>
    <w:basedOn w:val="Norml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xt">
    <w:name w:val="Text"/>
    <w:basedOn w:val="Norml"/>
    <w:pPr>
      <w:spacing w:line="240" w:lineRule="atLeast"/>
    </w:pPr>
    <w:rPr>
      <w:rFonts w:ascii="Arial" w:hAnsi="Arial" w:cs="Arial"/>
      <w:sz w:val="20"/>
    </w:rPr>
  </w:style>
  <w:style w:type="paragraph" w:styleId="Szvegtrzs3">
    <w:name w:val="Body Text 3"/>
    <w:basedOn w:val="Norml"/>
    <w:pPr>
      <w:spacing w:after="120"/>
    </w:pPr>
    <w:rPr>
      <w:sz w:val="16"/>
      <w:szCs w:val="16"/>
      <w:lang w:val="nl-NL" w:eastAsia="nl-NL"/>
    </w:rPr>
  </w:style>
  <w:style w:type="paragraph" w:customStyle="1" w:styleId="Bezmezer1">
    <w:name w:val="Bez mezer1"/>
    <w:rPr>
      <w:rFonts w:ascii="Calibri" w:hAnsi="Calibri"/>
      <w:lang w:val="en-US" w:eastAsia="en-US"/>
    </w:rPr>
  </w:style>
  <w:style w:type="character" w:customStyle="1" w:styleId="contents-child-label1">
    <w:name w:val="contents-child-label1"/>
    <w:rPr>
      <w:rFonts w:ascii="Verdana" w:hAnsi="Verdana" w:cs="Times New Roman"/>
      <w:sz w:val="20"/>
      <w:szCs w:val="20"/>
    </w:rPr>
  </w:style>
  <w:style w:type="character" w:styleId="Hiperhivatkozs">
    <w:name w:val="Hyperlink"/>
    <w:rPr>
      <w:rFonts w:ascii="Arial" w:hAnsi="Arial" w:cs="Times New Roman"/>
      <w:color w:val="0000FF"/>
      <w:u w:val="single"/>
    </w:rPr>
  </w:style>
  <w:style w:type="paragraph" w:styleId="Lbjegyzetszveg">
    <w:name w:val="footnote text"/>
    <w:basedOn w:val="Norml"/>
    <w:semiHidden/>
    <w:pPr>
      <w:ind w:left="-284"/>
    </w:pPr>
    <w:rPr>
      <w:rFonts w:ascii="Arial" w:hAnsi="Arial"/>
      <w:color w:val="000000"/>
      <w:sz w:val="20"/>
      <w:lang w:val="en-GB" w:eastAsia="en-US"/>
    </w:rPr>
  </w:style>
  <w:style w:type="character" w:customStyle="1" w:styleId="llbChar">
    <w:name w:val="Élőláb Char"/>
    <w:link w:val="llb"/>
    <w:locked/>
    <w:rPr>
      <w:rFonts w:ascii="Franklin Gothic Book" w:hAnsi="Franklin Gothic Book" w:cs="Times New Roman"/>
      <w:sz w:val="22"/>
      <w:lang w:val="de-DE" w:eastAsia="de-DE" w:bidi="ar-SA"/>
    </w:rPr>
  </w:style>
  <w:style w:type="paragraph" w:styleId="Szvegtrzs">
    <w:name w:val="Body Text"/>
    <w:basedOn w:val="Norml"/>
    <w:pPr>
      <w:spacing w:after="120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l"/>
    <w:pPr>
      <w:spacing w:before="100" w:beforeAutospacing="1" w:after="100" w:afterAutospacing="1"/>
    </w:pPr>
    <w:rPr>
      <w:sz w:val="24"/>
      <w:szCs w:val="24"/>
    </w:rPr>
  </w:style>
  <w:style w:type="paragraph" w:styleId="NormlWeb">
    <w:name w:val="Normal (Web)"/>
    <w:basedOn w:val="Norml"/>
    <w:pPr>
      <w:spacing w:before="100" w:beforeAutospacing="1" w:after="100" w:afterAutospacing="1"/>
    </w:pPr>
    <w:rPr>
      <w:sz w:val="24"/>
      <w:szCs w:val="24"/>
    </w:rPr>
  </w:style>
  <w:style w:type="paragraph" w:styleId="Csakszveg">
    <w:name w:val="Plain Text"/>
    <w:basedOn w:val="Norml"/>
    <w:rPr>
      <w:rFonts w:ascii="Courier New" w:hAnsi="Courier New" w:cs="Courier New"/>
      <w:sz w:val="20"/>
    </w:rPr>
  </w:style>
  <w:style w:type="paragraph" w:customStyle="1" w:styleId="BodySingle">
    <w:name w:val="Body Single"/>
    <w:rPr>
      <w:color w:val="000000"/>
      <w:sz w:val="24"/>
      <w:lang w:val="en-US" w:eastAsia="en-US"/>
    </w:rPr>
  </w:style>
  <w:style w:type="paragraph" w:styleId="Szvegtrzsbehzssal3">
    <w:name w:val="Body Text Indent 3"/>
    <w:basedOn w:val="Norml"/>
    <w:pPr>
      <w:spacing w:after="120"/>
      <w:ind w:left="283"/>
    </w:pPr>
    <w:rPr>
      <w:sz w:val="16"/>
      <w:szCs w:val="16"/>
    </w:rPr>
  </w:style>
  <w:style w:type="character" w:styleId="Jegyzethivatkozs">
    <w:name w:val="annotation reference"/>
    <w:semiHidden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styleId="Kiemels2">
    <w:name w:val="Strong"/>
    <w:uiPriority w:val="22"/>
    <w:qFormat/>
    <w:rPr>
      <w:rFonts w:cs="Times New Roman"/>
      <w:b/>
      <w:bCs/>
    </w:rPr>
  </w:style>
  <w:style w:type="character" w:customStyle="1" w:styleId="lfejChar">
    <w:name w:val="Élőfej Char"/>
    <w:link w:val="lfej"/>
    <w:uiPriority w:val="99"/>
    <w:locked/>
    <w:rPr>
      <w:rFonts w:ascii="Franklin Gothic Book" w:hAnsi="Franklin Gothic Book" w:cs="Times New Roman"/>
      <w:sz w:val="22"/>
      <w:lang w:val="de-DE" w:eastAsia="de-DE" w:bidi="ar-SA"/>
    </w:rPr>
  </w:style>
  <w:style w:type="character" w:styleId="Lbjegyzet-hivatkozs">
    <w:name w:val="footnote reference"/>
    <w:semiHidden/>
    <w:rPr>
      <w:rFonts w:ascii="Arial" w:hAnsi="Arial" w:cs="Arial"/>
      <w:vertAlign w:val="superscript"/>
    </w:rPr>
  </w:style>
  <w:style w:type="paragraph" w:customStyle="1" w:styleId="Styl1">
    <w:name w:val="Styl1"/>
    <w:basedOn w:val="Norml"/>
    <w:pPr>
      <w:numPr>
        <w:numId w:val="3"/>
      </w:numPr>
      <w:jc w:val="both"/>
    </w:pPr>
    <w:rPr>
      <w:b/>
    </w:rPr>
  </w:style>
  <w:style w:type="paragraph" w:styleId="TJ1">
    <w:name w:val="toc 1"/>
    <w:basedOn w:val="Norml"/>
    <w:next w:val="Norml"/>
    <w:autoRedefine/>
    <w:pPr>
      <w:numPr>
        <w:ilvl w:val="3"/>
        <w:numId w:val="3"/>
      </w:numPr>
    </w:pPr>
    <w:rPr>
      <w:sz w:val="24"/>
    </w:rPr>
  </w:style>
  <w:style w:type="paragraph" w:customStyle="1" w:styleId="Styl2">
    <w:name w:val="Styl2"/>
    <w:basedOn w:val="Styl1"/>
    <w:pPr>
      <w:numPr>
        <w:ilvl w:val="1"/>
      </w:numPr>
    </w:pPr>
  </w:style>
  <w:style w:type="character" w:customStyle="1" w:styleId="Cmsor4Char">
    <w:name w:val="Címsor 4 Char"/>
    <w:link w:val="Cmsor4"/>
    <w:semiHidden/>
    <w:locked/>
    <w:rPr>
      <w:rFonts w:ascii="Calibri" w:hAnsi="Calibri" w:cs="Times New Roman"/>
      <w:b/>
      <w:bCs/>
      <w:sz w:val="28"/>
      <w:szCs w:val="28"/>
      <w:lang w:val="de-DE" w:eastAsia="de-DE"/>
    </w:rPr>
  </w:style>
  <w:style w:type="character" w:customStyle="1" w:styleId="s1">
    <w:name w:val="s1"/>
    <w:rPr>
      <w:rFonts w:ascii="Arial" w:hAnsi="Arial" w:cs="Arial"/>
    </w:rPr>
  </w:style>
  <w:style w:type="paragraph" w:customStyle="1" w:styleId="Odstavecseseznamem1">
    <w:name w:val="Odstavec se seznamem1"/>
    <w:basedOn w:val="Norml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character" w:customStyle="1" w:styleId="Cmsor1Char">
    <w:name w:val="Címsor 1 Char"/>
    <w:link w:val="Cmsor1"/>
    <w:locked/>
    <w:rPr>
      <w:rFonts w:ascii="Franklin Gothic Book" w:hAnsi="Franklin Gothic Book" w:cs="Times New Roman"/>
      <w:i/>
      <w:sz w:val="32"/>
      <w:lang w:val="de-DE" w:eastAsia="de-DE"/>
    </w:rPr>
  </w:style>
  <w:style w:type="paragraph" w:customStyle="1" w:styleId="Normln">
    <w:name w:val="Norm‡ln’"/>
  </w:style>
  <w:style w:type="paragraph" w:customStyle="1" w:styleId="Title1">
    <w:name w:val="Title 1"/>
    <w:pPr>
      <w:keepNext/>
      <w:ind w:left="851" w:hanging="851"/>
    </w:pPr>
    <w:rPr>
      <w:rFonts w:ascii="Times New Roman Bold" w:hAnsi="Times New Roman Bold"/>
      <w:b/>
      <w:caps/>
      <w:sz w:val="32"/>
      <w:lang w:val="en-GB" w:eastAsia="en-US"/>
    </w:rPr>
  </w:style>
  <w:style w:type="character" w:customStyle="1" w:styleId="Cmsor3Char">
    <w:name w:val="Címsor 3 Char"/>
    <w:link w:val="Cmsor3"/>
    <w:locked/>
    <w:rPr>
      <w:rFonts w:ascii="Arial" w:hAnsi="Arial" w:cs="Arial"/>
      <w:b/>
      <w:bCs/>
      <w:sz w:val="26"/>
      <w:szCs w:val="26"/>
      <w:lang w:val="de-DE" w:eastAsia="de-DE" w:bidi="ar-SA"/>
    </w:rPr>
  </w:style>
  <w:style w:type="paragraph" w:styleId="Vltozat">
    <w:name w:val="Revision"/>
    <w:hidden/>
    <w:uiPriority w:val="99"/>
    <w:semiHidden/>
    <w:rPr>
      <w:rFonts w:ascii="Franklin Gothic Book" w:hAnsi="Franklin Gothic Book"/>
      <w:lang w:val="de-DE" w:eastAsia="de-DE"/>
    </w:rPr>
  </w:style>
  <w:style w:type="character" w:customStyle="1" w:styleId="JegyzetszvegChar">
    <w:name w:val="Jegyzetszöveg Char"/>
    <w:link w:val="Jegyzetszveg"/>
    <w:semiHidden/>
    <w:locked/>
    <w:rPr>
      <w:rFonts w:ascii="Franklin Gothic Book" w:hAnsi="Franklin Gothic Book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2334</Words>
  <Characters>16105</Characters>
  <Application>Microsoft Office Word</Application>
  <DocSecurity>0</DocSecurity>
  <Lines>134</Lines>
  <Paragraphs>36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Module 1 (Part I)</vt:lpstr>
      <vt:lpstr>Module 1 (Part I)</vt:lpstr>
      <vt:lpstr>Module 1 (Part I)</vt:lpstr>
    </vt:vector>
  </TitlesOfParts>
  <Company>PMCS</Company>
  <LinksUpToDate>false</LinksUpToDate>
  <CharactersWithSpaces>18403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1 (Part I)</dc:title>
  <dc:subject/>
  <dc:creator>Ivana Syslova</dc:creator>
  <cp:keywords/>
  <cp:lastModifiedBy>OGYI_62.1</cp:lastModifiedBy>
  <cp:revision>22</cp:revision>
  <cp:lastPrinted>2012-10-25T13:19:00Z</cp:lastPrinted>
  <dcterms:created xsi:type="dcterms:W3CDTF">2021-12-01T10:41:00Z</dcterms:created>
  <dcterms:modified xsi:type="dcterms:W3CDTF">2026-09-15T13:39:00Z</dcterms:modified>
</cp:coreProperties>
</file>