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8E6D58" w14:textId="77777777" w:rsidR="00337D7F" w:rsidRDefault="00337D7F">
      <w:pPr>
        <w:rPr>
          <w:szCs w:val="22"/>
        </w:rPr>
      </w:pPr>
    </w:p>
    <w:p w14:paraId="4AC5D0C2" w14:textId="77777777" w:rsidR="00337D7F" w:rsidRDefault="00087EE4">
      <w:pPr>
        <w:keepNext/>
        <w:ind w:left="567" w:hanging="567"/>
        <w:rPr>
          <w:szCs w:val="22"/>
        </w:rPr>
      </w:pPr>
      <w:r>
        <w:rPr>
          <w:b/>
          <w:bCs/>
          <w:szCs w:val="22"/>
          <w:lang w:val="hu"/>
        </w:rPr>
        <w:t>1.</w:t>
      </w:r>
      <w:r>
        <w:rPr>
          <w:b/>
          <w:bCs/>
          <w:szCs w:val="22"/>
          <w:lang w:val="hu"/>
        </w:rPr>
        <w:tab/>
        <w:t>A GYÓGYSZER NEVE</w:t>
      </w:r>
    </w:p>
    <w:p w14:paraId="21E67A25" w14:textId="77777777" w:rsidR="00337D7F" w:rsidRDefault="00337D7F">
      <w:pPr>
        <w:keepNext/>
        <w:rPr>
          <w:iCs/>
          <w:szCs w:val="22"/>
        </w:rPr>
      </w:pPr>
    </w:p>
    <w:p w14:paraId="21E8A4DA" w14:textId="1CAF1B2D" w:rsidR="00337D7F" w:rsidRDefault="00087EE4">
      <w:r>
        <w:rPr>
          <w:lang w:val="hu"/>
        </w:rPr>
        <w:t>Proursan 250</w:t>
      </w:r>
      <w:r w:rsidR="008656BE">
        <w:rPr>
          <w:lang w:val="hu"/>
        </w:rPr>
        <w:t> mg</w:t>
      </w:r>
      <w:r>
        <w:rPr>
          <w:lang w:val="hu"/>
        </w:rPr>
        <w:t xml:space="preserve"> kemény kapszula</w:t>
      </w:r>
    </w:p>
    <w:p w14:paraId="7508F6A4" w14:textId="77777777" w:rsidR="00337D7F" w:rsidRDefault="00337D7F">
      <w:pPr>
        <w:rPr>
          <w:szCs w:val="22"/>
        </w:rPr>
      </w:pPr>
    </w:p>
    <w:p w14:paraId="73EADB4D" w14:textId="77777777" w:rsidR="00337D7F" w:rsidRDefault="00337D7F">
      <w:pPr>
        <w:rPr>
          <w:b/>
          <w:szCs w:val="22"/>
        </w:rPr>
      </w:pPr>
    </w:p>
    <w:p w14:paraId="13EBFE34" w14:textId="77777777" w:rsidR="00337D7F" w:rsidRDefault="00087EE4">
      <w:pPr>
        <w:keepNext/>
        <w:ind w:left="567" w:hanging="567"/>
        <w:rPr>
          <w:szCs w:val="22"/>
        </w:rPr>
      </w:pPr>
      <w:r>
        <w:rPr>
          <w:b/>
          <w:bCs/>
          <w:szCs w:val="22"/>
          <w:lang w:val="hu"/>
        </w:rPr>
        <w:t>2.</w:t>
      </w:r>
      <w:r>
        <w:rPr>
          <w:b/>
          <w:bCs/>
          <w:szCs w:val="22"/>
          <w:lang w:val="hu"/>
        </w:rPr>
        <w:tab/>
        <w:t>MINŐSÉGI ÉS MENNYISÉGI ÖSSZETÉTEL</w:t>
      </w:r>
    </w:p>
    <w:p w14:paraId="5F83D3A6" w14:textId="77777777" w:rsidR="00337D7F" w:rsidRDefault="00337D7F">
      <w:pPr>
        <w:keepNext/>
        <w:rPr>
          <w:szCs w:val="22"/>
        </w:rPr>
      </w:pPr>
    </w:p>
    <w:p w14:paraId="5F5B8170" w14:textId="04B24300" w:rsidR="00337D7F" w:rsidRDefault="00087EE4">
      <w:pPr>
        <w:rPr>
          <w:szCs w:val="22"/>
        </w:rPr>
      </w:pPr>
      <w:r>
        <w:rPr>
          <w:szCs w:val="22"/>
          <w:lang w:val="hu"/>
        </w:rPr>
        <w:t>250</w:t>
      </w:r>
      <w:r w:rsidR="008656BE">
        <w:rPr>
          <w:szCs w:val="22"/>
          <w:lang w:val="hu"/>
        </w:rPr>
        <w:t> mg</w:t>
      </w:r>
      <w:r>
        <w:rPr>
          <w:szCs w:val="22"/>
          <w:lang w:val="hu"/>
        </w:rPr>
        <w:t xml:space="preserve"> urzodezoxikólsav</w:t>
      </w:r>
      <w:r w:rsidR="004D6581">
        <w:rPr>
          <w:szCs w:val="22"/>
          <w:lang w:val="hu"/>
        </w:rPr>
        <w:t>at</w:t>
      </w:r>
      <w:r>
        <w:rPr>
          <w:szCs w:val="22"/>
          <w:lang w:val="hu"/>
        </w:rPr>
        <w:t xml:space="preserve"> (UDCA) tartalmaz</w:t>
      </w:r>
      <w:r w:rsidR="005674C8">
        <w:rPr>
          <w:szCs w:val="22"/>
          <w:lang w:val="hu"/>
        </w:rPr>
        <w:t xml:space="preserve"> kemény kapszulánként</w:t>
      </w:r>
      <w:r>
        <w:rPr>
          <w:szCs w:val="22"/>
          <w:lang w:val="hu"/>
        </w:rPr>
        <w:t>.</w:t>
      </w:r>
    </w:p>
    <w:p w14:paraId="5481825F" w14:textId="77777777" w:rsidR="00337D7F" w:rsidRDefault="00337D7F">
      <w:pPr>
        <w:rPr>
          <w:szCs w:val="22"/>
        </w:rPr>
      </w:pPr>
    </w:p>
    <w:p w14:paraId="07736ACE" w14:textId="77777777" w:rsidR="00337D7F" w:rsidRDefault="00087EE4">
      <w:pPr>
        <w:rPr>
          <w:szCs w:val="22"/>
        </w:rPr>
      </w:pPr>
      <w:r>
        <w:rPr>
          <w:szCs w:val="22"/>
          <w:lang w:val="hu"/>
        </w:rPr>
        <w:t>A segédanyagok teljes listáját lásd a 6.1 pontban.</w:t>
      </w:r>
    </w:p>
    <w:p w14:paraId="71D510B6" w14:textId="77777777" w:rsidR="00337D7F" w:rsidRDefault="00337D7F">
      <w:pPr>
        <w:rPr>
          <w:szCs w:val="22"/>
        </w:rPr>
      </w:pPr>
    </w:p>
    <w:p w14:paraId="15EF18F2" w14:textId="77777777" w:rsidR="00337D7F" w:rsidRDefault="00337D7F">
      <w:pPr>
        <w:rPr>
          <w:szCs w:val="22"/>
        </w:rPr>
      </w:pPr>
    </w:p>
    <w:p w14:paraId="109CB516" w14:textId="77777777" w:rsidR="00337D7F" w:rsidRDefault="00087EE4">
      <w:pPr>
        <w:keepNext/>
        <w:ind w:left="567" w:hanging="567"/>
        <w:rPr>
          <w:b/>
          <w:bCs/>
          <w:szCs w:val="22"/>
          <w:lang w:val="hu"/>
        </w:rPr>
      </w:pPr>
      <w:r>
        <w:rPr>
          <w:b/>
          <w:bCs/>
          <w:szCs w:val="22"/>
          <w:lang w:val="hu"/>
        </w:rPr>
        <w:t>3.</w:t>
      </w:r>
      <w:r>
        <w:rPr>
          <w:b/>
          <w:bCs/>
          <w:szCs w:val="22"/>
          <w:lang w:val="hu"/>
        </w:rPr>
        <w:tab/>
        <w:t>GYÓGYSZERFORMA</w:t>
      </w:r>
    </w:p>
    <w:p w14:paraId="66DBD72B" w14:textId="77777777" w:rsidR="00337D7F" w:rsidRDefault="00337D7F">
      <w:pPr>
        <w:keepNext/>
        <w:rPr>
          <w:szCs w:val="22"/>
        </w:rPr>
      </w:pPr>
    </w:p>
    <w:p w14:paraId="1ADA8615" w14:textId="297C09CF" w:rsidR="00337D7F" w:rsidRDefault="00D33BBF">
      <w:r>
        <w:rPr>
          <w:lang w:val="hu"/>
        </w:rPr>
        <w:t>Kemény kapszula</w:t>
      </w:r>
    </w:p>
    <w:p w14:paraId="4C5697F7" w14:textId="16911B0D" w:rsidR="00337D7F" w:rsidRDefault="00D33BBF">
      <w:r w:rsidRPr="0051259D">
        <w:rPr>
          <w:spacing w:val="-3"/>
          <w:szCs w:val="24"/>
        </w:rPr>
        <w:t>Fehér színű, 0-s méretű, kemény zselatin kapszula, amely fehér vagy majdnem fehér port tartalmaz</w:t>
      </w:r>
      <w:r w:rsidR="00087EE4">
        <w:rPr>
          <w:lang w:val="hu"/>
        </w:rPr>
        <w:t>.</w:t>
      </w:r>
    </w:p>
    <w:p w14:paraId="3110AB62" w14:textId="77777777" w:rsidR="00337D7F" w:rsidRDefault="00337D7F"/>
    <w:p w14:paraId="678BA178" w14:textId="77777777" w:rsidR="00337D7F" w:rsidRDefault="00337D7F"/>
    <w:p w14:paraId="72BE74BF" w14:textId="77777777" w:rsidR="00337D7F" w:rsidRDefault="00087EE4">
      <w:pPr>
        <w:keepNext/>
        <w:ind w:left="567" w:hanging="567"/>
        <w:rPr>
          <w:b/>
          <w:bCs/>
          <w:szCs w:val="22"/>
          <w:lang w:val="hu"/>
        </w:rPr>
      </w:pPr>
      <w:r>
        <w:rPr>
          <w:b/>
          <w:bCs/>
          <w:szCs w:val="22"/>
          <w:lang w:val="hu"/>
        </w:rPr>
        <w:t>4.</w:t>
      </w:r>
      <w:r>
        <w:rPr>
          <w:b/>
          <w:bCs/>
          <w:szCs w:val="22"/>
          <w:lang w:val="hu"/>
        </w:rPr>
        <w:tab/>
        <w:t>Klinikai jellemzők</w:t>
      </w:r>
    </w:p>
    <w:p w14:paraId="0F91C2C5" w14:textId="77777777" w:rsidR="00337D7F" w:rsidRDefault="00337D7F">
      <w:pPr>
        <w:keepNext/>
        <w:rPr>
          <w:szCs w:val="22"/>
        </w:rPr>
      </w:pPr>
    </w:p>
    <w:p w14:paraId="65E9AAF3" w14:textId="77777777" w:rsidR="00337D7F" w:rsidRDefault="00087EE4">
      <w:pPr>
        <w:keepNext/>
        <w:ind w:left="567" w:hanging="567"/>
        <w:rPr>
          <w:b/>
          <w:bCs/>
          <w:szCs w:val="22"/>
          <w:lang w:val="hu"/>
        </w:rPr>
      </w:pPr>
      <w:r>
        <w:rPr>
          <w:b/>
          <w:bCs/>
          <w:szCs w:val="22"/>
          <w:lang w:val="hu"/>
        </w:rPr>
        <w:t>4.1</w:t>
      </w:r>
      <w:r>
        <w:rPr>
          <w:b/>
          <w:bCs/>
          <w:szCs w:val="22"/>
          <w:lang w:val="hu"/>
        </w:rPr>
        <w:tab/>
        <w:t>Terápiás javallatok</w:t>
      </w:r>
    </w:p>
    <w:p w14:paraId="50500CA2" w14:textId="77777777" w:rsidR="00337D7F" w:rsidRDefault="00337D7F">
      <w:pPr>
        <w:keepNext/>
        <w:rPr>
          <w:szCs w:val="22"/>
        </w:rPr>
      </w:pPr>
    </w:p>
    <w:p w14:paraId="2A019352" w14:textId="4D2DCC95" w:rsidR="00337D7F" w:rsidRPr="00087EE4" w:rsidRDefault="00087EE4">
      <w:pPr>
        <w:rPr>
          <w:lang w:val="hu"/>
        </w:rPr>
      </w:pPr>
      <w:r>
        <w:rPr>
          <w:lang w:val="hu"/>
        </w:rPr>
        <w:t>Az epehólyagban található koleszterin epekövek feloldásához. A kövek</w:t>
      </w:r>
      <w:r w:rsidR="0074676F">
        <w:rPr>
          <w:lang w:val="hu"/>
        </w:rPr>
        <w:t xml:space="preserve"> a</w:t>
      </w:r>
      <w:r>
        <w:rPr>
          <w:lang w:val="hu"/>
        </w:rPr>
        <w:t xml:space="preserve"> röntgenfelvételen nem </w:t>
      </w:r>
      <w:r w:rsidR="0074676F">
        <w:rPr>
          <w:lang w:val="hu"/>
        </w:rPr>
        <w:t>jelenhetnek meg</w:t>
      </w:r>
      <w:r>
        <w:rPr>
          <w:lang w:val="hu"/>
        </w:rPr>
        <w:t xml:space="preserve">, és átmérőjük nem haladhatja meg a 15 mm-t. </w:t>
      </w:r>
      <w:r w:rsidR="0074676F">
        <w:rPr>
          <w:lang w:val="hu"/>
        </w:rPr>
        <w:t xml:space="preserve">Az </w:t>
      </w:r>
      <w:r>
        <w:rPr>
          <w:lang w:val="hu"/>
        </w:rPr>
        <w:t>epehólyag</w:t>
      </w:r>
      <w:r w:rsidR="0074676F">
        <w:rPr>
          <w:lang w:val="hu"/>
        </w:rPr>
        <w:t>nak</w:t>
      </w:r>
      <w:r>
        <w:rPr>
          <w:lang w:val="hu"/>
        </w:rPr>
        <w:t xml:space="preserve"> a</w:t>
      </w:r>
      <w:r w:rsidR="0074676F">
        <w:rPr>
          <w:lang w:val="hu"/>
        </w:rPr>
        <w:t>z</w:t>
      </w:r>
      <w:r>
        <w:rPr>
          <w:lang w:val="hu"/>
        </w:rPr>
        <w:t xml:space="preserve"> </w:t>
      </w:r>
      <w:r w:rsidR="0074676F">
        <w:rPr>
          <w:lang w:val="hu"/>
        </w:rPr>
        <w:t>epe</w:t>
      </w:r>
      <w:r>
        <w:rPr>
          <w:lang w:val="hu"/>
        </w:rPr>
        <w:t>kő (kövek) ellenére is működ</w:t>
      </w:r>
      <w:r w:rsidR="0074676F">
        <w:rPr>
          <w:lang w:val="hu"/>
        </w:rPr>
        <w:t>őképesnek kell lennie</w:t>
      </w:r>
      <w:r>
        <w:rPr>
          <w:lang w:val="hu"/>
        </w:rPr>
        <w:t>.</w:t>
      </w:r>
    </w:p>
    <w:p w14:paraId="197D7CEB" w14:textId="4CBF9AB0" w:rsidR="00337D7F" w:rsidRPr="00087EE4" w:rsidRDefault="00087EE4">
      <w:pPr>
        <w:rPr>
          <w:lang w:val="hu"/>
        </w:rPr>
      </w:pPr>
      <w:r>
        <w:rPr>
          <w:lang w:val="hu"/>
        </w:rPr>
        <w:t>Epereflux</w:t>
      </w:r>
      <w:r w:rsidR="0074676F">
        <w:rPr>
          <w:lang w:val="hu"/>
        </w:rPr>
        <w:t>-</w:t>
      </w:r>
      <w:r>
        <w:rPr>
          <w:lang w:val="hu"/>
        </w:rPr>
        <w:t>gastritis kezelésére.</w:t>
      </w:r>
    </w:p>
    <w:p w14:paraId="7E2E0BD3" w14:textId="77777777" w:rsidR="00337D7F" w:rsidRPr="00087EE4" w:rsidRDefault="00087EE4">
      <w:pPr>
        <w:rPr>
          <w:lang w:val="hu"/>
        </w:rPr>
      </w:pPr>
      <w:r>
        <w:rPr>
          <w:lang w:val="hu"/>
        </w:rPr>
        <w:t>A primer biliaris cholangitis (PBC) tüneti kezelésére, amennyiben nem áll fenn dekompenzált májcirrózis.</w:t>
      </w:r>
    </w:p>
    <w:p w14:paraId="4788904B" w14:textId="77777777" w:rsidR="00337D7F" w:rsidRPr="00087EE4" w:rsidRDefault="00337D7F">
      <w:pPr>
        <w:rPr>
          <w:lang w:val="hu"/>
        </w:rPr>
      </w:pPr>
    </w:p>
    <w:p w14:paraId="5D1463C9" w14:textId="77777777" w:rsidR="00337D7F" w:rsidRPr="00087EE4" w:rsidRDefault="00087EE4">
      <w:pPr>
        <w:keepNext/>
        <w:autoSpaceDE w:val="0"/>
        <w:autoSpaceDN w:val="0"/>
        <w:adjustRightInd w:val="0"/>
        <w:rPr>
          <w:iCs/>
          <w:szCs w:val="22"/>
          <w:u w:val="single"/>
          <w:lang w:val="hu"/>
        </w:rPr>
      </w:pPr>
      <w:r>
        <w:rPr>
          <w:szCs w:val="22"/>
          <w:u w:val="single"/>
          <w:lang w:val="hu"/>
        </w:rPr>
        <w:t>Gyermekek és serdülők</w:t>
      </w:r>
    </w:p>
    <w:p w14:paraId="72450E5A" w14:textId="77777777" w:rsidR="00337D7F" w:rsidRPr="00087EE4" w:rsidRDefault="00087EE4">
      <w:pPr>
        <w:rPr>
          <w:szCs w:val="22"/>
          <w:lang w:val="hu"/>
        </w:rPr>
      </w:pPr>
      <w:r>
        <w:rPr>
          <w:szCs w:val="22"/>
          <w:lang w:val="hu"/>
        </w:rPr>
        <w:t>A cisztás fibrózissal összefüggő hepatobiliáris rendellenességek kezelésére 6 és 18 év közötti gyermekeknél.</w:t>
      </w:r>
    </w:p>
    <w:p w14:paraId="5E4487F5" w14:textId="77777777" w:rsidR="00337D7F" w:rsidRPr="00087EE4" w:rsidRDefault="00337D7F">
      <w:pPr>
        <w:rPr>
          <w:szCs w:val="22"/>
          <w:lang w:val="hu"/>
        </w:rPr>
      </w:pPr>
    </w:p>
    <w:p w14:paraId="0620A630" w14:textId="77777777" w:rsidR="00337D7F" w:rsidRDefault="00087EE4">
      <w:pPr>
        <w:keepNext/>
        <w:ind w:left="567" w:hanging="567"/>
        <w:rPr>
          <w:b/>
          <w:bCs/>
          <w:szCs w:val="22"/>
          <w:lang w:val="hu"/>
        </w:rPr>
      </w:pPr>
      <w:r>
        <w:rPr>
          <w:b/>
          <w:bCs/>
          <w:szCs w:val="22"/>
          <w:lang w:val="hu"/>
        </w:rPr>
        <w:t>4.2</w:t>
      </w:r>
      <w:r>
        <w:rPr>
          <w:b/>
          <w:bCs/>
          <w:szCs w:val="22"/>
          <w:lang w:val="hu"/>
        </w:rPr>
        <w:tab/>
        <w:t>Adagolás és alkalmazás</w:t>
      </w:r>
    </w:p>
    <w:p w14:paraId="2D942D4C" w14:textId="77777777" w:rsidR="00337D7F" w:rsidRPr="00087EE4" w:rsidRDefault="00337D7F">
      <w:pPr>
        <w:shd w:val="clear" w:color="auto" w:fill="FFFFFF"/>
        <w:rPr>
          <w:szCs w:val="22"/>
          <w:lang w:val="hu"/>
        </w:rPr>
      </w:pPr>
    </w:p>
    <w:p w14:paraId="289A7661" w14:textId="77777777" w:rsidR="00337D7F" w:rsidRPr="00AD6836" w:rsidRDefault="00087EE4">
      <w:pPr>
        <w:pStyle w:val="Default"/>
        <w:rPr>
          <w:sz w:val="22"/>
          <w:szCs w:val="22"/>
          <w:u w:val="single"/>
          <w:lang w:val="hu"/>
        </w:rPr>
      </w:pPr>
      <w:r>
        <w:rPr>
          <w:sz w:val="22"/>
          <w:szCs w:val="22"/>
          <w:u w:val="single"/>
          <w:lang w:val="hu"/>
        </w:rPr>
        <w:t>Adagolás</w:t>
      </w:r>
    </w:p>
    <w:p w14:paraId="48BC42CD" w14:textId="77777777" w:rsidR="00337D7F" w:rsidRPr="00087EE4" w:rsidRDefault="00337D7F">
      <w:pPr>
        <w:shd w:val="clear" w:color="auto" w:fill="FFFFFF"/>
        <w:tabs>
          <w:tab w:val="left" w:pos="2371"/>
          <w:tab w:val="center" w:pos="6010"/>
        </w:tabs>
        <w:ind w:left="5" w:hanging="5"/>
        <w:rPr>
          <w:szCs w:val="22"/>
          <w:lang w:val="hu"/>
        </w:rPr>
      </w:pPr>
    </w:p>
    <w:p w14:paraId="795B8AF6" w14:textId="77777777" w:rsidR="00337D7F" w:rsidRPr="00087EE4" w:rsidRDefault="00087EE4">
      <w:pPr>
        <w:autoSpaceDE w:val="0"/>
        <w:autoSpaceDN w:val="0"/>
        <w:adjustRightInd w:val="0"/>
        <w:rPr>
          <w:color w:val="000000"/>
          <w:szCs w:val="22"/>
          <w:lang w:val="hu"/>
        </w:rPr>
      </w:pPr>
      <w:r>
        <w:rPr>
          <w:color w:val="000000"/>
          <w:szCs w:val="22"/>
          <w:lang w:val="hu"/>
        </w:rPr>
        <w:t>A különféle indikációkban az alábbi napi adagok ajánlottak:</w:t>
      </w:r>
    </w:p>
    <w:p w14:paraId="47EEED10" w14:textId="77777777" w:rsidR="00337D7F" w:rsidRPr="00087EE4" w:rsidRDefault="00337D7F">
      <w:pPr>
        <w:autoSpaceDE w:val="0"/>
        <w:autoSpaceDN w:val="0"/>
        <w:adjustRightInd w:val="0"/>
        <w:rPr>
          <w:color w:val="000000"/>
          <w:szCs w:val="22"/>
          <w:lang w:val="hu"/>
        </w:rPr>
      </w:pPr>
    </w:p>
    <w:p w14:paraId="340955A8" w14:textId="77777777" w:rsidR="00337D7F" w:rsidRPr="00087EE4" w:rsidRDefault="00087EE4">
      <w:pPr>
        <w:keepNext/>
        <w:autoSpaceDE w:val="0"/>
        <w:autoSpaceDN w:val="0"/>
        <w:adjustRightInd w:val="0"/>
        <w:rPr>
          <w:i/>
          <w:iCs/>
          <w:color w:val="000000"/>
          <w:szCs w:val="22"/>
          <w:u w:val="single"/>
          <w:lang w:val="hu"/>
        </w:rPr>
      </w:pPr>
      <w:r>
        <w:rPr>
          <w:i/>
          <w:iCs/>
          <w:color w:val="000000"/>
          <w:szCs w:val="22"/>
          <w:u w:val="single"/>
          <w:lang w:val="hu"/>
        </w:rPr>
        <w:t>A koleszterin epekövek feloldására</w:t>
      </w:r>
    </w:p>
    <w:p w14:paraId="6527D583" w14:textId="77777777" w:rsidR="00337D7F" w:rsidRPr="00087EE4" w:rsidRDefault="00337D7F">
      <w:pPr>
        <w:rPr>
          <w:lang w:val="hu"/>
        </w:rPr>
      </w:pPr>
    </w:p>
    <w:p w14:paraId="4436E75E" w14:textId="45C10C93" w:rsidR="00337D7F" w:rsidRPr="00087EE4" w:rsidRDefault="00087EE4">
      <w:pPr>
        <w:rPr>
          <w:lang w:val="hu"/>
        </w:rPr>
      </w:pPr>
      <w:r>
        <w:rPr>
          <w:lang w:val="hu"/>
        </w:rPr>
        <w:t xml:space="preserve">A Proursan 47 kg és ennél nagyobb testtömegű betegek </w:t>
      </w:r>
      <w:r w:rsidR="0074676F">
        <w:rPr>
          <w:lang w:val="hu"/>
        </w:rPr>
        <w:t>esetében alkalmazható</w:t>
      </w:r>
      <w:r>
        <w:rPr>
          <w:lang w:val="hu"/>
        </w:rPr>
        <w:t>. A 47</w:t>
      </w:r>
      <w:r w:rsidR="008656BE">
        <w:rPr>
          <w:lang w:val="hu"/>
        </w:rPr>
        <w:t> </w:t>
      </w:r>
      <w:r>
        <w:rPr>
          <w:lang w:val="hu"/>
        </w:rPr>
        <w:t xml:space="preserve">kg-nál kisebb testtömegű betegek vagy azok számára akik nem tudják lenyelni a Proursan </w:t>
      </w:r>
      <w:r w:rsidR="0074676F">
        <w:rPr>
          <w:lang w:val="hu"/>
        </w:rPr>
        <w:t>kemény kapszulát</w:t>
      </w:r>
      <w:r>
        <w:rPr>
          <w:lang w:val="hu"/>
        </w:rPr>
        <w:t>, elérhető más, urzodezoxikólsavat tartalmazó gyógyszerforma (szuszpenzió).</w:t>
      </w:r>
    </w:p>
    <w:p w14:paraId="0956E6C1" w14:textId="77777777" w:rsidR="00337D7F" w:rsidRPr="00087EE4" w:rsidRDefault="00337D7F">
      <w:pPr>
        <w:rPr>
          <w:lang w:val="hu"/>
        </w:rPr>
      </w:pPr>
    </w:p>
    <w:p w14:paraId="65DF3947" w14:textId="1A0C3860" w:rsidR="00337D7F" w:rsidRPr="00087EE4" w:rsidRDefault="00087EE4">
      <w:pPr>
        <w:rPr>
          <w:lang w:val="hu"/>
        </w:rPr>
      </w:pPr>
      <w:r>
        <w:rPr>
          <w:lang w:val="hu"/>
        </w:rPr>
        <w:t>Kb. 10</w:t>
      </w:r>
      <w:r w:rsidR="008656BE">
        <w:rPr>
          <w:lang w:val="hu"/>
        </w:rPr>
        <w:t> mg</w:t>
      </w:r>
      <w:r>
        <w:rPr>
          <w:lang w:val="hu"/>
        </w:rPr>
        <w:t xml:space="preserve"> urzodezoxikólsav testtömegkilogrammonként, a következőképpen:</w:t>
      </w:r>
    </w:p>
    <w:p w14:paraId="3FA5375A" w14:textId="77777777" w:rsidR="00337D7F" w:rsidRPr="00087EE4" w:rsidRDefault="00337D7F">
      <w:pPr>
        <w:rPr>
          <w:lang w:val="hu"/>
        </w:rPr>
      </w:pPr>
    </w:p>
    <w:tbl>
      <w:tblPr>
        <w:tblW w:w="7938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51"/>
        <w:gridCol w:w="2887"/>
      </w:tblGrid>
      <w:tr w:rsidR="00337D7F" w14:paraId="4743858A" w14:textId="77777777">
        <w:tc>
          <w:tcPr>
            <w:tcW w:w="4871" w:type="dxa"/>
            <w:vAlign w:val="center"/>
          </w:tcPr>
          <w:p w14:paraId="40495A60" w14:textId="61DB6D9A" w:rsidR="00337D7F" w:rsidRDefault="00087EE4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47</w:t>
            </w:r>
            <w:r w:rsidR="0074676F">
              <w:rPr>
                <w:color w:val="000000"/>
                <w:szCs w:val="22"/>
                <w:lang w:val="hu"/>
              </w:rPr>
              <w:t>–</w:t>
            </w:r>
            <w:r>
              <w:rPr>
                <w:color w:val="000000"/>
                <w:szCs w:val="22"/>
                <w:lang w:val="hu"/>
              </w:rPr>
              <w:t>60</w:t>
            </w:r>
            <w:r w:rsidR="008656BE">
              <w:rPr>
                <w:color w:val="000000"/>
                <w:szCs w:val="22"/>
                <w:lang w:val="hu"/>
              </w:rPr>
              <w:t> </w:t>
            </w:r>
            <w:r>
              <w:rPr>
                <w:color w:val="000000"/>
                <w:szCs w:val="22"/>
                <w:lang w:val="hu"/>
              </w:rPr>
              <w:t xml:space="preserve">kg </w:t>
            </w:r>
          </w:p>
        </w:tc>
        <w:tc>
          <w:tcPr>
            <w:tcW w:w="2784" w:type="dxa"/>
            <w:vAlign w:val="center"/>
          </w:tcPr>
          <w:p w14:paraId="591CF72E" w14:textId="77777777" w:rsidR="00337D7F" w:rsidRDefault="00087EE4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2 kemény kapszula</w:t>
            </w:r>
          </w:p>
        </w:tc>
      </w:tr>
      <w:tr w:rsidR="00337D7F" w14:paraId="4C5DE3CC" w14:textId="77777777">
        <w:tc>
          <w:tcPr>
            <w:tcW w:w="4871" w:type="dxa"/>
            <w:vAlign w:val="center"/>
          </w:tcPr>
          <w:p w14:paraId="0466D335" w14:textId="3A0885A9" w:rsidR="00337D7F" w:rsidRDefault="00087EE4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61</w:t>
            </w:r>
            <w:r w:rsidR="0074676F">
              <w:rPr>
                <w:color w:val="000000"/>
                <w:szCs w:val="22"/>
                <w:lang w:val="hu"/>
              </w:rPr>
              <w:t>–</w:t>
            </w:r>
            <w:r>
              <w:rPr>
                <w:color w:val="000000"/>
                <w:szCs w:val="22"/>
                <w:lang w:val="hu"/>
              </w:rPr>
              <w:t>80</w:t>
            </w:r>
            <w:r w:rsidR="008656BE">
              <w:rPr>
                <w:color w:val="000000"/>
                <w:szCs w:val="22"/>
                <w:lang w:val="hu"/>
              </w:rPr>
              <w:t> </w:t>
            </w:r>
            <w:r>
              <w:rPr>
                <w:color w:val="000000"/>
                <w:szCs w:val="22"/>
                <w:lang w:val="hu"/>
              </w:rPr>
              <w:t>kg</w:t>
            </w:r>
          </w:p>
        </w:tc>
        <w:tc>
          <w:tcPr>
            <w:tcW w:w="2784" w:type="dxa"/>
            <w:vAlign w:val="center"/>
          </w:tcPr>
          <w:p w14:paraId="77C14415" w14:textId="77777777" w:rsidR="00337D7F" w:rsidRDefault="00087EE4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3 kemény kapszula</w:t>
            </w:r>
          </w:p>
        </w:tc>
      </w:tr>
      <w:tr w:rsidR="00337D7F" w14:paraId="63658FBA" w14:textId="77777777">
        <w:tc>
          <w:tcPr>
            <w:tcW w:w="4871" w:type="dxa"/>
            <w:vAlign w:val="center"/>
          </w:tcPr>
          <w:p w14:paraId="48F8E0DA" w14:textId="73FC80A1" w:rsidR="00337D7F" w:rsidRDefault="00087EE4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81</w:t>
            </w:r>
            <w:r w:rsidR="0074676F">
              <w:rPr>
                <w:color w:val="000000"/>
                <w:szCs w:val="22"/>
                <w:lang w:val="hu"/>
              </w:rPr>
              <w:t>–</w:t>
            </w:r>
            <w:r>
              <w:rPr>
                <w:color w:val="000000"/>
                <w:szCs w:val="22"/>
                <w:lang w:val="hu"/>
              </w:rPr>
              <w:t>100</w:t>
            </w:r>
            <w:r w:rsidR="008656BE">
              <w:rPr>
                <w:color w:val="000000"/>
                <w:szCs w:val="22"/>
                <w:lang w:val="hu"/>
              </w:rPr>
              <w:t> </w:t>
            </w:r>
            <w:r>
              <w:rPr>
                <w:color w:val="000000"/>
                <w:szCs w:val="22"/>
                <w:lang w:val="hu"/>
              </w:rPr>
              <w:t>kg</w:t>
            </w:r>
          </w:p>
        </w:tc>
        <w:tc>
          <w:tcPr>
            <w:tcW w:w="2784" w:type="dxa"/>
            <w:vAlign w:val="center"/>
          </w:tcPr>
          <w:p w14:paraId="0ED6D993" w14:textId="77777777" w:rsidR="00337D7F" w:rsidRDefault="00087EE4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4 kemény kapszula</w:t>
            </w:r>
          </w:p>
        </w:tc>
      </w:tr>
      <w:tr w:rsidR="00337D7F" w14:paraId="3B6B3297" w14:textId="77777777">
        <w:tc>
          <w:tcPr>
            <w:tcW w:w="4871" w:type="dxa"/>
            <w:vAlign w:val="center"/>
          </w:tcPr>
          <w:p w14:paraId="4A47BCAB" w14:textId="38DF9155" w:rsidR="00337D7F" w:rsidRDefault="00087EE4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100</w:t>
            </w:r>
            <w:r w:rsidR="008656BE">
              <w:rPr>
                <w:color w:val="000000"/>
                <w:szCs w:val="22"/>
                <w:lang w:val="hu"/>
              </w:rPr>
              <w:t> </w:t>
            </w:r>
            <w:r>
              <w:rPr>
                <w:color w:val="000000"/>
                <w:szCs w:val="22"/>
                <w:lang w:val="hu"/>
              </w:rPr>
              <w:t>kg fölött</w:t>
            </w:r>
          </w:p>
        </w:tc>
        <w:tc>
          <w:tcPr>
            <w:tcW w:w="2784" w:type="dxa"/>
            <w:vAlign w:val="center"/>
          </w:tcPr>
          <w:p w14:paraId="3D1DCDC1" w14:textId="77777777" w:rsidR="00337D7F" w:rsidRDefault="00087EE4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5 kemény kapszula</w:t>
            </w:r>
          </w:p>
        </w:tc>
      </w:tr>
    </w:tbl>
    <w:p w14:paraId="1A809DA7" w14:textId="77777777" w:rsidR="00337D7F" w:rsidRDefault="00337D7F">
      <w:pPr>
        <w:autoSpaceDE w:val="0"/>
        <w:autoSpaceDN w:val="0"/>
        <w:adjustRightInd w:val="0"/>
        <w:rPr>
          <w:color w:val="000000"/>
          <w:szCs w:val="22"/>
        </w:rPr>
      </w:pPr>
    </w:p>
    <w:p w14:paraId="532CDE7E" w14:textId="77777777" w:rsidR="00337D7F" w:rsidRDefault="00087EE4">
      <w:pPr>
        <w:autoSpaceDE w:val="0"/>
        <w:autoSpaceDN w:val="0"/>
        <w:adjustRightInd w:val="0"/>
        <w:rPr>
          <w:color w:val="000000"/>
          <w:szCs w:val="22"/>
        </w:rPr>
      </w:pPr>
      <w:r>
        <w:rPr>
          <w:color w:val="000000"/>
          <w:szCs w:val="22"/>
          <w:lang w:val="hu"/>
        </w:rPr>
        <w:t>A kemény kapszulákat este, lefekvés előtt kell bevenni.</w:t>
      </w:r>
    </w:p>
    <w:p w14:paraId="7B6064E8" w14:textId="77777777" w:rsidR="00337D7F" w:rsidRDefault="00337D7F">
      <w:pPr>
        <w:autoSpaceDE w:val="0"/>
        <w:autoSpaceDN w:val="0"/>
        <w:adjustRightInd w:val="0"/>
        <w:rPr>
          <w:color w:val="000000"/>
          <w:szCs w:val="22"/>
        </w:rPr>
      </w:pPr>
    </w:p>
    <w:p w14:paraId="3C0C1004" w14:textId="7062E694" w:rsidR="00337D7F" w:rsidRPr="00087EE4" w:rsidRDefault="00087EE4">
      <w:pPr>
        <w:rPr>
          <w:lang w:val="hu"/>
        </w:rPr>
      </w:pPr>
      <w:r>
        <w:rPr>
          <w:lang w:val="hu"/>
        </w:rPr>
        <w:t>Az epekövek feloldódásához szükséges idő 6 és 24 hónap között lehet. Ha az epekövek mérete 12</w:t>
      </w:r>
      <w:r w:rsidR="0074676F">
        <w:rPr>
          <w:lang w:val="hu"/>
        </w:rPr>
        <w:t> </w:t>
      </w:r>
      <w:r>
        <w:rPr>
          <w:lang w:val="hu"/>
        </w:rPr>
        <w:t>hónap alatt nem csökken, a kezelést nem szabad folytatni.</w:t>
      </w:r>
    </w:p>
    <w:p w14:paraId="35CF4D7C" w14:textId="0C25AAC7" w:rsidR="00337D7F" w:rsidRPr="00087EE4" w:rsidRDefault="00087EE4">
      <w:pPr>
        <w:rPr>
          <w:lang w:val="hu"/>
        </w:rPr>
      </w:pPr>
      <w:r>
        <w:rPr>
          <w:lang w:val="hu"/>
        </w:rPr>
        <w:lastRenderedPageBreak/>
        <w:t xml:space="preserve">A kezelés </w:t>
      </w:r>
      <w:r w:rsidR="007511A3">
        <w:rPr>
          <w:lang w:val="hu"/>
        </w:rPr>
        <w:t xml:space="preserve">eredményét </w:t>
      </w:r>
      <w:r>
        <w:rPr>
          <w:lang w:val="hu"/>
        </w:rPr>
        <w:t>ultrahanggal vagy röntgennel 6 hónaponként kell ellenőrizni. Azt is ellenőrizni kell a követő vizsgálatok során, hogy közben a kövek</w:t>
      </w:r>
      <w:r w:rsidR="007511A3">
        <w:rPr>
          <w:lang w:val="hu"/>
        </w:rPr>
        <w:t xml:space="preserve"> nem meszesedtek-e el</w:t>
      </w:r>
      <w:r>
        <w:rPr>
          <w:lang w:val="hu"/>
        </w:rPr>
        <w:t>. Ilyen esetben a kezelés be kell fejezni.</w:t>
      </w:r>
    </w:p>
    <w:p w14:paraId="6CDC5454" w14:textId="77777777" w:rsidR="00337D7F" w:rsidRPr="00087EE4" w:rsidRDefault="00337D7F">
      <w:pPr>
        <w:rPr>
          <w:lang w:val="hu"/>
        </w:rPr>
      </w:pPr>
    </w:p>
    <w:p w14:paraId="5B9C02E4" w14:textId="768EEC53" w:rsidR="00337D7F" w:rsidRPr="00087EE4" w:rsidRDefault="00087EE4">
      <w:pPr>
        <w:keepNext/>
        <w:autoSpaceDE w:val="0"/>
        <w:autoSpaceDN w:val="0"/>
        <w:adjustRightInd w:val="0"/>
        <w:rPr>
          <w:i/>
          <w:iCs/>
          <w:color w:val="000000"/>
          <w:szCs w:val="22"/>
          <w:u w:val="single"/>
          <w:lang w:val="hu"/>
        </w:rPr>
      </w:pPr>
      <w:r>
        <w:rPr>
          <w:i/>
          <w:iCs/>
          <w:color w:val="000000"/>
          <w:szCs w:val="22"/>
          <w:u w:val="single"/>
          <w:lang w:val="hu"/>
        </w:rPr>
        <w:t>Epereflux</w:t>
      </w:r>
      <w:r w:rsidR="00A95008">
        <w:rPr>
          <w:i/>
          <w:iCs/>
          <w:color w:val="000000"/>
          <w:szCs w:val="22"/>
          <w:u w:val="single"/>
          <w:lang w:val="hu"/>
        </w:rPr>
        <w:t>-</w:t>
      </w:r>
      <w:r>
        <w:rPr>
          <w:i/>
          <w:iCs/>
          <w:color w:val="000000"/>
          <w:szCs w:val="22"/>
          <w:u w:val="single"/>
          <w:lang w:val="hu"/>
        </w:rPr>
        <w:t>gastritis kezelésére</w:t>
      </w:r>
    </w:p>
    <w:p w14:paraId="0B27BFB8" w14:textId="77777777" w:rsidR="00337D7F" w:rsidRPr="00087EE4" w:rsidRDefault="00337D7F">
      <w:pPr>
        <w:rPr>
          <w:lang w:val="hu"/>
        </w:rPr>
      </w:pPr>
    </w:p>
    <w:p w14:paraId="0EF2B5FC" w14:textId="73D732A2" w:rsidR="00337D7F" w:rsidRPr="00087EE4" w:rsidRDefault="00087EE4">
      <w:pPr>
        <w:rPr>
          <w:lang w:val="hu"/>
        </w:rPr>
      </w:pPr>
      <w:r>
        <w:rPr>
          <w:lang w:val="hu"/>
        </w:rPr>
        <w:t>A Proursan 47</w:t>
      </w:r>
      <w:r w:rsidR="00870E22">
        <w:rPr>
          <w:lang w:val="hu"/>
        </w:rPr>
        <w:t> </w:t>
      </w:r>
      <w:r>
        <w:rPr>
          <w:lang w:val="hu"/>
        </w:rPr>
        <w:t xml:space="preserve">kg és ennél nagyobb testtömegű betegek számára megfelelő. A 47 kg-nál kisebb testtömegű betegek vagy azok számára akik nem tudják lenyelni a Proursan </w:t>
      </w:r>
      <w:r w:rsidR="00A95008">
        <w:rPr>
          <w:lang w:val="hu"/>
        </w:rPr>
        <w:t>kemény kapszulát</w:t>
      </w:r>
      <w:r>
        <w:rPr>
          <w:lang w:val="hu"/>
        </w:rPr>
        <w:t>, elérhető más, urzodezoxikólsavat tartalmazó gyógyszerforma (szuszpenzió).</w:t>
      </w:r>
    </w:p>
    <w:p w14:paraId="103C4A9C" w14:textId="77777777" w:rsidR="00337D7F" w:rsidRPr="00087EE4" w:rsidRDefault="00337D7F">
      <w:pPr>
        <w:rPr>
          <w:lang w:val="hu"/>
        </w:rPr>
      </w:pPr>
    </w:p>
    <w:p w14:paraId="7406EFC7" w14:textId="77777777" w:rsidR="00337D7F" w:rsidRPr="00087EE4" w:rsidRDefault="00087EE4">
      <w:pPr>
        <w:rPr>
          <w:lang w:val="hu"/>
        </w:rPr>
      </w:pPr>
      <w:r>
        <w:rPr>
          <w:lang w:val="hu"/>
        </w:rPr>
        <w:t>Naponta egyszer 1 kemény kapszula Proursan-t vegyen be, este lefekvés előtt.</w:t>
      </w:r>
    </w:p>
    <w:p w14:paraId="49298C78" w14:textId="6BB56A9E" w:rsidR="00337D7F" w:rsidRPr="00087EE4" w:rsidRDefault="00087EE4">
      <w:pPr>
        <w:rPr>
          <w:lang w:val="hu"/>
        </w:rPr>
      </w:pPr>
      <w:r>
        <w:rPr>
          <w:lang w:val="hu"/>
        </w:rPr>
        <w:t>Az epereflux</w:t>
      </w:r>
      <w:r w:rsidR="00A95008">
        <w:rPr>
          <w:lang w:val="hu"/>
        </w:rPr>
        <w:t>-</w:t>
      </w:r>
      <w:r>
        <w:rPr>
          <w:lang w:val="hu"/>
        </w:rPr>
        <w:t>gastritis kezelésére a Proursan általában 10-14 napig szedendő. Általában az adagolás időtartama megfelel a betegség lefolyásának. A kezelést végző orvos dönt a részletekről az adagolás teljes időtartama alatt.</w:t>
      </w:r>
    </w:p>
    <w:p w14:paraId="59FEB614" w14:textId="77777777" w:rsidR="00337D7F" w:rsidRPr="00087EE4" w:rsidRDefault="00337D7F">
      <w:pPr>
        <w:keepNext/>
        <w:autoSpaceDE w:val="0"/>
        <w:autoSpaceDN w:val="0"/>
        <w:adjustRightInd w:val="0"/>
        <w:rPr>
          <w:color w:val="000000"/>
          <w:szCs w:val="22"/>
          <w:u w:val="single"/>
          <w:lang w:val="hu"/>
        </w:rPr>
      </w:pPr>
    </w:p>
    <w:p w14:paraId="1B9BF8FB" w14:textId="77777777" w:rsidR="00337D7F" w:rsidRPr="00087EE4" w:rsidRDefault="00087EE4">
      <w:pPr>
        <w:keepNext/>
        <w:autoSpaceDE w:val="0"/>
        <w:autoSpaceDN w:val="0"/>
        <w:adjustRightInd w:val="0"/>
        <w:rPr>
          <w:i/>
          <w:color w:val="000000"/>
          <w:szCs w:val="22"/>
          <w:u w:val="single"/>
          <w:lang w:val="hu"/>
        </w:rPr>
      </w:pPr>
      <w:r>
        <w:rPr>
          <w:i/>
          <w:iCs/>
          <w:color w:val="000000"/>
          <w:szCs w:val="22"/>
          <w:u w:val="single"/>
          <w:lang w:val="hu"/>
        </w:rPr>
        <w:t>A primer biliaris cholangitis (PBC) tüneti kezelésére</w:t>
      </w:r>
    </w:p>
    <w:p w14:paraId="49AB753F" w14:textId="77777777" w:rsidR="00337D7F" w:rsidRPr="00087EE4" w:rsidRDefault="00337D7F">
      <w:pPr>
        <w:rPr>
          <w:lang w:val="hu"/>
        </w:rPr>
      </w:pPr>
    </w:p>
    <w:p w14:paraId="51BDD757" w14:textId="1E69416C" w:rsidR="00337D7F" w:rsidRPr="00087EE4" w:rsidRDefault="00087EE4">
      <w:pPr>
        <w:rPr>
          <w:lang w:val="hu"/>
        </w:rPr>
      </w:pPr>
      <w:r>
        <w:rPr>
          <w:lang w:val="hu"/>
        </w:rPr>
        <w:t>A Proursan 47</w:t>
      </w:r>
      <w:r w:rsidR="00870E22">
        <w:rPr>
          <w:lang w:val="hu"/>
        </w:rPr>
        <w:t> </w:t>
      </w:r>
      <w:r>
        <w:rPr>
          <w:lang w:val="hu"/>
        </w:rPr>
        <w:t>kg és ennél nagyobb testtömegű betegek számára megfelelő. A 47</w:t>
      </w:r>
      <w:r w:rsidR="00870E22">
        <w:rPr>
          <w:lang w:val="hu"/>
        </w:rPr>
        <w:t> </w:t>
      </w:r>
      <w:r>
        <w:rPr>
          <w:lang w:val="hu"/>
        </w:rPr>
        <w:t>kg-nál kisebb testtömegű betegek vagy azok számára</w:t>
      </w:r>
      <w:r w:rsidR="008A605F">
        <w:rPr>
          <w:lang w:val="hu"/>
        </w:rPr>
        <w:t>,</w:t>
      </w:r>
      <w:r>
        <w:rPr>
          <w:lang w:val="hu"/>
        </w:rPr>
        <w:t xml:space="preserve"> akik nem tudják lenyelni a Proursan </w:t>
      </w:r>
      <w:r w:rsidR="004D6581">
        <w:rPr>
          <w:lang w:val="hu"/>
        </w:rPr>
        <w:t>k</w:t>
      </w:r>
      <w:r w:rsidR="00A95008">
        <w:rPr>
          <w:lang w:val="hu"/>
        </w:rPr>
        <w:t>emény kapszulát</w:t>
      </w:r>
      <w:r>
        <w:rPr>
          <w:lang w:val="hu"/>
        </w:rPr>
        <w:t>, elérhető más, urzodezoxikólsavat tartalmazó gyógyszerforma (szuszpenzió).</w:t>
      </w:r>
    </w:p>
    <w:p w14:paraId="7AFAFC32" w14:textId="77777777" w:rsidR="00337D7F" w:rsidRPr="00087EE4" w:rsidRDefault="00337D7F">
      <w:pPr>
        <w:rPr>
          <w:lang w:val="hu"/>
        </w:rPr>
      </w:pPr>
    </w:p>
    <w:p w14:paraId="09A9F0F8" w14:textId="46FF9FB4" w:rsidR="00337D7F" w:rsidRPr="00087EE4" w:rsidRDefault="00087EE4">
      <w:pPr>
        <w:rPr>
          <w:lang w:val="hu"/>
        </w:rPr>
      </w:pPr>
      <w:r>
        <w:rPr>
          <w:lang w:val="hu"/>
        </w:rPr>
        <w:t>A napi dózis a testtömegtől függ, és 3-tól 7 kemény kapszuláig terjedhet (14 ± 2</w:t>
      </w:r>
      <w:r w:rsidR="008656BE">
        <w:rPr>
          <w:lang w:val="hu"/>
        </w:rPr>
        <w:t> mg</w:t>
      </w:r>
      <w:r>
        <w:rPr>
          <w:lang w:val="hu"/>
        </w:rPr>
        <w:t xml:space="preserve"> urzodezoxikólsav testtömegkilogrammonként).</w:t>
      </w:r>
    </w:p>
    <w:p w14:paraId="578E15A9" w14:textId="77777777" w:rsidR="00337D7F" w:rsidRPr="00087EE4" w:rsidRDefault="00337D7F">
      <w:pPr>
        <w:rPr>
          <w:lang w:val="hu"/>
        </w:rPr>
      </w:pPr>
    </w:p>
    <w:p w14:paraId="00E1DDBF" w14:textId="5031E2CE" w:rsidR="00337D7F" w:rsidRPr="00087EE4" w:rsidRDefault="00087EE4">
      <w:pPr>
        <w:rPr>
          <w:lang w:val="hu"/>
        </w:rPr>
      </w:pPr>
      <w:r>
        <w:rPr>
          <w:lang w:val="hu"/>
        </w:rPr>
        <w:t xml:space="preserve">A kezelés első 3 hónapjában a Proursan </w:t>
      </w:r>
      <w:r w:rsidR="00A05A24">
        <w:rPr>
          <w:lang w:val="hu"/>
        </w:rPr>
        <w:t xml:space="preserve">kemény kapszulát </w:t>
      </w:r>
      <w:r>
        <w:rPr>
          <w:lang w:val="hu"/>
        </w:rPr>
        <w:t>a nap folyamán elosztva kell bevenni. A májértékek javulásával a napi adag bevehető naponta egyszer is, esténként.</w:t>
      </w:r>
    </w:p>
    <w:p w14:paraId="7404AAB2" w14:textId="77777777" w:rsidR="00337D7F" w:rsidRPr="00087EE4" w:rsidRDefault="00337D7F">
      <w:pPr>
        <w:rPr>
          <w:lang w:val="hu"/>
        </w:rPr>
      </w:pPr>
    </w:p>
    <w:tbl>
      <w:tblPr>
        <w:tblW w:w="7938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408"/>
        <w:gridCol w:w="1409"/>
        <w:gridCol w:w="1200"/>
        <w:gridCol w:w="1200"/>
        <w:gridCol w:w="1200"/>
        <w:gridCol w:w="1521"/>
      </w:tblGrid>
      <w:tr w:rsidR="00337D7F" w14:paraId="06D54E71" w14:textId="77777777">
        <w:trPr>
          <w:trHeight w:val="20"/>
        </w:trPr>
        <w:tc>
          <w:tcPr>
            <w:tcW w:w="1408" w:type="dxa"/>
            <w:vMerge w:val="restart"/>
            <w:vAlign w:val="center"/>
          </w:tcPr>
          <w:p w14:paraId="72156559" w14:textId="77777777" w:rsidR="00337D7F" w:rsidRDefault="00087EE4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Testtömeg</w:t>
            </w:r>
          </w:p>
          <w:p w14:paraId="39DE0849" w14:textId="77777777" w:rsidR="00337D7F" w:rsidRDefault="00087EE4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(kg)</w:t>
            </w:r>
          </w:p>
        </w:tc>
        <w:tc>
          <w:tcPr>
            <w:tcW w:w="1409" w:type="dxa"/>
            <w:vMerge w:val="restart"/>
            <w:vAlign w:val="center"/>
          </w:tcPr>
          <w:p w14:paraId="15F0A33A" w14:textId="77777777" w:rsidR="00337D7F" w:rsidRDefault="00087EE4">
            <w:r>
              <w:rPr>
                <w:lang w:val="hu"/>
              </w:rPr>
              <w:t>Napi dózis</w:t>
            </w:r>
          </w:p>
          <w:p w14:paraId="4BB29F38" w14:textId="77777777" w:rsidR="00337D7F" w:rsidRDefault="00087EE4">
            <w:r>
              <w:rPr>
                <w:lang w:val="hu"/>
              </w:rPr>
              <w:t>(mg/ttkg)</w:t>
            </w:r>
          </w:p>
        </w:tc>
        <w:tc>
          <w:tcPr>
            <w:tcW w:w="5121" w:type="dxa"/>
            <w:gridSpan w:val="4"/>
            <w:vAlign w:val="center"/>
          </w:tcPr>
          <w:p w14:paraId="1E92F532" w14:textId="579EA391" w:rsidR="00337D7F" w:rsidRDefault="00087EE4">
            <w:r>
              <w:rPr>
                <w:lang w:val="hu"/>
              </w:rPr>
              <w:t>Proursan 250</w:t>
            </w:r>
            <w:r w:rsidR="008656BE">
              <w:rPr>
                <w:lang w:val="hu"/>
              </w:rPr>
              <w:t> mg</w:t>
            </w:r>
            <w:r>
              <w:rPr>
                <w:lang w:val="hu"/>
              </w:rPr>
              <w:t xml:space="preserve"> kemény kapszula</w:t>
            </w:r>
          </w:p>
        </w:tc>
      </w:tr>
      <w:tr w:rsidR="00337D7F" w14:paraId="3D973D1F" w14:textId="77777777">
        <w:trPr>
          <w:trHeight w:val="20"/>
        </w:trPr>
        <w:tc>
          <w:tcPr>
            <w:tcW w:w="1408" w:type="dxa"/>
            <w:vMerge/>
            <w:vAlign w:val="center"/>
          </w:tcPr>
          <w:p w14:paraId="402EFF45" w14:textId="77777777" w:rsidR="00337D7F" w:rsidRDefault="00337D7F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</w:p>
        </w:tc>
        <w:tc>
          <w:tcPr>
            <w:tcW w:w="1409" w:type="dxa"/>
            <w:vMerge/>
            <w:vAlign w:val="center"/>
          </w:tcPr>
          <w:p w14:paraId="6603D913" w14:textId="77777777" w:rsidR="00337D7F" w:rsidRDefault="00337D7F"/>
        </w:tc>
        <w:tc>
          <w:tcPr>
            <w:tcW w:w="3600" w:type="dxa"/>
            <w:gridSpan w:val="3"/>
            <w:vAlign w:val="center"/>
          </w:tcPr>
          <w:p w14:paraId="3CAB9408" w14:textId="77777777" w:rsidR="00337D7F" w:rsidRDefault="00087EE4">
            <w:pPr>
              <w:rPr>
                <w:b/>
              </w:rPr>
            </w:pPr>
            <w:r>
              <w:rPr>
                <w:b/>
                <w:bCs/>
                <w:lang w:val="hu"/>
              </w:rPr>
              <w:t>első 3 hónap</w:t>
            </w:r>
          </w:p>
        </w:tc>
        <w:tc>
          <w:tcPr>
            <w:tcW w:w="1521" w:type="dxa"/>
            <w:vAlign w:val="center"/>
          </w:tcPr>
          <w:p w14:paraId="1D5AC07D" w14:textId="77777777" w:rsidR="00337D7F" w:rsidRDefault="00087EE4">
            <w:pPr>
              <w:rPr>
                <w:b/>
              </w:rPr>
            </w:pPr>
            <w:r>
              <w:rPr>
                <w:b/>
                <w:bCs/>
                <w:lang w:val="hu"/>
              </w:rPr>
              <w:t>a későbbiekben</w:t>
            </w:r>
          </w:p>
        </w:tc>
      </w:tr>
      <w:tr w:rsidR="00337D7F" w14:paraId="60F299AE" w14:textId="77777777">
        <w:trPr>
          <w:trHeight w:val="20"/>
        </w:trPr>
        <w:tc>
          <w:tcPr>
            <w:tcW w:w="1408" w:type="dxa"/>
            <w:vMerge/>
            <w:vAlign w:val="center"/>
          </w:tcPr>
          <w:p w14:paraId="6E10B390" w14:textId="77777777" w:rsidR="00337D7F" w:rsidRDefault="00337D7F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</w:p>
        </w:tc>
        <w:tc>
          <w:tcPr>
            <w:tcW w:w="1409" w:type="dxa"/>
            <w:vMerge/>
            <w:vAlign w:val="center"/>
          </w:tcPr>
          <w:p w14:paraId="11C58B55" w14:textId="77777777" w:rsidR="00337D7F" w:rsidRDefault="00337D7F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</w:p>
        </w:tc>
        <w:tc>
          <w:tcPr>
            <w:tcW w:w="1200" w:type="dxa"/>
            <w:vAlign w:val="center"/>
          </w:tcPr>
          <w:p w14:paraId="627F04A2" w14:textId="77777777" w:rsidR="00337D7F" w:rsidRDefault="00087EE4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reggel</w:t>
            </w:r>
          </w:p>
        </w:tc>
        <w:tc>
          <w:tcPr>
            <w:tcW w:w="1200" w:type="dxa"/>
            <w:vAlign w:val="center"/>
          </w:tcPr>
          <w:p w14:paraId="3DE1A301" w14:textId="77777777" w:rsidR="00337D7F" w:rsidRDefault="00087EE4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délben</w:t>
            </w:r>
          </w:p>
        </w:tc>
        <w:tc>
          <w:tcPr>
            <w:tcW w:w="1200" w:type="dxa"/>
            <w:vAlign w:val="center"/>
          </w:tcPr>
          <w:p w14:paraId="14372346" w14:textId="77777777" w:rsidR="00337D7F" w:rsidRDefault="00087EE4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este</w:t>
            </w:r>
          </w:p>
        </w:tc>
        <w:tc>
          <w:tcPr>
            <w:tcW w:w="1521" w:type="dxa"/>
            <w:vAlign w:val="center"/>
          </w:tcPr>
          <w:p w14:paraId="2250F9F7" w14:textId="77777777" w:rsidR="00337D7F" w:rsidRDefault="00087EE4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este</w:t>
            </w:r>
          </w:p>
          <w:p w14:paraId="179241CA" w14:textId="77777777" w:rsidR="00337D7F" w:rsidRDefault="00087EE4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 xml:space="preserve">(1 × naponta) </w:t>
            </w:r>
          </w:p>
        </w:tc>
      </w:tr>
      <w:tr w:rsidR="00337D7F" w14:paraId="4837AF67" w14:textId="77777777">
        <w:trPr>
          <w:trHeight w:val="20"/>
        </w:trPr>
        <w:tc>
          <w:tcPr>
            <w:tcW w:w="1408" w:type="dxa"/>
            <w:vAlign w:val="center"/>
          </w:tcPr>
          <w:p w14:paraId="55FE83FF" w14:textId="77777777" w:rsidR="00337D7F" w:rsidRDefault="00087EE4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47–62</w:t>
            </w:r>
          </w:p>
        </w:tc>
        <w:tc>
          <w:tcPr>
            <w:tcW w:w="1409" w:type="dxa"/>
          </w:tcPr>
          <w:p w14:paraId="201ABB09" w14:textId="77777777" w:rsidR="00337D7F" w:rsidRDefault="00087EE4">
            <w:pPr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 xml:space="preserve">12–16 </w:t>
            </w:r>
          </w:p>
        </w:tc>
        <w:tc>
          <w:tcPr>
            <w:tcW w:w="1200" w:type="dxa"/>
            <w:vAlign w:val="center"/>
          </w:tcPr>
          <w:p w14:paraId="3C86033D" w14:textId="77777777" w:rsidR="00337D7F" w:rsidRDefault="00087EE4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1</w:t>
            </w:r>
          </w:p>
        </w:tc>
        <w:tc>
          <w:tcPr>
            <w:tcW w:w="1200" w:type="dxa"/>
            <w:vAlign w:val="center"/>
          </w:tcPr>
          <w:p w14:paraId="7C37131F" w14:textId="77777777" w:rsidR="00337D7F" w:rsidRDefault="00087EE4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1</w:t>
            </w:r>
          </w:p>
        </w:tc>
        <w:tc>
          <w:tcPr>
            <w:tcW w:w="1200" w:type="dxa"/>
            <w:vAlign w:val="center"/>
          </w:tcPr>
          <w:p w14:paraId="67E595E7" w14:textId="77777777" w:rsidR="00337D7F" w:rsidRDefault="00087EE4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1</w:t>
            </w:r>
          </w:p>
        </w:tc>
        <w:tc>
          <w:tcPr>
            <w:tcW w:w="1521" w:type="dxa"/>
            <w:vAlign w:val="center"/>
          </w:tcPr>
          <w:p w14:paraId="6DB4B2AE" w14:textId="77777777" w:rsidR="00337D7F" w:rsidRDefault="00087EE4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3</w:t>
            </w:r>
          </w:p>
        </w:tc>
      </w:tr>
      <w:tr w:rsidR="00337D7F" w14:paraId="5485FC6D" w14:textId="77777777">
        <w:trPr>
          <w:trHeight w:val="20"/>
        </w:trPr>
        <w:tc>
          <w:tcPr>
            <w:tcW w:w="1408" w:type="dxa"/>
            <w:vAlign w:val="center"/>
          </w:tcPr>
          <w:p w14:paraId="1B50D55E" w14:textId="77777777" w:rsidR="00337D7F" w:rsidRDefault="00087EE4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63–78</w:t>
            </w:r>
          </w:p>
        </w:tc>
        <w:tc>
          <w:tcPr>
            <w:tcW w:w="1409" w:type="dxa"/>
          </w:tcPr>
          <w:p w14:paraId="07162D8D" w14:textId="77777777" w:rsidR="00337D7F" w:rsidRDefault="00087EE4">
            <w:pPr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 xml:space="preserve">13–16 </w:t>
            </w:r>
          </w:p>
        </w:tc>
        <w:tc>
          <w:tcPr>
            <w:tcW w:w="1200" w:type="dxa"/>
            <w:vAlign w:val="center"/>
          </w:tcPr>
          <w:p w14:paraId="78DE28C0" w14:textId="77777777" w:rsidR="00337D7F" w:rsidRDefault="00087EE4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1</w:t>
            </w:r>
          </w:p>
        </w:tc>
        <w:tc>
          <w:tcPr>
            <w:tcW w:w="1200" w:type="dxa"/>
            <w:vAlign w:val="center"/>
          </w:tcPr>
          <w:p w14:paraId="7DCE463B" w14:textId="77777777" w:rsidR="00337D7F" w:rsidRDefault="00087EE4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1</w:t>
            </w:r>
          </w:p>
        </w:tc>
        <w:tc>
          <w:tcPr>
            <w:tcW w:w="1200" w:type="dxa"/>
            <w:vAlign w:val="center"/>
          </w:tcPr>
          <w:p w14:paraId="6D6948A1" w14:textId="77777777" w:rsidR="00337D7F" w:rsidRDefault="00087EE4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2</w:t>
            </w:r>
          </w:p>
        </w:tc>
        <w:tc>
          <w:tcPr>
            <w:tcW w:w="1521" w:type="dxa"/>
            <w:vAlign w:val="center"/>
          </w:tcPr>
          <w:p w14:paraId="7B144AC9" w14:textId="77777777" w:rsidR="00337D7F" w:rsidRDefault="00087EE4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4</w:t>
            </w:r>
          </w:p>
        </w:tc>
      </w:tr>
      <w:tr w:rsidR="00337D7F" w14:paraId="17F87A2A" w14:textId="77777777">
        <w:trPr>
          <w:trHeight w:val="20"/>
        </w:trPr>
        <w:tc>
          <w:tcPr>
            <w:tcW w:w="1408" w:type="dxa"/>
            <w:vAlign w:val="center"/>
          </w:tcPr>
          <w:p w14:paraId="3331C1BB" w14:textId="77777777" w:rsidR="00337D7F" w:rsidRDefault="00087EE4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79–93</w:t>
            </w:r>
          </w:p>
        </w:tc>
        <w:tc>
          <w:tcPr>
            <w:tcW w:w="1409" w:type="dxa"/>
          </w:tcPr>
          <w:p w14:paraId="16E1FE80" w14:textId="77777777" w:rsidR="00337D7F" w:rsidRDefault="00087EE4">
            <w:pPr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 xml:space="preserve">13–16 </w:t>
            </w:r>
          </w:p>
        </w:tc>
        <w:tc>
          <w:tcPr>
            <w:tcW w:w="1200" w:type="dxa"/>
            <w:vAlign w:val="center"/>
          </w:tcPr>
          <w:p w14:paraId="76ED26A0" w14:textId="77777777" w:rsidR="00337D7F" w:rsidRDefault="00087EE4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1</w:t>
            </w:r>
          </w:p>
        </w:tc>
        <w:tc>
          <w:tcPr>
            <w:tcW w:w="1200" w:type="dxa"/>
            <w:vAlign w:val="center"/>
          </w:tcPr>
          <w:p w14:paraId="02EFB5D3" w14:textId="77777777" w:rsidR="00337D7F" w:rsidRDefault="00087EE4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2</w:t>
            </w:r>
          </w:p>
        </w:tc>
        <w:tc>
          <w:tcPr>
            <w:tcW w:w="1200" w:type="dxa"/>
            <w:vAlign w:val="center"/>
          </w:tcPr>
          <w:p w14:paraId="411F1022" w14:textId="77777777" w:rsidR="00337D7F" w:rsidRDefault="00087EE4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2</w:t>
            </w:r>
          </w:p>
        </w:tc>
        <w:tc>
          <w:tcPr>
            <w:tcW w:w="1521" w:type="dxa"/>
            <w:vAlign w:val="center"/>
          </w:tcPr>
          <w:p w14:paraId="5FBAAFD5" w14:textId="77777777" w:rsidR="00337D7F" w:rsidRDefault="00087EE4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5</w:t>
            </w:r>
          </w:p>
        </w:tc>
      </w:tr>
      <w:tr w:rsidR="00337D7F" w14:paraId="5B45B02A" w14:textId="77777777">
        <w:trPr>
          <w:trHeight w:val="20"/>
        </w:trPr>
        <w:tc>
          <w:tcPr>
            <w:tcW w:w="1408" w:type="dxa"/>
            <w:vAlign w:val="center"/>
          </w:tcPr>
          <w:p w14:paraId="3273536F" w14:textId="77777777" w:rsidR="00337D7F" w:rsidRDefault="00087EE4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94–109</w:t>
            </w:r>
          </w:p>
        </w:tc>
        <w:tc>
          <w:tcPr>
            <w:tcW w:w="1409" w:type="dxa"/>
          </w:tcPr>
          <w:p w14:paraId="0D548951" w14:textId="77777777" w:rsidR="00337D7F" w:rsidRDefault="00087EE4">
            <w:pPr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 xml:space="preserve">14–16 </w:t>
            </w:r>
          </w:p>
        </w:tc>
        <w:tc>
          <w:tcPr>
            <w:tcW w:w="1200" w:type="dxa"/>
            <w:vAlign w:val="center"/>
          </w:tcPr>
          <w:p w14:paraId="7F24A08B" w14:textId="77777777" w:rsidR="00337D7F" w:rsidRDefault="00087EE4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2</w:t>
            </w:r>
          </w:p>
        </w:tc>
        <w:tc>
          <w:tcPr>
            <w:tcW w:w="1200" w:type="dxa"/>
            <w:vAlign w:val="center"/>
          </w:tcPr>
          <w:p w14:paraId="3B2FF692" w14:textId="77777777" w:rsidR="00337D7F" w:rsidRDefault="00087EE4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2</w:t>
            </w:r>
          </w:p>
        </w:tc>
        <w:tc>
          <w:tcPr>
            <w:tcW w:w="1200" w:type="dxa"/>
            <w:vAlign w:val="center"/>
          </w:tcPr>
          <w:p w14:paraId="3A132577" w14:textId="77777777" w:rsidR="00337D7F" w:rsidRDefault="00087EE4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2</w:t>
            </w:r>
          </w:p>
        </w:tc>
        <w:tc>
          <w:tcPr>
            <w:tcW w:w="1521" w:type="dxa"/>
            <w:vAlign w:val="center"/>
          </w:tcPr>
          <w:p w14:paraId="0B912BB0" w14:textId="77777777" w:rsidR="00337D7F" w:rsidRDefault="00087EE4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6</w:t>
            </w:r>
          </w:p>
        </w:tc>
      </w:tr>
      <w:tr w:rsidR="00337D7F" w14:paraId="3BE04269" w14:textId="77777777">
        <w:trPr>
          <w:trHeight w:val="20"/>
        </w:trPr>
        <w:tc>
          <w:tcPr>
            <w:tcW w:w="1408" w:type="dxa"/>
            <w:vAlign w:val="center"/>
          </w:tcPr>
          <w:p w14:paraId="1B842210" w14:textId="7BF5D015" w:rsidR="00337D7F" w:rsidRDefault="00087EE4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110</w:t>
            </w:r>
            <w:r w:rsidR="00870E22">
              <w:rPr>
                <w:color w:val="000000"/>
                <w:szCs w:val="22"/>
                <w:lang w:val="hu"/>
              </w:rPr>
              <w:t> </w:t>
            </w:r>
            <w:r>
              <w:rPr>
                <w:color w:val="000000"/>
                <w:szCs w:val="22"/>
                <w:lang w:val="hu"/>
              </w:rPr>
              <w:t>kg fölött</w:t>
            </w:r>
          </w:p>
        </w:tc>
        <w:tc>
          <w:tcPr>
            <w:tcW w:w="1409" w:type="dxa"/>
            <w:vAlign w:val="center"/>
          </w:tcPr>
          <w:p w14:paraId="371B7B62" w14:textId="77777777" w:rsidR="00337D7F" w:rsidRDefault="00087EE4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-</w:t>
            </w:r>
          </w:p>
        </w:tc>
        <w:tc>
          <w:tcPr>
            <w:tcW w:w="1200" w:type="dxa"/>
            <w:vAlign w:val="center"/>
          </w:tcPr>
          <w:p w14:paraId="34592197" w14:textId="77777777" w:rsidR="00337D7F" w:rsidRDefault="00087EE4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2</w:t>
            </w:r>
          </w:p>
        </w:tc>
        <w:tc>
          <w:tcPr>
            <w:tcW w:w="1200" w:type="dxa"/>
            <w:vAlign w:val="center"/>
          </w:tcPr>
          <w:p w14:paraId="5A6A602A" w14:textId="77777777" w:rsidR="00337D7F" w:rsidRDefault="00087EE4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2</w:t>
            </w:r>
          </w:p>
        </w:tc>
        <w:tc>
          <w:tcPr>
            <w:tcW w:w="1200" w:type="dxa"/>
            <w:vAlign w:val="center"/>
          </w:tcPr>
          <w:p w14:paraId="3DF821F2" w14:textId="77777777" w:rsidR="00337D7F" w:rsidRDefault="00087EE4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3</w:t>
            </w:r>
          </w:p>
        </w:tc>
        <w:tc>
          <w:tcPr>
            <w:tcW w:w="1521" w:type="dxa"/>
            <w:vAlign w:val="center"/>
          </w:tcPr>
          <w:p w14:paraId="733B0FF6" w14:textId="77777777" w:rsidR="00337D7F" w:rsidRDefault="00087EE4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7</w:t>
            </w:r>
          </w:p>
        </w:tc>
      </w:tr>
    </w:tbl>
    <w:p w14:paraId="25607B4E" w14:textId="77777777" w:rsidR="00337D7F" w:rsidRDefault="00337D7F"/>
    <w:p w14:paraId="01672BEB" w14:textId="77777777" w:rsidR="00337D7F" w:rsidRDefault="00087EE4">
      <w:r>
        <w:rPr>
          <w:lang w:val="hu"/>
        </w:rPr>
        <w:t>A Proursan alkalmazását PBC betegeknél határozatlan ideig lehet folytatni.</w:t>
      </w:r>
    </w:p>
    <w:p w14:paraId="6E0C7BE8" w14:textId="77777777" w:rsidR="00337D7F" w:rsidRDefault="00337D7F"/>
    <w:p w14:paraId="6FFA738F" w14:textId="77777777" w:rsidR="00337D7F" w:rsidRPr="00087EE4" w:rsidRDefault="00087EE4">
      <w:pPr>
        <w:rPr>
          <w:lang w:val="hu"/>
        </w:rPr>
      </w:pPr>
      <w:r>
        <w:rPr>
          <w:lang w:val="hu"/>
        </w:rPr>
        <w:t>Lehetséges, hogy a primer biliaris cholangitisben szenvedő betegeknél a kezelés kezdetén a klinikai tünetek romlása, például a viszketés súlyosbodása figyelhető meg. Ha ez előfordul, a kezelést 1 Proursan kemény kapszulával kell folytatni, és fokozatosan kell továbbvinni a terápiát (növelni a napi adagot 1 kapszulával hetente) addig, amíg a vonatkozó adagolási tervben szereplő adagot újra el nem érik.</w:t>
      </w:r>
    </w:p>
    <w:p w14:paraId="76301920" w14:textId="77777777" w:rsidR="00337D7F" w:rsidRPr="00087EE4" w:rsidRDefault="00337D7F">
      <w:pPr>
        <w:rPr>
          <w:lang w:val="hu"/>
        </w:rPr>
      </w:pPr>
    </w:p>
    <w:p w14:paraId="2E40DB49" w14:textId="77777777" w:rsidR="00337D7F" w:rsidRPr="00087EE4" w:rsidRDefault="00087EE4">
      <w:pPr>
        <w:keepNext/>
        <w:autoSpaceDE w:val="0"/>
        <w:autoSpaceDN w:val="0"/>
        <w:adjustRightInd w:val="0"/>
        <w:rPr>
          <w:i/>
          <w:szCs w:val="22"/>
          <w:u w:val="single"/>
          <w:lang w:val="hu"/>
        </w:rPr>
      </w:pPr>
      <w:r>
        <w:rPr>
          <w:i/>
          <w:iCs/>
          <w:szCs w:val="22"/>
          <w:u w:val="single"/>
          <w:lang w:val="hu"/>
        </w:rPr>
        <w:t>Gyermekek és serdülők</w:t>
      </w:r>
    </w:p>
    <w:p w14:paraId="09294056" w14:textId="77777777" w:rsidR="00337D7F" w:rsidRPr="00087EE4" w:rsidRDefault="00337D7F">
      <w:pPr>
        <w:keepNext/>
        <w:autoSpaceDE w:val="0"/>
        <w:autoSpaceDN w:val="0"/>
        <w:adjustRightInd w:val="0"/>
        <w:rPr>
          <w:i/>
          <w:szCs w:val="22"/>
          <w:u w:val="single"/>
          <w:lang w:val="hu"/>
        </w:rPr>
      </w:pPr>
    </w:p>
    <w:p w14:paraId="0E95DB4B" w14:textId="77777777" w:rsidR="00337D7F" w:rsidRPr="00087EE4" w:rsidRDefault="00087EE4">
      <w:pPr>
        <w:keepNext/>
        <w:autoSpaceDE w:val="0"/>
        <w:autoSpaceDN w:val="0"/>
        <w:adjustRightInd w:val="0"/>
        <w:rPr>
          <w:i/>
          <w:szCs w:val="22"/>
          <w:u w:val="single"/>
          <w:lang w:val="hu"/>
        </w:rPr>
      </w:pPr>
      <w:r>
        <w:rPr>
          <w:i/>
          <w:iCs/>
          <w:szCs w:val="22"/>
          <w:u w:val="single"/>
          <w:lang w:val="hu"/>
        </w:rPr>
        <w:t>Cisztás fibrózisban szenvedő 6 és 18 év közötti gyermekek</w:t>
      </w:r>
    </w:p>
    <w:p w14:paraId="260A7AA1" w14:textId="535506EB" w:rsidR="00337D7F" w:rsidRPr="00087EE4" w:rsidRDefault="00087EE4">
      <w:pPr>
        <w:autoSpaceDE w:val="0"/>
        <w:autoSpaceDN w:val="0"/>
        <w:adjustRightInd w:val="0"/>
        <w:rPr>
          <w:szCs w:val="22"/>
          <w:lang w:val="hu"/>
        </w:rPr>
      </w:pPr>
      <w:r>
        <w:rPr>
          <w:szCs w:val="22"/>
          <w:lang w:val="hu"/>
        </w:rPr>
        <w:t>20</w:t>
      </w:r>
      <w:r w:rsidR="008656BE">
        <w:rPr>
          <w:szCs w:val="22"/>
          <w:lang w:val="hu"/>
        </w:rPr>
        <w:t> mg</w:t>
      </w:r>
      <w:r>
        <w:rPr>
          <w:szCs w:val="22"/>
          <w:lang w:val="hu"/>
        </w:rPr>
        <w:t>/</w:t>
      </w:r>
      <w:r w:rsidR="00A05A24">
        <w:rPr>
          <w:szCs w:val="22"/>
          <w:lang w:val="hu"/>
        </w:rPr>
        <w:t>tt</w:t>
      </w:r>
      <w:r>
        <w:rPr>
          <w:szCs w:val="22"/>
          <w:lang w:val="hu"/>
        </w:rPr>
        <w:t>kg/nap 2–3 részre osztott adagokban, ami szükség esetén tovább növelhető 30</w:t>
      </w:r>
      <w:r w:rsidR="008656BE">
        <w:rPr>
          <w:szCs w:val="22"/>
          <w:lang w:val="hu"/>
        </w:rPr>
        <w:t> mg</w:t>
      </w:r>
      <w:r>
        <w:rPr>
          <w:szCs w:val="22"/>
          <w:lang w:val="hu"/>
        </w:rPr>
        <w:t>/</w:t>
      </w:r>
      <w:r w:rsidR="008A605F">
        <w:rPr>
          <w:szCs w:val="22"/>
          <w:lang w:val="hu"/>
        </w:rPr>
        <w:t>tt</w:t>
      </w:r>
      <w:r>
        <w:rPr>
          <w:szCs w:val="22"/>
          <w:lang w:val="hu"/>
        </w:rPr>
        <w:t>kg/napig.</w:t>
      </w:r>
    </w:p>
    <w:p w14:paraId="7B0F36AB" w14:textId="77777777" w:rsidR="00337D7F" w:rsidRPr="00087EE4" w:rsidRDefault="00337D7F">
      <w:pPr>
        <w:autoSpaceDE w:val="0"/>
        <w:autoSpaceDN w:val="0"/>
        <w:adjustRightInd w:val="0"/>
        <w:rPr>
          <w:szCs w:val="22"/>
          <w:lang w:val="hu"/>
        </w:rPr>
      </w:pPr>
    </w:p>
    <w:tbl>
      <w:tblPr>
        <w:tblW w:w="7938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036"/>
        <w:gridCol w:w="1967"/>
        <w:gridCol w:w="1967"/>
        <w:gridCol w:w="1968"/>
      </w:tblGrid>
      <w:tr w:rsidR="00337D7F" w14:paraId="5133AE83" w14:textId="77777777">
        <w:trPr>
          <w:trHeight w:val="20"/>
        </w:trPr>
        <w:tc>
          <w:tcPr>
            <w:tcW w:w="2036" w:type="dxa"/>
            <w:vMerge w:val="restart"/>
            <w:vAlign w:val="center"/>
          </w:tcPr>
          <w:p w14:paraId="11B14991" w14:textId="77777777" w:rsidR="00337D7F" w:rsidRDefault="00087EE4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Testtömeg (kg)</w:t>
            </w:r>
          </w:p>
        </w:tc>
        <w:tc>
          <w:tcPr>
            <w:tcW w:w="5902" w:type="dxa"/>
            <w:gridSpan w:val="3"/>
            <w:vAlign w:val="center"/>
          </w:tcPr>
          <w:p w14:paraId="595FF480" w14:textId="7FF7516A" w:rsidR="00337D7F" w:rsidRDefault="00087EE4">
            <w:r>
              <w:rPr>
                <w:lang w:val="hu"/>
              </w:rPr>
              <w:t>Proursan 250</w:t>
            </w:r>
            <w:r w:rsidR="008656BE">
              <w:rPr>
                <w:lang w:val="hu"/>
              </w:rPr>
              <w:t> mg</w:t>
            </w:r>
            <w:r>
              <w:rPr>
                <w:lang w:val="hu"/>
              </w:rPr>
              <w:t xml:space="preserve"> kemény kapszula</w:t>
            </w:r>
          </w:p>
        </w:tc>
      </w:tr>
      <w:tr w:rsidR="00337D7F" w14:paraId="6A79F9D5" w14:textId="77777777">
        <w:trPr>
          <w:trHeight w:val="20"/>
        </w:trPr>
        <w:tc>
          <w:tcPr>
            <w:tcW w:w="2036" w:type="dxa"/>
            <w:vMerge/>
            <w:vAlign w:val="center"/>
          </w:tcPr>
          <w:p w14:paraId="46BAB387" w14:textId="77777777" w:rsidR="00337D7F" w:rsidRDefault="00337D7F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</w:p>
        </w:tc>
        <w:tc>
          <w:tcPr>
            <w:tcW w:w="1967" w:type="dxa"/>
            <w:vAlign w:val="center"/>
          </w:tcPr>
          <w:p w14:paraId="03861704" w14:textId="77777777" w:rsidR="00337D7F" w:rsidRDefault="00087EE4">
            <w:r>
              <w:rPr>
                <w:lang w:val="hu"/>
              </w:rPr>
              <w:t>reggel</w:t>
            </w:r>
          </w:p>
        </w:tc>
        <w:tc>
          <w:tcPr>
            <w:tcW w:w="1967" w:type="dxa"/>
            <w:vAlign w:val="center"/>
          </w:tcPr>
          <w:p w14:paraId="4A2DA72E" w14:textId="77777777" w:rsidR="00337D7F" w:rsidRDefault="00087EE4">
            <w:r>
              <w:rPr>
                <w:lang w:val="hu"/>
              </w:rPr>
              <w:t>délben</w:t>
            </w:r>
          </w:p>
        </w:tc>
        <w:tc>
          <w:tcPr>
            <w:tcW w:w="1968" w:type="dxa"/>
            <w:vAlign w:val="center"/>
          </w:tcPr>
          <w:p w14:paraId="5473686D" w14:textId="77777777" w:rsidR="00337D7F" w:rsidRDefault="00087EE4">
            <w:r>
              <w:rPr>
                <w:lang w:val="hu"/>
              </w:rPr>
              <w:t>este</w:t>
            </w:r>
          </w:p>
        </w:tc>
      </w:tr>
      <w:tr w:rsidR="00337D7F" w14:paraId="2CE4A4B3" w14:textId="77777777">
        <w:trPr>
          <w:trHeight w:val="20"/>
        </w:trPr>
        <w:tc>
          <w:tcPr>
            <w:tcW w:w="2036" w:type="dxa"/>
            <w:vAlign w:val="center"/>
          </w:tcPr>
          <w:p w14:paraId="64725138" w14:textId="77777777" w:rsidR="00337D7F" w:rsidRDefault="00087EE4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20–29</w:t>
            </w:r>
          </w:p>
        </w:tc>
        <w:tc>
          <w:tcPr>
            <w:tcW w:w="1967" w:type="dxa"/>
            <w:vAlign w:val="center"/>
          </w:tcPr>
          <w:p w14:paraId="10A2C051" w14:textId="77777777" w:rsidR="00337D7F" w:rsidRDefault="00087EE4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1</w:t>
            </w:r>
          </w:p>
        </w:tc>
        <w:tc>
          <w:tcPr>
            <w:tcW w:w="1967" w:type="dxa"/>
            <w:vAlign w:val="center"/>
          </w:tcPr>
          <w:p w14:paraId="4EB89747" w14:textId="77777777" w:rsidR="00337D7F" w:rsidRDefault="00087EE4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-</w:t>
            </w:r>
          </w:p>
        </w:tc>
        <w:tc>
          <w:tcPr>
            <w:tcW w:w="1968" w:type="dxa"/>
            <w:vAlign w:val="center"/>
          </w:tcPr>
          <w:p w14:paraId="1A904CF2" w14:textId="77777777" w:rsidR="00337D7F" w:rsidRDefault="00087EE4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1</w:t>
            </w:r>
          </w:p>
        </w:tc>
      </w:tr>
      <w:tr w:rsidR="00337D7F" w14:paraId="2F74381F" w14:textId="77777777">
        <w:trPr>
          <w:trHeight w:val="20"/>
        </w:trPr>
        <w:tc>
          <w:tcPr>
            <w:tcW w:w="2036" w:type="dxa"/>
            <w:vAlign w:val="center"/>
          </w:tcPr>
          <w:p w14:paraId="5A8F3720" w14:textId="77777777" w:rsidR="00337D7F" w:rsidRDefault="00087EE4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30–39</w:t>
            </w:r>
          </w:p>
        </w:tc>
        <w:tc>
          <w:tcPr>
            <w:tcW w:w="1967" w:type="dxa"/>
            <w:vAlign w:val="center"/>
          </w:tcPr>
          <w:p w14:paraId="4342A722" w14:textId="77777777" w:rsidR="00337D7F" w:rsidRDefault="00087EE4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1</w:t>
            </w:r>
          </w:p>
        </w:tc>
        <w:tc>
          <w:tcPr>
            <w:tcW w:w="1967" w:type="dxa"/>
            <w:vAlign w:val="center"/>
          </w:tcPr>
          <w:p w14:paraId="6F129B64" w14:textId="77777777" w:rsidR="00337D7F" w:rsidRDefault="00087EE4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1</w:t>
            </w:r>
          </w:p>
        </w:tc>
        <w:tc>
          <w:tcPr>
            <w:tcW w:w="1968" w:type="dxa"/>
            <w:vAlign w:val="center"/>
          </w:tcPr>
          <w:p w14:paraId="37E03594" w14:textId="77777777" w:rsidR="00337D7F" w:rsidRDefault="00087EE4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1</w:t>
            </w:r>
          </w:p>
        </w:tc>
      </w:tr>
      <w:tr w:rsidR="00337D7F" w14:paraId="2DCD8116" w14:textId="77777777">
        <w:trPr>
          <w:trHeight w:val="20"/>
        </w:trPr>
        <w:tc>
          <w:tcPr>
            <w:tcW w:w="2036" w:type="dxa"/>
            <w:vAlign w:val="center"/>
          </w:tcPr>
          <w:p w14:paraId="1899D06F" w14:textId="77777777" w:rsidR="00337D7F" w:rsidRDefault="00087EE4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40–49</w:t>
            </w:r>
          </w:p>
        </w:tc>
        <w:tc>
          <w:tcPr>
            <w:tcW w:w="1967" w:type="dxa"/>
            <w:vAlign w:val="center"/>
          </w:tcPr>
          <w:p w14:paraId="5FDDFDA0" w14:textId="77777777" w:rsidR="00337D7F" w:rsidRDefault="00087EE4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1</w:t>
            </w:r>
          </w:p>
        </w:tc>
        <w:tc>
          <w:tcPr>
            <w:tcW w:w="1967" w:type="dxa"/>
            <w:vAlign w:val="center"/>
          </w:tcPr>
          <w:p w14:paraId="6257D204" w14:textId="77777777" w:rsidR="00337D7F" w:rsidRDefault="00087EE4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1</w:t>
            </w:r>
          </w:p>
        </w:tc>
        <w:tc>
          <w:tcPr>
            <w:tcW w:w="1968" w:type="dxa"/>
            <w:vAlign w:val="center"/>
          </w:tcPr>
          <w:p w14:paraId="5E20DD0F" w14:textId="77777777" w:rsidR="00337D7F" w:rsidRDefault="00087EE4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2</w:t>
            </w:r>
          </w:p>
        </w:tc>
      </w:tr>
      <w:tr w:rsidR="00337D7F" w14:paraId="6D27B635" w14:textId="77777777">
        <w:trPr>
          <w:trHeight w:val="20"/>
        </w:trPr>
        <w:tc>
          <w:tcPr>
            <w:tcW w:w="2036" w:type="dxa"/>
            <w:vAlign w:val="center"/>
          </w:tcPr>
          <w:p w14:paraId="3FDDED67" w14:textId="77777777" w:rsidR="00337D7F" w:rsidRDefault="00087EE4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lastRenderedPageBreak/>
              <w:t>50–59</w:t>
            </w:r>
          </w:p>
        </w:tc>
        <w:tc>
          <w:tcPr>
            <w:tcW w:w="1967" w:type="dxa"/>
            <w:vAlign w:val="center"/>
          </w:tcPr>
          <w:p w14:paraId="3FE95C0A" w14:textId="77777777" w:rsidR="00337D7F" w:rsidRDefault="00087EE4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1</w:t>
            </w:r>
          </w:p>
        </w:tc>
        <w:tc>
          <w:tcPr>
            <w:tcW w:w="1967" w:type="dxa"/>
            <w:vAlign w:val="center"/>
          </w:tcPr>
          <w:p w14:paraId="767CBA61" w14:textId="77777777" w:rsidR="00337D7F" w:rsidRDefault="00087EE4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2</w:t>
            </w:r>
          </w:p>
        </w:tc>
        <w:tc>
          <w:tcPr>
            <w:tcW w:w="1968" w:type="dxa"/>
            <w:vAlign w:val="center"/>
          </w:tcPr>
          <w:p w14:paraId="2A0717C5" w14:textId="77777777" w:rsidR="00337D7F" w:rsidRDefault="00087EE4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2</w:t>
            </w:r>
          </w:p>
        </w:tc>
      </w:tr>
      <w:tr w:rsidR="00337D7F" w14:paraId="62F1E4EE" w14:textId="77777777">
        <w:trPr>
          <w:trHeight w:val="20"/>
        </w:trPr>
        <w:tc>
          <w:tcPr>
            <w:tcW w:w="2036" w:type="dxa"/>
            <w:vAlign w:val="center"/>
          </w:tcPr>
          <w:p w14:paraId="278600B2" w14:textId="77777777" w:rsidR="00337D7F" w:rsidRDefault="00087EE4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60–69</w:t>
            </w:r>
          </w:p>
        </w:tc>
        <w:tc>
          <w:tcPr>
            <w:tcW w:w="1967" w:type="dxa"/>
            <w:vAlign w:val="center"/>
          </w:tcPr>
          <w:p w14:paraId="5AD586CD" w14:textId="77777777" w:rsidR="00337D7F" w:rsidRDefault="00087EE4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2</w:t>
            </w:r>
          </w:p>
        </w:tc>
        <w:tc>
          <w:tcPr>
            <w:tcW w:w="1967" w:type="dxa"/>
            <w:vAlign w:val="center"/>
          </w:tcPr>
          <w:p w14:paraId="4CA15404" w14:textId="77777777" w:rsidR="00337D7F" w:rsidRDefault="00087EE4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2</w:t>
            </w:r>
          </w:p>
        </w:tc>
        <w:tc>
          <w:tcPr>
            <w:tcW w:w="1968" w:type="dxa"/>
            <w:vAlign w:val="center"/>
          </w:tcPr>
          <w:p w14:paraId="64210CB8" w14:textId="77777777" w:rsidR="00337D7F" w:rsidRDefault="00087EE4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2</w:t>
            </w:r>
          </w:p>
        </w:tc>
      </w:tr>
      <w:tr w:rsidR="00337D7F" w14:paraId="57AA9E86" w14:textId="77777777">
        <w:trPr>
          <w:trHeight w:val="20"/>
        </w:trPr>
        <w:tc>
          <w:tcPr>
            <w:tcW w:w="2036" w:type="dxa"/>
            <w:vAlign w:val="center"/>
          </w:tcPr>
          <w:p w14:paraId="74E8627D" w14:textId="77777777" w:rsidR="00337D7F" w:rsidRDefault="00087EE4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70–79</w:t>
            </w:r>
          </w:p>
        </w:tc>
        <w:tc>
          <w:tcPr>
            <w:tcW w:w="1967" w:type="dxa"/>
            <w:vAlign w:val="center"/>
          </w:tcPr>
          <w:p w14:paraId="1217420F" w14:textId="77777777" w:rsidR="00337D7F" w:rsidRDefault="00087EE4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2</w:t>
            </w:r>
          </w:p>
        </w:tc>
        <w:tc>
          <w:tcPr>
            <w:tcW w:w="1967" w:type="dxa"/>
            <w:vAlign w:val="center"/>
          </w:tcPr>
          <w:p w14:paraId="214DFB9D" w14:textId="77777777" w:rsidR="00337D7F" w:rsidRDefault="00087EE4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2</w:t>
            </w:r>
          </w:p>
        </w:tc>
        <w:tc>
          <w:tcPr>
            <w:tcW w:w="1968" w:type="dxa"/>
            <w:vAlign w:val="center"/>
          </w:tcPr>
          <w:p w14:paraId="47BA786C" w14:textId="77777777" w:rsidR="00337D7F" w:rsidRDefault="00087EE4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3</w:t>
            </w:r>
          </w:p>
        </w:tc>
      </w:tr>
      <w:tr w:rsidR="00337D7F" w14:paraId="04F224C8" w14:textId="77777777">
        <w:trPr>
          <w:trHeight w:val="20"/>
        </w:trPr>
        <w:tc>
          <w:tcPr>
            <w:tcW w:w="2036" w:type="dxa"/>
            <w:vAlign w:val="center"/>
          </w:tcPr>
          <w:p w14:paraId="47906BF9" w14:textId="77777777" w:rsidR="00337D7F" w:rsidRDefault="00087EE4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80–89</w:t>
            </w:r>
          </w:p>
        </w:tc>
        <w:tc>
          <w:tcPr>
            <w:tcW w:w="1967" w:type="dxa"/>
            <w:vAlign w:val="center"/>
          </w:tcPr>
          <w:p w14:paraId="0A8AFB83" w14:textId="77777777" w:rsidR="00337D7F" w:rsidRDefault="00087EE4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2</w:t>
            </w:r>
          </w:p>
        </w:tc>
        <w:tc>
          <w:tcPr>
            <w:tcW w:w="1967" w:type="dxa"/>
            <w:vAlign w:val="center"/>
          </w:tcPr>
          <w:p w14:paraId="10DF9215" w14:textId="77777777" w:rsidR="00337D7F" w:rsidRDefault="00087EE4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3</w:t>
            </w:r>
          </w:p>
        </w:tc>
        <w:tc>
          <w:tcPr>
            <w:tcW w:w="1968" w:type="dxa"/>
            <w:vAlign w:val="center"/>
          </w:tcPr>
          <w:p w14:paraId="6BF3D9A9" w14:textId="77777777" w:rsidR="00337D7F" w:rsidRDefault="00087EE4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3</w:t>
            </w:r>
          </w:p>
        </w:tc>
      </w:tr>
      <w:tr w:rsidR="00337D7F" w14:paraId="4BFA926C" w14:textId="77777777">
        <w:trPr>
          <w:trHeight w:val="20"/>
        </w:trPr>
        <w:tc>
          <w:tcPr>
            <w:tcW w:w="2036" w:type="dxa"/>
            <w:vAlign w:val="center"/>
          </w:tcPr>
          <w:p w14:paraId="5879ADD9" w14:textId="77777777" w:rsidR="00337D7F" w:rsidRDefault="00087EE4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90–99</w:t>
            </w:r>
          </w:p>
        </w:tc>
        <w:tc>
          <w:tcPr>
            <w:tcW w:w="1967" w:type="dxa"/>
            <w:vAlign w:val="center"/>
          </w:tcPr>
          <w:p w14:paraId="4F0F4994" w14:textId="77777777" w:rsidR="00337D7F" w:rsidRDefault="00087EE4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3</w:t>
            </w:r>
          </w:p>
        </w:tc>
        <w:tc>
          <w:tcPr>
            <w:tcW w:w="1967" w:type="dxa"/>
            <w:vAlign w:val="center"/>
          </w:tcPr>
          <w:p w14:paraId="18869440" w14:textId="77777777" w:rsidR="00337D7F" w:rsidRDefault="00087EE4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3</w:t>
            </w:r>
          </w:p>
        </w:tc>
        <w:tc>
          <w:tcPr>
            <w:tcW w:w="1968" w:type="dxa"/>
            <w:vAlign w:val="center"/>
          </w:tcPr>
          <w:p w14:paraId="7DF21AC9" w14:textId="77777777" w:rsidR="00337D7F" w:rsidRDefault="00087EE4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3</w:t>
            </w:r>
          </w:p>
        </w:tc>
      </w:tr>
      <w:tr w:rsidR="00337D7F" w14:paraId="71BD48A5" w14:textId="77777777">
        <w:trPr>
          <w:trHeight w:val="20"/>
        </w:trPr>
        <w:tc>
          <w:tcPr>
            <w:tcW w:w="2036" w:type="dxa"/>
            <w:vAlign w:val="center"/>
          </w:tcPr>
          <w:p w14:paraId="66D00762" w14:textId="77777777" w:rsidR="00337D7F" w:rsidRDefault="00087EE4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100–109</w:t>
            </w:r>
          </w:p>
        </w:tc>
        <w:tc>
          <w:tcPr>
            <w:tcW w:w="1967" w:type="dxa"/>
            <w:vAlign w:val="center"/>
          </w:tcPr>
          <w:p w14:paraId="55B825BF" w14:textId="77777777" w:rsidR="00337D7F" w:rsidRDefault="00087EE4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3</w:t>
            </w:r>
          </w:p>
        </w:tc>
        <w:tc>
          <w:tcPr>
            <w:tcW w:w="1967" w:type="dxa"/>
            <w:vAlign w:val="center"/>
          </w:tcPr>
          <w:p w14:paraId="148D06DA" w14:textId="77777777" w:rsidR="00337D7F" w:rsidRDefault="00087EE4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3</w:t>
            </w:r>
          </w:p>
        </w:tc>
        <w:tc>
          <w:tcPr>
            <w:tcW w:w="1968" w:type="dxa"/>
            <w:vAlign w:val="center"/>
          </w:tcPr>
          <w:p w14:paraId="014C9358" w14:textId="77777777" w:rsidR="00337D7F" w:rsidRDefault="00087EE4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4</w:t>
            </w:r>
          </w:p>
        </w:tc>
      </w:tr>
      <w:tr w:rsidR="00337D7F" w14:paraId="6A139203" w14:textId="77777777">
        <w:trPr>
          <w:trHeight w:val="20"/>
        </w:trPr>
        <w:tc>
          <w:tcPr>
            <w:tcW w:w="2036" w:type="dxa"/>
            <w:vAlign w:val="center"/>
          </w:tcPr>
          <w:p w14:paraId="0598CC32" w14:textId="4DFB4CDD" w:rsidR="00337D7F" w:rsidRDefault="00087EE4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110</w:t>
            </w:r>
            <w:r w:rsidR="00870E22">
              <w:rPr>
                <w:color w:val="000000"/>
                <w:szCs w:val="22"/>
                <w:lang w:val="hu"/>
              </w:rPr>
              <w:t> </w:t>
            </w:r>
            <w:r>
              <w:rPr>
                <w:color w:val="000000"/>
                <w:szCs w:val="22"/>
                <w:lang w:val="hu"/>
              </w:rPr>
              <w:t>kg fölött</w:t>
            </w:r>
          </w:p>
        </w:tc>
        <w:tc>
          <w:tcPr>
            <w:tcW w:w="1967" w:type="dxa"/>
            <w:vAlign w:val="center"/>
          </w:tcPr>
          <w:p w14:paraId="51DE488B" w14:textId="77777777" w:rsidR="00337D7F" w:rsidRDefault="00087EE4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3</w:t>
            </w:r>
          </w:p>
        </w:tc>
        <w:tc>
          <w:tcPr>
            <w:tcW w:w="1967" w:type="dxa"/>
            <w:vAlign w:val="center"/>
          </w:tcPr>
          <w:p w14:paraId="5791E70B" w14:textId="77777777" w:rsidR="00337D7F" w:rsidRDefault="00087EE4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4</w:t>
            </w:r>
          </w:p>
        </w:tc>
        <w:tc>
          <w:tcPr>
            <w:tcW w:w="1968" w:type="dxa"/>
            <w:vAlign w:val="center"/>
          </w:tcPr>
          <w:p w14:paraId="13597614" w14:textId="77777777" w:rsidR="00337D7F" w:rsidRDefault="00087EE4">
            <w:pPr>
              <w:autoSpaceDE w:val="0"/>
              <w:autoSpaceDN w:val="0"/>
              <w:adjustRightInd w:val="0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  <w:lang w:val="hu"/>
              </w:rPr>
              <w:t>4</w:t>
            </w:r>
          </w:p>
        </w:tc>
      </w:tr>
    </w:tbl>
    <w:p w14:paraId="0BD57880" w14:textId="77777777" w:rsidR="00337D7F" w:rsidRDefault="00337D7F"/>
    <w:p w14:paraId="177C8033" w14:textId="77777777" w:rsidR="00337D7F" w:rsidRDefault="00087EE4">
      <w:pPr>
        <w:pStyle w:val="Default"/>
        <w:rPr>
          <w:sz w:val="22"/>
          <w:szCs w:val="22"/>
          <w:u w:val="single"/>
        </w:rPr>
      </w:pPr>
      <w:r>
        <w:rPr>
          <w:sz w:val="22"/>
          <w:szCs w:val="22"/>
          <w:u w:val="single"/>
          <w:lang w:val="hu"/>
        </w:rPr>
        <w:t>Az alkalmazás módja</w:t>
      </w:r>
    </w:p>
    <w:p w14:paraId="1E4ED2C3" w14:textId="77777777" w:rsidR="00337D7F" w:rsidRDefault="00337D7F">
      <w:pPr>
        <w:pStyle w:val="Default"/>
        <w:rPr>
          <w:sz w:val="22"/>
          <w:szCs w:val="22"/>
          <w:u w:val="single"/>
        </w:rPr>
      </w:pPr>
    </w:p>
    <w:p w14:paraId="50F83916" w14:textId="77777777" w:rsidR="00337D7F" w:rsidRDefault="00087EE4">
      <w:pPr>
        <w:pStyle w:val="Default"/>
        <w:rPr>
          <w:sz w:val="22"/>
          <w:szCs w:val="22"/>
        </w:rPr>
      </w:pPr>
      <w:r>
        <w:rPr>
          <w:sz w:val="22"/>
          <w:szCs w:val="22"/>
          <w:lang w:val="hu"/>
        </w:rPr>
        <w:t>A kemény kapszulát kevés folyadékkal szétrágás nélkül kell lenyelni.</w:t>
      </w:r>
    </w:p>
    <w:p w14:paraId="5DB2EE50" w14:textId="77777777" w:rsidR="00337D7F" w:rsidRDefault="00087EE4">
      <w:pPr>
        <w:pStyle w:val="Default"/>
        <w:rPr>
          <w:sz w:val="22"/>
          <w:szCs w:val="22"/>
        </w:rPr>
      </w:pPr>
      <w:r>
        <w:rPr>
          <w:sz w:val="22"/>
          <w:szCs w:val="22"/>
          <w:lang w:val="hu"/>
        </w:rPr>
        <w:t>A kemény kapszulát rendszeresen kell bevenni.</w:t>
      </w:r>
    </w:p>
    <w:p w14:paraId="346D4D6D" w14:textId="77777777" w:rsidR="00337D7F" w:rsidRPr="00AD6836" w:rsidRDefault="00337D7F">
      <w:pPr>
        <w:rPr>
          <w:lang w:val="de-DE"/>
        </w:rPr>
      </w:pPr>
    </w:p>
    <w:p w14:paraId="60402AAF" w14:textId="77777777" w:rsidR="00337D7F" w:rsidRDefault="00087EE4">
      <w:pPr>
        <w:keepNext/>
        <w:ind w:left="567" w:hanging="567"/>
        <w:rPr>
          <w:b/>
          <w:bCs/>
          <w:szCs w:val="22"/>
          <w:lang w:val="hu"/>
        </w:rPr>
      </w:pPr>
      <w:r>
        <w:rPr>
          <w:b/>
          <w:bCs/>
          <w:szCs w:val="22"/>
          <w:lang w:val="hu"/>
        </w:rPr>
        <w:t>4.3</w:t>
      </w:r>
      <w:r>
        <w:rPr>
          <w:b/>
          <w:bCs/>
          <w:szCs w:val="22"/>
          <w:lang w:val="hu"/>
        </w:rPr>
        <w:tab/>
        <w:t>Ellenjavallatok</w:t>
      </w:r>
    </w:p>
    <w:p w14:paraId="18B25E7B" w14:textId="77777777" w:rsidR="00337D7F" w:rsidRPr="00AD6836" w:rsidRDefault="00337D7F">
      <w:pPr>
        <w:keepNext/>
        <w:rPr>
          <w:szCs w:val="22"/>
          <w:lang w:val="de-DE"/>
        </w:rPr>
      </w:pPr>
    </w:p>
    <w:p w14:paraId="0DDF6589" w14:textId="77777777" w:rsidR="00337D7F" w:rsidRPr="00AD6836" w:rsidRDefault="00087EE4">
      <w:pPr>
        <w:keepNext/>
        <w:autoSpaceDE w:val="0"/>
        <w:autoSpaceDN w:val="0"/>
        <w:adjustRightInd w:val="0"/>
        <w:rPr>
          <w:color w:val="000000"/>
          <w:szCs w:val="22"/>
          <w:lang w:val="de-DE"/>
        </w:rPr>
      </w:pPr>
      <w:r>
        <w:rPr>
          <w:color w:val="000000"/>
          <w:szCs w:val="22"/>
          <w:lang w:val="hu"/>
        </w:rPr>
        <w:t>A Proursan nem alkakmazható olyan betegeknél, akiknél az alábbiak állnak fenn:</w:t>
      </w:r>
    </w:p>
    <w:p w14:paraId="4E46EBDF" w14:textId="77777777" w:rsidR="00337D7F" w:rsidRPr="00AD6836" w:rsidRDefault="00087EE4">
      <w:pPr>
        <w:ind w:left="567" w:hanging="567"/>
        <w:rPr>
          <w:lang w:val="de-DE"/>
        </w:rPr>
      </w:pPr>
      <w:r>
        <w:rPr>
          <w:lang w:val="hu"/>
        </w:rPr>
        <w:t>-</w:t>
      </w:r>
      <w:r>
        <w:rPr>
          <w:lang w:val="hu"/>
        </w:rPr>
        <w:tab/>
        <w:t>az epesavakkal vagy a 6.1 pontban felsorolt bármely segédanyaggal szembeni túlérzékenység,</w:t>
      </w:r>
    </w:p>
    <w:p w14:paraId="11D39F35" w14:textId="77777777" w:rsidR="00337D7F" w:rsidRPr="00AD6836" w:rsidRDefault="00087EE4">
      <w:pPr>
        <w:ind w:left="567" w:hanging="567"/>
        <w:rPr>
          <w:lang w:val="de-DE"/>
        </w:rPr>
      </w:pPr>
      <w:r>
        <w:rPr>
          <w:lang w:val="hu"/>
        </w:rPr>
        <w:t>-</w:t>
      </w:r>
      <w:r>
        <w:rPr>
          <w:lang w:val="hu"/>
        </w:rPr>
        <w:tab/>
        <w:t>az epehólyag és az epeutak akut gyulladása,</w:t>
      </w:r>
    </w:p>
    <w:p w14:paraId="7E8F7BE2" w14:textId="77777777" w:rsidR="00337D7F" w:rsidRPr="00AD6836" w:rsidRDefault="00087EE4">
      <w:pPr>
        <w:ind w:left="567" w:hanging="567"/>
        <w:rPr>
          <w:lang w:val="de-DE"/>
        </w:rPr>
      </w:pPr>
      <w:r>
        <w:rPr>
          <w:lang w:val="hu"/>
        </w:rPr>
        <w:t>-</w:t>
      </w:r>
      <w:r>
        <w:rPr>
          <w:lang w:val="hu"/>
        </w:rPr>
        <w:tab/>
        <w:t>az epeutak elzáródása (az epevezeték vagy egy cisztás vezeték elzáródása),</w:t>
      </w:r>
    </w:p>
    <w:p w14:paraId="61907FD1" w14:textId="77777777" w:rsidR="00337D7F" w:rsidRPr="00AD6836" w:rsidRDefault="00087EE4">
      <w:pPr>
        <w:ind w:left="567" w:hanging="567"/>
        <w:rPr>
          <w:lang w:val="de-DE"/>
        </w:rPr>
      </w:pPr>
      <w:r>
        <w:rPr>
          <w:lang w:val="hu"/>
        </w:rPr>
        <w:t>-</w:t>
      </w:r>
      <w:r>
        <w:rPr>
          <w:lang w:val="hu"/>
        </w:rPr>
        <w:tab/>
        <w:t>gyakori epegörcsrohamok,</w:t>
      </w:r>
    </w:p>
    <w:p w14:paraId="7F84525C" w14:textId="5EBF1B24" w:rsidR="00337D7F" w:rsidRPr="00AD6836" w:rsidRDefault="00087EE4">
      <w:pPr>
        <w:ind w:left="567" w:hanging="567"/>
        <w:rPr>
          <w:lang w:val="de-DE"/>
        </w:rPr>
      </w:pPr>
      <w:r>
        <w:rPr>
          <w:lang w:val="hu"/>
        </w:rPr>
        <w:t>-</w:t>
      </w:r>
      <w:r>
        <w:rPr>
          <w:lang w:val="hu"/>
        </w:rPr>
        <w:tab/>
      </w:r>
      <w:r w:rsidR="008C1477">
        <w:rPr>
          <w:lang w:val="hu"/>
        </w:rPr>
        <w:t xml:space="preserve">röntgen árnyékot adó elmeszesedett </w:t>
      </w:r>
      <w:r>
        <w:rPr>
          <w:lang w:val="hu"/>
        </w:rPr>
        <w:t>epekövek,</w:t>
      </w:r>
    </w:p>
    <w:p w14:paraId="125880AC" w14:textId="77777777" w:rsidR="00337D7F" w:rsidRPr="00AD6836" w:rsidRDefault="00087EE4">
      <w:pPr>
        <w:ind w:left="567" w:hanging="567"/>
        <w:rPr>
          <w:lang w:val="de-DE"/>
        </w:rPr>
      </w:pPr>
      <w:r>
        <w:rPr>
          <w:lang w:val="hu"/>
        </w:rPr>
        <w:t>-</w:t>
      </w:r>
      <w:r>
        <w:rPr>
          <w:lang w:val="hu"/>
        </w:rPr>
        <w:tab/>
        <w:t>az epehólyag csökkent kontraktilitása.</w:t>
      </w:r>
    </w:p>
    <w:p w14:paraId="684CF3AA" w14:textId="77777777" w:rsidR="00337D7F" w:rsidRPr="00AD6836" w:rsidRDefault="00337D7F">
      <w:pPr>
        <w:rPr>
          <w:lang w:val="de-DE"/>
        </w:rPr>
      </w:pPr>
    </w:p>
    <w:p w14:paraId="6B2CAEE6" w14:textId="77777777" w:rsidR="00337D7F" w:rsidRPr="00AD6836" w:rsidRDefault="00087EE4">
      <w:pPr>
        <w:keepNext/>
        <w:rPr>
          <w:rFonts w:eastAsia="Calibri"/>
          <w:szCs w:val="22"/>
          <w:u w:val="single"/>
          <w:lang w:val="de-DE"/>
        </w:rPr>
      </w:pPr>
      <w:r>
        <w:rPr>
          <w:rFonts w:eastAsia="Calibri"/>
          <w:szCs w:val="22"/>
          <w:u w:val="single"/>
          <w:lang w:val="hu"/>
        </w:rPr>
        <w:t>Gyermekek és serdülők</w:t>
      </w:r>
    </w:p>
    <w:p w14:paraId="2C3EAE35" w14:textId="77777777" w:rsidR="00337D7F" w:rsidRPr="00AD6836" w:rsidRDefault="00087EE4">
      <w:pPr>
        <w:ind w:left="567" w:hanging="567"/>
        <w:rPr>
          <w:lang w:val="de-DE"/>
        </w:rPr>
      </w:pPr>
      <w:r>
        <w:rPr>
          <w:lang w:val="hu"/>
        </w:rPr>
        <w:t>-</w:t>
      </w:r>
      <w:r>
        <w:rPr>
          <w:lang w:val="hu"/>
        </w:rPr>
        <w:tab/>
        <w:t>sikertelen portoenterosztómia vagy a jó epeáramlás visszaállításának hiánya biliaris atresiában szenvedő gyerekeknél.</w:t>
      </w:r>
    </w:p>
    <w:p w14:paraId="7BADFC72" w14:textId="77777777" w:rsidR="00337D7F" w:rsidRPr="00AD6836" w:rsidRDefault="00337D7F">
      <w:pPr>
        <w:rPr>
          <w:lang w:val="de-DE"/>
        </w:rPr>
      </w:pPr>
    </w:p>
    <w:p w14:paraId="5CBA8F68" w14:textId="77777777" w:rsidR="00337D7F" w:rsidRDefault="00087EE4">
      <w:pPr>
        <w:keepNext/>
        <w:ind w:left="567" w:hanging="567"/>
        <w:rPr>
          <w:b/>
          <w:bCs/>
          <w:szCs w:val="22"/>
          <w:lang w:val="hu"/>
        </w:rPr>
      </w:pPr>
      <w:r>
        <w:rPr>
          <w:b/>
          <w:bCs/>
          <w:szCs w:val="22"/>
          <w:lang w:val="hu"/>
        </w:rPr>
        <w:t>4.4</w:t>
      </w:r>
      <w:r>
        <w:rPr>
          <w:b/>
          <w:bCs/>
          <w:szCs w:val="22"/>
          <w:lang w:val="hu"/>
        </w:rPr>
        <w:tab/>
        <w:t>Különleges figyelmeztetések és az alkalmazással kapcsolatos óvintézkedések</w:t>
      </w:r>
    </w:p>
    <w:p w14:paraId="7C1C7B7E" w14:textId="77777777" w:rsidR="00337D7F" w:rsidRPr="00AD6836" w:rsidRDefault="00337D7F">
      <w:pPr>
        <w:keepNext/>
        <w:rPr>
          <w:szCs w:val="22"/>
          <w:lang w:val="de-DE"/>
        </w:rPr>
      </w:pPr>
    </w:p>
    <w:p w14:paraId="6BBA947F" w14:textId="64811F73" w:rsidR="00337D7F" w:rsidRPr="00AD6836" w:rsidRDefault="00087EE4">
      <w:pPr>
        <w:autoSpaceDE w:val="0"/>
        <w:autoSpaceDN w:val="0"/>
        <w:adjustRightInd w:val="0"/>
        <w:rPr>
          <w:color w:val="000000"/>
          <w:szCs w:val="22"/>
          <w:lang w:val="de-DE"/>
        </w:rPr>
      </w:pPr>
      <w:r>
        <w:rPr>
          <w:color w:val="000000"/>
          <w:szCs w:val="22"/>
          <w:lang w:val="hu"/>
        </w:rPr>
        <w:t xml:space="preserve">A Proursan </w:t>
      </w:r>
      <w:r w:rsidR="008C1477">
        <w:rPr>
          <w:color w:val="000000"/>
          <w:szCs w:val="22"/>
          <w:lang w:val="hu"/>
        </w:rPr>
        <w:t xml:space="preserve">kemény kapszulát </w:t>
      </w:r>
      <w:r>
        <w:rPr>
          <w:color w:val="000000"/>
          <w:szCs w:val="22"/>
          <w:lang w:val="hu"/>
        </w:rPr>
        <w:t>orvosi felügyelet mellett kell szedni.</w:t>
      </w:r>
    </w:p>
    <w:p w14:paraId="6FDFB290" w14:textId="77777777" w:rsidR="00337D7F" w:rsidRPr="00AD6836" w:rsidRDefault="00337D7F">
      <w:pPr>
        <w:autoSpaceDE w:val="0"/>
        <w:autoSpaceDN w:val="0"/>
        <w:adjustRightInd w:val="0"/>
        <w:rPr>
          <w:color w:val="000000"/>
          <w:szCs w:val="22"/>
          <w:lang w:val="de-DE"/>
        </w:rPr>
      </w:pPr>
    </w:p>
    <w:p w14:paraId="73D223D6" w14:textId="642F14E5" w:rsidR="00337D7F" w:rsidRPr="00087EE4" w:rsidRDefault="00087EE4">
      <w:pPr>
        <w:autoSpaceDE w:val="0"/>
        <w:autoSpaceDN w:val="0"/>
        <w:adjustRightInd w:val="0"/>
        <w:rPr>
          <w:color w:val="000000"/>
          <w:szCs w:val="22"/>
          <w:lang w:val="hu"/>
        </w:rPr>
      </w:pPr>
      <w:r>
        <w:rPr>
          <w:color w:val="000000"/>
          <w:szCs w:val="22"/>
          <w:lang w:val="hu"/>
        </w:rPr>
        <w:t xml:space="preserve">A kezelés első három hónapjában a májfunkciós paramétereket: </w:t>
      </w:r>
      <w:r w:rsidR="005A0479">
        <w:rPr>
          <w:color w:val="000000"/>
          <w:szCs w:val="22"/>
          <w:lang w:val="hu"/>
        </w:rPr>
        <w:t xml:space="preserve">SGOT </w:t>
      </w:r>
      <w:r>
        <w:rPr>
          <w:color w:val="000000"/>
          <w:szCs w:val="22"/>
          <w:lang w:val="hu"/>
        </w:rPr>
        <w:t>(</w:t>
      </w:r>
      <w:r w:rsidR="005A0479">
        <w:rPr>
          <w:color w:val="000000"/>
          <w:szCs w:val="22"/>
          <w:lang w:val="hu"/>
        </w:rPr>
        <w:t>ASAT</w:t>
      </w:r>
      <w:r>
        <w:rPr>
          <w:color w:val="000000"/>
          <w:szCs w:val="22"/>
          <w:lang w:val="hu"/>
        </w:rPr>
        <w:t xml:space="preserve">), </w:t>
      </w:r>
      <w:r w:rsidR="005A0479">
        <w:rPr>
          <w:color w:val="000000"/>
          <w:szCs w:val="22"/>
          <w:lang w:val="hu"/>
        </w:rPr>
        <w:t xml:space="preserve">SGPT </w:t>
      </w:r>
      <w:r>
        <w:rPr>
          <w:color w:val="000000"/>
          <w:szCs w:val="22"/>
          <w:lang w:val="hu"/>
        </w:rPr>
        <w:t>(</w:t>
      </w:r>
      <w:r w:rsidR="005A0479">
        <w:rPr>
          <w:color w:val="000000"/>
          <w:szCs w:val="22"/>
          <w:lang w:val="hu"/>
        </w:rPr>
        <w:t>ALAT</w:t>
      </w:r>
      <w:r>
        <w:rPr>
          <w:color w:val="000000"/>
          <w:szCs w:val="22"/>
          <w:lang w:val="hu"/>
        </w:rPr>
        <w:t>) és γ-GT a kezelőorvosnak 4 hetenként monitoroznia kell, azután pedig 3 havonta. Amellett, hogy lehetővé teszi primer biliaris cholangitisben szenvedők között a reagálók és nem reagálók azonosításását, ez a monitorozás szintén lehetővé teszi a potenciális májkárosodás korai felismerését, különösen előrehaladott primer biliaris cholangitisben szenvedő betegeknél.</w:t>
      </w:r>
    </w:p>
    <w:p w14:paraId="5FB5CDBD" w14:textId="77777777" w:rsidR="00337D7F" w:rsidRPr="00087EE4" w:rsidRDefault="00337D7F">
      <w:pPr>
        <w:rPr>
          <w:color w:val="000000"/>
          <w:szCs w:val="22"/>
          <w:lang w:val="hu"/>
        </w:rPr>
      </w:pPr>
    </w:p>
    <w:p w14:paraId="5CA2B562" w14:textId="57CAF856" w:rsidR="00337D7F" w:rsidRPr="00087EE4" w:rsidRDefault="005A0479">
      <w:pPr>
        <w:keepNext/>
        <w:rPr>
          <w:szCs w:val="22"/>
          <w:u w:val="single"/>
          <w:lang w:val="hu"/>
        </w:rPr>
      </w:pPr>
      <w:r>
        <w:rPr>
          <w:szCs w:val="22"/>
          <w:u w:val="single"/>
          <w:lang w:val="hu"/>
        </w:rPr>
        <w:t>A</w:t>
      </w:r>
      <w:r w:rsidR="00087EE4">
        <w:rPr>
          <w:szCs w:val="22"/>
          <w:u w:val="single"/>
          <w:lang w:val="hu"/>
        </w:rPr>
        <w:t>z epehólyagban található koleszterin epekövek feloldására</w:t>
      </w:r>
    </w:p>
    <w:p w14:paraId="691555C1" w14:textId="20A5E6C4" w:rsidR="00337D7F" w:rsidRPr="00087EE4" w:rsidRDefault="00087EE4">
      <w:pPr>
        <w:rPr>
          <w:szCs w:val="22"/>
          <w:lang w:val="hu"/>
        </w:rPr>
      </w:pPr>
      <w:r>
        <w:rPr>
          <w:szCs w:val="22"/>
          <w:lang w:val="hu"/>
        </w:rPr>
        <w:t xml:space="preserve">A terápiás előrehaladás értékelése és az epekövek esetleges </w:t>
      </w:r>
      <w:r w:rsidR="00BA3967">
        <w:rPr>
          <w:szCs w:val="22"/>
          <w:lang w:val="hu"/>
        </w:rPr>
        <w:t xml:space="preserve">elmeszesedésének </w:t>
      </w:r>
      <w:r>
        <w:rPr>
          <w:szCs w:val="22"/>
          <w:lang w:val="hu"/>
        </w:rPr>
        <w:t>időben történő felismerése érdekében az epehólyagot vizualizálni kell (oralis cholecystographia) áttekintő nézetben és elzáródás nézetben álló és hanyatt fekvő helyzetben (ultrahangos kontroll) 6-10 hónappal a kezelés megkezdése után.</w:t>
      </w:r>
    </w:p>
    <w:p w14:paraId="7287AF31" w14:textId="77777777" w:rsidR="00337D7F" w:rsidRPr="00087EE4" w:rsidRDefault="00337D7F">
      <w:pPr>
        <w:rPr>
          <w:szCs w:val="22"/>
          <w:lang w:val="hu"/>
        </w:rPr>
      </w:pPr>
    </w:p>
    <w:p w14:paraId="5A58E216" w14:textId="2E8BBCDD" w:rsidR="00337D7F" w:rsidRPr="00087EE4" w:rsidRDefault="00087EE4">
      <w:pPr>
        <w:rPr>
          <w:szCs w:val="22"/>
          <w:lang w:val="hu"/>
        </w:rPr>
      </w:pPr>
      <w:r>
        <w:rPr>
          <w:szCs w:val="22"/>
          <w:lang w:val="hu"/>
        </w:rPr>
        <w:t xml:space="preserve">Ha az epehólyag nem </w:t>
      </w:r>
      <w:r w:rsidR="00B16DD8">
        <w:rPr>
          <w:szCs w:val="22"/>
          <w:lang w:val="hu"/>
        </w:rPr>
        <w:t xml:space="preserve">látható </w:t>
      </w:r>
      <w:r>
        <w:rPr>
          <w:szCs w:val="22"/>
          <w:lang w:val="hu"/>
        </w:rPr>
        <w:t xml:space="preserve">röntgenfelvételen vagy ha a kövek </w:t>
      </w:r>
      <w:r w:rsidR="00BA3967">
        <w:rPr>
          <w:szCs w:val="22"/>
          <w:lang w:val="hu"/>
        </w:rPr>
        <w:t>elmeszesedtek</w:t>
      </w:r>
      <w:r>
        <w:rPr>
          <w:szCs w:val="22"/>
          <w:lang w:val="hu"/>
        </w:rPr>
        <w:t xml:space="preserve">, csökkent az epehólyag kontraktilitása vagy gyakori epegörcs rohamok jelentkeznek, a Proursan </w:t>
      </w:r>
      <w:r w:rsidR="008C1477">
        <w:rPr>
          <w:szCs w:val="22"/>
          <w:lang w:val="hu"/>
        </w:rPr>
        <w:t xml:space="preserve">kemény kapszulát </w:t>
      </w:r>
      <w:r>
        <w:rPr>
          <w:szCs w:val="22"/>
          <w:lang w:val="hu"/>
        </w:rPr>
        <w:t>nem szabad alkalmazni.</w:t>
      </w:r>
    </w:p>
    <w:p w14:paraId="1EE6466D" w14:textId="77777777" w:rsidR="00337D7F" w:rsidRPr="00087EE4" w:rsidRDefault="00337D7F">
      <w:pPr>
        <w:rPr>
          <w:szCs w:val="22"/>
          <w:lang w:val="hu"/>
        </w:rPr>
      </w:pPr>
    </w:p>
    <w:p w14:paraId="032894AD" w14:textId="41D942ED" w:rsidR="00337D7F" w:rsidRPr="00087EE4" w:rsidRDefault="00087EE4">
      <w:pPr>
        <w:rPr>
          <w:szCs w:val="22"/>
          <w:lang w:val="hu"/>
        </w:rPr>
      </w:pPr>
      <w:r>
        <w:rPr>
          <w:szCs w:val="22"/>
          <w:lang w:val="hu"/>
        </w:rPr>
        <w:t xml:space="preserve">A Proursan </w:t>
      </w:r>
      <w:r w:rsidR="008C1477">
        <w:rPr>
          <w:szCs w:val="22"/>
          <w:lang w:val="hu"/>
        </w:rPr>
        <w:t xml:space="preserve">kemény kapszulát </w:t>
      </w:r>
      <w:r>
        <w:rPr>
          <w:szCs w:val="22"/>
          <w:lang w:val="hu"/>
        </w:rPr>
        <w:t>epekő feloldásra szedő nőbetegeknek hatékony</w:t>
      </w:r>
      <w:r w:rsidR="00B16DD8">
        <w:rPr>
          <w:szCs w:val="22"/>
          <w:lang w:val="hu"/>
        </w:rPr>
        <w:t>,</w:t>
      </w:r>
      <w:r>
        <w:rPr>
          <w:szCs w:val="22"/>
          <w:lang w:val="hu"/>
        </w:rPr>
        <w:t xml:space="preserve"> nem hormonális fogamzásgátlást kell alkalmazniuk, mivel a hormonális fogamzásgátlók fokozhatják a biliaris lithiasist (lásd 4.5 és 4.6 pont).</w:t>
      </w:r>
    </w:p>
    <w:p w14:paraId="46DC527E" w14:textId="77777777" w:rsidR="00337D7F" w:rsidRPr="00087EE4" w:rsidRDefault="00337D7F">
      <w:pPr>
        <w:autoSpaceDE w:val="0"/>
        <w:autoSpaceDN w:val="0"/>
        <w:adjustRightInd w:val="0"/>
        <w:rPr>
          <w:color w:val="000000"/>
          <w:szCs w:val="22"/>
          <w:lang w:val="hu"/>
        </w:rPr>
      </w:pPr>
    </w:p>
    <w:p w14:paraId="0D55749C" w14:textId="00300BC1" w:rsidR="00337D7F" w:rsidRPr="00087EE4" w:rsidRDefault="00B16DD8">
      <w:pPr>
        <w:keepNext/>
        <w:rPr>
          <w:szCs w:val="22"/>
          <w:u w:val="single"/>
          <w:lang w:val="hu"/>
        </w:rPr>
      </w:pPr>
      <w:r>
        <w:rPr>
          <w:szCs w:val="22"/>
          <w:u w:val="single"/>
          <w:lang w:val="hu"/>
        </w:rPr>
        <w:t>P</w:t>
      </w:r>
      <w:r w:rsidR="00087EE4">
        <w:rPr>
          <w:szCs w:val="22"/>
          <w:u w:val="single"/>
          <w:lang w:val="hu"/>
        </w:rPr>
        <w:t>rimer biliaris cholangitis (PBC) előrehaladott állapotának kezelésére</w:t>
      </w:r>
    </w:p>
    <w:p w14:paraId="22673E12" w14:textId="4E3F8CFB" w:rsidR="00337D7F" w:rsidRPr="00087EE4" w:rsidRDefault="00087EE4">
      <w:pPr>
        <w:rPr>
          <w:szCs w:val="22"/>
          <w:lang w:val="hu"/>
        </w:rPr>
      </w:pPr>
      <w:r>
        <w:rPr>
          <w:szCs w:val="22"/>
          <w:lang w:val="hu"/>
        </w:rPr>
        <w:t xml:space="preserve">Nagyon ritka esetekben a májcirrózis dekompenzációját figyelték meg, amely részben </w:t>
      </w:r>
      <w:r w:rsidR="00B16DD8">
        <w:rPr>
          <w:szCs w:val="22"/>
          <w:lang w:val="hu"/>
        </w:rPr>
        <w:t xml:space="preserve">visszafejlődött </w:t>
      </w:r>
      <w:r>
        <w:rPr>
          <w:szCs w:val="22"/>
          <w:lang w:val="hu"/>
        </w:rPr>
        <w:t>a kezelés abbahagyását követően.</w:t>
      </w:r>
    </w:p>
    <w:p w14:paraId="6DC4F142" w14:textId="77777777" w:rsidR="00337D7F" w:rsidRPr="00087EE4" w:rsidRDefault="00337D7F">
      <w:pPr>
        <w:rPr>
          <w:szCs w:val="22"/>
          <w:lang w:val="hu"/>
        </w:rPr>
      </w:pPr>
    </w:p>
    <w:p w14:paraId="37685E13" w14:textId="4258A8CC" w:rsidR="00337D7F" w:rsidRPr="00087EE4" w:rsidRDefault="00087EE4">
      <w:pPr>
        <w:rPr>
          <w:szCs w:val="22"/>
          <w:lang w:val="hu"/>
        </w:rPr>
      </w:pPr>
      <w:r>
        <w:rPr>
          <w:szCs w:val="22"/>
          <w:lang w:val="hu"/>
        </w:rPr>
        <w:t xml:space="preserve">A PBC-ben szenvedő betegeknél, ritka esetben a klinikai tünetek rosszabbodhatnak a kezelés kezdetén, például a viszketés fokozódhat. Ebben az esetben a Proursan adagját napi egy Proursan </w:t>
      </w:r>
      <w:r>
        <w:rPr>
          <w:szCs w:val="22"/>
          <w:lang w:val="hu"/>
        </w:rPr>
        <w:lastRenderedPageBreak/>
        <w:t>250</w:t>
      </w:r>
      <w:r w:rsidR="008656BE">
        <w:rPr>
          <w:szCs w:val="22"/>
          <w:lang w:val="hu"/>
        </w:rPr>
        <w:t> mg</w:t>
      </w:r>
      <w:r>
        <w:rPr>
          <w:szCs w:val="22"/>
          <w:lang w:val="hu"/>
        </w:rPr>
        <w:t xml:space="preserve"> kapszulára kell csökkenteni, majd fokozatosan kell újra növelni a 4.2 pontban ismertetett módon.</w:t>
      </w:r>
    </w:p>
    <w:p w14:paraId="39EDC45D" w14:textId="77777777" w:rsidR="00337D7F" w:rsidRPr="00087EE4" w:rsidRDefault="00337D7F">
      <w:pPr>
        <w:rPr>
          <w:szCs w:val="22"/>
          <w:lang w:val="hu"/>
        </w:rPr>
      </w:pPr>
    </w:p>
    <w:p w14:paraId="7192E5DF" w14:textId="77777777" w:rsidR="00337D7F" w:rsidRPr="00087EE4" w:rsidRDefault="00087EE4">
      <w:pPr>
        <w:autoSpaceDE w:val="0"/>
        <w:autoSpaceDN w:val="0"/>
        <w:adjustRightInd w:val="0"/>
        <w:rPr>
          <w:szCs w:val="22"/>
          <w:lang w:val="hu"/>
        </w:rPr>
      </w:pPr>
      <w:r>
        <w:rPr>
          <w:szCs w:val="22"/>
          <w:lang w:val="hu"/>
        </w:rPr>
        <w:t>Ha hasmenés lép fel, az adagot csökkenteni kell, tartós hasmenés esetén pedig a terápiát abba kell hagyni.</w:t>
      </w:r>
    </w:p>
    <w:p w14:paraId="2B897DCB" w14:textId="77777777" w:rsidR="00337D7F" w:rsidRPr="00087EE4" w:rsidRDefault="00337D7F">
      <w:pPr>
        <w:rPr>
          <w:lang w:val="hu"/>
        </w:rPr>
      </w:pPr>
    </w:p>
    <w:p w14:paraId="54ABB03C" w14:textId="77777777" w:rsidR="00337D7F" w:rsidRPr="00087EE4" w:rsidRDefault="00087EE4">
      <w:pPr>
        <w:keepNext/>
        <w:ind w:left="567" w:hanging="567"/>
        <w:rPr>
          <w:szCs w:val="22"/>
          <w:lang w:val="hu"/>
        </w:rPr>
      </w:pPr>
      <w:r>
        <w:rPr>
          <w:b/>
          <w:bCs/>
          <w:szCs w:val="22"/>
          <w:lang w:val="hu"/>
        </w:rPr>
        <w:t>4.5</w:t>
      </w:r>
      <w:r>
        <w:rPr>
          <w:b/>
          <w:bCs/>
          <w:szCs w:val="22"/>
          <w:lang w:val="hu"/>
        </w:rPr>
        <w:tab/>
        <w:t>Gyógyszerkölcsönhatások és egyéb interakciók</w:t>
      </w:r>
    </w:p>
    <w:p w14:paraId="5994BF51" w14:textId="77777777" w:rsidR="00337D7F" w:rsidRPr="00087EE4" w:rsidRDefault="00337D7F">
      <w:pPr>
        <w:keepNext/>
        <w:rPr>
          <w:szCs w:val="22"/>
          <w:lang w:val="hu"/>
        </w:rPr>
      </w:pPr>
    </w:p>
    <w:p w14:paraId="3A7C783E" w14:textId="56E09438" w:rsidR="00337D7F" w:rsidRPr="00087EE4" w:rsidRDefault="00087EE4">
      <w:pPr>
        <w:rPr>
          <w:lang w:val="hu"/>
        </w:rPr>
      </w:pPr>
      <w:r>
        <w:rPr>
          <w:lang w:val="hu"/>
        </w:rPr>
        <w:t xml:space="preserve">A Proursan nem adható egyidejűleg kolesztiraminnal, kolesztipollal vagy alumínium-hidroxidot és/vagy szmektitet (alumínium-oxidot) tartalmazó </w:t>
      </w:r>
      <w:r w:rsidR="00ED306A">
        <w:rPr>
          <w:lang w:val="hu"/>
        </w:rPr>
        <w:t>antacidumokkal</w:t>
      </w:r>
      <w:r>
        <w:rPr>
          <w:lang w:val="hu"/>
        </w:rPr>
        <w:t>, mert ezek a készítmények megkötik az urzodezoxikólsavat a bélben, és ezáltal gátolják felszívódását és hatékonyságát. Ha ezen hatóanyagok valamelyikét tartalmazó készítmény alkalmazása mégis szükséges lenne, azt legalább 2</w:t>
      </w:r>
      <w:r w:rsidR="00ED306A">
        <w:rPr>
          <w:lang w:val="hu"/>
        </w:rPr>
        <w:t> </w:t>
      </w:r>
      <w:r>
        <w:rPr>
          <w:lang w:val="hu"/>
        </w:rPr>
        <w:t>órával a Proursan bevétele előtt vagy után kell bevenni.</w:t>
      </w:r>
    </w:p>
    <w:p w14:paraId="541DB8FD" w14:textId="08443A80" w:rsidR="00337D7F" w:rsidRPr="00087EE4" w:rsidRDefault="00087EE4">
      <w:pPr>
        <w:rPr>
          <w:lang w:val="hu"/>
        </w:rPr>
      </w:pPr>
      <w:r>
        <w:rPr>
          <w:lang w:val="hu"/>
        </w:rPr>
        <w:t xml:space="preserve">Az urzodezoxikólsav befolyásolhatja a ciklosporin felszívódását a bélből. A ciklosporinkezelést kapó betegek </w:t>
      </w:r>
      <w:r w:rsidR="00660142">
        <w:rPr>
          <w:lang w:val="hu"/>
        </w:rPr>
        <w:t>vér</w:t>
      </w:r>
      <w:r w:rsidR="00ED306A">
        <w:rPr>
          <w:lang w:val="hu"/>
        </w:rPr>
        <w:t xml:space="preserve">szintjét </w:t>
      </w:r>
      <w:r>
        <w:rPr>
          <w:lang w:val="hu"/>
        </w:rPr>
        <w:t>ezért ellenőriznie kell az orvosnak, és a ciklosporin adagját szükség szerint módosítani kell.</w:t>
      </w:r>
    </w:p>
    <w:p w14:paraId="134EB348" w14:textId="77777777" w:rsidR="00337D7F" w:rsidRPr="00087EE4" w:rsidRDefault="00337D7F">
      <w:pPr>
        <w:rPr>
          <w:lang w:val="hu"/>
        </w:rPr>
      </w:pPr>
    </w:p>
    <w:p w14:paraId="4D407DD0" w14:textId="77777777" w:rsidR="00337D7F" w:rsidRPr="00087EE4" w:rsidRDefault="00087EE4">
      <w:pPr>
        <w:rPr>
          <w:lang w:val="hu"/>
        </w:rPr>
      </w:pPr>
      <w:r>
        <w:rPr>
          <w:lang w:val="hu"/>
        </w:rPr>
        <w:t>Izolált esetekben az urzodezoxikólsav csökkentheti a ciproflaxacin felszívódását.</w:t>
      </w:r>
    </w:p>
    <w:p w14:paraId="3E27784B" w14:textId="77777777" w:rsidR="00337D7F" w:rsidRPr="00087EE4" w:rsidRDefault="00337D7F">
      <w:pPr>
        <w:rPr>
          <w:lang w:val="hu"/>
        </w:rPr>
      </w:pPr>
    </w:p>
    <w:p w14:paraId="0B3EA606" w14:textId="50BEF477" w:rsidR="00337D7F" w:rsidRPr="00087EE4" w:rsidRDefault="00087EE4">
      <w:pPr>
        <w:rPr>
          <w:lang w:val="hu"/>
        </w:rPr>
      </w:pPr>
      <w:r>
        <w:rPr>
          <w:lang w:val="hu"/>
        </w:rPr>
        <w:t>Egy egészséges önkéntesen végzett klinikai vizsgálatban az UDCA (500</w:t>
      </w:r>
      <w:r w:rsidR="008656BE">
        <w:rPr>
          <w:lang w:val="hu"/>
        </w:rPr>
        <w:t> mg</w:t>
      </w:r>
      <w:r>
        <w:rPr>
          <w:lang w:val="hu"/>
        </w:rPr>
        <w:t>/nap) és a rozuvasztatin (20</w:t>
      </w:r>
      <w:r w:rsidR="008656BE">
        <w:rPr>
          <w:lang w:val="hu"/>
        </w:rPr>
        <w:t> mg</w:t>
      </w:r>
      <w:r>
        <w:rPr>
          <w:lang w:val="hu"/>
        </w:rPr>
        <w:t>/nap) együttes alkalmazása a rozuvasztatin kissé emelkedett plazmaszintjét eredményezte. Ennek a kölcsönhatásnak a klinikai relevanciája nem ismert más sztatinok vonatkozásában.</w:t>
      </w:r>
    </w:p>
    <w:p w14:paraId="7D73E04F" w14:textId="77777777" w:rsidR="00337D7F" w:rsidRPr="00087EE4" w:rsidRDefault="00337D7F">
      <w:pPr>
        <w:rPr>
          <w:lang w:val="hu"/>
        </w:rPr>
      </w:pPr>
    </w:p>
    <w:p w14:paraId="61713660" w14:textId="77777777" w:rsidR="00337D7F" w:rsidRPr="00087EE4" w:rsidRDefault="00087EE4">
      <w:pPr>
        <w:rPr>
          <w:lang w:val="hu"/>
        </w:rPr>
      </w:pPr>
      <w:r>
        <w:rPr>
          <w:lang w:val="hu"/>
        </w:rPr>
        <w:t>Az urzodezoxikólsavról kimutatták, hogy csökkenti a kalcium antagonista nitrendipin plazma csúcskoncentrációját (C</w:t>
      </w:r>
      <w:r>
        <w:rPr>
          <w:vertAlign w:val="subscript"/>
          <w:lang w:val="hu"/>
        </w:rPr>
        <w:t>max</w:t>
      </w:r>
      <w:r>
        <w:rPr>
          <w:lang w:val="hu"/>
        </w:rPr>
        <w:t>) és görbe alatti területét (AUC). A nitrendipin és urzodezoxikólsav együttes alkalmazásának következményeit ajánlatos szorosan monitorozni. Szükség lehet a nitrendipine adagjának emelésére. A dapszon terápiás hatását csökkentő interakcióról is beszámoltak.</w:t>
      </w:r>
    </w:p>
    <w:p w14:paraId="4F3FEE7F" w14:textId="3C84F7F3" w:rsidR="00337D7F" w:rsidRPr="00087EE4" w:rsidRDefault="00087EE4">
      <w:pPr>
        <w:rPr>
          <w:lang w:val="hu"/>
        </w:rPr>
      </w:pPr>
      <w:r>
        <w:rPr>
          <w:lang w:val="hu"/>
        </w:rPr>
        <w:t xml:space="preserve">Ezek a megfigyelések, az </w:t>
      </w:r>
      <w:r>
        <w:rPr>
          <w:i/>
          <w:iCs/>
          <w:lang w:val="hu"/>
        </w:rPr>
        <w:t>in vitro</w:t>
      </w:r>
      <w:r>
        <w:rPr>
          <w:lang w:val="hu"/>
        </w:rPr>
        <w:t xml:space="preserve"> eredményekkel együtt jelezhetik annak lehetőségét, hogy az urzodezoxikólsav indukálhatja a citokróm P450 3A enzimeket. Ugyanakkor ezt az indukciót nem figyelték meg a bude</w:t>
      </w:r>
      <w:r w:rsidR="00ED306A">
        <w:rPr>
          <w:lang w:val="hu"/>
        </w:rPr>
        <w:t>z</w:t>
      </w:r>
      <w:r>
        <w:rPr>
          <w:lang w:val="hu"/>
        </w:rPr>
        <w:t>oniddal, egy közismert citokróm P450 3A szubsztráttal végzett, jól megtervezett interakciós vizsgálatban.</w:t>
      </w:r>
    </w:p>
    <w:p w14:paraId="62AD4E02" w14:textId="77777777" w:rsidR="00337D7F" w:rsidRPr="00087EE4" w:rsidRDefault="00337D7F">
      <w:pPr>
        <w:rPr>
          <w:lang w:val="hu"/>
        </w:rPr>
      </w:pPr>
    </w:p>
    <w:p w14:paraId="2D9694B2" w14:textId="422AD68E" w:rsidR="00337D7F" w:rsidRPr="00087EE4" w:rsidRDefault="00087EE4">
      <w:pPr>
        <w:rPr>
          <w:lang w:val="hu"/>
        </w:rPr>
      </w:pPr>
      <w:r>
        <w:rPr>
          <w:lang w:val="hu"/>
        </w:rPr>
        <w:t>Az ösztrogénhormonok és vér</w:t>
      </w:r>
      <w:r w:rsidR="00FA228C">
        <w:rPr>
          <w:lang w:val="hu"/>
        </w:rPr>
        <w:t xml:space="preserve"> </w:t>
      </w:r>
      <w:r>
        <w:rPr>
          <w:lang w:val="hu"/>
        </w:rPr>
        <w:t>koleszterin</w:t>
      </w:r>
      <w:r w:rsidR="00960E36">
        <w:rPr>
          <w:lang w:val="hu"/>
        </w:rPr>
        <w:t>szin</w:t>
      </w:r>
      <w:r w:rsidR="00FA228C">
        <w:rPr>
          <w:lang w:val="hu"/>
        </w:rPr>
        <w:t xml:space="preserve">tjét </w:t>
      </w:r>
      <w:r>
        <w:rPr>
          <w:lang w:val="hu"/>
        </w:rPr>
        <w:t xml:space="preserve">csökkentő </w:t>
      </w:r>
      <w:r w:rsidR="00FA228C">
        <w:rPr>
          <w:lang w:val="hu"/>
        </w:rPr>
        <w:t>gyógy</w:t>
      </w:r>
      <w:r>
        <w:rPr>
          <w:lang w:val="hu"/>
        </w:rPr>
        <w:t>szerek, például a klofibrát, fokozzák a máj koleszterinkiválasztását, és ezáltal elősegíthetik az epekő képződését, ami az urzodezoxikólsav epekőfeloldó hatásá</w:t>
      </w:r>
      <w:r w:rsidR="00FA228C">
        <w:rPr>
          <w:lang w:val="hu"/>
        </w:rPr>
        <w:t>val ellentétes</w:t>
      </w:r>
      <w:r w:rsidR="00E743D4">
        <w:rPr>
          <w:lang w:val="hu"/>
        </w:rPr>
        <w:t>.</w:t>
      </w:r>
    </w:p>
    <w:p w14:paraId="04D32EB5" w14:textId="77777777" w:rsidR="00337D7F" w:rsidRPr="00087EE4" w:rsidRDefault="00337D7F">
      <w:pPr>
        <w:rPr>
          <w:b/>
          <w:szCs w:val="22"/>
          <w:lang w:val="hu"/>
        </w:rPr>
      </w:pPr>
    </w:p>
    <w:p w14:paraId="34B39884" w14:textId="77777777" w:rsidR="00337D7F" w:rsidRDefault="00087EE4">
      <w:pPr>
        <w:keepNext/>
        <w:ind w:left="567" w:hanging="567"/>
        <w:rPr>
          <w:b/>
          <w:bCs/>
          <w:szCs w:val="22"/>
          <w:lang w:val="hu"/>
        </w:rPr>
      </w:pPr>
      <w:r>
        <w:rPr>
          <w:b/>
          <w:bCs/>
          <w:szCs w:val="22"/>
          <w:lang w:val="hu"/>
        </w:rPr>
        <w:t>4.6</w:t>
      </w:r>
      <w:r>
        <w:rPr>
          <w:b/>
          <w:bCs/>
          <w:szCs w:val="22"/>
          <w:lang w:val="hu"/>
        </w:rPr>
        <w:tab/>
        <w:t>Termékenység, terhesség és szoptatás</w:t>
      </w:r>
    </w:p>
    <w:p w14:paraId="68EED3B9" w14:textId="77777777" w:rsidR="00337D7F" w:rsidRPr="00087EE4" w:rsidRDefault="00337D7F">
      <w:pPr>
        <w:keepNext/>
        <w:rPr>
          <w:szCs w:val="22"/>
          <w:lang w:val="hu"/>
        </w:rPr>
      </w:pPr>
    </w:p>
    <w:p w14:paraId="2D3D3CE5" w14:textId="77777777" w:rsidR="00337D7F" w:rsidRPr="00087EE4" w:rsidRDefault="00087EE4">
      <w:pPr>
        <w:keepNext/>
        <w:autoSpaceDE w:val="0"/>
        <w:autoSpaceDN w:val="0"/>
        <w:adjustRightInd w:val="0"/>
        <w:rPr>
          <w:color w:val="000000"/>
          <w:szCs w:val="22"/>
          <w:u w:val="single"/>
          <w:lang w:val="hu"/>
        </w:rPr>
      </w:pPr>
      <w:r>
        <w:rPr>
          <w:color w:val="000000"/>
          <w:szCs w:val="22"/>
          <w:u w:val="single"/>
          <w:lang w:val="hu"/>
        </w:rPr>
        <w:t>Terhesség</w:t>
      </w:r>
    </w:p>
    <w:p w14:paraId="2155EB1E" w14:textId="0075D863" w:rsidR="00337D7F" w:rsidRPr="00087EE4" w:rsidRDefault="00087EE4">
      <w:pPr>
        <w:rPr>
          <w:lang w:val="hu"/>
        </w:rPr>
      </w:pPr>
      <w:r>
        <w:rPr>
          <w:lang w:val="hu"/>
        </w:rPr>
        <w:t>Az urzodezoxikólsav terhes nőknél történő alkalmazása tekintetében nem áll rendelkezésre információ vagy korlátozott mennyiségű információ áll rendelkezésre. Az állatkísérletek reproduktív toxicitást mutattak ki a terhesség korai szakaszában (lásd 5.3 pont). A Proursan csak akkor alkalmazható terhesség alatt, ha feltétlenül szükséges.</w:t>
      </w:r>
    </w:p>
    <w:p w14:paraId="7829B423" w14:textId="77777777" w:rsidR="00337D7F" w:rsidRPr="00087EE4" w:rsidRDefault="00337D7F">
      <w:pPr>
        <w:rPr>
          <w:lang w:val="hu"/>
        </w:rPr>
      </w:pPr>
    </w:p>
    <w:p w14:paraId="72F0A589" w14:textId="0DCC90BD" w:rsidR="00337D7F" w:rsidRPr="00087EE4" w:rsidRDefault="00087EE4">
      <w:pPr>
        <w:rPr>
          <w:lang w:val="hu"/>
        </w:rPr>
      </w:pPr>
      <w:r>
        <w:rPr>
          <w:lang w:val="hu"/>
        </w:rPr>
        <w:t xml:space="preserve">A fogamzóképes nőket csak akkor szabad kezelni, ha megbízható fogamzásgátlást alkalmaznak; nem hormonális vagy alacsony ösztrogéntartalmú orális fogamzásgátló módszer javasolt. Ugyanakkor a Proursan </w:t>
      </w:r>
      <w:r w:rsidR="008C1477">
        <w:rPr>
          <w:lang w:val="hu"/>
        </w:rPr>
        <w:t xml:space="preserve">kemény kapszulát </w:t>
      </w:r>
      <w:r>
        <w:rPr>
          <w:lang w:val="hu"/>
        </w:rPr>
        <w:t>epekő feloldására szedő nőbetegeknek hatékony nem hormonális fogamzásgátlást kell alkalmazniuk, mivel a szájon át alkalmazott hormonális fogamzásgátlók fokozhatják a</w:t>
      </w:r>
      <w:r w:rsidR="00DC5168">
        <w:rPr>
          <w:lang w:val="hu"/>
        </w:rPr>
        <w:t>z</w:t>
      </w:r>
      <w:r>
        <w:rPr>
          <w:lang w:val="hu"/>
        </w:rPr>
        <w:t xml:space="preserve"> </w:t>
      </w:r>
      <w:r w:rsidR="00DC5168">
        <w:rPr>
          <w:lang w:val="hu"/>
        </w:rPr>
        <w:t>epekőképződést</w:t>
      </w:r>
      <w:r>
        <w:rPr>
          <w:lang w:val="hu"/>
        </w:rPr>
        <w:t>.</w:t>
      </w:r>
    </w:p>
    <w:p w14:paraId="150B7EAB" w14:textId="77777777" w:rsidR="00337D7F" w:rsidRPr="00087EE4" w:rsidRDefault="00087EE4">
      <w:pPr>
        <w:rPr>
          <w:lang w:val="hu"/>
        </w:rPr>
      </w:pPr>
      <w:r>
        <w:rPr>
          <w:lang w:val="hu"/>
        </w:rPr>
        <w:t>A terhesség lehetőségét a kezelés megkezdése előtt ki kell zárni.</w:t>
      </w:r>
    </w:p>
    <w:p w14:paraId="7507305F" w14:textId="77777777" w:rsidR="00337D7F" w:rsidRPr="00087EE4" w:rsidRDefault="00337D7F">
      <w:pPr>
        <w:rPr>
          <w:lang w:val="hu"/>
        </w:rPr>
      </w:pPr>
    </w:p>
    <w:p w14:paraId="2FD7ACF1" w14:textId="77777777" w:rsidR="00337D7F" w:rsidRPr="00087EE4" w:rsidRDefault="00087EE4">
      <w:pPr>
        <w:keepNext/>
        <w:autoSpaceDE w:val="0"/>
        <w:autoSpaceDN w:val="0"/>
        <w:adjustRightInd w:val="0"/>
        <w:rPr>
          <w:color w:val="000000"/>
          <w:szCs w:val="22"/>
          <w:u w:val="single"/>
          <w:lang w:val="hu"/>
        </w:rPr>
      </w:pPr>
      <w:r>
        <w:rPr>
          <w:color w:val="000000"/>
          <w:szCs w:val="22"/>
          <w:u w:val="single"/>
          <w:lang w:val="hu"/>
        </w:rPr>
        <w:t>Szoptatás</w:t>
      </w:r>
    </w:p>
    <w:p w14:paraId="001259EB" w14:textId="7BD95921" w:rsidR="00337D7F" w:rsidRPr="00087EE4" w:rsidRDefault="00087EE4">
      <w:pPr>
        <w:autoSpaceDE w:val="0"/>
        <w:autoSpaceDN w:val="0"/>
        <w:adjustRightInd w:val="0"/>
        <w:rPr>
          <w:szCs w:val="22"/>
          <w:lang w:val="hu"/>
        </w:rPr>
      </w:pPr>
      <w:r>
        <w:rPr>
          <w:color w:val="000000"/>
          <w:szCs w:val="22"/>
          <w:lang w:val="hu"/>
        </w:rPr>
        <w:t xml:space="preserve">Néhány szoptató </w:t>
      </w:r>
      <w:r w:rsidR="00895A03">
        <w:rPr>
          <w:color w:val="000000"/>
          <w:szCs w:val="22"/>
          <w:lang w:val="hu"/>
        </w:rPr>
        <w:t xml:space="preserve">nő </w:t>
      </w:r>
      <w:r>
        <w:rPr>
          <w:color w:val="000000"/>
          <w:szCs w:val="22"/>
          <w:lang w:val="hu"/>
        </w:rPr>
        <w:t>dokumentált esete szerint az urzodezoxikólsav szintje a tejben rendkívül alacsony, és valószínűleg nem várható annak mellékhatása az anyatejjel táplált csecsemőknél.</w:t>
      </w:r>
    </w:p>
    <w:p w14:paraId="5B1040F8" w14:textId="77777777" w:rsidR="00337D7F" w:rsidRPr="00087EE4" w:rsidRDefault="00337D7F">
      <w:pPr>
        <w:rPr>
          <w:b/>
          <w:szCs w:val="22"/>
          <w:lang w:val="hu"/>
        </w:rPr>
      </w:pPr>
    </w:p>
    <w:p w14:paraId="19995791" w14:textId="77777777" w:rsidR="00337D7F" w:rsidRPr="00087EE4" w:rsidRDefault="00087EE4">
      <w:pPr>
        <w:keepNext/>
        <w:autoSpaceDE w:val="0"/>
        <w:autoSpaceDN w:val="0"/>
        <w:adjustRightInd w:val="0"/>
        <w:rPr>
          <w:color w:val="000000"/>
          <w:szCs w:val="22"/>
          <w:u w:val="single"/>
          <w:lang w:val="hu"/>
        </w:rPr>
      </w:pPr>
      <w:r>
        <w:rPr>
          <w:color w:val="000000"/>
          <w:szCs w:val="22"/>
          <w:u w:val="single"/>
          <w:lang w:val="hu"/>
        </w:rPr>
        <w:lastRenderedPageBreak/>
        <w:t>Termékenység</w:t>
      </w:r>
    </w:p>
    <w:p w14:paraId="2AC12540" w14:textId="5C3D4936" w:rsidR="00337D7F" w:rsidRPr="00087EE4" w:rsidRDefault="00087EE4">
      <w:pPr>
        <w:rPr>
          <w:lang w:val="hu"/>
        </w:rPr>
      </w:pPr>
      <w:r>
        <w:rPr>
          <w:lang w:val="hu"/>
        </w:rPr>
        <w:t>Az állatkísérletekben nem mutatták ki az urzodezoxikólsav semmilyen hatását a termékenységre (lásd 5.3</w:t>
      </w:r>
      <w:r w:rsidR="00895A03">
        <w:rPr>
          <w:lang w:val="hu"/>
        </w:rPr>
        <w:t> </w:t>
      </w:r>
      <w:r>
        <w:rPr>
          <w:lang w:val="hu"/>
        </w:rPr>
        <w:t>pont). Az urzodezoxikólsav-kezelés termékenységre kifejtett hatásával kapcsolatban humán adatok nem állnak rendelkezésre.</w:t>
      </w:r>
    </w:p>
    <w:p w14:paraId="4EBEDE58" w14:textId="77777777" w:rsidR="00337D7F" w:rsidRPr="00087EE4" w:rsidRDefault="00337D7F">
      <w:pPr>
        <w:rPr>
          <w:b/>
          <w:szCs w:val="22"/>
          <w:lang w:val="hu"/>
        </w:rPr>
      </w:pPr>
    </w:p>
    <w:p w14:paraId="0B64A47F" w14:textId="77777777" w:rsidR="00337D7F" w:rsidRDefault="00087EE4">
      <w:pPr>
        <w:keepNext/>
        <w:ind w:left="567" w:hanging="567"/>
        <w:rPr>
          <w:b/>
          <w:bCs/>
          <w:szCs w:val="22"/>
          <w:lang w:val="hu"/>
        </w:rPr>
      </w:pPr>
      <w:r>
        <w:rPr>
          <w:b/>
          <w:bCs/>
          <w:szCs w:val="22"/>
          <w:lang w:val="hu"/>
        </w:rPr>
        <w:t>4.7</w:t>
      </w:r>
      <w:r>
        <w:rPr>
          <w:b/>
          <w:bCs/>
          <w:szCs w:val="22"/>
          <w:lang w:val="hu"/>
        </w:rPr>
        <w:tab/>
        <w:t>A készítmény hatásai a gépjárművezetéshez és a gépek kezeléséhez szükséges képességekre</w:t>
      </w:r>
    </w:p>
    <w:p w14:paraId="2F075D67" w14:textId="77777777" w:rsidR="00337D7F" w:rsidRPr="00087EE4" w:rsidRDefault="00337D7F">
      <w:pPr>
        <w:keepNext/>
        <w:rPr>
          <w:szCs w:val="22"/>
          <w:lang w:val="hu"/>
        </w:rPr>
      </w:pPr>
    </w:p>
    <w:p w14:paraId="4896F3E9" w14:textId="77777777" w:rsidR="00337D7F" w:rsidRPr="00087EE4" w:rsidRDefault="00087EE4">
      <w:pPr>
        <w:rPr>
          <w:szCs w:val="22"/>
          <w:lang w:val="hu"/>
        </w:rPr>
      </w:pPr>
      <w:r>
        <w:rPr>
          <w:szCs w:val="22"/>
          <w:lang w:val="hu"/>
        </w:rPr>
        <w:t>Az urzodezoxikólsav nincs hatással vagy elhanyagolható hatással van a gépjárművezetéshez és a gépek kezeléséhez szükséges képességekre.</w:t>
      </w:r>
    </w:p>
    <w:p w14:paraId="62181406" w14:textId="77777777" w:rsidR="00337D7F" w:rsidRPr="00087EE4" w:rsidRDefault="00337D7F">
      <w:pPr>
        <w:rPr>
          <w:b/>
          <w:szCs w:val="22"/>
          <w:lang w:val="hu"/>
        </w:rPr>
      </w:pPr>
    </w:p>
    <w:p w14:paraId="50C516FA" w14:textId="77777777" w:rsidR="00337D7F" w:rsidRPr="00087EE4" w:rsidRDefault="00087EE4">
      <w:pPr>
        <w:keepNext/>
        <w:ind w:left="567" w:hanging="567"/>
        <w:rPr>
          <w:b/>
          <w:szCs w:val="22"/>
          <w:lang w:val="hu"/>
        </w:rPr>
      </w:pPr>
      <w:r>
        <w:rPr>
          <w:b/>
          <w:bCs/>
          <w:szCs w:val="22"/>
          <w:lang w:val="hu"/>
        </w:rPr>
        <w:t>4.8</w:t>
      </w:r>
      <w:r>
        <w:rPr>
          <w:b/>
          <w:bCs/>
          <w:szCs w:val="22"/>
          <w:lang w:val="hu"/>
        </w:rPr>
        <w:tab/>
        <w:t>Nemkívánatos hatások, mellékhatások</w:t>
      </w:r>
    </w:p>
    <w:p w14:paraId="340F44C5" w14:textId="77777777" w:rsidR="00337D7F" w:rsidRPr="00AD6836" w:rsidRDefault="00337D7F">
      <w:pPr>
        <w:keepNext/>
        <w:rPr>
          <w:szCs w:val="22"/>
          <w:lang w:val="hu-HU"/>
        </w:rPr>
      </w:pPr>
    </w:p>
    <w:p w14:paraId="23B47B00" w14:textId="24E7F66A" w:rsidR="00337D7F" w:rsidRPr="00AD6836" w:rsidRDefault="00645A2E" w:rsidP="0007638B">
      <w:pPr>
        <w:rPr>
          <w:szCs w:val="22"/>
          <w:lang w:val="hu-HU"/>
        </w:rPr>
      </w:pPr>
      <w:r w:rsidRPr="00AD6836">
        <w:rPr>
          <w:szCs w:val="22"/>
          <w:lang w:val="hu-HU"/>
        </w:rPr>
        <w:t xml:space="preserve">Az alábbi táblázat a klinikai vizsgálatok során és az </w:t>
      </w:r>
      <w:r w:rsidR="00870E22">
        <w:rPr>
          <w:szCs w:val="22"/>
          <w:lang w:val="hu-HU"/>
        </w:rPr>
        <w:t>urzodezoxikól</w:t>
      </w:r>
      <w:r w:rsidRPr="00AD6836">
        <w:rPr>
          <w:szCs w:val="22"/>
          <w:lang w:val="hu-HU"/>
        </w:rPr>
        <w:t>savval végzett kezelés alatt</w:t>
      </w:r>
      <w:r w:rsidR="001B3025" w:rsidRPr="00AD6836">
        <w:rPr>
          <w:szCs w:val="22"/>
          <w:lang w:val="hu-HU"/>
        </w:rPr>
        <w:t xml:space="preserve"> </w:t>
      </w:r>
      <w:r w:rsidRPr="00AD6836">
        <w:rPr>
          <w:szCs w:val="22"/>
          <w:lang w:val="hu-HU"/>
        </w:rPr>
        <w:t xml:space="preserve">megfigyelt mellékhatásokat tartalmazza, MedDRA szervrendszerek és gyakoriság szerint kategorizálva. A gyakoriság meghatározása a következő: </w:t>
      </w:r>
      <w:r w:rsidR="00895A03" w:rsidRPr="00FD2714">
        <w:rPr>
          <w:szCs w:val="22"/>
          <w:lang w:val="hu"/>
        </w:rPr>
        <w:t>N</w:t>
      </w:r>
      <w:r w:rsidR="00087EE4" w:rsidRPr="00AD6836">
        <w:rPr>
          <w:szCs w:val="22"/>
          <w:lang w:val="hu-HU"/>
        </w:rPr>
        <w:t>agyon gyakori (≥ 1/10)</w:t>
      </w:r>
      <w:r w:rsidRPr="00AD6836">
        <w:rPr>
          <w:szCs w:val="22"/>
          <w:lang w:val="hu-HU"/>
        </w:rPr>
        <w:t xml:space="preserve">, </w:t>
      </w:r>
    </w:p>
    <w:p w14:paraId="09E29E6C" w14:textId="08EA51A1" w:rsidR="00337D7F" w:rsidRPr="00AD6836" w:rsidRDefault="00895A03" w:rsidP="001B3025">
      <w:pPr>
        <w:rPr>
          <w:szCs w:val="22"/>
          <w:lang w:val="hu-HU"/>
        </w:rPr>
      </w:pPr>
      <w:r w:rsidRPr="00AD6836">
        <w:rPr>
          <w:szCs w:val="22"/>
          <w:lang w:val="hu-HU"/>
        </w:rPr>
        <w:t>G</w:t>
      </w:r>
      <w:r w:rsidR="00087EE4" w:rsidRPr="00AD6836">
        <w:rPr>
          <w:szCs w:val="22"/>
          <w:lang w:val="hu-HU"/>
        </w:rPr>
        <w:t>yakori (≥ 1/100 és &lt; 1/10 között)</w:t>
      </w:r>
      <w:r w:rsidR="00645A2E" w:rsidRPr="00AD6836">
        <w:rPr>
          <w:szCs w:val="22"/>
          <w:lang w:val="hu-HU"/>
        </w:rPr>
        <w:t xml:space="preserve">, </w:t>
      </w:r>
      <w:r w:rsidRPr="00AD6836">
        <w:rPr>
          <w:szCs w:val="22"/>
          <w:lang w:val="hu-HU"/>
        </w:rPr>
        <w:t>N</w:t>
      </w:r>
      <w:r w:rsidR="00087EE4" w:rsidRPr="00AD6836">
        <w:rPr>
          <w:szCs w:val="22"/>
          <w:lang w:val="hu-HU"/>
        </w:rPr>
        <w:t>em gyakori (≥ 1/1000 és &lt; 1/100 között)</w:t>
      </w:r>
      <w:r w:rsidR="00645A2E" w:rsidRPr="00AD6836">
        <w:rPr>
          <w:szCs w:val="22"/>
          <w:lang w:val="hu-HU"/>
        </w:rPr>
        <w:t xml:space="preserve">, </w:t>
      </w:r>
      <w:r w:rsidRPr="00AD6836">
        <w:rPr>
          <w:szCs w:val="22"/>
          <w:lang w:val="hu-HU"/>
        </w:rPr>
        <w:t>R</w:t>
      </w:r>
      <w:r w:rsidR="00087EE4" w:rsidRPr="00AD6836">
        <w:rPr>
          <w:szCs w:val="22"/>
          <w:lang w:val="hu-HU"/>
        </w:rPr>
        <w:t>itka (≥ 1/10 000 és &lt; 1/1000 között)</w:t>
      </w:r>
      <w:r w:rsidR="00FD2714">
        <w:rPr>
          <w:szCs w:val="22"/>
          <w:lang w:val="hu-HU"/>
        </w:rPr>
        <w:t xml:space="preserve">, </w:t>
      </w:r>
      <w:r w:rsidRPr="00AD6836">
        <w:rPr>
          <w:szCs w:val="22"/>
          <w:lang w:val="hu-HU"/>
        </w:rPr>
        <w:t>N</w:t>
      </w:r>
      <w:r w:rsidR="00087EE4" w:rsidRPr="00AD6836">
        <w:rPr>
          <w:szCs w:val="22"/>
          <w:lang w:val="hu-HU"/>
        </w:rPr>
        <w:t>agyon ritka (&lt; 1/10 000)</w:t>
      </w:r>
      <w:r w:rsidR="00645A2E" w:rsidRPr="00AD6836">
        <w:rPr>
          <w:szCs w:val="22"/>
          <w:lang w:val="hu-HU"/>
        </w:rPr>
        <w:t xml:space="preserve"> </w:t>
      </w:r>
      <w:r w:rsidR="001B3025" w:rsidRPr="00AD6836">
        <w:rPr>
          <w:szCs w:val="22"/>
          <w:lang w:val="hu-HU"/>
        </w:rPr>
        <w:t>vagy</w:t>
      </w:r>
      <w:r w:rsidR="00645A2E" w:rsidRPr="00AD6836">
        <w:rPr>
          <w:szCs w:val="22"/>
          <w:lang w:val="hu-HU"/>
        </w:rPr>
        <w:t xml:space="preserve"> </w:t>
      </w:r>
      <w:r w:rsidRPr="00FD2714">
        <w:rPr>
          <w:szCs w:val="22"/>
          <w:lang w:val="hu"/>
        </w:rPr>
        <w:t>N</w:t>
      </w:r>
      <w:r w:rsidR="00087EE4" w:rsidRPr="00FD2714">
        <w:rPr>
          <w:szCs w:val="22"/>
          <w:lang w:val="hu"/>
        </w:rPr>
        <w:t>e</w:t>
      </w:r>
      <w:r w:rsidR="00087EE4" w:rsidRPr="00AD6836">
        <w:rPr>
          <w:szCs w:val="22"/>
          <w:lang w:val="hu-HU"/>
        </w:rPr>
        <w:t>m ismert (a</w:t>
      </w:r>
      <w:r w:rsidRPr="00AD6836">
        <w:rPr>
          <w:szCs w:val="22"/>
          <w:lang w:val="hu-HU"/>
        </w:rPr>
        <w:t xml:space="preserve"> gyakoriság a</w:t>
      </w:r>
      <w:r w:rsidR="00087EE4" w:rsidRPr="00AD6836">
        <w:rPr>
          <w:szCs w:val="22"/>
          <w:lang w:val="hu-HU"/>
        </w:rPr>
        <w:t xml:space="preserve"> rendelkezésre álló adatokból nem állapítható meg)</w:t>
      </w:r>
      <w:r w:rsidR="00645A2E" w:rsidRPr="00AD6836">
        <w:rPr>
          <w:szCs w:val="22"/>
          <w:lang w:val="hu-HU"/>
        </w:rPr>
        <w:t>.</w:t>
      </w:r>
    </w:p>
    <w:p w14:paraId="55E45765" w14:textId="77777777" w:rsidR="00337D7F" w:rsidRPr="00AD6836" w:rsidRDefault="00337D7F">
      <w:pPr>
        <w:rPr>
          <w:szCs w:val="22"/>
          <w:lang w:val="hu-HU"/>
        </w:rPr>
      </w:pPr>
    </w:p>
    <w:tbl>
      <w:tblPr>
        <w:tblW w:w="921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02"/>
        <w:gridCol w:w="2302"/>
        <w:gridCol w:w="2303"/>
        <w:gridCol w:w="2303"/>
      </w:tblGrid>
      <w:tr w:rsidR="00645A2E" w:rsidRPr="001B3025" w14:paraId="4B410842" w14:textId="77777777" w:rsidTr="00AD6836">
        <w:trPr>
          <w:trHeight w:val="132"/>
        </w:trPr>
        <w:tc>
          <w:tcPr>
            <w:tcW w:w="2302" w:type="dxa"/>
          </w:tcPr>
          <w:p w14:paraId="0C3F9067" w14:textId="77777777" w:rsidR="00645A2E" w:rsidRPr="00AD6836" w:rsidRDefault="00645A2E" w:rsidP="00645A2E">
            <w:pPr>
              <w:jc w:val="both"/>
              <w:rPr>
                <w:rFonts w:eastAsia="Times New Roman"/>
                <w:b/>
                <w:bCs/>
                <w:lang w:val="hu-HU" w:eastAsia="cs-CZ"/>
              </w:rPr>
            </w:pPr>
            <w:r w:rsidRPr="00AD6836">
              <w:rPr>
                <w:rStyle w:val="Kiemels2"/>
                <w:lang w:val="hu-HU"/>
              </w:rPr>
              <w:t>Szervrendszer (MedDRA)</w:t>
            </w:r>
          </w:p>
          <w:p w14:paraId="058B65A0" w14:textId="196F7618" w:rsidR="00645A2E" w:rsidRPr="00AD6836" w:rsidRDefault="00645A2E" w:rsidP="00A759FF">
            <w:pPr>
              <w:jc w:val="both"/>
              <w:rPr>
                <w:b/>
                <w:bCs/>
                <w:szCs w:val="22"/>
                <w:lang w:val="hu-HU" w:eastAsia="nl-NL"/>
              </w:rPr>
            </w:pPr>
          </w:p>
        </w:tc>
        <w:tc>
          <w:tcPr>
            <w:tcW w:w="2302" w:type="dxa"/>
          </w:tcPr>
          <w:p w14:paraId="4FC65FF3" w14:textId="56E5EDD8" w:rsidR="00645A2E" w:rsidRPr="00AD6836" w:rsidRDefault="00645A2E" w:rsidP="00A759FF">
            <w:pPr>
              <w:jc w:val="both"/>
              <w:rPr>
                <w:b/>
                <w:bCs/>
                <w:szCs w:val="22"/>
                <w:lang w:val="hu-HU" w:eastAsia="nl-NL"/>
              </w:rPr>
            </w:pPr>
            <w:r w:rsidRPr="00AD6836">
              <w:rPr>
                <w:b/>
                <w:bCs/>
                <w:szCs w:val="22"/>
                <w:lang w:val="hu-HU"/>
              </w:rPr>
              <w:t>Gyakori</w:t>
            </w:r>
          </w:p>
        </w:tc>
        <w:tc>
          <w:tcPr>
            <w:tcW w:w="2303" w:type="dxa"/>
          </w:tcPr>
          <w:p w14:paraId="085BC94B" w14:textId="1B799128" w:rsidR="00645A2E" w:rsidRPr="00AD6836" w:rsidRDefault="00645A2E" w:rsidP="00A759FF">
            <w:pPr>
              <w:jc w:val="both"/>
              <w:rPr>
                <w:b/>
                <w:bCs/>
                <w:szCs w:val="22"/>
                <w:lang w:val="hu-HU" w:eastAsia="nl-NL"/>
              </w:rPr>
            </w:pPr>
            <w:r w:rsidRPr="00AD6836">
              <w:rPr>
                <w:b/>
                <w:bCs/>
                <w:szCs w:val="22"/>
                <w:lang w:val="hu-HU"/>
              </w:rPr>
              <w:t>Nagyon ritka</w:t>
            </w:r>
          </w:p>
        </w:tc>
        <w:tc>
          <w:tcPr>
            <w:tcW w:w="2303" w:type="dxa"/>
          </w:tcPr>
          <w:p w14:paraId="4445F7D2" w14:textId="760735E9" w:rsidR="00645A2E" w:rsidRPr="00AD6836" w:rsidRDefault="00645A2E" w:rsidP="00A759FF">
            <w:pPr>
              <w:jc w:val="both"/>
              <w:rPr>
                <w:b/>
                <w:bCs/>
                <w:szCs w:val="22"/>
                <w:lang w:val="hu-HU" w:eastAsia="nl-NL"/>
              </w:rPr>
            </w:pPr>
            <w:r w:rsidRPr="00AD6836">
              <w:rPr>
                <w:b/>
                <w:bCs/>
                <w:szCs w:val="22"/>
                <w:lang w:val="hu-HU"/>
              </w:rPr>
              <w:t>Nem ismert</w:t>
            </w:r>
          </w:p>
        </w:tc>
      </w:tr>
      <w:tr w:rsidR="00645A2E" w:rsidRPr="001B3025" w14:paraId="3DB8566E" w14:textId="77777777" w:rsidTr="00AD6836">
        <w:tc>
          <w:tcPr>
            <w:tcW w:w="2302" w:type="dxa"/>
          </w:tcPr>
          <w:p w14:paraId="24A2F029" w14:textId="77777777" w:rsidR="00645A2E" w:rsidRPr="00AD6836" w:rsidRDefault="00645A2E" w:rsidP="00645A2E">
            <w:pPr>
              <w:rPr>
                <w:i/>
                <w:iCs/>
                <w:szCs w:val="22"/>
                <w:lang w:val="hu-HU"/>
              </w:rPr>
            </w:pPr>
            <w:r w:rsidRPr="00AD6836">
              <w:rPr>
                <w:i/>
                <w:iCs/>
                <w:szCs w:val="22"/>
                <w:lang w:val="hu-HU"/>
              </w:rPr>
              <w:t>Emésztőrendszeri betegségek és tünetek</w:t>
            </w:r>
          </w:p>
          <w:p w14:paraId="635755E4" w14:textId="77777777" w:rsidR="00645A2E" w:rsidRPr="00AD6836" w:rsidRDefault="00645A2E" w:rsidP="00A759FF">
            <w:pPr>
              <w:jc w:val="both"/>
              <w:rPr>
                <w:i/>
                <w:iCs/>
                <w:szCs w:val="22"/>
                <w:lang w:val="hu-HU" w:eastAsia="nl-NL"/>
              </w:rPr>
            </w:pPr>
          </w:p>
        </w:tc>
        <w:tc>
          <w:tcPr>
            <w:tcW w:w="2302" w:type="dxa"/>
          </w:tcPr>
          <w:p w14:paraId="2886E811" w14:textId="3BCB5FEF" w:rsidR="00645A2E" w:rsidRPr="00AD6836" w:rsidRDefault="00645A2E" w:rsidP="00A759FF">
            <w:pPr>
              <w:jc w:val="both"/>
              <w:rPr>
                <w:szCs w:val="22"/>
                <w:lang w:val="hu-HU" w:eastAsia="nl-NL"/>
              </w:rPr>
            </w:pPr>
            <w:r w:rsidRPr="00AD6836">
              <w:rPr>
                <w:szCs w:val="22"/>
                <w:lang w:val="hu-HU"/>
              </w:rPr>
              <w:t>pépes széklet vagy hasmenés</w:t>
            </w:r>
          </w:p>
        </w:tc>
        <w:tc>
          <w:tcPr>
            <w:tcW w:w="2303" w:type="dxa"/>
          </w:tcPr>
          <w:p w14:paraId="5A819EA7" w14:textId="3A70D4E2" w:rsidR="00645A2E" w:rsidRPr="00AD6836" w:rsidRDefault="001B3025" w:rsidP="00A759FF">
            <w:pPr>
              <w:jc w:val="both"/>
              <w:rPr>
                <w:szCs w:val="22"/>
                <w:lang w:val="hu-HU" w:eastAsia="nl-NL"/>
              </w:rPr>
            </w:pPr>
            <w:r w:rsidRPr="00AD6836">
              <w:rPr>
                <w:szCs w:val="22"/>
                <w:lang w:val="hu-HU" w:eastAsia="nl-NL"/>
              </w:rPr>
              <w:t>e</w:t>
            </w:r>
            <w:r w:rsidR="00645A2E" w:rsidRPr="00AD6836">
              <w:rPr>
                <w:szCs w:val="22"/>
                <w:lang w:val="hu-HU" w:eastAsia="nl-NL"/>
              </w:rPr>
              <w:t>rős jobb felső hasi fájdalom PBC-kezelés során</w:t>
            </w:r>
          </w:p>
        </w:tc>
        <w:tc>
          <w:tcPr>
            <w:tcW w:w="2303" w:type="dxa"/>
          </w:tcPr>
          <w:p w14:paraId="39B05BA3" w14:textId="10FD21D4" w:rsidR="00645A2E" w:rsidRPr="00AD6836" w:rsidRDefault="001B3025" w:rsidP="00A759FF">
            <w:pPr>
              <w:jc w:val="both"/>
              <w:rPr>
                <w:szCs w:val="22"/>
                <w:lang w:val="hu-HU" w:eastAsia="nl-NL"/>
              </w:rPr>
            </w:pPr>
            <w:r w:rsidRPr="00AD6836">
              <w:rPr>
                <w:szCs w:val="22"/>
                <w:lang w:val="hu-HU" w:eastAsia="nl-NL"/>
              </w:rPr>
              <w:t>h</w:t>
            </w:r>
            <w:r w:rsidR="00645A2E" w:rsidRPr="00AD6836">
              <w:rPr>
                <w:szCs w:val="22"/>
                <w:lang w:val="hu-HU" w:eastAsia="nl-NL"/>
              </w:rPr>
              <w:t>ányinger, hányás</w:t>
            </w:r>
          </w:p>
        </w:tc>
      </w:tr>
      <w:tr w:rsidR="00645A2E" w:rsidRPr="00FD2714" w14:paraId="3D6C9063" w14:textId="77777777" w:rsidTr="00AD6836">
        <w:tc>
          <w:tcPr>
            <w:tcW w:w="2302" w:type="dxa"/>
          </w:tcPr>
          <w:p w14:paraId="759E0048" w14:textId="77777777" w:rsidR="00645A2E" w:rsidRPr="00AD6836" w:rsidRDefault="00645A2E" w:rsidP="00645A2E">
            <w:pPr>
              <w:rPr>
                <w:i/>
                <w:iCs/>
                <w:szCs w:val="22"/>
                <w:lang w:val="hu-HU"/>
              </w:rPr>
            </w:pPr>
            <w:r w:rsidRPr="00AD6836">
              <w:rPr>
                <w:i/>
                <w:iCs/>
                <w:szCs w:val="22"/>
                <w:lang w:val="hu-HU"/>
              </w:rPr>
              <w:t>Máj-és epebetegségek, illetve tünetek</w:t>
            </w:r>
          </w:p>
          <w:p w14:paraId="04EA8553" w14:textId="77777777" w:rsidR="00645A2E" w:rsidRPr="00AD6836" w:rsidRDefault="00645A2E" w:rsidP="00A759FF">
            <w:pPr>
              <w:jc w:val="both"/>
              <w:rPr>
                <w:i/>
                <w:iCs/>
                <w:szCs w:val="22"/>
                <w:lang w:val="hu-HU" w:eastAsia="nl-NL"/>
              </w:rPr>
            </w:pPr>
          </w:p>
        </w:tc>
        <w:tc>
          <w:tcPr>
            <w:tcW w:w="2302" w:type="dxa"/>
          </w:tcPr>
          <w:p w14:paraId="34096AE3" w14:textId="77777777" w:rsidR="00645A2E" w:rsidRPr="00AD6836" w:rsidRDefault="00645A2E" w:rsidP="00A759FF">
            <w:pPr>
              <w:jc w:val="both"/>
              <w:rPr>
                <w:szCs w:val="22"/>
                <w:lang w:val="hu-HU" w:eastAsia="nl-NL"/>
              </w:rPr>
            </w:pPr>
          </w:p>
        </w:tc>
        <w:tc>
          <w:tcPr>
            <w:tcW w:w="2303" w:type="dxa"/>
          </w:tcPr>
          <w:p w14:paraId="685666F8" w14:textId="1305BFB8" w:rsidR="00645A2E" w:rsidRPr="00AD6836" w:rsidRDefault="00645A2E" w:rsidP="00A759FF">
            <w:pPr>
              <w:jc w:val="both"/>
              <w:rPr>
                <w:szCs w:val="22"/>
                <w:lang w:val="hu-HU" w:eastAsia="nl-NL"/>
              </w:rPr>
            </w:pPr>
            <w:r w:rsidRPr="00AD6836">
              <w:rPr>
                <w:szCs w:val="22"/>
                <w:lang w:val="hu-HU"/>
              </w:rPr>
              <w:t>epekő-elmeszesedés, a májcirrózis dekompenzációja</w:t>
            </w:r>
            <w:r w:rsidRPr="00AD6836">
              <w:rPr>
                <w:szCs w:val="22"/>
                <w:vertAlign w:val="superscript"/>
                <w:lang w:val="hu-HU" w:eastAsia="nl-NL"/>
              </w:rPr>
              <w:t>1</w:t>
            </w:r>
          </w:p>
        </w:tc>
        <w:tc>
          <w:tcPr>
            <w:tcW w:w="2303" w:type="dxa"/>
          </w:tcPr>
          <w:p w14:paraId="55B9367F" w14:textId="77777777" w:rsidR="00645A2E" w:rsidRPr="00AD6836" w:rsidRDefault="00645A2E" w:rsidP="00A759FF">
            <w:pPr>
              <w:jc w:val="both"/>
              <w:rPr>
                <w:szCs w:val="22"/>
                <w:lang w:val="hu-HU" w:eastAsia="nl-NL"/>
              </w:rPr>
            </w:pPr>
          </w:p>
        </w:tc>
      </w:tr>
      <w:tr w:rsidR="00645A2E" w:rsidRPr="001B3025" w14:paraId="5309097C" w14:textId="77777777" w:rsidTr="00AD6836">
        <w:tc>
          <w:tcPr>
            <w:tcW w:w="2302" w:type="dxa"/>
          </w:tcPr>
          <w:p w14:paraId="0BE2BCC2" w14:textId="77777777" w:rsidR="00645A2E" w:rsidRPr="00AD6836" w:rsidRDefault="00645A2E" w:rsidP="00645A2E">
            <w:pPr>
              <w:rPr>
                <w:i/>
                <w:iCs/>
                <w:szCs w:val="22"/>
                <w:lang w:val="hu-HU"/>
              </w:rPr>
            </w:pPr>
            <w:r w:rsidRPr="00AD6836">
              <w:rPr>
                <w:i/>
                <w:iCs/>
                <w:szCs w:val="22"/>
                <w:lang w:val="hu-HU"/>
              </w:rPr>
              <w:t>A bőr és a bőr alatti szövet betegségei és tünetei</w:t>
            </w:r>
          </w:p>
          <w:p w14:paraId="5E433037" w14:textId="77777777" w:rsidR="00645A2E" w:rsidRPr="00AD6836" w:rsidRDefault="00645A2E" w:rsidP="00A759FF">
            <w:pPr>
              <w:jc w:val="both"/>
              <w:rPr>
                <w:i/>
                <w:iCs/>
                <w:szCs w:val="22"/>
                <w:lang w:val="hu-HU" w:eastAsia="nl-NL"/>
              </w:rPr>
            </w:pPr>
          </w:p>
        </w:tc>
        <w:tc>
          <w:tcPr>
            <w:tcW w:w="2302" w:type="dxa"/>
          </w:tcPr>
          <w:p w14:paraId="529DA7E3" w14:textId="77777777" w:rsidR="00645A2E" w:rsidRPr="00AD6836" w:rsidRDefault="00645A2E" w:rsidP="00A759FF">
            <w:pPr>
              <w:jc w:val="both"/>
              <w:rPr>
                <w:szCs w:val="22"/>
                <w:lang w:val="hu-HU" w:eastAsia="nl-NL"/>
              </w:rPr>
            </w:pPr>
          </w:p>
        </w:tc>
        <w:tc>
          <w:tcPr>
            <w:tcW w:w="2303" w:type="dxa"/>
          </w:tcPr>
          <w:p w14:paraId="053E9D9D" w14:textId="77777777" w:rsidR="00645A2E" w:rsidRPr="00AD6836" w:rsidRDefault="00645A2E" w:rsidP="00A759FF">
            <w:pPr>
              <w:jc w:val="both"/>
              <w:rPr>
                <w:szCs w:val="22"/>
                <w:lang w:val="hu-HU" w:eastAsia="nl-NL"/>
              </w:rPr>
            </w:pPr>
            <w:r w:rsidRPr="00AD6836">
              <w:rPr>
                <w:szCs w:val="22"/>
                <w:lang w:val="hu-HU" w:eastAsia="nl-NL"/>
              </w:rPr>
              <w:t>urticaria</w:t>
            </w:r>
          </w:p>
        </w:tc>
        <w:tc>
          <w:tcPr>
            <w:tcW w:w="2303" w:type="dxa"/>
          </w:tcPr>
          <w:p w14:paraId="21B021AE" w14:textId="204A3A99" w:rsidR="00645A2E" w:rsidRPr="00AD6836" w:rsidRDefault="006644C5" w:rsidP="00645A2E">
            <w:pPr>
              <w:jc w:val="both"/>
              <w:rPr>
                <w:rFonts w:eastAsia="Times New Roman"/>
                <w:lang w:val="hu-HU" w:eastAsia="cs-CZ"/>
              </w:rPr>
            </w:pPr>
            <w:r>
              <w:rPr>
                <w:lang w:val="hu-HU"/>
              </w:rPr>
              <w:t>v</w:t>
            </w:r>
            <w:r w:rsidR="00645A2E" w:rsidRPr="00AD6836">
              <w:rPr>
                <w:lang w:val="hu-HU"/>
              </w:rPr>
              <w:t>iszketés</w:t>
            </w:r>
          </w:p>
          <w:p w14:paraId="4E3143F6" w14:textId="63CF07DD" w:rsidR="00645A2E" w:rsidRPr="00AD6836" w:rsidRDefault="00645A2E" w:rsidP="00A759FF">
            <w:pPr>
              <w:jc w:val="both"/>
              <w:rPr>
                <w:szCs w:val="22"/>
                <w:lang w:val="hu-HU" w:eastAsia="nl-NL"/>
              </w:rPr>
            </w:pPr>
          </w:p>
        </w:tc>
      </w:tr>
    </w:tbl>
    <w:p w14:paraId="5807DFBD" w14:textId="359D2D49" w:rsidR="001B3025" w:rsidRPr="00AD6836" w:rsidRDefault="001B3025" w:rsidP="001B3025">
      <w:pPr>
        <w:rPr>
          <w:szCs w:val="22"/>
          <w:lang w:val="hu-HU" w:eastAsia="nl-NL"/>
        </w:rPr>
      </w:pPr>
      <w:r w:rsidRPr="00AD6836">
        <w:rPr>
          <w:szCs w:val="22"/>
          <w:vertAlign w:val="superscript"/>
          <w:lang w:val="hu-HU"/>
        </w:rPr>
        <w:t>1</w:t>
      </w:r>
      <w:r w:rsidR="007D7A92">
        <w:rPr>
          <w:szCs w:val="22"/>
          <w:lang w:val="hu-HU" w:eastAsia="nl-NL"/>
        </w:rPr>
        <w:t>A</w:t>
      </w:r>
      <w:r w:rsidRPr="00AD6836">
        <w:rPr>
          <w:szCs w:val="22"/>
          <w:lang w:val="hu-HU" w:eastAsia="nl-NL"/>
        </w:rPr>
        <w:t xml:space="preserve"> PBC előrehaladott stádiumainak kezelése során figyelték meg, és a kezelés abbahagyását követően részben visszafejlődött.</w:t>
      </w:r>
    </w:p>
    <w:p w14:paraId="4C5C72B9" w14:textId="4D92940D" w:rsidR="00337D7F" w:rsidRPr="00087EE4" w:rsidRDefault="00337D7F">
      <w:pPr>
        <w:rPr>
          <w:szCs w:val="22"/>
          <w:lang w:val="hu"/>
        </w:rPr>
      </w:pPr>
    </w:p>
    <w:p w14:paraId="2C204825" w14:textId="77777777" w:rsidR="00337D7F" w:rsidRPr="00087EE4" w:rsidRDefault="00087EE4">
      <w:pPr>
        <w:keepNext/>
        <w:autoSpaceDE w:val="0"/>
        <w:autoSpaceDN w:val="0"/>
        <w:adjustRightInd w:val="0"/>
        <w:rPr>
          <w:szCs w:val="22"/>
          <w:u w:val="single"/>
          <w:lang w:val="hu"/>
        </w:rPr>
      </w:pPr>
      <w:r>
        <w:rPr>
          <w:szCs w:val="22"/>
          <w:u w:val="single"/>
          <w:lang w:val="hu"/>
        </w:rPr>
        <w:t>Feltételezett mellékhatások bejelentése</w:t>
      </w:r>
    </w:p>
    <w:p w14:paraId="6D7C8184" w14:textId="77777777" w:rsidR="00337D7F" w:rsidRPr="00087EE4" w:rsidRDefault="00087EE4">
      <w:pPr>
        <w:rPr>
          <w:szCs w:val="22"/>
          <w:lang w:val="hu"/>
        </w:rPr>
      </w:pPr>
      <w:r>
        <w:rPr>
          <w:szCs w:val="22"/>
          <w:lang w:val="hu"/>
        </w:rPr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</w:t>
      </w:r>
      <w:r w:rsidRPr="00CF08F0">
        <w:rPr>
          <w:szCs w:val="22"/>
          <w:lang w:val="hu"/>
        </w:rPr>
        <w:t xml:space="preserve">a hatóság részére az </w:t>
      </w:r>
      <w:hyperlink r:id="rId7" w:history="1">
        <w:r w:rsidRPr="00895A03">
          <w:rPr>
            <w:rStyle w:val="Hiperhivatkozs"/>
            <w:rFonts w:ascii="Times New Roman" w:hAnsi="Times New Roman"/>
            <w:szCs w:val="22"/>
            <w:highlight w:val="lightGray"/>
            <w:lang w:val="hu"/>
          </w:rPr>
          <w:t>V. függelékben</w:t>
        </w:r>
      </w:hyperlink>
      <w:r w:rsidRPr="00CF08F0">
        <w:rPr>
          <w:szCs w:val="22"/>
          <w:highlight w:val="lightGray"/>
          <w:lang w:val="hu"/>
        </w:rPr>
        <w:t xml:space="preserve"> található elérhetőségek valamelyikén keresztül</w:t>
      </w:r>
      <w:r>
        <w:rPr>
          <w:szCs w:val="22"/>
          <w:lang w:val="hu"/>
        </w:rPr>
        <w:t>.</w:t>
      </w:r>
    </w:p>
    <w:p w14:paraId="5C818921" w14:textId="77777777" w:rsidR="00337D7F" w:rsidRPr="00087EE4" w:rsidRDefault="00337D7F">
      <w:pPr>
        <w:rPr>
          <w:szCs w:val="22"/>
          <w:lang w:val="hu"/>
        </w:rPr>
      </w:pPr>
    </w:p>
    <w:p w14:paraId="7076B1A5" w14:textId="77777777" w:rsidR="00337D7F" w:rsidRDefault="00087EE4">
      <w:pPr>
        <w:keepNext/>
        <w:ind w:left="567" w:hanging="567"/>
        <w:rPr>
          <w:b/>
          <w:bCs/>
          <w:szCs w:val="22"/>
          <w:lang w:val="hu"/>
        </w:rPr>
      </w:pPr>
      <w:r>
        <w:rPr>
          <w:b/>
          <w:bCs/>
          <w:szCs w:val="22"/>
          <w:lang w:val="hu"/>
        </w:rPr>
        <w:t>4.9</w:t>
      </w:r>
      <w:r>
        <w:rPr>
          <w:b/>
          <w:bCs/>
          <w:szCs w:val="22"/>
          <w:lang w:val="hu"/>
        </w:rPr>
        <w:tab/>
        <w:t>Túladagolás</w:t>
      </w:r>
    </w:p>
    <w:p w14:paraId="1489EE0C" w14:textId="77777777" w:rsidR="00337D7F" w:rsidRPr="00087EE4" w:rsidRDefault="00337D7F">
      <w:pPr>
        <w:keepNext/>
        <w:rPr>
          <w:szCs w:val="22"/>
          <w:lang w:val="hu"/>
        </w:rPr>
      </w:pPr>
    </w:p>
    <w:p w14:paraId="0A7DF371" w14:textId="77777777" w:rsidR="00337D7F" w:rsidRPr="00087EE4" w:rsidRDefault="00087EE4">
      <w:pPr>
        <w:autoSpaceDE w:val="0"/>
        <w:autoSpaceDN w:val="0"/>
        <w:adjustRightInd w:val="0"/>
        <w:rPr>
          <w:strike/>
          <w:color w:val="000000"/>
          <w:szCs w:val="22"/>
          <w:lang w:val="hu"/>
        </w:rPr>
      </w:pPr>
      <w:r>
        <w:rPr>
          <w:color w:val="000000"/>
          <w:szCs w:val="22"/>
          <w:lang w:val="hu"/>
        </w:rPr>
        <w:t>Túladagolás esetén hasmenés fordulhat elő. Általánosságban elmondható, hogy a túladagolás egyéb tünetei nem valószínűek, mert az urzodezoxikólsav felszívódása az adag növelésével csökken, így több választódik ki a székletben.</w:t>
      </w:r>
    </w:p>
    <w:p w14:paraId="1CF0E88E" w14:textId="77777777" w:rsidR="00337D7F" w:rsidRPr="00087EE4" w:rsidRDefault="00087EE4">
      <w:pPr>
        <w:rPr>
          <w:szCs w:val="22"/>
          <w:lang w:val="hu"/>
        </w:rPr>
      </w:pPr>
      <w:r>
        <w:rPr>
          <w:szCs w:val="22"/>
          <w:lang w:val="hu"/>
        </w:rPr>
        <w:t>Nincs szükség ellenintézkedésre, és a bekövetkező hasmenést tünetileg kell kezelni a folyadékháztartás és az elektrolit-egyensúly helyreállításával.</w:t>
      </w:r>
    </w:p>
    <w:p w14:paraId="61165365" w14:textId="77777777" w:rsidR="00337D7F" w:rsidRPr="00087EE4" w:rsidRDefault="00337D7F">
      <w:pPr>
        <w:rPr>
          <w:szCs w:val="22"/>
          <w:lang w:val="hu"/>
        </w:rPr>
      </w:pPr>
    </w:p>
    <w:p w14:paraId="308A324B" w14:textId="77777777" w:rsidR="00337D7F" w:rsidRPr="00087EE4" w:rsidRDefault="00087EE4">
      <w:pPr>
        <w:keepNext/>
        <w:rPr>
          <w:szCs w:val="22"/>
          <w:u w:val="single"/>
          <w:lang w:val="hu"/>
        </w:rPr>
      </w:pPr>
      <w:r>
        <w:rPr>
          <w:szCs w:val="22"/>
          <w:u w:val="single"/>
          <w:lang w:val="hu"/>
        </w:rPr>
        <w:t>Különleges betegcsoportokra vonatkozó kiegészítő információk</w:t>
      </w:r>
    </w:p>
    <w:p w14:paraId="40B8309A" w14:textId="2EC2A35D" w:rsidR="00337D7F" w:rsidRPr="00087EE4" w:rsidRDefault="00087EE4">
      <w:pPr>
        <w:rPr>
          <w:szCs w:val="22"/>
          <w:lang w:val="hu"/>
        </w:rPr>
      </w:pPr>
      <w:r>
        <w:rPr>
          <w:szCs w:val="22"/>
          <w:lang w:val="hu"/>
        </w:rPr>
        <w:t>A hosszú távú nagy dózisú urzodezoxikólsav-terápia (28-30</w:t>
      </w:r>
      <w:r w:rsidR="008656BE">
        <w:rPr>
          <w:szCs w:val="22"/>
          <w:lang w:val="hu"/>
        </w:rPr>
        <w:t> mg</w:t>
      </w:r>
      <w:r>
        <w:rPr>
          <w:szCs w:val="22"/>
          <w:lang w:val="hu"/>
        </w:rPr>
        <w:t>/</w:t>
      </w:r>
      <w:r w:rsidR="006E1C87">
        <w:rPr>
          <w:szCs w:val="22"/>
          <w:lang w:val="hu"/>
        </w:rPr>
        <w:t>tt</w:t>
      </w:r>
      <w:r>
        <w:rPr>
          <w:szCs w:val="22"/>
          <w:lang w:val="hu"/>
        </w:rPr>
        <w:t>kg/nap) a primer sclerotizáló cholangitisben szenvedő betegeknél (indikáción túli alkalmazás) összefüggésbe hozható a súlyos nemkívánatos hatások nagyobb arányával.</w:t>
      </w:r>
    </w:p>
    <w:p w14:paraId="752D571D" w14:textId="77777777" w:rsidR="00337D7F" w:rsidRPr="00087EE4" w:rsidRDefault="00337D7F">
      <w:pPr>
        <w:rPr>
          <w:szCs w:val="22"/>
          <w:lang w:val="hu"/>
        </w:rPr>
      </w:pPr>
    </w:p>
    <w:p w14:paraId="6773E533" w14:textId="77777777" w:rsidR="00337D7F" w:rsidRPr="00087EE4" w:rsidRDefault="00337D7F">
      <w:pPr>
        <w:rPr>
          <w:szCs w:val="22"/>
          <w:lang w:val="hu"/>
        </w:rPr>
      </w:pPr>
    </w:p>
    <w:p w14:paraId="642CC47F" w14:textId="77777777" w:rsidR="00337D7F" w:rsidRDefault="00087EE4">
      <w:pPr>
        <w:keepNext/>
        <w:ind w:left="567" w:hanging="567"/>
        <w:rPr>
          <w:b/>
          <w:bCs/>
          <w:szCs w:val="22"/>
          <w:lang w:val="hu"/>
        </w:rPr>
      </w:pPr>
      <w:r>
        <w:rPr>
          <w:b/>
          <w:bCs/>
          <w:szCs w:val="22"/>
          <w:lang w:val="hu"/>
        </w:rPr>
        <w:lastRenderedPageBreak/>
        <w:t>5.</w:t>
      </w:r>
      <w:r>
        <w:rPr>
          <w:b/>
          <w:bCs/>
          <w:szCs w:val="22"/>
          <w:lang w:val="hu"/>
        </w:rPr>
        <w:tab/>
        <w:t>FARMAKOLÓGIAI TULAJDONSÁGOK</w:t>
      </w:r>
    </w:p>
    <w:p w14:paraId="247B165A" w14:textId="77777777" w:rsidR="00337D7F" w:rsidRPr="00087EE4" w:rsidRDefault="00337D7F">
      <w:pPr>
        <w:keepNext/>
        <w:rPr>
          <w:szCs w:val="22"/>
          <w:lang w:val="hu"/>
        </w:rPr>
      </w:pPr>
    </w:p>
    <w:p w14:paraId="211548D9" w14:textId="77777777" w:rsidR="00337D7F" w:rsidRPr="00087EE4" w:rsidRDefault="00087EE4">
      <w:pPr>
        <w:keepNext/>
        <w:ind w:left="567" w:hanging="567"/>
        <w:rPr>
          <w:szCs w:val="22"/>
          <w:lang w:val="hu"/>
        </w:rPr>
      </w:pPr>
      <w:r>
        <w:rPr>
          <w:b/>
          <w:bCs/>
          <w:szCs w:val="22"/>
          <w:lang w:val="hu"/>
        </w:rPr>
        <w:t>5.1</w:t>
      </w:r>
      <w:r>
        <w:rPr>
          <w:b/>
          <w:bCs/>
          <w:szCs w:val="22"/>
          <w:lang w:val="hu"/>
        </w:rPr>
        <w:tab/>
        <w:t>Farmakodinámiás tulajdonságok</w:t>
      </w:r>
    </w:p>
    <w:p w14:paraId="4898719E" w14:textId="77777777" w:rsidR="00337D7F" w:rsidRPr="00087EE4" w:rsidRDefault="00337D7F">
      <w:pPr>
        <w:keepNext/>
        <w:rPr>
          <w:szCs w:val="22"/>
          <w:lang w:val="hu"/>
        </w:rPr>
      </w:pPr>
    </w:p>
    <w:p w14:paraId="1B4B8A80" w14:textId="77777777" w:rsidR="00337D7F" w:rsidRPr="00087EE4" w:rsidRDefault="00087EE4">
      <w:pPr>
        <w:autoSpaceDE w:val="0"/>
        <w:autoSpaceDN w:val="0"/>
        <w:adjustRightInd w:val="0"/>
        <w:rPr>
          <w:color w:val="000000"/>
          <w:szCs w:val="22"/>
          <w:lang w:val="hu"/>
        </w:rPr>
      </w:pPr>
      <w:r>
        <w:rPr>
          <w:color w:val="000000"/>
          <w:szCs w:val="22"/>
          <w:lang w:val="hu"/>
        </w:rPr>
        <w:t>Farmakoterápiás csoport: epe- és májbetegségek gyógyszerei, epesav-készítmények, ATC kód: A05AA02</w:t>
      </w:r>
    </w:p>
    <w:p w14:paraId="3C0D0AA5" w14:textId="77777777" w:rsidR="00337D7F" w:rsidRPr="00087EE4" w:rsidRDefault="00337D7F">
      <w:pPr>
        <w:autoSpaceDE w:val="0"/>
        <w:autoSpaceDN w:val="0"/>
        <w:adjustRightInd w:val="0"/>
        <w:rPr>
          <w:color w:val="000000"/>
          <w:szCs w:val="22"/>
          <w:lang w:val="hu"/>
        </w:rPr>
      </w:pPr>
    </w:p>
    <w:p w14:paraId="5B5E33FB" w14:textId="2C0595F5" w:rsidR="00337D7F" w:rsidRPr="00087EE4" w:rsidRDefault="00087EE4">
      <w:pPr>
        <w:autoSpaceDE w:val="0"/>
        <w:autoSpaceDN w:val="0"/>
        <w:adjustRightInd w:val="0"/>
        <w:rPr>
          <w:color w:val="000000"/>
          <w:szCs w:val="22"/>
          <w:lang w:val="hu"/>
        </w:rPr>
      </w:pPr>
      <w:r>
        <w:rPr>
          <w:color w:val="000000"/>
          <w:szCs w:val="22"/>
          <w:lang w:val="hu"/>
        </w:rPr>
        <w:t xml:space="preserve">Az urzodezoxikólsav kis mennyiségben megtalálható a </w:t>
      </w:r>
      <w:r w:rsidR="006E1C87">
        <w:rPr>
          <w:color w:val="000000"/>
          <w:szCs w:val="22"/>
          <w:lang w:val="hu"/>
        </w:rPr>
        <w:t xml:space="preserve">normál emberi </w:t>
      </w:r>
      <w:r>
        <w:rPr>
          <w:color w:val="000000"/>
          <w:szCs w:val="22"/>
          <w:lang w:val="hu"/>
        </w:rPr>
        <w:t>epében.</w:t>
      </w:r>
    </w:p>
    <w:p w14:paraId="47FD0E6F" w14:textId="31A9A060" w:rsidR="00337D7F" w:rsidRPr="00087EE4" w:rsidRDefault="006E1C87">
      <w:pPr>
        <w:autoSpaceDE w:val="0"/>
        <w:autoSpaceDN w:val="0"/>
        <w:adjustRightInd w:val="0"/>
        <w:rPr>
          <w:color w:val="000000"/>
          <w:szCs w:val="22"/>
          <w:lang w:val="hu"/>
        </w:rPr>
      </w:pPr>
      <w:r>
        <w:rPr>
          <w:color w:val="000000"/>
          <w:szCs w:val="22"/>
          <w:lang w:val="hu"/>
        </w:rPr>
        <w:t>Szájon át történő</w:t>
      </w:r>
      <w:r w:rsidR="00087EE4">
        <w:rPr>
          <w:color w:val="000000"/>
          <w:szCs w:val="22"/>
          <w:lang w:val="hu"/>
        </w:rPr>
        <w:t xml:space="preserve"> alkalmazását követően az epehólyag koleszterin-telítettségének csökkenését váltja ki a koleszterin belekben történő reszorpciójának gátlása és a koleszterin epébe történő kiválasztásának csökkenése révén. A koleszterin epekövek fokozatos szétesését feltehetően a koleszterin diszperziója és folyadékkristályok kialakulása okozza.</w:t>
      </w:r>
    </w:p>
    <w:p w14:paraId="521F8187" w14:textId="537A5046" w:rsidR="00337D7F" w:rsidRPr="00087EE4" w:rsidRDefault="00087EE4">
      <w:pPr>
        <w:rPr>
          <w:szCs w:val="22"/>
          <w:lang w:val="hu"/>
        </w:rPr>
      </w:pPr>
      <w:r>
        <w:rPr>
          <w:szCs w:val="22"/>
          <w:lang w:val="hu"/>
        </w:rPr>
        <w:t xml:space="preserve">Az urzodezoxikólsav máj- és cholestaticus betegségekben kifejtett hatása, jelenlegi ismereteink szerint a lipofil, detergens típusú toxikus epesavaknak a hidrofil, sejtvédő és nem toxikus urzodezoxikólsavval történő helyettesítésén, a májsejtek kiválasztási teljesítményének </w:t>
      </w:r>
      <w:r w:rsidR="008C4283">
        <w:rPr>
          <w:szCs w:val="22"/>
          <w:lang w:val="hu"/>
        </w:rPr>
        <w:t xml:space="preserve">fokozásán </w:t>
      </w:r>
      <w:r>
        <w:rPr>
          <w:szCs w:val="22"/>
          <w:lang w:val="hu"/>
        </w:rPr>
        <w:t>és immunszabályzó folyamatokon alapul.</w:t>
      </w:r>
    </w:p>
    <w:p w14:paraId="1DB903A4" w14:textId="77777777" w:rsidR="00337D7F" w:rsidRPr="00087EE4" w:rsidRDefault="00337D7F">
      <w:pPr>
        <w:rPr>
          <w:szCs w:val="22"/>
          <w:lang w:val="hu"/>
        </w:rPr>
      </w:pPr>
    </w:p>
    <w:p w14:paraId="5DCD7E1F" w14:textId="77777777" w:rsidR="00337D7F" w:rsidRPr="00087EE4" w:rsidRDefault="00087EE4">
      <w:pPr>
        <w:keepNext/>
        <w:rPr>
          <w:szCs w:val="22"/>
          <w:u w:val="single"/>
          <w:lang w:val="hu"/>
        </w:rPr>
      </w:pPr>
      <w:r>
        <w:rPr>
          <w:szCs w:val="22"/>
          <w:u w:val="single"/>
          <w:lang w:val="hu"/>
        </w:rPr>
        <w:t>Gyermekek és serdülők</w:t>
      </w:r>
    </w:p>
    <w:p w14:paraId="2F6C5968" w14:textId="77777777" w:rsidR="00337D7F" w:rsidRPr="00087EE4" w:rsidRDefault="00087EE4">
      <w:pPr>
        <w:keepNext/>
        <w:rPr>
          <w:szCs w:val="22"/>
          <w:u w:val="single"/>
          <w:lang w:val="hu"/>
        </w:rPr>
      </w:pPr>
      <w:r>
        <w:rPr>
          <w:szCs w:val="22"/>
          <w:u w:val="single"/>
          <w:lang w:val="hu"/>
        </w:rPr>
        <w:t>Cisztás fibrózis</w:t>
      </w:r>
    </w:p>
    <w:p w14:paraId="6AAEC511" w14:textId="16667FA0" w:rsidR="00337D7F" w:rsidRPr="00087EE4" w:rsidRDefault="00087EE4">
      <w:pPr>
        <w:rPr>
          <w:szCs w:val="22"/>
          <w:lang w:val="hu"/>
        </w:rPr>
      </w:pPr>
      <w:r>
        <w:rPr>
          <w:szCs w:val="22"/>
          <w:lang w:val="hu"/>
        </w:rPr>
        <w:t>Klinikai jelentésekben hosszú távú, 10 és annál is több évre visszamenő tapasztalatok állnak rendelkezésre a máj-és epebetegséggel összefüggő cisztás fibrózisban (CFAHD) szenvedő gyermekek urzodezoxikólsavval történő kezeléséről. Bizonyított, hogy az urzodezoxikólsav-kezelés csökkenti az epevezeték proliferációt, megállítja a szövetkárosodás progresszióját, sőt visszafordítja a hepatobiliáris változásokat, ha a CFAHD korai stádiumában adják. A kezelés hatékonyságának optimalizálása érdekében az urzodezoxikólsav-terápiát azonnal el kell kezdeni, amint felállították a CFAHD diagnózisát.</w:t>
      </w:r>
    </w:p>
    <w:p w14:paraId="4DCB18A8" w14:textId="77777777" w:rsidR="00337D7F" w:rsidRPr="00087EE4" w:rsidRDefault="00337D7F">
      <w:pPr>
        <w:rPr>
          <w:lang w:val="hu"/>
        </w:rPr>
      </w:pPr>
    </w:p>
    <w:p w14:paraId="037DCC10" w14:textId="77777777" w:rsidR="00337D7F" w:rsidRDefault="00087EE4">
      <w:pPr>
        <w:keepNext/>
        <w:ind w:left="567" w:hanging="567"/>
        <w:rPr>
          <w:b/>
          <w:bCs/>
          <w:szCs w:val="22"/>
          <w:lang w:val="hu"/>
        </w:rPr>
      </w:pPr>
      <w:r>
        <w:rPr>
          <w:b/>
          <w:bCs/>
          <w:szCs w:val="22"/>
          <w:lang w:val="hu"/>
        </w:rPr>
        <w:t>5.2</w:t>
      </w:r>
      <w:r>
        <w:rPr>
          <w:b/>
          <w:bCs/>
          <w:szCs w:val="22"/>
          <w:lang w:val="hu"/>
        </w:rPr>
        <w:tab/>
        <w:t>Farmakokinetikai tulajdonságok</w:t>
      </w:r>
    </w:p>
    <w:p w14:paraId="0C0A2BED" w14:textId="77777777" w:rsidR="00337D7F" w:rsidRPr="00087EE4" w:rsidRDefault="00337D7F">
      <w:pPr>
        <w:keepNext/>
        <w:rPr>
          <w:szCs w:val="22"/>
          <w:lang w:val="hu"/>
        </w:rPr>
      </w:pPr>
    </w:p>
    <w:p w14:paraId="7D43D9B8" w14:textId="77777777" w:rsidR="00337D7F" w:rsidRPr="00AD6836" w:rsidRDefault="00087EE4">
      <w:pPr>
        <w:pStyle w:val="Default"/>
        <w:rPr>
          <w:sz w:val="22"/>
          <w:szCs w:val="22"/>
          <w:u w:val="single"/>
          <w:lang w:val="hu"/>
        </w:rPr>
      </w:pPr>
      <w:r>
        <w:rPr>
          <w:sz w:val="22"/>
          <w:szCs w:val="22"/>
          <w:u w:val="single"/>
          <w:lang w:val="hu"/>
        </w:rPr>
        <w:t>Felszívódás</w:t>
      </w:r>
    </w:p>
    <w:p w14:paraId="2F0451A5" w14:textId="509BF9FF" w:rsidR="00337D7F" w:rsidRPr="00AD6836" w:rsidRDefault="00087EE4">
      <w:pPr>
        <w:pStyle w:val="Default"/>
        <w:rPr>
          <w:sz w:val="22"/>
          <w:szCs w:val="22"/>
          <w:lang w:val="hu"/>
        </w:rPr>
      </w:pPr>
      <w:r w:rsidRPr="00CF08F0">
        <w:rPr>
          <w:sz w:val="22"/>
          <w:szCs w:val="22"/>
          <w:lang w:val="hu"/>
        </w:rPr>
        <w:t>Az orálisan adott urzodezoxikólsav gyorsan felszívódik az éhbélben és az ileum felső részében passzív, az ileum alsó részében pedig aktív transzporton keresztül. A felszívódás aránya 60</w:t>
      </w:r>
      <w:r w:rsidR="000F0B42" w:rsidRPr="00CF08F0">
        <w:rPr>
          <w:sz w:val="22"/>
          <w:szCs w:val="22"/>
          <w:lang w:val="hu"/>
        </w:rPr>
        <w:t>–</w:t>
      </w:r>
      <w:r w:rsidRPr="00CF08F0">
        <w:rPr>
          <w:sz w:val="22"/>
          <w:szCs w:val="22"/>
          <w:lang w:val="hu"/>
        </w:rPr>
        <w:t>80</w:t>
      </w:r>
      <w:r w:rsidR="000F0B42">
        <w:rPr>
          <w:sz w:val="22"/>
          <w:szCs w:val="22"/>
          <w:lang w:val="hu"/>
        </w:rPr>
        <w:t>%.</w:t>
      </w:r>
    </w:p>
    <w:p w14:paraId="53BCECB3" w14:textId="77777777" w:rsidR="00337D7F" w:rsidRPr="00AD6836" w:rsidRDefault="00337D7F">
      <w:pPr>
        <w:pStyle w:val="Default"/>
        <w:rPr>
          <w:szCs w:val="22"/>
          <w:lang w:val="hu"/>
        </w:rPr>
      </w:pPr>
    </w:p>
    <w:p w14:paraId="11D16CFE" w14:textId="77777777" w:rsidR="00337D7F" w:rsidRPr="00AD6836" w:rsidRDefault="00087EE4">
      <w:pPr>
        <w:pStyle w:val="Default"/>
        <w:rPr>
          <w:sz w:val="22"/>
          <w:szCs w:val="22"/>
          <w:u w:val="single"/>
          <w:lang w:val="hu"/>
        </w:rPr>
      </w:pPr>
      <w:r>
        <w:rPr>
          <w:sz w:val="22"/>
          <w:szCs w:val="22"/>
          <w:u w:val="single"/>
          <w:lang w:val="hu"/>
        </w:rPr>
        <w:t>Biotranszformáció és elimináció</w:t>
      </w:r>
    </w:p>
    <w:p w14:paraId="2A4EF736" w14:textId="0AD28BC6" w:rsidR="00337D7F" w:rsidRDefault="00087EE4">
      <w:r>
        <w:rPr>
          <w:lang w:val="hu"/>
        </w:rPr>
        <w:t>A felszívódást követően az epesav szinte teljesen konjugál a glicin és taurin aminosavakkal a májban, majd megtörténik az epekiválasztás. A májon keresztül zajló first-pass-clearance eléri a 60</w:t>
      </w:r>
      <w:r w:rsidR="00516B47">
        <w:rPr>
          <w:lang w:val="hu"/>
        </w:rPr>
        <w:t>%-ot</w:t>
      </w:r>
      <w:r>
        <w:rPr>
          <w:lang w:val="hu"/>
        </w:rPr>
        <w:t>.</w:t>
      </w:r>
    </w:p>
    <w:p w14:paraId="326E892B" w14:textId="77777777" w:rsidR="00337D7F" w:rsidRDefault="00337D7F"/>
    <w:p w14:paraId="5590F316" w14:textId="77777777" w:rsidR="00337D7F" w:rsidRPr="00087EE4" w:rsidRDefault="00087EE4">
      <w:pPr>
        <w:rPr>
          <w:lang w:val="hu"/>
        </w:rPr>
      </w:pPr>
      <w:r>
        <w:rPr>
          <w:lang w:val="hu"/>
        </w:rPr>
        <w:t>A bélben baktériumok hatására részleges bomlás következik be 7-keto-litokólsavra és litokólsavra. A litokólsav mérgező a máj számára, és máj parenchyma károsodást okoz számos állatfajnál. Emberben csak nagyon kis mértékben szívódik fel. Ezt a frakciót a máj szulfatálja, ezáltal méregteleníti, majd újra epe, majd azt követően pedig széklet kiválasztása történik.</w:t>
      </w:r>
    </w:p>
    <w:p w14:paraId="34CA833C" w14:textId="77777777" w:rsidR="00337D7F" w:rsidRPr="00087EE4" w:rsidRDefault="00087EE4">
      <w:pPr>
        <w:rPr>
          <w:lang w:val="hu"/>
        </w:rPr>
      </w:pPr>
      <w:r>
        <w:rPr>
          <w:lang w:val="hu"/>
        </w:rPr>
        <w:t>Az urzodezoxikólsav biológiai felezési ideje 3,5 és 5,8 nap között van.</w:t>
      </w:r>
    </w:p>
    <w:p w14:paraId="58197262" w14:textId="77777777" w:rsidR="00337D7F" w:rsidRPr="00087EE4" w:rsidRDefault="00337D7F">
      <w:pPr>
        <w:rPr>
          <w:lang w:val="hu"/>
        </w:rPr>
      </w:pPr>
    </w:p>
    <w:p w14:paraId="6345EE6B" w14:textId="77777777" w:rsidR="00337D7F" w:rsidRPr="00087EE4" w:rsidRDefault="00087EE4">
      <w:pPr>
        <w:rPr>
          <w:lang w:val="hu"/>
        </w:rPr>
      </w:pPr>
      <w:r>
        <w:rPr>
          <w:lang w:val="hu"/>
        </w:rPr>
        <w:t>A napi adagtól és az alapbetegségtől vagy a máj állapotától függően a sokkal hidrofilabb természetű urzodezoxikólsav az epében halmozódik fel. Ezzel egyidejűleg relatíve csökken más, lipofilabb epesavak termelődése.</w:t>
      </w:r>
    </w:p>
    <w:p w14:paraId="0CD87064" w14:textId="77777777" w:rsidR="00337D7F" w:rsidRPr="00087EE4" w:rsidRDefault="00337D7F">
      <w:pPr>
        <w:rPr>
          <w:szCs w:val="22"/>
          <w:lang w:val="hu"/>
        </w:rPr>
      </w:pPr>
    </w:p>
    <w:p w14:paraId="665C66EC" w14:textId="77777777" w:rsidR="00337D7F" w:rsidRPr="00087EE4" w:rsidRDefault="00087EE4">
      <w:pPr>
        <w:keepNext/>
        <w:ind w:left="567" w:hanging="567"/>
        <w:rPr>
          <w:szCs w:val="22"/>
          <w:lang w:val="hu"/>
        </w:rPr>
      </w:pPr>
      <w:r>
        <w:rPr>
          <w:b/>
          <w:bCs/>
          <w:szCs w:val="22"/>
          <w:lang w:val="hu"/>
        </w:rPr>
        <w:t>5.3</w:t>
      </w:r>
      <w:r>
        <w:rPr>
          <w:b/>
          <w:bCs/>
          <w:szCs w:val="22"/>
          <w:lang w:val="hu"/>
        </w:rPr>
        <w:tab/>
        <w:t>A preklinikai biztonságossági vizsgálatok eredményei</w:t>
      </w:r>
    </w:p>
    <w:p w14:paraId="01E5473A" w14:textId="77777777" w:rsidR="00337D7F" w:rsidRPr="00087EE4" w:rsidRDefault="00337D7F">
      <w:pPr>
        <w:keepNext/>
        <w:rPr>
          <w:szCs w:val="22"/>
          <w:lang w:val="hu"/>
        </w:rPr>
      </w:pPr>
    </w:p>
    <w:p w14:paraId="53EA273A" w14:textId="77777777" w:rsidR="00337D7F" w:rsidRPr="00087EE4" w:rsidRDefault="00087EE4">
      <w:pPr>
        <w:keepNext/>
        <w:autoSpaceDE w:val="0"/>
        <w:autoSpaceDN w:val="0"/>
        <w:adjustRightInd w:val="0"/>
        <w:rPr>
          <w:color w:val="000000"/>
          <w:szCs w:val="22"/>
          <w:u w:val="single"/>
          <w:lang w:val="hu"/>
        </w:rPr>
      </w:pPr>
      <w:r>
        <w:rPr>
          <w:color w:val="000000"/>
          <w:szCs w:val="22"/>
          <w:u w:val="single"/>
          <w:lang w:val="hu"/>
        </w:rPr>
        <w:t>Akut toxicitás</w:t>
      </w:r>
    </w:p>
    <w:p w14:paraId="58EFCDE3" w14:textId="77777777" w:rsidR="00337D7F" w:rsidRPr="00087EE4" w:rsidRDefault="00087EE4">
      <w:pPr>
        <w:autoSpaceDE w:val="0"/>
        <w:autoSpaceDN w:val="0"/>
        <w:adjustRightInd w:val="0"/>
        <w:rPr>
          <w:color w:val="000000"/>
          <w:szCs w:val="22"/>
          <w:lang w:val="hu"/>
        </w:rPr>
      </w:pPr>
      <w:r>
        <w:rPr>
          <w:color w:val="000000"/>
          <w:szCs w:val="22"/>
          <w:lang w:val="hu"/>
        </w:rPr>
        <w:t>Az akut toxicitást vizsgáló állatkísérletek semmilyen toxikus károsodást nem jeleztek.</w:t>
      </w:r>
    </w:p>
    <w:p w14:paraId="02BA6AF0" w14:textId="77777777" w:rsidR="00337D7F" w:rsidRPr="00087EE4" w:rsidRDefault="00337D7F">
      <w:pPr>
        <w:autoSpaceDE w:val="0"/>
        <w:autoSpaceDN w:val="0"/>
        <w:adjustRightInd w:val="0"/>
        <w:rPr>
          <w:color w:val="000000"/>
          <w:szCs w:val="22"/>
          <w:lang w:val="hu"/>
        </w:rPr>
      </w:pPr>
    </w:p>
    <w:p w14:paraId="44A53B20" w14:textId="77777777" w:rsidR="00337D7F" w:rsidRPr="00087EE4" w:rsidRDefault="00087EE4">
      <w:pPr>
        <w:keepNext/>
        <w:autoSpaceDE w:val="0"/>
        <w:autoSpaceDN w:val="0"/>
        <w:adjustRightInd w:val="0"/>
        <w:rPr>
          <w:color w:val="000000"/>
          <w:szCs w:val="22"/>
          <w:u w:val="single"/>
          <w:lang w:val="hu"/>
        </w:rPr>
      </w:pPr>
      <w:r>
        <w:rPr>
          <w:color w:val="000000"/>
          <w:szCs w:val="22"/>
          <w:u w:val="single"/>
          <w:lang w:val="hu"/>
        </w:rPr>
        <w:t>Krónikus toxicitás</w:t>
      </w:r>
    </w:p>
    <w:p w14:paraId="11DA0E7A" w14:textId="77777777" w:rsidR="00337D7F" w:rsidRPr="00087EE4" w:rsidRDefault="00087EE4">
      <w:pPr>
        <w:autoSpaceDE w:val="0"/>
        <w:autoSpaceDN w:val="0"/>
        <w:adjustRightInd w:val="0"/>
        <w:rPr>
          <w:color w:val="000000"/>
          <w:szCs w:val="22"/>
          <w:lang w:val="hu"/>
        </w:rPr>
      </w:pPr>
      <w:r>
        <w:rPr>
          <w:color w:val="000000"/>
          <w:szCs w:val="22"/>
          <w:lang w:val="hu"/>
        </w:rPr>
        <w:t xml:space="preserve">A majmokon végzett szubkrónikus toxicitási vizsgálatok hepatotoxikus hatást mutattak ki a nagy dózist kapó csoportoknál, ami funkcionális változásokat (pl. májenzim változásokat) és morfológiai változásokat, például epevezeték proliferációt, portális gyulladásos gócokat és hepatocelluláris nekrózist okozott. A toxikus hatások nagy valószínűség szerint a lithocholsavnak, az urzodezoxikólsav </w:t>
      </w:r>
      <w:r>
        <w:rPr>
          <w:color w:val="000000"/>
          <w:szCs w:val="22"/>
          <w:lang w:val="hu"/>
        </w:rPr>
        <w:lastRenderedPageBreak/>
        <w:t>egyik metabolitjának tulajdoníthatók, amely a majomnál - az emberrel ellentétben - nem detoxikálódik.</w:t>
      </w:r>
    </w:p>
    <w:p w14:paraId="756A0C40" w14:textId="77777777" w:rsidR="00337D7F" w:rsidRPr="00087EE4" w:rsidRDefault="00087EE4">
      <w:pPr>
        <w:autoSpaceDE w:val="0"/>
        <w:autoSpaceDN w:val="0"/>
        <w:adjustRightInd w:val="0"/>
        <w:rPr>
          <w:color w:val="000000"/>
          <w:szCs w:val="22"/>
          <w:lang w:val="hu"/>
        </w:rPr>
      </w:pPr>
      <w:r>
        <w:rPr>
          <w:color w:val="000000"/>
          <w:szCs w:val="22"/>
          <w:lang w:val="hu"/>
        </w:rPr>
        <w:t>A klinikai tapasztalat megerősíti, hogy a leírt hepatotoxikus hatásoknak nincs relevanciája az embernél.</w:t>
      </w:r>
    </w:p>
    <w:p w14:paraId="0064DA5B" w14:textId="77777777" w:rsidR="00337D7F" w:rsidRPr="00087EE4" w:rsidRDefault="00337D7F">
      <w:pPr>
        <w:autoSpaceDE w:val="0"/>
        <w:autoSpaceDN w:val="0"/>
        <w:adjustRightInd w:val="0"/>
        <w:rPr>
          <w:color w:val="000000"/>
          <w:szCs w:val="22"/>
          <w:lang w:val="hu"/>
        </w:rPr>
      </w:pPr>
    </w:p>
    <w:p w14:paraId="38198623" w14:textId="77777777" w:rsidR="00337D7F" w:rsidRPr="00087EE4" w:rsidRDefault="00087EE4">
      <w:pPr>
        <w:keepNext/>
        <w:autoSpaceDE w:val="0"/>
        <w:autoSpaceDN w:val="0"/>
        <w:adjustRightInd w:val="0"/>
        <w:rPr>
          <w:color w:val="000000"/>
          <w:szCs w:val="22"/>
          <w:u w:val="single"/>
          <w:lang w:val="hu"/>
        </w:rPr>
      </w:pPr>
      <w:r>
        <w:rPr>
          <w:color w:val="000000"/>
          <w:szCs w:val="22"/>
          <w:u w:val="single"/>
          <w:lang w:val="hu"/>
        </w:rPr>
        <w:t>Karcinogén és mutagén hatás</w:t>
      </w:r>
    </w:p>
    <w:p w14:paraId="463BC595" w14:textId="68CB2A7A" w:rsidR="00337D7F" w:rsidRPr="00087EE4" w:rsidRDefault="00087EE4">
      <w:pPr>
        <w:rPr>
          <w:lang w:val="hu"/>
        </w:rPr>
      </w:pPr>
      <w:r>
        <w:rPr>
          <w:lang w:val="hu"/>
        </w:rPr>
        <w:t xml:space="preserve">Az egereken és patkányokon folytatott hosszú távú vizsgálatok </w:t>
      </w:r>
      <w:r w:rsidR="009321B7" w:rsidRPr="00AD6836">
        <w:rPr>
          <w:szCs w:val="22"/>
          <w:lang w:val="hu"/>
        </w:rPr>
        <w:t>során nem bizonyosodott be az</w:t>
      </w:r>
      <w:r>
        <w:rPr>
          <w:lang w:val="hu"/>
        </w:rPr>
        <w:t xml:space="preserve"> urzodezoxikólsav karcinogén vagy mutagén hatás</w:t>
      </w:r>
      <w:r w:rsidR="009321B7">
        <w:rPr>
          <w:lang w:val="hu"/>
        </w:rPr>
        <w:t>a</w:t>
      </w:r>
      <w:r>
        <w:rPr>
          <w:lang w:val="hu"/>
        </w:rPr>
        <w:t>.</w:t>
      </w:r>
    </w:p>
    <w:p w14:paraId="7E17B752" w14:textId="77777777" w:rsidR="00337D7F" w:rsidRPr="00087EE4" w:rsidRDefault="00087EE4">
      <w:pPr>
        <w:autoSpaceDE w:val="0"/>
        <w:autoSpaceDN w:val="0"/>
        <w:adjustRightInd w:val="0"/>
        <w:rPr>
          <w:color w:val="000000"/>
          <w:szCs w:val="22"/>
          <w:lang w:val="hu"/>
        </w:rPr>
      </w:pPr>
      <w:r>
        <w:rPr>
          <w:color w:val="000000"/>
          <w:szCs w:val="22"/>
          <w:lang w:val="hu"/>
        </w:rPr>
        <w:t>Az urzodezoxikólsavval végzett i</w:t>
      </w:r>
      <w:r>
        <w:rPr>
          <w:i/>
          <w:iCs/>
          <w:color w:val="000000"/>
          <w:szCs w:val="22"/>
          <w:lang w:val="hu"/>
        </w:rPr>
        <w:t>n vitro</w:t>
      </w:r>
      <w:r>
        <w:rPr>
          <w:color w:val="000000"/>
          <w:szCs w:val="22"/>
          <w:lang w:val="hu"/>
        </w:rPr>
        <w:t xml:space="preserve"> és </w:t>
      </w:r>
      <w:r>
        <w:rPr>
          <w:i/>
          <w:iCs/>
          <w:color w:val="000000"/>
          <w:szCs w:val="22"/>
          <w:lang w:val="hu"/>
        </w:rPr>
        <w:t>in vivo</w:t>
      </w:r>
      <w:r>
        <w:rPr>
          <w:color w:val="000000"/>
          <w:szCs w:val="22"/>
          <w:lang w:val="hu"/>
        </w:rPr>
        <w:t xml:space="preserve"> toxikológiai vizsgálatok eredménye negatív volt.</w:t>
      </w:r>
    </w:p>
    <w:p w14:paraId="6EE0CEF4" w14:textId="77777777" w:rsidR="00337D7F" w:rsidRPr="00087EE4" w:rsidRDefault="00337D7F">
      <w:pPr>
        <w:rPr>
          <w:lang w:val="hu"/>
        </w:rPr>
      </w:pPr>
    </w:p>
    <w:p w14:paraId="417064BF" w14:textId="77777777" w:rsidR="00337D7F" w:rsidRPr="00087EE4" w:rsidRDefault="00087EE4">
      <w:pPr>
        <w:keepNext/>
        <w:autoSpaceDE w:val="0"/>
        <w:autoSpaceDN w:val="0"/>
        <w:adjustRightInd w:val="0"/>
        <w:rPr>
          <w:color w:val="000000"/>
          <w:szCs w:val="22"/>
          <w:u w:val="single"/>
          <w:lang w:val="hu"/>
        </w:rPr>
      </w:pPr>
      <w:r>
        <w:rPr>
          <w:color w:val="000000"/>
          <w:szCs w:val="22"/>
          <w:u w:val="single"/>
          <w:lang w:val="hu"/>
        </w:rPr>
        <w:t>Reprodukciós toxicitás</w:t>
      </w:r>
    </w:p>
    <w:p w14:paraId="0FD5C1D7" w14:textId="711BAB9C" w:rsidR="00337D7F" w:rsidRPr="00087EE4" w:rsidRDefault="00087EE4">
      <w:pPr>
        <w:rPr>
          <w:szCs w:val="22"/>
          <w:lang w:val="hu"/>
        </w:rPr>
      </w:pPr>
      <w:r>
        <w:rPr>
          <w:szCs w:val="22"/>
          <w:lang w:val="hu"/>
        </w:rPr>
        <w:t>Patkányokon végzett vizsgálatokban faroktorzulás fordult elő az urzodezoxikólsav testtömegkilogrammonként 2000</w:t>
      </w:r>
      <w:r w:rsidR="008656BE">
        <w:rPr>
          <w:szCs w:val="22"/>
          <w:lang w:val="hu"/>
        </w:rPr>
        <w:t> mg</w:t>
      </w:r>
      <w:r>
        <w:rPr>
          <w:szCs w:val="22"/>
          <w:lang w:val="hu"/>
        </w:rPr>
        <w:t>-os adagját követően. Nyulaknál nem tapasztaltak teratogén hatásokat, bár voltak embriotoxikus hatások (100</w:t>
      </w:r>
      <w:r w:rsidR="008656BE">
        <w:rPr>
          <w:szCs w:val="22"/>
          <w:lang w:val="hu"/>
        </w:rPr>
        <w:t> mg</w:t>
      </w:r>
      <w:r>
        <w:rPr>
          <w:szCs w:val="22"/>
          <w:lang w:val="hu"/>
        </w:rPr>
        <w:t>/ttkg adagtól). Az urzodezoxikólsav nem volt hatással a patkányok fertilitására és nem befolyásolta az utódok peri- és posztnatális fejlődését.</w:t>
      </w:r>
    </w:p>
    <w:p w14:paraId="167A0F67" w14:textId="77777777" w:rsidR="00337D7F" w:rsidRPr="00087EE4" w:rsidRDefault="00337D7F">
      <w:pPr>
        <w:rPr>
          <w:szCs w:val="22"/>
          <w:lang w:val="hu"/>
        </w:rPr>
      </w:pPr>
    </w:p>
    <w:p w14:paraId="63ADA208" w14:textId="77777777" w:rsidR="00337D7F" w:rsidRPr="00087EE4" w:rsidRDefault="00337D7F">
      <w:pPr>
        <w:rPr>
          <w:szCs w:val="22"/>
          <w:lang w:val="hu"/>
        </w:rPr>
      </w:pPr>
    </w:p>
    <w:p w14:paraId="172DEEEA" w14:textId="77777777" w:rsidR="00337D7F" w:rsidRDefault="00087EE4">
      <w:pPr>
        <w:keepNext/>
        <w:ind w:left="567" w:hanging="567"/>
        <w:rPr>
          <w:b/>
          <w:bCs/>
          <w:szCs w:val="22"/>
          <w:lang w:val="hu"/>
        </w:rPr>
      </w:pPr>
      <w:r>
        <w:rPr>
          <w:b/>
          <w:bCs/>
          <w:szCs w:val="22"/>
          <w:lang w:val="hu"/>
        </w:rPr>
        <w:t>6.</w:t>
      </w:r>
      <w:r>
        <w:rPr>
          <w:b/>
          <w:bCs/>
          <w:szCs w:val="22"/>
          <w:lang w:val="hu"/>
        </w:rPr>
        <w:tab/>
        <w:t>GYÓGYSZERÉSZETI SAJÁTOSSÁGOK</w:t>
      </w:r>
    </w:p>
    <w:p w14:paraId="583350F6" w14:textId="77777777" w:rsidR="00337D7F" w:rsidRPr="00087EE4" w:rsidRDefault="00337D7F">
      <w:pPr>
        <w:keepNext/>
        <w:rPr>
          <w:szCs w:val="22"/>
          <w:lang w:val="hu"/>
        </w:rPr>
      </w:pPr>
    </w:p>
    <w:p w14:paraId="43B5D1EC" w14:textId="77777777" w:rsidR="00337D7F" w:rsidRDefault="00087EE4">
      <w:pPr>
        <w:keepNext/>
        <w:ind w:left="567" w:hanging="567"/>
        <w:rPr>
          <w:b/>
          <w:bCs/>
          <w:szCs w:val="22"/>
          <w:lang w:val="hu"/>
        </w:rPr>
      </w:pPr>
      <w:r>
        <w:rPr>
          <w:b/>
          <w:bCs/>
          <w:szCs w:val="22"/>
          <w:lang w:val="hu"/>
        </w:rPr>
        <w:t>6.1.</w:t>
      </w:r>
      <w:r>
        <w:rPr>
          <w:b/>
          <w:bCs/>
          <w:szCs w:val="22"/>
          <w:lang w:val="hu"/>
        </w:rPr>
        <w:tab/>
        <w:t>Segédanyagok felsorolása</w:t>
      </w:r>
    </w:p>
    <w:p w14:paraId="31431B6F" w14:textId="77777777" w:rsidR="00337D7F" w:rsidRPr="00087EE4" w:rsidRDefault="00337D7F">
      <w:pPr>
        <w:keepNext/>
        <w:autoSpaceDE w:val="0"/>
        <w:autoSpaceDN w:val="0"/>
        <w:adjustRightInd w:val="0"/>
        <w:rPr>
          <w:color w:val="000000"/>
          <w:szCs w:val="22"/>
          <w:lang w:val="hu"/>
        </w:rPr>
      </w:pPr>
    </w:p>
    <w:p w14:paraId="76803CD9" w14:textId="77777777" w:rsidR="00337D7F" w:rsidRPr="00087EE4" w:rsidRDefault="00087EE4">
      <w:pPr>
        <w:autoSpaceDE w:val="0"/>
        <w:autoSpaceDN w:val="0"/>
        <w:adjustRightInd w:val="0"/>
        <w:rPr>
          <w:color w:val="000000"/>
          <w:lang w:val="hu"/>
        </w:rPr>
      </w:pPr>
      <w:r>
        <w:rPr>
          <w:color w:val="000000"/>
          <w:lang w:val="hu"/>
        </w:rPr>
        <w:t>A kapszula tartalma:</w:t>
      </w:r>
    </w:p>
    <w:p w14:paraId="30AB54A2" w14:textId="77777777" w:rsidR="00337D7F" w:rsidRPr="00087EE4" w:rsidRDefault="00087EE4">
      <w:pPr>
        <w:autoSpaceDE w:val="0"/>
        <w:autoSpaceDN w:val="0"/>
        <w:adjustRightInd w:val="0"/>
        <w:rPr>
          <w:color w:val="000000"/>
          <w:szCs w:val="22"/>
          <w:lang w:val="hu"/>
        </w:rPr>
      </w:pPr>
      <w:r>
        <w:rPr>
          <w:color w:val="000000"/>
          <w:szCs w:val="22"/>
          <w:lang w:val="hu"/>
        </w:rPr>
        <w:t>Kukoricakeményítő</w:t>
      </w:r>
    </w:p>
    <w:p w14:paraId="1F06EA33" w14:textId="68A2F973" w:rsidR="00D33BBF" w:rsidRDefault="009321B7">
      <w:pPr>
        <w:autoSpaceDE w:val="0"/>
        <w:autoSpaceDN w:val="0"/>
        <w:adjustRightInd w:val="0"/>
        <w:rPr>
          <w:color w:val="000000"/>
          <w:szCs w:val="22"/>
          <w:lang w:val="hu"/>
        </w:rPr>
      </w:pPr>
      <w:r>
        <w:rPr>
          <w:color w:val="000000"/>
          <w:szCs w:val="22"/>
          <w:lang w:val="hu"/>
        </w:rPr>
        <w:t>H</w:t>
      </w:r>
      <w:r w:rsidR="00D33BBF" w:rsidRPr="00D33BBF">
        <w:rPr>
          <w:color w:val="000000"/>
          <w:szCs w:val="22"/>
          <w:lang w:val="hu"/>
        </w:rPr>
        <w:t>idegen duzzadó kukoricakeményítő</w:t>
      </w:r>
      <w:r w:rsidR="00D33BBF" w:rsidRPr="00D33BBF" w:rsidDel="00D33BBF">
        <w:rPr>
          <w:color w:val="000000"/>
          <w:szCs w:val="22"/>
          <w:lang w:val="hu"/>
        </w:rPr>
        <w:t xml:space="preserve"> </w:t>
      </w:r>
    </w:p>
    <w:p w14:paraId="57188C90" w14:textId="77777777" w:rsidR="00337D7F" w:rsidRPr="00087EE4" w:rsidRDefault="00087EE4">
      <w:pPr>
        <w:autoSpaceDE w:val="0"/>
        <w:autoSpaceDN w:val="0"/>
        <w:adjustRightInd w:val="0"/>
        <w:rPr>
          <w:color w:val="000000"/>
          <w:szCs w:val="22"/>
          <w:lang w:val="hu"/>
        </w:rPr>
      </w:pPr>
      <w:r>
        <w:rPr>
          <w:color w:val="000000"/>
          <w:szCs w:val="22"/>
          <w:lang w:val="hu"/>
        </w:rPr>
        <w:t>Vízmentes kolloid szilícium-dioxid</w:t>
      </w:r>
    </w:p>
    <w:p w14:paraId="63D54C66" w14:textId="77777777" w:rsidR="00337D7F" w:rsidRPr="00087EE4" w:rsidRDefault="00087EE4">
      <w:pPr>
        <w:autoSpaceDE w:val="0"/>
        <w:autoSpaceDN w:val="0"/>
        <w:adjustRightInd w:val="0"/>
        <w:rPr>
          <w:color w:val="000000"/>
          <w:szCs w:val="22"/>
          <w:lang w:val="hu"/>
        </w:rPr>
      </w:pPr>
      <w:r>
        <w:rPr>
          <w:color w:val="000000"/>
          <w:szCs w:val="22"/>
          <w:lang w:val="hu"/>
        </w:rPr>
        <w:t>Magnézium-sztearát</w:t>
      </w:r>
    </w:p>
    <w:p w14:paraId="08E0C7F7" w14:textId="77777777" w:rsidR="00337D7F" w:rsidRPr="00087EE4" w:rsidRDefault="00337D7F">
      <w:pPr>
        <w:autoSpaceDE w:val="0"/>
        <w:autoSpaceDN w:val="0"/>
        <w:adjustRightInd w:val="0"/>
        <w:rPr>
          <w:color w:val="000000"/>
          <w:szCs w:val="22"/>
          <w:lang w:val="hu"/>
        </w:rPr>
      </w:pPr>
    </w:p>
    <w:p w14:paraId="3263F937" w14:textId="77777777" w:rsidR="00337D7F" w:rsidRPr="00087EE4" w:rsidRDefault="00087EE4">
      <w:pPr>
        <w:autoSpaceDE w:val="0"/>
        <w:autoSpaceDN w:val="0"/>
        <w:adjustRightInd w:val="0"/>
        <w:rPr>
          <w:color w:val="000000"/>
          <w:szCs w:val="22"/>
          <w:lang w:val="hu"/>
        </w:rPr>
      </w:pPr>
      <w:r>
        <w:rPr>
          <w:color w:val="000000"/>
          <w:lang w:val="hu"/>
        </w:rPr>
        <w:t>Kapszulahéj:</w:t>
      </w:r>
    </w:p>
    <w:p w14:paraId="405C8C72" w14:textId="77777777" w:rsidR="00337D7F" w:rsidRPr="00087EE4" w:rsidRDefault="00087EE4">
      <w:pPr>
        <w:autoSpaceDE w:val="0"/>
        <w:autoSpaceDN w:val="0"/>
        <w:adjustRightInd w:val="0"/>
        <w:rPr>
          <w:color w:val="000000"/>
          <w:szCs w:val="22"/>
          <w:lang w:val="hu"/>
        </w:rPr>
      </w:pPr>
      <w:r>
        <w:rPr>
          <w:color w:val="000000"/>
          <w:szCs w:val="22"/>
          <w:lang w:val="hu"/>
        </w:rPr>
        <w:t>Zselatin</w:t>
      </w:r>
    </w:p>
    <w:p w14:paraId="3984C69C" w14:textId="77777777" w:rsidR="00337D7F" w:rsidRPr="00087EE4" w:rsidRDefault="00087EE4">
      <w:pPr>
        <w:autoSpaceDE w:val="0"/>
        <w:autoSpaceDN w:val="0"/>
        <w:adjustRightInd w:val="0"/>
        <w:rPr>
          <w:color w:val="000000"/>
          <w:szCs w:val="22"/>
          <w:lang w:val="hu"/>
        </w:rPr>
      </w:pPr>
      <w:r>
        <w:rPr>
          <w:color w:val="000000"/>
          <w:szCs w:val="22"/>
          <w:lang w:val="hu"/>
        </w:rPr>
        <w:t>Titán-dioxid (E171)</w:t>
      </w:r>
    </w:p>
    <w:p w14:paraId="35C4164E" w14:textId="77777777" w:rsidR="00337D7F" w:rsidRPr="00087EE4" w:rsidRDefault="00337D7F">
      <w:pPr>
        <w:rPr>
          <w:szCs w:val="22"/>
          <w:lang w:val="hu"/>
        </w:rPr>
      </w:pPr>
    </w:p>
    <w:p w14:paraId="3E987AB0" w14:textId="77777777" w:rsidR="00337D7F" w:rsidRPr="00087EE4" w:rsidRDefault="00087EE4">
      <w:pPr>
        <w:keepNext/>
        <w:ind w:left="567" w:hanging="567"/>
        <w:rPr>
          <w:szCs w:val="22"/>
          <w:lang w:val="hu"/>
        </w:rPr>
      </w:pPr>
      <w:r>
        <w:rPr>
          <w:b/>
          <w:bCs/>
          <w:szCs w:val="22"/>
          <w:lang w:val="hu"/>
        </w:rPr>
        <w:t>6.2</w:t>
      </w:r>
      <w:r>
        <w:rPr>
          <w:b/>
          <w:bCs/>
          <w:szCs w:val="22"/>
          <w:lang w:val="hu"/>
        </w:rPr>
        <w:tab/>
        <w:t>Inkompatibilitások</w:t>
      </w:r>
    </w:p>
    <w:p w14:paraId="7AA78F4B" w14:textId="77777777" w:rsidR="00337D7F" w:rsidRPr="00087EE4" w:rsidRDefault="00337D7F">
      <w:pPr>
        <w:keepNext/>
        <w:rPr>
          <w:szCs w:val="22"/>
          <w:lang w:val="hu"/>
        </w:rPr>
      </w:pPr>
    </w:p>
    <w:p w14:paraId="09313CE4" w14:textId="77777777" w:rsidR="00337D7F" w:rsidRPr="00087EE4" w:rsidRDefault="00087EE4">
      <w:pPr>
        <w:rPr>
          <w:szCs w:val="22"/>
          <w:lang w:val="hu"/>
        </w:rPr>
      </w:pPr>
      <w:r>
        <w:rPr>
          <w:szCs w:val="22"/>
          <w:lang w:val="hu"/>
        </w:rPr>
        <w:t>Nem értelmezhető.</w:t>
      </w:r>
    </w:p>
    <w:p w14:paraId="40F9A80E" w14:textId="77777777" w:rsidR="00337D7F" w:rsidRPr="00087EE4" w:rsidRDefault="00337D7F">
      <w:pPr>
        <w:rPr>
          <w:szCs w:val="22"/>
          <w:lang w:val="hu"/>
        </w:rPr>
      </w:pPr>
    </w:p>
    <w:p w14:paraId="44B107E3" w14:textId="77777777" w:rsidR="00337D7F" w:rsidRPr="00087EE4" w:rsidRDefault="00087EE4">
      <w:pPr>
        <w:keepNext/>
        <w:ind w:left="567" w:hanging="567"/>
        <w:rPr>
          <w:szCs w:val="22"/>
          <w:lang w:val="hu"/>
        </w:rPr>
      </w:pPr>
      <w:r>
        <w:rPr>
          <w:b/>
          <w:bCs/>
          <w:szCs w:val="22"/>
          <w:lang w:val="hu"/>
        </w:rPr>
        <w:t>6.3</w:t>
      </w:r>
      <w:r>
        <w:rPr>
          <w:b/>
          <w:bCs/>
          <w:szCs w:val="22"/>
          <w:lang w:val="hu"/>
        </w:rPr>
        <w:tab/>
        <w:t>Felhasználhatósági időtartam</w:t>
      </w:r>
    </w:p>
    <w:p w14:paraId="56887165" w14:textId="77777777" w:rsidR="00337D7F" w:rsidRPr="00087EE4" w:rsidRDefault="00337D7F">
      <w:pPr>
        <w:keepNext/>
        <w:rPr>
          <w:szCs w:val="22"/>
          <w:lang w:val="hu"/>
        </w:rPr>
      </w:pPr>
    </w:p>
    <w:p w14:paraId="4B73190A" w14:textId="77777777" w:rsidR="00337D7F" w:rsidRPr="00087EE4" w:rsidRDefault="00087EE4">
      <w:pPr>
        <w:rPr>
          <w:szCs w:val="22"/>
          <w:lang w:val="hu"/>
        </w:rPr>
      </w:pPr>
      <w:r>
        <w:rPr>
          <w:szCs w:val="22"/>
          <w:lang w:val="hu"/>
        </w:rPr>
        <w:t>5 év.</w:t>
      </w:r>
    </w:p>
    <w:p w14:paraId="19947D4F" w14:textId="77777777" w:rsidR="00337D7F" w:rsidRPr="00087EE4" w:rsidRDefault="00337D7F">
      <w:pPr>
        <w:rPr>
          <w:szCs w:val="22"/>
          <w:lang w:val="hu"/>
        </w:rPr>
      </w:pPr>
    </w:p>
    <w:p w14:paraId="70981005" w14:textId="77777777" w:rsidR="00337D7F" w:rsidRDefault="00087EE4">
      <w:pPr>
        <w:keepNext/>
        <w:ind w:left="567" w:hanging="567"/>
        <w:rPr>
          <w:b/>
          <w:bCs/>
          <w:szCs w:val="22"/>
          <w:lang w:val="hu"/>
        </w:rPr>
      </w:pPr>
      <w:r>
        <w:rPr>
          <w:b/>
          <w:bCs/>
          <w:szCs w:val="22"/>
          <w:lang w:val="hu"/>
        </w:rPr>
        <w:t>6.4</w:t>
      </w:r>
      <w:r>
        <w:rPr>
          <w:b/>
          <w:bCs/>
          <w:szCs w:val="22"/>
          <w:lang w:val="hu"/>
        </w:rPr>
        <w:tab/>
        <w:t>Különleges tárolási előírások</w:t>
      </w:r>
    </w:p>
    <w:p w14:paraId="14AB853B" w14:textId="77777777" w:rsidR="00337D7F" w:rsidRPr="00087EE4" w:rsidRDefault="00337D7F">
      <w:pPr>
        <w:keepNext/>
        <w:rPr>
          <w:szCs w:val="22"/>
          <w:lang w:val="hu"/>
        </w:rPr>
      </w:pPr>
    </w:p>
    <w:p w14:paraId="1322F430" w14:textId="1C8A8408" w:rsidR="00337D7F" w:rsidRPr="00087EE4" w:rsidRDefault="00D33BBF">
      <w:pPr>
        <w:rPr>
          <w:szCs w:val="22"/>
          <w:lang w:val="hu"/>
        </w:rPr>
      </w:pPr>
      <w:r w:rsidRPr="00AD6836">
        <w:rPr>
          <w:spacing w:val="-3"/>
          <w:szCs w:val="24"/>
          <w:lang w:val="hu"/>
        </w:rPr>
        <w:t>Ez a gyógyszer nem igényel különleges tárolást</w:t>
      </w:r>
      <w:r w:rsidR="00087EE4">
        <w:rPr>
          <w:szCs w:val="22"/>
          <w:lang w:val="hu"/>
        </w:rPr>
        <w:t>.</w:t>
      </w:r>
    </w:p>
    <w:p w14:paraId="3EFEA16A" w14:textId="77777777" w:rsidR="00337D7F" w:rsidRPr="00087EE4" w:rsidRDefault="00337D7F">
      <w:pPr>
        <w:rPr>
          <w:szCs w:val="22"/>
          <w:lang w:val="hu"/>
        </w:rPr>
      </w:pPr>
    </w:p>
    <w:p w14:paraId="49834064" w14:textId="77777777" w:rsidR="00337D7F" w:rsidRPr="00087EE4" w:rsidRDefault="00087EE4">
      <w:pPr>
        <w:keepNext/>
        <w:ind w:left="567" w:hanging="567"/>
        <w:rPr>
          <w:b/>
          <w:szCs w:val="22"/>
          <w:lang w:val="hu"/>
        </w:rPr>
      </w:pPr>
      <w:r>
        <w:rPr>
          <w:b/>
          <w:bCs/>
          <w:szCs w:val="22"/>
          <w:lang w:val="hu"/>
        </w:rPr>
        <w:t>6.5</w:t>
      </w:r>
      <w:r>
        <w:rPr>
          <w:b/>
          <w:bCs/>
          <w:szCs w:val="22"/>
          <w:lang w:val="hu"/>
        </w:rPr>
        <w:tab/>
        <w:t>Csomagolás típusa és kiszerelése</w:t>
      </w:r>
    </w:p>
    <w:p w14:paraId="4B4A10D9" w14:textId="77777777" w:rsidR="00337D7F" w:rsidRPr="00087EE4" w:rsidRDefault="00337D7F">
      <w:pPr>
        <w:keepNext/>
        <w:rPr>
          <w:szCs w:val="22"/>
          <w:lang w:val="hu"/>
        </w:rPr>
      </w:pPr>
    </w:p>
    <w:p w14:paraId="73752A79" w14:textId="08F7ED0B" w:rsidR="00337D7F" w:rsidRPr="00087EE4" w:rsidRDefault="00D33BBF">
      <w:pPr>
        <w:rPr>
          <w:lang w:val="hu"/>
        </w:rPr>
      </w:pPr>
      <w:r>
        <w:rPr>
          <w:lang w:val="hu"/>
        </w:rPr>
        <w:t>K</w:t>
      </w:r>
      <w:r w:rsidRPr="00D33BBF">
        <w:rPr>
          <w:lang w:val="hu"/>
        </w:rPr>
        <w:t>emény kapszulák PVC/PVDC/Al buborékcsomagolásban és dobozban</w:t>
      </w:r>
      <w:r w:rsidR="00087EE4">
        <w:rPr>
          <w:lang w:val="hu"/>
        </w:rPr>
        <w:t>.</w:t>
      </w:r>
    </w:p>
    <w:p w14:paraId="70EB5565" w14:textId="2A4D7313" w:rsidR="00337D7F" w:rsidRPr="00087EE4" w:rsidRDefault="00087EE4">
      <w:pPr>
        <w:rPr>
          <w:lang w:val="hu"/>
        </w:rPr>
      </w:pPr>
      <w:r>
        <w:rPr>
          <w:lang w:val="hu"/>
        </w:rPr>
        <w:t xml:space="preserve">Kiszerelési egység: 20, 40, 50, 60, 80 vagy 100 </w:t>
      </w:r>
      <w:r w:rsidR="00BA443F">
        <w:rPr>
          <w:lang w:val="hu"/>
        </w:rPr>
        <w:t>kapszula</w:t>
      </w:r>
      <w:r>
        <w:rPr>
          <w:lang w:val="hu"/>
        </w:rPr>
        <w:t>.</w:t>
      </w:r>
    </w:p>
    <w:p w14:paraId="0F380432" w14:textId="77777777" w:rsidR="00337D7F" w:rsidRPr="00087EE4" w:rsidRDefault="00087EE4">
      <w:pPr>
        <w:rPr>
          <w:lang w:val="hu"/>
        </w:rPr>
      </w:pPr>
      <w:r>
        <w:rPr>
          <w:lang w:val="hu"/>
        </w:rPr>
        <w:t>Nem feltétlenül mindegyik kiszerelés kerül kereskedelmi forgalomba.</w:t>
      </w:r>
    </w:p>
    <w:p w14:paraId="7305B96B" w14:textId="77777777" w:rsidR="00337D7F" w:rsidRPr="00087EE4" w:rsidRDefault="00337D7F">
      <w:pPr>
        <w:rPr>
          <w:lang w:val="hu"/>
        </w:rPr>
      </w:pPr>
    </w:p>
    <w:p w14:paraId="3DA7341C" w14:textId="77777777" w:rsidR="00337D7F" w:rsidRDefault="00087EE4">
      <w:pPr>
        <w:keepNext/>
        <w:ind w:left="567" w:hanging="567"/>
        <w:rPr>
          <w:b/>
          <w:bCs/>
          <w:szCs w:val="22"/>
          <w:lang w:val="hu"/>
        </w:rPr>
      </w:pPr>
      <w:r>
        <w:rPr>
          <w:b/>
          <w:bCs/>
          <w:szCs w:val="22"/>
          <w:lang w:val="hu"/>
        </w:rPr>
        <w:t>6.6</w:t>
      </w:r>
      <w:r>
        <w:rPr>
          <w:b/>
          <w:bCs/>
          <w:szCs w:val="22"/>
          <w:lang w:val="hu"/>
        </w:rPr>
        <w:tab/>
        <w:t>A megsemmisítésre vonatkozó különleges óvintézkedések és egyéb, a készítmény kezelésével kapcsolatos információk</w:t>
      </w:r>
    </w:p>
    <w:p w14:paraId="5286E1EC" w14:textId="77777777" w:rsidR="00337D7F" w:rsidRPr="00087EE4" w:rsidRDefault="00337D7F">
      <w:pPr>
        <w:keepNext/>
        <w:rPr>
          <w:szCs w:val="22"/>
          <w:lang w:val="hu"/>
        </w:rPr>
      </w:pPr>
    </w:p>
    <w:p w14:paraId="1B960D14" w14:textId="77777777" w:rsidR="00337D7F" w:rsidRPr="00087EE4" w:rsidRDefault="00087EE4">
      <w:pPr>
        <w:rPr>
          <w:szCs w:val="22"/>
          <w:lang w:val="hu"/>
        </w:rPr>
      </w:pPr>
      <w:r>
        <w:rPr>
          <w:szCs w:val="22"/>
          <w:lang w:val="hu"/>
        </w:rPr>
        <w:t>Nincsenek különleges előírások.</w:t>
      </w:r>
    </w:p>
    <w:p w14:paraId="668072C8" w14:textId="5F7AD02A" w:rsidR="00337D7F" w:rsidRDefault="00087EE4">
      <w:pPr>
        <w:rPr>
          <w:lang w:val="hu"/>
        </w:rPr>
      </w:pPr>
      <w:r>
        <w:rPr>
          <w:lang w:val="hu"/>
        </w:rPr>
        <w:t>Bármilyen fel nem használt gyógyszer, illetve hulladékanyag megsemmisítését a gyógyszerekre vonatkozó előírások szerint kell végrehajtani.</w:t>
      </w:r>
    </w:p>
    <w:p w14:paraId="0590C00A" w14:textId="09E6386A" w:rsidR="009321B7" w:rsidRDefault="009321B7">
      <w:pPr>
        <w:rPr>
          <w:lang w:val="hu"/>
        </w:rPr>
      </w:pPr>
    </w:p>
    <w:p w14:paraId="600EE48A" w14:textId="77777777" w:rsidR="009321B7" w:rsidRPr="00087EE4" w:rsidRDefault="009321B7">
      <w:pPr>
        <w:rPr>
          <w:lang w:val="hu"/>
        </w:rPr>
      </w:pPr>
    </w:p>
    <w:p w14:paraId="4971DC6A" w14:textId="77777777" w:rsidR="009321B7" w:rsidRDefault="009321B7" w:rsidP="009321B7">
      <w:pPr>
        <w:tabs>
          <w:tab w:val="left" w:pos="2415"/>
        </w:tabs>
        <w:rPr>
          <w:rFonts w:eastAsia="Luxi Sans"/>
          <w:szCs w:val="22"/>
          <w:lang w:val="hu-HU" w:eastAsia="hu-HU"/>
        </w:rPr>
      </w:pPr>
      <w:r w:rsidRPr="00AD6836">
        <w:rPr>
          <w:b/>
          <w:szCs w:val="22"/>
          <w:lang w:val="hu"/>
        </w:rPr>
        <w:lastRenderedPageBreak/>
        <w:t>Megjegyzés</w:t>
      </w:r>
      <w:r w:rsidRPr="00AD6836">
        <w:rPr>
          <w:szCs w:val="22"/>
          <w:lang w:val="hu"/>
        </w:rPr>
        <w:t xml:space="preserve">: </w:t>
      </w:r>
      <w:r>
        <w:rPr>
          <w:szCs w:val="22"/>
        </w:rPr>
        <w:sym w:font="Wingdings" w:char="F058"/>
      </w:r>
      <w:r w:rsidRPr="00AD6836">
        <w:rPr>
          <w:b/>
          <w:bCs/>
          <w:szCs w:val="22"/>
          <w:lang w:val="hu"/>
        </w:rPr>
        <w:t xml:space="preserve"> </w:t>
      </w:r>
      <w:r w:rsidRPr="00AD6836">
        <w:rPr>
          <w:szCs w:val="22"/>
          <w:lang w:val="hu"/>
        </w:rPr>
        <w:t>(egykeresztes).</w:t>
      </w:r>
    </w:p>
    <w:p w14:paraId="30219ADC" w14:textId="77777777" w:rsidR="009321B7" w:rsidRPr="00AD6836" w:rsidRDefault="009321B7" w:rsidP="009321B7">
      <w:pPr>
        <w:ind w:left="270" w:hanging="255"/>
        <w:rPr>
          <w:szCs w:val="22"/>
          <w:lang w:val="hu"/>
        </w:rPr>
      </w:pPr>
      <w:r w:rsidRPr="00AD6836">
        <w:rPr>
          <w:szCs w:val="22"/>
          <w:lang w:val="hu"/>
        </w:rPr>
        <w:t xml:space="preserve">Osztályozás: </w:t>
      </w:r>
      <w:r w:rsidRPr="00AD6836">
        <w:rPr>
          <w:b/>
          <w:bCs/>
          <w:szCs w:val="22"/>
          <w:lang w:val="hu"/>
        </w:rPr>
        <w:t>II. csoport.</w:t>
      </w:r>
      <w:r w:rsidRPr="00AD6836">
        <w:rPr>
          <w:szCs w:val="22"/>
          <w:lang w:val="hu"/>
        </w:rPr>
        <w:t xml:space="preserve"> </w:t>
      </w:r>
    </w:p>
    <w:p w14:paraId="143EC749" w14:textId="77777777" w:rsidR="009321B7" w:rsidRPr="00AD6836" w:rsidRDefault="009321B7" w:rsidP="009321B7">
      <w:pPr>
        <w:ind w:left="270" w:hanging="255"/>
        <w:rPr>
          <w:szCs w:val="22"/>
          <w:lang w:val="hu"/>
        </w:rPr>
      </w:pPr>
      <w:r w:rsidRPr="00AD6836">
        <w:rPr>
          <w:szCs w:val="22"/>
          <w:lang w:val="hu"/>
        </w:rPr>
        <w:t>Kizárólag orvosi rendelvényhez kötött gyógyszer (V).</w:t>
      </w:r>
    </w:p>
    <w:p w14:paraId="68C05D89" w14:textId="61B71937" w:rsidR="00337D7F" w:rsidRPr="00087EE4" w:rsidRDefault="00337D7F">
      <w:pPr>
        <w:rPr>
          <w:szCs w:val="22"/>
          <w:lang w:val="hu"/>
        </w:rPr>
      </w:pPr>
    </w:p>
    <w:p w14:paraId="36D14CC7" w14:textId="77777777" w:rsidR="00337D7F" w:rsidRPr="00087EE4" w:rsidRDefault="00337D7F">
      <w:pPr>
        <w:rPr>
          <w:szCs w:val="22"/>
          <w:lang w:val="hu"/>
        </w:rPr>
      </w:pPr>
    </w:p>
    <w:p w14:paraId="167B3960" w14:textId="77777777" w:rsidR="00337D7F" w:rsidRDefault="00087EE4">
      <w:pPr>
        <w:keepNext/>
        <w:ind w:left="567" w:hanging="567"/>
        <w:rPr>
          <w:b/>
          <w:bCs/>
          <w:szCs w:val="22"/>
          <w:lang w:val="hu"/>
        </w:rPr>
      </w:pPr>
      <w:r>
        <w:rPr>
          <w:b/>
          <w:bCs/>
          <w:szCs w:val="22"/>
          <w:lang w:val="hu"/>
        </w:rPr>
        <w:t>7.</w:t>
      </w:r>
      <w:r>
        <w:rPr>
          <w:b/>
          <w:bCs/>
          <w:szCs w:val="22"/>
          <w:lang w:val="hu"/>
        </w:rPr>
        <w:tab/>
        <w:t>A FORGALOMBA HOZATALI ENGEDÉLY JOGOSULTJA</w:t>
      </w:r>
    </w:p>
    <w:p w14:paraId="1054CB81" w14:textId="77777777" w:rsidR="00337D7F" w:rsidRPr="00087EE4" w:rsidRDefault="00337D7F">
      <w:pPr>
        <w:keepNext/>
        <w:rPr>
          <w:szCs w:val="22"/>
          <w:lang w:val="hu"/>
        </w:rPr>
      </w:pPr>
    </w:p>
    <w:p w14:paraId="193C7C52" w14:textId="5AFE63CC" w:rsidR="00337D7F" w:rsidRDefault="00087EE4">
      <w:pPr>
        <w:rPr>
          <w:szCs w:val="22"/>
          <w:lang w:val="hu"/>
        </w:rPr>
      </w:pPr>
      <w:r w:rsidRPr="00087EE4">
        <w:rPr>
          <w:szCs w:val="22"/>
          <w:lang w:val="hu"/>
        </w:rPr>
        <w:t>Kappler Pharma Consult GmbH, Fonyoder Straße 18, 89340 Leipheim, Németország</w:t>
      </w:r>
    </w:p>
    <w:p w14:paraId="6C47657E" w14:textId="77777777" w:rsidR="00F4333E" w:rsidRPr="00087EE4" w:rsidRDefault="00F4333E">
      <w:pPr>
        <w:rPr>
          <w:szCs w:val="22"/>
          <w:lang w:val="hu"/>
        </w:rPr>
      </w:pPr>
    </w:p>
    <w:p w14:paraId="407A24C4" w14:textId="77777777" w:rsidR="00337D7F" w:rsidRPr="00087EE4" w:rsidRDefault="00337D7F">
      <w:pPr>
        <w:rPr>
          <w:szCs w:val="22"/>
          <w:lang w:val="hu"/>
        </w:rPr>
      </w:pPr>
    </w:p>
    <w:p w14:paraId="28E137EA" w14:textId="77777777" w:rsidR="00337D7F" w:rsidRPr="00087EE4" w:rsidRDefault="00087EE4">
      <w:pPr>
        <w:keepNext/>
        <w:ind w:left="567" w:hanging="567"/>
        <w:rPr>
          <w:b/>
          <w:szCs w:val="22"/>
          <w:lang w:val="it-IT"/>
        </w:rPr>
      </w:pPr>
      <w:r>
        <w:rPr>
          <w:b/>
          <w:bCs/>
          <w:szCs w:val="22"/>
          <w:lang w:val="hu"/>
        </w:rPr>
        <w:t>8.</w:t>
      </w:r>
      <w:r>
        <w:rPr>
          <w:b/>
          <w:bCs/>
          <w:szCs w:val="22"/>
          <w:lang w:val="hu"/>
        </w:rPr>
        <w:tab/>
        <w:t>A FORGALOMBA HOZATALI ENGEDÉLY SZÁMA(I)</w:t>
      </w:r>
    </w:p>
    <w:p w14:paraId="632AD523" w14:textId="77777777" w:rsidR="00337D7F" w:rsidRPr="00087EE4" w:rsidRDefault="00337D7F">
      <w:pPr>
        <w:keepNext/>
        <w:rPr>
          <w:szCs w:val="22"/>
          <w:lang w:val="it-IT"/>
        </w:rPr>
      </w:pPr>
    </w:p>
    <w:p w14:paraId="3223F847" w14:textId="40C0D5FB" w:rsidR="0055234B" w:rsidRPr="0055234B" w:rsidRDefault="0055234B" w:rsidP="0055234B">
      <w:pPr>
        <w:keepNext/>
        <w:rPr>
          <w:szCs w:val="22"/>
          <w:lang w:val="hu"/>
        </w:rPr>
      </w:pPr>
      <w:r>
        <w:rPr>
          <w:szCs w:val="22"/>
          <w:lang w:val="hu"/>
        </w:rPr>
        <w:t>OGYI-T-23988/01</w:t>
      </w:r>
      <w:r>
        <w:rPr>
          <w:szCs w:val="22"/>
          <w:lang w:val="hu"/>
        </w:rPr>
        <w:tab/>
        <w:t>20×</w:t>
      </w:r>
    </w:p>
    <w:p w14:paraId="28F88227" w14:textId="489D9416" w:rsidR="0055234B" w:rsidRPr="0055234B" w:rsidRDefault="0055234B" w:rsidP="0055234B">
      <w:pPr>
        <w:keepNext/>
        <w:rPr>
          <w:szCs w:val="22"/>
          <w:lang w:val="hu"/>
        </w:rPr>
      </w:pPr>
      <w:r>
        <w:rPr>
          <w:szCs w:val="22"/>
          <w:lang w:val="hu"/>
        </w:rPr>
        <w:t>OGYI-T-23988/02</w:t>
      </w:r>
      <w:r>
        <w:rPr>
          <w:szCs w:val="22"/>
          <w:lang w:val="hu"/>
        </w:rPr>
        <w:tab/>
        <w:t>40×</w:t>
      </w:r>
    </w:p>
    <w:p w14:paraId="60A5DB25" w14:textId="0956E429" w:rsidR="0055234B" w:rsidRPr="0055234B" w:rsidRDefault="0055234B" w:rsidP="0055234B">
      <w:pPr>
        <w:keepNext/>
        <w:rPr>
          <w:szCs w:val="22"/>
          <w:lang w:val="hu"/>
        </w:rPr>
      </w:pPr>
      <w:r>
        <w:rPr>
          <w:szCs w:val="22"/>
          <w:lang w:val="hu"/>
        </w:rPr>
        <w:t>OGYI-T-23988/03</w:t>
      </w:r>
      <w:r>
        <w:rPr>
          <w:szCs w:val="22"/>
          <w:lang w:val="hu"/>
        </w:rPr>
        <w:tab/>
        <w:t>50×</w:t>
      </w:r>
    </w:p>
    <w:p w14:paraId="55D5177F" w14:textId="13F8D232" w:rsidR="0055234B" w:rsidRPr="0055234B" w:rsidRDefault="0055234B" w:rsidP="0055234B">
      <w:pPr>
        <w:keepNext/>
        <w:rPr>
          <w:szCs w:val="22"/>
          <w:lang w:val="hu"/>
        </w:rPr>
      </w:pPr>
      <w:r>
        <w:rPr>
          <w:szCs w:val="22"/>
          <w:lang w:val="hu"/>
        </w:rPr>
        <w:t>OGYI-T-23988/04</w:t>
      </w:r>
      <w:r>
        <w:rPr>
          <w:szCs w:val="22"/>
          <w:lang w:val="hu"/>
        </w:rPr>
        <w:tab/>
        <w:t>60×</w:t>
      </w:r>
    </w:p>
    <w:p w14:paraId="6AF3430B" w14:textId="0156238C" w:rsidR="0055234B" w:rsidRPr="0055234B" w:rsidRDefault="0055234B" w:rsidP="0055234B">
      <w:pPr>
        <w:keepNext/>
        <w:rPr>
          <w:szCs w:val="22"/>
          <w:lang w:val="hu"/>
        </w:rPr>
      </w:pPr>
      <w:r>
        <w:rPr>
          <w:szCs w:val="22"/>
          <w:lang w:val="hu"/>
        </w:rPr>
        <w:t>OGYI-T-23988/05</w:t>
      </w:r>
      <w:r>
        <w:rPr>
          <w:szCs w:val="22"/>
          <w:lang w:val="hu"/>
        </w:rPr>
        <w:tab/>
        <w:t>80×</w:t>
      </w:r>
    </w:p>
    <w:p w14:paraId="08C4FBA3" w14:textId="5C8A2763" w:rsidR="00337D7F" w:rsidRPr="00087EE4" w:rsidRDefault="0055234B">
      <w:pPr>
        <w:rPr>
          <w:szCs w:val="22"/>
          <w:lang w:val="it-IT"/>
        </w:rPr>
      </w:pPr>
      <w:r>
        <w:rPr>
          <w:szCs w:val="22"/>
          <w:lang w:val="hu"/>
        </w:rPr>
        <w:t>OGYI-T-23988/06</w:t>
      </w:r>
      <w:r>
        <w:rPr>
          <w:szCs w:val="22"/>
          <w:lang w:val="hu"/>
        </w:rPr>
        <w:tab/>
        <w:t>100×</w:t>
      </w:r>
    </w:p>
    <w:p w14:paraId="07F663C6" w14:textId="4C19FC10" w:rsidR="00337D7F" w:rsidRDefault="00337D7F">
      <w:pPr>
        <w:rPr>
          <w:szCs w:val="22"/>
          <w:lang w:val="it-IT"/>
        </w:rPr>
      </w:pPr>
    </w:p>
    <w:p w14:paraId="1BE7C37D" w14:textId="77777777" w:rsidR="0055234B" w:rsidRPr="00087EE4" w:rsidRDefault="0055234B">
      <w:pPr>
        <w:rPr>
          <w:szCs w:val="22"/>
          <w:lang w:val="it-IT"/>
        </w:rPr>
      </w:pPr>
    </w:p>
    <w:p w14:paraId="125E6851" w14:textId="77777777" w:rsidR="00337D7F" w:rsidRDefault="00087EE4">
      <w:pPr>
        <w:keepNext/>
        <w:ind w:left="567" w:hanging="567"/>
        <w:rPr>
          <w:b/>
          <w:bCs/>
          <w:szCs w:val="22"/>
          <w:lang w:val="hu"/>
        </w:rPr>
      </w:pPr>
      <w:r>
        <w:rPr>
          <w:b/>
          <w:bCs/>
          <w:szCs w:val="22"/>
          <w:lang w:val="hu"/>
        </w:rPr>
        <w:t>9.</w:t>
      </w:r>
      <w:r>
        <w:rPr>
          <w:b/>
          <w:bCs/>
          <w:szCs w:val="22"/>
          <w:lang w:val="hu"/>
        </w:rPr>
        <w:tab/>
        <w:t>A FORGALOMBA HOZATALI ENGEDÉLY ELSŐ KIADÁSÁNAK/ MEGÚJÍTÁSÁNAK DÁTUMA</w:t>
      </w:r>
    </w:p>
    <w:p w14:paraId="4AD4A68B" w14:textId="77777777" w:rsidR="00337D7F" w:rsidRPr="00087EE4" w:rsidRDefault="00337D7F">
      <w:pPr>
        <w:keepNext/>
        <w:rPr>
          <w:szCs w:val="22"/>
          <w:lang w:val="it-IT"/>
        </w:rPr>
      </w:pPr>
    </w:p>
    <w:p w14:paraId="5B060866" w14:textId="132EEBFB" w:rsidR="00337D7F" w:rsidRPr="00087EE4" w:rsidRDefault="00087EE4">
      <w:pPr>
        <w:rPr>
          <w:szCs w:val="22"/>
          <w:lang w:val="it-IT"/>
        </w:rPr>
      </w:pPr>
      <w:r>
        <w:rPr>
          <w:szCs w:val="22"/>
          <w:lang w:val="hu"/>
        </w:rPr>
        <w:t xml:space="preserve">A forgalomba hozatali engedély első kiadásának dátuma: </w:t>
      </w:r>
      <w:r w:rsidR="0055234B">
        <w:rPr>
          <w:szCs w:val="22"/>
          <w:lang w:val="hu"/>
        </w:rPr>
        <w:t>2021. december 21.</w:t>
      </w:r>
    </w:p>
    <w:p w14:paraId="117D0C19" w14:textId="51398A79" w:rsidR="00337D7F" w:rsidRDefault="00337D7F">
      <w:pPr>
        <w:rPr>
          <w:szCs w:val="22"/>
          <w:lang w:val="hu-HU"/>
        </w:rPr>
      </w:pPr>
    </w:p>
    <w:p w14:paraId="0545C2CC" w14:textId="77777777" w:rsidR="00337D7F" w:rsidRPr="00087EE4" w:rsidRDefault="00337D7F">
      <w:pPr>
        <w:rPr>
          <w:szCs w:val="22"/>
          <w:lang w:val="it-IT"/>
        </w:rPr>
      </w:pPr>
    </w:p>
    <w:p w14:paraId="604EC9EC" w14:textId="77777777" w:rsidR="00337D7F" w:rsidRDefault="00087EE4">
      <w:pPr>
        <w:keepNext/>
        <w:ind w:left="567" w:hanging="567"/>
        <w:rPr>
          <w:b/>
          <w:bCs/>
          <w:szCs w:val="22"/>
          <w:lang w:val="hu"/>
        </w:rPr>
      </w:pPr>
      <w:r>
        <w:rPr>
          <w:b/>
          <w:bCs/>
          <w:szCs w:val="22"/>
          <w:lang w:val="hu"/>
        </w:rPr>
        <w:t>10</w:t>
      </w:r>
      <w:r>
        <w:rPr>
          <w:b/>
          <w:bCs/>
          <w:szCs w:val="22"/>
          <w:lang w:val="hu"/>
        </w:rPr>
        <w:tab/>
        <w:t>A SZÖVEG ELLENŐRZÉSÉNEK DÁTUMA</w:t>
      </w:r>
    </w:p>
    <w:p w14:paraId="49A55D51" w14:textId="77777777" w:rsidR="00337D7F" w:rsidRPr="00087EE4" w:rsidRDefault="00337D7F">
      <w:pPr>
        <w:keepNext/>
        <w:rPr>
          <w:szCs w:val="22"/>
          <w:lang w:val="it-IT"/>
        </w:rPr>
      </w:pPr>
    </w:p>
    <w:p w14:paraId="75296582" w14:textId="2B3F2CEC" w:rsidR="00337D7F" w:rsidRPr="00087EE4" w:rsidRDefault="0002465F">
      <w:pPr>
        <w:rPr>
          <w:szCs w:val="22"/>
          <w:lang w:val="it-IT"/>
        </w:rPr>
      </w:pPr>
      <w:r>
        <w:rPr>
          <w:szCs w:val="22"/>
          <w:lang w:val="hu"/>
        </w:rPr>
        <w:t>2026. március 14.</w:t>
      </w:r>
    </w:p>
    <w:p w14:paraId="50282B14" w14:textId="77777777" w:rsidR="00337D7F" w:rsidRPr="00087EE4" w:rsidRDefault="00337D7F">
      <w:pPr>
        <w:rPr>
          <w:lang w:val="it-IT"/>
        </w:rPr>
      </w:pPr>
    </w:p>
    <w:sectPr w:rsidR="00337D7F" w:rsidRPr="00087EE4" w:rsidSect="00CF08F0">
      <w:headerReference w:type="default" r:id="rId8"/>
      <w:footerReference w:type="default" r:id="rId9"/>
      <w:footerReference w:type="first" r:id="rId10"/>
      <w:pgSz w:w="11906" w:h="16838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AAA8B9" w14:textId="77777777" w:rsidR="00FA79DE" w:rsidRDefault="00FA79DE">
      <w:r>
        <w:separator/>
      </w:r>
    </w:p>
  </w:endnote>
  <w:endnote w:type="continuationSeparator" w:id="0">
    <w:p w14:paraId="296FD857" w14:textId="77777777" w:rsidR="00FA79DE" w:rsidRDefault="00FA79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xi Sans">
    <w:altName w:val="Times New Roman"/>
    <w:charset w:val="00"/>
    <w:family w:val="auto"/>
    <w:pitch w:val="variable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61E89" w14:textId="6527E159" w:rsidR="00895A03" w:rsidRDefault="00895A03">
    <w:pPr>
      <w:pStyle w:val="llb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F941C5" w14:textId="6E0CC651" w:rsidR="00CF08F0" w:rsidRPr="00CF08F0" w:rsidRDefault="00670A34">
    <w:pPr>
      <w:pStyle w:val="llb"/>
      <w:rPr>
        <w:sz w:val="18"/>
        <w:szCs w:val="18"/>
      </w:rPr>
    </w:pPr>
    <w:r w:rsidRPr="00670A34">
      <w:rPr>
        <w:sz w:val="18"/>
        <w:szCs w:val="18"/>
      </w:rPr>
      <w:t>NNGYK/ETGY/7998/2026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42DA0B" w14:textId="77777777" w:rsidR="00FA79DE" w:rsidRDefault="00FA79DE">
      <w:r>
        <w:separator/>
      </w:r>
    </w:p>
  </w:footnote>
  <w:footnote w:type="continuationSeparator" w:id="0">
    <w:p w14:paraId="32A12B21" w14:textId="77777777" w:rsidR="00FA79DE" w:rsidRDefault="00FA79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  <w:szCs w:val="18"/>
      </w:rPr>
      <w:id w:val="-555391522"/>
      <w:docPartObj>
        <w:docPartGallery w:val="Page Numbers (Top of Page)"/>
        <w:docPartUnique/>
      </w:docPartObj>
    </w:sdtPr>
    <w:sdtEndPr/>
    <w:sdtContent>
      <w:p w14:paraId="45982284" w14:textId="09872256" w:rsidR="00895A03" w:rsidRPr="00CF08F0" w:rsidRDefault="00895A03">
        <w:pPr>
          <w:pStyle w:val="lfej"/>
          <w:jc w:val="center"/>
          <w:rPr>
            <w:sz w:val="18"/>
            <w:szCs w:val="18"/>
          </w:rPr>
        </w:pPr>
        <w:r w:rsidRPr="00CF08F0">
          <w:rPr>
            <w:sz w:val="18"/>
            <w:szCs w:val="18"/>
          </w:rPr>
          <w:fldChar w:fldCharType="begin"/>
        </w:r>
        <w:r w:rsidRPr="00CF08F0">
          <w:rPr>
            <w:sz w:val="18"/>
            <w:szCs w:val="18"/>
          </w:rPr>
          <w:instrText>PAGE   \* MERGEFORMAT</w:instrText>
        </w:r>
        <w:r w:rsidRPr="00CF08F0">
          <w:rPr>
            <w:sz w:val="18"/>
            <w:szCs w:val="18"/>
          </w:rPr>
          <w:fldChar w:fldCharType="separate"/>
        </w:r>
        <w:r w:rsidR="0055234B" w:rsidRPr="0055234B">
          <w:rPr>
            <w:noProof/>
            <w:sz w:val="18"/>
            <w:szCs w:val="18"/>
            <w:lang w:val="hu-HU"/>
          </w:rPr>
          <w:t>7</w:t>
        </w:r>
        <w:r w:rsidRPr="00CF08F0">
          <w:rPr>
            <w:sz w:val="18"/>
            <w:szCs w:val="18"/>
          </w:rPr>
          <w:fldChar w:fldCharType="end"/>
        </w:r>
      </w:p>
    </w:sdtContent>
  </w:sdt>
  <w:p w14:paraId="08E76C9D" w14:textId="77777777" w:rsidR="00895A03" w:rsidRDefault="00895A03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74F49"/>
    <w:multiLevelType w:val="hybridMultilevel"/>
    <w:tmpl w:val="FD36A8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6F5221"/>
    <w:multiLevelType w:val="hybridMultilevel"/>
    <w:tmpl w:val="116011DC"/>
    <w:lvl w:ilvl="0" w:tplc="E3B6729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num w:numId="1" w16cid:durableId="687175304">
    <w:abstractNumId w:val="2"/>
  </w:num>
  <w:num w:numId="2" w16cid:durableId="1276524062">
    <w:abstractNumId w:val="1"/>
  </w:num>
  <w:num w:numId="3" w16cid:durableId="17415144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7D7F"/>
    <w:rsid w:val="0002465F"/>
    <w:rsid w:val="00033861"/>
    <w:rsid w:val="0006500E"/>
    <w:rsid w:val="0007638B"/>
    <w:rsid w:val="00087EE4"/>
    <w:rsid w:val="000F0B42"/>
    <w:rsid w:val="00160129"/>
    <w:rsid w:val="001B3025"/>
    <w:rsid w:val="00337D7F"/>
    <w:rsid w:val="00365660"/>
    <w:rsid w:val="004D6581"/>
    <w:rsid w:val="00516B47"/>
    <w:rsid w:val="0052097D"/>
    <w:rsid w:val="0055234B"/>
    <w:rsid w:val="005674C8"/>
    <w:rsid w:val="005A0479"/>
    <w:rsid w:val="00645A2E"/>
    <w:rsid w:val="00660142"/>
    <w:rsid w:val="006644C5"/>
    <w:rsid w:val="00670A34"/>
    <w:rsid w:val="006A3C23"/>
    <w:rsid w:val="006E1C87"/>
    <w:rsid w:val="0074676F"/>
    <w:rsid w:val="007511A3"/>
    <w:rsid w:val="007D7A92"/>
    <w:rsid w:val="00826591"/>
    <w:rsid w:val="008656BE"/>
    <w:rsid w:val="00870E22"/>
    <w:rsid w:val="00895A03"/>
    <w:rsid w:val="008A605F"/>
    <w:rsid w:val="008C1477"/>
    <w:rsid w:val="008C4283"/>
    <w:rsid w:val="009321B7"/>
    <w:rsid w:val="00960E36"/>
    <w:rsid w:val="00A05A24"/>
    <w:rsid w:val="00A95008"/>
    <w:rsid w:val="00AD6836"/>
    <w:rsid w:val="00B16DD8"/>
    <w:rsid w:val="00BA3967"/>
    <w:rsid w:val="00BA443F"/>
    <w:rsid w:val="00BD31FE"/>
    <w:rsid w:val="00C66641"/>
    <w:rsid w:val="00CF08F0"/>
    <w:rsid w:val="00D33BBF"/>
    <w:rsid w:val="00D8532F"/>
    <w:rsid w:val="00DC5168"/>
    <w:rsid w:val="00DC69D9"/>
    <w:rsid w:val="00E743D4"/>
    <w:rsid w:val="00ED306A"/>
    <w:rsid w:val="00F4333E"/>
    <w:rsid w:val="00FA228C"/>
    <w:rsid w:val="00FA79DE"/>
    <w:rsid w:val="00FD2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2338AF"/>
  <w15:chartTrackingRefBased/>
  <w15:docId w15:val="{F5C8AB78-AB2D-4BB7-AFCD-2A746C33E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spacing w:after="0" w:line="240" w:lineRule="auto"/>
    </w:pPr>
    <w:rPr>
      <w:rFonts w:ascii="Times New Roman" w:eastAsiaTheme="minorEastAsia" w:hAnsi="Times New Roman" w:cs="Times New Roman"/>
      <w:szCs w:val="20"/>
      <w:lang w:val="en-GB" w:eastAsia="de-D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rPr>
      <w:rFonts w:ascii="Franklin Gothic Book" w:eastAsia="Times New Roman" w:hAnsi="Franklin Gothic Book" w:cs="Times New Roman"/>
      <w:szCs w:val="20"/>
      <w:lang w:val="de-DE" w:eastAsia="de-DE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de-DE" w:eastAsia="de-DE"/>
    </w:rPr>
  </w:style>
  <w:style w:type="character" w:styleId="Hiperhivatkozs">
    <w:name w:val="Hyperlink"/>
    <w:rPr>
      <w:rFonts w:ascii="Arial" w:hAnsi="Arial" w:cs="Times New Roman"/>
      <w:color w:val="0000FF"/>
      <w:u w:val="single"/>
    </w:rPr>
  </w:style>
  <w:style w:type="character" w:styleId="Jegyzethivatkozs">
    <w:name w:val="annotation reference"/>
    <w:basedOn w:val="Bekezdsalapbettpusa"/>
    <w:uiPriority w:val="99"/>
    <w:semiHidden/>
    <w:unhideWhenUsed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Pr>
      <w:rFonts w:ascii="Franklin Gothic Book" w:eastAsia="Times New Roman" w:hAnsi="Franklin Gothic Book" w:cs="Times New Roman"/>
      <w:sz w:val="20"/>
      <w:szCs w:val="20"/>
      <w:lang w:val="de-DE" w:eastAsia="de-DE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Pr>
      <w:rFonts w:ascii="Franklin Gothic Book" w:eastAsia="Times New Roman" w:hAnsi="Franklin Gothic Book" w:cs="Times New Roman"/>
      <w:b/>
      <w:bCs/>
      <w:sz w:val="20"/>
      <w:szCs w:val="20"/>
      <w:lang w:val="de-DE" w:eastAsia="de-DE"/>
    </w:rPr>
  </w:style>
  <w:style w:type="paragraph" w:styleId="Vltozat">
    <w:name w:val="Revision"/>
    <w:hidden/>
    <w:uiPriority w:val="99"/>
    <w:semiHidden/>
    <w:pPr>
      <w:spacing w:after="0" w:line="240" w:lineRule="auto"/>
    </w:pPr>
    <w:rPr>
      <w:rFonts w:ascii="Franklin Gothic Book" w:eastAsia="Times New Roman" w:hAnsi="Franklin Gothic Book" w:cs="Times New Roman"/>
      <w:szCs w:val="20"/>
      <w:lang w:val="de-DE" w:eastAsia="de-D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674C8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674C8"/>
    <w:rPr>
      <w:rFonts w:ascii="Segoe UI" w:eastAsiaTheme="minorEastAsia" w:hAnsi="Segoe UI" w:cs="Segoe UI"/>
      <w:sz w:val="18"/>
      <w:szCs w:val="18"/>
      <w:lang w:val="en-GB" w:eastAsia="de-DE"/>
    </w:rPr>
  </w:style>
  <w:style w:type="paragraph" w:styleId="lfej">
    <w:name w:val="header"/>
    <w:basedOn w:val="Norml"/>
    <w:link w:val="lfejChar"/>
    <w:uiPriority w:val="99"/>
    <w:unhideWhenUsed/>
    <w:rsid w:val="005674C8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5674C8"/>
    <w:rPr>
      <w:rFonts w:ascii="Times New Roman" w:eastAsiaTheme="minorEastAsia" w:hAnsi="Times New Roman" w:cs="Times New Roman"/>
      <w:szCs w:val="20"/>
      <w:lang w:val="en-GB" w:eastAsia="de-DE"/>
    </w:rPr>
  </w:style>
  <w:style w:type="character" w:styleId="Kiemels2">
    <w:name w:val="Strong"/>
    <w:basedOn w:val="Bekezdsalapbettpusa"/>
    <w:uiPriority w:val="22"/>
    <w:qFormat/>
    <w:rsid w:val="00645A2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898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9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27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24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8</Pages>
  <Words>2321</Words>
  <Characters>16022</Characters>
  <Application>Microsoft Office Word</Application>
  <DocSecurity>0</DocSecurity>
  <Lines>133</Lines>
  <Paragraphs>36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Dzuracky Martin</dc:creator>
  <cp:keywords/>
  <dc:description/>
  <cp:lastModifiedBy>OGYI_62.1</cp:lastModifiedBy>
  <cp:revision>24</cp:revision>
  <dcterms:created xsi:type="dcterms:W3CDTF">2021-11-30T08:11:00Z</dcterms:created>
  <dcterms:modified xsi:type="dcterms:W3CDTF">2026-04-29T09:28:00Z</dcterms:modified>
</cp:coreProperties>
</file>