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1F4E0" w14:textId="77777777" w:rsidR="00F45C51" w:rsidRPr="004461E5" w:rsidRDefault="007B6547" w:rsidP="00082A8E">
      <w:pPr>
        <w:widowControl w:val="0"/>
        <w:spacing w:line="240" w:lineRule="auto"/>
        <w:rPr>
          <w:color w:val="000000" w:themeColor="text1"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0CC028E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9191E9" w14:textId="1CCD4AE8" w:rsidR="004A2219" w:rsidRPr="00C011E4" w:rsidRDefault="0022634E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Jazeta</w:t>
      </w:r>
      <w:r w:rsidR="005D16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A2219" w:rsidRPr="00C011E4">
        <w:rPr>
          <w:rFonts w:eastAsia="Times New Roman"/>
          <w:noProof/>
          <w:snapToGrid/>
          <w:szCs w:val="22"/>
          <w:lang w:val="hu-HU" w:eastAsia="en-US"/>
        </w:rPr>
        <w:t>100</w:t>
      </w:r>
      <w:r w:rsidR="00A60BB4" w:rsidRPr="00C011E4">
        <w:rPr>
          <w:rFonts w:eastAsia="Times New Roman"/>
          <w:noProof/>
          <w:snapToGrid/>
          <w:szCs w:val="22"/>
          <w:lang w:val="hu-HU" w:eastAsia="en-US"/>
        </w:rPr>
        <w:t> mg</w:t>
      </w:r>
      <w:r w:rsidR="004A2219" w:rsidRPr="00C011E4">
        <w:rPr>
          <w:rFonts w:eastAsia="Times New Roman"/>
          <w:noProof/>
          <w:snapToGrid/>
          <w:szCs w:val="22"/>
          <w:lang w:val="hu-HU" w:eastAsia="en-US"/>
        </w:rPr>
        <w:t xml:space="preserve"> filmtabletta</w:t>
      </w:r>
    </w:p>
    <w:p w14:paraId="4DD53289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6FD5A84" w14:textId="77777777" w:rsidR="00F45C51" w:rsidRPr="00C011E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0863DEB" w14:textId="77777777" w:rsidR="00F45C51" w:rsidRPr="00C011E4" w:rsidRDefault="007B6547" w:rsidP="00082A8E">
      <w:pPr>
        <w:widowControl w:val="0"/>
        <w:spacing w:line="240" w:lineRule="auto"/>
        <w:rPr>
          <w:b/>
          <w:lang w:val="hu-HU"/>
        </w:rPr>
      </w:pPr>
      <w:r w:rsidRPr="00C011E4">
        <w:rPr>
          <w:b/>
          <w:lang w:val="hu-HU"/>
        </w:rPr>
        <w:t>2.</w:t>
      </w:r>
      <w:r w:rsidRPr="00C011E4">
        <w:rPr>
          <w:b/>
          <w:lang w:val="hu-HU"/>
        </w:rPr>
        <w:tab/>
        <w:t>MINŐSÉGI ÉS MENNYISÉGI ÖSSZETÉTEL</w:t>
      </w:r>
    </w:p>
    <w:p w14:paraId="2912B56E" w14:textId="77777777" w:rsidR="004A2219" w:rsidRPr="00C011E4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DC707AA" w14:textId="4F45E1E2" w:rsidR="004A2219" w:rsidRPr="00C011E4" w:rsidRDefault="004A2219" w:rsidP="004A221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100</w:t>
      </w:r>
      <w:r w:rsidR="00A60BB4" w:rsidRPr="00C011E4">
        <w:rPr>
          <w:rFonts w:eastAsia="Times New Roman"/>
          <w:noProof/>
          <w:snapToGrid/>
          <w:szCs w:val="22"/>
          <w:lang w:val="hu-HU" w:eastAsia="en-US"/>
        </w:rPr>
        <w:t> mg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szitagliptin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>t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>tartalmaz</w:t>
      </w:r>
      <w:r w:rsidR="005027C7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>(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szitagliptin-hidroklorid-monohidrát</w:t>
      </w:r>
      <w:r w:rsidR="005027C7">
        <w:rPr>
          <w:rFonts w:eastAsia="Times New Roman"/>
          <w:noProof/>
          <w:snapToGrid/>
          <w:szCs w:val="22"/>
          <w:lang w:val="hu-HU" w:eastAsia="en-US"/>
        </w:rPr>
        <w:t xml:space="preserve"> formájában)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filmtablettánként.</w:t>
      </w:r>
    </w:p>
    <w:p w14:paraId="3478011C" w14:textId="77777777" w:rsidR="004A2219" w:rsidRPr="00C011E4" w:rsidRDefault="004A2219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E4D6E30" w14:textId="4BD5FA94" w:rsidR="00F45C51" w:rsidRPr="00C011E4" w:rsidRDefault="007B6547" w:rsidP="00082A8E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C011E4">
        <w:rPr>
          <w:bCs/>
          <w:noProof/>
          <w:szCs w:val="22"/>
          <w:u w:val="single"/>
          <w:lang w:val="hu-HU"/>
        </w:rPr>
        <w:t>Ismert hatású segédanyag</w:t>
      </w:r>
      <w:r w:rsidRPr="00C011E4">
        <w:rPr>
          <w:u w:val="single"/>
          <w:lang w:val="hu-HU"/>
        </w:rPr>
        <w:t>(ok)</w:t>
      </w:r>
    </w:p>
    <w:p w14:paraId="6B88FB5B" w14:textId="5ADBB342" w:rsidR="00127C1D" w:rsidRPr="00C011E4" w:rsidRDefault="00127C1D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55D4D9D7" w14:textId="144EEDB7" w:rsidR="008A53A7" w:rsidRPr="00C011E4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C011E4">
        <w:rPr>
          <w:lang w:val="hu-HU"/>
        </w:rPr>
        <w:t xml:space="preserve">A segédanyagok teljes </w:t>
      </w:r>
      <w:r w:rsidR="00127C1D" w:rsidRPr="00C011E4">
        <w:rPr>
          <w:bCs/>
          <w:noProof/>
          <w:szCs w:val="22"/>
          <w:lang w:val="hu-HU"/>
        </w:rPr>
        <w:t>list</w:t>
      </w:r>
      <w:r w:rsidRPr="00C011E4">
        <w:rPr>
          <w:bCs/>
          <w:noProof/>
          <w:szCs w:val="22"/>
          <w:lang w:val="hu-HU"/>
        </w:rPr>
        <w:t>á</w:t>
      </w:r>
      <w:r w:rsidR="00127C1D" w:rsidRPr="00C011E4">
        <w:rPr>
          <w:bCs/>
          <w:noProof/>
          <w:szCs w:val="22"/>
          <w:lang w:val="hu-HU"/>
        </w:rPr>
        <w:t>j</w:t>
      </w:r>
      <w:r w:rsidRPr="00C011E4">
        <w:rPr>
          <w:bCs/>
          <w:noProof/>
          <w:szCs w:val="22"/>
          <w:lang w:val="hu-HU"/>
        </w:rPr>
        <w:t>át</w:t>
      </w:r>
      <w:r w:rsidRPr="00C011E4">
        <w:rPr>
          <w:lang w:val="hu-HU"/>
        </w:rPr>
        <w:t xml:space="preserve"> lásd a 6.1</w:t>
      </w:r>
      <w:r w:rsidR="006E3747" w:rsidRPr="00C011E4">
        <w:rPr>
          <w:lang w:val="hu-HU"/>
        </w:rPr>
        <w:t> pont</w:t>
      </w:r>
      <w:r w:rsidRPr="00C011E4">
        <w:rPr>
          <w:lang w:val="hu-HU"/>
        </w:rPr>
        <w:t>ban</w:t>
      </w:r>
      <w:r w:rsidRPr="00C011E4">
        <w:rPr>
          <w:bCs/>
          <w:noProof/>
          <w:szCs w:val="22"/>
          <w:lang w:val="hu-HU"/>
        </w:rPr>
        <w:t>.</w:t>
      </w:r>
    </w:p>
    <w:p w14:paraId="61B5E9DD" w14:textId="183C8786" w:rsidR="00F45C51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6527EF07" w14:textId="77777777" w:rsidR="009905CC" w:rsidRPr="00C011E4" w:rsidRDefault="009905CC" w:rsidP="00082A8E">
      <w:pPr>
        <w:widowControl w:val="0"/>
        <w:spacing w:line="240" w:lineRule="auto"/>
        <w:rPr>
          <w:b/>
          <w:lang w:val="hu-HU"/>
        </w:rPr>
      </w:pPr>
    </w:p>
    <w:p w14:paraId="1AD9BE8B" w14:textId="77777777" w:rsidR="00F45C51" w:rsidRPr="00C011E4" w:rsidRDefault="007B6547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E6FAC9E" w14:textId="77777777" w:rsidR="00F45C51" w:rsidRPr="00C011E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2A842543" w14:textId="3302404D" w:rsidR="00F45C51" w:rsidRDefault="004F60B4" w:rsidP="00082A8E">
      <w:pPr>
        <w:spacing w:line="240" w:lineRule="auto"/>
        <w:rPr>
          <w:lang w:val="hu-HU" w:eastAsia="en-US"/>
        </w:rPr>
      </w:pPr>
      <w:r w:rsidRPr="00C011E4">
        <w:rPr>
          <w:lang w:val="hu-HU" w:eastAsia="en-US"/>
        </w:rPr>
        <w:t>Filmtabletta.</w:t>
      </w:r>
    </w:p>
    <w:p w14:paraId="0CA292DD" w14:textId="5E4A6392" w:rsidR="00D030B3" w:rsidRDefault="00D030B3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DD12F7" w14:textId="104AA4CE" w:rsidR="004F60B4" w:rsidRPr="00C011E4" w:rsidRDefault="00D030B3" w:rsidP="004F60B4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Bézs színű, k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erek, mindkét oldalán domború,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filmbevonattal ellátott tabletta,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 xml:space="preserve"> egyik oldalán „L” </w:t>
      </w:r>
      <w:r>
        <w:rPr>
          <w:rFonts w:eastAsia="Times New Roman"/>
          <w:noProof/>
          <w:snapToGrid/>
          <w:szCs w:val="22"/>
          <w:lang w:val="hu-HU" w:eastAsia="en-US"/>
        </w:rPr>
        <w:t>mélynyomású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jelöléssel, másik oldalán jelöl</w:t>
      </w:r>
      <w:r>
        <w:rPr>
          <w:rFonts w:eastAsia="Times New Roman"/>
          <w:noProof/>
          <w:snapToGrid/>
          <w:szCs w:val="22"/>
          <w:lang w:val="hu-HU" w:eastAsia="en-US"/>
        </w:rPr>
        <w:t>etlen; átmérője körülbelül 9,8 mm</w:t>
      </w:r>
      <w:r w:rsidR="009F5474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A9634BD" w14:textId="77777777" w:rsidR="00F45C51" w:rsidRPr="00C011E4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5F71EF61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30F94956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b/>
          <w:lang w:val="hu-HU"/>
        </w:rPr>
        <w:t>4.</w:t>
      </w:r>
      <w:r w:rsidRPr="00C011E4">
        <w:rPr>
          <w:b/>
          <w:lang w:val="hu-HU"/>
        </w:rPr>
        <w:tab/>
        <w:t>KLINIKAI JELLEMZŐK</w:t>
      </w:r>
    </w:p>
    <w:p w14:paraId="667F2DB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809147A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F636E1A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C808AC2" w14:textId="08A4A042" w:rsidR="009F5474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A </w:t>
      </w:r>
      <w:r w:rsidR="0022634E" w:rsidRPr="00201E56">
        <w:rPr>
          <w:rFonts w:eastAsia="Times New Roman"/>
          <w:noProof/>
          <w:snapToGrid/>
          <w:szCs w:val="22"/>
          <w:lang w:val="hu-HU" w:eastAsia="en-US"/>
        </w:rPr>
        <w:t>Jazeta</w:t>
      </w:r>
      <w:r w:rsidR="005D162F" w:rsidRPr="00D970CB" w:rsidDel="005D162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2-es típusú diabetes mellitusban szenvedő felnőttek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gl</w:t>
      </w:r>
      <w:r w:rsidR="001B061F">
        <w:rPr>
          <w:rFonts w:eastAsia="Times New Roman"/>
          <w:snapToGrid/>
          <w:szCs w:val="22"/>
          <w:lang w:val="hu-HU" w:eastAsia="en-US"/>
        </w:rPr>
        <w:t>y</w:t>
      </w:r>
      <w:r w:rsidRPr="00C011E4">
        <w:rPr>
          <w:rFonts w:eastAsia="Times New Roman"/>
          <w:snapToGrid/>
          <w:szCs w:val="22"/>
          <w:lang w:val="hu-HU" w:eastAsia="en-US"/>
        </w:rPr>
        <w:t>k</w:t>
      </w:r>
      <w:r w:rsidR="001B061F">
        <w:rPr>
          <w:rFonts w:eastAsia="Times New Roman"/>
          <w:snapToGrid/>
          <w:szCs w:val="22"/>
          <w:lang w:val="hu-HU" w:eastAsia="en-US"/>
        </w:rPr>
        <w:t>ae</w:t>
      </w:r>
      <w:r w:rsidRPr="00C011E4">
        <w:rPr>
          <w:rFonts w:eastAsia="Times New Roman"/>
          <w:snapToGrid/>
          <w:szCs w:val="22"/>
          <w:lang w:val="hu-HU" w:eastAsia="en-US"/>
        </w:rPr>
        <w:t>miás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kontrolljának javítására javallott:</w:t>
      </w:r>
    </w:p>
    <w:p w14:paraId="603709E1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E330FD" w14:textId="2EA4C2EB" w:rsidR="004605FE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</w:p>
    <w:p w14:paraId="410735B4" w14:textId="282FEBCF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olyan betegek esetén, akiknél </w:t>
      </w:r>
      <w:r w:rsidR="001B061F">
        <w:rPr>
          <w:rFonts w:eastAsia="Times New Roman"/>
          <w:snapToGrid/>
          <w:szCs w:val="22"/>
          <w:lang w:val="hu-HU" w:eastAsia="en-US"/>
        </w:rPr>
        <w:t xml:space="preserve">önmagában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 diéta és a testmozgás mellett a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glykaemiás</w:t>
      </w:r>
      <w:proofErr w:type="spellEnd"/>
      <w:r w:rsidR="001B061F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kontroll nem megfelelő, és akik számára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ellenjavallatok vagy intolerancia miatt nem alkalmazható.</w:t>
      </w:r>
    </w:p>
    <w:p w14:paraId="238B47DD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633F6C" w14:textId="01D67B08" w:rsidR="004605FE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kettős or</w:t>
      </w:r>
      <w:r w:rsidR="00031367">
        <w:rPr>
          <w:rFonts w:eastAsia="Times New Roman"/>
          <w:snapToGrid/>
          <w:szCs w:val="22"/>
          <w:lang w:val="hu-HU" w:eastAsia="en-US"/>
        </w:rPr>
        <w:t>á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lis terápiában, a következő </w:t>
      </w:r>
      <w:r w:rsidR="001B061F">
        <w:rPr>
          <w:rFonts w:eastAsia="Times New Roman"/>
          <w:snapToGrid/>
          <w:szCs w:val="22"/>
          <w:lang w:val="hu-HU" w:eastAsia="en-US"/>
        </w:rPr>
        <w:t>gyógy</w:t>
      </w:r>
      <w:r w:rsidRPr="00C011E4">
        <w:rPr>
          <w:rFonts w:eastAsia="Times New Roman"/>
          <w:snapToGrid/>
          <w:szCs w:val="22"/>
          <w:lang w:val="hu-HU" w:eastAsia="en-US"/>
        </w:rPr>
        <w:t>szerekkel kombinálva</w:t>
      </w:r>
    </w:p>
    <w:p w14:paraId="1A246FBB" w14:textId="1C3A843A" w:rsidR="004605FE" w:rsidRPr="00C34EFD" w:rsidRDefault="009F5474" w:rsidP="00C34EFD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ha a diéta és a testmozgás mellett egyedül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metformint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alkalmazva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gl</w:t>
      </w:r>
      <w:r w:rsidR="001B061F">
        <w:rPr>
          <w:rFonts w:eastAsia="Times New Roman"/>
          <w:snapToGrid/>
          <w:szCs w:val="22"/>
          <w:lang w:val="hu-HU" w:eastAsia="en-US"/>
        </w:rPr>
        <w:t>y</w:t>
      </w:r>
      <w:r w:rsidRPr="00C011E4">
        <w:rPr>
          <w:rFonts w:eastAsia="Times New Roman"/>
          <w:snapToGrid/>
          <w:szCs w:val="22"/>
          <w:lang w:val="hu-HU" w:eastAsia="en-US"/>
        </w:rPr>
        <w:t>k</w:t>
      </w:r>
      <w:r w:rsidR="001B061F">
        <w:rPr>
          <w:rFonts w:eastAsia="Times New Roman"/>
          <w:snapToGrid/>
          <w:szCs w:val="22"/>
          <w:lang w:val="hu-HU" w:eastAsia="en-US"/>
        </w:rPr>
        <w:t>ae</w:t>
      </w:r>
      <w:r w:rsidRPr="00C011E4">
        <w:rPr>
          <w:rFonts w:eastAsia="Times New Roman"/>
          <w:snapToGrid/>
          <w:szCs w:val="22"/>
          <w:lang w:val="hu-HU" w:eastAsia="en-US"/>
        </w:rPr>
        <w:t>miás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 nem megfelelő.</w:t>
      </w:r>
    </w:p>
    <w:p w14:paraId="1F8FAFC5" w14:textId="0BEF5FE5" w:rsidR="004605FE" w:rsidRPr="00C34EFD" w:rsidRDefault="009F5474" w:rsidP="00C34EFD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szulfonilureával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ha a diéta és a testmozgás mellett egyedül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szulfonilurea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maximális tolerált </w:t>
      </w:r>
      <w:r w:rsidR="001B061F">
        <w:rPr>
          <w:rFonts w:eastAsia="Times New Roman"/>
          <w:snapToGrid/>
          <w:szCs w:val="22"/>
          <w:lang w:val="hu-HU" w:eastAsia="en-US"/>
        </w:rPr>
        <w:t>dózis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 nem biztosít megfelelő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kontrollt, és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ellenjavallatok vagy intolerancia miatt nem alkalmazható</w:t>
      </w:r>
      <w:r w:rsidR="004605FE" w:rsidRPr="00C011E4">
        <w:rPr>
          <w:rFonts w:eastAsia="Times New Roman"/>
          <w:snapToGrid/>
          <w:szCs w:val="22"/>
          <w:lang w:val="hu-HU" w:eastAsia="en-US"/>
        </w:rPr>
        <w:t>.</w:t>
      </w:r>
    </w:p>
    <w:p w14:paraId="3062EBD5" w14:textId="56E4EBB6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peroxiszóma-proliferátor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aktiválta receptor gamma</w:t>
      </w:r>
      <w:r w:rsidR="005027C7">
        <w:rPr>
          <w:rFonts w:eastAsia="Times New Roman"/>
          <w:snapToGrid/>
          <w:szCs w:val="22"/>
          <w:lang w:val="hu-HU" w:eastAsia="en-US"/>
        </w:rPr>
        <w:t>-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>)</w:t>
      </w:r>
      <w:r w:rsidR="005027C7">
        <w:rPr>
          <w:rFonts w:eastAsia="Times New Roman"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agonistával (pl.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tiazolidindion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), ha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PPARy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-agonista alkalmazása helyénvaló, és ha a diéta és testmozgás mellett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-agonista nem biztosít megfelelő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kontrollt.</w:t>
      </w:r>
    </w:p>
    <w:p w14:paraId="1CEF19CA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3896BE4" w14:textId="771470DC" w:rsidR="004605FE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hármas or</w:t>
      </w:r>
      <w:r w:rsidR="00031367">
        <w:rPr>
          <w:rFonts w:eastAsia="Times New Roman"/>
          <w:snapToGrid/>
          <w:szCs w:val="22"/>
          <w:lang w:val="hu-HU" w:eastAsia="en-US"/>
        </w:rPr>
        <w:t>á</w:t>
      </w:r>
      <w:r w:rsidRPr="00C011E4">
        <w:rPr>
          <w:rFonts w:eastAsia="Times New Roman"/>
          <w:snapToGrid/>
          <w:szCs w:val="22"/>
          <w:lang w:val="hu-HU" w:eastAsia="en-US"/>
        </w:rPr>
        <w:t xml:space="preserve">lis terápiában, a következő </w:t>
      </w:r>
      <w:r w:rsidR="00EE0B13">
        <w:rPr>
          <w:rFonts w:eastAsia="Times New Roman"/>
          <w:snapToGrid/>
          <w:szCs w:val="22"/>
          <w:lang w:val="hu-HU" w:eastAsia="en-US"/>
        </w:rPr>
        <w:t>gyógy</w:t>
      </w:r>
      <w:r w:rsidRPr="00C011E4">
        <w:rPr>
          <w:rFonts w:eastAsia="Times New Roman"/>
          <w:snapToGrid/>
          <w:szCs w:val="22"/>
          <w:lang w:val="hu-HU" w:eastAsia="en-US"/>
        </w:rPr>
        <w:t>szerekkel kombinálva</w:t>
      </w:r>
    </w:p>
    <w:p w14:paraId="1C14A142" w14:textId="6FFB7060" w:rsidR="004605FE" w:rsidRPr="00C34EFD" w:rsidRDefault="009F5474" w:rsidP="00C34EFD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szulfonilureával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ha a diéta és a testmozgás mellett az ezzel a két gyógyszerrel végzett együttes kezelés nem biztosít megfelelő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kontrollt.</w:t>
      </w:r>
    </w:p>
    <w:p w14:paraId="2BF5CCBB" w14:textId="1785F81C" w:rsidR="009F5474" w:rsidRPr="00C011E4" w:rsidRDefault="009F5474" w:rsidP="004605FE">
      <w:pPr>
        <w:pStyle w:val="Listaszerbekezds"/>
        <w:numPr>
          <w:ilvl w:val="0"/>
          <w:numId w:val="44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-agonistával és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kombinációban adva, amennyiben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-agonista alkalmazása helyénvaló, és ha a diéta és testmozgás, valamint az ezeket a gyógyszereket tartalmazó kettős terápia mellett a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 nem megfelelő.</w:t>
      </w:r>
    </w:p>
    <w:p w14:paraId="431EE6AB" w14:textId="77777777" w:rsidR="004605FE" w:rsidRPr="00C011E4" w:rsidRDefault="004605FE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ECE6248" w14:textId="1C1306CB" w:rsidR="00F45C51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22634E">
        <w:rPr>
          <w:rFonts w:eastAsia="Times New Roman"/>
          <w:snapToGrid/>
          <w:szCs w:val="22"/>
          <w:lang w:val="hu-HU" w:eastAsia="en-US"/>
        </w:rPr>
        <w:t>Jazeta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szintén javallott inzulin kiegészítő terápiájaként (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vagy anélkül), ha a diéta és testmozgás és az inzulin állandó dózisa mellett a </w:t>
      </w:r>
      <w:proofErr w:type="spellStart"/>
      <w:r w:rsidR="001B061F">
        <w:rPr>
          <w:rFonts w:eastAsia="Times New Roman"/>
          <w:snapToGrid/>
          <w:szCs w:val="22"/>
          <w:lang w:val="hu-HU" w:eastAsia="en-US"/>
        </w:rPr>
        <w:t>glykaemi</w:t>
      </w:r>
      <w:r w:rsidRPr="00C011E4">
        <w:rPr>
          <w:rFonts w:eastAsia="Times New Roman"/>
          <w:snapToGrid/>
          <w:szCs w:val="22"/>
          <w:lang w:val="hu-HU" w:eastAsia="en-US"/>
        </w:rPr>
        <w:t>ás</w:t>
      </w:r>
      <w:proofErr w:type="spellEnd"/>
      <w:r w:rsidRPr="00C011E4">
        <w:rPr>
          <w:rFonts w:eastAsia="Times New Roman"/>
          <w:snapToGrid/>
          <w:szCs w:val="22"/>
          <w:lang w:val="hu-HU" w:eastAsia="en-US"/>
        </w:rPr>
        <w:t xml:space="preserve"> kontroll nem megfelelő.</w:t>
      </w:r>
    </w:p>
    <w:p w14:paraId="215BE85C" w14:textId="77777777" w:rsidR="009F5474" w:rsidRPr="00C011E4" w:rsidRDefault="009F5474" w:rsidP="009F547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E9D590C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4.2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656DE29F" w14:textId="77777777" w:rsidR="00F45C51" w:rsidRPr="00C011E4" w:rsidRDefault="00F45C51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0C17CCE6" w14:textId="77777777" w:rsidR="00A518CA" w:rsidRPr="00C011E4" w:rsidRDefault="00A518CA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Adagolás</w:t>
      </w:r>
    </w:p>
    <w:p w14:paraId="081C3E0B" w14:textId="20F84D39" w:rsidR="00A518CA" w:rsidRPr="00C011E4" w:rsidRDefault="00A518CA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naponta egyszer.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PPAR</w:t>
      </w:r>
      <w:r w:rsidRPr="00C011E4">
        <w:rPr>
          <w:rFonts w:eastAsia="Times New Roman"/>
          <w:snapToGrid/>
          <w:szCs w:val="22"/>
          <w:lang w:val="hu-HU" w:eastAsia="en-US"/>
        </w:rPr>
        <w:t>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-agonistával együttesen alkalmazva,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a </w:t>
      </w:r>
      <w:proofErr w:type="spellStart"/>
      <w:r w:rsidRPr="00C011E4">
        <w:rPr>
          <w:rFonts w:eastAsia="Times New Roman"/>
          <w:snapToGrid/>
          <w:szCs w:val="22"/>
          <w:lang w:val="hu-HU" w:eastAsia="en-US"/>
        </w:rPr>
        <w:t>PPARγ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-agonista dózisát változatlanul kell hagyni, és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3A49B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5528E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 gyógyszerekkel együtt kell alkalmazni.</w:t>
      </w:r>
    </w:p>
    <w:p w14:paraId="3BFB96A2" w14:textId="77777777" w:rsidR="003350CD" w:rsidRPr="00C011E4" w:rsidRDefault="003350CD" w:rsidP="00A518C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E84DF19" w14:textId="70B75560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5528E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inzulinnal kombinációban alkalmazzák,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kockázatának csökkentése érdekében fontolóra kell venni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inzulin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ban történő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alkalmazását (lásd 4.4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7A31338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A6F9747" w14:textId="445343A1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 adagja kimaradt, azt azonnal pótolni kell, amint a beteg észreveszi. Ugyanazon a napon nem szabad dupla adagot bevenni.</w:t>
      </w:r>
    </w:p>
    <w:p w14:paraId="791ED89B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60B466C" w14:textId="26251EE4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Különleges betegcsoportok</w:t>
      </w:r>
    </w:p>
    <w:p w14:paraId="29998FF4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03343AB8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alkalmazásának fontolóra vételekor ellenőrizni kell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vesekárosodásban szenvedő betegeknél történő alkalmazásának feltételeit.</w:t>
      </w:r>
    </w:p>
    <w:p w14:paraId="1832B163" w14:textId="77777777" w:rsidR="003350CD" w:rsidRPr="00C011E4" w:rsidRDefault="003350CD" w:rsidP="00A518CA">
      <w:pPr>
        <w:widowControl w:val="0"/>
        <w:tabs>
          <w:tab w:val="clear" w:pos="567"/>
        </w:tabs>
        <w:spacing w:line="228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BD455E" w14:textId="62202840" w:rsidR="00A518CA" w:rsidRPr="00C011E4" w:rsidRDefault="00A518CA" w:rsidP="00A518CA">
      <w:pPr>
        <w:widowControl w:val="0"/>
        <w:tabs>
          <w:tab w:val="clear" w:pos="567"/>
        </w:tabs>
        <w:spacing w:line="228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enyhe vesekárosodásban szenvedő betegek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glomerul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us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filtrációs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ráta [GFR] </w:t>
      </w:r>
      <w:r w:rsidR="0076317E" w:rsidRPr="00053601">
        <w:rPr>
          <w:rFonts w:ascii="Symbol" w:hAnsi="Symbol"/>
          <w:lang w:val="hu-HU"/>
        </w:rPr>
        <w:t></w:t>
      </w:r>
      <w:r w:rsidRPr="00C011E4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60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90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esetében dózismódosításra nincs szükség.</w:t>
      </w:r>
    </w:p>
    <w:p w14:paraId="5719198F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91AD42F" w14:textId="4C3ECBB8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 (GFR </w:t>
      </w:r>
      <w:r w:rsidR="0060534B" w:rsidRPr="00053601">
        <w:rPr>
          <w:rFonts w:ascii="Symbol" w:hAnsi="Symbol"/>
          <w:lang w:val="hu-HU"/>
        </w:rPr>
        <w:t></w:t>
      </w:r>
      <w:r w:rsidRPr="00C011E4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45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60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esetében dózismódosításra nincs szükség.</w:t>
      </w:r>
    </w:p>
    <w:p w14:paraId="2AC8F706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54ADFEA" w14:textId="093E6F6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 esetében (GFR </w:t>
      </w:r>
      <w:r w:rsidR="0076317E" w:rsidRPr="00B25A15">
        <w:rPr>
          <w:rFonts w:ascii="Symbol" w:hAnsi="Symbol"/>
          <w:lang w:val="hu-HU"/>
        </w:rPr>
        <w:t></w:t>
      </w:r>
      <w:r w:rsidRPr="00B25A15">
        <w:rPr>
          <w:rFonts w:eastAsia="Times New Roman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30 </w:t>
      </w:r>
      <w:r w:rsidR="003350CD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3350CD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proofErr w:type="gramEnd"/>
      <w:r w:rsidR="00A60BB4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</w:t>
      </w:r>
      <w:proofErr w:type="spellStart"/>
      <w:r w:rsidR="001354E2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1354E2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31367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a naponta egyszer 50</w:t>
      </w:r>
      <w:r w:rsidR="00A60BB4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BF0B11D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47CDE30" w14:textId="6073BD25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súlyos vesekárosodásban szenvedő (GFR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87F31" w:rsidRPr="00053601">
        <w:rPr>
          <w:rFonts w:ascii="Symbol" w:hAnsi="Symbol"/>
          <w:lang w:val="hu-HU"/>
        </w:rPr>
        <w:t>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15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vagy végstádiumú vesebetegségben („end-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stage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disease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ESRD) szenvedő betegeknél (GFR &lt;15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/perc),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peritoneális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dialízist igénylő betegeket, 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1354E2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1354E2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31367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a naponta egyszer 25</w:t>
      </w:r>
      <w:r w:rsidR="00A60BB4"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B25A15">
        <w:rPr>
          <w:rFonts w:eastAsia="Times New Roman"/>
          <w:snapToGrid/>
          <w:color w:val="000000"/>
          <w:szCs w:val="22"/>
          <w:lang w:val="hu-HU" w:eastAsia="hu-HU" w:bidi="hu-HU"/>
        </w:rPr>
        <w:t>. 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 dialízis időpontjától függetlenül alkalmazható.</w:t>
      </w:r>
    </w:p>
    <w:p w14:paraId="0F804BFB" w14:textId="77777777" w:rsidR="00B25A15" w:rsidRDefault="00B25A15" w:rsidP="00B25A15">
      <w:pPr>
        <w:widowControl w:val="0"/>
        <w:suppressAutoHyphens/>
        <w:spacing w:line="240" w:lineRule="auto"/>
        <w:rPr>
          <w:rFonts w:eastAsia="Times New Roman"/>
          <w:bCs/>
          <w:snapToGrid/>
          <w:szCs w:val="22"/>
          <w:highlight w:val="yellow"/>
          <w:lang w:val="hu-HU" w:eastAsia="en-US"/>
        </w:rPr>
      </w:pPr>
    </w:p>
    <w:p w14:paraId="2A5E6F0F" w14:textId="3E4F4F97" w:rsidR="00B25A15" w:rsidRPr="00832710" w:rsidRDefault="00B25A15" w:rsidP="00B25A15">
      <w:pPr>
        <w:widowControl w:val="0"/>
        <w:suppressAutoHyphens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25 mg-os és az </w:t>
      </w:r>
      <w:r w:rsidRPr="00B25A15">
        <w:rPr>
          <w:rFonts w:eastAsia="Times New Roman"/>
          <w:bCs/>
          <w:snapToGrid/>
          <w:szCs w:val="22"/>
          <w:lang w:val="hu-HU" w:eastAsia="en-US"/>
        </w:rPr>
        <w:t>50 mg-os</w:t>
      </w:r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Pr="00C34EFD">
        <w:rPr>
          <w:rFonts w:eastAsia="Times New Roman"/>
          <w:bCs/>
          <w:snapToGrid/>
          <w:szCs w:val="22"/>
          <w:lang w:val="hu-HU" w:eastAsia="en-US"/>
        </w:rPr>
        <w:t>szitagliptin</w:t>
      </w:r>
      <w:proofErr w:type="spellEnd"/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dózis nem érhető el </w:t>
      </w:r>
      <w:proofErr w:type="spellStart"/>
      <w:r w:rsidRPr="00C34EFD">
        <w:rPr>
          <w:rFonts w:eastAsia="Times New Roman"/>
          <w:bCs/>
          <w:snapToGrid/>
          <w:szCs w:val="22"/>
          <w:lang w:val="hu-HU" w:eastAsia="en-US"/>
        </w:rPr>
        <w:t>Jazeta</w:t>
      </w:r>
      <w:proofErr w:type="spellEnd"/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tablettával. 25 mg-os és az </w:t>
      </w:r>
      <w:r w:rsidRPr="00B25A15">
        <w:rPr>
          <w:rFonts w:eastAsia="Times New Roman"/>
          <w:bCs/>
          <w:snapToGrid/>
          <w:szCs w:val="22"/>
          <w:lang w:val="hu-HU" w:eastAsia="en-US"/>
        </w:rPr>
        <w:t>50 mg-os</w:t>
      </w:r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dózis esetén más </w:t>
      </w:r>
      <w:proofErr w:type="spellStart"/>
      <w:r w:rsidRPr="00C34EFD">
        <w:rPr>
          <w:rFonts w:eastAsia="Times New Roman"/>
          <w:bCs/>
          <w:snapToGrid/>
          <w:szCs w:val="22"/>
          <w:lang w:val="hu-HU" w:eastAsia="en-US"/>
        </w:rPr>
        <w:t>szitagliptint</w:t>
      </w:r>
      <w:proofErr w:type="spellEnd"/>
      <w:r w:rsidRPr="00C34EFD">
        <w:rPr>
          <w:rFonts w:eastAsia="Times New Roman"/>
          <w:bCs/>
          <w:snapToGrid/>
          <w:szCs w:val="22"/>
          <w:lang w:val="hu-HU" w:eastAsia="en-US"/>
        </w:rPr>
        <w:t xml:space="preserve"> tartalmazó gyógyszert kell alkalmazni.</w:t>
      </w:r>
    </w:p>
    <w:p w14:paraId="28FE7C10" w14:textId="77777777" w:rsidR="003350CD" w:rsidRPr="00C011E4" w:rsidRDefault="003350CD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64AA89" w14:textId="1FF5B8A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Mivel a vesefunkció alapján dózismódosításra van szükség, a vesefunkciós értékeknek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javasolt az ellenőrzése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alkalmazásának megkezdése előtt és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zt követően rendszeres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88A75A9" w14:textId="77777777" w:rsidR="003350CD" w:rsidRPr="00C011E4" w:rsidRDefault="003350CD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1EF0E1C" w14:textId="45EA4CA0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4AFCEE76" w14:textId="30BA3304" w:rsidR="00A518CA" w:rsidRPr="00C011E4" w:rsidRDefault="00A518CA" w:rsidP="00A518CA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enyhe vagy közepesen súlyos májkárosodásban szenvedő betegek esetében a dózis módosítására nincs szükség.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5528E3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súlyos májkárosodásban szenvedő betegek körében nem vizsgálták, ezért 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elővigyázatossággal</w:t>
      </w:r>
      <w:r w:rsidR="0003136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kell alkalmazni (lásd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6454F7BD" w14:textId="532C1B9E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Mivel azonban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a vesén keresztül ürül, a súlyos májkárosodás várhatóan nem befolyásolja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F22A346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AB0FA75" w14:textId="0F63B4F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Idősek</w:t>
      </w:r>
    </w:p>
    <w:p w14:paraId="62852A73" w14:textId="77777777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dózis életkor alapján történő módosítására nincs szükség.</w:t>
      </w:r>
    </w:p>
    <w:p w14:paraId="044DED17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9BA76B7" w14:textId="2159924A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71690466" w14:textId="34667449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nem kielégítő hatásosságra való tekintettel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betöltött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r w:rsidR="00031367">
        <w:rPr>
          <w:rFonts w:eastAsia="Times New Roman"/>
          <w:snapToGrid/>
          <w:color w:val="000000"/>
          <w:szCs w:val="22"/>
          <w:lang w:val="hu-HU" w:eastAsia="hu-HU" w:bidi="hu-HU"/>
        </w:rPr>
        <w:t>8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élet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év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életkorú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gyermekeknél és serdülőknél nem alkalmazható. A jelenleg rendelkezésre álló adatok leírása a 4.8, 5.1 és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ban található.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gyermekeknél nem vizsgálták.</w:t>
      </w:r>
    </w:p>
    <w:p w14:paraId="1020B508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4DAA68D" w14:textId="3C8D346B" w:rsidR="00A518CA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Az alkalmazás módja</w:t>
      </w:r>
    </w:p>
    <w:p w14:paraId="027C79F0" w14:textId="7243F173" w:rsidR="00F45C51" w:rsidRPr="00C011E4" w:rsidRDefault="00A518CA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étkezés közben vagy attól függetlenül is bevehető.</w:t>
      </w:r>
    </w:p>
    <w:p w14:paraId="59255193" w14:textId="77777777" w:rsidR="003350CD" w:rsidRPr="00C011E4" w:rsidRDefault="003350CD" w:rsidP="00A518CA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5E9CAA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4AD139B" w14:textId="77777777" w:rsidR="00F45C51" w:rsidRPr="00C011E4" w:rsidRDefault="00F45C51" w:rsidP="00C34EFD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D5F6CE" w14:textId="01FF06D1" w:rsidR="00F45C51" w:rsidRPr="00C011E4" w:rsidRDefault="007B6547" w:rsidP="00C34EFD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A készítmény hatóanyagával vagy a 6.1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pont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ban felsorolt </w:t>
      </w:r>
      <w:r w:rsidR="00127C1D" w:rsidRPr="00C011E4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segédanyagával szembeni túlérzékenység</w:t>
      </w:r>
      <w:r w:rsidR="003350CD" w:rsidRPr="00C011E4">
        <w:rPr>
          <w:rFonts w:eastAsia="Times New Roman"/>
          <w:noProof/>
          <w:snapToGrid/>
          <w:szCs w:val="22"/>
          <w:lang w:val="hu-HU" w:eastAsia="en-US"/>
        </w:rPr>
        <w:t xml:space="preserve"> (lásd 4.4 és 4.8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pont</w:t>
      </w:r>
      <w:r w:rsidR="003350CD" w:rsidRPr="00C011E4">
        <w:rPr>
          <w:rFonts w:eastAsia="Times New Roman"/>
          <w:noProof/>
          <w:snapToGrid/>
          <w:szCs w:val="22"/>
          <w:lang w:val="hu-HU" w:eastAsia="en-US"/>
        </w:rPr>
        <w:t>)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169F9FA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A7CE0E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5598A795" w14:textId="77777777" w:rsidR="00F45C51" w:rsidRPr="00C011E4" w:rsidRDefault="00F45C51" w:rsidP="00497F75">
      <w:pPr>
        <w:spacing w:line="240" w:lineRule="auto"/>
        <w:rPr>
          <w:lang w:val="hu-HU"/>
        </w:rPr>
      </w:pPr>
    </w:p>
    <w:p w14:paraId="002208E6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Általános tudnivalók</w:t>
      </w:r>
    </w:p>
    <w:p w14:paraId="34BC0C23" w14:textId="3392B02E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alkalmazható 1-es típusú diabetesben szenvedő betegek esetében vagy diabeteses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ketoacidosis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kezelésére.</w:t>
      </w:r>
    </w:p>
    <w:p w14:paraId="2DCBACE3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D2A777B" w14:textId="77777777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pancreatitis</w:t>
      </w:r>
      <w:proofErr w:type="spellEnd"/>
    </w:p>
    <w:p w14:paraId="1579567D" w14:textId="77AFBF23" w:rsidR="00B1125D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DPP-4-gátlók alkalmazása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kialakulásának kockázatával jár. A betegeket tájékoztatni kell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jellemző tünetéről, a tartós, erős hasi fájdalomról.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szedésének leállítását követően (szupportív kezeléssel vagy anélkül)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gyógyulását figyelték meg, de nagyon ritka esetekben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nekrotizáló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haemorrhagiás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halálesetet is jelentettek. Ha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gyanúja áll fenn,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más potenciálisan gyanúsítható gyógyszerek szedését abba kell hagyni. Amennyiben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acut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igazolódik,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szedését nem szabad újra elkezdeni. </w:t>
      </w:r>
    </w:p>
    <w:p w14:paraId="51366699" w14:textId="14D297A4" w:rsidR="003350CD" w:rsidRPr="00C011E4" w:rsidRDefault="00BC77A6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Elővigyázatossággal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kell eljárni olyan betegeknél, akiknek a</w:t>
      </w:r>
      <w:r w:rsidR="0059617C"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anamnézisében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="003350CD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szerepel.</w:t>
      </w:r>
    </w:p>
    <w:p w14:paraId="12086CEA" w14:textId="77777777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F0AEF46" w14:textId="39747072" w:rsidR="003350CD" w:rsidRPr="00C011E4" w:rsidRDefault="001B061F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Hypoglykaemi</w:t>
      </w:r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proofErr w:type="spellEnd"/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a gyógyszer egyéb </w:t>
      </w:r>
      <w:proofErr w:type="spellStart"/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antihyperglykaemi</w:t>
      </w:r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ás</w:t>
      </w:r>
      <w:proofErr w:type="spellEnd"/>
      <w:r w:rsidR="003350CD"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gyógyszerekkel kombinációban való alkalmazása esetén</w:t>
      </w:r>
    </w:p>
    <w:p w14:paraId="67533FEA" w14:textId="6656A5E8" w:rsidR="00B1125D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B1125D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folytatott klinikai vizsgálatok során a </w:t>
      </w:r>
      <w:proofErr w:type="spellStart"/>
      <w:r w:rsidR="00B1125D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monoterápiában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illetve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köztudottan nem okozó gyógyszerekkel kombinációban (pl.: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és/vagy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PPAR</w:t>
      </w:r>
      <w:r w:rsidRPr="00C011E4">
        <w:rPr>
          <w:rFonts w:eastAsia="Times New Roman"/>
          <w:snapToGrid/>
          <w:szCs w:val="22"/>
          <w:lang w:val="hu-HU" w:eastAsia="en-US"/>
        </w:rPr>
        <w:t>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-agonistával) alkalmazva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alkalmazása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mellett jelentett, illetve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szedő betegek körében előforduló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aránya hasonló volt. </w:t>
      </w:r>
    </w:p>
    <w:p w14:paraId="518A154A" w14:textId="67168E05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inzulinnal vagy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kombinációban történő alkalmazásakor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figyeltek meg. Ennélfogva tehát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nak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ése érdekében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meg kell fontolni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az inzulin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dózisának alkalmazását (lásd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CBC9FFA" w14:textId="77777777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95F8EF3" w14:textId="2A1D2FB9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Vesekárosodás</w:t>
      </w:r>
    </w:p>
    <w:p w14:paraId="21FBDCAB" w14:textId="5E2C5ACE" w:rsidR="003350CD" w:rsidRPr="00C011E4" w:rsidRDefault="003350CD" w:rsidP="003350CD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veséken keresztül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választódik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ki. A normál vesefunkciójú betegeknél megfigyeltekhez hasonló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-plazmakoncentrációk eléréséhez </w:t>
      </w:r>
      <w:r w:rsidR="00BC77A6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BC77A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dózisok javasoltak a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GFR</w:t>
      </w:r>
      <w:r w:rsidR="0059617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értékkel rendelkező, illetve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peritoneális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dialízist igénylő, végstádiumú vesebetegségben (ESRD) szenvedő betegeknél (lásd 4.2 és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2EA189D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64D3E2C" w14:textId="513D9781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alkalmazásának fontolóra vételekor ellenőrizni kell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vesekárosodásban szenvedő betegeknél történő alkalmazásának feltételeit.</w:t>
      </w:r>
    </w:p>
    <w:p w14:paraId="0F412538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C5704B5" w14:textId="1F760F99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Túlérzékenységi reakciók</w:t>
      </w:r>
    </w:p>
    <w:p w14:paraId="615C9514" w14:textId="2527B08A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a forgalomba hozatalt követően súlyos túlérzékenységi reakciókat jelentettek. E reakciók közé tartoznak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anafilaxia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angioödéma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exfoliatív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bőrelváltozások,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Stevens</w:t>
      </w:r>
      <w:proofErr w:type="spellEnd"/>
      <w:r w:rsidR="00B14B18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Johnson-szindrómát. E reakciók a kezelés megkezdését követő első 3 hónapon belül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egyes jelentések szerint az első 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követően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alakultak ki. Amennyiben túlérzékenységi reakció gyanúja merül fel,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szedését abba kell hagyni. Meg kell állapítani a reakció egyéb lehetséges okait, és a diabetes kezelésének más módját kell megkezdeni.</w:t>
      </w:r>
    </w:p>
    <w:p w14:paraId="02D51116" w14:textId="77777777" w:rsidR="00B14B18" w:rsidRPr="00C011E4" w:rsidRDefault="00B14B18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7D00DE3" w14:textId="7C026477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Bullosus</w:t>
      </w:r>
      <w:proofErr w:type="spellEnd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pemphigoid</w:t>
      </w:r>
      <w:proofErr w:type="spellEnd"/>
    </w:p>
    <w:p w14:paraId="43B18D57" w14:textId="7EAC7040" w:rsidR="003350CD" w:rsidRPr="00C011E4" w:rsidRDefault="003350CD" w:rsidP="003350CD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DPP-4-gátlókat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szedő betegeknél a forgalomba hozatalt követően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bullosus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pemphigoidról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számoltak be. Ha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bullosus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pemphigoid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gyanúja áll fenn,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szedését abba kell hagyni.</w:t>
      </w:r>
    </w:p>
    <w:p w14:paraId="043B594F" w14:textId="77777777" w:rsidR="00B14B18" w:rsidRPr="00C011E4" w:rsidRDefault="00B14B18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D880E36" w14:textId="385B4A73" w:rsidR="003350CD" w:rsidRPr="00C011E4" w:rsidRDefault="009905CC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Segédanyagok</w:t>
      </w:r>
    </w:p>
    <w:p w14:paraId="3795EBA9" w14:textId="66A48BF1" w:rsidR="003350CD" w:rsidRPr="00C011E4" w:rsidRDefault="003350CD" w:rsidP="003350C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készítmény kevesebb mint 1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mmol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(23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nátriumot tartalmaz </w:t>
      </w:r>
      <w:proofErr w:type="spellStart"/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film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tablettánként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azaz gyakorlatilag „nátriummentes”.</w:t>
      </w:r>
    </w:p>
    <w:p w14:paraId="33AFB70D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770E32A7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4.5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6BA3510" w14:textId="77777777" w:rsidR="00F45C51" w:rsidRPr="00C011E4" w:rsidRDefault="00F45C51" w:rsidP="00C34EFD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B3B5F0" w14:textId="77777777" w:rsidR="00C01928" w:rsidRPr="00C011E4" w:rsidRDefault="00C01928" w:rsidP="00C34EFD">
      <w:pPr>
        <w:keepNext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Más gyógyszerek hatása a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szitagliptinre</w:t>
      </w:r>
      <w:proofErr w:type="spellEnd"/>
    </w:p>
    <w:p w14:paraId="3C579D44" w14:textId="77777777" w:rsidR="00C01928" w:rsidRPr="00C011E4" w:rsidRDefault="00C01928" w:rsidP="00C34EFD">
      <w:pPr>
        <w:keepNext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alábbiakban ismertetett klinikai adatok arra utalnak, hogy kicsi annak a kockázata,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együttesen alkalmazott készítményekkel klinikailag jelentős kölcsönhatásba lép.</w:t>
      </w:r>
    </w:p>
    <w:p w14:paraId="0AD32286" w14:textId="77777777" w:rsidR="00C01928" w:rsidRPr="00C011E4" w:rsidRDefault="00C01928" w:rsidP="00C34EFD">
      <w:pPr>
        <w:keepNext/>
        <w:tabs>
          <w:tab w:val="clear" w:pos="567"/>
        </w:tabs>
        <w:spacing w:line="23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83914D2" w14:textId="71FFBBB6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Az 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kimutatták,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korlátozott metabolizmusáért elsődlegesen a CYP3A4 enzim felelős, a CYP2C8 közreműködésével. A normál vesefunkció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jú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 esetében a metabolizmus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a CYP3A4-en keresztül történő metabolizmust </w:t>
      </w:r>
      <w:r w:rsidR="00514A51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csak kis szerepet játszik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kiürülésében. Súlyos vesekárosodás, illetve végstádiumú vesebetegség („end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stage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disease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 - ESRD) esetén a metabolizmus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kiválasztásában jelentősebb szerepet játszhat. Ezen oknál fogva lehetséges tehát, hogy az erős CYP3A4-inhibitorok (pl.: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ketokonazol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itrakonazol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ritonavir,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klaritromicin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a súlyos vesekárosodásban vagy ESRD-ben szenvedő betegek esetében megváltoztathatják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Az erős CYP3A4-inhibitorok hatásait vesekárosodásban szenvedők esetében klinikai vizsgálatokban nem vizsgálták.</w:t>
      </w:r>
    </w:p>
    <w:p w14:paraId="10299A1D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0E06AF9" w14:textId="42EF6AE4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transzportvizsgálatok azt mutatták,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az organikus aniontranszporter-3 (OAT3)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OAT3-mediált transzportját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probenecid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gátolta, noha a klinikailag jelentős kölcsönhatások kockázata alacsonynak bizonyult. Az OAT3-inhibitorok együttes alkalmazását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vivo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értékelték.</w:t>
      </w:r>
    </w:p>
    <w:p w14:paraId="468A9D71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C748C28" w14:textId="75E47595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Napi kétszeri 1000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ismételt adagolása nem változtatta meg jelentősen az együtt adott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2-es típusú diabetesben szenvedő betegekn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BFECE8B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6E3188C2" w14:textId="09E0AF2A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Elvégeztek egy vizsgálatot, hogy megállapítsák az erős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-inhibitornak minősülő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hatását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egyszeri, orálisan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r w:rsidR="00FE529D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ának együttes alkalmazása egyszeri, orálisan adott 600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ciklosporinnal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hozzávetőleg 29%-kal emelte meg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AUC-értékét, és 68%-kal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-értékét.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farmakokinetikájának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ezen változásai</w:t>
      </w:r>
      <w:r w:rsidR="001F3311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1F3311">
        <w:rPr>
          <w:rFonts w:eastAsia="Times New Roman"/>
          <w:snapToGrid/>
          <w:color w:val="000000"/>
          <w:szCs w:val="22"/>
          <w:lang w:val="hu-HU" w:eastAsia="hu-HU" w:bidi="hu-HU"/>
        </w:rPr>
        <w:t>tekintették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klinikailag jelentősnek.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-e nem módosult jelentős mértékben. Nem várható tehát jelentős interakció egyéb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-inhibitorokkal.</w:t>
      </w:r>
    </w:p>
    <w:p w14:paraId="62553D25" w14:textId="77777777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D587D73" w14:textId="39468B28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más készítményekre gyakorolt hatásai</w:t>
      </w:r>
    </w:p>
    <w:p w14:paraId="46D19219" w14:textId="69B38BBB" w:rsidR="00C01928" w:rsidRPr="00C011E4" w:rsidRDefault="00C01928" w:rsidP="00C01928">
      <w:pPr>
        <w:widowControl w:val="0"/>
        <w:tabs>
          <w:tab w:val="clear" w:pos="567"/>
        </w:tabs>
        <w:spacing w:line="23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: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csekély mértékben befolyásolta a plazma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já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t. Napi 0,</w:t>
      </w:r>
      <w:r w:rsidR="00E336D0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 napon át történő együttes alkalmazása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AUC-értékét átlagosan 11%-kal, míg a plazma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-értékét átlagosan 18%-kal emelte meg.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dózismódosítása nem javasolt.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-toxicitás kockázatának kitett betegeket azonban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monitorozni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kell, amennyiben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együttes alkalmazására kerül sor.</w:t>
      </w:r>
    </w:p>
    <w:p w14:paraId="52F383BB" w14:textId="77777777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0DEA385" w14:textId="53913F0D" w:rsidR="00C01928" w:rsidRPr="00C011E4" w:rsidRDefault="00C01928" w:rsidP="00C01928">
      <w:pPr>
        <w:widowControl w:val="0"/>
        <w:tabs>
          <w:tab w:val="clear" w:pos="567"/>
        </w:tabs>
        <w:spacing w:line="233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gátolja és nem is indukálja a CYP450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izoenzimeket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klinikai vizsgálatok során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változtatta meg jelentős mértékben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glib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enklam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szimvasztatin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roziglitazon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warfarin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orális fogamzásgátlók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mely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in vivo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bizonyítja a CYP3A4, CYP2C8, CYP2C9 és az organikus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kationtranszporter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(„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organic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cationic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transporter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 – OCT)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szubsztrátokkal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szemben mutatott alacsony interakciós hajlamot.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vivo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enyhén gátolhatja.</w:t>
      </w:r>
    </w:p>
    <w:p w14:paraId="3BB00032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044412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40B45270" w14:textId="77777777" w:rsidR="00F45C51" w:rsidRPr="00C011E4" w:rsidRDefault="00F45C51" w:rsidP="00CA6136">
      <w:pPr>
        <w:spacing w:line="240" w:lineRule="auto"/>
        <w:rPr>
          <w:i/>
          <w:lang w:val="hu-HU"/>
        </w:rPr>
      </w:pPr>
    </w:p>
    <w:p w14:paraId="40EA2611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Terhesség</w:t>
      </w:r>
    </w:p>
    <w:p w14:paraId="71C33AC1" w14:textId="769088C4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terhes nőknél történő alkalmazás</w:t>
      </w:r>
      <w:r w:rsidR="004C1E51">
        <w:rPr>
          <w:rFonts w:eastAsia="Times New Roman"/>
          <w:snapToGrid/>
          <w:color w:val="000000"/>
          <w:szCs w:val="22"/>
          <w:lang w:val="hu-HU" w:eastAsia="hu-HU" w:bidi="hu-HU"/>
        </w:rPr>
        <w:t>ával kapcsolatban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áll rendelkezésre megfelelő mennyiségű információ. Állatkísérletek során reprodukciós toxicitást igazoltak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nagy</w:t>
      </w:r>
      <w:r w:rsidR="00793B7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dózisok alkalmazása mellett (lásd 5.3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). Az emberi kockázat mértéke nem ismert. Az emberekre vonatkozó adatok hiánya miatt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-t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szabad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terhesség alatt.</w:t>
      </w:r>
    </w:p>
    <w:p w14:paraId="3ED9F2AE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9B2037C" w14:textId="6C98D96C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Szoptatás</w:t>
      </w:r>
    </w:p>
    <w:p w14:paraId="6D3C922C" w14:textId="4EED72F9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ismert,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kiválasztódik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-e a humán anyatejbe. Az állatkísérletek azt mutatják,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kiválasztódik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anyatej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be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-t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szabad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alkalmaz</w:t>
      </w:r>
      <w:r w:rsidR="00793B7B">
        <w:rPr>
          <w:rFonts w:eastAsia="Times New Roman"/>
          <w:snapToGrid/>
          <w:color w:val="000000"/>
          <w:szCs w:val="22"/>
          <w:lang w:val="hu-HU" w:eastAsia="hu-HU" w:bidi="hu-HU"/>
        </w:rPr>
        <w:t>ni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szoptatás alatt.</w:t>
      </w:r>
    </w:p>
    <w:p w14:paraId="0CAE7078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7C091ED" w14:textId="4A3FCD29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lastRenderedPageBreak/>
        <w:t>Termékenység</w:t>
      </w:r>
    </w:p>
    <w:p w14:paraId="41AB1953" w14:textId="77777777" w:rsidR="00C01928" w:rsidRPr="00C011E4" w:rsidRDefault="00C01928" w:rsidP="00C0192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állatkísérleti adatok nem utalnak arra,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-kezelés hatással lenne a férfi és női termékenységre. Humán adatok nincsenek.</w:t>
      </w:r>
    </w:p>
    <w:p w14:paraId="0B6EA4E5" w14:textId="77777777" w:rsidR="00F45C51" w:rsidRPr="00C011E4" w:rsidRDefault="00F45C51" w:rsidP="00082A8E">
      <w:pPr>
        <w:spacing w:line="240" w:lineRule="auto"/>
        <w:rPr>
          <w:lang w:val="hu-HU"/>
        </w:rPr>
      </w:pPr>
    </w:p>
    <w:p w14:paraId="2EB8A721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C011E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7CF070D4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97F9CE4" w14:textId="1603AB17" w:rsidR="00D97214" w:rsidRPr="00C011E4" w:rsidRDefault="007B6547" w:rsidP="00D97214">
      <w:pPr>
        <w:spacing w:line="240" w:lineRule="auto"/>
        <w:rPr>
          <w:rFonts w:eastAsia="Times New Roman"/>
          <w:noProof/>
          <w:snapToGrid/>
          <w:szCs w:val="22"/>
          <w:lang w:val="hu-HU" w:eastAsia="en-US" w:bidi="hu-HU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A112E8">
        <w:rPr>
          <w:rFonts w:eastAsia="Times New Roman"/>
          <w:noProof/>
          <w:snapToGrid/>
          <w:szCs w:val="22"/>
          <w:lang w:val="hu-HU" w:eastAsia="en-US"/>
        </w:rPr>
        <w:t xml:space="preserve">szitagliptin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nem</w:t>
      </w:r>
      <w:r w:rsidR="00C56E1B" w:rsidRPr="00C011E4">
        <w:rPr>
          <w:rFonts w:eastAsia="Times New Roman"/>
          <w:noProof/>
          <w:snapToGrid/>
          <w:szCs w:val="22"/>
          <w:lang w:val="hu-HU" w:eastAsia="en-US"/>
        </w:rPr>
        <w:t>,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vagy csak elhanyagolható mértékben</w:t>
      </w:r>
      <w:r w:rsidR="00D97214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befolyásolja a gépjárművezetéshez és </w:t>
      </w:r>
      <w:r w:rsidR="00F5194B" w:rsidRPr="00C011E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>gépek kezeléséhez szükséges képességeket.</w:t>
      </w:r>
      <w:r w:rsidR="00D97214" w:rsidRPr="00C011E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97214" w:rsidRPr="00C011E4">
        <w:rPr>
          <w:rFonts w:eastAsia="Times New Roman"/>
          <w:noProof/>
          <w:snapToGrid/>
          <w:szCs w:val="22"/>
          <w:lang w:val="hu-HU" w:eastAsia="en-US" w:bidi="hu-HU"/>
        </w:rPr>
        <w:t>Gépjárművezetéskor vagy gépek kezelésekor figyelembe kell venni azonban, hogy beszámoltak szédülésről és álmosságról.</w:t>
      </w:r>
    </w:p>
    <w:p w14:paraId="2F257F09" w14:textId="25C75F22" w:rsidR="00F45C51" w:rsidRPr="00E70CED" w:rsidRDefault="00D97214" w:rsidP="00D97214">
      <w:pPr>
        <w:spacing w:line="240" w:lineRule="auto"/>
        <w:rPr>
          <w:lang w:val="hu-HU"/>
        </w:rPr>
      </w:pP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Továbbá a </w:t>
      </w:r>
      <w:r w:rsidR="0022634E">
        <w:rPr>
          <w:rFonts w:eastAsia="Times New Roman"/>
          <w:noProof/>
          <w:snapToGrid/>
          <w:szCs w:val="22"/>
          <w:lang w:val="hu-HU" w:eastAsia="en-US" w:bidi="hu-HU"/>
        </w:rPr>
        <w:t>Jazeta</w:t>
      </w: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 és egy szulfonilurea vagy inzulin együttes szedésekor a betegek figyelmét fel kell hívni a </w:t>
      </w:r>
      <w:r w:rsidR="001B061F">
        <w:rPr>
          <w:rFonts w:eastAsia="Times New Roman"/>
          <w:noProof/>
          <w:snapToGrid/>
          <w:szCs w:val="22"/>
          <w:lang w:val="hu-HU" w:eastAsia="en-US" w:bidi="hu-HU"/>
        </w:rPr>
        <w:t>hypoglykaemi</w:t>
      </w:r>
      <w:r w:rsidRPr="00C011E4">
        <w:rPr>
          <w:rFonts w:eastAsia="Times New Roman"/>
          <w:noProof/>
          <w:snapToGrid/>
          <w:szCs w:val="22"/>
          <w:lang w:val="hu-HU" w:eastAsia="en-US" w:bidi="hu-HU"/>
        </w:rPr>
        <w:t xml:space="preserve">a </w:t>
      </w:r>
      <w:r w:rsidR="00793B7B">
        <w:rPr>
          <w:rFonts w:eastAsia="Times New Roman"/>
          <w:noProof/>
          <w:snapToGrid/>
          <w:szCs w:val="22"/>
          <w:lang w:val="hu-HU" w:eastAsia="en-US" w:bidi="hu-HU"/>
        </w:rPr>
        <w:t>kockázatára</w:t>
      </w:r>
      <w:r w:rsidRPr="00793B7B">
        <w:rPr>
          <w:rFonts w:eastAsia="Times New Roman"/>
          <w:noProof/>
          <w:snapToGrid/>
          <w:szCs w:val="22"/>
          <w:lang w:val="hu-HU" w:eastAsia="en-US" w:bidi="hu-HU"/>
        </w:rPr>
        <w:t>.</w:t>
      </w:r>
    </w:p>
    <w:p w14:paraId="7C9DDD42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3E2409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1DF95F3D" w14:textId="77777777" w:rsidR="00F45C51" w:rsidRPr="00C011E4" w:rsidRDefault="00F45C51" w:rsidP="00497F75">
      <w:pPr>
        <w:spacing w:line="240" w:lineRule="auto"/>
        <w:rPr>
          <w:i/>
          <w:lang w:val="hu-HU"/>
        </w:rPr>
      </w:pPr>
    </w:p>
    <w:p w14:paraId="32F963D7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0" w:name="bookmark22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bookmarkEnd w:id="0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biztonságossági profil összefoglalása</w:t>
      </w:r>
    </w:p>
    <w:p w14:paraId="2477F311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" w:name="bookmark23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</w:t>
      </w:r>
      <w:bookmarkEnd w:id="1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úlyos mellékhatásokról, köztük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pancreatitisről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túlérzékenységi reakciókról számoltak be.</w:t>
      </w:r>
    </w:p>
    <w:p w14:paraId="28B4A35A" w14:textId="529CD198" w:rsidR="00D97214" w:rsidRPr="00C011E4" w:rsidRDefault="001B061F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áról</w:t>
      </w:r>
      <w:proofErr w:type="spellEnd"/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számoltak be </w:t>
      </w:r>
      <w:proofErr w:type="spellStart"/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szulfonilureával</w:t>
      </w:r>
      <w:proofErr w:type="spellEnd"/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(4,7% – 13,8%) és inzulinnal (9,6%) való kombinációban (lásd 4.4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D9721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7474AAA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4EB74CF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" w:name="bookmark25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</w:t>
      </w:r>
      <w:bookmarkEnd w:id="2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mellékhatások táblázatos felsorolása</w:t>
      </w:r>
    </w:p>
    <w:p w14:paraId="47ECFD1E" w14:textId="6521A5CF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" w:name="bookmark26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bookmarkEnd w:id="3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az 1. táblázatban szervrendszer és gyakoriság szerint vannak felsorolva. Az előfordulási 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gyakoriságok</w:t>
      </w:r>
      <w:r w:rsidR="005027C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meghatározása a következő: nagyon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1/10);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/10); nem gyakori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1/1000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/100); ritka (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1/10 000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600F8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/1000); nagyon ritka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(&lt;</w:t>
      </w:r>
      <w:r w:rsidR="00600F82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/10 000) és nem ismert (a gyakoriság a rendelkezésre álló adatokból nem állapítható meg).</w:t>
      </w:r>
    </w:p>
    <w:p w14:paraId="2C41239A" w14:textId="77777777" w:rsidR="00D97214" w:rsidRPr="00C011E4" w:rsidRDefault="00D97214" w:rsidP="00D9721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9B75285" w14:textId="21DBCDA0" w:rsidR="00D97214" w:rsidRPr="00C011E4" w:rsidRDefault="00D97214" w:rsidP="00D97214">
      <w:pPr>
        <w:widowControl w:val="0"/>
        <w:tabs>
          <w:tab w:val="clear" w:pos="567"/>
          <w:tab w:val="left" w:pos="344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" w:name="bookmark27"/>
      <w:bookmarkEnd w:id="4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1. táblázat. A placebokontrollos, </w:t>
      </w:r>
      <w:proofErr w:type="spellStart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szitagliptin</w:t>
      </w:r>
      <w:r w:rsidR="004C1E51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monoterápiát</w:t>
      </w:r>
      <w:proofErr w:type="spellEnd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alkalmazó klinikai vizsgálatokban és a forgalomba hozatalt követően felismert mellékhatások gyakorisága</w:t>
      </w:r>
    </w:p>
    <w:p w14:paraId="36823EA7" w14:textId="1700ACEA" w:rsidR="00F5194B" w:rsidRPr="00C011E4" w:rsidRDefault="00F5194B" w:rsidP="00082A8E">
      <w:pPr>
        <w:spacing w:line="240" w:lineRule="auto"/>
        <w:rPr>
          <w:u w:val="single"/>
          <w:lang w:val="hu-HU"/>
        </w:rPr>
      </w:pPr>
    </w:p>
    <w:tbl>
      <w:tblPr>
        <w:tblOverlap w:val="never"/>
        <w:tblW w:w="93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6"/>
        <w:gridCol w:w="4656"/>
      </w:tblGrid>
      <w:tr w:rsidR="00600F82" w:rsidRPr="00C011E4" w14:paraId="0097D741" w14:textId="77777777" w:rsidTr="00C34EFD">
        <w:trPr>
          <w:tblHeader/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2C2BD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Mellékhatás</w:t>
            </w:r>
          </w:p>
          <w:p w14:paraId="203A082F" w14:textId="702FE50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58BEAD" w14:textId="139D8BD4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mellékhatás gyakorisága</w:t>
            </w:r>
          </w:p>
        </w:tc>
      </w:tr>
      <w:tr w:rsidR="00600F82" w:rsidRPr="00C011E4" w14:paraId="433A85A5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299B5F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Vérképzőszervi és nyirokrendszeri betegségek és tünetek</w:t>
            </w:r>
          </w:p>
        </w:tc>
      </w:tr>
      <w:tr w:rsidR="00600F82" w:rsidRPr="00C011E4" w14:paraId="39FCF886" w14:textId="77777777" w:rsidTr="00D030B3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0938EA" w14:textId="672FFE6A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thrombocytopenia</w:t>
            </w:r>
            <w:proofErr w:type="spell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950C8" w14:textId="374020FE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Ritka</w:t>
            </w:r>
          </w:p>
        </w:tc>
      </w:tr>
      <w:tr w:rsidR="00600F82" w:rsidRPr="00C011E4" w14:paraId="5715870A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B26D3D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Immunrendszeri betegségek és tünetek</w:t>
            </w:r>
          </w:p>
        </w:tc>
      </w:tr>
      <w:tr w:rsidR="00600F82" w:rsidRPr="00C011E4" w14:paraId="1E12736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EA6837" w14:textId="1BC9082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33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túlérzékenységi reakciók, beleértve az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anaphylaxiás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reakciókat is</w:t>
            </w:r>
            <w:r w:rsidRPr="00C011E4"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  <w:t xml:space="preserve"> </w:t>
            </w:r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012A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23BB887D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43AFC9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Anyagcsere- és táplálkozási betegségek és tünetek</w:t>
            </w:r>
          </w:p>
        </w:tc>
      </w:tr>
      <w:tr w:rsidR="00600F82" w:rsidRPr="00C011E4" w14:paraId="1004BDC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6FEE69" w14:textId="38DC22CD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hypoglykaemia</w:t>
            </w:r>
            <w:proofErr w:type="spellEnd"/>
            <w:r w:rsidRPr="00C011E4">
              <w:rPr>
                <w:vertAlign w:val="superscript"/>
                <w:lang w:val="hu-HU"/>
              </w:rPr>
              <w:t>†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A2B8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</w:t>
            </w:r>
          </w:p>
        </w:tc>
      </w:tr>
      <w:tr w:rsidR="00600F82" w:rsidRPr="00C011E4" w14:paraId="20BA24EA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6CA9C7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Idegrendszeri betegségek és tünetek</w:t>
            </w:r>
          </w:p>
        </w:tc>
      </w:tr>
      <w:tr w:rsidR="00600F82" w:rsidRPr="00C011E4" w14:paraId="74EAD6CB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26F4E2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fejfájás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8D4DB5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</w:t>
            </w:r>
          </w:p>
        </w:tc>
      </w:tr>
      <w:tr w:rsidR="00600F82" w:rsidRPr="00C011E4" w14:paraId="77FD5D4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3F12DE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szédülés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C3C8D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6CC8327D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EF4F75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Légzőrendszeri, mellkasi és </w:t>
            </w:r>
            <w:proofErr w:type="spellStart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mediastinalis</w:t>
            </w:r>
            <w:proofErr w:type="spellEnd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betegségek és tünetek</w:t>
            </w:r>
          </w:p>
        </w:tc>
      </w:tr>
      <w:tr w:rsidR="00600F82" w:rsidRPr="00C011E4" w14:paraId="0143251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45D055" w14:textId="1DFF5B1E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interstitialis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tüdőbetegség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562E83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21E157CE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957CCC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Emésztőrendszeri betegségek és tünetek</w:t>
            </w:r>
          </w:p>
        </w:tc>
      </w:tr>
      <w:tr w:rsidR="00600F82" w:rsidRPr="00C011E4" w14:paraId="5FB1045C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24E6E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székrekedés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B7AE92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5FC62CB6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0117CA" w14:textId="092997A3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hányás</w:t>
            </w:r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FA561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39C98661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E3954" w14:textId="0854FD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acut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pancreatitis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  <w:r w:rsidRPr="00C011E4">
              <w:rPr>
                <w:vertAlign w:val="superscript"/>
                <w:lang w:val="hu-HU"/>
              </w:rPr>
              <w:t>,‡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DA24FB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7D303625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4FEE0" w14:textId="30CED11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fatális és nem fatális kimenetelű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haemorrhagiás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és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nekrotizáló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pancreatitis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27D5E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6E90E204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17BBEB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bőr és a bőr alatti szövet betegségei és tünetei</w:t>
            </w:r>
          </w:p>
        </w:tc>
      </w:tr>
      <w:tr w:rsidR="00600F82" w:rsidRPr="00C011E4" w14:paraId="55A53B60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8FFC5" w14:textId="1201FBA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18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pruritus</w:t>
            </w:r>
            <w:proofErr w:type="spellEnd"/>
            <w:r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3905EC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gyakori</w:t>
            </w:r>
          </w:p>
        </w:tc>
      </w:tr>
      <w:tr w:rsidR="00600F82" w:rsidRPr="00C011E4" w14:paraId="10A511D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E3A977" w14:textId="3D0DFA3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angio</w:t>
            </w:r>
            <w:r w:rsidR="000F4725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ö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d</w:t>
            </w:r>
            <w:r w:rsidR="000F4725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é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ma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E9210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79A27A3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AA2818" w14:textId="4D43F07A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kiütés</w:t>
            </w:r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D0E30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14DB1C74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37F87B" w14:textId="2B9B4620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urticaria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4478CD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354D99A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DF48A9" w14:textId="4F4B7F76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cutan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vasculitis</w:t>
            </w:r>
            <w:proofErr w:type="spellEnd"/>
            <w:proofErr w:type="gramStart"/>
            <w:r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34FE9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40DF5CEA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F76F23" w14:textId="342F4D59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28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exfoliatív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bőrelváltozások, beleértve a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Stevens</w:t>
            </w:r>
            <w:proofErr w:type="spellEnd"/>
            <w:r w:rsidR="0048507A"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Johnson-szindrómát is</w:t>
            </w:r>
            <w:proofErr w:type="gramStart"/>
            <w:r w:rsidR="0048507A" w:rsidRPr="00C011E4">
              <w:rPr>
                <w:vertAlign w:val="superscript"/>
                <w:lang w:val="hu-HU"/>
              </w:rPr>
              <w:t>*,†</w:t>
            </w:r>
            <w:proofErr w:type="gramEnd"/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F7B71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0DCFEA10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FC660E" w14:textId="5C273473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lastRenderedPageBreak/>
              <w:t>bullosus</w:t>
            </w:r>
            <w:proofErr w:type="spellEnd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pemphigoid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E41A41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2BEB3788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3EF289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 csont- és izomrendszer, valamint a kötőszövet betegségei és tünetei</w:t>
            </w:r>
          </w:p>
        </w:tc>
      </w:tr>
      <w:tr w:rsidR="00600F82" w:rsidRPr="00C011E4" w14:paraId="32879F6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BE1400" w14:textId="3BFB388C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arthralgia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23BAA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64DB5149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FA360A" w14:textId="0F46194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myalgia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7E363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5322645F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CA5554" w14:textId="5C0F8B20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hátfájás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38625E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11894FC2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718180" w14:textId="5C0BAC22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proofErr w:type="spellStart"/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arthropathia</w:t>
            </w:r>
            <w:proofErr w:type="spellEnd"/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820868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30FB6607" w14:textId="77777777" w:rsidTr="00600F82">
        <w:trPr>
          <w:jc w:val="center"/>
        </w:trPr>
        <w:tc>
          <w:tcPr>
            <w:tcW w:w="93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1D7AC4" w14:textId="77777777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Vese- és </w:t>
            </w:r>
            <w:proofErr w:type="spellStart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húgyúti</w:t>
            </w:r>
            <w:proofErr w:type="spellEnd"/>
            <w:r w:rsidRPr="00C011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betegségek és tünetek</w:t>
            </w:r>
          </w:p>
        </w:tc>
      </w:tr>
      <w:tr w:rsidR="00600F82" w:rsidRPr="00C011E4" w14:paraId="1085C6A7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5F68E" w14:textId="66AD0A2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vesekárosodás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508186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  <w:tr w:rsidR="00600F82" w:rsidRPr="00C011E4" w14:paraId="5408C004" w14:textId="77777777" w:rsidTr="00600F82">
        <w:trPr>
          <w:jc w:val="center"/>
        </w:trPr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22A764" w14:textId="176C01EB" w:rsidR="00600F82" w:rsidRPr="00C011E4" w:rsidRDefault="00600F82" w:rsidP="0048507A">
            <w:pPr>
              <w:widowControl w:val="0"/>
              <w:tabs>
                <w:tab w:val="clear" w:pos="567"/>
              </w:tabs>
              <w:spacing w:line="240" w:lineRule="auto"/>
              <w:ind w:left="127"/>
              <w:rPr>
                <w:rFonts w:eastAsia="Times New Roman"/>
                <w:snapToGrid/>
                <w:color w:val="000000"/>
                <w:sz w:val="14"/>
                <w:szCs w:val="14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a</w:t>
            </w:r>
            <w:r w:rsidR="00D1569B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k</w:t>
            </w: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ut veseelégtelenség</w:t>
            </w:r>
            <w:r w:rsidR="0048507A" w:rsidRPr="00C011E4">
              <w:rPr>
                <w:vertAlign w:val="superscript"/>
                <w:lang w:val="hu-HU"/>
              </w:rPr>
              <w:t>*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7CA669" w14:textId="77777777" w:rsidR="00600F82" w:rsidRPr="00C011E4" w:rsidRDefault="00600F82" w:rsidP="00600F82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Gyakoriság nem ismert</w:t>
            </w:r>
          </w:p>
        </w:tc>
      </w:tr>
    </w:tbl>
    <w:p w14:paraId="487597D3" w14:textId="2BA6D41D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187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*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A mellékhatásokat a forgalomba hozatalt követő felügyelet során azonosították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624E66E5" w14:textId="281D879A" w:rsidR="0048507A" w:rsidRPr="00C34EFD" w:rsidRDefault="0048507A" w:rsidP="0048507A">
      <w:pPr>
        <w:widowControl w:val="0"/>
        <w:tabs>
          <w:tab w:val="clear" w:pos="567"/>
        </w:tabs>
        <w:autoSpaceDE w:val="0"/>
        <w:autoSpaceDN w:val="0"/>
        <w:spacing w:line="208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r w:rsidRPr="00D53923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† </w:t>
      </w:r>
      <w:r w:rsidRPr="00C34EFD">
        <w:rPr>
          <w:rFonts w:eastAsia="Times New Roman"/>
          <w:snapToGrid/>
          <w:sz w:val="18"/>
          <w:szCs w:val="22"/>
          <w:lang w:val="hu-HU" w:eastAsia="en-US"/>
        </w:rPr>
        <w:t>Lásd 4.4</w:t>
      </w:r>
      <w:r w:rsidR="006E3747" w:rsidRPr="00C34EFD">
        <w:rPr>
          <w:rFonts w:eastAsia="Times New Roman"/>
          <w:snapToGrid/>
          <w:sz w:val="18"/>
          <w:szCs w:val="22"/>
          <w:lang w:val="hu-HU" w:eastAsia="en-US"/>
        </w:rPr>
        <w:t> pont</w:t>
      </w:r>
      <w:r w:rsidRPr="00C34EFD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74CE58F2" w14:textId="3BEF5C90" w:rsidR="0048507A" w:rsidRPr="00C011E4" w:rsidRDefault="0048507A" w:rsidP="0048507A">
      <w:pPr>
        <w:widowControl w:val="0"/>
        <w:tabs>
          <w:tab w:val="clear" w:pos="567"/>
        </w:tabs>
        <w:autoSpaceDE w:val="0"/>
        <w:autoSpaceDN w:val="0"/>
        <w:spacing w:line="220" w:lineRule="exact"/>
        <w:ind w:left="142"/>
        <w:rPr>
          <w:rFonts w:eastAsia="Times New Roman"/>
          <w:snapToGrid/>
          <w:sz w:val="18"/>
          <w:szCs w:val="22"/>
          <w:lang w:val="hu-HU" w:eastAsia="en-US"/>
        </w:rPr>
      </w:pPr>
      <w:proofErr w:type="gramStart"/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Lásd</w:t>
      </w:r>
      <w:proofErr w:type="gramEnd"/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alább, a </w:t>
      </w:r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 xml:space="preserve">TECOS </w:t>
      </w:r>
      <w:proofErr w:type="spellStart"/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>cardiovascularis</w:t>
      </w:r>
      <w:proofErr w:type="spellEnd"/>
      <w:r w:rsidRPr="00C011E4">
        <w:rPr>
          <w:rFonts w:eastAsia="Times New Roman"/>
          <w:i/>
          <w:snapToGrid/>
          <w:sz w:val="18"/>
          <w:szCs w:val="22"/>
          <w:lang w:val="hu-HU" w:eastAsia="en-US"/>
        </w:rPr>
        <w:t xml:space="preserve"> biztonságossági vizsgálatra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vonatkozó részt.</w:t>
      </w:r>
    </w:p>
    <w:p w14:paraId="0FF6425C" w14:textId="3C949F00" w:rsidR="00D97214" w:rsidRPr="00C011E4" w:rsidRDefault="00D97214" w:rsidP="00082A8E">
      <w:pPr>
        <w:spacing w:line="240" w:lineRule="auto"/>
        <w:rPr>
          <w:u w:val="single"/>
          <w:lang w:val="hu-HU"/>
        </w:rPr>
      </w:pPr>
    </w:p>
    <w:p w14:paraId="76BE8570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kiválasztott mellékhatások leírása</w:t>
      </w:r>
    </w:p>
    <w:p w14:paraId="27605013" w14:textId="77777777" w:rsidR="00D53685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fent ismertetett, gyógyszerrel összefüggő mellékhatások mellett a gyógyszerrel történő ok-okozati viszony feltüntetése nélkül jelentett,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legalább 5%-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ánál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ennél gyakrabban fellépő nemkívánatos események közé tartozott a felső légúti fertőzés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nasopharyngitis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</w:p>
    <w:p w14:paraId="0612170C" w14:textId="402D5D4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további, a gyógyszerrel történő ok-okozati összefüggéstől függetlenül jelentett,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gyakrabban (a kontrollcsoporthoz képest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az 5%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os szintet el nem érő, de &gt; 0,5%-kal magasabb gyakoriság mellett) előforduló mellékhatások közé tartozott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osteoarthritis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végtagfájdalom.</w:t>
      </w:r>
    </w:p>
    <w:p w14:paraId="593FB57B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F0AD67C" w14:textId="369249E2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más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antidiabetikumok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kombinációjának alkalmazását értékelő vizsgálatok során egyes mellékhatásokat gyakrabban figyeltek meg,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vizsgálatokban. Ezek közé tartozik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kombinációja mellett gyakorisága „nagyon gyakori” volt), influenza (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kapott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„gyakori” volt), hányinger és hányás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„gyakori” volt),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flatulencia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„gyakori” volt), székrekedés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kombinációja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„gyakori” volt), perifériás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oedema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kombinációja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>gyakorisága</w:t>
      </w:r>
      <w:r w:rsidR="009143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„gyakori” volt), aluszékonyság és hasmenés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„nem gyakori” volt), valamint a szájszárazság (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kapott</w:t>
      </w:r>
      <w:r w:rsidR="00D1569B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mellett </w:t>
      </w:r>
      <w:r w:rsidR="00170EC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gyakorisága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„nem gyakori” volt).</w:t>
      </w:r>
    </w:p>
    <w:p w14:paraId="0F7F47D5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DD35CEA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Gyermekek és serdülők</w:t>
      </w:r>
    </w:p>
    <w:p w14:paraId="10A05F3E" w14:textId="4F5ED682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2-es típusú diabetes mellitusban szenvedő, 10</w:t>
      </w:r>
      <w:r w:rsidR="00AF7A5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F7A57">
        <w:rPr>
          <w:lang w:val="hu-HU"/>
        </w:rPr>
        <w:t xml:space="preserve">és betöltött </w:t>
      </w:r>
      <w:r w:rsidR="00AF7A57" w:rsidRPr="005C14D0">
        <w:rPr>
          <w:lang w:val="hu-HU"/>
        </w:rPr>
        <w:t>1</w:t>
      </w:r>
      <w:r w:rsidR="00AF7A57">
        <w:rPr>
          <w:lang w:val="hu-HU"/>
        </w:rPr>
        <w:t>8.</w:t>
      </w:r>
      <w:r w:rsidR="00AF7A57" w:rsidRPr="005C14D0">
        <w:rPr>
          <w:lang w:val="hu-HU"/>
        </w:rPr>
        <w:t> </w:t>
      </w:r>
      <w:r w:rsidR="00AF7A57">
        <w:rPr>
          <w:lang w:val="hu-HU"/>
        </w:rPr>
        <w:t>élet</w:t>
      </w:r>
      <w:r w:rsidR="00AF7A57" w:rsidRPr="005C14D0">
        <w:rPr>
          <w:lang w:val="hu-HU"/>
        </w:rPr>
        <w:t>év</w:t>
      </w:r>
      <w:r w:rsidR="00AF7A57">
        <w:rPr>
          <w:lang w:val="hu-HU"/>
        </w:rPr>
        <w:t xml:space="preserve"> közötti</w:t>
      </w:r>
      <w:r w:rsidR="00AF7A57" w:rsidRPr="005C14D0">
        <w:rPr>
          <w:lang w:val="hu-HU"/>
        </w:rPr>
        <w:t xml:space="preserve"> </w:t>
      </w:r>
      <w:r w:rsidR="002702F5" w:rsidRPr="003E5E1A">
        <w:rPr>
          <w:szCs w:val="22"/>
          <w:lang w:val="hu-HU"/>
        </w:rPr>
        <w:t>életkorú</w:t>
      </w:r>
      <w:r w:rsidR="002702F5" w:rsidRPr="00C34EFD" w:rsidDel="00AF7A5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3E5E1A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yermekeknél és serdülőknél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végzett klinikai vizsgálatokban a mellékhatásprofil hasonló volt a felnőtteknél megfigyelthez.</w:t>
      </w:r>
    </w:p>
    <w:p w14:paraId="34EEAB35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3728604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TECOS </w:t>
      </w:r>
      <w:proofErr w:type="spellStart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biztonságossági vizsgálat</w:t>
      </w:r>
    </w:p>
    <w:p w14:paraId="0B8C4603" w14:textId="2B514692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megfigyelt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végpontokat értékelő vizsgálatban (TECOS –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Trial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Evaluating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Outcomes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with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7332,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</w:t>
      </w:r>
      <w:r w:rsidR="006E3747" w:rsidRPr="00053601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30 és</w:t>
      </w:r>
    </w:p>
    <w:p w14:paraId="1F668CA0" w14:textId="09D1E27E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értékű kiindulási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 napi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kezelt, valamint 7339,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 vett részt a beválasztás szerinti populációban. Mindkét kezelést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1c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CV kockázati tényezőkre vonatkozó regionális standardokat célzó általános kezelés mellett alkalmazták.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betegeknél fellépő, súlyos nemkívánatos események összesített előfordulási aránya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kapóknál megfigyelthez.</w:t>
      </w:r>
    </w:p>
    <w:p w14:paraId="13041301" w14:textId="77777777" w:rsidR="00CA4921" w:rsidRPr="00C011E4" w:rsidRDefault="00CA4921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2D9E0F" w14:textId="77777777" w:rsidR="0048507A" w:rsidRPr="00C011E4" w:rsidRDefault="0048507A" w:rsidP="004850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beválasztás szerinti populációban a kiinduláskor inzulint és/vagy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betegeknél a súlyos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2,7%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betegeknél, és 2,5%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kezelteknél. Az inzulint és/vagy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kiinduláskor nem kapó betegeknél a súlyos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1,0%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betegeknél, és 0,7%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kezelteknél. Az igazolt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pancreatitis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események előfordulási aránya 0,3%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betegeknél, és 0,2%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kezelteknél.</w:t>
      </w:r>
    </w:p>
    <w:p w14:paraId="2CA4932D" w14:textId="77777777" w:rsidR="0048507A" w:rsidRPr="00C011E4" w:rsidRDefault="0048507A" w:rsidP="0048507A">
      <w:pPr>
        <w:spacing w:line="240" w:lineRule="auto"/>
        <w:rPr>
          <w:u w:val="single"/>
          <w:lang w:val="hu-HU"/>
        </w:rPr>
      </w:pPr>
    </w:p>
    <w:p w14:paraId="3DAA6071" w14:textId="77777777" w:rsidR="00F5194B" w:rsidRPr="00C011E4" w:rsidRDefault="007B6547" w:rsidP="00497F75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lastRenderedPageBreak/>
        <w:t>Feltételezett mellékhatások bejelentése</w:t>
      </w:r>
    </w:p>
    <w:p w14:paraId="3275FA19" w14:textId="42DC830F" w:rsidR="00F5194B" w:rsidRPr="00C011E4" w:rsidRDefault="007B6547" w:rsidP="00082A8E">
      <w:pPr>
        <w:spacing w:line="240" w:lineRule="auto"/>
        <w:rPr>
          <w:lang w:val="hu-HU"/>
        </w:rPr>
      </w:pPr>
      <w:r w:rsidRPr="00C011E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C011E4">
          <w:rPr>
            <w:rStyle w:val="Hiperhivatkozs"/>
            <w:highlight w:val="lightGray"/>
            <w:lang w:val="hu-HU"/>
          </w:rPr>
          <w:t>V. füg</w:t>
        </w:r>
        <w:bookmarkStart w:id="5" w:name="_Hlt352075914"/>
        <w:bookmarkStart w:id="6" w:name="_Hlt352075915"/>
        <w:r w:rsidRPr="00C011E4">
          <w:rPr>
            <w:rStyle w:val="Hiperhivatkozs"/>
            <w:highlight w:val="lightGray"/>
            <w:lang w:val="hu-HU"/>
          </w:rPr>
          <w:t>g</w:t>
        </w:r>
        <w:bookmarkEnd w:id="5"/>
        <w:bookmarkEnd w:id="6"/>
        <w:r w:rsidRPr="00C011E4">
          <w:rPr>
            <w:rStyle w:val="Hiperhivatkozs"/>
            <w:highlight w:val="lightGray"/>
            <w:lang w:val="hu-HU"/>
          </w:rPr>
          <w:t>elékben</w:t>
        </w:r>
      </w:hyperlink>
      <w:r w:rsidRPr="00C011E4">
        <w:rPr>
          <w:highlight w:val="lightGray"/>
          <w:lang w:val="hu-HU"/>
        </w:rPr>
        <w:t xml:space="preserve"> található elérhetőségek valamelyikén keresztül</w:t>
      </w:r>
      <w:r w:rsidR="002D1F2D" w:rsidRPr="00C011E4">
        <w:rPr>
          <w:color w:val="008000"/>
          <w:lang w:val="hu-HU"/>
        </w:rPr>
        <w:t>.</w:t>
      </w:r>
    </w:p>
    <w:p w14:paraId="73086825" w14:textId="77777777" w:rsidR="00F5194B" w:rsidRPr="00C011E4" w:rsidRDefault="00F5194B" w:rsidP="00082A8E">
      <w:pPr>
        <w:spacing w:line="240" w:lineRule="auto"/>
        <w:rPr>
          <w:lang w:val="hu-HU"/>
        </w:rPr>
      </w:pPr>
    </w:p>
    <w:p w14:paraId="2F98E628" w14:textId="77777777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17C24AF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EF95749" w14:textId="4415CA4C" w:rsidR="00CA4921" w:rsidRPr="00C011E4" w:rsidRDefault="00CA4921" w:rsidP="00CA4921">
      <w:pPr>
        <w:pStyle w:val="Szvegtrzs1"/>
        <w:spacing w:line="233" w:lineRule="auto"/>
        <w:rPr>
          <w:lang w:val="hu-HU"/>
        </w:rPr>
      </w:pPr>
      <w:r w:rsidRPr="00C011E4">
        <w:rPr>
          <w:lang w:val="hu-HU"/>
        </w:rPr>
        <w:t>A kontrollos klinikai vizsgálatok során egészséges résztvevők legfeljebb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, egyszeri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-dózist kaptak. Egy vizsgálatban a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-os </w:t>
      </w:r>
      <w:r w:rsidR="00170ECA">
        <w:rPr>
          <w:lang w:val="hu-HU"/>
        </w:rPr>
        <w:t>dózis</w:t>
      </w:r>
      <w:r w:rsidRPr="00C011E4">
        <w:rPr>
          <w:lang w:val="hu-HU"/>
        </w:rPr>
        <w:t xml:space="preserve">a mellett minimális, klinikailag nem releváns mértékű </w:t>
      </w:r>
      <w:proofErr w:type="spellStart"/>
      <w:r w:rsidRPr="00C011E4">
        <w:rPr>
          <w:lang w:val="hu-HU"/>
        </w:rPr>
        <w:t>QTc</w:t>
      </w:r>
      <w:proofErr w:type="spellEnd"/>
      <w:r w:rsidRPr="00C011E4">
        <w:rPr>
          <w:lang w:val="hu-HU"/>
        </w:rPr>
        <w:t>-emelkedést figyeltek meg. Klinikai vizsgálatokban 800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feletti dózissal kapcsolatban nincs tapasztalat. Az I. fázisú, </w:t>
      </w:r>
      <w:r w:rsidR="00170ECA">
        <w:rPr>
          <w:lang w:val="hu-HU"/>
        </w:rPr>
        <w:t xml:space="preserve">ismételt </w:t>
      </w:r>
      <w:proofErr w:type="spellStart"/>
      <w:r w:rsidR="00170ECA">
        <w:rPr>
          <w:lang w:val="hu-HU"/>
        </w:rPr>
        <w:t>adagolású</w:t>
      </w:r>
      <w:proofErr w:type="spellEnd"/>
      <w:r w:rsidRPr="00C011E4">
        <w:rPr>
          <w:lang w:val="hu-HU"/>
        </w:rPr>
        <w:t xml:space="preserve"> vizsgálatok során legfeljebb 10 napig adagolt, naponta legfeljebb 600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>-dózis, illetve legfeljebb 28 napig adagolt, naponta legfeljebb 400</w:t>
      </w:r>
      <w:r w:rsidR="00A60BB4" w:rsidRPr="00C011E4">
        <w:rPr>
          <w:lang w:val="hu-HU"/>
        </w:rPr>
        <w:t> mg</w:t>
      </w:r>
      <w:r w:rsidRPr="00C011E4">
        <w:rPr>
          <w:lang w:val="hu-HU"/>
        </w:rPr>
        <w:t xml:space="preserve">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>-dózis mellett nem figyeltek meg dózisfüggő klinikai mellékhatásokat.</w:t>
      </w:r>
    </w:p>
    <w:p w14:paraId="5E965373" w14:textId="4B2CA7FC" w:rsidR="00CA4921" w:rsidRPr="00C011E4" w:rsidRDefault="00CA4921" w:rsidP="00CA4921">
      <w:pPr>
        <w:pStyle w:val="Szvegtrzs1"/>
        <w:spacing w:line="233" w:lineRule="auto"/>
        <w:rPr>
          <w:lang w:val="hu-HU"/>
        </w:rPr>
      </w:pPr>
      <w:r w:rsidRPr="00C011E4">
        <w:rPr>
          <w:lang w:val="hu-HU"/>
        </w:rPr>
        <w:t>Túladagolás esetén helyénvaló az általános szupportív eljárások alkalmazása pl.: a fel nem szívódott anyag eltávolítása a tápcsatornából, klinikai megfigyelés (</w:t>
      </w:r>
      <w:r w:rsidR="00170ECA">
        <w:rPr>
          <w:lang w:val="hu-HU"/>
        </w:rPr>
        <w:t>EKG</w:t>
      </w:r>
      <w:r w:rsidR="00170ECA" w:rsidRPr="00C011E4">
        <w:rPr>
          <w:lang w:val="hu-HU"/>
        </w:rPr>
        <w:t xml:space="preserve"> </w:t>
      </w:r>
      <w:r w:rsidRPr="00C011E4">
        <w:rPr>
          <w:lang w:val="hu-HU"/>
        </w:rPr>
        <w:t>készítését is beleértve) valamint szükség esetén szupportív terápia bevezetése.</w:t>
      </w:r>
    </w:p>
    <w:p w14:paraId="1640AC7C" w14:textId="19402BF2" w:rsidR="00F45C51" w:rsidRPr="00C011E4" w:rsidRDefault="00CA4921" w:rsidP="00CA4921">
      <w:pPr>
        <w:spacing w:line="240" w:lineRule="auto"/>
        <w:outlineLvl w:val="0"/>
        <w:rPr>
          <w:lang w:val="hu-HU"/>
        </w:rPr>
      </w:pPr>
      <w:r w:rsidRPr="00C011E4">
        <w:rPr>
          <w:lang w:val="hu-HU"/>
        </w:rPr>
        <w:t xml:space="preserve">A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 közepes mértékben </w:t>
      </w:r>
      <w:proofErr w:type="spellStart"/>
      <w:r w:rsidRPr="00C011E4">
        <w:rPr>
          <w:lang w:val="hu-HU"/>
        </w:rPr>
        <w:t>dializálható</w:t>
      </w:r>
      <w:proofErr w:type="spellEnd"/>
      <w:r w:rsidRPr="00C011E4">
        <w:rPr>
          <w:lang w:val="hu-HU"/>
        </w:rPr>
        <w:t>. A klinikai vizsgálatokban a dózis hozzávetőleg 13,5%</w:t>
      </w:r>
      <w:r w:rsidRPr="00C011E4">
        <w:rPr>
          <w:lang w:val="hu-HU"/>
        </w:rPr>
        <w:noBreakHyphen/>
        <w:t xml:space="preserve">a volt eltávolítható egy 3-4 órás </w:t>
      </w:r>
      <w:proofErr w:type="spellStart"/>
      <w:r w:rsidRPr="00C011E4">
        <w:rPr>
          <w:lang w:val="hu-HU"/>
        </w:rPr>
        <w:t>hemodialízis</w:t>
      </w:r>
      <w:proofErr w:type="spellEnd"/>
      <w:r w:rsidRPr="00C011E4">
        <w:rPr>
          <w:lang w:val="hu-HU"/>
        </w:rPr>
        <w:t xml:space="preserve">-kezelés során. Amennyiben klinikailag indokolt, fontolóra kell venni a hosszabb ideig tartó </w:t>
      </w:r>
      <w:proofErr w:type="spellStart"/>
      <w:r w:rsidRPr="00C011E4">
        <w:rPr>
          <w:lang w:val="hu-HU"/>
        </w:rPr>
        <w:t>hemodialízis</w:t>
      </w:r>
      <w:proofErr w:type="spellEnd"/>
      <w:r w:rsidRPr="00C011E4">
        <w:rPr>
          <w:lang w:val="hu-HU"/>
        </w:rPr>
        <w:t xml:space="preserve"> lehetőségét. Nem ismert, hogy a </w:t>
      </w:r>
      <w:proofErr w:type="spellStart"/>
      <w:r w:rsidRPr="00C011E4">
        <w:rPr>
          <w:lang w:val="hu-HU"/>
        </w:rPr>
        <w:t>szitagliptin</w:t>
      </w:r>
      <w:proofErr w:type="spellEnd"/>
      <w:r w:rsidRPr="00C011E4">
        <w:rPr>
          <w:lang w:val="hu-HU"/>
        </w:rPr>
        <w:t xml:space="preserve"> </w:t>
      </w:r>
      <w:proofErr w:type="spellStart"/>
      <w:r w:rsidRPr="00C011E4">
        <w:rPr>
          <w:lang w:val="hu-HU"/>
        </w:rPr>
        <w:t>dializálható</w:t>
      </w:r>
      <w:proofErr w:type="spellEnd"/>
      <w:r w:rsidRPr="00C011E4">
        <w:rPr>
          <w:lang w:val="hu-HU"/>
        </w:rPr>
        <w:t xml:space="preserve">-e </w:t>
      </w:r>
      <w:proofErr w:type="spellStart"/>
      <w:r w:rsidRPr="00C011E4">
        <w:rPr>
          <w:lang w:val="hu-HU"/>
        </w:rPr>
        <w:t>peritoneális</w:t>
      </w:r>
      <w:proofErr w:type="spellEnd"/>
      <w:r w:rsidRPr="00C011E4">
        <w:rPr>
          <w:lang w:val="hu-HU"/>
        </w:rPr>
        <w:t xml:space="preserve"> dialízissel.</w:t>
      </w:r>
    </w:p>
    <w:p w14:paraId="06D2DCDB" w14:textId="77777777" w:rsidR="00CA4921" w:rsidRPr="00C011E4" w:rsidRDefault="00CA4921" w:rsidP="00CA4921">
      <w:pPr>
        <w:spacing w:line="240" w:lineRule="auto"/>
        <w:outlineLvl w:val="0"/>
        <w:rPr>
          <w:b/>
          <w:lang w:val="hu-HU"/>
        </w:rPr>
      </w:pPr>
    </w:p>
    <w:p w14:paraId="4A25C93E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A63235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50E0D73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CAC7EFD" w14:textId="77777777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6090AA57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8E3C42B" w14:textId="4DE2A36D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B07340" w:rsidRPr="00C011E4">
        <w:rPr>
          <w:lang w:val="hu-HU"/>
        </w:rPr>
        <w:t>Antidiabetikus terápia, Dipeptidil-peptidáz-4</w:t>
      </w:r>
      <w:r w:rsidR="00170ECA">
        <w:rPr>
          <w:lang w:val="hu-HU"/>
        </w:rPr>
        <w:t>-</w:t>
      </w:r>
      <w:r w:rsidR="00B07340" w:rsidRPr="00C011E4">
        <w:rPr>
          <w:lang w:val="hu-HU"/>
        </w:rPr>
        <w:t xml:space="preserve"> (DPP-4)</w:t>
      </w:r>
      <w:r w:rsidR="00170ECA">
        <w:rPr>
          <w:lang w:val="hu-HU"/>
        </w:rPr>
        <w:t xml:space="preserve"> </w:t>
      </w:r>
      <w:r w:rsidR="00B07340" w:rsidRPr="00C011E4">
        <w:rPr>
          <w:lang w:val="hu-HU"/>
        </w:rPr>
        <w:t>inhibitorok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, ATC kód: </w:t>
      </w:r>
      <w:r w:rsidR="00B07340" w:rsidRPr="00C011E4">
        <w:rPr>
          <w:lang w:val="hu-HU"/>
        </w:rPr>
        <w:t>A10BH01.</w:t>
      </w:r>
    </w:p>
    <w:p w14:paraId="44E96310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982C0E" w14:textId="598F218F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Hatásmechanizmus</w:t>
      </w:r>
    </w:p>
    <w:p w14:paraId="384AC3CD" w14:textId="7DDCD408" w:rsidR="00B07340" w:rsidRPr="00C011E4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A84EFD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dipeptidil-peptidáz-4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(DPP-4)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inhibitorként ismert orális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antidiabetikumok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osztályának tagja.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 e gyógyszer alkalmazása mellett megfigyelt javulása az aktív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 szintjének növelésével állhat összefüggésben.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hormonokat – beleértve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kagonszerű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peptid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-1-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et (GLP-1)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inzulinotróp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polipeptidet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(GIP) – a bél egész nap termeli, és szintjük az étkezést követően megnő.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inkretinek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glükózhomeosztázis fiziológiai szabályozásában szerepet játszó endogén rendszer részei. Normális vagy emelkedett vércukor-koncentráció esetén a GLP-1 és a GIP, a ciklikus AMP-vel működő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intracelluláris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jelátvitelen keresztül fokozzák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béta-sejtjeiben az inzulin termelését és felszabadulását. A GLP-1 vagy a DPP-4-inhibitorokkal történő kezelés a 2-es típusú diabeteses állatokkal végzett kísérletek során javította a béta-sejtek glükózzal szemben mutatott válaszkészségét, valamint stimulálta az inzulin bioszintézisét és felszabadulását. A magasabb inzulinszint mellett megélénkül a szövetek glükózfelvétele. A GLP-1 ezen kívül csökkenti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pancreas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alfa-sejtjeinek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kagonkiválasztását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csökkent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kagonkoncentráció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magasabb inzulinszint a máj glükóztermelésének visszaeséséhez vezet, mely a vércukorszint csökkenését eredményezi. A GLP-1 és a GIP hatását tekintve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mivel alacsony vércukor-koncentráció esetén a GLP-1 nem stimulálja az inzulinfelszabadulást, és nem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szupprimálja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kagonelválasztást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Mind a GLP-1, mind a GIP esetében az inzulinfelszabadulás stimulálása felerősödik, ahogy a glükózkoncentráció a normális fölé emelkedik. Továbbá a GLP-1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adott normális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kagonválaszt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gátolja. A GLP-1 és GIP aktivitását a DPP-4 enzim korlátozza, mely gyorsan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hidrolizálja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hormonokat, így inaktív termékek képződnek.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megakadályozza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hormonok DPP-4 általi hidrolízisét, ezáltal növelve az aktív GLP-1 és GIP plazmakoncentrációját. Az aktív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inkretinek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szintjének növelésével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módon növeli az inzulin felszabadulását, és csökkenti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szintjét. 2-es típusú diabetesben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per</w:t>
      </w:r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betegeknél az inzulin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</w:t>
      </w:r>
      <w:r w:rsidR="00E92B02">
        <w:rPr>
          <w:rFonts w:eastAsia="Times New Roman"/>
          <w:snapToGrid/>
          <w:color w:val="000000"/>
          <w:szCs w:val="22"/>
          <w:lang w:val="hu-HU" w:eastAsia="hu-HU" w:bidi="hu-HU"/>
        </w:rPr>
        <w:t>ü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kagon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szintjének ezen változásai alacsonyabb hemoglobin </w:t>
      </w:r>
      <w:r w:rsidR="008322E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8322E7"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8322E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8322E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szinthez,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valamint alacsonyabb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éhomi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posztprandiális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glükózkoncentrációhoz vezetnek.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glükózdependens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mechanizmusa különbözik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szulfonilureák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mechanizmusától, amely még alacsony glükózszint mellett is növeli az inzulinkiválasztást, ami 2-es típusú cukorbetegségben szenvedő betegeknél és egészséges személyeknél is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ához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vezethet.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DPP-4 enzim hatékony és igen szelektív inhibitora, és terápiás koncentrációban nem gátolja a nagyon hasonló DPP-8 és DPP-9 enzimeket.</w:t>
      </w:r>
    </w:p>
    <w:p w14:paraId="6FB0E236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E5C886A" w14:textId="77777777" w:rsidR="004F18AC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egészséges résztvevőkkel folytatott, kétnapos vizsgálat során, az önmagában adagolt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növelte az aktív GLP-1-koncentrációkat, míg az önmagában adagolt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hasonló mértékben növelte mind az aktív GLP-1-koncentrációt, mind pedig a GLP-1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összkoncentrációt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</w:p>
    <w:p w14:paraId="27466904" w14:textId="410D17F2" w:rsidR="00B07340" w:rsidRPr="00C011E4" w:rsidRDefault="00B07340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együttes adása additív hatással volt az aktív GLP-1-koncentrációkra. Az aktív GIP-koncentrációkat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növelte, de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nem.</w:t>
      </w:r>
    </w:p>
    <w:p w14:paraId="63075C50" w14:textId="77777777" w:rsidR="00B07340" w:rsidRPr="00C011E4" w:rsidRDefault="00B07340" w:rsidP="00F933D8">
      <w:pPr>
        <w:spacing w:line="240" w:lineRule="auto"/>
        <w:rPr>
          <w:u w:val="single"/>
          <w:lang w:val="hu-HU"/>
        </w:rPr>
      </w:pPr>
    </w:p>
    <w:p w14:paraId="0BF36F94" w14:textId="2927C337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Klinikai hatásosság és biztonságosság</w:t>
      </w:r>
    </w:p>
    <w:p w14:paraId="7EFD6CA0" w14:textId="2ACF724A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Összességében véve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monoterápiában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kombinációs terápiában alkalmazva javította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kontrollt</w:t>
      </w:r>
      <w:r w:rsidR="00AE466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2-es típusú cukorbetegségben szenvedő felnőtt betegeknél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(lásd 2. táblázat).</w:t>
      </w:r>
    </w:p>
    <w:p w14:paraId="1FFB1569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97361FF" w14:textId="22CE50C2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szitagliptin-monoterápia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hatásosságát és biztonságosságát két vizsgálat során értékelték. A két, egyenként 18 és 24 hetes vizsgálatban a napi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összehasonlítva jelentős mértékben javította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-szintet,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éhomi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glükóz</w:t>
      </w:r>
      <w:r w:rsidR="005027C7">
        <w:rPr>
          <w:rFonts w:eastAsia="Times New Roman"/>
          <w:snapToGrid/>
          <w:color w:val="000000"/>
          <w:szCs w:val="22"/>
          <w:lang w:val="hu-HU" w:eastAsia="hu-HU" w:bidi="hu-HU"/>
        </w:rPr>
        <w:t>szintet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fasting</w:t>
      </w:r>
      <w:proofErr w:type="spellEnd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plasma</w:t>
      </w:r>
      <w:proofErr w:type="spellEnd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glucose</w:t>
      </w:r>
      <w:proofErr w:type="spellEnd"/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FPG) és az étkezést követő 2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órán belül mért glükóz (2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órás PPG) szintjét. Javulás mutatkozott a bétasejt</w:t>
      </w:r>
      <w:r w:rsidR="0095379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funkcióra utaló helyettes markerek, beleértve a HOMA-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(„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Homeostasis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Assessment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931DD1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”) mutató markert,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proinzulin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-inzulin arány, valamint a gyakori mintavétellel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együttjáró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étkezési toleranciateszt során mért béta-sejt válaszkészség terén.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között előforduló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száma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kezeltek közt megfigyelthez. </w:t>
      </w:r>
    </w:p>
    <w:p w14:paraId="5B3D331B" w14:textId="39C3034E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-terápia mellett –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enyhe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csökkenésével összehasonlítva – egyik vizsgálatban sem nőtt a kiindulási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CF863BB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5DE6BBF" w14:textId="1BBF31DE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Két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hetes vizsgálatban, melyek során a 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hozzáadott terápiaként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illetve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kombinációban alkalmazták,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jelentős javulását figyelték meg. A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95379C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 a vizsgálat megkezdése óta bekövetkezett változás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esetén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placebóhoz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viszonyítva hasonló volt. E vizsgálatokban hasonló arányban jelentettek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között.</w:t>
      </w:r>
    </w:p>
    <w:p w14:paraId="38A2259E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A3B7286" w14:textId="4E11E2F5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egyedül </w:t>
      </w:r>
      <w:proofErr w:type="spellStart"/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glimepiridhez</w:t>
      </w:r>
      <w:proofErr w:type="spellEnd"/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illetve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hatásosságának és biztonságosságának értékelésére egy 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hetes, placebokontrollos vizsgálatot végeztek el. Az egyedül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glimepiridhez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glimepirid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jelentős javulást eredményezett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terén.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kapókhoz képest enyhe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növekedést mutattak.</w:t>
      </w:r>
    </w:p>
    <w:p w14:paraId="27E5F1C9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5A54868" w14:textId="7433E07E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hatásosságának és biztonságosságának értékelésére egy 26 hetes, placebokontrollos vizsgálatot terveztek.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pioglitazon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kombinációjához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jelentős javulását eredményezte. A kiindulási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értékekben bekövetkező változás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 esetében.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hypoglykaemia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gyakorisága szintén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 esetében.</w:t>
      </w:r>
    </w:p>
    <w:p w14:paraId="045694CA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5BC462" w14:textId="77777777" w:rsidR="00506B38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24 hetes, placebokontrollos vizsgálatot állítottak össze (legalább 10 hete állandó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adagolású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inzulin mellett és (legalább 1500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naponta egyszer) hatásosságának és biztonságosságának megállapítása céljából. Az előkevert inzulint alkalmazó betegeknél az átlagos napi 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70,9 E volt. A nem előkevert (közepes/hosszú hatású) inzulint alkalmazó betegeknél az átlagos napi 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44,3 E volt.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inzulinhoz történő hozzáadása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 szignifikáns javulását eredményezte. </w:t>
      </w:r>
    </w:p>
    <w:p w14:paraId="60D7B3CB" w14:textId="0EC02518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vizsgálat megkezdésekor mért testtömegben egyik csoportban sem következett be jelentős változás.</w:t>
      </w:r>
    </w:p>
    <w:p w14:paraId="1C8FB64D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E194FE2" w14:textId="6F51D7AE" w:rsidR="00F933D8" w:rsidRPr="00C011E4" w:rsidRDefault="00F933D8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A kezdő kezelés egy 24</w:t>
      </w:r>
      <w:r w:rsidR="0003542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hetes, placebokontrollos, faktoriális elrendezésű vizsgálata során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(napi kétszer 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1000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kombinációban adott napi kétszer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bármelyik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összehasonlítva jelentős javulást eredményezett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paraméterekben.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kombinációjával elért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csökkenés hasonló volt a csak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 megfigyelthez,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önmagában történő alkalmazásakor az alapértékekben nem mutatkozott változás.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egyes kezelési csoportokban hasonló arányban fordult elő.</w:t>
      </w:r>
    </w:p>
    <w:p w14:paraId="5A912831" w14:textId="77777777" w:rsidR="00F933D8" w:rsidRPr="00C011E4" w:rsidRDefault="00F933D8" w:rsidP="00F933D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1A6279" w14:textId="0D460436" w:rsidR="00F933D8" w:rsidRPr="00C011E4" w:rsidRDefault="00F933D8" w:rsidP="00F933D8">
      <w:pPr>
        <w:widowControl w:val="0"/>
        <w:tabs>
          <w:tab w:val="clear" w:pos="567"/>
          <w:tab w:val="left" w:pos="354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" w:name="bookmark30"/>
      <w:bookmarkEnd w:id="7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2. táblázat: A placebokontrollos </w:t>
      </w:r>
      <w:proofErr w:type="spellStart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monoterápiát</w:t>
      </w:r>
      <w:proofErr w:type="spellEnd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és kombinációs terápiát alkalmazó vizsgálatokban mért HbA</w:t>
      </w:r>
      <w:r w:rsidRPr="00C011E4">
        <w:rPr>
          <w:rFonts w:eastAsia="Times New Roman"/>
          <w:b/>
          <w:bCs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-eredmények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*</w:t>
      </w:r>
    </w:p>
    <w:p w14:paraId="7578E7A0" w14:textId="38C9FD26" w:rsidR="00B07340" w:rsidRPr="00C011E4" w:rsidRDefault="00B07340" w:rsidP="00082A8E">
      <w:pPr>
        <w:spacing w:line="240" w:lineRule="auto"/>
        <w:rPr>
          <w:u w:val="single"/>
          <w:lang w:val="hu-HU"/>
        </w:rPr>
      </w:pPr>
    </w:p>
    <w:tbl>
      <w:tblPr>
        <w:tblW w:w="940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8"/>
        <w:gridCol w:w="1483"/>
        <w:gridCol w:w="2081"/>
        <w:gridCol w:w="2316"/>
      </w:tblGrid>
      <w:tr w:rsidR="00F933D8" w:rsidRPr="00C011E4" w14:paraId="5531F6B1" w14:textId="77777777" w:rsidTr="00C34EFD">
        <w:trPr>
          <w:trHeight w:val="1012"/>
        </w:trPr>
        <w:tc>
          <w:tcPr>
            <w:tcW w:w="3528" w:type="dxa"/>
          </w:tcPr>
          <w:p w14:paraId="48F5BEC5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8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6A459DF" w14:textId="16C6AA28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Vizsgálat</w:t>
            </w:r>
          </w:p>
        </w:tc>
        <w:tc>
          <w:tcPr>
            <w:tcW w:w="1483" w:type="dxa"/>
          </w:tcPr>
          <w:p w14:paraId="3A186C5F" w14:textId="676C4F0C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2" w:line="240" w:lineRule="auto"/>
              <w:ind w:left="235" w:right="229" w:hanging="1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 xml:space="preserve">Átlagos kiindulási 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>HbA</w:t>
            </w:r>
            <w:r w:rsidRPr="00C011E4">
              <w:rPr>
                <w:rFonts w:eastAsia="Times New Roman"/>
                <w:b/>
                <w:snapToGrid/>
                <w:szCs w:val="22"/>
                <w:vertAlign w:val="subscript"/>
                <w:lang w:val="hu-HU" w:eastAsia="en-US"/>
              </w:rPr>
              <w:t>1c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 xml:space="preserve"> (%)</w:t>
            </w:r>
          </w:p>
        </w:tc>
        <w:tc>
          <w:tcPr>
            <w:tcW w:w="2081" w:type="dxa"/>
          </w:tcPr>
          <w:p w14:paraId="5602405E" w14:textId="459443E1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4" w:line="237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A kiindulási HbA</w:t>
            </w:r>
            <w:r w:rsidRPr="00C011E4">
              <w:rPr>
                <w:b/>
                <w:bCs/>
                <w:szCs w:val="22"/>
                <w:vertAlign w:val="subscript"/>
                <w:lang w:val="hu-HU"/>
              </w:rPr>
              <w:t>1c</w:t>
            </w:r>
            <w:proofErr w:type="gramStart"/>
            <w:r w:rsidRPr="00C011E4">
              <w:rPr>
                <w:b/>
                <w:bCs/>
                <w:szCs w:val="22"/>
                <w:lang w:val="hu-HU"/>
              </w:rPr>
              <w:t>-(</w:t>
            </w:r>
            <w:proofErr w:type="gramEnd"/>
            <w:r w:rsidRPr="00C011E4">
              <w:rPr>
                <w:b/>
                <w:bCs/>
                <w:szCs w:val="22"/>
                <w:lang w:val="hu-HU"/>
              </w:rPr>
              <w:t>%) értékekhez képest mutatkozó átlagos eltérés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†</w:t>
            </w:r>
          </w:p>
        </w:tc>
        <w:tc>
          <w:tcPr>
            <w:tcW w:w="2316" w:type="dxa"/>
          </w:tcPr>
          <w:p w14:paraId="2F6C3768" w14:textId="04207DA3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7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 xml:space="preserve">A </w:t>
            </w:r>
            <w:proofErr w:type="spellStart"/>
            <w:r w:rsidRPr="00C011E4">
              <w:rPr>
                <w:b/>
                <w:bCs/>
                <w:szCs w:val="22"/>
                <w:lang w:val="hu-HU"/>
              </w:rPr>
              <w:t>placebóra</w:t>
            </w:r>
            <w:proofErr w:type="spellEnd"/>
            <w:r w:rsidRPr="00C011E4">
              <w:rPr>
                <w:b/>
                <w:bCs/>
                <w:szCs w:val="22"/>
                <w:lang w:val="hu-HU"/>
              </w:rPr>
              <w:t xml:space="preserve"> korrigált HbA</w:t>
            </w:r>
            <w:r w:rsidRPr="00C011E4">
              <w:rPr>
                <w:b/>
                <w:bCs/>
                <w:szCs w:val="22"/>
                <w:vertAlign w:val="subscript"/>
                <w:lang w:val="hu-HU"/>
              </w:rPr>
              <w:t>1c</w:t>
            </w:r>
            <w:r w:rsidRPr="00C011E4">
              <w:rPr>
                <w:b/>
                <w:bCs/>
                <w:szCs w:val="22"/>
                <w:lang w:val="hu-HU"/>
              </w:rPr>
              <w:t>-</w:t>
            </w:r>
            <w:r w:rsidR="0043611E">
              <w:rPr>
                <w:b/>
                <w:bCs/>
                <w:szCs w:val="22"/>
                <w:lang w:val="hu-HU"/>
              </w:rPr>
              <w:t xml:space="preserve"> </w:t>
            </w:r>
            <w:r w:rsidRPr="00C011E4">
              <w:rPr>
                <w:b/>
                <w:bCs/>
                <w:szCs w:val="22"/>
                <w:lang w:val="hu-HU"/>
              </w:rPr>
              <w:t>(%) értékek terén mutatkozó átlagos eltérés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†</w:t>
            </w:r>
          </w:p>
          <w:p w14:paraId="659661C7" w14:textId="08CD9F56" w:rsidR="00F933D8" w:rsidRPr="00C011E4" w:rsidRDefault="00F933D8" w:rsidP="00F933D8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36" w:lineRule="exact"/>
              <w:jc w:val="center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t>(95%</w:t>
            </w:r>
            <w:r w:rsidRPr="00C011E4">
              <w:rPr>
                <w:rFonts w:eastAsia="Times New Roman"/>
                <w:b/>
                <w:snapToGrid/>
                <w:szCs w:val="22"/>
                <w:lang w:val="hu-HU" w:eastAsia="en-US"/>
              </w:rPr>
              <w:noBreakHyphen/>
              <w:t>os CI)</w:t>
            </w:r>
          </w:p>
        </w:tc>
      </w:tr>
      <w:tr w:rsidR="00F933D8" w:rsidRPr="00C011E4" w14:paraId="254990C8" w14:textId="77777777" w:rsidTr="00C34EFD">
        <w:trPr>
          <w:trHeight w:val="386"/>
        </w:trPr>
        <w:tc>
          <w:tcPr>
            <w:tcW w:w="9408" w:type="dxa"/>
            <w:gridSpan w:val="4"/>
          </w:tcPr>
          <w:p w14:paraId="78D1D79D" w14:textId="78F29D66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proofErr w:type="spellStart"/>
            <w:r w:rsidRPr="00C011E4">
              <w:rPr>
                <w:b/>
                <w:bCs/>
                <w:szCs w:val="22"/>
                <w:lang w:val="hu-HU"/>
              </w:rPr>
              <w:t>Monoterápiás</w:t>
            </w:r>
            <w:proofErr w:type="spellEnd"/>
            <w:r w:rsidRPr="00C011E4">
              <w:rPr>
                <w:b/>
                <w:bCs/>
                <w:szCs w:val="22"/>
                <w:lang w:val="hu-HU"/>
              </w:rPr>
              <w:t xml:space="preserve"> vizsgálatok</w:t>
            </w:r>
          </w:p>
        </w:tc>
      </w:tr>
      <w:tr w:rsidR="00F933D8" w:rsidRPr="00C011E4" w14:paraId="14701208" w14:textId="77777777" w:rsidTr="00C34EFD">
        <w:trPr>
          <w:trHeight w:val="386"/>
        </w:trPr>
        <w:tc>
          <w:tcPr>
            <w:tcW w:w="3528" w:type="dxa"/>
          </w:tcPr>
          <w:p w14:paraId="12440E1E" w14:textId="10DF0C33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3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Napi egyszer 100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</w:t>
            </w:r>
            <w:proofErr w:type="spellStart"/>
            <w:r w:rsidRPr="00C011E4">
              <w:rPr>
                <w:szCs w:val="22"/>
                <w:lang w:val="hu-HU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§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(N=193)</w:t>
            </w:r>
          </w:p>
        </w:tc>
        <w:tc>
          <w:tcPr>
            <w:tcW w:w="1483" w:type="dxa"/>
          </w:tcPr>
          <w:p w14:paraId="57DE56FC" w14:textId="6D0DB93B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07BBE355" w14:textId="772608B9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2316" w:type="dxa"/>
          </w:tcPr>
          <w:p w14:paraId="4E0CE8ED" w14:textId="1A284D3D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6050BD03" w14:textId="6533EBB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3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4)</w:t>
            </w:r>
          </w:p>
        </w:tc>
      </w:tr>
      <w:tr w:rsidR="00F933D8" w:rsidRPr="00C011E4" w14:paraId="1CFA1A18" w14:textId="77777777" w:rsidTr="00C34EFD">
        <w:trPr>
          <w:trHeight w:val="277"/>
        </w:trPr>
        <w:tc>
          <w:tcPr>
            <w:tcW w:w="3528" w:type="dxa"/>
          </w:tcPr>
          <w:p w14:paraId="2A706CA3" w14:textId="10E8C7FA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="0043611E" w:rsidRPr="00574D3C">
              <w:rPr>
                <w:vertAlign w:val="superscript"/>
              </w:rPr>
              <w:sym w:font="Symbol" w:char="F07C"/>
            </w:r>
            <w:r w:rsidR="0043611E" w:rsidRPr="00574D3C">
              <w:rPr>
                <w:vertAlign w:val="superscript"/>
              </w:rPr>
              <w:sym w:font="Symbol" w:char="F07C"/>
            </w:r>
          </w:p>
          <w:p w14:paraId="360477BE" w14:textId="76032ACF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(N=229)</w:t>
            </w:r>
          </w:p>
        </w:tc>
        <w:tc>
          <w:tcPr>
            <w:tcW w:w="1483" w:type="dxa"/>
          </w:tcPr>
          <w:p w14:paraId="64727549" w14:textId="3B9951B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160A5361" w14:textId="50BE9E8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2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</w:p>
        </w:tc>
        <w:tc>
          <w:tcPr>
            <w:tcW w:w="2316" w:type="dxa"/>
          </w:tcPr>
          <w:p w14:paraId="252D6C42" w14:textId="0D70A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8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5A9EE668" w14:textId="66CCE2F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6)</w:t>
            </w:r>
          </w:p>
        </w:tc>
      </w:tr>
      <w:tr w:rsidR="00F933D8" w:rsidRPr="00C011E4" w14:paraId="2B81402B" w14:textId="77777777" w:rsidTr="00C34EFD">
        <w:trPr>
          <w:trHeight w:val="405"/>
        </w:trPr>
        <w:tc>
          <w:tcPr>
            <w:tcW w:w="9408" w:type="dxa"/>
            <w:gridSpan w:val="4"/>
          </w:tcPr>
          <w:p w14:paraId="41C7DD4A" w14:textId="6BA15CB9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72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 w:rsidRPr="00C011E4">
              <w:rPr>
                <w:b/>
                <w:bCs/>
                <w:szCs w:val="22"/>
                <w:lang w:val="hu-HU"/>
              </w:rPr>
              <w:t>Kombinációs terápiás vizsgálatok</w:t>
            </w:r>
          </w:p>
        </w:tc>
      </w:tr>
      <w:tr w:rsidR="00F933D8" w:rsidRPr="00C011E4" w14:paraId="2FA7E46A" w14:textId="77777777" w:rsidTr="00C34EFD">
        <w:trPr>
          <w:trHeight w:val="757"/>
        </w:trPr>
        <w:tc>
          <w:tcPr>
            <w:tcW w:w="3528" w:type="dxa"/>
          </w:tcPr>
          <w:p w14:paraId="188774C2" w14:textId="4D4C6962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metformin</w:t>
            </w:r>
            <w:proofErr w:type="spellEnd"/>
            <w:r w:rsidRPr="00C011E4">
              <w:rPr>
                <w:szCs w:val="22"/>
                <w:lang w:val="hu-HU"/>
              </w:rPr>
              <w:t>-terápiához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1F9706BA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(N=453)</w:t>
            </w:r>
          </w:p>
        </w:tc>
        <w:tc>
          <w:tcPr>
            <w:tcW w:w="1483" w:type="dxa"/>
          </w:tcPr>
          <w:p w14:paraId="7FE9D5A6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8B63777" w14:textId="600381E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2081" w:type="dxa"/>
          </w:tcPr>
          <w:p w14:paraId="117ABB4E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C706878" w14:textId="336A8E4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</w:p>
        </w:tc>
        <w:tc>
          <w:tcPr>
            <w:tcW w:w="2316" w:type="dxa"/>
          </w:tcPr>
          <w:p w14:paraId="6F6481DB" w14:textId="50329C9F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DD6AC96" w14:textId="11A4744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599F7B63" w14:textId="77777777" w:rsidTr="00C34EFD">
        <w:trPr>
          <w:trHeight w:val="760"/>
        </w:trPr>
        <w:tc>
          <w:tcPr>
            <w:tcW w:w="3528" w:type="dxa"/>
          </w:tcPr>
          <w:p w14:paraId="2F8A9B2F" w14:textId="0773AAD9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5" w:line="252" w:lineRule="exact"/>
              <w:ind w:left="22" w:right="32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pioglitazon</w:t>
            </w:r>
            <w:proofErr w:type="spellEnd"/>
            <w:r w:rsidRPr="00C011E4">
              <w:rPr>
                <w:szCs w:val="22"/>
                <w:lang w:val="hu-HU"/>
              </w:rPr>
              <w:t>-terápiához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(N=163)</w:t>
            </w:r>
          </w:p>
        </w:tc>
        <w:tc>
          <w:tcPr>
            <w:tcW w:w="1483" w:type="dxa"/>
          </w:tcPr>
          <w:p w14:paraId="7370157D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DF55E30" w14:textId="21656A6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081" w:type="dxa"/>
          </w:tcPr>
          <w:p w14:paraId="392B21FE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6C3DCD9" w14:textId="7879DD0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</w:p>
        </w:tc>
        <w:tc>
          <w:tcPr>
            <w:tcW w:w="2316" w:type="dxa"/>
          </w:tcPr>
          <w:p w14:paraId="62FC46EC" w14:textId="5D69431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7"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0339C0A0" w14:textId="28037D04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61108EBA" w14:textId="77777777" w:rsidTr="00C34EFD">
        <w:trPr>
          <w:trHeight w:val="757"/>
        </w:trPr>
        <w:tc>
          <w:tcPr>
            <w:tcW w:w="3528" w:type="dxa"/>
          </w:tcPr>
          <w:p w14:paraId="564D66D3" w14:textId="7B6DFCED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glimepirid</w:t>
            </w:r>
            <w:proofErr w:type="spellEnd"/>
            <w:r w:rsidRPr="00C011E4">
              <w:rPr>
                <w:szCs w:val="22"/>
                <w:lang w:val="hu-HU"/>
              </w:rPr>
              <w:t>-terápiához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726E7FAC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(N=102)</w:t>
            </w:r>
          </w:p>
        </w:tc>
        <w:tc>
          <w:tcPr>
            <w:tcW w:w="1483" w:type="dxa"/>
          </w:tcPr>
          <w:p w14:paraId="1424CD38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2E187D4" w14:textId="2BBA617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</w:t>
            </w:r>
          </w:p>
        </w:tc>
        <w:tc>
          <w:tcPr>
            <w:tcW w:w="2081" w:type="dxa"/>
          </w:tcPr>
          <w:p w14:paraId="0124A97C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7686A8E0" w14:textId="45A2C4A4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</w:t>
            </w:r>
          </w:p>
        </w:tc>
        <w:tc>
          <w:tcPr>
            <w:tcW w:w="2316" w:type="dxa"/>
          </w:tcPr>
          <w:p w14:paraId="2709875F" w14:textId="1952185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15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39B1F67" w14:textId="32DC275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3)</w:t>
            </w:r>
          </w:p>
        </w:tc>
      </w:tr>
      <w:tr w:rsidR="00F933D8" w:rsidRPr="00C011E4" w14:paraId="52A45B00" w14:textId="77777777" w:rsidTr="00C34EFD">
        <w:trPr>
          <w:trHeight w:val="1012"/>
        </w:trPr>
        <w:tc>
          <w:tcPr>
            <w:tcW w:w="3528" w:type="dxa"/>
          </w:tcPr>
          <w:p w14:paraId="53406D61" w14:textId="458D15D8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10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Pr="00C011E4">
              <w:rPr>
                <w:szCs w:val="22"/>
                <w:lang w:val="hu-HU"/>
              </w:rPr>
              <w:t>glimepirid+metformin</w:t>
            </w:r>
            <w:r w:rsidR="003C57E0">
              <w:rPr>
                <w:rFonts w:eastAsia="Times New Roman"/>
                <w:snapToGrid/>
                <w:szCs w:val="22"/>
                <w:lang w:val="hu-HU" w:eastAsia="en-US"/>
              </w:rPr>
              <w:t>-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terápiához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adva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69B10D15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jc w:val="both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(N=115)</w:t>
            </w:r>
          </w:p>
        </w:tc>
        <w:tc>
          <w:tcPr>
            <w:tcW w:w="1483" w:type="dxa"/>
          </w:tcPr>
          <w:p w14:paraId="484FDF95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3B4121C2" w14:textId="023E030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</w:t>
            </w:r>
          </w:p>
        </w:tc>
        <w:tc>
          <w:tcPr>
            <w:tcW w:w="2081" w:type="dxa"/>
          </w:tcPr>
          <w:p w14:paraId="4CB8E605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C5D1FC9" w14:textId="68A968E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</w:p>
        </w:tc>
        <w:tc>
          <w:tcPr>
            <w:tcW w:w="2316" w:type="dxa"/>
          </w:tcPr>
          <w:p w14:paraId="4B995748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54B64956" w14:textId="43D2D30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0283C75" w14:textId="1ACF5F93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7)</w:t>
            </w:r>
          </w:p>
        </w:tc>
      </w:tr>
      <w:tr w:rsidR="00F933D8" w:rsidRPr="00C011E4" w14:paraId="68B39938" w14:textId="77777777" w:rsidTr="00C34EFD">
        <w:trPr>
          <w:trHeight w:val="1012"/>
        </w:trPr>
        <w:tc>
          <w:tcPr>
            <w:tcW w:w="3528" w:type="dxa"/>
          </w:tcPr>
          <w:p w14:paraId="0643EAA4" w14:textId="6D223099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93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 xml:space="preserve">a folyamatban lévő </w:t>
            </w:r>
            <w:proofErr w:type="spellStart"/>
            <w:r w:rsidR="00C33165" w:rsidRPr="00C011E4">
              <w:rPr>
                <w:szCs w:val="22"/>
                <w:lang w:val="hu-HU"/>
              </w:rPr>
              <w:t>pioglitazon</w:t>
            </w:r>
            <w:proofErr w:type="spellEnd"/>
            <w:r w:rsidR="00C33165" w:rsidRPr="00C011E4">
              <w:rPr>
                <w:szCs w:val="22"/>
                <w:lang w:val="hu-HU"/>
              </w:rPr>
              <w:t xml:space="preserve"> + </w:t>
            </w:r>
            <w:proofErr w:type="spellStart"/>
            <w:r w:rsidR="00C33165" w:rsidRPr="00C011E4">
              <w:rPr>
                <w:szCs w:val="22"/>
                <w:lang w:val="hu-HU"/>
              </w:rPr>
              <w:t>metformin</w:t>
            </w:r>
            <w:proofErr w:type="spellEnd"/>
            <w:r w:rsidR="00C33165" w:rsidRPr="00C011E4">
              <w:rPr>
                <w:szCs w:val="22"/>
                <w:lang w:val="hu-HU"/>
              </w:rPr>
              <w:t>-terápiához adva</w:t>
            </w:r>
            <w:r w:rsidR="00C33165"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#</w:t>
            </w:r>
          </w:p>
          <w:p w14:paraId="768D4EAC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3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(N=152)</w:t>
            </w:r>
          </w:p>
        </w:tc>
        <w:tc>
          <w:tcPr>
            <w:tcW w:w="1483" w:type="dxa"/>
          </w:tcPr>
          <w:p w14:paraId="2610060F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4FC544BD" w14:textId="2514D5A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5DEAF7F3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A3717B2" w14:textId="735F63EC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2</w:t>
            </w:r>
          </w:p>
        </w:tc>
        <w:tc>
          <w:tcPr>
            <w:tcW w:w="2316" w:type="dxa"/>
          </w:tcPr>
          <w:p w14:paraId="4E94C927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3CF5AD91" w14:textId="0821F1CC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81069B2" w14:textId="2179DA6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0,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5)</w:t>
            </w:r>
          </w:p>
        </w:tc>
      </w:tr>
      <w:tr w:rsidR="00F933D8" w:rsidRPr="00C011E4" w14:paraId="69EFF06B" w14:textId="77777777" w:rsidTr="00C34EFD">
        <w:trPr>
          <w:trHeight w:val="1010"/>
        </w:trPr>
        <w:tc>
          <w:tcPr>
            <w:tcW w:w="3528" w:type="dxa"/>
          </w:tcPr>
          <w:p w14:paraId="4D09E517" w14:textId="508BE226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Kezdő terápia (naponta kétszer</w:t>
            </w:r>
            <w:r w:rsidR="00F933D8" w:rsidRPr="00C011E4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  <w:r w:rsidR="00133400" w:rsidRPr="00574D3C">
              <w:rPr>
                <w:vertAlign w:val="superscript"/>
              </w:rPr>
              <w:sym w:font="Symbol" w:char="F07C"/>
            </w:r>
            <w:r w:rsidR="00133400" w:rsidRPr="00574D3C">
              <w:rPr>
                <w:vertAlign w:val="superscript"/>
              </w:rPr>
              <w:sym w:font="Symbol" w:char="F07C"/>
            </w:r>
            <w:r w:rsidR="00F933D8"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: </w:t>
            </w:r>
            <w:proofErr w:type="spellStart"/>
            <w:r w:rsidRPr="00C011E4">
              <w:rPr>
                <w:szCs w:val="22"/>
                <w:lang w:val="hu-HU"/>
              </w:rPr>
              <w:t>szitagliptin</w:t>
            </w:r>
            <w:proofErr w:type="spellEnd"/>
            <w:r w:rsidRPr="00C011E4">
              <w:rPr>
                <w:szCs w:val="22"/>
                <w:lang w:val="hu-HU"/>
              </w:rPr>
              <w:t xml:space="preserve"> 50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+ </w:t>
            </w:r>
            <w:proofErr w:type="spellStart"/>
            <w:r w:rsidRPr="00C011E4">
              <w:rPr>
                <w:szCs w:val="22"/>
                <w:lang w:val="hu-HU"/>
              </w:rPr>
              <w:t>metformin</w:t>
            </w:r>
            <w:proofErr w:type="spellEnd"/>
            <w:r w:rsidRPr="00C011E4">
              <w:rPr>
                <w:szCs w:val="22"/>
                <w:lang w:val="hu-HU"/>
              </w:rPr>
              <w:t xml:space="preserve"> 500</w:t>
            </w:r>
            <w:r w:rsidR="00A60BB4" w:rsidRPr="00C011E4">
              <w:rPr>
                <w:szCs w:val="22"/>
                <w:lang w:val="hu-HU"/>
              </w:rPr>
              <w:t> mg</w:t>
            </w:r>
          </w:p>
          <w:p w14:paraId="0FA684D7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(N=183)</w:t>
            </w:r>
          </w:p>
        </w:tc>
        <w:tc>
          <w:tcPr>
            <w:tcW w:w="1483" w:type="dxa"/>
          </w:tcPr>
          <w:p w14:paraId="0242EBA6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5C56F3FA" w14:textId="7C4FB73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0EDAB244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76F58928" w14:textId="40E08BDE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</w:t>
            </w:r>
          </w:p>
        </w:tc>
        <w:tc>
          <w:tcPr>
            <w:tcW w:w="2316" w:type="dxa"/>
          </w:tcPr>
          <w:p w14:paraId="449BB50C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47D6E65" w14:textId="41939B50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7B00D4C8" w14:textId="4C0AF0A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8, 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3)</w:t>
            </w:r>
          </w:p>
        </w:tc>
      </w:tr>
      <w:tr w:rsidR="00F933D8" w:rsidRPr="00C011E4" w14:paraId="3C46EA87" w14:textId="77777777" w:rsidTr="00C34EFD">
        <w:trPr>
          <w:trHeight w:val="1012"/>
        </w:trPr>
        <w:tc>
          <w:tcPr>
            <w:tcW w:w="3528" w:type="dxa"/>
          </w:tcPr>
          <w:p w14:paraId="34E72B23" w14:textId="216FAE1D" w:rsidR="00F933D8" w:rsidRPr="00C011E4" w:rsidRDefault="00C33165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580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szCs w:val="22"/>
                <w:lang w:val="hu-HU"/>
              </w:rPr>
              <w:t>Kezdő terápia (naponta kétszer</w:t>
            </w:r>
            <w:r w:rsidR="00F933D8" w:rsidRPr="00C011E4">
              <w:rPr>
                <w:rFonts w:eastAsia="Times New Roman"/>
                <w:snapToGrid/>
                <w:spacing w:val="-9"/>
                <w:szCs w:val="22"/>
                <w:lang w:val="hu-HU" w:eastAsia="en-US"/>
              </w:rPr>
              <w:t>)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  <w:r w:rsidR="00F933D8" w:rsidRPr="00C011E4">
              <w:rPr>
                <w:rFonts w:eastAsia="Times New Roman"/>
                <w:snapToGrid/>
                <w:spacing w:val="-9"/>
                <w:szCs w:val="22"/>
                <w:lang w:val="hu-HU" w:eastAsia="en-US"/>
              </w:rPr>
              <w:t xml:space="preserve">: </w:t>
            </w:r>
            <w:proofErr w:type="spellStart"/>
            <w:r w:rsidRPr="00C011E4">
              <w:rPr>
                <w:szCs w:val="22"/>
                <w:lang w:val="hu-HU"/>
              </w:rPr>
              <w:t>szitagliptin</w:t>
            </w:r>
            <w:proofErr w:type="spellEnd"/>
            <w:r w:rsidRPr="00C011E4">
              <w:rPr>
                <w:szCs w:val="22"/>
                <w:lang w:val="hu-HU"/>
              </w:rPr>
              <w:t xml:space="preserve"> 50</w:t>
            </w:r>
            <w:r w:rsidR="00A60BB4" w:rsidRPr="00C011E4">
              <w:rPr>
                <w:szCs w:val="22"/>
                <w:lang w:val="hu-HU"/>
              </w:rPr>
              <w:t> mg</w:t>
            </w:r>
            <w:r w:rsidRPr="00C011E4">
              <w:rPr>
                <w:szCs w:val="22"/>
                <w:lang w:val="hu-HU"/>
              </w:rPr>
              <w:t xml:space="preserve"> + </w:t>
            </w:r>
            <w:proofErr w:type="spellStart"/>
            <w:r w:rsidRPr="00C011E4">
              <w:rPr>
                <w:szCs w:val="22"/>
                <w:lang w:val="hu-HU"/>
              </w:rPr>
              <w:t>metformin</w:t>
            </w:r>
            <w:proofErr w:type="spellEnd"/>
            <w:r w:rsidRPr="00C011E4">
              <w:rPr>
                <w:szCs w:val="22"/>
                <w:lang w:val="hu-HU"/>
              </w:rPr>
              <w:t xml:space="preserve"> 1000</w:t>
            </w:r>
            <w:r w:rsidR="00A60BB4" w:rsidRPr="00C011E4">
              <w:rPr>
                <w:szCs w:val="22"/>
                <w:lang w:val="hu-HU"/>
              </w:rPr>
              <w:t> mg</w:t>
            </w:r>
          </w:p>
          <w:p w14:paraId="236EB7A2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(N=178)</w:t>
            </w:r>
          </w:p>
        </w:tc>
        <w:tc>
          <w:tcPr>
            <w:tcW w:w="1483" w:type="dxa"/>
          </w:tcPr>
          <w:p w14:paraId="69877420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0C7EEB43" w14:textId="50F3F5F0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</w:p>
        </w:tc>
        <w:tc>
          <w:tcPr>
            <w:tcW w:w="2081" w:type="dxa"/>
          </w:tcPr>
          <w:p w14:paraId="7C141193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4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28F32300" w14:textId="34A04129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9</w:t>
            </w:r>
          </w:p>
        </w:tc>
        <w:tc>
          <w:tcPr>
            <w:tcW w:w="2316" w:type="dxa"/>
          </w:tcPr>
          <w:p w14:paraId="12926E60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6A11545" w14:textId="60F86AF8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-2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</w:t>
            </w:r>
          </w:p>
          <w:p w14:paraId="3CB9BAFA" w14:textId="00068C32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(-2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3, -1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8)</w:t>
            </w:r>
          </w:p>
        </w:tc>
      </w:tr>
      <w:tr w:rsidR="00F933D8" w:rsidRPr="00C011E4" w14:paraId="56442ECC" w14:textId="77777777" w:rsidTr="00C34EFD">
        <w:trPr>
          <w:trHeight w:val="1012"/>
        </w:trPr>
        <w:tc>
          <w:tcPr>
            <w:tcW w:w="3528" w:type="dxa"/>
          </w:tcPr>
          <w:p w14:paraId="07A0117E" w14:textId="7FF82A11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 w:right="8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Napi egyszer 100</w:t>
            </w:r>
            <w:r w:rsidR="00A60BB4" w:rsidRPr="00C011E4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szitagliptin</w:t>
            </w:r>
            <w:proofErr w:type="spellEnd"/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 xml:space="preserve">folyamatban lévő inzulin- (+/- </w:t>
            </w:r>
            <w:proofErr w:type="spellStart"/>
            <w:r w:rsidR="00C33165" w:rsidRPr="00C011E4">
              <w:rPr>
                <w:szCs w:val="22"/>
                <w:lang w:val="hu-HU"/>
              </w:rPr>
              <w:t>metformin</w:t>
            </w:r>
            <w:proofErr w:type="spellEnd"/>
            <w:r w:rsidR="00C33165" w:rsidRPr="00C011E4">
              <w:rPr>
                <w:szCs w:val="22"/>
                <w:lang w:val="hu-HU"/>
              </w:rPr>
              <w:t>)</w:t>
            </w:r>
            <w:r w:rsidR="006F595D">
              <w:rPr>
                <w:szCs w:val="22"/>
                <w:lang w:val="hu-HU"/>
              </w:rPr>
              <w:t xml:space="preserve"> </w:t>
            </w:r>
            <w:r w:rsidR="00C33165" w:rsidRPr="00C011E4">
              <w:rPr>
                <w:szCs w:val="22"/>
                <w:lang w:val="hu-HU"/>
              </w:rPr>
              <w:t>terápiához adva</w:t>
            </w:r>
            <w:r w:rsidR="00C33165"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  <w:r w:rsidR="006F595D" w:rsidRPr="00574D3C">
              <w:rPr>
                <w:vertAlign w:val="superscript"/>
              </w:rPr>
              <w:sym w:font="Symbol" w:char="F07C"/>
            </w:r>
            <w:r w:rsidR="006F595D" w:rsidRPr="00574D3C">
              <w:rPr>
                <w:vertAlign w:val="superscript"/>
              </w:rPr>
              <w:sym w:font="Symbol" w:char="F07C"/>
            </w:r>
          </w:p>
          <w:p w14:paraId="22CBB716" w14:textId="77777777" w:rsidR="00F933D8" w:rsidRPr="00C011E4" w:rsidRDefault="00F933D8" w:rsidP="002833EC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1" w:lineRule="exact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(N=305)</w:t>
            </w:r>
          </w:p>
        </w:tc>
        <w:tc>
          <w:tcPr>
            <w:tcW w:w="1483" w:type="dxa"/>
          </w:tcPr>
          <w:p w14:paraId="7C3B9630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4FDAF6B" w14:textId="3E6987F4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8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</w:t>
            </w:r>
          </w:p>
        </w:tc>
        <w:tc>
          <w:tcPr>
            <w:tcW w:w="2081" w:type="dxa"/>
          </w:tcPr>
          <w:p w14:paraId="633F58A3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1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10384AF9" w14:textId="70E30101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40" w:lineRule="auto"/>
              <w:ind w:left="22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¶</w:t>
            </w:r>
          </w:p>
        </w:tc>
        <w:tc>
          <w:tcPr>
            <w:tcW w:w="2316" w:type="dxa"/>
          </w:tcPr>
          <w:p w14:paraId="5AA0D932" w14:textId="77777777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before="3" w:line="240" w:lineRule="auto"/>
              <w:ind w:left="22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</w:p>
          <w:p w14:paraId="67B9297B" w14:textId="5AF0AA25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proofErr w:type="gramStart"/>
            <w:r w:rsidRPr="00C011E4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‡,¶</w:t>
            </w:r>
            <w:proofErr w:type="gramEnd"/>
          </w:p>
          <w:p w14:paraId="4579371D" w14:textId="663F7E7A" w:rsidR="00F933D8" w:rsidRPr="00C011E4" w:rsidRDefault="00F933D8" w:rsidP="0003542B">
            <w:pPr>
              <w:widowControl w:val="0"/>
              <w:tabs>
                <w:tab w:val="clear" w:pos="567"/>
              </w:tabs>
              <w:autoSpaceDE w:val="0"/>
              <w:autoSpaceDN w:val="0"/>
              <w:spacing w:line="252" w:lineRule="exact"/>
              <w:ind w:left="22" w:right="29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(-0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7, -0</w:t>
            </w:r>
            <w:r w:rsidR="00C33165" w:rsidRPr="00C011E4">
              <w:rPr>
                <w:rFonts w:eastAsia="Times New Roman"/>
                <w:snapToGrid/>
                <w:szCs w:val="22"/>
                <w:lang w:val="hu-HU" w:eastAsia="en-US"/>
              </w:rPr>
              <w:t>,</w:t>
            </w:r>
            <w:r w:rsidRPr="00C011E4">
              <w:rPr>
                <w:rFonts w:eastAsia="Times New Roman"/>
                <w:snapToGrid/>
                <w:szCs w:val="22"/>
                <w:lang w:val="hu-HU" w:eastAsia="en-US"/>
              </w:rPr>
              <w:t>4)</w:t>
            </w:r>
          </w:p>
        </w:tc>
      </w:tr>
    </w:tbl>
    <w:p w14:paraId="2E7481EF" w14:textId="0017D5F4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187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*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kezelt populáció minden betege (</w:t>
      </w:r>
      <w:r w:rsidR="003C57E0">
        <w:rPr>
          <w:rFonts w:eastAsia="Times New Roman"/>
          <w:snapToGrid/>
          <w:sz w:val="18"/>
          <w:szCs w:val="22"/>
          <w:lang w:val="hu-HU" w:eastAsia="en-US" w:bidi="hu-HU"/>
        </w:rPr>
        <w:t>beválasztás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szerinti analízis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)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46A98737" w14:textId="60AA7138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lastRenderedPageBreak/>
        <w:t xml:space="preserve">†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Az előzőleg adott </w:t>
      </w:r>
      <w:proofErr w:type="spellStart"/>
      <w:r w:rsidR="001B061F">
        <w:rPr>
          <w:rFonts w:eastAsia="Times New Roman"/>
          <w:snapToGrid/>
          <w:sz w:val="18"/>
          <w:szCs w:val="22"/>
          <w:lang w:val="hu-HU" w:eastAsia="en-US" w:bidi="hu-HU"/>
        </w:rPr>
        <w:t>antihyperglykaemi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ás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terápiás státuszhoz és a vizsgálatba történő belépéskor mért értékhez igazított legkisebb négyzetek módszere.</w:t>
      </w:r>
    </w:p>
    <w:p w14:paraId="70B51734" w14:textId="10B2AED6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208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p&lt;0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,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001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 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placebóval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vagy 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placebó+kombinációs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kezeléssel összehasonlítva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6E481801" w14:textId="50208B4F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line="207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§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18. héten mért</w:t>
      </w:r>
      <w:r w:rsidR="00C33165" w:rsidRPr="00C011E4">
        <w:rPr>
          <w:rFonts w:eastAsia="Microsoft Sans Serif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HbA</w:t>
      </w:r>
      <w:r w:rsidRPr="00C011E4">
        <w:rPr>
          <w:rFonts w:eastAsia="Times New Roman"/>
          <w:snapToGrid/>
          <w:sz w:val="18"/>
          <w:szCs w:val="22"/>
          <w:vertAlign w:val="subscript"/>
          <w:lang w:val="hu-HU" w:eastAsia="en-US"/>
        </w:rPr>
        <w:t>1c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(%)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0F05305B" w14:textId="6E72C6BC" w:rsidR="00C33165" w:rsidRPr="00C011E4" w:rsidRDefault="0043611E" w:rsidP="00C33165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574D3C">
        <w:rPr>
          <w:vertAlign w:val="superscript"/>
        </w:rPr>
        <w:sym w:font="Symbol" w:char="F07C"/>
      </w:r>
      <w:r w:rsidRPr="00574D3C">
        <w:rPr>
          <w:vertAlign w:val="superscript"/>
        </w:rPr>
        <w:sym w:font="Symbol" w:char="F07C"/>
      </w:r>
      <w:r w:rsidR="00F933D8" w:rsidRPr="00C011E4">
        <w:rPr>
          <w:rFonts w:eastAsia="Times New Roman"/>
          <w:snapToGrid/>
          <w:w w:val="160"/>
          <w:position w:val="8"/>
          <w:sz w:val="12"/>
          <w:szCs w:val="22"/>
          <w:lang w:val="hu-HU" w:eastAsia="en-US"/>
        </w:rPr>
        <w:t xml:space="preserve">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24. héten mért</w:t>
      </w:r>
      <w:r w:rsidR="00C33165" w:rsidRPr="00C011E4">
        <w:rPr>
          <w:rFonts w:eastAsia="Microsoft Sans Serif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HbA</w:t>
      </w:r>
      <w:r w:rsidR="00C33165" w:rsidRPr="00C011E4">
        <w:rPr>
          <w:rFonts w:eastAsia="Times New Roman"/>
          <w:snapToGrid/>
          <w:sz w:val="18"/>
          <w:szCs w:val="22"/>
          <w:vertAlign w:val="subscript"/>
          <w:lang w:val="hu-HU" w:eastAsia="en-US"/>
        </w:rPr>
        <w:t>1c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(%).</w:t>
      </w:r>
    </w:p>
    <w:p w14:paraId="18CF4A39" w14:textId="294B5A11" w:rsidR="00F933D8" w:rsidRPr="00C011E4" w:rsidRDefault="00F933D8" w:rsidP="00C33165">
      <w:pPr>
        <w:widowControl w:val="0"/>
        <w:tabs>
          <w:tab w:val="clear" w:pos="567"/>
        </w:tabs>
        <w:autoSpaceDE w:val="0"/>
        <w:autoSpaceDN w:val="0"/>
        <w:spacing w:line="206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#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A 26. héten mért</w:t>
      </w:r>
      <w:r w:rsidR="00C33165" w:rsidRPr="00C011E4">
        <w:rPr>
          <w:rFonts w:eastAsia="Microsoft Sans Serif"/>
          <w:snapToGrid/>
          <w:color w:val="000000"/>
          <w:sz w:val="24"/>
          <w:szCs w:val="24"/>
          <w:lang w:val="hu-HU" w:eastAsia="hu-HU" w:bidi="hu-HU"/>
        </w:rPr>
        <w:t xml:space="preserve"> 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HbA</w:t>
      </w:r>
      <w:r w:rsidR="00C33165" w:rsidRPr="00C011E4">
        <w:rPr>
          <w:rFonts w:eastAsia="Times New Roman"/>
          <w:snapToGrid/>
          <w:sz w:val="18"/>
          <w:szCs w:val="22"/>
          <w:vertAlign w:val="subscript"/>
          <w:lang w:val="hu-HU" w:eastAsia="en-US"/>
        </w:rPr>
        <w:t>1c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 (%).</w:t>
      </w:r>
    </w:p>
    <w:p w14:paraId="635F1DB5" w14:textId="3B0273F0" w:rsidR="00F933D8" w:rsidRPr="00C011E4" w:rsidRDefault="00F933D8" w:rsidP="00F933D8">
      <w:pPr>
        <w:widowControl w:val="0"/>
        <w:tabs>
          <w:tab w:val="clear" w:pos="567"/>
        </w:tabs>
        <w:autoSpaceDE w:val="0"/>
        <w:autoSpaceDN w:val="0"/>
        <w:spacing w:before="16" w:line="206" w:lineRule="exact"/>
        <w:ind w:left="218" w:right="43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¶ </w:t>
      </w:r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Az 1. vizitkor alkalmazott 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metforminra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(igen/nem), az 1. vizitkor alkalmazott inzulinmennyiségre (előkevert, illetve nem előkevert [közepes vagy hosszú hatástartamú]), ill. a kiindulási vizit értékére korrigált legkisebb négyzetek átlaga. A terápiás alcsoportok (</w:t>
      </w:r>
      <w:proofErr w:type="spellStart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>metformin</w:t>
      </w:r>
      <w:proofErr w:type="spellEnd"/>
      <w:r w:rsidR="00C33165"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és inzulin alkalmazása) esetén észlelt interakciók nem voltak szignifikánsak 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(p</w:t>
      </w:r>
      <w:r w:rsidR="00606753" w:rsidRPr="00C011E4">
        <w:rPr>
          <w:rFonts w:eastAsia="Times New Roman"/>
          <w:snapToGrid/>
          <w:sz w:val="18"/>
          <w:szCs w:val="22"/>
          <w:lang w:val="hu-HU" w:eastAsia="en-US"/>
        </w:rPr>
        <w:t> 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&gt;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 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0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,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10)</w:t>
      </w:r>
      <w:r w:rsidR="00C33165"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38018030" w14:textId="20F82C08" w:rsidR="00F933D8" w:rsidRPr="00C011E4" w:rsidRDefault="00F933D8" w:rsidP="00082A8E">
      <w:pPr>
        <w:spacing w:line="240" w:lineRule="auto"/>
        <w:rPr>
          <w:u w:val="single"/>
          <w:lang w:val="hu-HU"/>
        </w:rPr>
      </w:pPr>
    </w:p>
    <w:p w14:paraId="240921D1" w14:textId="551D99C4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24 hetes aktív</w:t>
      </w:r>
      <w:r w:rsidR="00B93211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B932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kontrollos vizsgálatot állítottak össze a napi egyszer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(N=528) hatásosságának és biztonságosságának kiértékelésére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(N=522) összehasonlítva, diéta és testmozgás mellett nem megfelelő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kontrollal rendelkező betegeknél, akik nem részesültek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antihyperglykaemi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kezelésben (legalább 4 hónapja nem kaptak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kezelés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t).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hozzávetőleg naponta 1900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csökkenése a kiinduláskor mért 7,2%-os átlagértékhez képest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szitagliptinnél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-0,43% és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metforminnál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pedig -0,57% volt (protokoll szerinti elemzés). A gyógyszerrel összefüggőnek tartott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gasztrointesztinális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összesített előfordulási aránya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2,7% volt, szemben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megfigyelt 12,6%-kal.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a két kezelési csoportban nem különbözött jelentős mértékben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1,3%,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1,9%). A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kiindulási értékhez képest mindkét csoportban csökkent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-0,6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-1,9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59664EF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D630FE4" w14:textId="1ED26DC3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vizsgálatban, mely a hozzáadott napi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szulfonilurea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hatásosságát és biztonságosságát vizsgálta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metformin-monoterápia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nem kielégítő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kontrollal rendelkező betegeknél,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glipizidhez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csökkentése terén. A komparátor csoportban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dózisa napi 10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volt, a vizsgálat alatt a betegek körülbelül 40%-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ának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 szüksége naponta </w:t>
      </w:r>
      <w:r w:rsidR="00606753" w:rsidRPr="00053601">
        <w:rPr>
          <w:lang w:val="hu-HU"/>
        </w:rPr>
        <w:t>≤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-dózisra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 azonban több beteg hagyta abba a kezelést a gyógyszer hatásosságának hiánya miatt,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tömege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kiindulási állapothoz képest jelentős mértékű átlagos csökkenést (-1,5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mutatott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 jelentős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növekedésével (+1,1 </w:t>
      </w:r>
      <w:proofErr w:type="spellStart"/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szemben. E vizsgálatban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proinzulin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-inzulin arány, mely az inzulinszintézis és -felszabadulás hatásosságának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markere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hatására javult,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hatására romlott.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 előfordulási aránya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 jelentősen alacsonyabb volt (4,9%),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-csoportban (32,0%).</w:t>
      </w:r>
    </w:p>
    <w:p w14:paraId="69A2AC54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C6563D0" w14:textId="2033CADF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24 hetes, placebokontrollos, 660 beteg bevonásával végzett vizsgálatot úgy terveztek meg, hogy értékelje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glargin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inzulinhoz (legalább 1500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 adott (napi egyszer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inzulincsökkentő hatásosságát és biztonságosságát az inzulin-terápia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intenzifikálása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idején.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értéke 8,74% volt, míg az inzulin kiindulási dózisa napi 37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 volt. A betegeket arra utasították, hogy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glargin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inzulin </w:t>
      </w:r>
      <w:r w:rsidR="0064061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ukat az ujjbegyből vett vérminták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éhomi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glükózértékei alapján határozzák meg. A 24. héten a napi inzulindózis növekedése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napi 19 NE,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napi 24 NE volt.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csökkenése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-1,31% volt, összehasonlítva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megfigyelt -0,87%-kal, mely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0,45%-os különbséget [95%-os CI: -0,60, -0,29] mutat.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gyakorisága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25,2%, míg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inzulinnal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metforminnal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anélkül) kezelt betegeknél 36,8% volt. A különbség főként annak tulajdonítható, hogy a placebocsoport betegei nagyobb arányban tapasztaltak 3 vagy ennél több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epizódot (9,4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vs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19,1%). A súlyos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gyakoriságát illetően nem mutatkozott különbség.</w:t>
      </w:r>
    </w:p>
    <w:p w14:paraId="1995DABF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8B2EF10" w14:textId="763668C4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Közepesen súlyos/súlyos vesekárosodásban szenvedő betegekkel végeztek egy vizsgálatot, melynek során naponta egyszer 25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hasonlítottak össze napi 2,5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vizsgálatba 423, krónikus vesekárosodásban szenvedő beteget (becsült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glomerul</w:t>
      </w:r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us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filtrációs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ráta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60675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vontak be. Ötvennégy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értékének átlagos csökkenése -0,76%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és -0,64%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 (protokoll szerinti analízis). Ebben a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vizsgálatban a naponta egyszer alkalmazott 25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hatásossági és biztonságossági profilja általánosságban hasonló volt a normál vesefunkciójú betegeknél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 megfigyeltekhez.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-csoportban lényegesen alacsonyabb volt (6,2%), 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-csoportban (17,0%). Szintén jelentős különbség mutatkozott a csoportok között a kiindulási test</w:t>
      </w:r>
      <w:r w:rsidR="003C57E0">
        <w:rPr>
          <w:rFonts w:eastAsia="Times New Roman"/>
          <w:snapToGrid/>
          <w:color w:val="000000"/>
          <w:szCs w:val="22"/>
          <w:lang w:val="hu-HU" w:eastAsia="hu-HU" w:bidi="hu-HU"/>
        </w:rPr>
        <w:t>tömeg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változását illetően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-0,6</w:t>
      </w:r>
      <w:r w:rsidR="0049369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+1,2</w:t>
      </w:r>
      <w:r w:rsidR="0049369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proofErr w:type="spellStart"/>
      <w:r w:rsidR="009C5A37">
        <w:rPr>
          <w:rFonts w:eastAsia="Times New Roman"/>
          <w:snapToGrid/>
          <w:color w:val="000000"/>
          <w:szCs w:val="22"/>
          <w:lang w:val="hu-HU" w:eastAsia="hu-HU" w:bidi="hu-HU"/>
        </w:rPr>
        <w:t>tt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E73C1BD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38A241D" w14:textId="7E621636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másik, 129, végstádiumú vesebetegségben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dializált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beteggel végzett vizsgálat során napi 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hasonlítottak össze napi 2,5</w:t>
      </w:r>
      <w:r w:rsidR="00AA33B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20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glipiziddel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Ötvennégy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értékének átlagos csökkenése -0,72%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-0,87%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alkalmazása mellett. Ebben a vizsgálatban a naponta egyszer alkalmazott 25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hatásossági és biztonságossági profilja általánosságban hasonló volt a normál vesefunkciójú betegeknél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 megfigyeltekhez. A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hypoglykaemi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előfordulási aránya nem különbözött lényegesen a kezelési csoportokban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6,3%,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10,8%).</w:t>
      </w:r>
    </w:p>
    <w:p w14:paraId="008AC865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5982435" w14:textId="7B8EFD3E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Egy másik vizsgálatban, melyet 91, 2-es típusú diabetesben és krónikus vesekárosodásban (kreatinin-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szenvedő beteg részvételével folytattak, a naponta egyszer 25 vagy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biztonságossága és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tolerálhatósága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általánosságban hasonló volt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placebóéhoz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Ezenkívül 12 hét után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-0,59%; placebo: -0,18%) és FPG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: -25,5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/dl; placebo: -3,0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/dl) átlagos csökkenése általánosságban hasonló volt a normál vesefunkciójú betegeknél egyéb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monoterápiás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vizsgálatokban megfigyeltekhez (lásd 5.2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0A0E056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8B1DD85" w14:textId="443EFE2D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TECOS egy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randomizált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 volt, melynek beválasztás szerinti populációjában 14 671, </w:t>
      </w:r>
      <w:r w:rsidR="005B2BE0" w:rsidRPr="00053601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6,5 és 8,0% közötti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-értékkel rendelkező, igazolt CV betegségben szenvedő beteg vett részt, akik (7332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en)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(vagy </w:t>
      </w:r>
      <w:r w:rsidR="005B2BE0" w:rsidRPr="00053601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 30 és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50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értékű kiindulási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 napi 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(7339-en)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kaptak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CV kockázati tényezőkre vonatkozó regionális standardokat célzó általános kezelés mellé. 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="009C0259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értékkel rendelkező betegek nem voltak bevonhatóak a vizsgálatba. A vizsgálati populációba 2004, </w:t>
      </w:r>
      <w:r w:rsidR="005B2BE0" w:rsidRPr="00053601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75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 beteg és 3324, vesekárosodásban szenvedő beteg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eGFR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5B2BE0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60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/perc/1,73 m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2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 tartozott.</w:t>
      </w:r>
    </w:p>
    <w:p w14:paraId="63A53717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C1F2961" w14:textId="7360443E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vizsgálat folyamán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AA33B6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placebocsoport közötti becsült átlagos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összkülönbség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(standard deviáció) 0,29% (0,01), 95%-os CI (-0,32, -0,27); p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0,001</w:t>
      </w:r>
      <w:proofErr w:type="gram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</w:t>
      </w:r>
    </w:p>
    <w:p w14:paraId="7A52BF03" w14:textId="543F514F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elsődleges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 az alábbi események első előfordulására vonatkozó összetett végpont volt: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halálozás, nem halálos kimenetelű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myocardialis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infarctus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nem halálos kimenetelű stroke, illetve instabil angina miatti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hospitalizáció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A másodlagos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végpontok közé tartozott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halálozás, nem halálos kimenetelű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myocardialis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infarctus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nem halálos kimenetelű stroke; az elsődleges összetett végpont egyes összetevőinek első előfordulása; az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összhalálozás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; valamint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pangásos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szívelégtelenség miatti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hospitalizáció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E7CFAF4" w14:textId="77777777" w:rsidR="00C33165" w:rsidRPr="00C011E4" w:rsidRDefault="00C33165" w:rsidP="00C3316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1CF17A0" w14:textId="0C2B6D68" w:rsidR="00802B91" w:rsidRDefault="00C33165" w:rsidP="00C34EFD">
      <w:pPr>
        <w:keepNext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3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 medián időtartamú követés után a szokásos kezeléssel együtt adott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nélkül adott szokásos kezeléssel összehasonlítva nem növelte a jelentősebb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nemkívánatos események kockázatát vagy a szívelégtelenség miatti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hospitalizáció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kockázatát a 2-es típusú diabetesben szenvedő betegeknél (3. táblázat).</w:t>
      </w:r>
      <w:bookmarkStart w:id="8" w:name="bookmark33"/>
      <w:bookmarkEnd w:id="8"/>
    </w:p>
    <w:p w14:paraId="07A1CCD9" w14:textId="77777777" w:rsidR="00802B91" w:rsidRDefault="00802B91" w:rsidP="00C34EFD">
      <w:pPr>
        <w:keepNext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0E1C6E9F" w14:textId="13F3B635" w:rsidR="00C33165" w:rsidRPr="00C011E4" w:rsidRDefault="00C33165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3. táblázat Az összetett </w:t>
      </w:r>
      <w:proofErr w:type="spellStart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cardiovascularis</w:t>
      </w:r>
      <w:proofErr w:type="spellEnd"/>
      <w:r w:rsidRPr="00C011E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végpontok és a főbb másodlagos végpontok arányai</w:t>
      </w:r>
    </w:p>
    <w:tbl>
      <w:tblPr>
        <w:tblOverlap w:val="never"/>
        <w:tblW w:w="93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0"/>
        <w:gridCol w:w="998"/>
        <w:gridCol w:w="950"/>
        <w:gridCol w:w="979"/>
        <w:gridCol w:w="979"/>
        <w:gridCol w:w="1498"/>
        <w:gridCol w:w="888"/>
      </w:tblGrid>
      <w:tr w:rsidR="00C33165" w:rsidRPr="00C011E4" w14:paraId="00853B9F" w14:textId="77777777" w:rsidTr="00FA4827">
        <w:trPr>
          <w:tblHeader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F04B4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4601A" w14:textId="0836C3BC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proofErr w:type="spellStart"/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Szitagliptin</w:t>
            </w:r>
            <w:proofErr w:type="spellEnd"/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100</w:t>
            </w:r>
            <w:r w:rsidR="00A60BB4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 mg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7C93F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Placebo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203CD7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76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Kockázati arány (95%-os CI)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B04D5" w14:textId="7910E2EE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2"/>
                <w:szCs w:val="12"/>
                <w:lang w:val="hu-HU" w:eastAsia="hu-HU" w:bidi="hu-HU"/>
              </w:rPr>
            </w:pPr>
            <w:r w:rsidRPr="00C011E4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p-érték</w:t>
            </w:r>
            <w:r w:rsidR="006B197F">
              <w:rPr>
                <w:sz w:val="18"/>
                <w:vertAlign w:val="superscript"/>
              </w:rPr>
              <w:t>†</w:t>
            </w:r>
          </w:p>
        </w:tc>
      </w:tr>
      <w:tr w:rsidR="00C33165" w:rsidRPr="00C011E4" w14:paraId="02A6ED35" w14:textId="77777777" w:rsidTr="00FA4827">
        <w:trPr>
          <w:trHeight w:hRule="exact" w:val="1474"/>
        </w:trPr>
        <w:tc>
          <w:tcPr>
            <w:tcW w:w="301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24CE6E1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420E59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2D2BB0" w14:textId="165CE896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100 beteg</w:t>
            </w:r>
            <w:r w:rsidR="006E3747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év</w:t>
            </w: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re vonatkozó előfordulási arány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F1B55F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N (%)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C7E911" w14:textId="34F45973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100 beteg</w:t>
            </w:r>
            <w:r w:rsidR="006E3747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év</w:t>
            </w: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re vonatkozó előfordulási arány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*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E453AD1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E57B0" w14:textId="77777777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</w:tr>
      <w:tr w:rsidR="00C33165" w:rsidRPr="00804F1F" w14:paraId="270F405A" w14:textId="77777777" w:rsidTr="00FA4827">
        <w:trPr>
          <w:trHeight w:hRule="exact" w:val="302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6BDE1" w14:textId="1D18721D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A </w:t>
            </w:r>
            <w:r w:rsidR="00AA33B6"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beválasztás</w:t>
            </w: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szerinti populáció elemzése</w:t>
            </w:r>
          </w:p>
        </w:tc>
      </w:tr>
      <w:tr w:rsidR="00C33165" w:rsidRPr="00C011E4" w14:paraId="12AEE8BE" w14:textId="77777777" w:rsidTr="00FA4827">
        <w:trPr>
          <w:trHeight w:hRule="exact" w:val="28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247E7C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A betegek száma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520F5" w14:textId="1CF8899A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7332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9E1C89" w14:textId="05C39B43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7339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B9A331" w14:textId="353A5988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0,98 (0,89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1,08)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B6462C" w14:textId="77777777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C33165" w:rsidRPr="00C011E4" w14:paraId="022940A2" w14:textId="77777777" w:rsidTr="00FA4827">
        <w:trPr>
          <w:trHeight w:hRule="exact" w:val="132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383EF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Elsődleges összetett végpont</w:t>
            </w:r>
          </w:p>
          <w:p w14:paraId="7C894987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(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halálozás, nem halálos kimenetelű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myocardialis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infarctus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, nem halálos kimenetelű stroke, illetve instabil angina miatti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hospitalizáció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6BADA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839 (11,4)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CB0BF1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4,1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961914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851 (11,6)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D1046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4,2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5761894" w14:textId="77777777" w:rsidR="00C33165" w:rsidRPr="00DB69BE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99ED16" w14:textId="77777777" w:rsidR="00C33165" w:rsidRPr="00C011E4" w:rsidRDefault="00C33165" w:rsidP="00C34EFD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</w:tr>
      <w:tr w:rsidR="00C33165" w:rsidRPr="00C011E4" w14:paraId="256C248D" w14:textId="77777777" w:rsidTr="00FA4827">
        <w:trPr>
          <w:trHeight w:hRule="exact" w:val="113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A13FF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firstLine="28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Másodlagos összetett végpont</w:t>
            </w:r>
          </w:p>
          <w:p w14:paraId="5C1F107D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3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(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halálozás, nem halálos kimenetelű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myocardialis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infarctus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vagy nem halálos kimenetelű stroke)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8799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745 (10,2)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EE9AB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B2ED3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746 (10,2)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27B45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7FD351" w14:textId="26DD7BB0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0,99 (0,89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DAAEA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&lt;0,001</w:t>
            </w:r>
          </w:p>
        </w:tc>
      </w:tr>
      <w:tr w:rsidR="00C33165" w:rsidRPr="00C011E4" w14:paraId="12CFF0E6" w14:textId="77777777" w:rsidTr="00FA4827">
        <w:trPr>
          <w:trHeight w:hRule="exact" w:val="288"/>
        </w:trPr>
        <w:tc>
          <w:tcPr>
            <w:tcW w:w="930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2F8C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b/>
                <w:bCs/>
                <w:snapToGrid/>
                <w:color w:val="000000"/>
                <w:sz w:val="18"/>
                <w:szCs w:val="18"/>
                <w:lang w:val="hu-HU" w:eastAsia="hu-HU" w:bidi="hu-HU"/>
              </w:rPr>
              <w:t>Másodlagos végpont</w:t>
            </w:r>
          </w:p>
        </w:tc>
      </w:tr>
      <w:tr w:rsidR="00C33165" w:rsidRPr="00C011E4" w14:paraId="05FDF64C" w14:textId="77777777" w:rsidTr="00FA4827">
        <w:trPr>
          <w:trHeight w:hRule="exact" w:val="283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5956E9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ind w:firstLine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Cardiovascularis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halálozás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7FAB1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380 (5,2)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092E2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D079A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366 (5,0)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5992E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6BB8E" w14:textId="12AFA45B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1,03 (0,89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62389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0,711</w:t>
            </w:r>
          </w:p>
        </w:tc>
      </w:tr>
      <w:tr w:rsidR="00C33165" w:rsidRPr="00C011E4" w14:paraId="3C0B0209" w14:textId="77777777" w:rsidTr="00FA4827">
        <w:trPr>
          <w:trHeight w:hRule="exact" w:val="418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E659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Összes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myocardialis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infarctus</w:t>
            </w:r>
            <w:proofErr w:type="spellEnd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EB996F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300 (4,1)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6A19D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EBAED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316 (4,3)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6042B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AB8F2" w14:textId="0F6FA716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0,95 (0,81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1,11)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F5CECA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0,487</w:t>
            </w:r>
          </w:p>
        </w:tc>
      </w:tr>
      <w:tr w:rsidR="00C33165" w:rsidRPr="00C011E4" w14:paraId="5DB5A050" w14:textId="77777777" w:rsidTr="00FA4827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9E74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33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Összes stroke (halálos és nem halálos)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9E6EE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178 (2,4)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ED206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04D56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183 (2,5)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A387C8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9CA539" w14:textId="73C3A606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0,97 (0,79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1,19)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7B63F0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0,760</w:t>
            </w:r>
          </w:p>
        </w:tc>
      </w:tr>
      <w:tr w:rsidR="00C33165" w:rsidRPr="00C011E4" w14:paraId="314197D9" w14:textId="77777777" w:rsidTr="00FA4827">
        <w:trPr>
          <w:trHeight w:hRule="exact" w:val="427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D40AC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Instabil angina miatti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hospitalizáció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AD8B5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116 (1,6)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C69046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998BD9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129 (1,8)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96C312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C66F11" w14:textId="2EDC2C55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0,90 (0,70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1,16)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9FBDCF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0,419</w:t>
            </w:r>
          </w:p>
        </w:tc>
      </w:tr>
      <w:tr w:rsidR="00C33165" w:rsidRPr="00C011E4" w14:paraId="4FB6016C" w14:textId="77777777" w:rsidTr="00FA4827">
        <w:trPr>
          <w:trHeight w:hRule="exact" w:val="42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6B3E0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ind w:left="460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Összhalálozás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705A7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547 (7,5)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0CE9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61E7CC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537 (7,3)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64364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2,5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543BB4" w14:textId="6AE75074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1,01 (0,90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1,14)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34335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0,875</w:t>
            </w:r>
          </w:p>
        </w:tc>
      </w:tr>
      <w:tr w:rsidR="00C33165" w:rsidRPr="00C011E4" w14:paraId="007B15AB" w14:textId="77777777" w:rsidTr="00FA4827">
        <w:trPr>
          <w:trHeight w:hRule="exact" w:val="442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617CC8" w14:textId="1FA12B8E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28" w:lineRule="auto"/>
              <w:ind w:left="460"/>
              <w:rPr>
                <w:rFonts w:eastAsia="Times New Roman"/>
                <w:snapToGrid/>
                <w:color w:val="000000"/>
                <w:sz w:val="12"/>
                <w:szCs w:val="12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 xml:space="preserve">Szívelégtelenség miatti </w:t>
            </w:r>
            <w:proofErr w:type="spellStart"/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hospitalizáció</w:t>
            </w:r>
            <w:proofErr w:type="spellEnd"/>
            <w:r w:rsidR="00605447" w:rsidRPr="00DB69BE">
              <w:rPr>
                <w:sz w:val="18"/>
                <w:vertAlign w:val="superscript"/>
                <w:lang w:val="hu-HU"/>
              </w:rPr>
              <w:t>‡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FCB16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228 (3,1)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B2E0DAA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CEFF69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229 (3,1)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293203" w14:textId="77777777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70993F" w14:textId="5B10264D" w:rsidR="00C33165" w:rsidRPr="00DB69BE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1,00 (0,83</w:t>
            </w:r>
            <w:r w:rsidR="00EB4974"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–</w:t>
            </w:r>
            <w:r w:rsidRPr="00DB69BE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1,20)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B3DEE7" w14:textId="77777777" w:rsidR="00C33165" w:rsidRPr="00C011E4" w:rsidRDefault="00C33165" w:rsidP="00C33165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</w:pPr>
            <w:r w:rsidRPr="00C011E4">
              <w:rPr>
                <w:rFonts w:eastAsia="Times New Roman"/>
                <w:snapToGrid/>
                <w:color w:val="000000"/>
                <w:sz w:val="18"/>
                <w:szCs w:val="18"/>
                <w:lang w:val="hu-HU" w:eastAsia="hu-HU" w:bidi="hu-HU"/>
              </w:rPr>
              <w:t>0,983</w:t>
            </w:r>
          </w:p>
        </w:tc>
      </w:tr>
    </w:tbl>
    <w:p w14:paraId="22742384" w14:textId="6A6F6B9D" w:rsidR="00FA4827" w:rsidRPr="00C011E4" w:rsidRDefault="00FA4827" w:rsidP="00E70CED">
      <w:pPr>
        <w:widowControl w:val="0"/>
        <w:tabs>
          <w:tab w:val="clear" w:pos="567"/>
        </w:tabs>
        <w:autoSpaceDE w:val="0"/>
        <w:autoSpaceDN w:val="0"/>
        <w:spacing w:line="240" w:lineRule="auto"/>
        <w:ind w:left="309" w:right="290" w:hanging="9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sz w:val="18"/>
          <w:szCs w:val="22"/>
          <w:lang w:val="hu-HU" w:eastAsia="en-US"/>
        </w:rPr>
        <w:t xml:space="preserve">* </w:t>
      </w:r>
      <w:bookmarkStart w:id="9" w:name="bookmark31"/>
      <w:bookmarkEnd w:id="9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 100 betegévre vonatkozó előfordulási arány kiszámítása: 100 × (a beszámítható expozíciós időszak során </w:t>
      </w:r>
      <w:r w:rsidRPr="00C011E4">
        <w:rPr>
          <w:sz w:val="18"/>
          <w:lang w:val="hu-HU"/>
        </w:rPr>
        <w:t>≥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1 eseményt elérő betegek összesített száma elosztva a követés összes betegévének számával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).</w:t>
      </w:r>
    </w:p>
    <w:p w14:paraId="31C205A8" w14:textId="66625D79" w:rsidR="00FA4827" w:rsidRPr="00C011E4" w:rsidRDefault="00FA4827" w:rsidP="00E70CED">
      <w:pPr>
        <w:widowControl w:val="0"/>
        <w:tabs>
          <w:tab w:val="clear" w:pos="567"/>
        </w:tabs>
        <w:autoSpaceDE w:val="0"/>
        <w:autoSpaceDN w:val="0"/>
        <w:spacing w:before="2" w:line="206" w:lineRule="exact"/>
        <w:ind w:left="309" w:right="278" w:hanging="92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†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Egy régióra 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stratifikált</w:t>
      </w:r>
      <w:proofErr w:type="spell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Cox</w:t>
      </w:r>
      <w:proofErr w:type="spell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modell alapján. Az összetett végpontoknál a p-értékek egy </w:t>
      </w:r>
      <w:proofErr w:type="gram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non-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inferioritási</w:t>
      </w:r>
      <w:proofErr w:type="spellEnd"/>
      <w:proofErr w:type="gram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tesztnek felelnek meg, mely azt volt hivatott kimutatni, hogy a relatív hazárd 1,3-nél alacsonyabb. Az összes többi végpontnál a p-értékek a relatív hazárdok közötti különbségek tesztjének felelnek meg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7B5FDA0A" w14:textId="198519CB" w:rsidR="00FA4827" w:rsidRPr="00C011E4" w:rsidRDefault="00FA4827" w:rsidP="00E70CED">
      <w:pPr>
        <w:widowControl w:val="0"/>
        <w:tabs>
          <w:tab w:val="clear" w:pos="567"/>
        </w:tabs>
        <w:autoSpaceDE w:val="0"/>
        <w:autoSpaceDN w:val="0"/>
        <w:spacing w:line="219" w:lineRule="exact"/>
        <w:ind w:left="218"/>
        <w:rPr>
          <w:rFonts w:eastAsia="Times New Roman"/>
          <w:snapToGrid/>
          <w:sz w:val="18"/>
          <w:szCs w:val="22"/>
          <w:lang w:val="hu-HU" w:eastAsia="en-US"/>
        </w:rPr>
      </w:pPr>
      <w:r w:rsidRPr="00C011E4">
        <w:rPr>
          <w:rFonts w:eastAsia="Times New Roman"/>
          <w:snapToGrid/>
          <w:position w:val="8"/>
          <w:sz w:val="12"/>
          <w:szCs w:val="22"/>
          <w:lang w:val="hu-HU" w:eastAsia="en-US"/>
        </w:rPr>
        <w:t xml:space="preserve">‡ </w:t>
      </w:r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A szívelégtelenség miatti </w:t>
      </w:r>
      <w:proofErr w:type="spellStart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>hospitalizáció</w:t>
      </w:r>
      <w:proofErr w:type="spellEnd"/>
      <w:r w:rsidRPr="00C011E4">
        <w:rPr>
          <w:rFonts w:eastAsia="Times New Roman"/>
          <w:snapToGrid/>
          <w:sz w:val="18"/>
          <w:szCs w:val="22"/>
          <w:lang w:val="hu-HU" w:eastAsia="en-US" w:bidi="hu-HU"/>
        </w:rPr>
        <w:t xml:space="preserve"> elemzését a kiinduláskor a kórelőzményben fennálló szívelégtelenségre korrigálva végezték el</w:t>
      </w:r>
      <w:r w:rsidRPr="00C011E4">
        <w:rPr>
          <w:rFonts w:eastAsia="Times New Roman"/>
          <w:snapToGrid/>
          <w:sz w:val="18"/>
          <w:szCs w:val="22"/>
          <w:lang w:val="hu-HU" w:eastAsia="en-US"/>
        </w:rPr>
        <w:t>.</w:t>
      </w:r>
    </w:p>
    <w:p w14:paraId="26959B00" w14:textId="77777777" w:rsidR="00C33165" w:rsidRPr="00C011E4" w:rsidRDefault="00C33165" w:rsidP="00082A8E">
      <w:pPr>
        <w:spacing w:line="240" w:lineRule="auto"/>
        <w:rPr>
          <w:u w:val="single"/>
          <w:lang w:val="hu-HU"/>
        </w:rPr>
      </w:pPr>
    </w:p>
    <w:p w14:paraId="150C4A20" w14:textId="485F6467" w:rsidR="00F45C51" w:rsidRPr="00C011E4" w:rsidRDefault="007B6547" w:rsidP="00082A8E">
      <w:pPr>
        <w:spacing w:line="240" w:lineRule="auto"/>
        <w:rPr>
          <w:u w:val="single"/>
          <w:lang w:val="hu-HU"/>
        </w:rPr>
      </w:pPr>
      <w:r w:rsidRPr="00C011E4">
        <w:rPr>
          <w:u w:val="single"/>
          <w:lang w:val="hu-HU"/>
        </w:rPr>
        <w:t>Gyermek</w:t>
      </w:r>
      <w:r w:rsidR="00127C1D" w:rsidRPr="00C011E4">
        <w:rPr>
          <w:u w:val="single"/>
          <w:lang w:val="hu-HU"/>
        </w:rPr>
        <w:t>ek</w:t>
      </w:r>
      <w:r w:rsidR="004A2056" w:rsidRPr="00C011E4">
        <w:rPr>
          <w:u w:val="single"/>
          <w:lang w:val="hu-HU"/>
        </w:rPr>
        <w:t xml:space="preserve"> és serdülők</w:t>
      </w:r>
    </w:p>
    <w:p w14:paraId="4AAF5A8C" w14:textId="73024C1F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 naponta egyszer adott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hatásosságát és biztonságosságát egy 54 hetes, kettős vak vizsgálatban értékelték, 2-es típusú diabetesben szenvedő, </w:t>
      </w:r>
      <w:r w:rsidRPr="00DB69BE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B69BE">
        <w:rPr>
          <w:szCs w:val="22"/>
          <w:lang w:val="hu-HU"/>
        </w:rPr>
        <w:t xml:space="preserve">és betöltött </w:t>
      </w:r>
      <w:r w:rsidR="00DB69BE" w:rsidRPr="00832710">
        <w:rPr>
          <w:szCs w:val="22"/>
          <w:lang w:val="hu-HU"/>
        </w:rPr>
        <w:t>1</w:t>
      </w:r>
      <w:r w:rsidR="00DB69BE">
        <w:rPr>
          <w:szCs w:val="22"/>
          <w:lang w:val="hu-HU"/>
        </w:rPr>
        <w:t>8</w:t>
      </w:r>
      <w:r w:rsidR="003718E6">
        <w:rPr>
          <w:szCs w:val="22"/>
          <w:lang w:val="hu-HU"/>
        </w:rPr>
        <w:t>.</w:t>
      </w:r>
      <w:r w:rsidR="00DB69BE" w:rsidRPr="00832710">
        <w:rPr>
          <w:szCs w:val="22"/>
          <w:lang w:val="hu-HU"/>
        </w:rPr>
        <w:t xml:space="preserve"> </w:t>
      </w:r>
      <w:r w:rsidR="00DB69BE">
        <w:rPr>
          <w:szCs w:val="22"/>
          <w:lang w:val="hu-HU"/>
        </w:rPr>
        <w:t>élet</w:t>
      </w:r>
      <w:r w:rsidR="00DB69BE" w:rsidRPr="00832710">
        <w:rPr>
          <w:szCs w:val="22"/>
          <w:lang w:val="hu-HU"/>
        </w:rPr>
        <w:t>év</w:t>
      </w:r>
      <w:r w:rsidR="00DB69BE">
        <w:rPr>
          <w:szCs w:val="22"/>
          <w:lang w:val="hu-HU"/>
        </w:rPr>
        <w:t xml:space="preserve"> közötti életkorú</w:t>
      </w:r>
      <w:r w:rsidR="00DB69BE" w:rsidRPr="00832710">
        <w:rPr>
          <w:szCs w:val="22"/>
          <w:lang w:val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gyermekeknél és serdülőknél, akik legalább 12 hétig nem kaptak </w:t>
      </w:r>
      <w:proofErr w:type="spellStart"/>
      <w:r w:rsidR="001B061F">
        <w:rPr>
          <w:rFonts w:eastAsia="Times New Roman"/>
          <w:snapToGrid/>
          <w:color w:val="000000"/>
          <w:szCs w:val="22"/>
          <w:lang w:val="hu-HU" w:eastAsia="hu-HU" w:bidi="hu-HU"/>
        </w:rPr>
        <w:t>antihyperglykaemi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ás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kezelést 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6,5% </w:t>
      </w:r>
      <w:r w:rsidR="0068752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10%) vagy legalább 12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hétig stabil dózisban kaptak inzulint (HbA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: 7% </w:t>
      </w:r>
      <w:r w:rsidR="00687523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10%). A betegek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randomizációt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követően 20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héten át napi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kaptak.</w:t>
      </w:r>
    </w:p>
    <w:p w14:paraId="6F39D76A" w14:textId="77777777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4317A69" w14:textId="3A06E11F" w:rsidR="00FA4827" w:rsidRPr="00C011E4" w:rsidRDefault="00FA4827" w:rsidP="00FA482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8181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C34EFD">
        <w:rPr>
          <w:rFonts w:eastAsia="Times New Roman"/>
          <w:snapToGrid/>
          <w:color w:val="000000"/>
          <w:szCs w:val="22"/>
          <w:lang w:val="hu-HU" w:eastAsia="hu-HU" w:bidi="hu-HU"/>
        </w:rPr>
        <w:t>vizsgálat elején az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-érték 7,5% volt. A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történő kezelés hatására a 20. héten nem mutatkozott jelentős javulás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vonatkozásában.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(N=95) a HbA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1c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-értékének csökkenése 0,0% volt,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placebóval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betegeknél (N=95) megfigyelt 0,2%-kal összehasonlítva, mely -0,2%-os különbség (95%-os CI: -0,7</w:t>
      </w:r>
      <w:r w:rsidR="0076317E">
        <w:rPr>
          <w:rFonts w:eastAsia="Times New Roman"/>
          <w:snapToGrid/>
          <w:color w:val="000000"/>
          <w:szCs w:val="22"/>
          <w:lang w:val="hu-HU" w:eastAsia="hu-HU" w:bidi="hu-HU"/>
        </w:rPr>
        <w:t>;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0,3). 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553173A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F144B" w14:textId="2AB0F668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b/>
          <w:lang w:val="hu-HU"/>
        </w:rPr>
        <w:t>5</w:t>
      </w:r>
      <w:r w:rsidR="00FA4827" w:rsidRPr="00C011E4">
        <w:rPr>
          <w:b/>
          <w:lang w:val="hu-HU"/>
        </w:rPr>
        <w:t>.</w:t>
      </w:r>
      <w:r w:rsidRPr="00C011E4">
        <w:rPr>
          <w:b/>
          <w:lang w:val="hu-HU"/>
        </w:rPr>
        <w:t>2</w:t>
      </w:r>
      <w:r w:rsidRPr="00C011E4">
        <w:rPr>
          <w:b/>
          <w:lang w:val="hu-HU"/>
        </w:rPr>
        <w:tab/>
      </w:r>
      <w:proofErr w:type="spellStart"/>
      <w:r w:rsidRPr="00C011E4">
        <w:rPr>
          <w:b/>
          <w:lang w:val="hu-HU"/>
        </w:rPr>
        <w:t>Farmakokinetikai</w:t>
      </w:r>
      <w:proofErr w:type="spellEnd"/>
      <w:r w:rsidRPr="00C011E4">
        <w:rPr>
          <w:b/>
          <w:lang w:val="hu-HU"/>
        </w:rPr>
        <w:t xml:space="preserve"> tulajdonságok</w:t>
      </w:r>
    </w:p>
    <w:p w14:paraId="4AAA3D6A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7908F8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Felszívódás</w:t>
      </w:r>
    </w:p>
    <w:p w14:paraId="5EA01181" w14:textId="3A2F3FD1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dózisa egészséges alanyoknál az orális alkalmazást követően gyorsan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felszívódott, és a dózis bevételét követő 1-4 órán belül érte el a plazma csúcskoncentrációt (</w:t>
      </w:r>
      <w:r w:rsidR="00EB497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medián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plazma AUC-értéke 8,52 </w:t>
      </w:r>
      <w:r w:rsidR="004006EB" w:rsidRPr="00053601">
        <w:rPr>
          <w:rFonts w:ascii="Symbol" w:hAnsi="Symbol"/>
          <w:lang w:val="hu-HU"/>
        </w:rPr>
        <w:t></w:t>
      </w:r>
      <w:proofErr w:type="spellStart"/>
      <w:r w:rsidRPr="00C011E4">
        <w:rPr>
          <w:lang w:val="hu-HU"/>
        </w:rPr>
        <w:t>M</w:t>
      </w:r>
      <w:r w:rsidR="00B107E6">
        <w:rPr>
          <w:lang w:val="hu-HU"/>
        </w:rPr>
        <w:t>×</w:t>
      </w:r>
      <w:r w:rsidRPr="00C011E4">
        <w:rPr>
          <w:lang w:val="hu-HU"/>
        </w:rPr>
        <w:t>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értéke 950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nM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abszolút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biohasznosíthatósága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hozzávetőleg 87%. Mivel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magas zsírtartalmú ételekkel való egyidejű bevétele nincs kihatással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ét</w:t>
      </w:r>
      <w:r w:rsidR="00B107E6">
        <w:rPr>
          <w:rFonts w:eastAsia="Times New Roman"/>
          <w:snapToGrid/>
          <w:color w:val="000000"/>
          <w:szCs w:val="22"/>
          <w:lang w:val="hu-HU" w:eastAsia="hu-HU" w:bidi="hu-HU"/>
        </w:rPr>
        <w:t>kezés közben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</w:t>
      </w:r>
      <w:r w:rsidR="00B107E6">
        <w:rPr>
          <w:rFonts w:eastAsia="Times New Roman"/>
          <w:snapToGrid/>
          <w:color w:val="000000"/>
          <w:szCs w:val="22"/>
          <w:lang w:val="hu-HU" w:eastAsia="hu-HU" w:bidi="hu-HU"/>
        </w:rPr>
        <w:t>ttól függetlenül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 bevehető. </w:t>
      </w:r>
    </w:p>
    <w:p w14:paraId="63685FC0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FDF9772" w14:textId="3DCC5868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AUC-értéke dózisarányosan növekedett. A dózisarányosságot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24h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vonatkozásában nem állapították meg (a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dózisarányosságnál enyhén nagyobb mértékben nőtt, és a C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24h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dózisarányosságnál enyhén kisebb mértékben nőtt).</w:t>
      </w:r>
    </w:p>
    <w:p w14:paraId="270DDD32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FC1C2FC" w14:textId="362E3E04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Eloszlás</w:t>
      </w:r>
    </w:p>
    <w:p w14:paraId="57621DD4" w14:textId="08B9C44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Egészséges emberekn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él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dózisának intravénás beadását követően az átlagos elosztási térfogat egyensúlyi állapotban hozzávetőleg 19</w:t>
      </w:r>
      <w:r w:rsidR="003E2E56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8 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liter.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plazmafehérjékhez reverzibilisen kötődő része alacsony (38%).</w:t>
      </w:r>
    </w:p>
    <w:p w14:paraId="3DA98AC3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A1F3783" w14:textId="59EB946A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Biotranszformáció</w:t>
      </w:r>
      <w:proofErr w:type="spellEnd"/>
    </w:p>
    <w:p w14:paraId="4AA19333" w14:textId="77777777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változatlan formában a vizelettel ürül, a metabolizmus kevésbé jellemző.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hozzávetőleg 79%-a ürül változatlan formában a vizelettel.</w:t>
      </w:r>
    </w:p>
    <w:p w14:paraId="434E868E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398F9F9" w14:textId="4AC4720D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14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F21E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pal </w:t>
      </w:r>
      <w:r w:rsidR="007953AB">
        <w:rPr>
          <w:rFonts w:eastAsia="Times New Roman"/>
          <w:snapToGrid/>
          <w:color w:val="000000"/>
          <w:szCs w:val="22"/>
          <w:lang w:val="hu-HU" w:eastAsia="hu-HU" w:bidi="hu-HU"/>
        </w:rPr>
        <w:t>jelölt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orális bevételét követően a radioaktivitás hozzávetőleg 16%-a ürült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metabolitjaként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Hat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metabolitot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tudtak nyomokban kimutatni, melyek várhatóan nem járulnak hozzá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DPP-4-gátló tevékenységéhez. Az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szerint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limitált metabolizmusáért felelős fő enzim a CYP3A4 volt a CYP2C8 közreműködésével.</w:t>
      </w:r>
    </w:p>
    <w:p w14:paraId="534ED6A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EBA9542" w14:textId="60EC3203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gátolja a CYP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izoenzimeket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(CYP3A4, 2C8, 2C9, 2D6, 1A2, 2C19 vagy 2B6), és nem indukálja a CYP3A4-et</w:t>
      </w:r>
      <w:r w:rsidR="002F1936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valamint a CYP1A2-t.</w:t>
      </w:r>
    </w:p>
    <w:p w14:paraId="5848F9FD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6FCC99D" w14:textId="429E91B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Elimináció</w:t>
      </w:r>
    </w:p>
    <w:p w14:paraId="4ACF4E32" w14:textId="44426E09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vertAlign w:val="superscript"/>
          <w:lang w:val="hu-HU" w:eastAsia="hu-HU" w:bidi="hu-HU"/>
        </w:rPr>
        <w:t>14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="00F21E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pal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jelölt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egészséges résztvevőknek történő orális beadását követően az alkalmazott radioaktivitás megközelítőleg 100%-a ürült a széklettel (13%) vagy vizelettel (87%) a dózis beadását követő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héten belül.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-os orális dózisát követő látszólagos terminális t</w:t>
      </w:r>
      <w:r w:rsidRPr="00C011E4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 xml:space="preserve">1/2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hozzávetőleg 12,4 óra volt.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többszörös dózisok esetén csak minimális mértékben halmozódik fel.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megközelítőleg 350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volt.</w:t>
      </w:r>
    </w:p>
    <w:p w14:paraId="7D67F28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DF7BCEB" w14:textId="137BD75D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a vesén keresztül ürül, aktív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tubuláris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szekrécióval.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humán organikus aniontranszporter-3 (hOAT-3)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mely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kiválasztódásában játszhat szerepet. A hOAT-3 klinikai jelentőségét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-transzport terén még nem állapították meg.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egyben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kiválasztódásában esetlegesen közvetítőszerepet játszó p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is.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-inhibitornak minősülő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azonban nem csökkentette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renális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clearance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-ét.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szubsztrátja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OCT2 vagy OAT1, illetve a PEPT1/2 transzportereknek.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 vitro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gátolta az OAT3 (IC</w:t>
      </w:r>
      <w:r w:rsidRPr="00E70CED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50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=160</w:t>
      </w:r>
      <w:r w:rsidR="006F2C8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µ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M) vagy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(legfeljebb 250</w:t>
      </w:r>
      <w:r w:rsidR="006F2C8B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µ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M) által közvetített transzportot a kezelés szempontjából releváns plazmakoncentrációban. Egy klinikai vizsgálatban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csekély mértékben befolyásolta a plazma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digoxin</w:t>
      </w:r>
      <w:proofErr w:type="spellEnd"/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koncentráció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já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t, mely azt jelzi, hogy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p-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glikoproteint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enyhén gátolhatja.</w:t>
      </w:r>
    </w:p>
    <w:p w14:paraId="6F2222BD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417344C" w14:textId="000F89B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Különleges betegcsoportok</w:t>
      </w:r>
    </w:p>
    <w:p w14:paraId="393E38E7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általában véve hasonló volt az egészséges alanyok és a 2-es típusú diabetesben szenvedő betegek esetében.</w:t>
      </w:r>
    </w:p>
    <w:p w14:paraId="6E1E1B6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319C1F9" w14:textId="0B9BABE5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2E332EF2" w14:textId="0965F39B" w:rsidR="00687523" w:rsidRPr="00C011E4" w:rsidRDefault="00687523" w:rsidP="00C34EFD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nyílt elrendezésű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egyszeri </w:t>
      </w:r>
      <w:r w:rsidR="000D4E34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alkalmazó vizsgálatot folytattak a csökkentett dózisú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farmakokinetikájának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értékelése céljából, különböző fokú krónikus vesekárosodásban szenvedő betegek és egészséges kontrollalanyok összehasonlításával. A vizsgálatot enyhe, közepesen súlyos és súlyos vesekárosodásban, valamint végstádiumú vesebetegségben (ESRD)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hemodialízisre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szoruló betegekkel folytatták. Ezen kívül populációs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elemzésekkel értékelték a vesekárosodás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gyakorolt hatását a 2-es típusú diabetesben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és enyhe, közepesen súlyos vagy súlyos vesekárosodásban (beleértve az ESRD-t is) szenvedő betegeknél.</w:t>
      </w:r>
    </w:p>
    <w:p w14:paraId="7B37FA08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C9CCA4F" w14:textId="273F255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egészséges kontrollalanyokhoz képest az enyhe vesekárosodásban szenvedő betegeknél (GFR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lang w:val="hu-HU"/>
        </w:rPr>
        <w:t>≥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60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90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AUC-értéke hozzávetőleg 1,2-szeresére, míg a közepesen súlyos vesekárosodásban szenvedő betegeknél (GFR </w:t>
      </w:r>
      <w:r w:rsidRPr="00C011E4">
        <w:rPr>
          <w:lang w:val="hu-HU"/>
        </w:rPr>
        <w:t>≥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45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 60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/perc) hozzávetőleg 1,6-szeresére emelkedett. Mivel az ilyen mértékű emelkedés klinikailag nem jelentős, ezeknél a betegeknél nincs szükség a dózis módosítására.</w:t>
      </w:r>
    </w:p>
    <w:p w14:paraId="16ABF137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60A3515" w14:textId="737B6092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közepesen súlyos vesekárosodásban szenvedő betegeknél (GFR </w:t>
      </w:r>
      <w:r w:rsidRPr="00C011E4">
        <w:rPr>
          <w:lang w:val="hu-HU"/>
        </w:rPr>
        <w:t>≥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30 –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 45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plazma AUC-értéke hozzávetőleg 2-szeresére, míg a súlyos vesekárosodásban szenvedő betegeknél (GFR </w:t>
      </w:r>
      <w:proofErr w:type="gramStart"/>
      <w:r w:rsidRPr="00C011E4">
        <w:rPr>
          <w:lang w:val="hu-HU"/>
        </w:rPr>
        <w:t>&lt;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30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/perc), beleértve az ESRD-ben szenvedő,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hemodialízisre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szoruló betegeket is, hozzávetőleg 4-szeresére emelkedett.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közepes mértékben volt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útján eltávolítható (13,5% egy 3-4 órás, 4 órával a bevételt követően megkezdett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hemodialízis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-kezelés során). A normál vesef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u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nkciójú betegeknél megfigyeltekhez hasonló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-plazmakoncentrációk eléréséhez </w:t>
      </w:r>
      <w:r w:rsidR="00CB06CA">
        <w:rPr>
          <w:rFonts w:eastAsia="Times New Roman"/>
          <w:snapToGrid/>
          <w:color w:val="000000"/>
          <w:szCs w:val="22"/>
          <w:lang w:val="hu-HU" w:eastAsia="hu-HU" w:bidi="hu-HU"/>
        </w:rPr>
        <w:t>kisebb</w:t>
      </w:r>
      <w:r w:rsidR="00CB06CA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dózisok javasoltak a </w:t>
      </w:r>
      <w:proofErr w:type="gram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655795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proofErr w:type="gramEnd"/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/perc GFR</w:t>
      </w:r>
      <w:r w:rsidR="00C3456F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értékkel rendelkező betegeknél (lásd 4.2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B87FC1C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70A32E2F" w14:textId="5E15F5EA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3F2FACD2" w14:textId="41B006D3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Az enyhe vagy közepesen súlyos májkárosodásban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Child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 </w:t>
      </w:r>
      <w:r w:rsidRPr="00C011E4">
        <w:rPr>
          <w:lang w:val="hu-HU"/>
        </w:rPr>
        <w:t>≤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9) szenvedő betegek esetében nincs szükség a </w:t>
      </w:r>
      <w:proofErr w:type="spellStart"/>
      <w:r w:rsidR="0022634E">
        <w:rPr>
          <w:rFonts w:eastAsia="Times New Roman"/>
          <w:snapToGrid/>
          <w:color w:val="000000"/>
          <w:szCs w:val="22"/>
          <w:lang w:val="hu-HU" w:eastAsia="hu-HU" w:bidi="hu-HU"/>
        </w:rPr>
        <w:t>Jazeta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dózismódosítására. Súlyos májkárosodásban (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Child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érték &gt;9) szenvedő betegeket illetően nem áll rendelkezésre klinikai tapasztalat. Mivel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elsősorban a vesén keresztül ürül ki, a súlyos májkárosodás várhatóan nem befolyásolja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A42B186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305D5EC" w14:textId="3C88AF55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</w:t>
      </w:r>
      <w:r w:rsidR="002834F6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</w:t>
      </w: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</w:t>
      </w:r>
    </w:p>
    <w:p w14:paraId="31EC8C36" w14:textId="195DF7C9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Nincs szükség az életkor függvényében történő dózismódosításra. Az I. és II. fázisú adatokra támaszkodó populációs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analízis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életkor nem befolyásolta jelentős mértékben. A fiatalabb résztvevőkkel összehasonlítva, az idős (65–80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es) résztvevők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plazmakoncentrációja hozzávetőleg 19%-kal volt magasabb.</w:t>
      </w:r>
    </w:p>
    <w:p w14:paraId="1D7765D4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ACBC669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56879F55" w14:textId="28196FF0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(50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,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200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egyszeri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farmakokinetikáját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2-es típusú diabetesben szenvedő </w:t>
      </w:r>
      <w:r w:rsidRPr="00841F19">
        <w:rPr>
          <w:rFonts w:eastAsia="Times New Roman"/>
          <w:snapToGrid/>
          <w:color w:val="000000"/>
          <w:szCs w:val="22"/>
          <w:lang w:val="hu-HU" w:eastAsia="hu-HU" w:bidi="hu-HU"/>
        </w:rPr>
        <w:t>10</w:t>
      </w:r>
      <w:r w:rsidR="00841F19" w:rsidRPr="00841F1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41F19" w:rsidRPr="00841F19">
        <w:rPr>
          <w:noProof/>
          <w:szCs w:val="22"/>
          <w:lang w:val="hu-HU"/>
        </w:rPr>
        <w:t>és</w:t>
      </w:r>
      <w:r w:rsidR="00841F19">
        <w:rPr>
          <w:noProof/>
          <w:szCs w:val="22"/>
          <w:lang w:val="hu-HU"/>
        </w:rPr>
        <w:t xml:space="preserve"> betöltött</w:t>
      </w:r>
      <w:r w:rsidR="00841F19" w:rsidRPr="00832710">
        <w:rPr>
          <w:noProof/>
          <w:szCs w:val="22"/>
          <w:lang w:val="hu-HU"/>
        </w:rPr>
        <w:t> 1</w:t>
      </w:r>
      <w:r w:rsidR="00841F19">
        <w:rPr>
          <w:noProof/>
          <w:szCs w:val="22"/>
          <w:lang w:val="hu-HU"/>
        </w:rPr>
        <w:t>8</w:t>
      </w:r>
      <w:r w:rsidR="000A74EC">
        <w:rPr>
          <w:noProof/>
          <w:szCs w:val="22"/>
          <w:lang w:val="hu-HU"/>
        </w:rPr>
        <w:t>.</w:t>
      </w:r>
      <w:r w:rsidR="00841F19" w:rsidRPr="00832710">
        <w:rPr>
          <w:noProof/>
          <w:szCs w:val="22"/>
          <w:lang w:val="hu-HU"/>
        </w:rPr>
        <w:t> </w:t>
      </w:r>
      <w:r w:rsidR="00841F19">
        <w:rPr>
          <w:noProof/>
          <w:szCs w:val="22"/>
          <w:lang w:val="hu-HU"/>
        </w:rPr>
        <w:t>élet</w:t>
      </w:r>
      <w:r w:rsidR="00841F19" w:rsidRPr="00832710">
        <w:rPr>
          <w:noProof/>
          <w:szCs w:val="22"/>
          <w:lang w:val="hu-HU"/>
        </w:rPr>
        <w:t>év</w:t>
      </w:r>
      <w:r w:rsidR="00841F19">
        <w:rPr>
          <w:noProof/>
          <w:szCs w:val="22"/>
          <w:lang w:val="hu-HU"/>
        </w:rPr>
        <w:t xml:space="preserve"> közötti életkorú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gyermekeknél és serdülőknél vizsgálták. E populációban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-dózishoz igazított plazma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AUC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értéke hozzávetőleg 18%-kal alacsonyabb volt a 2-es típusú diabeteses felnőtteknél alkalmazott 100</w:t>
      </w:r>
      <w:r w:rsidR="00A60BB4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-os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mellett megfigyelthez képest. </w:t>
      </w:r>
      <w:r w:rsidR="002834F6">
        <w:rPr>
          <w:rFonts w:eastAsia="Times New Roman"/>
          <w:snapToGrid/>
          <w:color w:val="000000"/>
          <w:szCs w:val="22"/>
          <w:lang w:val="hu-HU" w:eastAsia="hu-HU" w:bidi="hu-HU"/>
        </w:rPr>
        <w:t>Ez nem tekinthető klinikailag jelentős különbségnek a felnőttekkel összehasonlítva, az 50 mg-os és a 100 mg-os dózisok közti kapcsolat lapos PK/PD görbéje alapján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 10</w:t>
      </w:r>
      <w:r w:rsidR="006E3747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gyermekeknél nem végeztek vizsgálatokat</w:t>
      </w:r>
      <w:r w:rsidR="0089279E" w:rsidRPr="0089279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9279E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89279E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89279E"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szitagliptinnel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3AFABBA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BF85D04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Egyéb betegcsoportok</w:t>
      </w:r>
    </w:p>
    <w:p w14:paraId="721533D3" w14:textId="77777777" w:rsidR="00687523" w:rsidRPr="00C011E4" w:rsidRDefault="00687523" w:rsidP="0068752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Nincs szükség a nem, rassz vagy testtömegindex (BMI) szerinti dózismódosításra. Az I. fázisú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adatok összesített analízise, valamint az I. és II. fázisú adatok populációs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farmakokinetikai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analízise alapján a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>farmakokinetikájára</w:t>
      </w:r>
      <w:proofErr w:type="spellEnd"/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ezen tényezők nem voltak klinikailag jelentős hatással.</w:t>
      </w:r>
    </w:p>
    <w:p w14:paraId="63E67CDC" w14:textId="77777777" w:rsidR="00F45C51" w:rsidRPr="00C011E4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C50EDCC" w14:textId="6589F2BF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7BF77D5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4D01E1" w14:textId="02F0F900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C011E4">
        <w:rPr>
          <w:rFonts w:eastAsia="Times New Roman"/>
          <w:snapToGrid/>
          <w:szCs w:val="22"/>
          <w:lang w:val="hu-HU" w:eastAsia="hu-HU" w:bidi="hu-HU"/>
        </w:rPr>
        <w:t>rágcsálókn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humán szisztémás expozíciós szint 58-szorosánál vese- és májtoxicitást figyeltek meg, míg a hatással nem rendelkező dózisszint a humán expozíciós szint 19-szerese volt. A patkányokn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klinikai expozíciós szint 67-szerese mellett metszőfog-rendellenességeket figyeltek meg. A patkányok</w:t>
      </w:r>
      <w:r w:rsidR="002834F6">
        <w:rPr>
          <w:rFonts w:eastAsia="Times New Roman"/>
          <w:snapToGrid/>
          <w:szCs w:val="22"/>
          <w:lang w:val="hu-HU" w:eastAsia="hu-HU" w:bidi="hu-HU"/>
        </w:rPr>
        <w:t>kal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végzett 14 hetes vizsgálat alapján e megfigyelés esetében a hatással nem rendelkező dózisszint 58-szoros volt. Nem ismert, hogy e megfigyelések milyen mértékben vonatkoznak az emberre. A kutyákn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klinikai expozíciós szint hozzávetőleg 23-szorosánál a kezeléssel összefüggő, múló fizikai tüneteket figyeltek meg, melyek közül néhány neurológiai toxicitásra utal, például: nyitott szájjal történő lélegzés, nyálzás, fehér habszerű hányás,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ataxia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, remegés, csökkent aktivitás és/vagy összegömbölyödött testtartás. Továbbá, olyan dózisok mellett, melyek a humán expozíciós szint hozzávetőleg 23-szorosának megfelelő szisztémás expozíciós szintet </w:t>
      </w:r>
      <w:r w:rsidRPr="00C011E4">
        <w:rPr>
          <w:rFonts w:eastAsia="Times New Roman"/>
          <w:snapToGrid/>
          <w:szCs w:val="22"/>
          <w:lang w:val="hu-HU" w:eastAsia="hu-HU" w:bidi="hu-HU"/>
        </w:rPr>
        <w:lastRenderedPageBreak/>
        <w:t xml:space="preserve">eredményeztek,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szövettanilag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minimális vagy enyhe mértékű vázizom-degenerációt észleltek. Az ilyen hatással már nem rendelkező dózisszint a klinikai expozíciós szint 6-szorosa volt.</w:t>
      </w:r>
    </w:p>
    <w:p w14:paraId="09F8EDFB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C4DEC54" w14:textId="5F34BD58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preklinikai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vizsgálatok során nem bizonyult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genotoxikusnak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.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egerek</w:t>
      </w:r>
      <w:r w:rsidR="002834F6">
        <w:rPr>
          <w:rFonts w:eastAsia="Times New Roman"/>
          <w:snapToGrid/>
          <w:szCs w:val="22"/>
          <w:lang w:val="hu-HU" w:eastAsia="hu-HU" w:bidi="hu-HU"/>
        </w:rPr>
        <w:t xml:space="preserve"> eseté</w:t>
      </w:r>
      <w:r w:rsidRPr="00C011E4">
        <w:rPr>
          <w:rFonts w:eastAsia="Times New Roman"/>
          <w:snapToGrid/>
          <w:szCs w:val="22"/>
          <w:lang w:val="hu-HU" w:eastAsia="hu-HU" w:bidi="hu-HU"/>
        </w:rPr>
        <w:t>ben nem volt karcinogén. Patkányokn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humán expozíciós szint 58-szorosa mellett megnövekedett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májadenoma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és -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karcinoma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előfordulási gyakorisága. Mivel kimutatták, hogy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hepatotoxicitás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patkányok esetében korrelációt mutat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hepatikus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neopláziák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kialakulásával, a májtumorok ezen megnövekedett előfordulási aránya nagy valószínűséggel az ilyen </w:t>
      </w:r>
      <w:r w:rsidR="003D18AA">
        <w:rPr>
          <w:rFonts w:eastAsia="Times New Roman"/>
          <w:snapToGrid/>
          <w:szCs w:val="22"/>
          <w:lang w:val="hu-HU" w:eastAsia="hu-HU" w:bidi="hu-HU"/>
        </w:rPr>
        <w:t>nagy</w:t>
      </w:r>
      <w:r w:rsidR="003D18AA" w:rsidRPr="00C011E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dózisnál fellépő krónikus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hepatotoxicitás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következménye. A magas biztonságossági küszöb (ennek a hatással nem rendelkező dózisszintnek a 19-szerese) miatt e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neoplasztikus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elváltozások emberek vonatkozásában nem tekintendőek relevánsnak.</w:t>
      </w:r>
    </w:p>
    <w:p w14:paraId="60990282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4703951" w14:textId="2DCE5B80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Nem figyeltek meg a termékenységre gyakorolt nemkívánatos hatást, ha a hím és nőstény patkányoknak a párzási időszak előtt és közben adtak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>.</w:t>
      </w:r>
    </w:p>
    <w:p w14:paraId="10B51D95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053BA5B" w14:textId="69021A3A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Egy a patkányok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pre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- és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posztnatális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fejlődésére irányuló vizsgálatban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nem okozott nemkívánatos hatásokat.</w:t>
      </w:r>
    </w:p>
    <w:p w14:paraId="216A7D26" w14:textId="77777777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7211E69" w14:textId="6A427E13" w:rsidR="00D57530" w:rsidRPr="00C011E4" w:rsidRDefault="00D57530" w:rsidP="00D57530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C011E4">
        <w:rPr>
          <w:rFonts w:eastAsia="Times New Roman"/>
          <w:snapToGrid/>
          <w:szCs w:val="22"/>
          <w:lang w:val="hu-HU" w:eastAsia="hu-HU" w:bidi="hu-HU"/>
        </w:rPr>
        <w:t xml:space="preserve">A reproduktív toxicitási vizsgálatok a kezeléssel összefüggő magzati borda-rendellenességek (hiányzó,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hypoplasiás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és lengőbordák) előfordulásának enyhe növekedését mutatták patkányok utódain</w:t>
      </w:r>
      <w:r w:rsidR="002834F6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>, a humán expozíciós szint 29-szeresét meghaladó szisztémás expozíciós szintnél. Nyulakn</w:t>
      </w:r>
      <w:r w:rsidR="004153EE">
        <w:rPr>
          <w:rFonts w:eastAsia="Times New Roman"/>
          <w:snapToGrid/>
          <w:szCs w:val="22"/>
          <w:lang w:val="hu-HU" w:eastAsia="hu-HU" w:bidi="hu-HU"/>
        </w:rPr>
        <w:t>ál</w:t>
      </w:r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anyai toxicitást figyeltek meg a humán expozíciós szint több mint 29-szeresénél. A magas biztonságossági határértékek miatt e megfigyelések nem utalnak hasonló kockázatra az emberi reprodukció terén. A </w:t>
      </w:r>
      <w:proofErr w:type="spellStart"/>
      <w:r w:rsidRPr="00C011E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C011E4">
        <w:rPr>
          <w:rFonts w:eastAsia="Times New Roman"/>
          <w:snapToGrid/>
          <w:szCs w:val="22"/>
          <w:lang w:val="hu-HU" w:eastAsia="hu-HU" w:bidi="hu-HU"/>
        </w:rPr>
        <w:t xml:space="preserve"> a laktáló patkányok tejébe jelentős mértékben kiválasztódott (tej/plazma arány: 4:1).</w:t>
      </w:r>
    </w:p>
    <w:p w14:paraId="1205A001" w14:textId="6581BCA6" w:rsidR="00F45C51" w:rsidRDefault="00F45C51" w:rsidP="00082A8E">
      <w:pPr>
        <w:spacing w:line="240" w:lineRule="auto"/>
        <w:rPr>
          <w:lang w:val="hu-HU"/>
        </w:rPr>
      </w:pPr>
    </w:p>
    <w:p w14:paraId="3D2F1594" w14:textId="77777777" w:rsidR="004153EE" w:rsidRPr="00C011E4" w:rsidRDefault="004153EE" w:rsidP="00082A8E">
      <w:pPr>
        <w:spacing w:line="240" w:lineRule="auto"/>
        <w:rPr>
          <w:lang w:val="hu-HU"/>
        </w:rPr>
      </w:pPr>
    </w:p>
    <w:p w14:paraId="7CD80D51" w14:textId="496754CD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783DD28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8C7FD67" w14:textId="0B614E5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B514942" w14:textId="77777777" w:rsidR="00F45C51" w:rsidRPr="00C011E4" w:rsidRDefault="00F45C51" w:rsidP="008D1D9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42FF24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Tablettamag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5443067B" w14:textId="4FCDF14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k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alcium-hidrogén-foszfát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2A5C8702" w14:textId="0894B4C6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ikrokristályos cellulóz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3AB427E7" w14:textId="12C21B2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070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k</w:t>
      </w:r>
      <w:r w:rsidR="008D1D92" w:rsidRPr="00C011E4">
        <w:rPr>
          <w:rFonts w:eastAsia="Times New Roman"/>
          <w:snapToGrid/>
          <w:szCs w:val="22"/>
          <w:lang w:val="hu-HU" w:eastAsia="en-US"/>
        </w:rPr>
        <w:t>roszkarmellóz</w:t>
      </w:r>
      <w:proofErr w:type="spellEnd"/>
      <w:r w:rsidR="008D1D92" w:rsidRPr="00C011E4">
        <w:rPr>
          <w:rFonts w:eastAsia="Times New Roman"/>
          <w:snapToGrid/>
          <w:szCs w:val="22"/>
          <w:lang w:val="hu-HU" w:eastAsia="en-US"/>
        </w:rPr>
        <w:t>-nátrium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5F5942CB" w14:textId="74E7BF9D" w:rsidR="004153EE" w:rsidRDefault="004153EE" w:rsidP="00E70CED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n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átrium-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="008D1D92" w:rsidRPr="00C011E4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>
        <w:rPr>
          <w:rFonts w:eastAsia="Times New Roman"/>
          <w:snapToGrid/>
          <w:szCs w:val="22"/>
          <w:lang w:val="hu-HU" w:eastAsia="en-US"/>
        </w:rPr>
        <w:t>;</w:t>
      </w:r>
    </w:p>
    <w:p w14:paraId="2C6B8A08" w14:textId="466E3722" w:rsidR="008D1D92" w:rsidRPr="00C011E4" w:rsidRDefault="004153EE" w:rsidP="00E70CED">
      <w:pPr>
        <w:widowControl w:val="0"/>
        <w:tabs>
          <w:tab w:val="clear" w:pos="567"/>
          <w:tab w:val="left" w:pos="3402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agnézium-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sztearát</w:t>
      </w:r>
      <w:proofErr w:type="spellEnd"/>
      <w:r>
        <w:rPr>
          <w:rFonts w:eastAsia="Times New Roman"/>
          <w:snapToGrid/>
          <w:szCs w:val="22"/>
          <w:lang w:val="hu-HU" w:eastAsia="en-US"/>
        </w:rPr>
        <w:t>.</w:t>
      </w:r>
    </w:p>
    <w:p w14:paraId="23BB85E8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 w:val="16"/>
          <w:szCs w:val="22"/>
          <w:lang w:val="hu-HU" w:eastAsia="en-US"/>
        </w:rPr>
      </w:pPr>
    </w:p>
    <w:p w14:paraId="6C0CCCA7" w14:textId="5A0D9128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u w:val="single"/>
          <w:lang w:val="hu-HU" w:eastAsia="en-US"/>
        </w:rPr>
        <w:t>Filmbevonat</w:t>
      </w:r>
      <w:r w:rsidRPr="00C011E4">
        <w:rPr>
          <w:rFonts w:eastAsia="Times New Roman"/>
          <w:snapToGrid/>
          <w:szCs w:val="22"/>
          <w:lang w:val="hu-HU" w:eastAsia="en-US"/>
        </w:rPr>
        <w:t>:</w:t>
      </w:r>
    </w:p>
    <w:p w14:paraId="4214056C" w14:textId="05B17A6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p</w:t>
      </w:r>
      <w:r w:rsidR="008D1D92" w:rsidRPr="00C011E4">
        <w:rPr>
          <w:rFonts w:eastAsia="Times New Roman"/>
          <w:snapToGrid/>
          <w:szCs w:val="22"/>
          <w:lang w:val="hu-HU" w:eastAsia="en-US"/>
        </w:rPr>
        <w:t>oli</w:t>
      </w:r>
      <w:proofErr w:type="spellEnd"/>
      <w:r w:rsidR="00133F1C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8D1D92" w:rsidRPr="00C011E4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="008D1D92" w:rsidRPr="00C011E4">
        <w:rPr>
          <w:rFonts w:eastAsia="Times New Roman"/>
          <w:snapToGrid/>
          <w:szCs w:val="22"/>
          <w:lang w:val="hu-HU" w:eastAsia="en-US"/>
        </w:rPr>
        <w:t>-alkohol</w:t>
      </w:r>
      <w:r w:rsidR="00133F1C">
        <w:rPr>
          <w:rFonts w:eastAsia="Times New Roman"/>
          <w:snapToGrid/>
          <w:szCs w:val="22"/>
          <w:lang w:val="hu-HU" w:eastAsia="en-US"/>
        </w:rPr>
        <w:t>)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1520E9A9" w14:textId="0C1167A9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itán-dioxid (E171)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2AB0C1AD" w14:textId="04B1BCFB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m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akrogol</w:t>
      </w:r>
      <w:proofErr w:type="spellEnd"/>
      <w:r w:rsidR="003E7416">
        <w:rPr>
          <w:rFonts w:eastAsia="Times New Roman"/>
          <w:snapToGrid/>
          <w:szCs w:val="22"/>
          <w:lang w:val="hu-HU" w:eastAsia="en-US"/>
        </w:rPr>
        <w:t xml:space="preserve"> </w:t>
      </w:r>
      <w:r w:rsidR="008D26D3">
        <w:rPr>
          <w:rFonts w:eastAsia="Times New Roman"/>
          <w:snapToGrid/>
          <w:szCs w:val="22"/>
          <w:lang w:val="hu-HU" w:eastAsia="en-US"/>
        </w:rPr>
        <w:t>3350</w:t>
      </w:r>
      <w:r w:rsidR="00133F1C">
        <w:rPr>
          <w:rFonts w:eastAsia="Times New Roman"/>
          <w:snapToGrid/>
          <w:szCs w:val="22"/>
          <w:lang w:val="hu-HU" w:eastAsia="en-US"/>
        </w:rPr>
        <w:t>;</w:t>
      </w:r>
    </w:p>
    <w:p w14:paraId="5A02D60C" w14:textId="51B08C5D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t</w:t>
      </w:r>
      <w:r w:rsidR="008D1D92" w:rsidRPr="00C011E4">
        <w:rPr>
          <w:rFonts w:eastAsia="Times New Roman"/>
          <w:snapToGrid/>
          <w:szCs w:val="22"/>
          <w:lang w:val="hu-HU" w:eastAsia="en-US"/>
        </w:rPr>
        <w:t>alkum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39DA8026" w14:textId="7D05AE8A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s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árga vas-oxid (E172)</w:t>
      </w:r>
      <w:r>
        <w:rPr>
          <w:rFonts w:eastAsia="Times New Roman"/>
          <w:snapToGrid/>
          <w:szCs w:val="22"/>
          <w:lang w:val="hu-HU" w:eastAsia="en-US"/>
        </w:rPr>
        <w:t>;</w:t>
      </w:r>
    </w:p>
    <w:p w14:paraId="0E72F9F7" w14:textId="5E05CD68" w:rsidR="008D1D92" w:rsidRPr="00C011E4" w:rsidRDefault="004153EE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v</w:t>
      </w:r>
      <w:r w:rsidR="008D1D92" w:rsidRPr="00C011E4">
        <w:rPr>
          <w:rFonts w:eastAsia="Times New Roman"/>
          <w:snapToGrid/>
          <w:szCs w:val="22"/>
          <w:lang w:val="hu-HU" w:eastAsia="en-US"/>
        </w:rPr>
        <w:t>örös vas-oxid (E172)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06F0F524" w14:textId="77777777" w:rsidR="00F45C51" w:rsidRPr="00C011E4" w:rsidRDefault="00F45C51" w:rsidP="008D1D9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F92ADD" w14:textId="477ACAD0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2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45EE4761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351C64" w14:textId="48516F72" w:rsidR="00F45C51" w:rsidRPr="00C011E4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Nem értelmezhető</w:t>
      </w:r>
      <w:r w:rsidR="008D1D92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0C09F9A" w14:textId="77777777" w:rsidR="00F45C51" w:rsidRPr="00C011E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48B7A3E5" w14:textId="7FBBC814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3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481776EF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FBCE54" w14:textId="7F602BD0" w:rsidR="00077267" w:rsidRPr="00C011E4" w:rsidRDefault="007B6547" w:rsidP="008D1D92">
      <w:pPr>
        <w:spacing w:line="240" w:lineRule="auto"/>
        <w:rPr>
          <w:i/>
          <w:iCs/>
          <w:lang w:val="hu-HU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>2</w:t>
      </w:r>
      <w:r w:rsidR="006E3747" w:rsidRPr="00C011E4">
        <w:rPr>
          <w:rFonts w:eastAsia="Times New Roman"/>
          <w:noProof/>
          <w:snapToGrid/>
          <w:szCs w:val="22"/>
          <w:lang w:val="hu-HU" w:eastAsia="en-US"/>
        </w:rPr>
        <w:t> év</w:t>
      </w:r>
    </w:p>
    <w:p w14:paraId="2227472E" w14:textId="77777777" w:rsidR="00077267" w:rsidRPr="00C011E4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E2814F" w14:textId="72E96EE5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4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787861F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3EEE326" w14:textId="77777777" w:rsidR="008D1D92" w:rsidRPr="00C011E4" w:rsidRDefault="008D1D92" w:rsidP="008D1D92">
      <w:pPr>
        <w:widowControl w:val="0"/>
        <w:autoSpaceDE w:val="0"/>
        <w:autoSpaceDN w:val="0"/>
        <w:spacing w:line="240" w:lineRule="auto"/>
        <w:ind w:right="686"/>
        <w:jc w:val="both"/>
        <w:rPr>
          <w:rFonts w:eastAsia="Times New Roman"/>
          <w:lang w:val="hu-HU"/>
        </w:rPr>
      </w:pPr>
      <w:r w:rsidRPr="00C011E4">
        <w:rPr>
          <w:rFonts w:eastAsia="Times New Roman"/>
          <w:lang w:val="hu-HU"/>
        </w:rPr>
        <w:t>Ez a gyógyszer nem igényel különleges tárolást.</w:t>
      </w:r>
    </w:p>
    <w:p w14:paraId="197C9D0D" w14:textId="77777777" w:rsidR="00077267" w:rsidRPr="00C011E4" w:rsidRDefault="00077267" w:rsidP="00082A8E">
      <w:pPr>
        <w:spacing w:line="240" w:lineRule="auto"/>
        <w:rPr>
          <w:lang w:val="hu-HU"/>
        </w:rPr>
      </w:pPr>
    </w:p>
    <w:p w14:paraId="400B7606" w14:textId="21966D9D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</w:t>
      </w:r>
      <w:r w:rsidR="00D57530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5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71F870FA" w14:textId="77777777" w:rsidR="008D1D92" w:rsidRPr="00C011E4" w:rsidRDefault="008D1D92" w:rsidP="00C34EFD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</w:p>
    <w:p w14:paraId="3E5349A9" w14:textId="271BA3A4" w:rsidR="008D1D92" w:rsidRDefault="008D1D92" w:rsidP="00C34E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E23F6">
        <w:rPr>
          <w:rFonts w:eastAsia="Times New Roman"/>
          <w:snapToGrid/>
          <w:szCs w:val="22"/>
          <w:lang w:val="hu-HU" w:eastAsia="en-US"/>
        </w:rPr>
        <w:t>14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Pr="007E23F6">
        <w:rPr>
          <w:rFonts w:eastAsia="Times New Roman"/>
          <w:snapToGrid/>
          <w:szCs w:val="22"/>
          <w:lang w:val="hu-HU" w:eastAsia="en-US"/>
        </w:rPr>
        <w:t>, 28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Pr="007E23F6">
        <w:rPr>
          <w:rFonts w:eastAsia="Times New Roman"/>
          <w:snapToGrid/>
          <w:szCs w:val="22"/>
          <w:lang w:val="hu-HU" w:eastAsia="en-US"/>
        </w:rPr>
        <w:t>, 30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Pr="007E23F6">
        <w:rPr>
          <w:rFonts w:eastAsia="Times New Roman"/>
          <w:snapToGrid/>
          <w:szCs w:val="22"/>
          <w:lang w:val="hu-HU" w:eastAsia="en-US"/>
        </w:rPr>
        <w:t xml:space="preserve">, </w:t>
      </w:r>
      <w:r w:rsidR="00BB71F4" w:rsidRPr="00C34EFD">
        <w:rPr>
          <w:rFonts w:eastAsia="Times New Roman"/>
          <w:snapToGrid/>
          <w:szCs w:val="22"/>
          <w:lang w:val="hu-HU" w:eastAsia="en-US"/>
        </w:rPr>
        <w:t>56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="00BB71F4" w:rsidRPr="00C34EFD">
        <w:rPr>
          <w:rFonts w:eastAsia="Times New Roman"/>
          <w:snapToGrid/>
          <w:szCs w:val="22"/>
          <w:lang w:val="hu-HU" w:eastAsia="en-US"/>
        </w:rPr>
        <w:t xml:space="preserve">, </w:t>
      </w:r>
      <w:r w:rsidRPr="007E23F6">
        <w:rPr>
          <w:rFonts w:eastAsia="Times New Roman"/>
          <w:snapToGrid/>
          <w:szCs w:val="22"/>
          <w:lang w:val="hu-HU" w:eastAsia="en-US"/>
        </w:rPr>
        <w:t>98</w:t>
      </w:r>
      <w:r w:rsidR="007E23F6" w:rsidRPr="00C34EFD">
        <w:rPr>
          <w:rFonts w:eastAsia="Times New Roman"/>
          <w:snapToGrid/>
          <w:szCs w:val="22"/>
          <w:lang w:val="hu-HU" w:eastAsia="en-US"/>
        </w:rPr>
        <w:t> db</w:t>
      </w:r>
      <w:r w:rsidR="00BB71F4" w:rsidRPr="00C34EFD">
        <w:rPr>
          <w:rFonts w:eastAsia="Times New Roman"/>
          <w:snapToGrid/>
          <w:szCs w:val="22"/>
          <w:lang w:val="hu-HU" w:eastAsia="en-US"/>
        </w:rPr>
        <w:t xml:space="preserve"> </w:t>
      </w:r>
      <w:r w:rsidRPr="007E23F6">
        <w:rPr>
          <w:rFonts w:eastAsia="Times New Roman"/>
          <w:snapToGrid/>
          <w:szCs w:val="22"/>
          <w:lang w:val="hu-HU" w:eastAsia="en-US"/>
        </w:rPr>
        <w:t xml:space="preserve">filmtabletta </w:t>
      </w:r>
      <w:r w:rsidR="004006EB" w:rsidRPr="007E23F6">
        <w:rPr>
          <w:rFonts w:eastAsia="Times New Roman"/>
          <w:snapToGrid/>
          <w:szCs w:val="22"/>
          <w:lang w:val="hu-HU" w:eastAsia="en-US"/>
        </w:rPr>
        <w:t>átlátszatlan</w:t>
      </w:r>
      <w:r w:rsidRPr="007E23F6"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 w:rsidR="003D18AA"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="004153EE" w:rsidRPr="007E23F6">
        <w:rPr>
          <w:rFonts w:eastAsia="Times New Roman"/>
          <w:snapToGrid/>
          <w:szCs w:val="22"/>
          <w:lang w:val="hu-HU" w:eastAsia="en-US"/>
        </w:rPr>
        <w:t>A</w:t>
      </w:r>
      <w:r w:rsidRPr="007E23F6">
        <w:rPr>
          <w:rFonts w:eastAsia="Times New Roman"/>
          <w:snapToGrid/>
          <w:szCs w:val="22"/>
          <w:lang w:val="hu-HU" w:eastAsia="en-US"/>
        </w:rPr>
        <w:t>l</w:t>
      </w:r>
      <w:proofErr w:type="spellEnd"/>
      <w:r w:rsidR="000F4ED5"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 w:rsidR="004153EE" w:rsidRPr="000F4ED5">
        <w:rPr>
          <w:rFonts w:eastAsia="Times New Roman"/>
          <w:snapToGrid/>
          <w:szCs w:val="22"/>
          <w:lang w:val="hu-HU" w:eastAsia="en-US"/>
        </w:rPr>
        <w:t xml:space="preserve"> és </w:t>
      </w:r>
      <w:r w:rsidR="004153EE" w:rsidRPr="007E23F6">
        <w:rPr>
          <w:rFonts w:eastAsia="Times New Roman"/>
          <w:snapToGrid/>
          <w:szCs w:val="22"/>
          <w:lang w:val="hu-HU" w:eastAsia="en-US"/>
        </w:rPr>
        <w:t>dobozban.</w:t>
      </w:r>
    </w:p>
    <w:p w14:paraId="37FAF29E" w14:textId="014F774C" w:rsidR="00522B75" w:rsidRPr="007E23F6" w:rsidRDefault="00522B75" w:rsidP="00C34EFD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28 db, 56 db filmtabletta </w:t>
      </w:r>
      <w:r w:rsidR="007D59D3">
        <w:rPr>
          <w:rFonts w:eastAsia="Times New Roman"/>
          <w:snapToGrid/>
          <w:szCs w:val="22"/>
          <w:lang w:val="hu-HU" w:eastAsia="en-US"/>
        </w:rPr>
        <w:t xml:space="preserve">naptárjelzéses </w:t>
      </w:r>
      <w:r w:rsidRPr="00522B7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054A80B7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 w:val="18"/>
          <w:szCs w:val="22"/>
          <w:lang w:val="hu-HU" w:eastAsia="en-US"/>
        </w:rPr>
      </w:pPr>
    </w:p>
    <w:p w14:paraId="1638A01C" w14:textId="77777777" w:rsidR="008D1D92" w:rsidRPr="00C011E4" w:rsidRDefault="008D1D92" w:rsidP="008D1D92">
      <w:pPr>
        <w:widowControl w:val="0"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snapToGrid/>
          <w:szCs w:val="22"/>
          <w:lang w:val="hu-HU" w:eastAsia="en-US"/>
        </w:rPr>
      </w:pPr>
      <w:r w:rsidRPr="00C011E4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45AAEAD4" w14:textId="77777777" w:rsidR="00077267" w:rsidRPr="00C011E4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FFB3E3" w14:textId="7A0216F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6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621685">
        <w:rPr>
          <w:rFonts w:eastAsia="Times New Roman"/>
          <w:b/>
          <w:noProof/>
          <w:snapToGrid/>
          <w:szCs w:val="22"/>
          <w:lang w:val="hu-HU" w:eastAsia="en-US"/>
        </w:rPr>
        <w:t xml:space="preserve"> és egyéb, a készítmény kezelésével kapcsolatos információk</w:t>
      </w:r>
    </w:p>
    <w:p w14:paraId="14A4E262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3D954DE" w14:textId="59AF7685" w:rsidR="00F45C51" w:rsidRDefault="007B654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C011E4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C011E4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</w:t>
      </w:r>
      <w:r w:rsidR="008D1D92" w:rsidRPr="00C011E4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B62B704" w14:textId="5513E11B" w:rsidR="003D18AA" w:rsidRDefault="003D18AA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509AB9" w14:textId="77777777" w:rsidR="003D18AA" w:rsidRPr="00464ACD" w:rsidRDefault="003D18AA" w:rsidP="003D18AA">
      <w:pPr>
        <w:suppressAutoHyphens/>
        <w:ind w:left="1"/>
        <w:rPr>
          <w:lang w:val="hu-HU" w:eastAsia="ar-SA"/>
        </w:rPr>
      </w:pPr>
      <w:r w:rsidRPr="00464ACD">
        <w:rPr>
          <w:b/>
          <w:lang w:val="hu-HU" w:eastAsia="ar-SA"/>
        </w:rPr>
        <w:t>Megjegyzés</w:t>
      </w:r>
      <w:r w:rsidRPr="00D07B2B">
        <w:rPr>
          <w:b/>
          <w:lang w:val="hu-HU" w:eastAsia="ar-SA"/>
        </w:rPr>
        <w:t>:</w:t>
      </w:r>
      <w:r w:rsidRPr="00D07B2B">
        <w:rPr>
          <w:lang w:val="hu-HU" w:eastAsia="ar-SA"/>
        </w:rPr>
        <w:t xml:space="preserve"> </w:t>
      </w:r>
      <w:r w:rsidRPr="00464ACD">
        <w:sym w:font="Wingdings" w:char="F058"/>
      </w:r>
      <w:r w:rsidRPr="00D07B2B">
        <w:rPr>
          <w:lang w:val="hu-HU" w:eastAsia="ar-SA"/>
        </w:rPr>
        <w:t xml:space="preserve"> </w:t>
      </w:r>
      <w:r w:rsidRPr="00464ACD">
        <w:rPr>
          <w:lang w:val="hu-HU" w:eastAsia="ar-SA"/>
        </w:rPr>
        <w:t>(egy keresztes</w:t>
      </w:r>
      <w:r w:rsidRPr="00D07B2B">
        <w:rPr>
          <w:lang w:val="hu-HU" w:eastAsia="ar-SA"/>
        </w:rPr>
        <w:t>)</w:t>
      </w:r>
    </w:p>
    <w:p w14:paraId="664C72C3" w14:textId="0A0AB647" w:rsidR="003D18AA" w:rsidRPr="00464ACD" w:rsidRDefault="003D18AA" w:rsidP="003D18AA">
      <w:pPr>
        <w:suppressAutoHyphens/>
        <w:ind w:left="1"/>
        <w:rPr>
          <w:b/>
          <w:lang w:val="hu-HU" w:eastAsia="ar-SA"/>
        </w:rPr>
      </w:pPr>
      <w:r w:rsidRPr="002A7A93">
        <w:rPr>
          <w:b/>
          <w:lang w:val="hu-HU" w:eastAsia="ar-SA"/>
        </w:rPr>
        <w:t>Osztályozás</w:t>
      </w:r>
      <w:r w:rsidRPr="00D07B2B">
        <w:rPr>
          <w:b/>
          <w:lang w:val="hu-HU" w:eastAsia="ar-SA"/>
        </w:rPr>
        <w:t>: II.</w:t>
      </w:r>
      <w:r w:rsidRPr="00464ACD">
        <w:rPr>
          <w:b/>
          <w:lang w:val="hu-HU" w:eastAsia="ar-SA"/>
        </w:rPr>
        <w:t xml:space="preserve"> csoport</w:t>
      </w:r>
    </w:p>
    <w:p w14:paraId="6B895F2E" w14:textId="77777777" w:rsidR="006010B0" w:rsidRPr="00D75732" w:rsidRDefault="006010B0" w:rsidP="006010B0">
      <w:pPr>
        <w:rPr>
          <w:b/>
          <w:bCs/>
          <w:szCs w:val="22"/>
          <w:lang w:val="hu-HU"/>
        </w:rPr>
      </w:pPr>
      <w:r w:rsidRPr="00D75732">
        <w:rPr>
          <w:szCs w:val="22"/>
          <w:lang w:val="hu-HU"/>
        </w:rPr>
        <w:t>Kizárólag orvosi rendelvényhez kötött gyógyszer (V).</w:t>
      </w:r>
    </w:p>
    <w:p w14:paraId="2A968C72" w14:textId="6C96B1C6" w:rsidR="006010B0" w:rsidRDefault="006010B0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6C2EFA41" w14:textId="77777777" w:rsidR="006010B0" w:rsidRPr="00C011E4" w:rsidRDefault="006010B0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6D763240" w14:textId="5DE39BF2" w:rsidR="00F45C51" w:rsidRPr="00C011E4" w:rsidRDefault="007B6547" w:rsidP="00C34EFD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7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6A72C56C" w14:textId="77777777" w:rsidR="00F45C51" w:rsidRPr="00C011E4" w:rsidRDefault="00F45C51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4B12CE4B" w14:textId="2F8DCB6D" w:rsidR="00C54082" w:rsidRPr="00C54082" w:rsidRDefault="00C54082" w:rsidP="00C34EFD">
      <w:pPr>
        <w:keepNext/>
        <w:spacing w:line="240" w:lineRule="auto"/>
        <w:ind w:left="567" w:hanging="567"/>
        <w:outlineLvl w:val="0"/>
        <w:rPr>
          <w:snapToGrid/>
          <w:color w:val="000000"/>
          <w:szCs w:val="22"/>
          <w:lang w:val="hu-HU"/>
        </w:rPr>
      </w:pPr>
      <w:bookmarkStart w:id="10" w:name="_Hlk66958226"/>
      <w:proofErr w:type="spellStart"/>
      <w:r w:rsidRPr="00C54082">
        <w:rPr>
          <w:snapToGrid/>
          <w:color w:val="000000"/>
          <w:szCs w:val="22"/>
          <w:lang w:val="hu-HU"/>
        </w:rPr>
        <w:t>Zentiva</w:t>
      </w:r>
      <w:proofErr w:type="spellEnd"/>
      <w:r w:rsidRPr="00C54082">
        <w:rPr>
          <w:snapToGrid/>
          <w:color w:val="000000"/>
          <w:szCs w:val="22"/>
          <w:lang w:val="hu-HU"/>
        </w:rPr>
        <w:t xml:space="preserve">, </w:t>
      </w:r>
      <w:proofErr w:type="spellStart"/>
      <w:r w:rsidRPr="00C54082">
        <w:rPr>
          <w:snapToGrid/>
          <w:color w:val="000000"/>
          <w:szCs w:val="22"/>
          <w:lang w:val="hu-HU"/>
        </w:rPr>
        <w:t>k.s</w:t>
      </w:r>
      <w:proofErr w:type="spellEnd"/>
      <w:r w:rsidRPr="00C54082">
        <w:rPr>
          <w:snapToGrid/>
          <w:color w:val="000000"/>
          <w:szCs w:val="22"/>
          <w:lang w:val="hu-HU"/>
        </w:rPr>
        <w:t>.</w:t>
      </w:r>
    </w:p>
    <w:p w14:paraId="2B810271" w14:textId="77777777" w:rsidR="00C54082" w:rsidRPr="00C54082" w:rsidRDefault="00C54082" w:rsidP="00C34EFD">
      <w:pPr>
        <w:keepNext/>
        <w:spacing w:line="240" w:lineRule="auto"/>
        <w:ind w:left="567" w:hanging="567"/>
        <w:outlineLvl w:val="0"/>
        <w:rPr>
          <w:snapToGrid/>
          <w:color w:val="000000"/>
          <w:szCs w:val="22"/>
          <w:lang w:val="hu-HU"/>
        </w:rPr>
      </w:pPr>
      <w:r w:rsidRPr="00C54082">
        <w:rPr>
          <w:snapToGrid/>
          <w:color w:val="000000"/>
          <w:szCs w:val="22"/>
          <w:lang w:val="hu-HU"/>
        </w:rPr>
        <w:t xml:space="preserve">U </w:t>
      </w:r>
      <w:proofErr w:type="spellStart"/>
      <w:r w:rsidRPr="00C54082">
        <w:rPr>
          <w:snapToGrid/>
          <w:color w:val="000000"/>
          <w:szCs w:val="22"/>
          <w:lang w:val="hu-HU"/>
        </w:rPr>
        <w:t>kabelovny</w:t>
      </w:r>
      <w:proofErr w:type="spellEnd"/>
      <w:r w:rsidRPr="00C54082">
        <w:rPr>
          <w:snapToGrid/>
          <w:color w:val="000000"/>
          <w:szCs w:val="22"/>
          <w:lang w:val="hu-HU"/>
        </w:rPr>
        <w:t xml:space="preserve"> 130, </w:t>
      </w:r>
      <w:proofErr w:type="spellStart"/>
      <w:r w:rsidRPr="00C54082">
        <w:rPr>
          <w:snapToGrid/>
          <w:color w:val="000000"/>
          <w:szCs w:val="22"/>
          <w:lang w:val="hu-HU"/>
        </w:rPr>
        <w:t>Dolní</w:t>
      </w:r>
      <w:proofErr w:type="spellEnd"/>
      <w:r w:rsidRPr="00C54082">
        <w:rPr>
          <w:snapToGrid/>
          <w:color w:val="000000"/>
          <w:szCs w:val="22"/>
          <w:lang w:val="hu-HU"/>
        </w:rPr>
        <w:t xml:space="preserve"> </w:t>
      </w:r>
      <w:proofErr w:type="spellStart"/>
      <w:r w:rsidRPr="00C54082">
        <w:rPr>
          <w:snapToGrid/>
          <w:color w:val="000000"/>
          <w:szCs w:val="22"/>
          <w:lang w:val="hu-HU"/>
        </w:rPr>
        <w:t>Měcholupy</w:t>
      </w:r>
      <w:proofErr w:type="spellEnd"/>
      <w:r w:rsidRPr="00C54082">
        <w:rPr>
          <w:snapToGrid/>
          <w:color w:val="000000"/>
          <w:szCs w:val="22"/>
          <w:lang w:val="hu-HU"/>
        </w:rPr>
        <w:t>,</w:t>
      </w:r>
    </w:p>
    <w:p w14:paraId="0F4771CF" w14:textId="4FA0A966" w:rsidR="00C54082" w:rsidRPr="00C54082" w:rsidRDefault="00C54082" w:rsidP="00C34EFD">
      <w:pPr>
        <w:keepNext/>
        <w:spacing w:line="240" w:lineRule="auto"/>
        <w:ind w:left="567" w:hanging="567"/>
        <w:outlineLvl w:val="0"/>
        <w:rPr>
          <w:snapToGrid/>
          <w:color w:val="000000"/>
          <w:szCs w:val="22"/>
          <w:lang w:val="hu-HU"/>
        </w:rPr>
      </w:pPr>
      <w:r w:rsidRPr="00C54082">
        <w:rPr>
          <w:snapToGrid/>
          <w:color w:val="000000"/>
          <w:szCs w:val="22"/>
          <w:lang w:val="hu-HU"/>
        </w:rPr>
        <w:t xml:space="preserve">102 37 </w:t>
      </w:r>
      <w:r>
        <w:rPr>
          <w:snapToGrid/>
          <w:color w:val="000000"/>
          <w:szCs w:val="22"/>
          <w:lang w:val="hu-HU"/>
        </w:rPr>
        <w:t>Prága</w:t>
      </w:r>
      <w:r w:rsidRPr="00C54082">
        <w:rPr>
          <w:snapToGrid/>
          <w:color w:val="000000"/>
          <w:szCs w:val="22"/>
          <w:lang w:val="hu-HU"/>
        </w:rPr>
        <w:t xml:space="preserve"> 10</w:t>
      </w:r>
    </w:p>
    <w:p w14:paraId="10E10129" w14:textId="39FB05FE" w:rsidR="00EC221F" w:rsidRPr="00C011E4" w:rsidRDefault="00C54082" w:rsidP="00C34EFD">
      <w:pPr>
        <w:keepNext/>
        <w:spacing w:line="240" w:lineRule="auto"/>
        <w:ind w:left="567" w:hanging="567"/>
        <w:outlineLvl w:val="0"/>
        <w:rPr>
          <w:b/>
          <w:lang w:val="hu-HU"/>
        </w:rPr>
      </w:pPr>
      <w:r>
        <w:rPr>
          <w:szCs w:val="22"/>
          <w:lang w:val="hu-HU"/>
        </w:rPr>
        <w:t>Csehország</w:t>
      </w:r>
      <w:bookmarkEnd w:id="10"/>
    </w:p>
    <w:p w14:paraId="59D72CBD" w14:textId="54D00C66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C7878AD" w14:textId="77777777" w:rsidR="00C952FF" w:rsidRPr="00C011E4" w:rsidRDefault="00C952FF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DC3B15" w14:textId="2CF17419" w:rsidR="00F45C51" w:rsidRPr="00C011E4" w:rsidRDefault="007B6547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8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A865083" w14:textId="77777777" w:rsidR="00A13BDD" w:rsidRPr="00A13BDD" w:rsidRDefault="00A13BDD" w:rsidP="00A13BDD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3264E96D" w14:textId="25FE9B98" w:rsidR="002A4867" w:rsidRPr="00D07B2B" w:rsidRDefault="002A4867" w:rsidP="002A4867">
      <w:pPr>
        <w:rPr>
          <w:snapToGrid/>
          <w:szCs w:val="22"/>
          <w:lang w:val="hu-HU" w:eastAsia="hu-HU"/>
        </w:rPr>
      </w:pPr>
      <w:bookmarkStart w:id="11" w:name="_Hlk89755136"/>
      <w:r w:rsidRPr="00D07B2B">
        <w:rPr>
          <w:szCs w:val="22"/>
          <w:lang w:val="hu-HU"/>
        </w:rPr>
        <w:t>OGYI-T-23977/01</w:t>
      </w:r>
      <w:r w:rsidRPr="00D07B2B">
        <w:rPr>
          <w:szCs w:val="22"/>
          <w:lang w:val="hu-HU"/>
        </w:rPr>
        <w:tab/>
        <w:t>14×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645BD4CF" w14:textId="31E5F898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OGYI-T-23977/02</w:t>
      </w:r>
      <w:r w:rsidRPr="00D07B2B">
        <w:rPr>
          <w:szCs w:val="22"/>
          <w:lang w:val="hu-HU"/>
        </w:rPr>
        <w:tab/>
        <w:t>28×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31FFFDB7" w14:textId="639074D1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OGYI-T-23977/03</w:t>
      </w:r>
      <w:r w:rsidRPr="00D07B2B">
        <w:rPr>
          <w:szCs w:val="22"/>
          <w:lang w:val="hu-HU"/>
        </w:rPr>
        <w:tab/>
        <w:t>30×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44B51A44" w14:textId="329FFD98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OGYI-T-23977/04</w:t>
      </w:r>
      <w:r w:rsidRPr="00D07B2B">
        <w:rPr>
          <w:szCs w:val="22"/>
          <w:lang w:val="hu-HU"/>
        </w:rPr>
        <w:tab/>
        <w:t>56×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72BD72CC" w14:textId="039FBD8E" w:rsidR="002A4867" w:rsidRPr="00D07B2B" w:rsidRDefault="002A4867" w:rsidP="002A4867">
      <w:pPr>
        <w:rPr>
          <w:szCs w:val="22"/>
          <w:lang w:val="hu-HU" w:eastAsia="hu-HU"/>
        </w:rPr>
      </w:pPr>
      <w:r w:rsidRPr="00D07B2B">
        <w:rPr>
          <w:szCs w:val="22"/>
          <w:lang w:val="hu-HU"/>
        </w:rPr>
        <w:t>OGYI-T-23977/05</w:t>
      </w:r>
      <w:r w:rsidRPr="00D07B2B">
        <w:rPr>
          <w:szCs w:val="22"/>
          <w:lang w:val="hu-HU"/>
        </w:rPr>
        <w:tab/>
        <w:t>98×</w:t>
      </w:r>
      <w:r w:rsidRPr="00D07B2B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</w:p>
    <w:bookmarkEnd w:id="11"/>
    <w:p w14:paraId="538BB863" w14:textId="77777777" w:rsidR="00F45C51" w:rsidRPr="00C011E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22D82B6" w14:textId="77777777" w:rsidR="00CA6136" w:rsidRPr="00C011E4" w:rsidRDefault="00CA6136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6FC444E" w14:textId="7AC6AC08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9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C011E4">
        <w:rPr>
          <w:b/>
          <w:lang w:val="hu-HU"/>
        </w:rPr>
        <w:t xml:space="preserve"> DÁTUMA</w:t>
      </w:r>
    </w:p>
    <w:p w14:paraId="66D5230D" w14:textId="77777777" w:rsidR="00F45C51" w:rsidRPr="00C011E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33F2BB" w14:textId="52D883EA" w:rsidR="00F45C51" w:rsidRDefault="00A13B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forgalomba hozatali engedély első kiadásának dátuma: </w:t>
      </w:r>
      <w:r w:rsidR="003D18AA">
        <w:rPr>
          <w:rFonts w:eastAsia="Times New Roman"/>
          <w:noProof/>
          <w:snapToGrid/>
          <w:szCs w:val="22"/>
          <w:lang w:val="hu-HU" w:eastAsia="en-US"/>
        </w:rPr>
        <w:t>2021.</w:t>
      </w:r>
      <w:r w:rsidR="002A4867">
        <w:rPr>
          <w:rFonts w:eastAsia="Times New Roman"/>
          <w:noProof/>
          <w:snapToGrid/>
          <w:szCs w:val="22"/>
          <w:lang w:val="hu-HU" w:eastAsia="en-US"/>
        </w:rPr>
        <w:t xml:space="preserve"> december 6.</w:t>
      </w:r>
    </w:p>
    <w:p w14:paraId="13B13ABE" w14:textId="77777777" w:rsidR="00A13BDD" w:rsidRPr="00C011E4" w:rsidRDefault="00A13BD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F3A402" w14:textId="77777777" w:rsidR="00CA6136" w:rsidRPr="00C011E4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E7C3C9" w14:textId="6E32800B" w:rsidR="00F45C51" w:rsidRPr="00C011E4" w:rsidRDefault="007B6547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>10</w:t>
      </w:r>
      <w:r w:rsidR="008D1D92" w:rsidRPr="00C011E4">
        <w:rPr>
          <w:rFonts w:eastAsia="Times New Roman"/>
          <w:b/>
          <w:noProof/>
          <w:snapToGrid/>
          <w:szCs w:val="22"/>
          <w:lang w:val="hu-HU" w:eastAsia="en-US"/>
        </w:rPr>
        <w:t>.</w:t>
      </w:r>
      <w:r w:rsidRPr="00C011E4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401DBC9" w14:textId="76D05BCE" w:rsidR="00A13BDD" w:rsidRDefault="00A13BDD" w:rsidP="008D1D92">
      <w:pPr>
        <w:spacing w:line="240" w:lineRule="auto"/>
        <w:rPr>
          <w:iCs/>
          <w:lang w:val="hu-HU"/>
        </w:rPr>
      </w:pPr>
    </w:p>
    <w:p w14:paraId="325EDBFB" w14:textId="60A05ADA" w:rsidR="003D18AA" w:rsidRPr="00A13BDD" w:rsidRDefault="00734CDD" w:rsidP="008D1D92">
      <w:pPr>
        <w:spacing w:line="240" w:lineRule="auto"/>
        <w:rPr>
          <w:iCs/>
          <w:lang w:val="hu-HU"/>
        </w:rPr>
      </w:pPr>
      <w:r w:rsidRPr="00734CDD">
        <w:rPr>
          <w:iCs/>
          <w:lang w:val="hu-HU"/>
        </w:rPr>
        <w:t>2026. március 30.</w:t>
      </w:r>
    </w:p>
    <w:sectPr w:rsidR="003D18AA" w:rsidRPr="00A13BDD" w:rsidSect="002D1F2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B0133" w14:textId="77777777" w:rsidR="00090F8D" w:rsidRDefault="00090F8D">
      <w:pPr>
        <w:spacing w:line="240" w:lineRule="auto"/>
      </w:pPr>
      <w:r>
        <w:separator/>
      </w:r>
    </w:p>
  </w:endnote>
  <w:endnote w:type="continuationSeparator" w:id="0">
    <w:p w14:paraId="074D27F8" w14:textId="77777777" w:rsidR="00090F8D" w:rsidRDefault="00090F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47FBF" w14:textId="17661D62" w:rsidR="00041282" w:rsidRDefault="00041282" w:rsidP="00E70CED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8BC6" w14:textId="21E2DCE5" w:rsidR="00041282" w:rsidRPr="00D970CB" w:rsidRDefault="00673163" w:rsidP="00354C64">
    <w:pPr>
      <w:tabs>
        <w:tab w:val="clear" w:pos="567"/>
        <w:tab w:val="left" w:pos="8080"/>
      </w:tabs>
      <w:rPr>
        <w:sz w:val="18"/>
        <w:szCs w:val="18"/>
      </w:rPr>
    </w:pPr>
    <w:r w:rsidRPr="00673163">
      <w:rPr>
        <w:sz w:val="18"/>
        <w:szCs w:val="18"/>
      </w:rPr>
      <w:t>NNGYK/ETGY/16142/2026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FE714" w14:textId="77777777" w:rsidR="00090F8D" w:rsidRDefault="00090F8D">
      <w:pPr>
        <w:spacing w:line="240" w:lineRule="auto"/>
      </w:pPr>
      <w:r>
        <w:separator/>
      </w:r>
    </w:p>
  </w:footnote>
  <w:footnote w:type="continuationSeparator" w:id="0">
    <w:p w14:paraId="21D82A50" w14:textId="77777777" w:rsidR="00090F8D" w:rsidRDefault="00090F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C2FC9" w14:textId="69F5FDBD" w:rsidR="00041282" w:rsidRPr="00E70CED" w:rsidRDefault="00090F8D">
    <w:pPr>
      <w:pStyle w:val="lfej"/>
      <w:jc w:val="center"/>
      <w:rPr>
        <w:sz w:val="18"/>
        <w:szCs w:val="18"/>
      </w:rPr>
    </w:pPr>
    <w:sdt>
      <w:sdtPr>
        <w:id w:val="-194543271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041282" w:rsidRPr="00E70CED">
          <w:rPr>
            <w:sz w:val="18"/>
            <w:szCs w:val="18"/>
          </w:rPr>
          <w:fldChar w:fldCharType="begin"/>
        </w:r>
        <w:r w:rsidR="00041282" w:rsidRPr="00E70CED">
          <w:rPr>
            <w:sz w:val="18"/>
            <w:szCs w:val="18"/>
          </w:rPr>
          <w:instrText>PAGE   \* MERGEFORMAT</w:instrText>
        </w:r>
        <w:r w:rsidR="00041282" w:rsidRPr="00E70CED">
          <w:rPr>
            <w:sz w:val="18"/>
            <w:szCs w:val="18"/>
          </w:rPr>
          <w:fldChar w:fldCharType="separate"/>
        </w:r>
        <w:r w:rsidR="00041282" w:rsidRPr="009B1A54">
          <w:rPr>
            <w:noProof/>
            <w:sz w:val="18"/>
            <w:szCs w:val="18"/>
            <w:lang w:val="hu-HU"/>
          </w:rPr>
          <w:t>16</w:t>
        </w:r>
        <w:r w:rsidR="00041282" w:rsidRPr="00E70CED">
          <w:rPr>
            <w:sz w:val="18"/>
            <w:szCs w:val="18"/>
          </w:rPr>
          <w:fldChar w:fldCharType="end"/>
        </w:r>
      </w:sdtContent>
    </w:sdt>
  </w:p>
  <w:p w14:paraId="530DABE5" w14:textId="77777777" w:rsidR="00041282" w:rsidRDefault="000412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6441E6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A0F0E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CC174C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178307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270472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045AD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A661EE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0963C4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0FEDA2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C20669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4120F6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600F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0A9E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F822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B4BC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3030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605C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F85B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104F07"/>
    <w:multiLevelType w:val="hybridMultilevel"/>
    <w:tmpl w:val="CD4430E0"/>
    <w:lvl w:ilvl="0" w:tplc="5B02E2F8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B7E2D3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8627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FE9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083A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524F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F2E5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F4E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40EB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522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40009B3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C98CF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778AD8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B5870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61295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C3CC9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BE031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614E78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E4D2CD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107683A"/>
    <w:multiLevelType w:val="multilevel"/>
    <w:tmpl w:val="7AC085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B16AC8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B61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4AC8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A87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CEB4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F6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9E5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23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8B6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5BE260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D7F08F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51644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B7C7E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1DA60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94E1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AB236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C5A5A7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3F834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E638A7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C05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4ACC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6A44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E839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042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74C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D86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C033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A41AF76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83880D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B4C72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78A88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F4C83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721E6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CE87F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0A062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35076F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CE68082A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252159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8410F672">
      <w:start w:val="1"/>
      <w:numFmt w:val="lowerRoman"/>
      <w:lvlText w:val="%3."/>
      <w:lvlJc w:val="right"/>
      <w:pPr>
        <w:ind w:left="2160" w:hanging="180"/>
      </w:pPr>
    </w:lvl>
    <w:lvl w:ilvl="3" w:tplc="2CDA2F72">
      <w:start w:val="1"/>
      <w:numFmt w:val="decimal"/>
      <w:lvlText w:val="%4."/>
      <w:lvlJc w:val="left"/>
      <w:pPr>
        <w:ind w:left="2880" w:hanging="360"/>
      </w:pPr>
    </w:lvl>
    <w:lvl w:ilvl="4" w:tplc="89503640">
      <w:start w:val="1"/>
      <w:numFmt w:val="lowerLetter"/>
      <w:lvlText w:val="%5."/>
      <w:lvlJc w:val="left"/>
      <w:pPr>
        <w:ind w:left="3600" w:hanging="360"/>
      </w:pPr>
    </w:lvl>
    <w:lvl w:ilvl="5" w:tplc="ABB26F82">
      <w:start w:val="1"/>
      <w:numFmt w:val="lowerRoman"/>
      <w:lvlText w:val="%6."/>
      <w:lvlJc w:val="right"/>
      <w:pPr>
        <w:ind w:left="4320" w:hanging="180"/>
      </w:pPr>
    </w:lvl>
    <w:lvl w:ilvl="6" w:tplc="620CE536">
      <w:start w:val="1"/>
      <w:numFmt w:val="decimal"/>
      <w:lvlText w:val="%7."/>
      <w:lvlJc w:val="left"/>
      <w:pPr>
        <w:ind w:left="5040" w:hanging="360"/>
      </w:pPr>
    </w:lvl>
    <w:lvl w:ilvl="7" w:tplc="D024A310">
      <w:start w:val="1"/>
      <w:numFmt w:val="lowerLetter"/>
      <w:lvlText w:val="%8."/>
      <w:lvlJc w:val="left"/>
      <w:pPr>
        <w:ind w:left="5760" w:hanging="360"/>
      </w:pPr>
    </w:lvl>
    <w:lvl w:ilvl="8" w:tplc="4384895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C54FC"/>
    <w:multiLevelType w:val="hybridMultilevel"/>
    <w:tmpl w:val="3C888C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10869">
    <w:abstractNumId w:val="12"/>
  </w:num>
  <w:num w:numId="2" w16cid:durableId="1803956110">
    <w:abstractNumId w:val="28"/>
  </w:num>
  <w:num w:numId="3" w16cid:durableId="12643428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39530831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14316158">
    <w:abstractNumId w:val="29"/>
  </w:num>
  <w:num w:numId="6" w16cid:durableId="497310489">
    <w:abstractNumId w:val="26"/>
  </w:num>
  <w:num w:numId="7" w16cid:durableId="244649331">
    <w:abstractNumId w:val="19"/>
  </w:num>
  <w:num w:numId="8" w16cid:durableId="655760851">
    <w:abstractNumId w:val="21"/>
  </w:num>
  <w:num w:numId="9" w16cid:durableId="2143842903">
    <w:abstractNumId w:val="32"/>
  </w:num>
  <w:num w:numId="10" w16cid:durableId="361368380">
    <w:abstractNumId w:val="11"/>
  </w:num>
  <w:num w:numId="11" w16cid:durableId="1867525785">
    <w:abstractNumId w:val="30"/>
  </w:num>
  <w:num w:numId="12" w16cid:durableId="466093572">
    <w:abstractNumId w:val="20"/>
  </w:num>
  <w:num w:numId="13" w16cid:durableId="950280392">
    <w:abstractNumId w:val="18"/>
  </w:num>
  <w:num w:numId="14" w16cid:durableId="1238443342">
    <w:abstractNumId w:val="16"/>
  </w:num>
  <w:num w:numId="15" w16cid:durableId="185356767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003703179">
    <w:abstractNumId w:val="31"/>
  </w:num>
  <w:num w:numId="17" w16cid:durableId="1904556225">
    <w:abstractNumId w:val="23"/>
  </w:num>
  <w:num w:numId="18" w16cid:durableId="1924021296">
    <w:abstractNumId w:val="25"/>
  </w:num>
  <w:num w:numId="19" w16cid:durableId="396825178">
    <w:abstractNumId w:val="14"/>
  </w:num>
  <w:num w:numId="20" w16cid:durableId="109951914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46593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274078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6239802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395786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8005474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50300385">
    <w:abstractNumId w:val="8"/>
  </w:num>
  <w:num w:numId="27" w16cid:durableId="1118793506">
    <w:abstractNumId w:val="9"/>
  </w:num>
  <w:num w:numId="28" w16cid:durableId="188994719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52953881">
    <w:abstractNumId w:val="1"/>
  </w:num>
  <w:num w:numId="30" w16cid:durableId="211697820">
    <w:abstractNumId w:val="2"/>
  </w:num>
  <w:num w:numId="31" w16cid:durableId="1790467201">
    <w:abstractNumId w:val="3"/>
  </w:num>
  <w:num w:numId="32" w16cid:durableId="1545024417">
    <w:abstractNumId w:val="4"/>
  </w:num>
  <w:num w:numId="33" w16cid:durableId="2140606640">
    <w:abstractNumId w:val="5"/>
  </w:num>
  <w:num w:numId="34" w16cid:durableId="1886065473">
    <w:abstractNumId w:val="6"/>
  </w:num>
  <w:num w:numId="35" w16cid:durableId="196083821">
    <w:abstractNumId w:val="7"/>
  </w:num>
  <w:num w:numId="36" w16cid:durableId="1730306092">
    <w:abstractNumId w:val="8"/>
  </w:num>
  <w:num w:numId="37" w16cid:durableId="122505869">
    <w:abstractNumId w:val="9"/>
  </w:num>
  <w:num w:numId="38" w16cid:durableId="851191025">
    <w:abstractNumId w:val="10"/>
  </w:num>
  <w:num w:numId="39" w16cid:durableId="1155953566">
    <w:abstractNumId w:val="24"/>
  </w:num>
  <w:num w:numId="40" w16cid:durableId="1459689923">
    <w:abstractNumId w:val="13"/>
  </w:num>
  <w:num w:numId="41" w16cid:durableId="72525305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82084303">
    <w:abstractNumId w:val="27"/>
  </w:num>
  <w:num w:numId="43" w16cid:durableId="649598312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26857612">
    <w:abstractNumId w:val="34"/>
  </w:num>
  <w:num w:numId="45" w16cid:durableId="229390518">
    <w:abstractNumId w:val="15"/>
  </w:num>
  <w:num w:numId="46" w16cid:durableId="2136636543">
    <w:abstractNumId w:val="22"/>
  </w:num>
  <w:num w:numId="47" w16cid:durableId="10676110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3D33"/>
    <w:rsid w:val="000150D3"/>
    <w:rsid w:val="000166C1"/>
    <w:rsid w:val="000177FF"/>
    <w:rsid w:val="00020AE8"/>
    <w:rsid w:val="00023F29"/>
    <w:rsid w:val="00025EBE"/>
    <w:rsid w:val="00030445"/>
    <w:rsid w:val="00031367"/>
    <w:rsid w:val="000318C7"/>
    <w:rsid w:val="00033FDB"/>
    <w:rsid w:val="00034204"/>
    <w:rsid w:val="000344F6"/>
    <w:rsid w:val="0003542B"/>
    <w:rsid w:val="00036493"/>
    <w:rsid w:val="00041282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601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987"/>
    <w:rsid w:val="00080AB8"/>
    <w:rsid w:val="000817DE"/>
    <w:rsid w:val="00081DAB"/>
    <w:rsid w:val="0008235E"/>
    <w:rsid w:val="00082A8E"/>
    <w:rsid w:val="000855CA"/>
    <w:rsid w:val="00090F8D"/>
    <w:rsid w:val="0009351E"/>
    <w:rsid w:val="0009479A"/>
    <w:rsid w:val="00095E44"/>
    <w:rsid w:val="00096DFA"/>
    <w:rsid w:val="0009755A"/>
    <w:rsid w:val="00097691"/>
    <w:rsid w:val="000A1232"/>
    <w:rsid w:val="000A13ED"/>
    <w:rsid w:val="000A1FD6"/>
    <w:rsid w:val="000A5165"/>
    <w:rsid w:val="000A74EC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4E3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4725"/>
    <w:rsid w:val="000F4ED5"/>
    <w:rsid w:val="00101CAD"/>
    <w:rsid w:val="00103501"/>
    <w:rsid w:val="00103B2D"/>
    <w:rsid w:val="00103CD2"/>
    <w:rsid w:val="00104061"/>
    <w:rsid w:val="001049F8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400"/>
    <w:rsid w:val="00133572"/>
    <w:rsid w:val="00133F1C"/>
    <w:rsid w:val="001354A7"/>
    <w:rsid w:val="001354E2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0FDC"/>
    <w:rsid w:val="00161E87"/>
    <w:rsid w:val="00162EDD"/>
    <w:rsid w:val="00163D6C"/>
    <w:rsid w:val="0016566C"/>
    <w:rsid w:val="00170ECA"/>
    <w:rsid w:val="0017265B"/>
    <w:rsid w:val="001727F0"/>
    <w:rsid w:val="00172B06"/>
    <w:rsid w:val="001752D8"/>
    <w:rsid w:val="00175931"/>
    <w:rsid w:val="00176B25"/>
    <w:rsid w:val="00181818"/>
    <w:rsid w:val="0018224D"/>
    <w:rsid w:val="0018238B"/>
    <w:rsid w:val="00183419"/>
    <w:rsid w:val="0018394A"/>
    <w:rsid w:val="00183CE7"/>
    <w:rsid w:val="001845B6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61F"/>
    <w:rsid w:val="001B0DDB"/>
    <w:rsid w:val="001B13F6"/>
    <w:rsid w:val="001B1747"/>
    <w:rsid w:val="001B1B4E"/>
    <w:rsid w:val="001B2D44"/>
    <w:rsid w:val="001B448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311"/>
    <w:rsid w:val="001F35E8"/>
    <w:rsid w:val="001F38F9"/>
    <w:rsid w:val="001F4014"/>
    <w:rsid w:val="001F445E"/>
    <w:rsid w:val="0020024D"/>
    <w:rsid w:val="00201213"/>
    <w:rsid w:val="00201323"/>
    <w:rsid w:val="0020165E"/>
    <w:rsid w:val="00201E56"/>
    <w:rsid w:val="00202E50"/>
    <w:rsid w:val="00205180"/>
    <w:rsid w:val="002059AF"/>
    <w:rsid w:val="00206BA1"/>
    <w:rsid w:val="00207F81"/>
    <w:rsid w:val="002109F4"/>
    <w:rsid w:val="00211B2E"/>
    <w:rsid w:val="00211FDA"/>
    <w:rsid w:val="002160C2"/>
    <w:rsid w:val="00217D6E"/>
    <w:rsid w:val="00222BB9"/>
    <w:rsid w:val="002258D6"/>
    <w:rsid w:val="0022634E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02F5"/>
    <w:rsid w:val="00271032"/>
    <w:rsid w:val="00273C1C"/>
    <w:rsid w:val="00273E3E"/>
    <w:rsid w:val="00274147"/>
    <w:rsid w:val="00274EB4"/>
    <w:rsid w:val="00275189"/>
    <w:rsid w:val="002756DC"/>
    <w:rsid w:val="00276437"/>
    <w:rsid w:val="0028063F"/>
    <w:rsid w:val="00280740"/>
    <w:rsid w:val="0028282C"/>
    <w:rsid w:val="00283367"/>
    <w:rsid w:val="002833EC"/>
    <w:rsid w:val="002834F6"/>
    <w:rsid w:val="00283B02"/>
    <w:rsid w:val="00283C5D"/>
    <w:rsid w:val="00283D5A"/>
    <w:rsid w:val="002844B0"/>
    <w:rsid w:val="00285586"/>
    <w:rsid w:val="00286322"/>
    <w:rsid w:val="00290C3B"/>
    <w:rsid w:val="00290E39"/>
    <w:rsid w:val="00291607"/>
    <w:rsid w:val="0029347B"/>
    <w:rsid w:val="00296C1F"/>
    <w:rsid w:val="002A0C34"/>
    <w:rsid w:val="002A1B59"/>
    <w:rsid w:val="002A41E6"/>
    <w:rsid w:val="002A4867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4BFC"/>
    <w:rsid w:val="002D5B65"/>
    <w:rsid w:val="002D6396"/>
    <w:rsid w:val="002D7E5E"/>
    <w:rsid w:val="002E07AC"/>
    <w:rsid w:val="002E07EF"/>
    <w:rsid w:val="002E0D06"/>
    <w:rsid w:val="002E107B"/>
    <w:rsid w:val="002E4E94"/>
    <w:rsid w:val="002F1936"/>
    <w:rsid w:val="002F1F28"/>
    <w:rsid w:val="002F43CA"/>
    <w:rsid w:val="002F47FB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50CD"/>
    <w:rsid w:val="003367C4"/>
    <w:rsid w:val="00336D8E"/>
    <w:rsid w:val="003376B3"/>
    <w:rsid w:val="00341F90"/>
    <w:rsid w:val="00342AD6"/>
    <w:rsid w:val="00344166"/>
    <w:rsid w:val="00345EDE"/>
    <w:rsid w:val="00347776"/>
    <w:rsid w:val="00351453"/>
    <w:rsid w:val="00351A91"/>
    <w:rsid w:val="003520C4"/>
    <w:rsid w:val="003533AE"/>
    <w:rsid w:val="00354C64"/>
    <w:rsid w:val="00354EAD"/>
    <w:rsid w:val="00355E14"/>
    <w:rsid w:val="003563B1"/>
    <w:rsid w:val="00361280"/>
    <w:rsid w:val="003615F1"/>
    <w:rsid w:val="00361A6E"/>
    <w:rsid w:val="00362983"/>
    <w:rsid w:val="00363D7F"/>
    <w:rsid w:val="00367C66"/>
    <w:rsid w:val="003718E6"/>
    <w:rsid w:val="0037233D"/>
    <w:rsid w:val="003728DD"/>
    <w:rsid w:val="003736EF"/>
    <w:rsid w:val="003737E3"/>
    <w:rsid w:val="00374F4A"/>
    <w:rsid w:val="00380D80"/>
    <w:rsid w:val="00381833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49BC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7E0"/>
    <w:rsid w:val="003C64A0"/>
    <w:rsid w:val="003C7BA3"/>
    <w:rsid w:val="003D18AA"/>
    <w:rsid w:val="003D21C8"/>
    <w:rsid w:val="003D2303"/>
    <w:rsid w:val="003D4015"/>
    <w:rsid w:val="003D4E9C"/>
    <w:rsid w:val="003E038E"/>
    <w:rsid w:val="003E0D78"/>
    <w:rsid w:val="003E2E56"/>
    <w:rsid w:val="003E3014"/>
    <w:rsid w:val="003E3277"/>
    <w:rsid w:val="003E3A1D"/>
    <w:rsid w:val="003E5E1A"/>
    <w:rsid w:val="003E6CA0"/>
    <w:rsid w:val="003E7416"/>
    <w:rsid w:val="003F2FDE"/>
    <w:rsid w:val="003F330B"/>
    <w:rsid w:val="003F5756"/>
    <w:rsid w:val="003F6FDF"/>
    <w:rsid w:val="004006EB"/>
    <w:rsid w:val="004016F5"/>
    <w:rsid w:val="004045AA"/>
    <w:rsid w:val="00404A0D"/>
    <w:rsid w:val="00405229"/>
    <w:rsid w:val="00405CC9"/>
    <w:rsid w:val="00410E7D"/>
    <w:rsid w:val="004138DE"/>
    <w:rsid w:val="00414B2F"/>
    <w:rsid w:val="004153EE"/>
    <w:rsid w:val="00415E58"/>
    <w:rsid w:val="00416067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611E"/>
    <w:rsid w:val="004406C1"/>
    <w:rsid w:val="00442C1B"/>
    <w:rsid w:val="004460E9"/>
    <w:rsid w:val="004461E5"/>
    <w:rsid w:val="00447B6F"/>
    <w:rsid w:val="00453C11"/>
    <w:rsid w:val="004557B0"/>
    <w:rsid w:val="00455FED"/>
    <w:rsid w:val="00457946"/>
    <w:rsid w:val="00457BB9"/>
    <w:rsid w:val="00457D8B"/>
    <w:rsid w:val="004605FE"/>
    <w:rsid w:val="00460A17"/>
    <w:rsid w:val="004622E4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507A"/>
    <w:rsid w:val="00487366"/>
    <w:rsid w:val="004873E4"/>
    <w:rsid w:val="0049072C"/>
    <w:rsid w:val="00490FD1"/>
    <w:rsid w:val="0049122E"/>
    <w:rsid w:val="00491AD2"/>
    <w:rsid w:val="004935C0"/>
    <w:rsid w:val="00493696"/>
    <w:rsid w:val="00493A1A"/>
    <w:rsid w:val="00493B43"/>
    <w:rsid w:val="00494EB1"/>
    <w:rsid w:val="00494F35"/>
    <w:rsid w:val="00496414"/>
    <w:rsid w:val="00497A38"/>
    <w:rsid w:val="00497F75"/>
    <w:rsid w:val="004A2056"/>
    <w:rsid w:val="004A2219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1E51"/>
    <w:rsid w:val="004D4080"/>
    <w:rsid w:val="004D59F0"/>
    <w:rsid w:val="004E05FD"/>
    <w:rsid w:val="004E1A0D"/>
    <w:rsid w:val="004E23F5"/>
    <w:rsid w:val="004E63E5"/>
    <w:rsid w:val="004E6B76"/>
    <w:rsid w:val="004E7BF4"/>
    <w:rsid w:val="004F18AC"/>
    <w:rsid w:val="004F3540"/>
    <w:rsid w:val="004F3AB1"/>
    <w:rsid w:val="004F5624"/>
    <w:rsid w:val="004F5DA4"/>
    <w:rsid w:val="004F60B4"/>
    <w:rsid w:val="004F62B2"/>
    <w:rsid w:val="004F6424"/>
    <w:rsid w:val="00500570"/>
    <w:rsid w:val="005027C7"/>
    <w:rsid w:val="005040CD"/>
    <w:rsid w:val="005042C8"/>
    <w:rsid w:val="00504623"/>
    <w:rsid w:val="00505229"/>
    <w:rsid w:val="005052C6"/>
    <w:rsid w:val="00505EDB"/>
    <w:rsid w:val="00506B38"/>
    <w:rsid w:val="00506D18"/>
    <w:rsid w:val="00507300"/>
    <w:rsid w:val="00507F98"/>
    <w:rsid w:val="005108A3"/>
    <w:rsid w:val="0051091F"/>
    <w:rsid w:val="00510F6E"/>
    <w:rsid w:val="005118AE"/>
    <w:rsid w:val="00514A51"/>
    <w:rsid w:val="005151DA"/>
    <w:rsid w:val="0051587A"/>
    <w:rsid w:val="005158FA"/>
    <w:rsid w:val="005165AB"/>
    <w:rsid w:val="005169AD"/>
    <w:rsid w:val="005208B9"/>
    <w:rsid w:val="005221F0"/>
    <w:rsid w:val="00522B75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28E3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5E58"/>
    <w:rsid w:val="0058606E"/>
    <w:rsid w:val="00587706"/>
    <w:rsid w:val="00592792"/>
    <w:rsid w:val="005928BD"/>
    <w:rsid w:val="005935F4"/>
    <w:rsid w:val="0059617C"/>
    <w:rsid w:val="005A258F"/>
    <w:rsid w:val="005A346E"/>
    <w:rsid w:val="005A4C97"/>
    <w:rsid w:val="005A73CF"/>
    <w:rsid w:val="005B14D5"/>
    <w:rsid w:val="005B2BE0"/>
    <w:rsid w:val="005B409C"/>
    <w:rsid w:val="005B742A"/>
    <w:rsid w:val="005B798B"/>
    <w:rsid w:val="005C1FAE"/>
    <w:rsid w:val="005C2162"/>
    <w:rsid w:val="005C39E8"/>
    <w:rsid w:val="005C5660"/>
    <w:rsid w:val="005C7731"/>
    <w:rsid w:val="005D162F"/>
    <w:rsid w:val="005D4B68"/>
    <w:rsid w:val="005D5441"/>
    <w:rsid w:val="005D7C3F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0F82"/>
    <w:rsid w:val="006010B0"/>
    <w:rsid w:val="00603148"/>
    <w:rsid w:val="0060534B"/>
    <w:rsid w:val="00605447"/>
    <w:rsid w:val="00606753"/>
    <w:rsid w:val="00606FC7"/>
    <w:rsid w:val="00610456"/>
    <w:rsid w:val="00611473"/>
    <w:rsid w:val="00611B36"/>
    <w:rsid w:val="00612789"/>
    <w:rsid w:val="00613A34"/>
    <w:rsid w:val="00615ADA"/>
    <w:rsid w:val="00615CC5"/>
    <w:rsid w:val="00616028"/>
    <w:rsid w:val="00621685"/>
    <w:rsid w:val="006221CD"/>
    <w:rsid w:val="006237D8"/>
    <w:rsid w:val="006266A9"/>
    <w:rsid w:val="006300B9"/>
    <w:rsid w:val="00630426"/>
    <w:rsid w:val="006305B8"/>
    <w:rsid w:val="006316C1"/>
    <w:rsid w:val="00631ED4"/>
    <w:rsid w:val="00633BC7"/>
    <w:rsid w:val="00635E9C"/>
    <w:rsid w:val="00637163"/>
    <w:rsid w:val="00637B41"/>
    <w:rsid w:val="0064061C"/>
    <w:rsid w:val="006414EE"/>
    <w:rsid w:val="00642D0A"/>
    <w:rsid w:val="00645BC8"/>
    <w:rsid w:val="00646130"/>
    <w:rsid w:val="00646FE1"/>
    <w:rsid w:val="006470ED"/>
    <w:rsid w:val="00647E20"/>
    <w:rsid w:val="00655795"/>
    <w:rsid w:val="00660727"/>
    <w:rsid w:val="00661140"/>
    <w:rsid w:val="00667893"/>
    <w:rsid w:val="006710DD"/>
    <w:rsid w:val="006714D3"/>
    <w:rsid w:val="0067316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23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197F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204"/>
    <w:rsid w:val="006E3747"/>
    <w:rsid w:val="006E3B9C"/>
    <w:rsid w:val="006E51A2"/>
    <w:rsid w:val="006F0DE2"/>
    <w:rsid w:val="006F2C8B"/>
    <w:rsid w:val="006F3495"/>
    <w:rsid w:val="006F417D"/>
    <w:rsid w:val="006F51EA"/>
    <w:rsid w:val="006F575C"/>
    <w:rsid w:val="006F595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21D"/>
    <w:rsid w:val="00706FEA"/>
    <w:rsid w:val="00707759"/>
    <w:rsid w:val="00710081"/>
    <w:rsid w:val="00710B0D"/>
    <w:rsid w:val="00713CB5"/>
    <w:rsid w:val="007153E5"/>
    <w:rsid w:val="0071558B"/>
    <w:rsid w:val="00716FAC"/>
    <w:rsid w:val="00721189"/>
    <w:rsid w:val="007221C3"/>
    <w:rsid w:val="00722F2C"/>
    <w:rsid w:val="007253A4"/>
    <w:rsid w:val="007254D1"/>
    <w:rsid w:val="00725B32"/>
    <w:rsid w:val="00725B3C"/>
    <w:rsid w:val="007264B0"/>
    <w:rsid w:val="0073360D"/>
    <w:rsid w:val="00733D54"/>
    <w:rsid w:val="00734CDD"/>
    <w:rsid w:val="00735BB1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17E"/>
    <w:rsid w:val="0076411D"/>
    <w:rsid w:val="007650F8"/>
    <w:rsid w:val="007670F8"/>
    <w:rsid w:val="007671D4"/>
    <w:rsid w:val="00770523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3B7B"/>
    <w:rsid w:val="007947C4"/>
    <w:rsid w:val="007953AB"/>
    <w:rsid w:val="00795CE1"/>
    <w:rsid w:val="007A06AC"/>
    <w:rsid w:val="007A7079"/>
    <w:rsid w:val="007B1014"/>
    <w:rsid w:val="007B103F"/>
    <w:rsid w:val="007B1484"/>
    <w:rsid w:val="007B1A10"/>
    <w:rsid w:val="007B1B55"/>
    <w:rsid w:val="007B6547"/>
    <w:rsid w:val="007B6659"/>
    <w:rsid w:val="007B76AB"/>
    <w:rsid w:val="007B7DBD"/>
    <w:rsid w:val="007C1B32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59D3"/>
    <w:rsid w:val="007D65C7"/>
    <w:rsid w:val="007D74D2"/>
    <w:rsid w:val="007D79B5"/>
    <w:rsid w:val="007E09F0"/>
    <w:rsid w:val="007E2334"/>
    <w:rsid w:val="007E23CE"/>
    <w:rsid w:val="007E23F6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2B91"/>
    <w:rsid w:val="00803695"/>
    <w:rsid w:val="00803FD4"/>
    <w:rsid w:val="0080481C"/>
    <w:rsid w:val="0080494A"/>
    <w:rsid w:val="00804A38"/>
    <w:rsid w:val="00804C54"/>
    <w:rsid w:val="00804F1F"/>
    <w:rsid w:val="008056DD"/>
    <w:rsid w:val="0081104C"/>
    <w:rsid w:val="00811D2A"/>
    <w:rsid w:val="00812D16"/>
    <w:rsid w:val="00813417"/>
    <w:rsid w:val="00813522"/>
    <w:rsid w:val="00817A54"/>
    <w:rsid w:val="00817A6B"/>
    <w:rsid w:val="00817C04"/>
    <w:rsid w:val="00821865"/>
    <w:rsid w:val="0082327D"/>
    <w:rsid w:val="0082433D"/>
    <w:rsid w:val="00826509"/>
    <w:rsid w:val="00827A29"/>
    <w:rsid w:val="008322E7"/>
    <w:rsid w:val="0083354D"/>
    <w:rsid w:val="0083561B"/>
    <w:rsid w:val="0083685F"/>
    <w:rsid w:val="00836C13"/>
    <w:rsid w:val="008371F6"/>
    <w:rsid w:val="00837D78"/>
    <w:rsid w:val="00840D79"/>
    <w:rsid w:val="008416D8"/>
    <w:rsid w:val="00841F1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0E0"/>
    <w:rsid w:val="008643FC"/>
    <w:rsid w:val="00864529"/>
    <w:rsid w:val="008649B9"/>
    <w:rsid w:val="0086784F"/>
    <w:rsid w:val="00870394"/>
    <w:rsid w:val="0087073B"/>
    <w:rsid w:val="0087412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79E"/>
    <w:rsid w:val="00892EB4"/>
    <w:rsid w:val="008940AA"/>
    <w:rsid w:val="0089499B"/>
    <w:rsid w:val="00894ACA"/>
    <w:rsid w:val="00894E87"/>
    <w:rsid w:val="00894EC5"/>
    <w:rsid w:val="008956F9"/>
    <w:rsid w:val="008957AC"/>
    <w:rsid w:val="008967B5"/>
    <w:rsid w:val="008A03AC"/>
    <w:rsid w:val="008A11FC"/>
    <w:rsid w:val="008A186D"/>
    <w:rsid w:val="008A20BE"/>
    <w:rsid w:val="008A2B4E"/>
    <w:rsid w:val="008A345A"/>
    <w:rsid w:val="008A396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D92"/>
    <w:rsid w:val="008D2205"/>
    <w:rsid w:val="008D2331"/>
    <w:rsid w:val="008D26D3"/>
    <w:rsid w:val="008D2E9B"/>
    <w:rsid w:val="008D36CD"/>
    <w:rsid w:val="008D4380"/>
    <w:rsid w:val="008D48D1"/>
    <w:rsid w:val="008D50E3"/>
    <w:rsid w:val="008D5B7E"/>
    <w:rsid w:val="008F2C49"/>
    <w:rsid w:val="008F478C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301"/>
    <w:rsid w:val="00917C0F"/>
    <w:rsid w:val="00917D2A"/>
    <w:rsid w:val="0092040E"/>
    <w:rsid w:val="00920C6C"/>
    <w:rsid w:val="00921986"/>
    <w:rsid w:val="009227D9"/>
    <w:rsid w:val="009253FC"/>
    <w:rsid w:val="00925D9E"/>
    <w:rsid w:val="00926121"/>
    <w:rsid w:val="00927791"/>
    <w:rsid w:val="00930607"/>
    <w:rsid w:val="00930D0A"/>
    <w:rsid w:val="00931DD1"/>
    <w:rsid w:val="009329BA"/>
    <w:rsid w:val="0093304D"/>
    <w:rsid w:val="009356C6"/>
    <w:rsid w:val="009356D3"/>
    <w:rsid w:val="00936939"/>
    <w:rsid w:val="0094053B"/>
    <w:rsid w:val="00940D04"/>
    <w:rsid w:val="00942040"/>
    <w:rsid w:val="00942C9F"/>
    <w:rsid w:val="00945631"/>
    <w:rsid w:val="00947549"/>
    <w:rsid w:val="00951BDD"/>
    <w:rsid w:val="0095379C"/>
    <w:rsid w:val="00955DC8"/>
    <w:rsid w:val="0095793C"/>
    <w:rsid w:val="0096111E"/>
    <w:rsid w:val="00961125"/>
    <w:rsid w:val="00961951"/>
    <w:rsid w:val="00963BD1"/>
    <w:rsid w:val="00966B1F"/>
    <w:rsid w:val="0096748B"/>
    <w:rsid w:val="00970BF0"/>
    <w:rsid w:val="00970C06"/>
    <w:rsid w:val="00974518"/>
    <w:rsid w:val="00975B88"/>
    <w:rsid w:val="00980FE0"/>
    <w:rsid w:val="00983A15"/>
    <w:rsid w:val="00983D7E"/>
    <w:rsid w:val="009905CC"/>
    <w:rsid w:val="009927BB"/>
    <w:rsid w:val="009928B7"/>
    <w:rsid w:val="0099321A"/>
    <w:rsid w:val="009960B7"/>
    <w:rsid w:val="00997986"/>
    <w:rsid w:val="009A09F6"/>
    <w:rsid w:val="009A1B3A"/>
    <w:rsid w:val="009A27A3"/>
    <w:rsid w:val="009A324E"/>
    <w:rsid w:val="009A3D53"/>
    <w:rsid w:val="009B1A54"/>
    <w:rsid w:val="009B39D3"/>
    <w:rsid w:val="009B536C"/>
    <w:rsid w:val="009B6496"/>
    <w:rsid w:val="009B69D5"/>
    <w:rsid w:val="009B7471"/>
    <w:rsid w:val="009C01DA"/>
    <w:rsid w:val="009C0259"/>
    <w:rsid w:val="009C070E"/>
    <w:rsid w:val="009C0F70"/>
    <w:rsid w:val="009C20CC"/>
    <w:rsid w:val="009C3558"/>
    <w:rsid w:val="009C562E"/>
    <w:rsid w:val="009C5A37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5474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2E8"/>
    <w:rsid w:val="00A11B05"/>
    <w:rsid w:val="00A12B81"/>
    <w:rsid w:val="00A13BDD"/>
    <w:rsid w:val="00A15F86"/>
    <w:rsid w:val="00A206ED"/>
    <w:rsid w:val="00A20806"/>
    <w:rsid w:val="00A20C7F"/>
    <w:rsid w:val="00A212DF"/>
    <w:rsid w:val="00A21BD8"/>
    <w:rsid w:val="00A22DBA"/>
    <w:rsid w:val="00A232B2"/>
    <w:rsid w:val="00A24800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8CA"/>
    <w:rsid w:val="00A53220"/>
    <w:rsid w:val="00A538E6"/>
    <w:rsid w:val="00A540C1"/>
    <w:rsid w:val="00A55D48"/>
    <w:rsid w:val="00A56800"/>
    <w:rsid w:val="00A56D7E"/>
    <w:rsid w:val="00A5729F"/>
    <w:rsid w:val="00A57404"/>
    <w:rsid w:val="00A575BD"/>
    <w:rsid w:val="00A57AB2"/>
    <w:rsid w:val="00A60BB4"/>
    <w:rsid w:val="00A60EEC"/>
    <w:rsid w:val="00A6181C"/>
    <w:rsid w:val="00A631C6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4EFD"/>
    <w:rsid w:val="00A85357"/>
    <w:rsid w:val="00A902DD"/>
    <w:rsid w:val="00A91617"/>
    <w:rsid w:val="00A920F9"/>
    <w:rsid w:val="00A9262B"/>
    <w:rsid w:val="00A93207"/>
    <w:rsid w:val="00A9432C"/>
    <w:rsid w:val="00A9482B"/>
    <w:rsid w:val="00A95230"/>
    <w:rsid w:val="00A95BDB"/>
    <w:rsid w:val="00A96FA8"/>
    <w:rsid w:val="00A9770A"/>
    <w:rsid w:val="00A97A85"/>
    <w:rsid w:val="00AA0DD3"/>
    <w:rsid w:val="00AA1C07"/>
    <w:rsid w:val="00AA33B6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0C2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4666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AF7A57"/>
    <w:rsid w:val="00B007DD"/>
    <w:rsid w:val="00B0098A"/>
    <w:rsid w:val="00B01016"/>
    <w:rsid w:val="00B0146E"/>
    <w:rsid w:val="00B027CB"/>
    <w:rsid w:val="00B0352B"/>
    <w:rsid w:val="00B03A73"/>
    <w:rsid w:val="00B06321"/>
    <w:rsid w:val="00B07340"/>
    <w:rsid w:val="00B074F8"/>
    <w:rsid w:val="00B10065"/>
    <w:rsid w:val="00B107E6"/>
    <w:rsid w:val="00B1125D"/>
    <w:rsid w:val="00B145CD"/>
    <w:rsid w:val="00B14B18"/>
    <w:rsid w:val="00B17FAB"/>
    <w:rsid w:val="00B2099F"/>
    <w:rsid w:val="00B22C5F"/>
    <w:rsid w:val="00B23687"/>
    <w:rsid w:val="00B25710"/>
    <w:rsid w:val="00B25A15"/>
    <w:rsid w:val="00B2724E"/>
    <w:rsid w:val="00B273AF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0ED3"/>
    <w:rsid w:val="00B6169C"/>
    <w:rsid w:val="00B62854"/>
    <w:rsid w:val="00B62EF1"/>
    <w:rsid w:val="00B63087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F31"/>
    <w:rsid w:val="00B90477"/>
    <w:rsid w:val="00B92AA5"/>
    <w:rsid w:val="00B93211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B71F4"/>
    <w:rsid w:val="00BC0AD6"/>
    <w:rsid w:val="00BC3584"/>
    <w:rsid w:val="00BC4673"/>
    <w:rsid w:val="00BC5BE1"/>
    <w:rsid w:val="00BC77A6"/>
    <w:rsid w:val="00BC7E22"/>
    <w:rsid w:val="00BD5B0B"/>
    <w:rsid w:val="00BE0AA9"/>
    <w:rsid w:val="00BE1905"/>
    <w:rsid w:val="00BE1CB6"/>
    <w:rsid w:val="00BE2A1F"/>
    <w:rsid w:val="00BE331D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11E4"/>
    <w:rsid w:val="00C01928"/>
    <w:rsid w:val="00C02239"/>
    <w:rsid w:val="00C022E1"/>
    <w:rsid w:val="00C0398D"/>
    <w:rsid w:val="00C0539F"/>
    <w:rsid w:val="00C117A3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165"/>
    <w:rsid w:val="00C33552"/>
    <w:rsid w:val="00C3456F"/>
    <w:rsid w:val="00C34B40"/>
    <w:rsid w:val="00C34EFD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4082"/>
    <w:rsid w:val="00C54401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6B9"/>
    <w:rsid w:val="00C94C96"/>
    <w:rsid w:val="00C9524B"/>
    <w:rsid w:val="00C952FF"/>
    <w:rsid w:val="00C95D8D"/>
    <w:rsid w:val="00CA24F2"/>
    <w:rsid w:val="00CA2883"/>
    <w:rsid w:val="00CA2AEF"/>
    <w:rsid w:val="00CA4921"/>
    <w:rsid w:val="00CA6136"/>
    <w:rsid w:val="00CA6BCC"/>
    <w:rsid w:val="00CA71DA"/>
    <w:rsid w:val="00CB06C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5904"/>
    <w:rsid w:val="00CF625A"/>
    <w:rsid w:val="00CF6384"/>
    <w:rsid w:val="00CF6902"/>
    <w:rsid w:val="00CF7924"/>
    <w:rsid w:val="00D030B3"/>
    <w:rsid w:val="00D06235"/>
    <w:rsid w:val="00D06E88"/>
    <w:rsid w:val="00D0750E"/>
    <w:rsid w:val="00D07B2B"/>
    <w:rsid w:val="00D11F90"/>
    <w:rsid w:val="00D13527"/>
    <w:rsid w:val="00D1569B"/>
    <w:rsid w:val="00D15E4E"/>
    <w:rsid w:val="00D161AC"/>
    <w:rsid w:val="00D174E6"/>
    <w:rsid w:val="00D17601"/>
    <w:rsid w:val="00D20D6E"/>
    <w:rsid w:val="00D21300"/>
    <w:rsid w:val="00D230DC"/>
    <w:rsid w:val="00D303A6"/>
    <w:rsid w:val="00D303E8"/>
    <w:rsid w:val="00D31BA6"/>
    <w:rsid w:val="00D31EB9"/>
    <w:rsid w:val="00D335E1"/>
    <w:rsid w:val="00D35FEA"/>
    <w:rsid w:val="00D366E4"/>
    <w:rsid w:val="00D423AC"/>
    <w:rsid w:val="00D44DC6"/>
    <w:rsid w:val="00D50470"/>
    <w:rsid w:val="00D514E5"/>
    <w:rsid w:val="00D53685"/>
    <w:rsid w:val="00D53923"/>
    <w:rsid w:val="00D539D5"/>
    <w:rsid w:val="00D544D5"/>
    <w:rsid w:val="00D5508E"/>
    <w:rsid w:val="00D57530"/>
    <w:rsid w:val="00D602DE"/>
    <w:rsid w:val="00D6096A"/>
    <w:rsid w:val="00D60ABE"/>
    <w:rsid w:val="00D60CE5"/>
    <w:rsid w:val="00D61811"/>
    <w:rsid w:val="00D62055"/>
    <w:rsid w:val="00D62FFB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5732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0CB"/>
    <w:rsid w:val="00D97214"/>
    <w:rsid w:val="00D97A7B"/>
    <w:rsid w:val="00DA0D4C"/>
    <w:rsid w:val="00DA1259"/>
    <w:rsid w:val="00DA1AAD"/>
    <w:rsid w:val="00DA1BE8"/>
    <w:rsid w:val="00DA1E08"/>
    <w:rsid w:val="00DA4A52"/>
    <w:rsid w:val="00DA4E45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9BE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6D6F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80C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36D0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0CED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8F1"/>
    <w:rsid w:val="00E85948"/>
    <w:rsid w:val="00E86536"/>
    <w:rsid w:val="00E87EE7"/>
    <w:rsid w:val="00E9167E"/>
    <w:rsid w:val="00E922A4"/>
    <w:rsid w:val="00E92B02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4C7"/>
    <w:rsid w:val="00EB4951"/>
    <w:rsid w:val="00EB4974"/>
    <w:rsid w:val="00EB4BBD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0B13"/>
    <w:rsid w:val="00EE1490"/>
    <w:rsid w:val="00EE1855"/>
    <w:rsid w:val="00EE2B68"/>
    <w:rsid w:val="00EE491D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1E8D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1C"/>
    <w:rsid w:val="00F44FAB"/>
    <w:rsid w:val="00F450D1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33D8"/>
    <w:rsid w:val="00F961BB"/>
    <w:rsid w:val="00F97406"/>
    <w:rsid w:val="00FA072C"/>
    <w:rsid w:val="00FA4827"/>
    <w:rsid w:val="00FB09FD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29D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BCBFD"/>
  <w15:docId w15:val="{B9357AE1-2F77-44A3-964D-9AB9CDC9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4A2219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4A2219"/>
    <w:pPr>
      <w:widowControl w:val="0"/>
      <w:tabs>
        <w:tab w:val="clear" w:pos="567"/>
      </w:tabs>
      <w:spacing w:after="20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4605FE"/>
    <w:pPr>
      <w:ind w:left="720"/>
      <w:contextualSpacing/>
    </w:pPr>
  </w:style>
  <w:style w:type="paragraph" w:customStyle="1" w:styleId="Default">
    <w:name w:val="Default"/>
    <w:rsid w:val="004006EB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802B91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354EAD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A5E26-66DA-4DFD-BBBD-E2A3CC096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6622</Words>
  <Characters>45694</Characters>
  <Application>Microsoft Office Word</Application>
  <DocSecurity>0</DocSecurity>
  <Lines>380</Lines>
  <Paragraphs>104</Paragraphs>
  <ScaleCrop>false</ScaleCrop>
  <Company/>
  <LinksUpToDate>false</LinksUpToDate>
  <CharactersWithSpaces>52212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HU_OGYI_63.1</cp:lastModifiedBy>
  <cp:revision>6</cp:revision>
  <dcterms:created xsi:type="dcterms:W3CDTF">2026-06-03T11:22:00Z</dcterms:created>
  <dcterms:modified xsi:type="dcterms:W3CDTF">2026-08-28T07:18:00Z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2026-06-03T11:22:49Z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23b929f7-6df8-4456-a808-6bef61b80aca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