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1F4E0" w14:textId="77777777" w:rsidR="00F45C51" w:rsidRPr="004461E5" w:rsidRDefault="007B6547" w:rsidP="00082A8E">
      <w:pPr>
        <w:widowControl w:val="0"/>
        <w:spacing w:line="240" w:lineRule="auto"/>
        <w:rPr>
          <w:color w:val="000000" w:themeColor="text1"/>
          <w:lang w:val="hu-HU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10CC028E" w14:textId="77777777" w:rsidR="00F45C51" w:rsidRPr="00C011E4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9191E9" w14:textId="1CCD4AE8" w:rsidR="004A2219" w:rsidRPr="00C011E4" w:rsidRDefault="0022634E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Jazeta</w:t>
      </w:r>
      <w:r w:rsidR="005D162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4A2219" w:rsidRPr="00C011E4">
        <w:rPr>
          <w:rFonts w:eastAsia="Times New Roman"/>
          <w:noProof/>
          <w:snapToGrid/>
          <w:szCs w:val="22"/>
          <w:lang w:val="hu-HU" w:eastAsia="en-US"/>
        </w:rPr>
        <w:t>100</w:t>
      </w:r>
      <w:r w:rsidR="00A60BB4" w:rsidRPr="00C011E4">
        <w:rPr>
          <w:rFonts w:eastAsia="Times New Roman"/>
          <w:noProof/>
          <w:snapToGrid/>
          <w:szCs w:val="22"/>
          <w:lang w:val="hu-HU" w:eastAsia="en-US"/>
        </w:rPr>
        <w:t> mg</w:t>
      </w:r>
      <w:r w:rsidR="004A2219" w:rsidRPr="00C011E4">
        <w:rPr>
          <w:rFonts w:eastAsia="Times New Roman"/>
          <w:noProof/>
          <w:snapToGrid/>
          <w:szCs w:val="22"/>
          <w:lang w:val="hu-HU" w:eastAsia="en-US"/>
        </w:rPr>
        <w:t xml:space="preserve"> filmtabletta</w:t>
      </w:r>
    </w:p>
    <w:p w14:paraId="4DD53289" w14:textId="77777777" w:rsidR="00F45C51" w:rsidRPr="00C011E4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6FD5A84" w14:textId="77777777" w:rsidR="00F45C51" w:rsidRPr="00C011E4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0863DEB" w14:textId="77777777" w:rsidR="00F45C51" w:rsidRPr="00C011E4" w:rsidRDefault="007B6547" w:rsidP="00082A8E">
      <w:pPr>
        <w:widowControl w:val="0"/>
        <w:spacing w:line="240" w:lineRule="auto"/>
        <w:rPr>
          <w:b/>
          <w:lang w:val="hu-HU"/>
        </w:rPr>
      </w:pPr>
      <w:r w:rsidRPr="00C011E4">
        <w:rPr>
          <w:b/>
          <w:lang w:val="hu-HU"/>
        </w:rPr>
        <w:t>2.</w:t>
      </w:r>
      <w:r w:rsidRPr="00C011E4">
        <w:rPr>
          <w:b/>
          <w:lang w:val="hu-HU"/>
        </w:rPr>
        <w:tab/>
        <w:t>MINŐSÉGI ÉS MENNYISÉGI ÖSSZETÉTEL</w:t>
      </w:r>
    </w:p>
    <w:p w14:paraId="2912B56E" w14:textId="77777777" w:rsidR="004A2219" w:rsidRPr="00C011E4" w:rsidRDefault="004A2219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DC707AA" w14:textId="4F45E1E2" w:rsidR="004A2219" w:rsidRPr="00C011E4" w:rsidRDefault="004A2219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>100</w:t>
      </w:r>
      <w:r w:rsidR="00A60BB4" w:rsidRPr="00C011E4">
        <w:rPr>
          <w:rFonts w:eastAsia="Times New Roman"/>
          <w:noProof/>
          <w:snapToGrid/>
          <w:szCs w:val="22"/>
          <w:lang w:val="hu-HU" w:eastAsia="en-US"/>
        </w:rPr>
        <w:t> mg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szitagliptin</w:t>
      </w:r>
      <w:r w:rsidR="005027C7">
        <w:rPr>
          <w:rFonts w:eastAsia="Times New Roman"/>
          <w:noProof/>
          <w:snapToGrid/>
          <w:szCs w:val="22"/>
          <w:lang w:val="hu-HU" w:eastAsia="en-US"/>
        </w:rPr>
        <w:t>t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5027C7">
        <w:rPr>
          <w:rFonts w:eastAsia="Times New Roman"/>
          <w:noProof/>
          <w:snapToGrid/>
          <w:szCs w:val="22"/>
          <w:lang w:val="hu-HU" w:eastAsia="en-US"/>
        </w:rPr>
        <w:t>tartalmaz</w:t>
      </w:r>
      <w:r w:rsidR="005027C7" w:rsidRPr="00C011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5027C7">
        <w:rPr>
          <w:rFonts w:eastAsia="Times New Roman"/>
          <w:noProof/>
          <w:snapToGrid/>
          <w:szCs w:val="22"/>
          <w:lang w:val="hu-HU" w:eastAsia="en-US"/>
        </w:rPr>
        <w:t>(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szitagliptin-hidroklorid-monohidrát</w:t>
      </w:r>
      <w:r w:rsidR="005027C7">
        <w:rPr>
          <w:rFonts w:eastAsia="Times New Roman"/>
          <w:noProof/>
          <w:snapToGrid/>
          <w:szCs w:val="22"/>
          <w:lang w:val="hu-HU" w:eastAsia="en-US"/>
        </w:rPr>
        <w:t xml:space="preserve"> formájában)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filmtablettánként.</w:t>
      </w:r>
    </w:p>
    <w:p w14:paraId="3478011C" w14:textId="77777777" w:rsidR="004A2219" w:rsidRPr="00C011E4" w:rsidRDefault="004A2219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E4D6E30" w14:textId="4BD5FA94" w:rsidR="00F45C51" w:rsidRPr="00C011E4" w:rsidRDefault="007B6547" w:rsidP="00082A8E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  <w:r w:rsidRPr="00C011E4">
        <w:rPr>
          <w:bCs/>
          <w:noProof/>
          <w:szCs w:val="22"/>
          <w:u w:val="single"/>
          <w:lang w:val="hu-HU"/>
        </w:rPr>
        <w:t>Ismert hatású segédanyag</w:t>
      </w:r>
      <w:r w:rsidRPr="00C011E4">
        <w:rPr>
          <w:u w:val="single"/>
          <w:lang w:val="hu-HU"/>
        </w:rPr>
        <w:t>(ok)</w:t>
      </w:r>
    </w:p>
    <w:p w14:paraId="6B88FB5B" w14:textId="5ADBB342" w:rsidR="00127C1D" w:rsidRPr="00C011E4" w:rsidRDefault="00127C1D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14:paraId="55D4D9D7" w14:textId="144EEDB7" w:rsidR="008A53A7" w:rsidRPr="00C011E4" w:rsidRDefault="00111AC4" w:rsidP="00082A8E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  <w:r w:rsidRPr="00C011E4">
        <w:rPr>
          <w:lang w:val="hu-HU"/>
        </w:rPr>
        <w:t xml:space="preserve">A segédanyagok teljes </w:t>
      </w:r>
      <w:r w:rsidR="00127C1D" w:rsidRPr="00C011E4">
        <w:rPr>
          <w:bCs/>
          <w:noProof/>
          <w:szCs w:val="22"/>
          <w:lang w:val="hu-HU"/>
        </w:rPr>
        <w:t>list</w:t>
      </w:r>
      <w:r w:rsidRPr="00C011E4">
        <w:rPr>
          <w:bCs/>
          <w:noProof/>
          <w:szCs w:val="22"/>
          <w:lang w:val="hu-HU"/>
        </w:rPr>
        <w:t>á</w:t>
      </w:r>
      <w:r w:rsidR="00127C1D" w:rsidRPr="00C011E4">
        <w:rPr>
          <w:bCs/>
          <w:noProof/>
          <w:szCs w:val="22"/>
          <w:lang w:val="hu-HU"/>
        </w:rPr>
        <w:t>j</w:t>
      </w:r>
      <w:r w:rsidRPr="00C011E4">
        <w:rPr>
          <w:bCs/>
          <w:noProof/>
          <w:szCs w:val="22"/>
          <w:lang w:val="hu-HU"/>
        </w:rPr>
        <w:t>át</w:t>
      </w:r>
      <w:r w:rsidRPr="00C011E4">
        <w:rPr>
          <w:lang w:val="hu-HU"/>
        </w:rPr>
        <w:t xml:space="preserve"> lásd a 6.1</w:t>
      </w:r>
      <w:r w:rsidR="006E3747" w:rsidRPr="00C011E4">
        <w:rPr>
          <w:lang w:val="hu-HU"/>
        </w:rPr>
        <w:t> pont</w:t>
      </w:r>
      <w:r w:rsidRPr="00C011E4">
        <w:rPr>
          <w:lang w:val="hu-HU"/>
        </w:rPr>
        <w:t>ban</w:t>
      </w:r>
      <w:r w:rsidRPr="00C011E4">
        <w:rPr>
          <w:bCs/>
          <w:noProof/>
          <w:szCs w:val="22"/>
          <w:lang w:val="hu-HU"/>
        </w:rPr>
        <w:t>.</w:t>
      </w:r>
    </w:p>
    <w:p w14:paraId="61B5E9DD" w14:textId="183C8786" w:rsidR="00F45C51" w:rsidRDefault="00F45C51" w:rsidP="00082A8E">
      <w:pPr>
        <w:widowControl w:val="0"/>
        <w:spacing w:line="240" w:lineRule="auto"/>
        <w:rPr>
          <w:b/>
          <w:lang w:val="hu-HU"/>
        </w:rPr>
      </w:pPr>
    </w:p>
    <w:p w14:paraId="6527EF07" w14:textId="77777777" w:rsidR="009905CC" w:rsidRPr="00C011E4" w:rsidRDefault="009905CC" w:rsidP="00082A8E">
      <w:pPr>
        <w:widowControl w:val="0"/>
        <w:spacing w:line="240" w:lineRule="auto"/>
        <w:rPr>
          <w:b/>
          <w:lang w:val="hu-HU"/>
        </w:rPr>
      </w:pPr>
    </w:p>
    <w:p w14:paraId="1AD9BE8B" w14:textId="77777777" w:rsidR="00F45C51" w:rsidRPr="00C011E4" w:rsidRDefault="007B6547" w:rsidP="00082A8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2E6FAC9E" w14:textId="77777777" w:rsidR="00F45C51" w:rsidRPr="00C011E4" w:rsidRDefault="00F45C51" w:rsidP="00082A8E">
      <w:pPr>
        <w:spacing w:line="240" w:lineRule="auto"/>
        <w:ind w:left="567" w:hanging="567"/>
        <w:rPr>
          <w:b/>
          <w:lang w:val="hu-HU"/>
        </w:rPr>
      </w:pPr>
    </w:p>
    <w:p w14:paraId="2A842543" w14:textId="3302404D" w:rsidR="00F45C51" w:rsidRDefault="004F60B4" w:rsidP="00082A8E">
      <w:pPr>
        <w:spacing w:line="240" w:lineRule="auto"/>
        <w:rPr>
          <w:lang w:val="hu-HU" w:eastAsia="en-US"/>
        </w:rPr>
      </w:pPr>
      <w:r w:rsidRPr="00C011E4">
        <w:rPr>
          <w:lang w:val="hu-HU" w:eastAsia="en-US"/>
        </w:rPr>
        <w:t>Filmtabletta.</w:t>
      </w:r>
    </w:p>
    <w:p w14:paraId="0CA292DD" w14:textId="5E4A6392" w:rsidR="00D030B3" w:rsidRDefault="00D030B3" w:rsidP="004F60B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EDD12F7" w14:textId="104AA4CE" w:rsidR="004F60B4" w:rsidRPr="00C011E4" w:rsidRDefault="00D030B3" w:rsidP="004F60B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Bézs színű, k</w:t>
      </w:r>
      <w:r w:rsidR="009F5474" w:rsidRPr="00C011E4">
        <w:rPr>
          <w:rFonts w:eastAsia="Times New Roman"/>
          <w:noProof/>
          <w:snapToGrid/>
          <w:szCs w:val="22"/>
          <w:lang w:val="hu-HU" w:eastAsia="en-US"/>
        </w:rPr>
        <w:t>erek, mindkét oldalán domború,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filmbevonattal ellátott tabletta,</w:t>
      </w:r>
      <w:r w:rsidR="009F5474" w:rsidRPr="00C011E4">
        <w:rPr>
          <w:rFonts w:eastAsia="Times New Roman"/>
          <w:noProof/>
          <w:snapToGrid/>
          <w:szCs w:val="22"/>
          <w:lang w:val="hu-HU" w:eastAsia="en-US"/>
        </w:rPr>
        <w:t xml:space="preserve"> egyik oldalán „L” </w:t>
      </w:r>
      <w:r>
        <w:rPr>
          <w:rFonts w:eastAsia="Times New Roman"/>
          <w:noProof/>
          <w:snapToGrid/>
          <w:szCs w:val="22"/>
          <w:lang w:val="hu-HU" w:eastAsia="en-US"/>
        </w:rPr>
        <w:t>mélynyomású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9F5474" w:rsidRPr="00C011E4">
        <w:rPr>
          <w:rFonts w:eastAsia="Times New Roman"/>
          <w:noProof/>
          <w:snapToGrid/>
          <w:szCs w:val="22"/>
          <w:lang w:val="hu-HU" w:eastAsia="en-US"/>
        </w:rPr>
        <w:t>jelöléssel, másik oldalán jelöl</w:t>
      </w:r>
      <w:r>
        <w:rPr>
          <w:rFonts w:eastAsia="Times New Roman"/>
          <w:noProof/>
          <w:snapToGrid/>
          <w:szCs w:val="22"/>
          <w:lang w:val="hu-HU" w:eastAsia="en-US"/>
        </w:rPr>
        <w:t>etlen; átmérője körülbelül 9,8 mm</w:t>
      </w:r>
      <w:r w:rsidR="009F5474" w:rsidRPr="00C011E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A9634BD" w14:textId="77777777" w:rsidR="00F45C51" w:rsidRPr="00C011E4" w:rsidRDefault="00F45C51" w:rsidP="00082A8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5F71EF61" w14:textId="77777777" w:rsidR="00F45C51" w:rsidRPr="00C011E4" w:rsidRDefault="00F45C51" w:rsidP="00082A8E">
      <w:pPr>
        <w:spacing w:line="240" w:lineRule="auto"/>
        <w:rPr>
          <w:lang w:val="hu-HU"/>
        </w:rPr>
      </w:pPr>
    </w:p>
    <w:p w14:paraId="30F94956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011E4">
        <w:rPr>
          <w:b/>
          <w:lang w:val="hu-HU"/>
        </w:rPr>
        <w:t>4.</w:t>
      </w:r>
      <w:r w:rsidRPr="00C011E4">
        <w:rPr>
          <w:b/>
          <w:lang w:val="hu-HU"/>
        </w:rPr>
        <w:tab/>
        <w:t>KLINIKAI JELLEMZŐK</w:t>
      </w:r>
    </w:p>
    <w:p w14:paraId="667F2DB3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809147A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4F636E1A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C808AC2" w14:textId="08A4A042" w:rsidR="009F5474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 xml:space="preserve">A </w:t>
      </w:r>
      <w:r w:rsidR="0022634E" w:rsidRPr="00201E56">
        <w:rPr>
          <w:rFonts w:eastAsia="Times New Roman"/>
          <w:noProof/>
          <w:snapToGrid/>
          <w:szCs w:val="22"/>
          <w:lang w:val="hu-HU" w:eastAsia="en-US"/>
        </w:rPr>
        <w:t>Jazeta</w:t>
      </w:r>
      <w:r w:rsidR="005D162F" w:rsidRPr="00D970CB" w:rsidDel="005D162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2-es típusú diabetes mellitusban szenvedő felnőttek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gl</w:t>
      </w:r>
      <w:r w:rsidR="001B061F">
        <w:rPr>
          <w:rFonts w:eastAsia="Times New Roman"/>
          <w:snapToGrid/>
          <w:szCs w:val="22"/>
          <w:lang w:val="hu-HU" w:eastAsia="en-US"/>
        </w:rPr>
        <w:t>y</w:t>
      </w:r>
      <w:r w:rsidRPr="00C011E4">
        <w:rPr>
          <w:rFonts w:eastAsia="Times New Roman"/>
          <w:snapToGrid/>
          <w:szCs w:val="22"/>
          <w:lang w:val="hu-HU" w:eastAsia="en-US"/>
        </w:rPr>
        <w:t>k</w:t>
      </w:r>
      <w:r w:rsidR="001B061F">
        <w:rPr>
          <w:rFonts w:eastAsia="Times New Roman"/>
          <w:snapToGrid/>
          <w:szCs w:val="22"/>
          <w:lang w:val="hu-HU" w:eastAsia="en-US"/>
        </w:rPr>
        <w:t>ae</w:t>
      </w:r>
      <w:r w:rsidRPr="00C011E4">
        <w:rPr>
          <w:rFonts w:eastAsia="Times New Roman"/>
          <w:snapToGrid/>
          <w:szCs w:val="22"/>
          <w:lang w:val="hu-HU" w:eastAsia="en-US"/>
        </w:rPr>
        <w:t>miás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kontrolljának javítására javallott:</w:t>
      </w:r>
    </w:p>
    <w:p w14:paraId="603709E1" w14:textId="77777777" w:rsidR="004605FE" w:rsidRPr="00C011E4" w:rsidRDefault="004605FE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2E330FD" w14:textId="2EA4C2EB" w:rsidR="004605FE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monoterápiában</w:t>
      </w:r>
      <w:proofErr w:type="spellEnd"/>
    </w:p>
    <w:p w14:paraId="410735B4" w14:textId="282FEBCF" w:rsidR="009F5474" w:rsidRPr="00C011E4" w:rsidRDefault="009F5474" w:rsidP="004605FE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 xml:space="preserve">olyan betegek esetén, akiknél </w:t>
      </w:r>
      <w:r w:rsidR="001B061F">
        <w:rPr>
          <w:rFonts w:eastAsia="Times New Roman"/>
          <w:snapToGrid/>
          <w:szCs w:val="22"/>
          <w:lang w:val="hu-HU" w:eastAsia="en-US"/>
        </w:rPr>
        <w:t xml:space="preserve">önmagában 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a diéta és a testmozgás mellett a </w:t>
      </w:r>
      <w:proofErr w:type="spellStart"/>
      <w:r w:rsidR="001B061F">
        <w:rPr>
          <w:rFonts w:eastAsia="Times New Roman"/>
          <w:snapToGrid/>
          <w:szCs w:val="22"/>
          <w:lang w:val="hu-HU" w:eastAsia="en-US"/>
        </w:rPr>
        <w:t>glykaemiás</w:t>
      </w:r>
      <w:proofErr w:type="spellEnd"/>
      <w:r w:rsidR="001B061F">
        <w:rPr>
          <w:rFonts w:eastAsia="Times New Roman"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kontroll nem megfelelő, és akik számára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ellenjavallatok vagy intolerancia miatt nem alkalmazható.</w:t>
      </w:r>
    </w:p>
    <w:p w14:paraId="238B47DD" w14:textId="77777777" w:rsidR="004605FE" w:rsidRPr="00C011E4" w:rsidRDefault="004605FE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1633F6C" w14:textId="01D67B08" w:rsidR="004605FE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kettős or</w:t>
      </w:r>
      <w:r w:rsidR="00031367">
        <w:rPr>
          <w:rFonts w:eastAsia="Times New Roman"/>
          <w:snapToGrid/>
          <w:szCs w:val="22"/>
          <w:lang w:val="hu-HU" w:eastAsia="en-US"/>
        </w:rPr>
        <w:t>á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lis terápiában, a következő </w:t>
      </w:r>
      <w:r w:rsidR="001B061F">
        <w:rPr>
          <w:rFonts w:eastAsia="Times New Roman"/>
          <w:snapToGrid/>
          <w:szCs w:val="22"/>
          <w:lang w:val="hu-HU" w:eastAsia="en-US"/>
        </w:rPr>
        <w:t>gyógy</w:t>
      </w:r>
      <w:r w:rsidRPr="00C011E4">
        <w:rPr>
          <w:rFonts w:eastAsia="Times New Roman"/>
          <w:snapToGrid/>
          <w:szCs w:val="22"/>
          <w:lang w:val="hu-HU" w:eastAsia="en-US"/>
        </w:rPr>
        <w:t>szerekkel kombinálva</w:t>
      </w:r>
    </w:p>
    <w:p w14:paraId="1A246FBB" w14:textId="1C3A843A" w:rsidR="004605FE" w:rsidRPr="00C34EFD" w:rsidRDefault="009F5474" w:rsidP="00C34EFD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metforminnal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kombinációban adva, ha a diéta és a testmozgás mellett egyedül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metformint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alkalmazva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gl</w:t>
      </w:r>
      <w:r w:rsidR="001B061F">
        <w:rPr>
          <w:rFonts w:eastAsia="Times New Roman"/>
          <w:snapToGrid/>
          <w:szCs w:val="22"/>
          <w:lang w:val="hu-HU" w:eastAsia="en-US"/>
        </w:rPr>
        <w:t>y</w:t>
      </w:r>
      <w:r w:rsidRPr="00C011E4">
        <w:rPr>
          <w:rFonts w:eastAsia="Times New Roman"/>
          <w:snapToGrid/>
          <w:szCs w:val="22"/>
          <w:lang w:val="hu-HU" w:eastAsia="en-US"/>
        </w:rPr>
        <w:t>k</w:t>
      </w:r>
      <w:r w:rsidR="001B061F">
        <w:rPr>
          <w:rFonts w:eastAsia="Times New Roman"/>
          <w:snapToGrid/>
          <w:szCs w:val="22"/>
          <w:lang w:val="hu-HU" w:eastAsia="en-US"/>
        </w:rPr>
        <w:t>ae</w:t>
      </w:r>
      <w:r w:rsidRPr="00C011E4">
        <w:rPr>
          <w:rFonts w:eastAsia="Times New Roman"/>
          <w:snapToGrid/>
          <w:szCs w:val="22"/>
          <w:lang w:val="hu-HU" w:eastAsia="en-US"/>
        </w:rPr>
        <w:t>miás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 nem megfelelő.</w:t>
      </w:r>
    </w:p>
    <w:p w14:paraId="1F8FAFC5" w14:textId="0BEF5FE5" w:rsidR="004605FE" w:rsidRPr="00C34EFD" w:rsidRDefault="009F5474" w:rsidP="00C34EFD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szulfonilureával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kombinációban adva, ha a diéta és a testmozgás mellett egyedül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szulfonilurea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maximális tolerált </w:t>
      </w:r>
      <w:r w:rsidR="001B061F">
        <w:rPr>
          <w:rFonts w:eastAsia="Times New Roman"/>
          <w:snapToGrid/>
          <w:szCs w:val="22"/>
          <w:lang w:val="hu-HU" w:eastAsia="en-US"/>
        </w:rPr>
        <w:t>dózis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a nem biztosít megfelelő </w:t>
      </w:r>
      <w:proofErr w:type="spellStart"/>
      <w:r w:rsidR="001B061F">
        <w:rPr>
          <w:rFonts w:eastAsia="Times New Roman"/>
          <w:snapToGrid/>
          <w:szCs w:val="22"/>
          <w:lang w:val="hu-HU" w:eastAsia="en-US"/>
        </w:rPr>
        <w:t>glykaemi</w:t>
      </w:r>
      <w:r w:rsidRPr="00C011E4">
        <w:rPr>
          <w:rFonts w:eastAsia="Times New Roman"/>
          <w:snapToGrid/>
          <w:szCs w:val="22"/>
          <w:lang w:val="hu-HU" w:eastAsia="en-US"/>
        </w:rPr>
        <w:t>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kontrollt, és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ellenjavallatok vagy intolerancia miatt nem alkalmazható</w:t>
      </w:r>
      <w:r w:rsidR="004605FE" w:rsidRPr="00C011E4">
        <w:rPr>
          <w:rFonts w:eastAsia="Times New Roman"/>
          <w:snapToGrid/>
          <w:szCs w:val="22"/>
          <w:lang w:val="hu-HU" w:eastAsia="en-US"/>
        </w:rPr>
        <w:t>.</w:t>
      </w:r>
    </w:p>
    <w:p w14:paraId="3062EBD5" w14:textId="56E4EBB6" w:rsidR="009F5474" w:rsidRPr="00C011E4" w:rsidRDefault="009F5474" w:rsidP="004605FE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peroxiszóma-proliferátor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aktiválta receptor gamma</w:t>
      </w:r>
      <w:r w:rsidR="005027C7">
        <w:rPr>
          <w:rFonts w:eastAsia="Times New Roman"/>
          <w:snapToGrid/>
          <w:szCs w:val="22"/>
          <w:lang w:val="hu-HU" w:eastAsia="en-US"/>
        </w:rPr>
        <w:t>-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PPARγ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>)</w:t>
      </w:r>
      <w:r w:rsidR="005027C7">
        <w:rPr>
          <w:rFonts w:eastAsia="Times New Roman"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agonistával (pl.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tiazolidindion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), ha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PPARy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-agonista alkalmazása helyénvaló, és ha a diéta és testmozgás mellett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PPARγ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-agonista nem biztosít megfelelő </w:t>
      </w:r>
      <w:proofErr w:type="spellStart"/>
      <w:r w:rsidR="001B061F">
        <w:rPr>
          <w:rFonts w:eastAsia="Times New Roman"/>
          <w:snapToGrid/>
          <w:szCs w:val="22"/>
          <w:lang w:val="hu-HU" w:eastAsia="en-US"/>
        </w:rPr>
        <w:t>glykaemi</w:t>
      </w:r>
      <w:r w:rsidRPr="00C011E4">
        <w:rPr>
          <w:rFonts w:eastAsia="Times New Roman"/>
          <w:snapToGrid/>
          <w:szCs w:val="22"/>
          <w:lang w:val="hu-HU" w:eastAsia="en-US"/>
        </w:rPr>
        <w:t>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kontrollt.</w:t>
      </w:r>
    </w:p>
    <w:p w14:paraId="1CEF19CA" w14:textId="77777777" w:rsidR="004605FE" w:rsidRPr="00C011E4" w:rsidRDefault="004605FE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3896BE4" w14:textId="771470DC" w:rsidR="004605FE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hármas or</w:t>
      </w:r>
      <w:r w:rsidR="00031367">
        <w:rPr>
          <w:rFonts w:eastAsia="Times New Roman"/>
          <w:snapToGrid/>
          <w:szCs w:val="22"/>
          <w:lang w:val="hu-HU" w:eastAsia="en-US"/>
        </w:rPr>
        <w:t>á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lis terápiában, a következő </w:t>
      </w:r>
      <w:r w:rsidR="00EE0B13">
        <w:rPr>
          <w:rFonts w:eastAsia="Times New Roman"/>
          <w:snapToGrid/>
          <w:szCs w:val="22"/>
          <w:lang w:val="hu-HU" w:eastAsia="en-US"/>
        </w:rPr>
        <w:t>gyógy</w:t>
      </w:r>
      <w:r w:rsidRPr="00C011E4">
        <w:rPr>
          <w:rFonts w:eastAsia="Times New Roman"/>
          <w:snapToGrid/>
          <w:szCs w:val="22"/>
          <w:lang w:val="hu-HU" w:eastAsia="en-US"/>
        </w:rPr>
        <w:t>szerekkel kombinálva</w:t>
      </w:r>
    </w:p>
    <w:p w14:paraId="1C14A142" w14:textId="6FFB7060" w:rsidR="004605FE" w:rsidRPr="00C34EFD" w:rsidRDefault="009F5474" w:rsidP="00C34EFD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szulfonilureával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metforminnal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kombinációban adva, ha a diéta és a testmozgás mellett az ezzel a két gyógyszerrel végzett együttes kezelés nem biztosít megfelelő </w:t>
      </w:r>
      <w:proofErr w:type="spellStart"/>
      <w:r w:rsidR="001B061F">
        <w:rPr>
          <w:rFonts w:eastAsia="Times New Roman"/>
          <w:snapToGrid/>
          <w:szCs w:val="22"/>
          <w:lang w:val="hu-HU" w:eastAsia="en-US"/>
        </w:rPr>
        <w:t>glykaemi</w:t>
      </w:r>
      <w:r w:rsidRPr="00C011E4">
        <w:rPr>
          <w:rFonts w:eastAsia="Times New Roman"/>
          <w:snapToGrid/>
          <w:szCs w:val="22"/>
          <w:lang w:val="hu-HU" w:eastAsia="en-US"/>
        </w:rPr>
        <w:t>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kontrollt.</w:t>
      </w:r>
    </w:p>
    <w:p w14:paraId="2BF5CCBB" w14:textId="1785F81C" w:rsidR="009F5474" w:rsidRPr="00C011E4" w:rsidRDefault="009F5474" w:rsidP="004605FE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PPARγ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-agonistával és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metforminnal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kombinációban adva, amennyiben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PPARγ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-agonista alkalmazása helyénvaló, és ha a diéta és testmozgás, valamint az ezeket a gyógyszereket tartalmazó kettős terápia mellett a </w:t>
      </w:r>
      <w:proofErr w:type="spellStart"/>
      <w:r w:rsidR="001B061F">
        <w:rPr>
          <w:rFonts w:eastAsia="Times New Roman"/>
          <w:snapToGrid/>
          <w:szCs w:val="22"/>
          <w:lang w:val="hu-HU" w:eastAsia="en-US"/>
        </w:rPr>
        <w:t>glykaemi</w:t>
      </w:r>
      <w:r w:rsidRPr="00C011E4">
        <w:rPr>
          <w:rFonts w:eastAsia="Times New Roman"/>
          <w:snapToGrid/>
          <w:szCs w:val="22"/>
          <w:lang w:val="hu-HU" w:eastAsia="en-US"/>
        </w:rPr>
        <w:t>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 nem megfelelő.</w:t>
      </w:r>
    </w:p>
    <w:p w14:paraId="431EE6AB" w14:textId="77777777" w:rsidR="004605FE" w:rsidRPr="00C011E4" w:rsidRDefault="004605FE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ECE6248" w14:textId="1C1306CB" w:rsidR="00F45C51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="0022634E">
        <w:rPr>
          <w:rFonts w:eastAsia="Times New Roman"/>
          <w:snapToGrid/>
          <w:szCs w:val="22"/>
          <w:lang w:val="hu-HU" w:eastAsia="en-US"/>
        </w:rPr>
        <w:t>Jazeta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szintén javallott inzulin kiegészítő terápiájaként (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metforminnal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vagy anélkül), ha a diéta és testmozgás és az inzulin állandó dózisa mellett a </w:t>
      </w:r>
      <w:proofErr w:type="spellStart"/>
      <w:r w:rsidR="001B061F">
        <w:rPr>
          <w:rFonts w:eastAsia="Times New Roman"/>
          <w:snapToGrid/>
          <w:szCs w:val="22"/>
          <w:lang w:val="hu-HU" w:eastAsia="en-US"/>
        </w:rPr>
        <w:t>glykaemi</w:t>
      </w:r>
      <w:r w:rsidRPr="00C011E4">
        <w:rPr>
          <w:rFonts w:eastAsia="Times New Roman"/>
          <w:snapToGrid/>
          <w:szCs w:val="22"/>
          <w:lang w:val="hu-HU" w:eastAsia="en-US"/>
        </w:rPr>
        <w:t>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 nem megfelelő.</w:t>
      </w:r>
    </w:p>
    <w:p w14:paraId="215BE85C" w14:textId="77777777" w:rsidR="009F5474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E9D590C" w14:textId="77777777" w:rsidR="00F45C51" w:rsidRPr="00C011E4" w:rsidRDefault="007B6547" w:rsidP="00C34EFD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4.2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656DE29F" w14:textId="77777777" w:rsidR="00F45C51" w:rsidRPr="00C011E4" w:rsidRDefault="00F45C51" w:rsidP="00C34EFD">
      <w:pPr>
        <w:keepNext/>
        <w:spacing w:line="240" w:lineRule="auto"/>
        <w:ind w:left="567" w:hanging="567"/>
        <w:outlineLvl w:val="0"/>
        <w:rPr>
          <w:b/>
          <w:lang w:val="hu-HU"/>
        </w:rPr>
      </w:pPr>
    </w:p>
    <w:p w14:paraId="0C17CCE6" w14:textId="77777777" w:rsidR="00A518CA" w:rsidRPr="00C011E4" w:rsidRDefault="00A518CA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Adagolás</w:t>
      </w:r>
    </w:p>
    <w:p w14:paraId="081C3E0B" w14:textId="20F84D39" w:rsidR="00A518CA" w:rsidRPr="00C011E4" w:rsidRDefault="00A518CA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naponta egyszer.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és/vagy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PPAR</w:t>
      </w:r>
      <w:r w:rsidRPr="00C011E4">
        <w:rPr>
          <w:rFonts w:eastAsia="Times New Roman"/>
          <w:snapToGrid/>
          <w:szCs w:val="22"/>
          <w:lang w:val="hu-HU" w:eastAsia="en-US"/>
        </w:rPr>
        <w:t>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-agonistával együttesen alkalmazva,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és/vagy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PPARγ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-agonista dózisát változatlanul kell hagyni, és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="003A49BC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5528E3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 gyógyszerekkel együtt kell alkalmazni.</w:t>
      </w:r>
    </w:p>
    <w:p w14:paraId="3BFB96A2" w14:textId="77777777" w:rsidR="003350CD" w:rsidRPr="00C011E4" w:rsidRDefault="003350CD" w:rsidP="00A518C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E84DF19" w14:textId="70B75560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5528E3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szulfonilureával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inzulinnal kombinációban alkalmazzák,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kockázatának csökkentése érdekében fontolóra kell venni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inzulin 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kisebb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ban történő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alkalmazását (lásd 4.4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57A31338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A6F9747" w14:textId="445343A1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 adagja kimaradt, azt azonnal pótolni kell, amint a beteg észreveszi. Ugyanazon a napon nem szabad dupla adagot bevenni.</w:t>
      </w:r>
    </w:p>
    <w:p w14:paraId="791ED89B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760B466C" w14:textId="26251EE4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Különleges betegcsoportok</w:t>
      </w:r>
    </w:p>
    <w:p w14:paraId="29998FF4" w14:textId="77777777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Vesekárosodás</w:t>
      </w:r>
    </w:p>
    <w:p w14:paraId="03343AB8" w14:textId="77777777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egyéb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antidiabetikum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együttes alkalmazásának fontolóra vételekor ellenőrizni kell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vesekárosodásban szenvedő betegeknél történő alkalmazásának feltételeit.</w:t>
      </w:r>
    </w:p>
    <w:p w14:paraId="1832B163" w14:textId="77777777" w:rsidR="003350CD" w:rsidRPr="00C011E4" w:rsidRDefault="003350CD" w:rsidP="00A518CA">
      <w:pPr>
        <w:widowControl w:val="0"/>
        <w:tabs>
          <w:tab w:val="clear" w:pos="567"/>
        </w:tabs>
        <w:spacing w:line="228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5BD455E" w14:textId="62202840" w:rsidR="00A518CA" w:rsidRPr="00C011E4" w:rsidRDefault="00A518CA" w:rsidP="00A518CA">
      <w:pPr>
        <w:widowControl w:val="0"/>
        <w:tabs>
          <w:tab w:val="clear" w:pos="567"/>
        </w:tabs>
        <w:spacing w:line="228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Az enyhe vesekárosodásban szenvedő betegek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glomerul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us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filtrációs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ráta [GFR] </w:t>
      </w:r>
      <w:r w:rsidR="0076317E" w:rsidRPr="00053601">
        <w:rPr>
          <w:rFonts w:ascii="Symbol" w:hAnsi="Symbol"/>
          <w:lang w:val="hu-HU"/>
        </w:rPr>
        <w:t></w:t>
      </w:r>
      <w:r w:rsidRPr="00C011E4">
        <w:rPr>
          <w:rFonts w:eastAsia="Times New Roman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60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 90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esetében dózismódosításra nincs szükség.</w:t>
      </w:r>
    </w:p>
    <w:p w14:paraId="5719198F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91AD42F" w14:textId="4C3ECBB8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közepesen súlyos vesekárosodásban szenvedő betegek (GFR </w:t>
      </w:r>
      <w:r w:rsidR="0060534B" w:rsidRPr="00053601">
        <w:rPr>
          <w:rFonts w:ascii="Symbol" w:hAnsi="Symbol"/>
          <w:lang w:val="hu-HU"/>
        </w:rPr>
        <w:t></w:t>
      </w:r>
      <w:r w:rsidRPr="00C011E4">
        <w:rPr>
          <w:rFonts w:eastAsia="Times New Roman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45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 60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esetében dózismódosításra nincs szükség.</w:t>
      </w:r>
    </w:p>
    <w:p w14:paraId="2AC8F706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54ADFEA" w14:textId="093E6F6A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közepesen súlyos vesekárosodásban szenvedő betegek esetében (GFR </w:t>
      </w:r>
      <w:r w:rsidR="0076317E" w:rsidRPr="00B25A15">
        <w:rPr>
          <w:rFonts w:ascii="Symbol" w:hAnsi="Symbol"/>
          <w:lang w:val="hu-HU"/>
        </w:rPr>
        <w:t></w:t>
      </w:r>
      <w:r w:rsidRPr="00B25A15">
        <w:rPr>
          <w:rFonts w:eastAsia="Times New Roman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30 </w:t>
      </w:r>
      <w:r w:rsidR="003350CD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3350CD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45</w:t>
      </w:r>
      <w:proofErr w:type="gramEnd"/>
      <w:r w:rsidR="00A60BB4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 a </w:t>
      </w:r>
      <w:proofErr w:type="spellStart"/>
      <w:r w:rsidR="001354E2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="001354E2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031367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a naponta egyszer 50</w:t>
      </w:r>
      <w:r w:rsidR="00A60BB4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2BF0B11D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47CDE30" w14:textId="6073BD25" w:rsidR="00A518CA" w:rsidRPr="00C011E4" w:rsidRDefault="00A518CA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súlyos vesekárosodásban szenvedő (GFR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B87F31" w:rsidRPr="00053601">
        <w:rPr>
          <w:rFonts w:ascii="Symbol" w:hAnsi="Symbol"/>
          <w:lang w:val="hu-HU"/>
        </w:rPr>
        <w:t>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15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30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vagy végstádiumú vesebetegségben („end-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stage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renal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disease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”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ESRD) szenvedő betegeknél (GFR &lt;15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/perc), beleértve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hemodialízist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peritoneális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dialízist igénylő betegeket, 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1354E2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="001354E2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031367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a naponta egyszer 25</w:t>
      </w:r>
      <w:r w:rsidR="00A60BB4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. 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 a dialízis időpontjától függetlenül alkalmazható.</w:t>
      </w:r>
    </w:p>
    <w:p w14:paraId="0F804BFB" w14:textId="77777777" w:rsidR="00B25A15" w:rsidRDefault="00B25A15" w:rsidP="00B25A15">
      <w:pPr>
        <w:widowControl w:val="0"/>
        <w:suppressAutoHyphens/>
        <w:spacing w:line="240" w:lineRule="auto"/>
        <w:rPr>
          <w:rFonts w:eastAsia="Times New Roman"/>
          <w:bCs/>
          <w:snapToGrid/>
          <w:szCs w:val="22"/>
          <w:highlight w:val="yellow"/>
          <w:lang w:val="hu-HU" w:eastAsia="en-US"/>
        </w:rPr>
      </w:pPr>
    </w:p>
    <w:p w14:paraId="2A5E6F0F" w14:textId="3E4F4F97" w:rsidR="00B25A15" w:rsidRPr="00832710" w:rsidRDefault="00B25A15" w:rsidP="00B25A15">
      <w:pPr>
        <w:widowControl w:val="0"/>
        <w:suppressAutoHyphens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C34EFD">
        <w:rPr>
          <w:rFonts w:eastAsia="Times New Roman"/>
          <w:bCs/>
          <w:snapToGrid/>
          <w:szCs w:val="22"/>
          <w:lang w:val="hu-HU" w:eastAsia="en-US"/>
        </w:rPr>
        <w:t xml:space="preserve">25 mg-os és az </w:t>
      </w:r>
      <w:r w:rsidRPr="00B25A15">
        <w:rPr>
          <w:rFonts w:eastAsia="Times New Roman"/>
          <w:bCs/>
          <w:snapToGrid/>
          <w:szCs w:val="22"/>
          <w:lang w:val="hu-HU" w:eastAsia="en-US"/>
        </w:rPr>
        <w:t>50 mg-os</w:t>
      </w:r>
      <w:r w:rsidRPr="00C34EFD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proofErr w:type="spellStart"/>
      <w:r w:rsidRPr="00C34EFD">
        <w:rPr>
          <w:rFonts w:eastAsia="Times New Roman"/>
          <w:bCs/>
          <w:snapToGrid/>
          <w:szCs w:val="22"/>
          <w:lang w:val="hu-HU" w:eastAsia="en-US"/>
        </w:rPr>
        <w:t>szitagliptin</w:t>
      </w:r>
      <w:proofErr w:type="spellEnd"/>
      <w:r w:rsidRPr="00C34EFD">
        <w:rPr>
          <w:rFonts w:eastAsia="Times New Roman"/>
          <w:bCs/>
          <w:snapToGrid/>
          <w:szCs w:val="22"/>
          <w:lang w:val="hu-HU" w:eastAsia="en-US"/>
        </w:rPr>
        <w:t xml:space="preserve"> dózis nem érhető el </w:t>
      </w:r>
      <w:proofErr w:type="spellStart"/>
      <w:r w:rsidRPr="00C34EFD">
        <w:rPr>
          <w:rFonts w:eastAsia="Times New Roman"/>
          <w:bCs/>
          <w:snapToGrid/>
          <w:szCs w:val="22"/>
          <w:lang w:val="hu-HU" w:eastAsia="en-US"/>
        </w:rPr>
        <w:t>Jazeta</w:t>
      </w:r>
      <w:proofErr w:type="spellEnd"/>
      <w:r w:rsidRPr="00C34EFD">
        <w:rPr>
          <w:rFonts w:eastAsia="Times New Roman"/>
          <w:bCs/>
          <w:snapToGrid/>
          <w:szCs w:val="22"/>
          <w:lang w:val="hu-HU" w:eastAsia="en-US"/>
        </w:rPr>
        <w:t xml:space="preserve"> tablettával. 25 mg-os és az </w:t>
      </w:r>
      <w:r w:rsidRPr="00B25A15">
        <w:rPr>
          <w:rFonts w:eastAsia="Times New Roman"/>
          <w:bCs/>
          <w:snapToGrid/>
          <w:szCs w:val="22"/>
          <w:lang w:val="hu-HU" w:eastAsia="en-US"/>
        </w:rPr>
        <w:t>50 mg-os</w:t>
      </w:r>
      <w:r w:rsidRPr="00C34EFD">
        <w:rPr>
          <w:rFonts w:eastAsia="Times New Roman"/>
          <w:bCs/>
          <w:snapToGrid/>
          <w:szCs w:val="22"/>
          <w:lang w:val="hu-HU" w:eastAsia="en-US"/>
        </w:rPr>
        <w:t xml:space="preserve"> dózis esetén más </w:t>
      </w:r>
      <w:proofErr w:type="spellStart"/>
      <w:r w:rsidRPr="00C34EFD">
        <w:rPr>
          <w:rFonts w:eastAsia="Times New Roman"/>
          <w:bCs/>
          <w:snapToGrid/>
          <w:szCs w:val="22"/>
          <w:lang w:val="hu-HU" w:eastAsia="en-US"/>
        </w:rPr>
        <w:t>szitagliptint</w:t>
      </w:r>
      <w:proofErr w:type="spellEnd"/>
      <w:r w:rsidRPr="00C34EFD">
        <w:rPr>
          <w:rFonts w:eastAsia="Times New Roman"/>
          <w:bCs/>
          <w:snapToGrid/>
          <w:szCs w:val="22"/>
          <w:lang w:val="hu-HU" w:eastAsia="en-US"/>
        </w:rPr>
        <w:t xml:space="preserve"> tartalmazó gyógyszert kell alkalmazni.</w:t>
      </w:r>
    </w:p>
    <w:p w14:paraId="28FE7C10" w14:textId="77777777" w:rsidR="003350CD" w:rsidRPr="00C011E4" w:rsidRDefault="003350CD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564AA89" w14:textId="1FF5B8AB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Mivel a vesefunkció alapján dózismódosításra van szükség, a vesefunkciós értékeknek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javasolt az ellenőrzése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alkalmazásának megkezdése előtt és 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zt követően rendszeres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en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488A75A9" w14:textId="77777777" w:rsidR="003350CD" w:rsidRPr="00C011E4" w:rsidRDefault="003350CD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01EF0E1C" w14:textId="45EA4CA0" w:rsidR="00A518CA" w:rsidRPr="00C011E4" w:rsidRDefault="00A518CA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Májkárosodás</w:t>
      </w:r>
    </w:p>
    <w:p w14:paraId="4AFCEE76" w14:textId="30BA3304" w:rsidR="00A518CA" w:rsidRPr="00C011E4" w:rsidRDefault="00A518CA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enyhe vagy közepesen súlyos májkárosodásban szenvedő betegek esetében a dózis módosítására nincs szükség.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5528E3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súlyos májkárosodásban szenvedő betegek körében nem vizsgálták, ezért 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elővigyázatossággal</w:t>
      </w:r>
      <w:r w:rsidR="0003136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kell alkalmazni (lásd 5.2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6454F7BD" w14:textId="532C1B9E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Mivel azonban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elsősorban a vesén keresztül ürül, a súlyos májkárosodás várhatóan nem befolyásolja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7F22A346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AB0FA75" w14:textId="0F63B4FA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Idősek</w:t>
      </w:r>
    </w:p>
    <w:p w14:paraId="62852A73" w14:textId="77777777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dózis életkor alapján történő módosítására nincs szükség.</w:t>
      </w:r>
    </w:p>
    <w:p w14:paraId="044DED17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9BA76B7" w14:textId="2159924A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Gyermekek és serdülők</w:t>
      </w:r>
    </w:p>
    <w:p w14:paraId="71690466" w14:textId="34667449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nem kielégítő hatásosságra való tekintettel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betöltött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8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élet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év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életkorú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gyermekeknél és serdülőknél nem alkalmazható. A jelenleg rendelkezésre álló adatok leírása a 4.8, 5.1 és 5.2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ban található.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esnél fiatalabb gyermekeknél nem vizsgálták.</w:t>
      </w:r>
    </w:p>
    <w:p w14:paraId="1020B508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4DAA68D" w14:textId="3C8D346B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Az alkalmazás módja</w:t>
      </w:r>
    </w:p>
    <w:p w14:paraId="027C79F0" w14:textId="7243F173" w:rsidR="00F45C51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étkezés közben vagy attól függetlenül is bevehető.</w:t>
      </w:r>
    </w:p>
    <w:p w14:paraId="59255193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C5E9CAA" w14:textId="77777777" w:rsidR="00F45C51" w:rsidRPr="00C011E4" w:rsidRDefault="007B6547" w:rsidP="00C34EFD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4.3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54AD139B" w14:textId="77777777" w:rsidR="00F45C51" w:rsidRPr="00C011E4" w:rsidRDefault="00F45C51" w:rsidP="00C34EFD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ED5F6CE" w14:textId="01FF06D1" w:rsidR="00F45C51" w:rsidRPr="00C011E4" w:rsidRDefault="007B6547" w:rsidP="00C34EFD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>A készítmény hatóanyagával vagy a 6.1</w:t>
      </w:r>
      <w:r w:rsidR="006E3747" w:rsidRPr="00C011E4">
        <w:rPr>
          <w:rFonts w:eastAsia="Times New Roman"/>
          <w:noProof/>
          <w:snapToGrid/>
          <w:szCs w:val="22"/>
          <w:lang w:val="hu-HU" w:eastAsia="en-US"/>
        </w:rPr>
        <w:t> pont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ban felsorolt </w:t>
      </w:r>
      <w:r w:rsidR="00127C1D" w:rsidRPr="00C011E4">
        <w:rPr>
          <w:rFonts w:eastAsia="Times New Roman"/>
          <w:noProof/>
          <w:snapToGrid/>
          <w:szCs w:val="22"/>
          <w:lang w:val="hu-HU" w:eastAsia="en-US"/>
        </w:rPr>
        <w:t xml:space="preserve">bármely 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segédanyagával szembeni túlérzékenység</w:t>
      </w:r>
      <w:r w:rsidR="003350CD" w:rsidRPr="00C011E4">
        <w:rPr>
          <w:rFonts w:eastAsia="Times New Roman"/>
          <w:noProof/>
          <w:snapToGrid/>
          <w:szCs w:val="22"/>
          <w:lang w:val="hu-HU" w:eastAsia="en-US"/>
        </w:rPr>
        <w:t xml:space="preserve"> (lásd 4.4 és 4.8</w:t>
      </w:r>
      <w:r w:rsidR="006E3747" w:rsidRPr="00C011E4">
        <w:rPr>
          <w:rFonts w:eastAsia="Times New Roman"/>
          <w:noProof/>
          <w:snapToGrid/>
          <w:szCs w:val="22"/>
          <w:lang w:val="hu-HU" w:eastAsia="en-US"/>
        </w:rPr>
        <w:t> pont</w:t>
      </w:r>
      <w:r w:rsidR="003350CD" w:rsidRPr="00C011E4">
        <w:rPr>
          <w:rFonts w:eastAsia="Times New Roman"/>
          <w:noProof/>
          <w:snapToGrid/>
          <w:szCs w:val="22"/>
          <w:lang w:val="hu-HU" w:eastAsia="en-US"/>
        </w:rPr>
        <w:t>)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4169F9FA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9A7CE0E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5598A795" w14:textId="77777777" w:rsidR="00F45C51" w:rsidRPr="00C011E4" w:rsidRDefault="00F45C51" w:rsidP="00497F75">
      <w:pPr>
        <w:spacing w:line="240" w:lineRule="auto"/>
        <w:rPr>
          <w:lang w:val="hu-HU"/>
        </w:rPr>
      </w:pPr>
    </w:p>
    <w:p w14:paraId="002208E6" w14:textId="77777777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Általános tudnivalók</w:t>
      </w:r>
    </w:p>
    <w:p w14:paraId="34BC0C23" w14:textId="3392B02E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alkalmazható 1-es típusú diabetesben szenvedő betegek esetében vagy diabeteses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ketoacidosis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kezelésére.</w:t>
      </w:r>
    </w:p>
    <w:p w14:paraId="2DCBACE3" w14:textId="77777777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D2A777B" w14:textId="77777777" w:rsidR="003350CD" w:rsidRPr="00C011E4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Acut</w:t>
      </w:r>
      <w:proofErr w:type="spellEnd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pancreatitis</w:t>
      </w:r>
      <w:proofErr w:type="spellEnd"/>
    </w:p>
    <w:p w14:paraId="1579567D" w14:textId="77AFBF23" w:rsidR="00B1125D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DPP-4-gátlók alkalmazása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acut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kialakulásának kockázatával jár. A betegeket tájékoztatni kell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acut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jellemző tünetéről, a tartós, erős hasi fájdalomról.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szedésének leállítását követően (szupportív kezeléssel vagy anélkül)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gyógyulását figyelték meg, de nagyon ritka esetekben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nekrotizáló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haemorrhagiás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és/vagy halálesetet is jelentettek. Ha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gyanúja áll fenn,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más potenciálisan gyanúsítható gyógyszerek szedését abba kell hagyni. Amennyiben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acut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igazolódik,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szedését nem szabad újra elkezdeni. </w:t>
      </w:r>
    </w:p>
    <w:p w14:paraId="51366699" w14:textId="14D297A4" w:rsidR="003350CD" w:rsidRPr="00C011E4" w:rsidRDefault="00BC77A6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Elővigyázatossággal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kell eljárni olyan betegeknél, akiknek a</w:t>
      </w:r>
      <w:r w:rsidR="0059617C">
        <w:rPr>
          <w:rFonts w:eastAsia="Times New Roman"/>
          <w:snapToGrid/>
          <w:color w:val="000000"/>
          <w:szCs w:val="22"/>
          <w:lang w:val="hu-HU" w:eastAsia="hu-HU" w:bidi="hu-HU"/>
        </w:rPr>
        <w:t>z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anamnézisében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szerepel.</w:t>
      </w:r>
    </w:p>
    <w:p w14:paraId="12086CEA" w14:textId="77777777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2F0AEF46" w14:textId="39747072" w:rsidR="003350CD" w:rsidRPr="00C011E4" w:rsidRDefault="001B061F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Hypoglykaemi</w:t>
      </w:r>
      <w:r w:rsidR="003350CD"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</w:t>
      </w:r>
      <w:proofErr w:type="spellEnd"/>
      <w:r w:rsidR="003350CD"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a gyógyszer egyéb </w:t>
      </w:r>
      <w:proofErr w:type="spellStart"/>
      <w:r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antihyperglykaemi</w:t>
      </w:r>
      <w:r w:rsidR="003350CD"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ás</w:t>
      </w:r>
      <w:proofErr w:type="spellEnd"/>
      <w:r w:rsidR="003350CD"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gyógyszerekkel kombinációban való alkalmazása esetén</w:t>
      </w:r>
    </w:p>
    <w:p w14:paraId="67533FEA" w14:textId="6656A5E8" w:rsidR="00B1125D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B1125D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folytatott klinikai vizsgálatok során a </w:t>
      </w:r>
      <w:proofErr w:type="spellStart"/>
      <w:r w:rsidR="00B1125D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monoterápiában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illetve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köztudottan nem okozó gyógyszerekkel kombinációban (pl.: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és/vagy egy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PPAR</w:t>
      </w:r>
      <w:r w:rsidRPr="00C011E4">
        <w:rPr>
          <w:rFonts w:eastAsia="Times New Roman"/>
          <w:snapToGrid/>
          <w:szCs w:val="22"/>
          <w:lang w:val="hu-HU" w:eastAsia="en-US"/>
        </w:rPr>
        <w:t>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-agonistával) alkalmazva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alkalmazása</w:t>
      </w:r>
      <w:r w:rsidR="00BC77A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mellett jelentett, illetve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szedő betegek körében előforduló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esetek aránya hasonló volt. </w:t>
      </w:r>
    </w:p>
    <w:p w14:paraId="518A154A" w14:textId="67168E05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inzulinnal vagy egy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szulfonilureával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kombinációban történő alkalmazásakor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figyeltek meg. Ennélfogva tehát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kockázatá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nak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csökkent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ése érdekében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meg kell fontolni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az inzulin 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kisebb</w:t>
      </w:r>
      <w:r w:rsidR="00BC77A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dózisának alkalmazását (lásd 4.2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3CBC9FFA" w14:textId="77777777" w:rsidR="003350CD" w:rsidRPr="00C011E4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395F8EF3" w14:textId="2A1D2FB9" w:rsidR="003350CD" w:rsidRPr="00C011E4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Vesekárosodás</w:t>
      </w:r>
    </w:p>
    <w:p w14:paraId="21FBDCAB" w14:textId="5E2C5ACE" w:rsidR="003350CD" w:rsidRPr="00C011E4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veséken keresztül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választódik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ki. A normál vesefunkciójú betegeknél megfigyeltekhez hasonló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-plazmakoncentrációk eléréséhez 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kisebb</w:t>
      </w:r>
      <w:r w:rsidR="00BC77A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dózisok javasoltak a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45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 GFR</w:t>
      </w:r>
      <w:r w:rsidR="0059617C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értékkel rendelkező, illetve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hemodialízist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peritoneális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dialízist igénylő, végstádiumú vesebetegségben (ESRD) szenvedő betegeknél (lásd 4.2 és 5.2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42EA189D" w14:textId="77777777" w:rsidR="00B14B18" w:rsidRPr="00C011E4" w:rsidRDefault="00B14B18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64D3E2C" w14:textId="513D9781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egyéb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antidiabetikum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együttes alkalmazásának fontolóra vételekor ellenőrizni kell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vesekárosodásban szenvedő betegeknél történő alkalmazásának feltételeit.</w:t>
      </w:r>
    </w:p>
    <w:p w14:paraId="0F412538" w14:textId="77777777" w:rsidR="00B14B18" w:rsidRPr="00C011E4" w:rsidRDefault="00B14B18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C5704B5" w14:textId="1F760F99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Túlérzékenységi reakciók</w:t>
      </w:r>
    </w:p>
    <w:p w14:paraId="615C9514" w14:textId="2527B08A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a forgalomba hozatalt követően súlyos túlérzékenységi reakciókat jelentettek. E reakciók közé tartoznak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anafilaxia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angioödéma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exfoliatív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bőrelváltozások, beleértve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Stevens</w:t>
      </w:r>
      <w:proofErr w:type="spellEnd"/>
      <w:r w:rsidR="00B14B18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Johnson-szindrómát. E reakciók a kezelés megkezdését követő első 3 hónapon belül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egyes jelentések szerint az első </w:t>
      </w:r>
      <w:r w:rsidR="00FE529D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 követően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alakultak ki. Amennyiben túlérzékenységi reakció gyanúja merül fel,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szedését abba kell hagyni. Meg kell állapítani a reakció egyéb lehetséges okait, és a diabetes kezelésének más módját kell megkezdeni.</w:t>
      </w:r>
    </w:p>
    <w:p w14:paraId="02D51116" w14:textId="77777777" w:rsidR="00B14B18" w:rsidRPr="00C011E4" w:rsidRDefault="00B14B18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37D00DE3" w14:textId="7C026477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Bullosus</w:t>
      </w:r>
      <w:proofErr w:type="spellEnd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pemphigoid</w:t>
      </w:r>
      <w:proofErr w:type="spellEnd"/>
    </w:p>
    <w:p w14:paraId="43B18D57" w14:textId="7EAC7040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DPP-4-gátlókat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beleértve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is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szedő betegeknél a forgalomba hozatalt követően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bullosus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pemphigoidról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számoltak be. Ha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bullosus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pemphigoid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gyanúja áll fenn,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szedését abba kell hagyni.</w:t>
      </w:r>
    </w:p>
    <w:p w14:paraId="043B594F" w14:textId="77777777" w:rsidR="00B14B18" w:rsidRPr="00C011E4" w:rsidRDefault="00B14B18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0D880E36" w14:textId="385B4A73" w:rsidR="003350CD" w:rsidRPr="00C011E4" w:rsidRDefault="009905CC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Segédanyagok</w:t>
      </w:r>
    </w:p>
    <w:p w14:paraId="3795EBA9" w14:textId="66A48BF1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készítmény kevesebb mint 1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mmol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(23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nátriumot tartalmaz </w:t>
      </w:r>
      <w:proofErr w:type="spellStart"/>
      <w:r w:rsidR="00FE529D">
        <w:rPr>
          <w:rFonts w:eastAsia="Times New Roman"/>
          <w:snapToGrid/>
          <w:color w:val="000000"/>
          <w:szCs w:val="22"/>
          <w:lang w:val="hu-HU" w:eastAsia="hu-HU" w:bidi="hu-HU"/>
        </w:rPr>
        <w:t>film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tablettánként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, azaz gyakorlatilag „nátriummentes”.</w:t>
      </w:r>
    </w:p>
    <w:p w14:paraId="33AFB70D" w14:textId="77777777" w:rsidR="00F45C51" w:rsidRPr="00C011E4" w:rsidRDefault="00F45C51" w:rsidP="00082A8E">
      <w:pPr>
        <w:spacing w:line="240" w:lineRule="auto"/>
        <w:rPr>
          <w:lang w:val="hu-HU"/>
        </w:rPr>
      </w:pPr>
    </w:p>
    <w:p w14:paraId="770E32A7" w14:textId="77777777" w:rsidR="00F45C51" w:rsidRPr="00C011E4" w:rsidRDefault="007B6547" w:rsidP="00C34EFD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4.5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76BA3510" w14:textId="77777777" w:rsidR="00F45C51" w:rsidRPr="00C011E4" w:rsidRDefault="00F45C51" w:rsidP="00C34EFD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B3B5F0" w14:textId="77777777" w:rsidR="00C01928" w:rsidRPr="00C011E4" w:rsidRDefault="00C01928" w:rsidP="00C34EFD">
      <w:pPr>
        <w:keepNext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Más gyógyszerek hatása a </w:t>
      </w: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szitagliptinre</w:t>
      </w:r>
      <w:proofErr w:type="spellEnd"/>
    </w:p>
    <w:p w14:paraId="3C579D44" w14:textId="77777777" w:rsidR="00C01928" w:rsidRPr="00C011E4" w:rsidRDefault="00C01928" w:rsidP="00C34EFD">
      <w:pPr>
        <w:keepNext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alábbiakban ismertetett klinikai adatok arra utalnak, hogy kicsi annak a kockázata,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együttesen alkalmazott készítményekkel klinikailag jelentős kölcsönhatásba lép.</w:t>
      </w:r>
    </w:p>
    <w:p w14:paraId="0AD32286" w14:textId="77777777" w:rsidR="00C01928" w:rsidRPr="00C011E4" w:rsidRDefault="00C01928" w:rsidP="00C34EFD">
      <w:pPr>
        <w:keepNext/>
        <w:tabs>
          <w:tab w:val="clear" w:pos="567"/>
        </w:tabs>
        <w:spacing w:line="23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083914D2" w14:textId="71FFBBB6" w:rsidR="00C01928" w:rsidRPr="00C011E4" w:rsidRDefault="00C01928" w:rsidP="00C01928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Az 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 kimutatták,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korlátozott metabolizmusáért elsődlegesen a CYP3A4 enzim felelős, a CYP2C8 közreműködésével. A normál vesefunkció</w:t>
      </w:r>
      <w:r w:rsidR="005027C7">
        <w:rPr>
          <w:rFonts w:eastAsia="Times New Roman"/>
          <w:snapToGrid/>
          <w:color w:val="000000"/>
          <w:szCs w:val="22"/>
          <w:lang w:val="hu-HU" w:eastAsia="hu-HU" w:bidi="hu-HU"/>
        </w:rPr>
        <w:t>jú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betegek esetében a metabolizmus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beleértve a CYP3A4-en keresztül történő metabolizmust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csak kis szerepet játszik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kiürülésében. Súlyos vesekárosodás, illetve végstádiumú vesebetegség („end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stage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renal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disease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” - ESRD) esetén a metabolizmus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kiválasztásában jelentősebb szerepet játszhat. Ezen oknál fogva lehetséges tehát, hogy az erős CYP3A4-inhibitorok (pl.: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ketokonazol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itrakonazol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ritonavir,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klaritromicin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a súlyos vesekárosodásban vagy ESRD-ben szenvedő betegek esetében megváltoztathatják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 Az erős CYP3A4-inhibitorok hatásait vesekárosodásban szenvedők esetében klinikai vizsgálatokban nem vizsgálták.</w:t>
      </w:r>
    </w:p>
    <w:p w14:paraId="10299A1D" w14:textId="77777777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0E06AF9" w14:textId="42EF6AE4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transzportvizsgálatok azt mutatták,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az organikus aniontranszporter-3 (OAT3)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szubsztrátja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OAT3-mediált transzportját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probenecid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gátolta, noha a klinikailag jelentős kölcsönhatások kockázata alacsonynak bizonyult. Az OAT3-inhibitorok együttes alkalmazását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vivo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értékelték.</w:t>
      </w:r>
    </w:p>
    <w:p w14:paraId="468A9D71" w14:textId="77777777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0C748C28" w14:textId="75E47595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: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Napi kétszeri 1000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ismételt adagolása nem változtatta meg jelentősen az együtt adott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2-es típusú diabetesben szenvedő betegekn</w:t>
      </w:r>
      <w:r w:rsidR="00FE529D">
        <w:rPr>
          <w:rFonts w:eastAsia="Times New Roman"/>
          <w:snapToGrid/>
          <w:color w:val="000000"/>
          <w:szCs w:val="22"/>
          <w:lang w:val="hu-HU" w:eastAsia="hu-HU" w:bidi="hu-HU"/>
        </w:rPr>
        <w:t>él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3BFECE8B" w14:textId="77777777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6E3188C2" w14:textId="09E0AF2A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Ciklosporin</w:t>
      </w:r>
      <w:proofErr w:type="spellEnd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: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Elvégeztek egy vizsgálatot, hogy megállapítsák az erős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-inhibitornak minősülő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ciklosporin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hatását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farmakokinetikájára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egyszeri, orálisan adott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-os </w:t>
      </w:r>
      <w:r w:rsidR="00FE529D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ának együttes alkalmazása egyszeri, orálisan adott 600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ciklosporinnal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hozzávetőleg 29%-kal emelte meg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AUC-értékét, és 68%-kal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-értékét.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farmakokinetikájának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ezen változásai</w:t>
      </w:r>
      <w:r w:rsidR="001F3311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</w:t>
      </w:r>
      <w:r w:rsidR="001F3311">
        <w:rPr>
          <w:rFonts w:eastAsia="Times New Roman"/>
          <w:snapToGrid/>
          <w:color w:val="000000"/>
          <w:szCs w:val="22"/>
          <w:lang w:val="hu-HU" w:eastAsia="hu-HU" w:bidi="hu-HU"/>
        </w:rPr>
        <w:t>tekintették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klinikailag jelentősnek.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vese-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clearance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-e nem módosult jelentős mértékben. Nem várható tehát jelentős interakció egyéb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-inhibitorokkal.</w:t>
      </w:r>
    </w:p>
    <w:p w14:paraId="62553D25" w14:textId="77777777" w:rsidR="00C01928" w:rsidRPr="00C011E4" w:rsidRDefault="00C01928" w:rsidP="00C01928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7D587D73" w14:textId="39468B28" w:rsidR="00C01928" w:rsidRPr="00C011E4" w:rsidRDefault="00C01928" w:rsidP="00C01928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más készítményekre gyakorolt hatásai</w:t>
      </w:r>
    </w:p>
    <w:p w14:paraId="46D19219" w14:textId="69B38BBB" w:rsidR="00C01928" w:rsidRPr="00C011E4" w:rsidRDefault="00C01928" w:rsidP="00C01928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Digoxin</w:t>
      </w:r>
      <w:proofErr w:type="spellEnd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: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csekély mértékben befolyásolta a plazma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koncentráció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já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t. Napi 0,</w:t>
      </w:r>
      <w:r w:rsidR="00E336D0">
        <w:rPr>
          <w:rFonts w:eastAsia="Times New Roman"/>
          <w:snapToGrid/>
          <w:color w:val="000000"/>
          <w:szCs w:val="22"/>
          <w:lang w:val="hu-HU" w:eastAsia="hu-HU" w:bidi="hu-HU"/>
        </w:rPr>
        <w:t>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 napon át történő együttes alkalmazása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 AUC-értékét átlagosan 11%-kal, míg a plazma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-értékét átlagosan 18%-kal emelte meg.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dózismódosítása nem javasolt.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-toxicitás kockázatának kitett betegeket azonban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monitorozni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kell, amennyiben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együttes alkalmazására kerül sor.</w:t>
      </w:r>
    </w:p>
    <w:p w14:paraId="52F383BB" w14:textId="77777777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0DEA385" w14:textId="53913F0D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adatok alapján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gátolja és nem is indukálja a CYP450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izoenzimeket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klinikai vizsgálatok során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változtatta meg jelentős mértékben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glib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enklam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szimvasztatin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roziglitazon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warfarin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orális fogamzásgátlók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mely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in vivo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bizonyítja a CYP3A4, CYP2C8, CYP2C9 és az organikus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kationtranszporter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(„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organic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cationic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transporter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” – OCT)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szubsztrátokkal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szemben mutatott alacsony interakciós hajlamot.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vivo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enyhén gátolhatja.</w:t>
      </w:r>
    </w:p>
    <w:p w14:paraId="3BB00032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044412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40B45270" w14:textId="77777777" w:rsidR="00F45C51" w:rsidRPr="00C011E4" w:rsidRDefault="00F45C51" w:rsidP="00CA6136">
      <w:pPr>
        <w:spacing w:line="240" w:lineRule="auto"/>
        <w:rPr>
          <w:i/>
          <w:lang w:val="hu-HU"/>
        </w:rPr>
      </w:pPr>
    </w:p>
    <w:p w14:paraId="40EA2611" w14:textId="77777777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Terhesség</w:t>
      </w:r>
    </w:p>
    <w:p w14:paraId="71C33AC1" w14:textId="769088C4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terhes nőknél történő alkalmazás</w:t>
      </w:r>
      <w:r w:rsidR="004C1E51">
        <w:rPr>
          <w:rFonts w:eastAsia="Times New Roman"/>
          <w:snapToGrid/>
          <w:color w:val="000000"/>
          <w:szCs w:val="22"/>
          <w:lang w:val="hu-HU" w:eastAsia="hu-HU" w:bidi="hu-HU"/>
        </w:rPr>
        <w:t>ával kapcsolatban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áll rendelkezésre megfelelő mennyiségű információ. Állatkísérletek során reprodukciós toxicitást igazoltak 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nagy</w:t>
      </w:r>
      <w:r w:rsidR="00793B7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dózisok alkalmazása mellett (lásd 5.3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). Az emberi kockázat mértéke nem ismert. Az emberekre vonatkozó adatok hiánya miatt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-t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szabad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alkalmaz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ni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terhesség alatt.</w:t>
      </w:r>
    </w:p>
    <w:p w14:paraId="3ED9F2AE" w14:textId="77777777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9B2037C" w14:textId="6C98D96C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Szoptatás</w:t>
      </w:r>
    </w:p>
    <w:p w14:paraId="6D3C922C" w14:textId="4EED72F9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ismert,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kiválasztódik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-e a humán anyatejbe. Az állatkísérletek azt mutatják,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kiválasztódik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anyatej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be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-t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szabad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alkalmaz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ni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szoptatás alatt.</w:t>
      </w:r>
    </w:p>
    <w:p w14:paraId="0CAE7078" w14:textId="77777777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47C091ED" w14:textId="4A3FCD29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lastRenderedPageBreak/>
        <w:t>Termékenység</w:t>
      </w:r>
    </w:p>
    <w:p w14:paraId="41AB1953" w14:textId="77777777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állatkísérleti adatok nem utalnak arra,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-kezelés hatással lenne a férfi és női termékenységre. Humán adatok nincsenek.</w:t>
      </w:r>
    </w:p>
    <w:p w14:paraId="0B6EA4E5" w14:textId="77777777" w:rsidR="00F45C51" w:rsidRPr="00C011E4" w:rsidRDefault="00F45C51" w:rsidP="00082A8E">
      <w:pPr>
        <w:spacing w:line="240" w:lineRule="auto"/>
        <w:rPr>
          <w:lang w:val="hu-HU"/>
        </w:rPr>
      </w:pPr>
    </w:p>
    <w:p w14:paraId="2EB8A721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C011E4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7CF070D4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97F9CE4" w14:textId="1603AB17" w:rsidR="00D97214" w:rsidRPr="00C011E4" w:rsidRDefault="007B6547" w:rsidP="00D97214">
      <w:pPr>
        <w:spacing w:line="240" w:lineRule="auto"/>
        <w:rPr>
          <w:rFonts w:eastAsia="Times New Roman"/>
          <w:noProof/>
          <w:snapToGrid/>
          <w:szCs w:val="22"/>
          <w:lang w:val="hu-HU" w:eastAsia="en-US" w:bidi="hu-HU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A112E8">
        <w:rPr>
          <w:rFonts w:eastAsia="Times New Roman"/>
          <w:noProof/>
          <w:snapToGrid/>
          <w:szCs w:val="22"/>
          <w:lang w:val="hu-HU" w:eastAsia="en-US"/>
        </w:rPr>
        <w:t xml:space="preserve">szitagliptin 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nem</w:t>
      </w:r>
      <w:r w:rsidR="00C56E1B" w:rsidRPr="00C011E4">
        <w:rPr>
          <w:rFonts w:eastAsia="Times New Roman"/>
          <w:noProof/>
          <w:snapToGrid/>
          <w:szCs w:val="22"/>
          <w:lang w:val="hu-HU" w:eastAsia="en-US"/>
        </w:rPr>
        <w:t>,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vagy csak elhanyagolható mértékben</w:t>
      </w:r>
      <w:r w:rsidR="00D97214" w:rsidRPr="00C011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befolyásolja a gépjárművezetéshez és </w:t>
      </w:r>
      <w:r w:rsidR="00F5194B" w:rsidRPr="00C011E4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gépek kezeléséhez szükséges képességeket.</w:t>
      </w:r>
      <w:r w:rsidR="00D97214" w:rsidRPr="00C011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97214" w:rsidRPr="00C011E4">
        <w:rPr>
          <w:rFonts w:eastAsia="Times New Roman"/>
          <w:noProof/>
          <w:snapToGrid/>
          <w:szCs w:val="22"/>
          <w:lang w:val="hu-HU" w:eastAsia="en-US" w:bidi="hu-HU"/>
        </w:rPr>
        <w:t>Gépjárművezetéskor vagy gépek kezelésekor figyelembe kell venni azonban, hogy beszámoltak szédülésről és álmosságról.</w:t>
      </w:r>
    </w:p>
    <w:p w14:paraId="2F257F09" w14:textId="25C75F22" w:rsidR="00F45C51" w:rsidRPr="00E70CED" w:rsidRDefault="00D97214" w:rsidP="00D97214">
      <w:pPr>
        <w:spacing w:line="240" w:lineRule="auto"/>
        <w:rPr>
          <w:lang w:val="hu-HU"/>
        </w:rPr>
      </w:pPr>
      <w:r w:rsidRPr="00C011E4">
        <w:rPr>
          <w:rFonts w:eastAsia="Times New Roman"/>
          <w:noProof/>
          <w:snapToGrid/>
          <w:szCs w:val="22"/>
          <w:lang w:val="hu-HU" w:eastAsia="en-US" w:bidi="hu-HU"/>
        </w:rPr>
        <w:t xml:space="preserve">Továbbá a </w:t>
      </w:r>
      <w:r w:rsidR="0022634E">
        <w:rPr>
          <w:rFonts w:eastAsia="Times New Roman"/>
          <w:noProof/>
          <w:snapToGrid/>
          <w:szCs w:val="22"/>
          <w:lang w:val="hu-HU" w:eastAsia="en-US" w:bidi="hu-HU"/>
        </w:rPr>
        <w:t>Jazeta</w:t>
      </w:r>
      <w:r w:rsidRPr="00C011E4">
        <w:rPr>
          <w:rFonts w:eastAsia="Times New Roman"/>
          <w:noProof/>
          <w:snapToGrid/>
          <w:szCs w:val="22"/>
          <w:lang w:val="hu-HU" w:eastAsia="en-US" w:bidi="hu-HU"/>
        </w:rPr>
        <w:t xml:space="preserve"> és egy szulfonilurea vagy inzulin együttes szedésekor a betegek figyelmét fel kell hívni a </w:t>
      </w:r>
      <w:r w:rsidR="001B061F">
        <w:rPr>
          <w:rFonts w:eastAsia="Times New Roman"/>
          <w:noProof/>
          <w:snapToGrid/>
          <w:szCs w:val="22"/>
          <w:lang w:val="hu-HU" w:eastAsia="en-US" w:bidi="hu-HU"/>
        </w:rPr>
        <w:t>hypoglykaemi</w:t>
      </w:r>
      <w:r w:rsidRPr="00C011E4">
        <w:rPr>
          <w:rFonts w:eastAsia="Times New Roman"/>
          <w:noProof/>
          <w:snapToGrid/>
          <w:szCs w:val="22"/>
          <w:lang w:val="hu-HU" w:eastAsia="en-US" w:bidi="hu-HU"/>
        </w:rPr>
        <w:t xml:space="preserve">a </w:t>
      </w:r>
      <w:r w:rsidR="00793B7B">
        <w:rPr>
          <w:rFonts w:eastAsia="Times New Roman"/>
          <w:noProof/>
          <w:snapToGrid/>
          <w:szCs w:val="22"/>
          <w:lang w:val="hu-HU" w:eastAsia="en-US" w:bidi="hu-HU"/>
        </w:rPr>
        <w:t>kockázatára</w:t>
      </w:r>
      <w:r w:rsidRPr="00793B7B">
        <w:rPr>
          <w:rFonts w:eastAsia="Times New Roman"/>
          <w:noProof/>
          <w:snapToGrid/>
          <w:szCs w:val="22"/>
          <w:lang w:val="hu-HU" w:eastAsia="en-US" w:bidi="hu-HU"/>
        </w:rPr>
        <w:t>.</w:t>
      </w:r>
    </w:p>
    <w:p w14:paraId="7C9DDD42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3E2409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1DF95F3D" w14:textId="77777777" w:rsidR="00F45C51" w:rsidRPr="00C011E4" w:rsidRDefault="00F45C51" w:rsidP="00497F75">
      <w:pPr>
        <w:spacing w:line="240" w:lineRule="auto"/>
        <w:rPr>
          <w:i/>
          <w:lang w:val="hu-HU"/>
        </w:rPr>
      </w:pPr>
    </w:p>
    <w:p w14:paraId="32F963D7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0" w:name="bookmark22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</w:t>
      </w:r>
      <w:bookmarkEnd w:id="0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biztonságossági profil összefoglalása</w:t>
      </w:r>
    </w:p>
    <w:p w14:paraId="2477F311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" w:name="bookmark23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bookmarkEnd w:id="1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úlyos mellékhatásokról, köztük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pancreatitisről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túlérzékenységi reakciókról számoltak be.</w:t>
      </w:r>
    </w:p>
    <w:p w14:paraId="28B4A35A" w14:textId="529CD198" w:rsidR="00D97214" w:rsidRPr="00C011E4" w:rsidRDefault="001B061F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="00D9721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áról</w:t>
      </w:r>
      <w:proofErr w:type="spellEnd"/>
      <w:r w:rsidR="00D9721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számoltak be </w:t>
      </w:r>
      <w:proofErr w:type="spellStart"/>
      <w:r w:rsidR="00D9721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szulfonilureával</w:t>
      </w:r>
      <w:proofErr w:type="spellEnd"/>
      <w:r w:rsidR="00D9721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(4,7% – 13,8%) és inzulinnal (9,6%) való kombinációban (lásd 4.4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="00D9721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77474AAA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4EB74CF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" w:name="bookmark25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</w:t>
      </w:r>
      <w:bookmarkEnd w:id="2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mellékhatások táblázatos felsorolása</w:t>
      </w:r>
    </w:p>
    <w:p w14:paraId="47ECFD1E" w14:textId="6521A5CF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" w:name="bookmark26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bookmarkEnd w:id="3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mellékhatások az 1. táblázatban szervrendszer és gyakoriság szerint vannak felsorolva. Az előfordulási </w:t>
      </w:r>
      <w:r w:rsidR="005027C7">
        <w:rPr>
          <w:rFonts w:eastAsia="Times New Roman"/>
          <w:snapToGrid/>
          <w:color w:val="000000"/>
          <w:szCs w:val="22"/>
          <w:lang w:val="hu-HU" w:eastAsia="hu-HU" w:bidi="hu-HU"/>
        </w:rPr>
        <w:t>gyakoriságok</w:t>
      </w:r>
      <w:r w:rsidR="005027C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meghatározása a következő: nagyon gyakori (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1/10); gyakori (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1/100 –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 1</w:t>
      </w:r>
      <w:proofErr w:type="gram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/10); nem gyakori (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1/1000 –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 1</w:t>
      </w:r>
      <w:proofErr w:type="gram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/100); ritka (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1/10 000 –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600F82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</w:t>
      </w:r>
      <w:proofErr w:type="gram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/1000); nagyon ritka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(&lt;</w:t>
      </w:r>
      <w:r w:rsidR="00600F82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</w:t>
      </w:r>
      <w:proofErr w:type="gram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/10 000) és nem ismert (a gyakoriság a rendelkezésre álló adatokból nem állapítható meg).</w:t>
      </w:r>
    </w:p>
    <w:p w14:paraId="2C41239A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9B75285" w14:textId="21DBCDA0" w:rsidR="00D97214" w:rsidRPr="00C011E4" w:rsidRDefault="00D97214" w:rsidP="00D97214">
      <w:pPr>
        <w:widowControl w:val="0"/>
        <w:tabs>
          <w:tab w:val="clear" w:pos="567"/>
          <w:tab w:val="left" w:pos="344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" w:name="bookmark27"/>
      <w:bookmarkEnd w:id="4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1. táblázat. A placebokontrollos, </w:t>
      </w:r>
      <w:proofErr w:type="spellStart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szitagliptin</w:t>
      </w:r>
      <w:r w:rsidR="004C1E51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monoterápiát</w:t>
      </w:r>
      <w:proofErr w:type="spellEnd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alkalmazó klinikai vizsgálatokban és a forgalomba hozatalt követően felismert mellékhatások gyakorisága</w:t>
      </w:r>
    </w:p>
    <w:p w14:paraId="36823EA7" w14:textId="1700ACEA" w:rsidR="00F5194B" w:rsidRPr="00C011E4" w:rsidRDefault="00F5194B" w:rsidP="00082A8E">
      <w:pPr>
        <w:spacing w:line="240" w:lineRule="auto"/>
        <w:rPr>
          <w:u w:val="single"/>
          <w:lang w:val="hu-HU"/>
        </w:rPr>
      </w:pPr>
    </w:p>
    <w:tbl>
      <w:tblPr>
        <w:tblOverlap w:val="never"/>
        <w:tblW w:w="930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6"/>
        <w:gridCol w:w="4656"/>
      </w:tblGrid>
      <w:tr w:rsidR="00600F82" w:rsidRPr="00C011E4" w14:paraId="0097D741" w14:textId="77777777" w:rsidTr="00C34EFD">
        <w:trPr>
          <w:tblHeader/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72C2BD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Mellékhatás</w:t>
            </w:r>
          </w:p>
          <w:p w14:paraId="203A082F" w14:textId="702FE50B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58BEAD" w14:textId="139D8BD4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 mellékhatás gyakorisága</w:t>
            </w:r>
          </w:p>
        </w:tc>
      </w:tr>
      <w:tr w:rsidR="00600F82" w:rsidRPr="00C011E4" w14:paraId="433A85A5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299B5F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Vérképzőszervi és nyirokrendszeri betegségek és tünetek</w:t>
            </w:r>
          </w:p>
        </w:tc>
      </w:tr>
      <w:tr w:rsidR="00600F82" w:rsidRPr="00C011E4" w14:paraId="39FCF886" w14:textId="77777777" w:rsidTr="00D030B3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0938EA" w14:textId="672FFE6A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33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thrombocytopenia</w:t>
            </w:r>
            <w:proofErr w:type="spell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D950C8" w14:textId="374020FE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Ritka</w:t>
            </w:r>
          </w:p>
        </w:tc>
      </w:tr>
      <w:tr w:rsidR="00600F82" w:rsidRPr="00C011E4" w14:paraId="5715870A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B26D3D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Immunrendszeri betegségek és tünetek</w:t>
            </w:r>
          </w:p>
        </w:tc>
      </w:tr>
      <w:tr w:rsidR="00600F82" w:rsidRPr="00C011E4" w14:paraId="1E12736A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EA6837" w14:textId="1BC9082D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33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túlérzékenységi reakciók, beleértve az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anaphylaxiás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reakciókat is</w:t>
            </w:r>
            <w:r w:rsidRPr="00C011E4"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  <w:t xml:space="preserve"> </w:t>
            </w:r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D012A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23BB887D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43AFC9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Anyagcsere- és táplálkozási betegségek és tünetek</w:t>
            </w:r>
          </w:p>
        </w:tc>
      </w:tr>
      <w:tr w:rsidR="00600F82" w:rsidRPr="00C011E4" w14:paraId="1004BDC7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6FEE69" w14:textId="38DC22CD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hypoglykaemia</w:t>
            </w:r>
            <w:proofErr w:type="spellEnd"/>
            <w:r w:rsidRPr="00C011E4">
              <w:rPr>
                <w:vertAlign w:val="superscript"/>
                <w:lang w:val="hu-HU"/>
              </w:rPr>
              <w:t>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A2B88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</w:t>
            </w:r>
          </w:p>
        </w:tc>
      </w:tr>
      <w:tr w:rsidR="00600F82" w:rsidRPr="00C011E4" w14:paraId="20BA24EA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6CA9C7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Idegrendszeri betegségek és tünetek</w:t>
            </w:r>
          </w:p>
        </w:tc>
      </w:tr>
      <w:tr w:rsidR="00600F82" w:rsidRPr="00C011E4" w14:paraId="74EAD6CB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26F4E2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fejfájás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8D4DB5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</w:t>
            </w:r>
          </w:p>
        </w:tc>
      </w:tr>
      <w:tr w:rsidR="00600F82" w:rsidRPr="00C011E4" w14:paraId="77FD5D49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3F12DE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szédülés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C3C8DB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Nem gyakori</w:t>
            </w:r>
          </w:p>
        </w:tc>
      </w:tr>
      <w:tr w:rsidR="00600F82" w:rsidRPr="00C011E4" w14:paraId="6CC8327D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EF4F75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Légzőrendszeri, mellkasi és </w:t>
            </w:r>
            <w:proofErr w:type="spellStart"/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mediastinalis</w:t>
            </w:r>
            <w:proofErr w:type="spellEnd"/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betegségek és tünetek</w:t>
            </w:r>
          </w:p>
        </w:tc>
      </w:tr>
      <w:tr w:rsidR="00600F82" w:rsidRPr="00C011E4" w14:paraId="01432512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45D055" w14:textId="1DFF5B1E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interstitialis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tüdőbetegség</w:t>
            </w:r>
            <w:r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562E83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21E157CE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957CCC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Emésztőrendszeri betegségek és tünetek</w:t>
            </w:r>
          </w:p>
        </w:tc>
      </w:tr>
      <w:tr w:rsidR="00600F82" w:rsidRPr="00C011E4" w14:paraId="5FB1045C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F24E6E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székrekedés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B7AE92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Nem gyakori</w:t>
            </w:r>
          </w:p>
        </w:tc>
      </w:tr>
      <w:tr w:rsidR="00600F82" w:rsidRPr="00C011E4" w14:paraId="5FC62CB6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0117CA" w14:textId="092997A3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hányás</w:t>
            </w:r>
            <w:r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FA561B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39C98661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AE3954" w14:textId="0854FD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acut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pancreatitis</w:t>
            </w:r>
            <w:proofErr w:type="spellEnd"/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  <w:r w:rsidRPr="00C011E4">
              <w:rPr>
                <w:vertAlign w:val="superscript"/>
                <w:lang w:val="hu-HU"/>
              </w:rPr>
              <w:t>,‡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DA24FB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7D303625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34FEE0" w14:textId="30CED116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fatális és nem fatális kimenetelű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haemorrhagiás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és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nekrotizáló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pancreatitis</w:t>
            </w:r>
            <w:proofErr w:type="spellEnd"/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27D5E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6E90E204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17BBEB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 bőr és a bőr alatti szövet betegségei és tünetei</w:t>
            </w:r>
          </w:p>
        </w:tc>
      </w:tr>
      <w:tr w:rsidR="00600F82" w:rsidRPr="00C011E4" w14:paraId="55A53B60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B8FFC5" w14:textId="1201FBA6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18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pruritus</w:t>
            </w:r>
            <w:proofErr w:type="spellEnd"/>
            <w:r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3905EC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Nem gyakori</w:t>
            </w:r>
          </w:p>
        </w:tc>
      </w:tr>
      <w:tr w:rsidR="00600F82" w:rsidRPr="00C011E4" w14:paraId="10A511D7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E3A977" w14:textId="3D0DFA32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angio</w:t>
            </w:r>
            <w:r w:rsidR="000F4725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ö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d</w:t>
            </w:r>
            <w:r w:rsidR="000F4725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é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ma</w:t>
            </w:r>
            <w:proofErr w:type="spellEnd"/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E92108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79A27A3A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AA2818" w14:textId="4D43F07A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kiütés</w:t>
            </w:r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D0E308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14DB1C74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37F87B" w14:textId="2B9B4620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urticaria</w:t>
            </w:r>
            <w:proofErr w:type="spellEnd"/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4478CD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354D99A7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DF48A9" w14:textId="4F4B7F76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cutan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vasculitis</w:t>
            </w:r>
            <w:proofErr w:type="spellEnd"/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34FE9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40DF5CEA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F76F23" w14:textId="342F4D59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28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exfoliatív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bőrelváltozások, beleértve a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Stevens</w:t>
            </w:r>
            <w:proofErr w:type="spellEnd"/>
            <w:r w:rsidR="0048507A"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–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Johnson-szindrómát is</w:t>
            </w:r>
            <w:proofErr w:type="gramStart"/>
            <w:r w:rsidR="0048507A"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F7B71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0DCFEA10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FC660E" w14:textId="5C273473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lastRenderedPageBreak/>
              <w:t>bullosus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pemphigoid</w:t>
            </w:r>
            <w:proofErr w:type="spellEnd"/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E41A41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2BEB3788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3EF289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 csont- és izomrendszer, valamint a kötőszövet betegségei és tünetei</w:t>
            </w:r>
          </w:p>
        </w:tc>
      </w:tr>
      <w:tr w:rsidR="00600F82" w:rsidRPr="00C011E4" w14:paraId="32879F62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BE1400" w14:textId="3BFB388C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arthralgia</w:t>
            </w:r>
            <w:proofErr w:type="spellEnd"/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123BAA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64DB5149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FA360A" w14:textId="0F461942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myalgia</w:t>
            </w:r>
            <w:proofErr w:type="spellEnd"/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F7E363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5322645F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CA5554" w14:textId="5C0F8B20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hátfájás</w:t>
            </w:r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38625E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11894FC2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718180" w14:textId="5C0BAC22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arthropathia</w:t>
            </w:r>
            <w:proofErr w:type="spellEnd"/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820868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30FB6607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1D7AC4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Vese- és </w:t>
            </w:r>
            <w:proofErr w:type="spellStart"/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húgyúti</w:t>
            </w:r>
            <w:proofErr w:type="spellEnd"/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betegségek és tünetek</w:t>
            </w:r>
          </w:p>
        </w:tc>
      </w:tr>
      <w:tr w:rsidR="00600F82" w:rsidRPr="00C011E4" w14:paraId="1085C6A7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85F68E" w14:textId="66AD0A2B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vesekárosodás</w:t>
            </w:r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508186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5408C004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722A764" w14:textId="176C01EB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="00D1569B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k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ut veseelégtelenség</w:t>
            </w:r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7CA669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</w:tbl>
    <w:p w14:paraId="487597D3" w14:textId="2BA6D41D" w:rsidR="0048507A" w:rsidRPr="00C011E4" w:rsidRDefault="0048507A" w:rsidP="0048507A">
      <w:pPr>
        <w:widowControl w:val="0"/>
        <w:tabs>
          <w:tab w:val="clear" w:pos="567"/>
        </w:tabs>
        <w:autoSpaceDE w:val="0"/>
        <w:autoSpaceDN w:val="0"/>
        <w:spacing w:line="187" w:lineRule="exact"/>
        <w:ind w:left="142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* </w:t>
      </w:r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>A mellékhatásokat a forgalomba hozatalt követő felügyelet során azonosították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624E66E5" w14:textId="281D879A" w:rsidR="0048507A" w:rsidRPr="00C34EFD" w:rsidRDefault="0048507A" w:rsidP="0048507A">
      <w:pPr>
        <w:widowControl w:val="0"/>
        <w:tabs>
          <w:tab w:val="clear" w:pos="567"/>
        </w:tabs>
        <w:autoSpaceDE w:val="0"/>
        <w:autoSpaceDN w:val="0"/>
        <w:spacing w:line="208" w:lineRule="exact"/>
        <w:ind w:left="142"/>
        <w:rPr>
          <w:rFonts w:eastAsia="Times New Roman"/>
          <w:snapToGrid/>
          <w:sz w:val="18"/>
          <w:szCs w:val="22"/>
          <w:lang w:val="hu-HU" w:eastAsia="en-US"/>
        </w:rPr>
      </w:pPr>
      <w:r w:rsidRPr="00D53923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† </w:t>
      </w:r>
      <w:r w:rsidRPr="00C34EFD">
        <w:rPr>
          <w:rFonts w:eastAsia="Times New Roman"/>
          <w:snapToGrid/>
          <w:sz w:val="18"/>
          <w:szCs w:val="22"/>
          <w:lang w:val="hu-HU" w:eastAsia="en-US"/>
        </w:rPr>
        <w:t>Lásd 4.4</w:t>
      </w:r>
      <w:r w:rsidR="006E3747" w:rsidRPr="00C34EFD">
        <w:rPr>
          <w:rFonts w:eastAsia="Times New Roman"/>
          <w:snapToGrid/>
          <w:sz w:val="18"/>
          <w:szCs w:val="22"/>
          <w:lang w:val="hu-HU" w:eastAsia="en-US"/>
        </w:rPr>
        <w:t> pont</w:t>
      </w:r>
      <w:r w:rsidRPr="00C34EFD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74CE58F2" w14:textId="3BEF5C90" w:rsidR="0048507A" w:rsidRPr="00C011E4" w:rsidRDefault="0048507A" w:rsidP="0048507A">
      <w:pPr>
        <w:widowControl w:val="0"/>
        <w:tabs>
          <w:tab w:val="clear" w:pos="567"/>
        </w:tabs>
        <w:autoSpaceDE w:val="0"/>
        <w:autoSpaceDN w:val="0"/>
        <w:spacing w:line="220" w:lineRule="exact"/>
        <w:ind w:left="142"/>
        <w:rPr>
          <w:rFonts w:eastAsia="Times New Roman"/>
          <w:snapToGrid/>
          <w:sz w:val="18"/>
          <w:szCs w:val="22"/>
          <w:lang w:val="hu-HU" w:eastAsia="en-US"/>
        </w:rPr>
      </w:pPr>
      <w:proofErr w:type="gramStart"/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‡  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Lásd</w:t>
      </w:r>
      <w:proofErr w:type="gramEnd"/>
      <w:r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 alább, a </w:t>
      </w:r>
      <w:r w:rsidRPr="00C011E4">
        <w:rPr>
          <w:rFonts w:eastAsia="Times New Roman"/>
          <w:i/>
          <w:snapToGrid/>
          <w:sz w:val="18"/>
          <w:szCs w:val="22"/>
          <w:lang w:val="hu-HU" w:eastAsia="en-US"/>
        </w:rPr>
        <w:t xml:space="preserve">TECOS </w:t>
      </w:r>
      <w:proofErr w:type="spellStart"/>
      <w:r w:rsidRPr="00C011E4">
        <w:rPr>
          <w:rFonts w:eastAsia="Times New Roman"/>
          <w:i/>
          <w:snapToGrid/>
          <w:sz w:val="18"/>
          <w:szCs w:val="22"/>
          <w:lang w:val="hu-HU" w:eastAsia="en-US"/>
        </w:rPr>
        <w:t>cardiovascularis</w:t>
      </w:r>
      <w:proofErr w:type="spellEnd"/>
      <w:r w:rsidRPr="00C011E4">
        <w:rPr>
          <w:rFonts w:eastAsia="Times New Roman"/>
          <w:i/>
          <w:snapToGrid/>
          <w:sz w:val="18"/>
          <w:szCs w:val="22"/>
          <w:lang w:val="hu-HU" w:eastAsia="en-US"/>
        </w:rPr>
        <w:t xml:space="preserve"> biztonságossági vizsgálatra 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vonatkozó részt.</w:t>
      </w:r>
    </w:p>
    <w:p w14:paraId="0FF6425C" w14:textId="3C949F00" w:rsidR="00D97214" w:rsidRPr="00C011E4" w:rsidRDefault="00D97214" w:rsidP="00082A8E">
      <w:pPr>
        <w:spacing w:line="240" w:lineRule="auto"/>
        <w:rPr>
          <w:u w:val="single"/>
          <w:lang w:val="hu-HU"/>
        </w:rPr>
      </w:pPr>
    </w:p>
    <w:p w14:paraId="76BE8570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 kiválasztott mellékhatások leírása</w:t>
      </w:r>
    </w:p>
    <w:p w14:paraId="27605013" w14:textId="77777777" w:rsidR="00D53685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fent ismertetett, gyógyszerrel összefüggő mellékhatások mellett a gyógyszerrel történő ok-okozati viszony feltüntetése nélkül jelentett,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legalább 5%-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ánál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ennél gyakrabban fellépő nemkívánatos események közé tartozott a felső légúti fertőzés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nasopharyngitis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</w:t>
      </w:r>
    </w:p>
    <w:p w14:paraId="0612170C" w14:textId="402D5D4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további, a gyógyszerrel történő ok-okozati összefüggéstől függetlenül jelentett,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gyakrabban (a kontrollcsoporthoz képest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az 5%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 xml:space="preserve">os szintet el nem érő, de &gt; 0,5%-kal magasabb gyakoriság mellett) előforduló mellékhatások közé tartozott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osteoarthritis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végtagfájdalom.</w:t>
      </w:r>
    </w:p>
    <w:p w14:paraId="593FB57B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F0AD67C" w14:textId="369249E2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más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antidiabetikumok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kombinációjának alkalmazását értékelő vizsgálatok során egyes mellékhatásokat gyakrabban figyeltek meg, mint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vizsgálatokban. Ezek közé tartozik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kombinációja mellett gyakorisága „nagyon gyakori” volt), influenza (</w:t>
      </w:r>
      <w:r w:rsidR="00D1569B">
        <w:rPr>
          <w:rFonts w:eastAsia="Times New Roman"/>
          <w:snapToGrid/>
          <w:color w:val="000000"/>
          <w:szCs w:val="22"/>
          <w:lang w:val="hu-HU" w:eastAsia="hu-HU" w:bidi="hu-HU"/>
        </w:rPr>
        <w:t>[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 kapott</w:t>
      </w:r>
      <w:r w:rsidR="00D1569B">
        <w:rPr>
          <w:rFonts w:eastAsia="Times New Roman"/>
          <w:snapToGrid/>
          <w:color w:val="000000"/>
          <w:szCs w:val="22"/>
          <w:lang w:val="hu-HU" w:eastAsia="hu-HU" w:bidi="hu-HU"/>
        </w:rPr>
        <w:t>]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gyakorisága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„gyakori” volt), hányinger és hányás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gyakorisága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„gyakori” volt),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flatulencia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pioglitazon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gyakorisága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„gyakori” volt), székrekedés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kombinációja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gyakorisága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„gyakori” volt), perifériás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oedema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pioglitazon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pioglitazon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kombinációja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>gyakorisága</w:t>
      </w:r>
      <w:r w:rsidR="009143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„gyakori” volt), aluszékonyság és hasmenés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gyakorisága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„nem gyakori” volt), valamint a szájszárazság (</w:t>
      </w:r>
      <w:r w:rsidR="00D1569B">
        <w:rPr>
          <w:rFonts w:eastAsia="Times New Roman"/>
          <w:snapToGrid/>
          <w:color w:val="000000"/>
          <w:szCs w:val="22"/>
          <w:lang w:val="hu-HU" w:eastAsia="hu-HU" w:bidi="hu-HU"/>
        </w:rPr>
        <w:t>[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 kapott</w:t>
      </w:r>
      <w:r w:rsidR="00D1569B">
        <w:rPr>
          <w:rFonts w:eastAsia="Times New Roman"/>
          <w:snapToGrid/>
          <w:color w:val="000000"/>
          <w:szCs w:val="22"/>
          <w:lang w:val="hu-HU" w:eastAsia="hu-HU" w:bidi="hu-HU"/>
        </w:rPr>
        <w:t>]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gyakorisága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„nem gyakori” volt).</w:t>
      </w:r>
    </w:p>
    <w:p w14:paraId="0F7F47D5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DD35CEA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Gyermekek és serdülők</w:t>
      </w:r>
    </w:p>
    <w:p w14:paraId="10A05F3E" w14:textId="4F5ED682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2-es típusú diabetes mellitusban szenvedő, 10</w:t>
      </w:r>
      <w:r w:rsidR="00AF7A5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AF7A57">
        <w:rPr>
          <w:lang w:val="hu-HU"/>
        </w:rPr>
        <w:t xml:space="preserve">és betöltött </w:t>
      </w:r>
      <w:r w:rsidR="00AF7A57" w:rsidRPr="005C14D0">
        <w:rPr>
          <w:lang w:val="hu-HU"/>
        </w:rPr>
        <w:t>1</w:t>
      </w:r>
      <w:r w:rsidR="00AF7A57">
        <w:rPr>
          <w:lang w:val="hu-HU"/>
        </w:rPr>
        <w:t>8.</w:t>
      </w:r>
      <w:r w:rsidR="00AF7A57" w:rsidRPr="005C14D0">
        <w:rPr>
          <w:lang w:val="hu-HU"/>
        </w:rPr>
        <w:t> </w:t>
      </w:r>
      <w:r w:rsidR="00AF7A57">
        <w:rPr>
          <w:lang w:val="hu-HU"/>
        </w:rPr>
        <w:t>élet</w:t>
      </w:r>
      <w:r w:rsidR="00AF7A57" w:rsidRPr="005C14D0">
        <w:rPr>
          <w:lang w:val="hu-HU"/>
        </w:rPr>
        <w:t>év</w:t>
      </w:r>
      <w:r w:rsidR="00AF7A57">
        <w:rPr>
          <w:lang w:val="hu-HU"/>
        </w:rPr>
        <w:t xml:space="preserve"> közötti</w:t>
      </w:r>
      <w:r w:rsidR="00AF7A57" w:rsidRPr="005C14D0">
        <w:rPr>
          <w:lang w:val="hu-HU"/>
        </w:rPr>
        <w:t xml:space="preserve"> </w:t>
      </w:r>
      <w:r w:rsidR="002702F5" w:rsidRPr="003E5E1A">
        <w:rPr>
          <w:szCs w:val="22"/>
          <w:lang w:val="hu-HU"/>
        </w:rPr>
        <w:t>életkorú</w:t>
      </w:r>
      <w:r w:rsidR="002702F5" w:rsidRPr="00C34EFD" w:rsidDel="00AF7A5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3E5E1A"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yermekeknél és serdülőknél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végzett klinikai vizsgálatokban a mellékhatásprofil hasonló volt a felnőtteknél megfigyelthez.</w:t>
      </w:r>
    </w:p>
    <w:p w14:paraId="34EEAB35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3728604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TECOS </w:t>
      </w:r>
      <w:proofErr w:type="spellStart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 biztonságossági vizsgálat</w:t>
      </w:r>
    </w:p>
    <w:p w14:paraId="0B8C4603" w14:textId="2B514692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megfigyelt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végpontokat értékelő vizsgálatban (TECOS –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Trial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Evaluating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Outcomes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with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7332, napi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(vagy </w:t>
      </w:r>
      <w:r w:rsidR="006E3747" w:rsidRPr="00053601">
        <w:rPr>
          <w:lang w:val="hu-HU"/>
        </w:rPr>
        <w:t>≥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30 és</w:t>
      </w:r>
    </w:p>
    <w:p w14:paraId="1F668CA0" w14:textId="09D1E27E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 50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/perc/1,73 m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értékű kiindulási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eGFR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esetén napi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kezelt, valamint 7339,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 vett részt a beválasztás szerinti populációban. Mindkét kezelést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 xml:space="preserve">1c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és CV kockázati tényezőkre vonatkozó regionális standardokat célzó általános kezelés mellett alkalmazták.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kapó betegeknél fellépő, súlyos nemkívánatos események összesített előfordulási aránya hasonló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kapóknál megfigyelthez.</w:t>
      </w:r>
    </w:p>
    <w:p w14:paraId="13041301" w14:textId="77777777" w:rsidR="00CA4921" w:rsidRPr="00C011E4" w:rsidRDefault="00CA4921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C2D9E0F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beválasztás szerinti populációban a kiinduláskor inzulint és/vagy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kapó betegeknél a súlyos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aránya 2,7%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betegeknél, és 2,5%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kezelteknél. Az inzulint és/vagy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kiinduláskor nem kapó betegeknél a súlyos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aránya 1,0%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betegeknél, és 0,7%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kezelteknél. Az igazolt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események előfordulási aránya 0,3%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betegeknél, és 0,2%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kezelteknél.</w:t>
      </w:r>
    </w:p>
    <w:p w14:paraId="2CA4932D" w14:textId="77777777" w:rsidR="0048507A" w:rsidRPr="00C011E4" w:rsidRDefault="0048507A" w:rsidP="0048507A">
      <w:pPr>
        <w:spacing w:line="240" w:lineRule="auto"/>
        <w:rPr>
          <w:u w:val="single"/>
          <w:lang w:val="hu-HU"/>
        </w:rPr>
      </w:pPr>
    </w:p>
    <w:p w14:paraId="3DAA6071" w14:textId="77777777" w:rsidR="00F5194B" w:rsidRPr="00C011E4" w:rsidRDefault="007B6547" w:rsidP="00497F75">
      <w:pPr>
        <w:spacing w:line="240" w:lineRule="auto"/>
        <w:rPr>
          <w:u w:val="single"/>
          <w:lang w:val="hu-HU"/>
        </w:rPr>
      </w:pPr>
      <w:r w:rsidRPr="00C011E4">
        <w:rPr>
          <w:u w:val="single"/>
          <w:lang w:val="hu-HU"/>
        </w:rPr>
        <w:lastRenderedPageBreak/>
        <w:t>Feltételezett mellékhatások bejelentése</w:t>
      </w:r>
    </w:p>
    <w:p w14:paraId="3275FA19" w14:textId="42DC830F" w:rsidR="00F5194B" w:rsidRPr="00C011E4" w:rsidRDefault="007B6547" w:rsidP="00082A8E">
      <w:pPr>
        <w:spacing w:line="240" w:lineRule="auto"/>
        <w:rPr>
          <w:lang w:val="hu-HU"/>
        </w:rPr>
      </w:pPr>
      <w:r w:rsidRPr="00C011E4"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C011E4">
          <w:rPr>
            <w:rStyle w:val="Hiperhivatkozs"/>
            <w:highlight w:val="lightGray"/>
            <w:lang w:val="hu-HU"/>
          </w:rPr>
          <w:t>V. füg</w:t>
        </w:r>
        <w:bookmarkStart w:id="5" w:name="_Hlt352075914"/>
        <w:bookmarkStart w:id="6" w:name="_Hlt352075915"/>
        <w:r w:rsidRPr="00C011E4">
          <w:rPr>
            <w:rStyle w:val="Hiperhivatkozs"/>
            <w:highlight w:val="lightGray"/>
            <w:lang w:val="hu-HU"/>
          </w:rPr>
          <w:t>g</w:t>
        </w:r>
        <w:bookmarkEnd w:id="5"/>
        <w:bookmarkEnd w:id="6"/>
        <w:r w:rsidRPr="00C011E4">
          <w:rPr>
            <w:rStyle w:val="Hiperhivatkozs"/>
            <w:highlight w:val="lightGray"/>
            <w:lang w:val="hu-HU"/>
          </w:rPr>
          <w:t>elékben</w:t>
        </w:r>
      </w:hyperlink>
      <w:r w:rsidRPr="00C011E4">
        <w:rPr>
          <w:highlight w:val="lightGray"/>
          <w:lang w:val="hu-HU"/>
        </w:rPr>
        <w:t xml:space="preserve"> található elérhetőségek valamelyikén keresztül</w:t>
      </w:r>
      <w:r w:rsidR="002D1F2D" w:rsidRPr="00C011E4">
        <w:rPr>
          <w:color w:val="008000"/>
          <w:lang w:val="hu-HU"/>
        </w:rPr>
        <w:t>.</w:t>
      </w:r>
    </w:p>
    <w:p w14:paraId="73086825" w14:textId="77777777" w:rsidR="00F5194B" w:rsidRPr="00C011E4" w:rsidRDefault="00F5194B" w:rsidP="00082A8E">
      <w:pPr>
        <w:spacing w:line="240" w:lineRule="auto"/>
        <w:rPr>
          <w:lang w:val="hu-HU"/>
        </w:rPr>
      </w:pPr>
    </w:p>
    <w:p w14:paraId="2F98E628" w14:textId="77777777" w:rsidR="00F45C51" w:rsidRPr="00C011E4" w:rsidRDefault="007B6547" w:rsidP="00C34EFD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17C24AF3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EF95749" w14:textId="4415CA4C" w:rsidR="00CA4921" w:rsidRPr="00C011E4" w:rsidRDefault="00CA4921" w:rsidP="00CA4921">
      <w:pPr>
        <w:pStyle w:val="Szvegtrzs1"/>
        <w:spacing w:line="233" w:lineRule="auto"/>
        <w:rPr>
          <w:lang w:val="hu-HU"/>
        </w:rPr>
      </w:pPr>
      <w:r w:rsidRPr="00C011E4">
        <w:rPr>
          <w:lang w:val="hu-HU"/>
        </w:rPr>
        <w:t>A kontrollos klinikai vizsgálatok során egészséges résztvevők legfeljebb 800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, egyszeri </w:t>
      </w:r>
      <w:proofErr w:type="spellStart"/>
      <w:r w:rsidRPr="00C011E4">
        <w:rPr>
          <w:lang w:val="hu-HU"/>
        </w:rPr>
        <w:t>szitagliptin</w:t>
      </w:r>
      <w:proofErr w:type="spellEnd"/>
      <w:r w:rsidRPr="00C011E4">
        <w:rPr>
          <w:lang w:val="hu-HU"/>
        </w:rPr>
        <w:t xml:space="preserve">-dózist kaptak. Egy vizsgálatban a </w:t>
      </w:r>
      <w:proofErr w:type="spellStart"/>
      <w:r w:rsidRPr="00C011E4">
        <w:rPr>
          <w:lang w:val="hu-HU"/>
        </w:rPr>
        <w:t>szitagliptin</w:t>
      </w:r>
      <w:proofErr w:type="spellEnd"/>
      <w:r w:rsidRPr="00C011E4">
        <w:rPr>
          <w:lang w:val="hu-HU"/>
        </w:rPr>
        <w:t xml:space="preserve"> 800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-os </w:t>
      </w:r>
      <w:r w:rsidR="00170ECA">
        <w:rPr>
          <w:lang w:val="hu-HU"/>
        </w:rPr>
        <w:t>dózis</w:t>
      </w:r>
      <w:r w:rsidRPr="00C011E4">
        <w:rPr>
          <w:lang w:val="hu-HU"/>
        </w:rPr>
        <w:t xml:space="preserve">a mellett minimális, klinikailag nem releváns mértékű </w:t>
      </w:r>
      <w:proofErr w:type="spellStart"/>
      <w:r w:rsidRPr="00C011E4">
        <w:rPr>
          <w:lang w:val="hu-HU"/>
        </w:rPr>
        <w:t>QTc</w:t>
      </w:r>
      <w:proofErr w:type="spellEnd"/>
      <w:r w:rsidRPr="00C011E4">
        <w:rPr>
          <w:lang w:val="hu-HU"/>
        </w:rPr>
        <w:t>-emelkedést figyeltek meg. Klinikai vizsgálatokban 800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 feletti dózissal kapcsolatban nincs tapasztalat. Az I. fázisú, </w:t>
      </w:r>
      <w:r w:rsidR="00170ECA">
        <w:rPr>
          <w:lang w:val="hu-HU"/>
        </w:rPr>
        <w:t xml:space="preserve">ismételt </w:t>
      </w:r>
      <w:proofErr w:type="spellStart"/>
      <w:r w:rsidR="00170ECA">
        <w:rPr>
          <w:lang w:val="hu-HU"/>
        </w:rPr>
        <w:t>adagolású</w:t>
      </w:r>
      <w:proofErr w:type="spellEnd"/>
      <w:r w:rsidRPr="00C011E4">
        <w:rPr>
          <w:lang w:val="hu-HU"/>
        </w:rPr>
        <w:t xml:space="preserve"> vizsgálatok során legfeljebb 10 napig adagolt, naponta legfeljebb 600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 </w:t>
      </w:r>
      <w:proofErr w:type="spellStart"/>
      <w:r w:rsidRPr="00C011E4">
        <w:rPr>
          <w:lang w:val="hu-HU"/>
        </w:rPr>
        <w:t>szitagliptin</w:t>
      </w:r>
      <w:proofErr w:type="spellEnd"/>
      <w:r w:rsidRPr="00C011E4">
        <w:rPr>
          <w:lang w:val="hu-HU"/>
        </w:rPr>
        <w:t>-dózis, illetve legfeljebb 28 napig adagolt, naponta legfeljebb 400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 </w:t>
      </w:r>
      <w:proofErr w:type="spellStart"/>
      <w:r w:rsidRPr="00C011E4">
        <w:rPr>
          <w:lang w:val="hu-HU"/>
        </w:rPr>
        <w:t>szitagliptin</w:t>
      </w:r>
      <w:proofErr w:type="spellEnd"/>
      <w:r w:rsidRPr="00C011E4">
        <w:rPr>
          <w:lang w:val="hu-HU"/>
        </w:rPr>
        <w:t>-dózis mellett nem figyeltek meg dózisfüggő klinikai mellékhatásokat.</w:t>
      </w:r>
    </w:p>
    <w:p w14:paraId="5E965373" w14:textId="4B2CA7FC" w:rsidR="00CA4921" w:rsidRPr="00C011E4" w:rsidRDefault="00CA4921" w:rsidP="00CA4921">
      <w:pPr>
        <w:pStyle w:val="Szvegtrzs1"/>
        <w:spacing w:line="233" w:lineRule="auto"/>
        <w:rPr>
          <w:lang w:val="hu-HU"/>
        </w:rPr>
      </w:pPr>
      <w:r w:rsidRPr="00C011E4">
        <w:rPr>
          <w:lang w:val="hu-HU"/>
        </w:rPr>
        <w:t>Túladagolás esetén helyénvaló az általános szupportív eljárások alkalmazása pl.: a fel nem szívódott anyag eltávolítása a tápcsatornából, klinikai megfigyelés (</w:t>
      </w:r>
      <w:r w:rsidR="00170ECA">
        <w:rPr>
          <w:lang w:val="hu-HU"/>
        </w:rPr>
        <w:t>EKG</w:t>
      </w:r>
      <w:r w:rsidR="00170ECA" w:rsidRPr="00C011E4">
        <w:rPr>
          <w:lang w:val="hu-HU"/>
        </w:rPr>
        <w:t xml:space="preserve"> </w:t>
      </w:r>
      <w:r w:rsidRPr="00C011E4">
        <w:rPr>
          <w:lang w:val="hu-HU"/>
        </w:rPr>
        <w:t>készítését is beleértve) valamint szükség esetén szupportív terápia bevezetése.</w:t>
      </w:r>
    </w:p>
    <w:p w14:paraId="1640AC7C" w14:textId="19402BF2" w:rsidR="00F45C51" w:rsidRPr="00C011E4" w:rsidRDefault="00CA4921" w:rsidP="00CA4921">
      <w:pPr>
        <w:spacing w:line="240" w:lineRule="auto"/>
        <w:outlineLvl w:val="0"/>
        <w:rPr>
          <w:lang w:val="hu-HU"/>
        </w:rPr>
      </w:pPr>
      <w:r w:rsidRPr="00C011E4">
        <w:rPr>
          <w:lang w:val="hu-HU"/>
        </w:rPr>
        <w:t xml:space="preserve">A </w:t>
      </w:r>
      <w:proofErr w:type="spellStart"/>
      <w:r w:rsidRPr="00C011E4">
        <w:rPr>
          <w:lang w:val="hu-HU"/>
        </w:rPr>
        <w:t>szitagliptin</w:t>
      </w:r>
      <w:proofErr w:type="spellEnd"/>
      <w:r w:rsidRPr="00C011E4">
        <w:rPr>
          <w:lang w:val="hu-HU"/>
        </w:rPr>
        <w:t xml:space="preserve"> közepes mértékben </w:t>
      </w:r>
      <w:proofErr w:type="spellStart"/>
      <w:r w:rsidRPr="00C011E4">
        <w:rPr>
          <w:lang w:val="hu-HU"/>
        </w:rPr>
        <w:t>dializálható</w:t>
      </w:r>
      <w:proofErr w:type="spellEnd"/>
      <w:r w:rsidRPr="00C011E4">
        <w:rPr>
          <w:lang w:val="hu-HU"/>
        </w:rPr>
        <w:t>. A klinikai vizsgálatokban a dózis hozzávetőleg 13,5%</w:t>
      </w:r>
      <w:r w:rsidRPr="00C011E4">
        <w:rPr>
          <w:lang w:val="hu-HU"/>
        </w:rPr>
        <w:noBreakHyphen/>
        <w:t xml:space="preserve">a volt eltávolítható egy 3-4 órás </w:t>
      </w:r>
      <w:proofErr w:type="spellStart"/>
      <w:r w:rsidRPr="00C011E4">
        <w:rPr>
          <w:lang w:val="hu-HU"/>
        </w:rPr>
        <w:t>hemodialízis</w:t>
      </w:r>
      <w:proofErr w:type="spellEnd"/>
      <w:r w:rsidRPr="00C011E4">
        <w:rPr>
          <w:lang w:val="hu-HU"/>
        </w:rPr>
        <w:t xml:space="preserve">-kezelés során. Amennyiben klinikailag indokolt, fontolóra kell venni a hosszabb ideig tartó </w:t>
      </w:r>
      <w:proofErr w:type="spellStart"/>
      <w:r w:rsidRPr="00C011E4">
        <w:rPr>
          <w:lang w:val="hu-HU"/>
        </w:rPr>
        <w:t>hemodialízis</w:t>
      </w:r>
      <w:proofErr w:type="spellEnd"/>
      <w:r w:rsidRPr="00C011E4">
        <w:rPr>
          <w:lang w:val="hu-HU"/>
        </w:rPr>
        <w:t xml:space="preserve"> lehetőségét. Nem ismert, hogy a </w:t>
      </w:r>
      <w:proofErr w:type="spellStart"/>
      <w:r w:rsidRPr="00C011E4">
        <w:rPr>
          <w:lang w:val="hu-HU"/>
        </w:rPr>
        <w:t>szitagliptin</w:t>
      </w:r>
      <w:proofErr w:type="spellEnd"/>
      <w:r w:rsidRPr="00C011E4">
        <w:rPr>
          <w:lang w:val="hu-HU"/>
        </w:rPr>
        <w:t xml:space="preserve"> </w:t>
      </w:r>
      <w:proofErr w:type="spellStart"/>
      <w:r w:rsidRPr="00C011E4">
        <w:rPr>
          <w:lang w:val="hu-HU"/>
        </w:rPr>
        <w:t>dializálható</w:t>
      </w:r>
      <w:proofErr w:type="spellEnd"/>
      <w:r w:rsidRPr="00C011E4">
        <w:rPr>
          <w:lang w:val="hu-HU"/>
        </w:rPr>
        <w:t xml:space="preserve">-e </w:t>
      </w:r>
      <w:proofErr w:type="spellStart"/>
      <w:r w:rsidRPr="00C011E4">
        <w:rPr>
          <w:lang w:val="hu-HU"/>
        </w:rPr>
        <w:t>peritoneális</w:t>
      </w:r>
      <w:proofErr w:type="spellEnd"/>
      <w:r w:rsidRPr="00C011E4">
        <w:rPr>
          <w:lang w:val="hu-HU"/>
        </w:rPr>
        <w:t xml:space="preserve"> dialízissel.</w:t>
      </w:r>
    </w:p>
    <w:p w14:paraId="06D2DCDB" w14:textId="77777777" w:rsidR="00CA4921" w:rsidRPr="00C011E4" w:rsidRDefault="00CA4921" w:rsidP="00CA4921">
      <w:pPr>
        <w:spacing w:line="240" w:lineRule="auto"/>
        <w:outlineLvl w:val="0"/>
        <w:rPr>
          <w:b/>
          <w:lang w:val="hu-HU"/>
        </w:rPr>
      </w:pPr>
    </w:p>
    <w:p w14:paraId="4A25C93E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6A63235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50E0D732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CAC7EFD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6090AA57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8E3C42B" w14:textId="4DE2A36D" w:rsidR="00F45C51" w:rsidRPr="00C011E4" w:rsidRDefault="007B654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</w:t>
      </w:r>
      <w:r w:rsidR="00B07340" w:rsidRPr="00C011E4">
        <w:rPr>
          <w:lang w:val="hu-HU"/>
        </w:rPr>
        <w:t>Antidiabetikus terápia, Dipeptidil-peptidáz-4</w:t>
      </w:r>
      <w:r w:rsidR="00170ECA">
        <w:rPr>
          <w:lang w:val="hu-HU"/>
        </w:rPr>
        <w:t>-</w:t>
      </w:r>
      <w:r w:rsidR="00B07340" w:rsidRPr="00C011E4">
        <w:rPr>
          <w:lang w:val="hu-HU"/>
        </w:rPr>
        <w:t xml:space="preserve"> (DPP-4)</w:t>
      </w:r>
      <w:r w:rsidR="00170ECA">
        <w:rPr>
          <w:lang w:val="hu-HU"/>
        </w:rPr>
        <w:t xml:space="preserve"> </w:t>
      </w:r>
      <w:r w:rsidR="00B07340" w:rsidRPr="00C011E4">
        <w:rPr>
          <w:lang w:val="hu-HU"/>
        </w:rPr>
        <w:t>inhibitorok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, ATC kód: </w:t>
      </w:r>
      <w:r w:rsidR="00B07340" w:rsidRPr="00C011E4">
        <w:rPr>
          <w:lang w:val="hu-HU"/>
        </w:rPr>
        <w:t>A10BH01.</w:t>
      </w:r>
    </w:p>
    <w:p w14:paraId="44E96310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E982C0E" w14:textId="598F218F" w:rsidR="00F45C51" w:rsidRPr="00C011E4" w:rsidRDefault="007B6547" w:rsidP="00082A8E">
      <w:pPr>
        <w:spacing w:line="240" w:lineRule="auto"/>
        <w:rPr>
          <w:u w:val="single"/>
          <w:lang w:val="hu-HU"/>
        </w:rPr>
      </w:pPr>
      <w:r w:rsidRPr="00C011E4">
        <w:rPr>
          <w:u w:val="single"/>
          <w:lang w:val="hu-HU"/>
        </w:rPr>
        <w:t>Hatásmechanizmus</w:t>
      </w:r>
    </w:p>
    <w:p w14:paraId="384AC3CD" w14:textId="7DDCD408" w:rsidR="00B07340" w:rsidRPr="00C011E4" w:rsidRDefault="00B07340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A84EFD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dipeptidil-peptidáz-4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(DPP-4)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inhibitorként ismert orális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antidiabetikumok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osztályának tagja.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kontroll e gyógyszer alkalmazása mellett megfigyelt javulása az aktív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inkretin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hormonok szintjének növelésével állhat összefüggésben.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inkretin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hormonokat – beleértve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5027C7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kagonszerű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peptid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-1-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et (GLP-1)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glükózdependens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inzulinotróp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polipeptidet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(GIP) – a bél egész nap termeli, és szintjük az étkezést követően megnő.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inkretinek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glükózhomeosztázis fiziológiai szabályozásában szerepet játszó endogén rendszer részei. Normális vagy emelkedett vércukor-koncentráció esetén a GLP-1 és a GIP, a ciklikus AMP-vel működő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intracelluláris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jelátvitelen keresztül fokozzák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béta-sejtjeiben az inzulin termelését és felszabadulását. A GLP-1 vagy a DPP-4-inhibitorokkal történő kezelés a 2-es típusú diabeteses állatokkal végzett kísérletek során javította a béta-sejtek glükózzal szemben mutatott válaszkészségét, valamint stimulálta az inzulin bioszintézisét és felszabadulását. A magasabb inzulinszint mellett megélénkül a szövetek glükózfelvétele. A GLP-1 ezen kívül csökkenti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alfa-sejtjeinek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kagonkiválasztását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csökkent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kagonkoncentráció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magasabb inzulinszint a máj glükóztermelésének visszaeséséhez vezet, mely a vércukorszint csökkenését eredményezi. A GLP-1 és a GIP hatását tekintve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glükózdependens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mivel alacsony vércukor-koncentráció esetén a GLP-1 nem stimulálja az inzulinfelszabadulást, és nem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szupprimálja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kagonelválasztást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Mind a GLP-1, mind a GIP esetében az inzulinfelszabadulás stimulálása felerősödik, ahogy a glükózkoncentráció a normális fölé emelkedik. Továbbá a GLP-1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ára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adott normális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kagonválaszt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gátolja. A GLP-1 és GIP aktivitását a DPP-4 enzim korlátozza, mely gyorsan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hidrolizálja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inkretin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hormonokat, így inaktív termékek képződnek.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megakadályozza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inkretin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hormonok DPP-4 általi hidrolízisét, ezáltal növelve az aktív GLP-1 és GIP plazmakoncentrációját. Az aktív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inkretinek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szintjének növelésével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glükózdependens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módon növeli az inzulin felszabadulását, és csökkenti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szintjét. 2-es típusú diabetesben szenvedő,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y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per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betegeknél az inzulin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szintjének ezen változásai alacsonyabb hemoglobin </w:t>
      </w:r>
      <w:r w:rsidR="008322E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8322E7"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="008322E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(HbA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="008322E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szinthez,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 xml:space="preserve">valamint alacsonyabb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éhomi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posztprandiális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glükózkoncentrációhoz vezetnek.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glükózdependens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mechanizmusa különbözik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szulfonilureák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mechanizmusától, amely még alacsony glükózszint mellett is növeli az inzulinkiválasztást, ami 2-es típusú cukorbetegségben szenvedő betegeknél és egészséges személyeknél is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ához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vezethet.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DPP-4 enzim hatékony és igen szelektív inhibitora, és terápiás koncentrációban nem gátolja a nagyon hasonló DPP-8 és DPP-9 enzimeket.</w:t>
      </w:r>
    </w:p>
    <w:p w14:paraId="6FB0E236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E5C886A" w14:textId="77777777" w:rsidR="004F18AC" w:rsidRDefault="00B07340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egészséges résztvevőkkel folytatott, kétnapos vizsgálat során, az önmagában adagolt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növelte az aktív GLP-1-koncentrációkat, míg az önmagában adagolt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hasonló mértékben növelte mind az aktív GLP-1-koncentrációt, mind pedig a GLP-1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összkoncentrációt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</w:t>
      </w:r>
    </w:p>
    <w:p w14:paraId="27466904" w14:textId="410D17F2" w:rsidR="00B07340" w:rsidRPr="00C011E4" w:rsidRDefault="00B07340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történő együttes adása additív hatással volt az aktív GLP-1-koncentrációkra. Az aktív GIP-koncentrációkat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növelte, de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nem.</w:t>
      </w:r>
    </w:p>
    <w:p w14:paraId="63075C50" w14:textId="77777777" w:rsidR="00B07340" w:rsidRPr="00C011E4" w:rsidRDefault="00B07340" w:rsidP="00F933D8">
      <w:pPr>
        <w:spacing w:line="240" w:lineRule="auto"/>
        <w:rPr>
          <w:u w:val="single"/>
          <w:lang w:val="hu-HU"/>
        </w:rPr>
      </w:pPr>
    </w:p>
    <w:p w14:paraId="0BF36F94" w14:textId="2927C337" w:rsidR="00F45C51" w:rsidRPr="00C011E4" w:rsidRDefault="007B6547" w:rsidP="00082A8E">
      <w:pPr>
        <w:spacing w:line="240" w:lineRule="auto"/>
        <w:rPr>
          <w:u w:val="single"/>
          <w:lang w:val="hu-HU"/>
        </w:rPr>
      </w:pPr>
      <w:r w:rsidRPr="00C011E4">
        <w:rPr>
          <w:u w:val="single"/>
          <w:lang w:val="hu-HU"/>
        </w:rPr>
        <w:t>Klinikai hatásosság és biztonságosság</w:t>
      </w:r>
    </w:p>
    <w:p w14:paraId="7EFD6CA0" w14:textId="2ACF724A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Összességében véve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monoterápiában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kombinációs terápiában alkalmazva javította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kontrollt</w:t>
      </w:r>
      <w:r w:rsidR="00AE466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2-es típusú cukorbetegségben szenvedő felnőtt betegeknél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(lásd 2. táblázat).</w:t>
      </w:r>
    </w:p>
    <w:p w14:paraId="1FFB1569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97361FF" w14:textId="22CE50C2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szitagliptin-monoterápia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hatásosságát és biztonságosságát két vizsgálat során értékelték. A két, egyenként 18 és 24 hetes vizsgálatban a napi egyszeri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történő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összehasonlítva jelentős mértékben javította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="005027C7">
        <w:rPr>
          <w:rFonts w:eastAsia="Times New Roman"/>
          <w:snapToGrid/>
          <w:color w:val="000000"/>
          <w:szCs w:val="22"/>
          <w:lang w:val="hu-HU" w:eastAsia="hu-HU" w:bidi="hu-HU"/>
        </w:rPr>
        <w:t>-szintet,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éhomi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</w:t>
      </w:r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glükóz</w:t>
      </w:r>
      <w:r w:rsidR="005027C7">
        <w:rPr>
          <w:rFonts w:eastAsia="Times New Roman"/>
          <w:snapToGrid/>
          <w:color w:val="000000"/>
          <w:szCs w:val="22"/>
          <w:lang w:val="hu-HU" w:eastAsia="hu-HU" w:bidi="hu-HU"/>
        </w:rPr>
        <w:t>szintet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>fasting</w:t>
      </w:r>
      <w:proofErr w:type="spellEnd"/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>plasma</w:t>
      </w:r>
      <w:proofErr w:type="spellEnd"/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>glucose</w:t>
      </w:r>
      <w:proofErr w:type="spellEnd"/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FPG) és az étkezést követő 2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órán belül mért glükóz (2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órás PPG) szintjét. Javulás mutatkozott a bétasejt</w:t>
      </w:r>
      <w:r w:rsidR="0095379C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funkcióra utaló helyettes markerek, beleértve a HOMA-</w:t>
      </w:r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>β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(„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Homeostasis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Model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Assessment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>β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”) mutató markert,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proinzulin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-inzulin arány, valamint a gyakori mintavétellel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együttjáró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étkezési toleranciateszt során mért béta-sejt válaszkészség terén.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között előforduló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esetek száma hasonló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kezeltek közt megfigyelthez. </w:t>
      </w:r>
    </w:p>
    <w:p w14:paraId="5B3D331B" w14:textId="39C3034E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-terápia mellett –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enyhe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csökkenésével összehasonlítva – egyik vizsgálatban sem nőtt a kiindulási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4CF863BB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5DE6BBF" w14:textId="1BBF31DE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Két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24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hetes vizsgálatban, melyek során a napi egyszer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hozzáadott terápiaként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illetve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pioglitazonnal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kombinációban alkalmazták,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 jelentős javulását figyelték meg. A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b</w:t>
      </w:r>
      <w:r w:rsidR="0095379C"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 a vizsgálat megkezdése óta bekövetkezett változás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esetén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placebóhoz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viszonyítva hasonló volt. E vizsgálatokban hasonló arányban jelentettek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között.</w:t>
      </w:r>
    </w:p>
    <w:p w14:paraId="38A2259E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A3B7286" w14:textId="4E11E2F5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egyedül </w:t>
      </w:r>
      <w:proofErr w:type="spellStart"/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glimepiridhez</w:t>
      </w:r>
      <w:proofErr w:type="spellEnd"/>
      <w:proofErr w:type="gram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illetve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glimepirid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kombinációjához adott (napi egyszer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hatásosságának és biztonságosságának értékelésére egy 24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hetes, placebokontrollos vizsgálatot végeztek el. Az egyedül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glimepiridhez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glimepirid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kombinációjához adott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jelentős javulást eredményezett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 terén.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kapókhoz képest enyhe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növekedést mutattak.</w:t>
      </w:r>
    </w:p>
    <w:p w14:paraId="27E5F1C9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5A54868" w14:textId="7433E07E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Pioglitazon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kombinációjához adott (napi egyszer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hatásosságának és biztonságosságának értékelésére egy 26 hetes, placebokontrollos vizsgálatot terveztek.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pioglitazon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kombinációjához adott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 jelentős javulását eredményezte. A kiindulási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értékekben bekövetkező változás hasonló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kapó betegek esetében.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gyakorisága szintén hasonló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kapó betegek esetében.</w:t>
      </w:r>
    </w:p>
    <w:p w14:paraId="045694CA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C5BC462" w14:textId="77777777" w:rsidR="00506B38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24 hetes, placebokontrollos vizsgálatot állítottak össze (legalább 10 hete állandó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adagolású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inzulin mellett és (legalább 1500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 adott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naponta egyszer) hatásosságának és biztonságosságának megállapítása céljából. Az előkevert inzulint alkalmazó betegeknél az átlagos napi 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70,9 E volt. A nem előkevert (közepes/hosszú hatású) inzulint alkalmazó betegeknél az átlagos napi 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44,3 E volt.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inzulinhoz történő hozzáadása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 szignifikáns javulását eredményezte. </w:t>
      </w:r>
    </w:p>
    <w:p w14:paraId="60D7B3CB" w14:textId="0EC02518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vizsgálat megkezdésekor mért testtömegben egyik csoportban sem következett be jelentős változás.</w:t>
      </w:r>
    </w:p>
    <w:p w14:paraId="1C8FB64D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E194FE2" w14:textId="6F51D7AE" w:rsidR="00F933D8" w:rsidRPr="00C011E4" w:rsidRDefault="00F933D8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A kezdő kezelés egy 24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hetes, placebokontrollos, faktoriális elrendezésű vizsgálata során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(napi kétszer 500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1000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kombinációban adott napi kétszer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bármelyik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összehasonlítva jelentős javulást eredményezett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paraméterekben.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kombinációjával elért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csökkenés hasonló volt a csak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alkalmazása mellett megfigyelthez, míg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önmagában történő alkalmazásakor az alapértékekben nem mutatkozott változás.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egyes kezelési csoportokban hasonló arányban fordult elő.</w:t>
      </w:r>
    </w:p>
    <w:p w14:paraId="5A912831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C1A6279" w14:textId="0D460436" w:rsidR="00F933D8" w:rsidRPr="00C011E4" w:rsidRDefault="00F933D8" w:rsidP="00F933D8">
      <w:pPr>
        <w:widowControl w:val="0"/>
        <w:tabs>
          <w:tab w:val="clear" w:pos="567"/>
          <w:tab w:val="left" w:pos="354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" w:name="bookmark30"/>
      <w:bookmarkEnd w:id="7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2. táblázat: A placebokontrollos </w:t>
      </w:r>
      <w:proofErr w:type="spellStart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monoterápiát</w:t>
      </w:r>
      <w:proofErr w:type="spellEnd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és kombinációs terápiát alkalmazó vizsgálatokban mért HbA</w:t>
      </w:r>
      <w:r w:rsidRPr="00C011E4">
        <w:rPr>
          <w:rFonts w:eastAsia="Times New Roman"/>
          <w:b/>
          <w:bCs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-eredmények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*</w:t>
      </w:r>
    </w:p>
    <w:p w14:paraId="7578E7A0" w14:textId="38C9FD26" w:rsidR="00B07340" w:rsidRPr="00C011E4" w:rsidRDefault="00B07340" w:rsidP="00082A8E">
      <w:pPr>
        <w:spacing w:line="240" w:lineRule="auto"/>
        <w:rPr>
          <w:u w:val="single"/>
          <w:lang w:val="hu-HU"/>
        </w:rPr>
      </w:pPr>
    </w:p>
    <w:tbl>
      <w:tblPr>
        <w:tblW w:w="940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8"/>
        <w:gridCol w:w="1483"/>
        <w:gridCol w:w="2081"/>
        <w:gridCol w:w="2316"/>
      </w:tblGrid>
      <w:tr w:rsidR="00F933D8" w:rsidRPr="00C011E4" w14:paraId="5531F6B1" w14:textId="77777777" w:rsidTr="00C34EFD">
        <w:trPr>
          <w:trHeight w:val="1012"/>
        </w:trPr>
        <w:tc>
          <w:tcPr>
            <w:tcW w:w="3528" w:type="dxa"/>
          </w:tcPr>
          <w:p w14:paraId="48F5BEC5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8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6A459DF" w14:textId="16C6AA28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>Vizsgálat</w:t>
            </w:r>
          </w:p>
        </w:tc>
        <w:tc>
          <w:tcPr>
            <w:tcW w:w="1483" w:type="dxa"/>
          </w:tcPr>
          <w:p w14:paraId="3A186C5F" w14:textId="676C4F0C" w:rsidR="00F933D8" w:rsidRPr="00C011E4" w:rsidRDefault="00F933D8" w:rsidP="00F933D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2" w:line="240" w:lineRule="auto"/>
              <w:ind w:left="235" w:right="229" w:hanging="1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 xml:space="preserve">Átlagos kiindulási </w:t>
            </w:r>
            <w:r w:rsidRPr="00C011E4">
              <w:rPr>
                <w:rFonts w:eastAsia="Times New Roman"/>
                <w:b/>
                <w:snapToGrid/>
                <w:szCs w:val="22"/>
                <w:lang w:val="hu-HU" w:eastAsia="en-US"/>
              </w:rPr>
              <w:t>HbA</w:t>
            </w:r>
            <w:r w:rsidRPr="00C011E4">
              <w:rPr>
                <w:rFonts w:eastAsia="Times New Roman"/>
                <w:b/>
                <w:snapToGrid/>
                <w:szCs w:val="22"/>
                <w:vertAlign w:val="subscript"/>
                <w:lang w:val="hu-HU" w:eastAsia="en-US"/>
              </w:rPr>
              <w:t>1c</w:t>
            </w:r>
            <w:r w:rsidRPr="00C011E4">
              <w:rPr>
                <w:rFonts w:eastAsia="Times New Roman"/>
                <w:b/>
                <w:snapToGrid/>
                <w:szCs w:val="22"/>
                <w:lang w:val="hu-HU" w:eastAsia="en-US"/>
              </w:rPr>
              <w:t xml:space="preserve"> (%)</w:t>
            </w:r>
          </w:p>
        </w:tc>
        <w:tc>
          <w:tcPr>
            <w:tcW w:w="2081" w:type="dxa"/>
          </w:tcPr>
          <w:p w14:paraId="5602405E" w14:textId="459443E1" w:rsidR="00F933D8" w:rsidRPr="00C011E4" w:rsidRDefault="00F933D8" w:rsidP="00F933D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4" w:line="237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>A kiindulási HbA</w:t>
            </w:r>
            <w:r w:rsidRPr="00C011E4">
              <w:rPr>
                <w:b/>
                <w:bCs/>
                <w:szCs w:val="22"/>
                <w:vertAlign w:val="subscript"/>
                <w:lang w:val="hu-HU"/>
              </w:rPr>
              <w:t>1c</w:t>
            </w:r>
            <w:proofErr w:type="gramStart"/>
            <w:r w:rsidRPr="00C011E4">
              <w:rPr>
                <w:b/>
                <w:bCs/>
                <w:szCs w:val="22"/>
                <w:lang w:val="hu-HU"/>
              </w:rPr>
              <w:t>-(</w:t>
            </w:r>
            <w:proofErr w:type="gramEnd"/>
            <w:r w:rsidRPr="00C011E4">
              <w:rPr>
                <w:b/>
                <w:bCs/>
                <w:szCs w:val="22"/>
                <w:lang w:val="hu-HU"/>
              </w:rPr>
              <w:t>%) értékekhez képest mutatkozó átlagos eltérés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†</w:t>
            </w:r>
          </w:p>
        </w:tc>
        <w:tc>
          <w:tcPr>
            <w:tcW w:w="2316" w:type="dxa"/>
          </w:tcPr>
          <w:p w14:paraId="2F6C3768" w14:textId="04207DA3" w:rsidR="00F933D8" w:rsidRPr="00C011E4" w:rsidRDefault="00F933D8" w:rsidP="00F933D8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7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 xml:space="preserve">A </w:t>
            </w:r>
            <w:proofErr w:type="spellStart"/>
            <w:r w:rsidRPr="00C011E4">
              <w:rPr>
                <w:b/>
                <w:bCs/>
                <w:szCs w:val="22"/>
                <w:lang w:val="hu-HU"/>
              </w:rPr>
              <w:t>placebóra</w:t>
            </w:r>
            <w:proofErr w:type="spellEnd"/>
            <w:r w:rsidRPr="00C011E4">
              <w:rPr>
                <w:b/>
                <w:bCs/>
                <w:szCs w:val="22"/>
                <w:lang w:val="hu-HU"/>
              </w:rPr>
              <w:t xml:space="preserve"> korrigált HbA</w:t>
            </w:r>
            <w:r w:rsidRPr="00C011E4">
              <w:rPr>
                <w:b/>
                <w:bCs/>
                <w:szCs w:val="22"/>
                <w:vertAlign w:val="subscript"/>
                <w:lang w:val="hu-HU"/>
              </w:rPr>
              <w:t>1c</w:t>
            </w:r>
            <w:r w:rsidRPr="00C011E4">
              <w:rPr>
                <w:b/>
                <w:bCs/>
                <w:szCs w:val="22"/>
                <w:lang w:val="hu-HU"/>
              </w:rPr>
              <w:t>-</w:t>
            </w:r>
            <w:r w:rsidR="0043611E">
              <w:rPr>
                <w:b/>
                <w:bCs/>
                <w:szCs w:val="22"/>
                <w:lang w:val="hu-HU"/>
              </w:rPr>
              <w:t xml:space="preserve"> </w:t>
            </w:r>
            <w:r w:rsidRPr="00C011E4">
              <w:rPr>
                <w:b/>
                <w:bCs/>
                <w:szCs w:val="22"/>
                <w:lang w:val="hu-HU"/>
              </w:rPr>
              <w:t>(%) értékek terén mutatkozó átlagos eltérés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†</w:t>
            </w:r>
          </w:p>
          <w:p w14:paraId="659661C7" w14:textId="08CD9F56" w:rsidR="00F933D8" w:rsidRPr="00C011E4" w:rsidRDefault="00F933D8" w:rsidP="00F933D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4" w:line="236" w:lineRule="exact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b/>
                <w:snapToGrid/>
                <w:szCs w:val="22"/>
                <w:lang w:val="hu-HU" w:eastAsia="en-US"/>
              </w:rPr>
              <w:t>(95%</w:t>
            </w:r>
            <w:r w:rsidRPr="00C011E4">
              <w:rPr>
                <w:rFonts w:eastAsia="Times New Roman"/>
                <w:b/>
                <w:snapToGrid/>
                <w:szCs w:val="22"/>
                <w:lang w:val="hu-HU" w:eastAsia="en-US"/>
              </w:rPr>
              <w:noBreakHyphen/>
              <w:t>os CI)</w:t>
            </w:r>
          </w:p>
        </w:tc>
      </w:tr>
      <w:tr w:rsidR="00F933D8" w:rsidRPr="00C011E4" w14:paraId="254990C8" w14:textId="77777777" w:rsidTr="00C34EFD">
        <w:trPr>
          <w:trHeight w:val="386"/>
        </w:trPr>
        <w:tc>
          <w:tcPr>
            <w:tcW w:w="9408" w:type="dxa"/>
            <w:gridSpan w:val="4"/>
          </w:tcPr>
          <w:p w14:paraId="78D1D79D" w14:textId="78F29D66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72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proofErr w:type="spellStart"/>
            <w:r w:rsidRPr="00C011E4">
              <w:rPr>
                <w:b/>
                <w:bCs/>
                <w:szCs w:val="22"/>
                <w:lang w:val="hu-HU"/>
              </w:rPr>
              <w:t>Monoterápiás</w:t>
            </w:r>
            <w:proofErr w:type="spellEnd"/>
            <w:r w:rsidRPr="00C011E4">
              <w:rPr>
                <w:b/>
                <w:bCs/>
                <w:szCs w:val="22"/>
                <w:lang w:val="hu-HU"/>
              </w:rPr>
              <w:t xml:space="preserve"> vizsgálatok</w:t>
            </w:r>
          </w:p>
        </w:tc>
      </w:tr>
      <w:tr w:rsidR="00F933D8" w:rsidRPr="00C011E4" w14:paraId="14701208" w14:textId="77777777" w:rsidTr="00C34EFD">
        <w:trPr>
          <w:trHeight w:val="386"/>
        </w:trPr>
        <w:tc>
          <w:tcPr>
            <w:tcW w:w="3528" w:type="dxa"/>
          </w:tcPr>
          <w:p w14:paraId="12440E1E" w14:textId="10DF0C33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323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szCs w:val="22"/>
                <w:lang w:val="hu-HU"/>
              </w:rPr>
              <w:t>Napi egyszer 100</w:t>
            </w:r>
            <w:r w:rsidR="00A60BB4" w:rsidRPr="00C011E4">
              <w:rPr>
                <w:szCs w:val="22"/>
                <w:lang w:val="hu-HU"/>
              </w:rPr>
              <w:t> mg</w:t>
            </w:r>
            <w:r w:rsidRPr="00C011E4">
              <w:rPr>
                <w:szCs w:val="22"/>
                <w:lang w:val="hu-HU"/>
              </w:rPr>
              <w:t xml:space="preserve"> </w:t>
            </w:r>
            <w:proofErr w:type="spellStart"/>
            <w:r w:rsidRPr="00C011E4">
              <w:rPr>
                <w:szCs w:val="22"/>
                <w:lang w:val="hu-HU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§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(N=193)</w:t>
            </w:r>
          </w:p>
        </w:tc>
        <w:tc>
          <w:tcPr>
            <w:tcW w:w="1483" w:type="dxa"/>
          </w:tcPr>
          <w:p w14:paraId="57DE56FC" w14:textId="6D0DB93B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</w:t>
            </w:r>
          </w:p>
        </w:tc>
        <w:tc>
          <w:tcPr>
            <w:tcW w:w="2081" w:type="dxa"/>
          </w:tcPr>
          <w:p w14:paraId="07BBE355" w14:textId="772608B9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5</w:t>
            </w:r>
          </w:p>
        </w:tc>
        <w:tc>
          <w:tcPr>
            <w:tcW w:w="2316" w:type="dxa"/>
          </w:tcPr>
          <w:p w14:paraId="4E0CE8ED" w14:textId="1A284D3D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6050BD03" w14:textId="6533EBB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4)</w:t>
            </w:r>
          </w:p>
        </w:tc>
      </w:tr>
      <w:tr w:rsidR="00F933D8" w:rsidRPr="00C011E4" w14:paraId="1CFA1A18" w14:textId="77777777" w:rsidTr="00C34EFD">
        <w:trPr>
          <w:trHeight w:val="277"/>
        </w:trPr>
        <w:tc>
          <w:tcPr>
            <w:tcW w:w="3528" w:type="dxa"/>
          </w:tcPr>
          <w:p w14:paraId="2A706CA3" w14:textId="10E8C7FA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="0043611E" w:rsidRPr="00574D3C">
              <w:rPr>
                <w:vertAlign w:val="superscript"/>
              </w:rPr>
              <w:sym w:font="Symbol" w:char="F07C"/>
            </w:r>
            <w:r w:rsidR="0043611E" w:rsidRPr="00574D3C">
              <w:rPr>
                <w:vertAlign w:val="superscript"/>
              </w:rPr>
              <w:sym w:font="Symbol" w:char="F07C"/>
            </w:r>
          </w:p>
          <w:p w14:paraId="360477BE" w14:textId="76032ACF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(N=229)</w:t>
            </w:r>
          </w:p>
        </w:tc>
        <w:tc>
          <w:tcPr>
            <w:tcW w:w="1483" w:type="dxa"/>
          </w:tcPr>
          <w:p w14:paraId="64727549" w14:textId="3B9951B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</w:t>
            </w:r>
          </w:p>
        </w:tc>
        <w:tc>
          <w:tcPr>
            <w:tcW w:w="2081" w:type="dxa"/>
          </w:tcPr>
          <w:p w14:paraId="160A5361" w14:textId="50BE9E8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</w:p>
        </w:tc>
        <w:tc>
          <w:tcPr>
            <w:tcW w:w="2316" w:type="dxa"/>
          </w:tcPr>
          <w:p w14:paraId="252D6C42" w14:textId="0D70A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5A9EE668" w14:textId="66CCE2F2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6)</w:t>
            </w:r>
          </w:p>
        </w:tc>
      </w:tr>
      <w:tr w:rsidR="00F933D8" w:rsidRPr="00C011E4" w14:paraId="2B81402B" w14:textId="77777777" w:rsidTr="00C34EFD">
        <w:trPr>
          <w:trHeight w:val="405"/>
        </w:trPr>
        <w:tc>
          <w:tcPr>
            <w:tcW w:w="9408" w:type="dxa"/>
            <w:gridSpan w:val="4"/>
          </w:tcPr>
          <w:p w14:paraId="41C7DD4A" w14:textId="6BA15CB9" w:rsidR="00F933D8" w:rsidRPr="00C011E4" w:rsidRDefault="00C33165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72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>Kombinációs terápiás vizsgálatok</w:t>
            </w:r>
          </w:p>
        </w:tc>
      </w:tr>
      <w:tr w:rsidR="00F933D8" w:rsidRPr="00C011E4" w14:paraId="2FA7E46A" w14:textId="77777777" w:rsidTr="00C34EFD">
        <w:trPr>
          <w:trHeight w:val="757"/>
        </w:trPr>
        <w:tc>
          <w:tcPr>
            <w:tcW w:w="3528" w:type="dxa"/>
          </w:tcPr>
          <w:p w14:paraId="188774C2" w14:textId="4D4C6962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8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C011E4">
              <w:rPr>
                <w:szCs w:val="22"/>
                <w:lang w:val="hu-HU"/>
              </w:rPr>
              <w:t xml:space="preserve">a folyamatban lévő </w:t>
            </w:r>
            <w:proofErr w:type="spellStart"/>
            <w:r w:rsidRPr="00C011E4">
              <w:rPr>
                <w:szCs w:val="22"/>
                <w:lang w:val="hu-HU"/>
              </w:rPr>
              <w:t>metformin</w:t>
            </w:r>
            <w:proofErr w:type="spellEnd"/>
            <w:r w:rsidRPr="00C011E4">
              <w:rPr>
                <w:szCs w:val="22"/>
                <w:lang w:val="hu-HU"/>
              </w:rPr>
              <w:t>-terápiához adva</w:t>
            </w:r>
            <w:r w:rsidR="006F595D" w:rsidRPr="00574D3C">
              <w:rPr>
                <w:vertAlign w:val="superscript"/>
              </w:rPr>
              <w:sym w:font="Symbol" w:char="F07C"/>
            </w:r>
            <w:r w:rsidR="006F595D" w:rsidRPr="00574D3C">
              <w:rPr>
                <w:vertAlign w:val="superscript"/>
              </w:rPr>
              <w:sym w:font="Symbol" w:char="F07C"/>
            </w:r>
          </w:p>
          <w:p w14:paraId="1F9706BA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(N=453)</w:t>
            </w:r>
          </w:p>
        </w:tc>
        <w:tc>
          <w:tcPr>
            <w:tcW w:w="1483" w:type="dxa"/>
          </w:tcPr>
          <w:p w14:paraId="7FE9D5A6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48B63777" w14:textId="600381E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</w:t>
            </w:r>
          </w:p>
        </w:tc>
        <w:tc>
          <w:tcPr>
            <w:tcW w:w="2081" w:type="dxa"/>
          </w:tcPr>
          <w:p w14:paraId="117ABB4E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2C706878" w14:textId="336A8E43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</w:p>
        </w:tc>
        <w:tc>
          <w:tcPr>
            <w:tcW w:w="2316" w:type="dxa"/>
          </w:tcPr>
          <w:p w14:paraId="6F6481DB" w14:textId="50329C9F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17"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7DD6AC96" w14:textId="11A47443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5)</w:t>
            </w:r>
          </w:p>
        </w:tc>
      </w:tr>
      <w:tr w:rsidR="00F933D8" w:rsidRPr="00C011E4" w14:paraId="599F7B63" w14:textId="77777777" w:rsidTr="00C34EFD">
        <w:trPr>
          <w:trHeight w:val="760"/>
        </w:trPr>
        <w:tc>
          <w:tcPr>
            <w:tcW w:w="3528" w:type="dxa"/>
          </w:tcPr>
          <w:p w14:paraId="2F8A9B2F" w14:textId="0773AAD9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5" w:line="252" w:lineRule="exact"/>
              <w:ind w:left="22" w:right="323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C011E4">
              <w:rPr>
                <w:szCs w:val="22"/>
                <w:lang w:val="hu-HU"/>
              </w:rPr>
              <w:t xml:space="preserve">a folyamatban lévő </w:t>
            </w:r>
            <w:proofErr w:type="spellStart"/>
            <w:r w:rsidRPr="00C011E4">
              <w:rPr>
                <w:szCs w:val="22"/>
                <w:lang w:val="hu-HU"/>
              </w:rPr>
              <w:t>pioglitazon</w:t>
            </w:r>
            <w:proofErr w:type="spellEnd"/>
            <w:r w:rsidRPr="00C011E4">
              <w:rPr>
                <w:szCs w:val="22"/>
                <w:lang w:val="hu-HU"/>
              </w:rPr>
              <w:t>-terápiához adva</w:t>
            </w:r>
            <w:r w:rsidR="006F595D" w:rsidRPr="00574D3C">
              <w:rPr>
                <w:vertAlign w:val="superscript"/>
              </w:rPr>
              <w:sym w:font="Symbol" w:char="F07C"/>
            </w:r>
            <w:r w:rsidR="006F595D" w:rsidRPr="00574D3C">
              <w:rPr>
                <w:vertAlign w:val="superscript"/>
              </w:rPr>
              <w:sym w:font="Symbol" w:char="F07C"/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(N=163)</w:t>
            </w:r>
          </w:p>
        </w:tc>
        <w:tc>
          <w:tcPr>
            <w:tcW w:w="1483" w:type="dxa"/>
          </w:tcPr>
          <w:p w14:paraId="7370157D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2DF55E30" w14:textId="21656A6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</w:p>
        </w:tc>
        <w:tc>
          <w:tcPr>
            <w:tcW w:w="2081" w:type="dxa"/>
          </w:tcPr>
          <w:p w14:paraId="392B21FE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46C3DCD9" w14:textId="7879DD03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9</w:t>
            </w:r>
          </w:p>
        </w:tc>
        <w:tc>
          <w:tcPr>
            <w:tcW w:w="2316" w:type="dxa"/>
          </w:tcPr>
          <w:p w14:paraId="62FC46EC" w14:textId="5D69431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17"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0339C0A0" w14:textId="28037D04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9,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5)</w:t>
            </w:r>
          </w:p>
        </w:tc>
      </w:tr>
      <w:tr w:rsidR="00F933D8" w:rsidRPr="00C011E4" w14:paraId="61108EBA" w14:textId="77777777" w:rsidTr="00C34EFD">
        <w:trPr>
          <w:trHeight w:val="757"/>
        </w:trPr>
        <w:tc>
          <w:tcPr>
            <w:tcW w:w="3528" w:type="dxa"/>
          </w:tcPr>
          <w:p w14:paraId="564D66D3" w14:textId="7B6DFCED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8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C011E4">
              <w:rPr>
                <w:szCs w:val="22"/>
                <w:lang w:val="hu-HU"/>
              </w:rPr>
              <w:t xml:space="preserve">a folyamatban lévő </w:t>
            </w:r>
            <w:proofErr w:type="spellStart"/>
            <w:r w:rsidRPr="00C011E4">
              <w:rPr>
                <w:szCs w:val="22"/>
                <w:lang w:val="hu-HU"/>
              </w:rPr>
              <w:t>glimepirid</w:t>
            </w:r>
            <w:proofErr w:type="spellEnd"/>
            <w:r w:rsidRPr="00C011E4">
              <w:rPr>
                <w:szCs w:val="22"/>
                <w:lang w:val="hu-HU"/>
              </w:rPr>
              <w:t>-terápiához adva</w:t>
            </w:r>
            <w:r w:rsidR="006F595D" w:rsidRPr="00574D3C">
              <w:rPr>
                <w:vertAlign w:val="superscript"/>
              </w:rPr>
              <w:sym w:font="Symbol" w:char="F07C"/>
            </w:r>
            <w:r w:rsidR="006F595D" w:rsidRPr="00574D3C">
              <w:rPr>
                <w:vertAlign w:val="superscript"/>
              </w:rPr>
              <w:sym w:font="Symbol" w:char="F07C"/>
            </w:r>
          </w:p>
          <w:p w14:paraId="726E7FAC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(N=102)</w:t>
            </w:r>
          </w:p>
        </w:tc>
        <w:tc>
          <w:tcPr>
            <w:tcW w:w="1483" w:type="dxa"/>
          </w:tcPr>
          <w:p w14:paraId="1424CD38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62E187D4" w14:textId="2BBA617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4</w:t>
            </w:r>
          </w:p>
        </w:tc>
        <w:tc>
          <w:tcPr>
            <w:tcW w:w="2081" w:type="dxa"/>
          </w:tcPr>
          <w:p w14:paraId="0124A97C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7686A8E0" w14:textId="45A2C4A4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</w:t>
            </w:r>
          </w:p>
        </w:tc>
        <w:tc>
          <w:tcPr>
            <w:tcW w:w="2316" w:type="dxa"/>
          </w:tcPr>
          <w:p w14:paraId="2709875F" w14:textId="19521852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15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339B1F67" w14:textId="32DC275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3)</w:t>
            </w:r>
          </w:p>
        </w:tc>
      </w:tr>
      <w:tr w:rsidR="00F933D8" w:rsidRPr="00C011E4" w14:paraId="52A45B00" w14:textId="77777777" w:rsidTr="00C34EFD">
        <w:trPr>
          <w:trHeight w:val="1012"/>
        </w:trPr>
        <w:tc>
          <w:tcPr>
            <w:tcW w:w="3528" w:type="dxa"/>
          </w:tcPr>
          <w:p w14:paraId="53406D61" w14:textId="458D15D8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103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C011E4">
              <w:rPr>
                <w:szCs w:val="22"/>
                <w:lang w:val="hu-HU"/>
              </w:rPr>
              <w:t xml:space="preserve">a folyamatban lévő </w:t>
            </w:r>
            <w:proofErr w:type="spellStart"/>
            <w:r w:rsidRPr="00C011E4">
              <w:rPr>
                <w:szCs w:val="22"/>
                <w:lang w:val="hu-HU"/>
              </w:rPr>
              <w:t>glimepirid+metformin</w:t>
            </w:r>
            <w:r w:rsidR="003C57E0">
              <w:rPr>
                <w:rFonts w:eastAsia="Times New Roman"/>
                <w:snapToGrid/>
                <w:szCs w:val="22"/>
                <w:lang w:val="hu-HU" w:eastAsia="en-US"/>
              </w:rPr>
              <w:t>-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terápiához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adva</w:t>
            </w:r>
            <w:r w:rsidR="006F595D" w:rsidRPr="00574D3C">
              <w:rPr>
                <w:vertAlign w:val="superscript"/>
              </w:rPr>
              <w:sym w:font="Symbol" w:char="F07C"/>
            </w:r>
            <w:r w:rsidR="006F595D" w:rsidRPr="00574D3C">
              <w:rPr>
                <w:vertAlign w:val="superscript"/>
              </w:rPr>
              <w:sym w:font="Symbol" w:char="F07C"/>
            </w:r>
          </w:p>
          <w:p w14:paraId="69B10D15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3" w:lineRule="exact"/>
              <w:ind w:left="22"/>
              <w:jc w:val="both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(N=115)</w:t>
            </w:r>
          </w:p>
        </w:tc>
        <w:tc>
          <w:tcPr>
            <w:tcW w:w="1483" w:type="dxa"/>
          </w:tcPr>
          <w:p w14:paraId="484FDF95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3B4121C2" w14:textId="023E030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</w:t>
            </w:r>
          </w:p>
        </w:tc>
        <w:tc>
          <w:tcPr>
            <w:tcW w:w="2081" w:type="dxa"/>
          </w:tcPr>
          <w:p w14:paraId="4CB8E605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6C5D1FC9" w14:textId="68A968E2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</w:p>
        </w:tc>
        <w:tc>
          <w:tcPr>
            <w:tcW w:w="2316" w:type="dxa"/>
          </w:tcPr>
          <w:p w14:paraId="4B995748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54B64956" w14:textId="43D2D30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9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70283C75" w14:textId="1ACF5F93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1,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7)</w:t>
            </w:r>
          </w:p>
        </w:tc>
      </w:tr>
      <w:tr w:rsidR="00F933D8" w:rsidRPr="00C011E4" w14:paraId="68B39938" w14:textId="77777777" w:rsidTr="00C34EFD">
        <w:trPr>
          <w:trHeight w:val="1012"/>
        </w:trPr>
        <w:tc>
          <w:tcPr>
            <w:tcW w:w="3528" w:type="dxa"/>
          </w:tcPr>
          <w:p w14:paraId="0643EAA4" w14:textId="6D223099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93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="00C33165" w:rsidRPr="00C011E4">
              <w:rPr>
                <w:szCs w:val="22"/>
                <w:lang w:val="hu-HU"/>
              </w:rPr>
              <w:t xml:space="preserve">a folyamatban lévő </w:t>
            </w:r>
            <w:proofErr w:type="spellStart"/>
            <w:r w:rsidR="00C33165" w:rsidRPr="00C011E4">
              <w:rPr>
                <w:szCs w:val="22"/>
                <w:lang w:val="hu-HU"/>
              </w:rPr>
              <w:t>pioglitazon</w:t>
            </w:r>
            <w:proofErr w:type="spellEnd"/>
            <w:r w:rsidR="00C33165" w:rsidRPr="00C011E4">
              <w:rPr>
                <w:szCs w:val="22"/>
                <w:lang w:val="hu-HU"/>
              </w:rPr>
              <w:t xml:space="preserve"> + </w:t>
            </w:r>
            <w:proofErr w:type="spellStart"/>
            <w:r w:rsidR="00C33165" w:rsidRPr="00C011E4">
              <w:rPr>
                <w:szCs w:val="22"/>
                <w:lang w:val="hu-HU"/>
              </w:rPr>
              <w:t>metformin</w:t>
            </w:r>
            <w:proofErr w:type="spellEnd"/>
            <w:r w:rsidR="00C33165" w:rsidRPr="00C011E4">
              <w:rPr>
                <w:szCs w:val="22"/>
                <w:lang w:val="hu-HU"/>
              </w:rPr>
              <w:t>-terápiához adva</w:t>
            </w:r>
            <w:r w:rsidR="00C33165"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 xml:space="preserve"> 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#</w:t>
            </w:r>
          </w:p>
          <w:p w14:paraId="768D4EAC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3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(N=152)</w:t>
            </w:r>
          </w:p>
        </w:tc>
        <w:tc>
          <w:tcPr>
            <w:tcW w:w="1483" w:type="dxa"/>
          </w:tcPr>
          <w:p w14:paraId="2610060F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4FC544BD" w14:textId="2514D5A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</w:p>
        </w:tc>
        <w:tc>
          <w:tcPr>
            <w:tcW w:w="2081" w:type="dxa"/>
          </w:tcPr>
          <w:p w14:paraId="5DEAF7F3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A3717B2" w14:textId="735F63EC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2</w:t>
            </w:r>
          </w:p>
        </w:tc>
        <w:tc>
          <w:tcPr>
            <w:tcW w:w="2316" w:type="dxa"/>
          </w:tcPr>
          <w:p w14:paraId="4E94C927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3CF5AD91" w14:textId="0821F1CC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381069B2" w14:textId="2179DA6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5)</w:t>
            </w:r>
          </w:p>
        </w:tc>
      </w:tr>
      <w:tr w:rsidR="00F933D8" w:rsidRPr="00C011E4" w14:paraId="69EFF06B" w14:textId="77777777" w:rsidTr="00C34EFD">
        <w:trPr>
          <w:trHeight w:val="1010"/>
        </w:trPr>
        <w:tc>
          <w:tcPr>
            <w:tcW w:w="3528" w:type="dxa"/>
          </w:tcPr>
          <w:p w14:paraId="4D09E517" w14:textId="508BE226" w:rsidR="00F933D8" w:rsidRPr="00C011E4" w:rsidRDefault="00C33165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580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szCs w:val="22"/>
                <w:lang w:val="hu-HU"/>
              </w:rPr>
              <w:t>Kezdő terápia (naponta kétszer</w:t>
            </w:r>
            <w:r w:rsidR="00F933D8" w:rsidRPr="00C011E4">
              <w:rPr>
                <w:rFonts w:eastAsia="Times New Roman"/>
                <w:snapToGrid/>
                <w:szCs w:val="22"/>
                <w:lang w:val="hu-HU" w:eastAsia="en-US"/>
              </w:rPr>
              <w:t>)</w:t>
            </w:r>
            <w:r w:rsidR="00133400" w:rsidRPr="00574D3C">
              <w:rPr>
                <w:vertAlign w:val="superscript"/>
              </w:rPr>
              <w:sym w:font="Symbol" w:char="F07C"/>
            </w:r>
            <w:r w:rsidR="00133400" w:rsidRPr="00574D3C">
              <w:rPr>
                <w:vertAlign w:val="superscript"/>
              </w:rPr>
              <w:sym w:font="Symbol" w:char="F07C"/>
            </w:r>
            <w:r w:rsidR="00F933D8"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: </w:t>
            </w:r>
            <w:proofErr w:type="spellStart"/>
            <w:r w:rsidRPr="00C011E4">
              <w:rPr>
                <w:szCs w:val="22"/>
                <w:lang w:val="hu-HU"/>
              </w:rPr>
              <w:t>szitagliptin</w:t>
            </w:r>
            <w:proofErr w:type="spellEnd"/>
            <w:r w:rsidRPr="00C011E4">
              <w:rPr>
                <w:szCs w:val="22"/>
                <w:lang w:val="hu-HU"/>
              </w:rPr>
              <w:t xml:space="preserve"> 50</w:t>
            </w:r>
            <w:r w:rsidR="00A60BB4" w:rsidRPr="00C011E4">
              <w:rPr>
                <w:szCs w:val="22"/>
                <w:lang w:val="hu-HU"/>
              </w:rPr>
              <w:t> mg</w:t>
            </w:r>
            <w:r w:rsidRPr="00C011E4">
              <w:rPr>
                <w:szCs w:val="22"/>
                <w:lang w:val="hu-HU"/>
              </w:rPr>
              <w:t xml:space="preserve"> + </w:t>
            </w:r>
            <w:proofErr w:type="spellStart"/>
            <w:r w:rsidRPr="00C011E4">
              <w:rPr>
                <w:szCs w:val="22"/>
                <w:lang w:val="hu-HU"/>
              </w:rPr>
              <w:t>metformin</w:t>
            </w:r>
            <w:proofErr w:type="spellEnd"/>
            <w:r w:rsidRPr="00C011E4">
              <w:rPr>
                <w:szCs w:val="22"/>
                <w:lang w:val="hu-HU"/>
              </w:rPr>
              <w:t xml:space="preserve"> 500</w:t>
            </w:r>
            <w:r w:rsidR="00A60BB4" w:rsidRPr="00C011E4">
              <w:rPr>
                <w:szCs w:val="22"/>
                <w:lang w:val="hu-HU"/>
              </w:rPr>
              <w:t> mg</w:t>
            </w:r>
          </w:p>
          <w:p w14:paraId="0FA684D7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(N=183)</w:t>
            </w:r>
          </w:p>
        </w:tc>
        <w:tc>
          <w:tcPr>
            <w:tcW w:w="1483" w:type="dxa"/>
          </w:tcPr>
          <w:p w14:paraId="0242EBA6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5C56F3FA" w14:textId="7C4FB73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</w:p>
        </w:tc>
        <w:tc>
          <w:tcPr>
            <w:tcW w:w="2081" w:type="dxa"/>
          </w:tcPr>
          <w:p w14:paraId="0EDAB244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76F58928" w14:textId="40E08BD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4</w:t>
            </w:r>
          </w:p>
        </w:tc>
        <w:tc>
          <w:tcPr>
            <w:tcW w:w="2316" w:type="dxa"/>
          </w:tcPr>
          <w:p w14:paraId="449BB50C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247D6E65" w14:textId="41939B50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7B00D4C8" w14:textId="4C0AF0A2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8, 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3)</w:t>
            </w:r>
          </w:p>
        </w:tc>
      </w:tr>
      <w:tr w:rsidR="00F933D8" w:rsidRPr="00C011E4" w14:paraId="3C46EA87" w14:textId="77777777" w:rsidTr="00C34EFD">
        <w:trPr>
          <w:trHeight w:val="1012"/>
        </w:trPr>
        <w:tc>
          <w:tcPr>
            <w:tcW w:w="3528" w:type="dxa"/>
          </w:tcPr>
          <w:p w14:paraId="34E72B23" w14:textId="216FAE1D" w:rsidR="00F933D8" w:rsidRPr="00C011E4" w:rsidRDefault="00C33165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580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szCs w:val="22"/>
                <w:lang w:val="hu-HU"/>
              </w:rPr>
              <w:t>Kezdő terápia (naponta kétszer</w:t>
            </w:r>
            <w:r w:rsidR="00F933D8" w:rsidRPr="00C011E4">
              <w:rPr>
                <w:rFonts w:eastAsia="Times New Roman"/>
                <w:snapToGrid/>
                <w:spacing w:val="-9"/>
                <w:szCs w:val="22"/>
                <w:lang w:val="hu-HU" w:eastAsia="en-US"/>
              </w:rPr>
              <w:t>)</w:t>
            </w:r>
            <w:r w:rsidR="006F595D" w:rsidRPr="00574D3C">
              <w:rPr>
                <w:vertAlign w:val="superscript"/>
              </w:rPr>
              <w:sym w:font="Symbol" w:char="F07C"/>
            </w:r>
            <w:r w:rsidR="006F595D" w:rsidRPr="00574D3C">
              <w:rPr>
                <w:vertAlign w:val="superscript"/>
              </w:rPr>
              <w:sym w:font="Symbol" w:char="F07C"/>
            </w:r>
            <w:r w:rsidR="00F933D8" w:rsidRPr="00C011E4">
              <w:rPr>
                <w:rFonts w:eastAsia="Times New Roman"/>
                <w:snapToGrid/>
                <w:spacing w:val="-9"/>
                <w:szCs w:val="22"/>
                <w:lang w:val="hu-HU" w:eastAsia="en-US"/>
              </w:rPr>
              <w:t xml:space="preserve">: </w:t>
            </w:r>
            <w:proofErr w:type="spellStart"/>
            <w:r w:rsidRPr="00C011E4">
              <w:rPr>
                <w:szCs w:val="22"/>
                <w:lang w:val="hu-HU"/>
              </w:rPr>
              <w:t>szitagliptin</w:t>
            </w:r>
            <w:proofErr w:type="spellEnd"/>
            <w:r w:rsidRPr="00C011E4">
              <w:rPr>
                <w:szCs w:val="22"/>
                <w:lang w:val="hu-HU"/>
              </w:rPr>
              <w:t xml:space="preserve"> 50</w:t>
            </w:r>
            <w:r w:rsidR="00A60BB4" w:rsidRPr="00C011E4">
              <w:rPr>
                <w:szCs w:val="22"/>
                <w:lang w:val="hu-HU"/>
              </w:rPr>
              <w:t> mg</w:t>
            </w:r>
            <w:r w:rsidRPr="00C011E4">
              <w:rPr>
                <w:szCs w:val="22"/>
                <w:lang w:val="hu-HU"/>
              </w:rPr>
              <w:t xml:space="preserve"> + </w:t>
            </w:r>
            <w:proofErr w:type="spellStart"/>
            <w:r w:rsidRPr="00C011E4">
              <w:rPr>
                <w:szCs w:val="22"/>
                <w:lang w:val="hu-HU"/>
              </w:rPr>
              <w:t>metformin</w:t>
            </w:r>
            <w:proofErr w:type="spellEnd"/>
            <w:r w:rsidRPr="00C011E4">
              <w:rPr>
                <w:szCs w:val="22"/>
                <w:lang w:val="hu-HU"/>
              </w:rPr>
              <w:t xml:space="preserve"> 1000</w:t>
            </w:r>
            <w:r w:rsidR="00A60BB4" w:rsidRPr="00C011E4">
              <w:rPr>
                <w:szCs w:val="22"/>
                <w:lang w:val="hu-HU"/>
              </w:rPr>
              <w:t> mg</w:t>
            </w:r>
          </w:p>
          <w:p w14:paraId="236EB7A2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(N=178)</w:t>
            </w:r>
          </w:p>
        </w:tc>
        <w:tc>
          <w:tcPr>
            <w:tcW w:w="1483" w:type="dxa"/>
          </w:tcPr>
          <w:p w14:paraId="69877420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4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0C7EEB43" w14:textId="50F3F5F0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</w:p>
        </w:tc>
        <w:tc>
          <w:tcPr>
            <w:tcW w:w="2081" w:type="dxa"/>
          </w:tcPr>
          <w:p w14:paraId="7C141193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4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28F32300" w14:textId="34A04129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9</w:t>
            </w:r>
          </w:p>
        </w:tc>
        <w:tc>
          <w:tcPr>
            <w:tcW w:w="2316" w:type="dxa"/>
          </w:tcPr>
          <w:p w14:paraId="12926E60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6A11545" w14:textId="60F86AF8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-2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3CB9BAFA" w14:textId="00068C32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(-2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3, 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8)</w:t>
            </w:r>
          </w:p>
        </w:tc>
      </w:tr>
      <w:tr w:rsidR="00F933D8" w:rsidRPr="00C011E4" w14:paraId="56442ECC" w14:textId="77777777" w:rsidTr="00C34EFD">
        <w:trPr>
          <w:trHeight w:val="1012"/>
        </w:trPr>
        <w:tc>
          <w:tcPr>
            <w:tcW w:w="3528" w:type="dxa"/>
          </w:tcPr>
          <w:p w14:paraId="07A0117E" w14:textId="7FF82A11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8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="00C33165" w:rsidRPr="00C011E4">
              <w:rPr>
                <w:szCs w:val="22"/>
                <w:lang w:val="hu-HU"/>
              </w:rPr>
              <w:t xml:space="preserve">folyamatban lévő inzulin- (+/- </w:t>
            </w:r>
            <w:proofErr w:type="spellStart"/>
            <w:r w:rsidR="00C33165" w:rsidRPr="00C011E4">
              <w:rPr>
                <w:szCs w:val="22"/>
                <w:lang w:val="hu-HU"/>
              </w:rPr>
              <w:t>metformin</w:t>
            </w:r>
            <w:proofErr w:type="spellEnd"/>
            <w:r w:rsidR="00C33165" w:rsidRPr="00C011E4">
              <w:rPr>
                <w:szCs w:val="22"/>
                <w:lang w:val="hu-HU"/>
              </w:rPr>
              <w:t>)</w:t>
            </w:r>
            <w:r w:rsidR="006F595D">
              <w:rPr>
                <w:szCs w:val="22"/>
                <w:lang w:val="hu-HU"/>
              </w:rPr>
              <w:t xml:space="preserve"> </w:t>
            </w:r>
            <w:r w:rsidR="00C33165" w:rsidRPr="00C011E4">
              <w:rPr>
                <w:szCs w:val="22"/>
                <w:lang w:val="hu-HU"/>
              </w:rPr>
              <w:t>terápiához adva</w:t>
            </w:r>
            <w:r w:rsidR="00C33165"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 xml:space="preserve"> </w:t>
            </w:r>
            <w:r w:rsidR="006F595D" w:rsidRPr="00574D3C">
              <w:rPr>
                <w:vertAlign w:val="superscript"/>
              </w:rPr>
              <w:sym w:font="Symbol" w:char="F07C"/>
            </w:r>
            <w:r w:rsidR="006F595D" w:rsidRPr="00574D3C">
              <w:rPr>
                <w:vertAlign w:val="superscript"/>
              </w:rPr>
              <w:sym w:font="Symbol" w:char="F07C"/>
            </w:r>
          </w:p>
          <w:p w14:paraId="22CBB716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(N=305)</w:t>
            </w:r>
          </w:p>
        </w:tc>
        <w:tc>
          <w:tcPr>
            <w:tcW w:w="1483" w:type="dxa"/>
          </w:tcPr>
          <w:p w14:paraId="7C3B9630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4FDAF6B" w14:textId="3E6987F4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</w:p>
        </w:tc>
        <w:tc>
          <w:tcPr>
            <w:tcW w:w="2081" w:type="dxa"/>
          </w:tcPr>
          <w:p w14:paraId="633F58A3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0384AF9" w14:textId="70E30101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¶</w:t>
            </w:r>
          </w:p>
        </w:tc>
        <w:tc>
          <w:tcPr>
            <w:tcW w:w="2316" w:type="dxa"/>
          </w:tcPr>
          <w:p w14:paraId="5AA0D932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67B9297B" w14:textId="5AF0AA2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proofErr w:type="gramStart"/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‡,¶</w:t>
            </w:r>
            <w:proofErr w:type="gramEnd"/>
          </w:p>
          <w:p w14:paraId="4579371D" w14:textId="663F7E7A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4)</w:t>
            </w:r>
          </w:p>
        </w:tc>
      </w:tr>
    </w:tbl>
    <w:p w14:paraId="2E7481EF" w14:textId="0017D5F4" w:rsidR="00F933D8" w:rsidRPr="00C011E4" w:rsidRDefault="00F933D8" w:rsidP="00F933D8">
      <w:pPr>
        <w:widowControl w:val="0"/>
        <w:tabs>
          <w:tab w:val="clear" w:pos="567"/>
        </w:tabs>
        <w:autoSpaceDE w:val="0"/>
        <w:autoSpaceDN w:val="0"/>
        <w:spacing w:line="187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*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A kezelt populáció minden betege (</w:t>
      </w:r>
      <w:r w:rsidR="003C57E0">
        <w:rPr>
          <w:rFonts w:eastAsia="Times New Roman"/>
          <w:snapToGrid/>
          <w:sz w:val="18"/>
          <w:szCs w:val="22"/>
          <w:lang w:val="hu-HU" w:eastAsia="en-US" w:bidi="hu-HU"/>
        </w:rPr>
        <w:t>beválasztás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szerinti analízis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)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46A98737" w14:textId="60AA7138" w:rsidR="00F933D8" w:rsidRPr="00C011E4" w:rsidRDefault="00F933D8" w:rsidP="00F933D8">
      <w:pPr>
        <w:widowControl w:val="0"/>
        <w:tabs>
          <w:tab w:val="clear" w:pos="567"/>
        </w:tabs>
        <w:autoSpaceDE w:val="0"/>
        <w:autoSpaceDN w:val="0"/>
        <w:spacing w:line="208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lastRenderedPageBreak/>
        <w:t xml:space="preserve">†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Az előzőleg adott </w:t>
      </w:r>
      <w:proofErr w:type="spellStart"/>
      <w:r w:rsidR="001B061F">
        <w:rPr>
          <w:rFonts w:eastAsia="Times New Roman"/>
          <w:snapToGrid/>
          <w:sz w:val="18"/>
          <w:szCs w:val="22"/>
          <w:lang w:val="hu-HU" w:eastAsia="en-US" w:bidi="hu-HU"/>
        </w:rPr>
        <w:t>antihyperglykaemi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ás</w:t>
      </w:r>
      <w:proofErr w:type="spellEnd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terápiás státuszhoz és a vizsgálatba történő belépéskor mért értékhez igazított legkisebb négyzetek módszere.</w:t>
      </w:r>
    </w:p>
    <w:p w14:paraId="70B51734" w14:textId="10B2AED6" w:rsidR="00F933D8" w:rsidRPr="00C011E4" w:rsidRDefault="00F933D8" w:rsidP="00F933D8">
      <w:pPr>
        <w:widowControl w:val="0"/>
        <w:tabs>
          <w:tab w:val="clear" w:pos="567"/>
        </w:tabs>
        <w:autoSpaceDE w:val="0"/>
        <w:autoSpaceDN w:val="0"/>
        <w:spacing w:line="208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‡ 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p&lt;0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,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001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a </w:t>
      </w:r>
      <w:proofErr w:type="spellStart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placebóval</w:t>
      </w:r>
      <w:proofErr w:type="spellEnd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vagy </w:t>
      </w:r>
      <w:proofErr w:type="spellStart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placebó+kombinációs</w:t>
      </w:r>
      <w:proofErr w:type="spellEnd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kezeléssel összehasonlítva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6E481801" w14:textId="50208B4F" w:rsidR="00F933D8" w:rsidRPr="00C011E4" w:rsidRDefault="00F933D8" w:rsidP="00F933D8">
      <w:pPr>
        <w:widowControl w:val="0"/>
        <w:tabs>
          <w:tab w:val="clear" w:pos="567"/>
        </w:tabs>
        <w:autoSpaceDE w:val="0"/>
        <w:autoSpaceDN w:val="0"/>
        <w:spacing w:line="207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§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A 18. héten mért</w:t>
      </w:r>
      <w:r w:rsidR="00C33165" w:rsidRPr="00C011E4">
        <w:rPr>
          <w:rFonts w:eastAsia="Microsoft Sans Serif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HbA</w:t>
      </w:r>
      <w:r w:rsidRPr="00C011E4">
        <w:rPr>
          <w:rFonts w:eastAsia="Times New Roman"/>
          <w:snapToGrid/>
          <w:sz w:val="18"/>
          <w:szCs w:val="22"/>
          <w:vertAlign w:val="subscript"/>
          <w:lang w:val="hu-HU" w:eastAsia="en-US"/>
        </w:rPr>
        <w:t>1c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 (%)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0F05305B" w14:textId="6E72C6BC" w:rsidR="00C33165" w:rsidRPr="00C011E4" w:rsidRDefault="0043611E" w:rsidP="00C33165">
      <w:pPr>
        <w:widowControl w:val="0"/>
        <w:tabs>
          <w:tab w:val="clear" w:pos="567"/>
        </w:tabs>
        <w:autoSpaceDE w:val="0"/>
        <w:autoSpaceDN w:val="0"/>
        <w:spacing w:line="206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574D3C">
        <w:rPr>
          <w:vertAlign w:val="superscript"/>
        </w:rPr>
        <w:sym w:font="Symbol" w:char="F07C"/>
      </w:r>
      <w:r w:rsidRPr="00574D3C">
        <w:rPr>
          <w:vertAlign w:val="superscript"/>
        </w:rPr>
        <w:sym w:font="Symbol" w:char="F07C"/>
      </w:r>
      <w:r w:rsidR="00F933D8" w:rsidRPr="00C011E4">
        <w:rPr>
          <w:rFonts w:eastAsia="Times New Roman"/>
          <w:snapToGrid/>
          <w:w w:val="160"/>
          <w:position w:val="8"/>
          <w:sz w:val="12"/>
          <w:szCs w:val="22"/>
          <w:lang w:val="hu-HU" w:eastAsia="en-US"/>
        </w:rPr>
        <w:t xml:space="preserve">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A 24. héten mért</w:t>
      </w:r>
      <w:r w:rsidR="00C33165" w:rsidRPr="00C011E4">
        <w:rPr>
          <w:rFonts w:eastAsia="Microsoft Sans Serif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HbA</w:t>
      </w:r>
      <w:r w:rsidR="00C33165" w:rsidRPr="00C011E4">
        <w:rPr>
          <w:rFonts w:eastAsia="Times New Roman"/>
          <w:snapToGrid/>
          <w:sz w:val="18"/>
          <w:szCs w:val="22"/>
          <w:vertAlign w:val="subscript"/>
          <w:lang w:val="hu-HU" w:eastAsia="en-US"/>
        </w:rPr>
        <w:t>1c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 (%).</w:t>
      </w:r>
    </w:p>
    <w:p w14:paraId="18CF4A39" w14:textId="294B5A11" w:rsidR="00F933D8" w:rsidRPr="00C011E4" w:rsidRDefault="00F933D8" w:rsidP="00C33165">
      <w:pPr>
        <w:widowControl w:val="0"/>
        <w:tabs>
          <w:tab w:val="clear" w:pos="567"/>
        </w:tabs>
        <w:autoSpaceDE w:val="0"/>
        <w:autoSpaceDN w:val="0"/>
        <w:spacing w:line="206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#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A 26. héten mért</w:t>
      </w:r>
      <w:r w:rsidR="00C33165" w:rsidRPr="00C011E4">
        <w:rPr>
          <w:rFonts w:eastAsia="Microsoft Sans Serif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HbA</w:t>
      </w:r>
      <w:r w:rsidR="00C33165" w:rsidRPr="00C011E4">
        <w:rPr>
          <w:rFonts w:eastAsia="Times New Roman"/>
          <w:snapToGrid/>
          <w:sz w:val="18"/>
          <w:szCs w:val="22"/>
          <w:vertAlign w:val="subscript"/>
          <w:lang w:val="hu-HU" w:eastAsia="en-US"/>
        </w:rPr>
        <w:t>1c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 (%).</w:t>
      </w:r>
    </w:p>
    <w:p w14:paraId="635F1DB5" w14:textId="3B0273F0" w:rsidR="00F933D8" w:rsidRPr="00C011E4" w:rsidRDefault="00F933D8" w:rsidP="00F933D8">
      <w:pPr>
        <w:widowControl w:val="0"/>
        <w:tabs>
          <w:tab w:val="clear" w:pos="567"/>
        </w:tabs>
        <w:autoSpaceDE w:val="0"/>
        <w:autoSpaceDN w:val="0"/>
        <w:spacing w:before="16" w:line="206" w:lineRule="exact"/>
        <w:ind w:left="218" w:right="43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¶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Az 1. vizitkor alkalmazott </w:t>
      </w:r>
      <w:proofErr w:type="spellStart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metforminra</w:t>
      </w:r>
      <w:proofErr w:type="spellEnd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(igen/nem), az 1. vizitkor alkalmazott inzulinmennyiségre (előkevert, illetve nem előkevert [közepes vagy hosszú hatástartamú]), ill. a kiindulási vizit értékére korrigált legkisebb négyzetek átlaga. A terápiás alcsoportok (</w:t>
      </w:r>
      <w:proofErr w:type="spellStart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metformin</w:t>
      </w:r>
      <w:proofErr w:type="spellEnd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és inzulin alkalmazása) esetén észlelt interakciók nem voltak szignifikánsak 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(p</w:t>
      </w:r>
      <w:r w:rsidR="00606753" w:rsidRPr="00C011E4">
        <w:rPr>
          <w:rFonts w:eastAsia="Times New Roman"/>
          <w:snapToGrid/>
          <w:sz w:val="18"/>
          <w:szCs w:val="22"/>
          <w:lang w:val="hu-HU" w:eastAsia="en-US"/>
        </w:rPr>
        <w:t> 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&gt;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 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0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,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10)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38018030" w14:textId="20F82C08" w:rsidR="00F933D8" w:rsidRPr="00C011E4" w:rsidRDefault="00F933D8" w:rsidP="00082A8E">
      <w:pPr>
        <w:spacing w:line="240" w:lineRule="auto"/>
        <w:rPr>
          <w:u w:val="single"/>
          <w:lang w:val="hu-HU"/>
        </w:rPr>
      </w:pPr>
    </w:p>
    <w:p w14:paraId="240921D1" w14:textId="551D99C4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Egy 24 hetes aktív</w:t>
      </w:r>
      <w:r w:rsidR="00B93211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="00B932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kontrollos vizsgálatot állítottak össze a napi egyszer adott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(N=528) hatásosságának és biztonságosságának kiértékelésére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(N=522) összehasonlítva, diéta és testmozgás mellett nem megfelelő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kontrollal rendelkező betegeknél, akik nem részesültek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antihyperglykaemi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kezelésben (legalább 4 hónapja nem kaptak 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kezelés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t).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átlagos 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hozzávetőleg naponta 1900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volt.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csökkenése a kiinduláskor mért 7,2%-os átlagértékhez képest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szitagliptinnél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-0,43%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metforminnál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pedig -0,57% volt (protokoll szerinti elemzés). A gyógyszerrel összefüggőnek tartott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gasztrointesztinális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mellékhatások összesített előfordulási aránya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2,7% volt, szemben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megfigyelt 12,6%-kal.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aránya a két kezelési csoportban nem különbözött jelentős mértékben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1,3%,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: 1,9%). A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kiindulási értékhez képest mindkét csoportban csökkent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-0,6 </w:t>
      </w:r>
      <w:proofErr w:type="spellStart"/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-1,9 </w:t>
      </w:r>
      <w:proofErr w:type="spellStart"/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359664EF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D630FE4" w14:textId="1ED26DC3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Egy vizsgálatban, mely a hozzáadott napi egyszeri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hatásosságát és biztonságosságát vizsgálta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metformin-monoterápia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nem kielégítő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kontrollal rendelkező betegeknél,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hasonló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glipizidhez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csökkentése terén. A komparátor csoportban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átlagos dózisa napi 10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volt, a vizsgálat alatt a betegek körülbelül 40%-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ának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 szüksége naponta </w:t>
      </w:r>
      <w:r w:rsidR="00606753" w:rsidRPr="00053601">
        <w:rPr>
          <w:lang w:val="hu-HU"/>
        </w:rPr>
        <w:t>≤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-os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-dózisra</w:t>
      </w:r>
      <w:r w:rsidR="0060675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-csoportban azonban több beteg hagyta abba a kezelést a gyógyszer hatásosságának hiánya miatt, mint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-csoportban.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kiindulási állapothoz képest jelentős mértékű átlagos csökkenést (-1,5 </w:t>
      </w:r>
      <w:proofErr w:type="spellStart"/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mutatott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glipiziddel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jelentős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növekedésével (+1,1 </w:t>
      </w:r>
      <w:proofErr w:type="spellStart"/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szemben. E vizsgálatban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proinzulin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-inzulin arány, mely az inzulinszintézis és -felszabadulás hatásosságának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markere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-kezelés hatására javult, míg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-kezelés hatására romlott.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esetek előfordulási aránya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-csoportban jelentősen alacsonyabb volt (4,9%), mint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-csoportban (32,0%).</w:t>
      </w:r>
    </w:p>
    <w:p w14:paraId="69A2AC54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C6563D0" w14:textId="2033CADF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24 hetes, placebokontrollos, 660 beteg bevonásával végzett vizsgálatot úgy terveztek meg, hogy értékelje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glargin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inzulinhoz (legalább 1500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 adott (napi egyszer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inzulincsökkentő hatásosságát és biztonságosságát az inzulin-terápia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intenzifikálása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idején.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kiindulási értéke 8,74% volt, míg az inzulin kiindulási dózisa napi 37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 volt. A betegeket arra utasították, hogy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glargin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 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ukat az ujjbegyből vett vérminták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éhomi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glükózértékei alapján határozzák meg. A 24. héten a napi inzulindózis növekedése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napi 19 NE, míg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napi 24 NE volt.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csökkenése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inzulinnal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anélkül) kezelt betegeknél -1,31% volt, összehasonlítva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inzulinnal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anélkül) kezelt betegeknél megfigyelt -0,87%-kal, mely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 xml:space="preserve">0,45%-os különbséget [95%-os CI: -0,60, -0,29] mutat.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gyakorisága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inzulinnal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anélkül) kezelt betegeknél 25,2%, míg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inzulinnal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anélkül) kezelt betegeknél 36,8% volt. A különbség főként annak tulajdonítható, hogy a placebocsoport betegei nagyobb arányban tapasztaltak 3 vagy ennél több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epizódot (9,4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vs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19,1%). A súlyos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gyakoriságát illetően nem mutatkozott különbség.</w:t>
      </w:r>
    </w:p>
    <w:p w14:paraId="1995DABF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8B2EF10" w14:textId="763668C4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Közepesen súlyos/súlyos vesekárosodásban szenvedő betegekkel végeztek egy vizsgálatot, melynek során naponta egyszer 25 vagy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hasonlítottak össze napi 2,5</w:t>
      </w:r>
      <w:r w:rsidR="0060675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20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glipiziddel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vizsgálatba 423, krónikus vesekárosodásban szenvedő beteget (becsült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glomerul</w:t>
      </w:r>
      <w:r w:rsidR="009C5A37">
        <w:rPr>
          <w:rFonts w:eastAsia="Times New Roman"/>
          <w:snapToGrid/>
          <w:color w:val="000000"/>
          <w:szCs w:val="22"/>
          <w:lang w:val="hu-HU" w:eastAsia="hu-HU" w:bidi="hu-HU"/>
        </w:rPr>
        <w:t>us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filtrációs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ráta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60675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50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vontak be. Ötvennégy hét után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kiindulási értékének átlagos csökkenése -0,76%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és -0,64%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alkalmazása mellett (protokoll szerinti analízis). Ebben 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vizsgálatban a naponta egyszer alkalmazott 25 vagy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hatásossági és biztonságossági profilja általánosságban hasonló volt a normál vesefunkciójú betegeknél egyéb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vizsgálatokban megfigyeltekhez.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aránya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-csoportban lényegesen alacsonyabb volt (6,2%), mint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-csoportban (17,0%). Szintén jelentős különbség mutatkozott a csoportok között a kiindulási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változását illetően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: -0,6</w:t>
      </w:r>
      <w:r w:rsidR="0049369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proofErr w:type="spellStart"/>
      <w:r w:rsidR="009C5A37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: +1,2</w:t>
      </w:r>
      <w:r w:rsidR="0049369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proofErr w:type="spellStart"/>
      <w:r w:rsidR="009C5A37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2E73C1BD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38A241D" w14:textId="7E621636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másik, 129, végstádiumú vesebetegségben szenvedő,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dializált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beteggel végzett vizsgálat során napi 25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hasonlítottak össze napi 2,5</w:t>
      </w:r>
      <w:r w:rsidR="00AA33B6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20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glipiziddel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 Ötvennégy hét után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kiindulási értékének átlagos csökkenése -0,72%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-0,87%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alkalmazása mellett. Ebben a vizsgálatban a naponta egyszer alkalmazott 25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hatásossági és biztonságossági profilja általánosságban hasonló volt a normál vesefunkciójú betegeknél egyéb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vizsgálatokban megfigyeltekhez.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aránya nem különbözött lényegesen a kezelési csoportokban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6,3%,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: 10,8%).</w:t>
      </w:r>
    </w:p>
    <w:p w14:paraId="008AC865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5982435" w14:textId="7B8EFD3E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Egy másik vizsgálatban, melyet 91, 2-es típusú diabetesben és krónikus vesekárosodásban (kreatinin-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clearance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5B2BE0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50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szenvedő beteg részvételével folytattak, a naponta egyszer 25 vagy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-kezelés biztonságossága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tolerálhatósága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általánosságban hasonló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placebóéhoz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 Ezenkívül 12 hét után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: -0,59%; placebo: -0,18%) és FPG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: -25,5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/dl; placebo: -3,0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/dl) átlagos csökkenése általánosságban hasonló volt a normál vesefunkciójú betegeknél egyéb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vizsgálatokban megfigyeltekhez (lásd 5.2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0A0E056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8B1DD85" w14:textId="443EFE2D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TECOS egy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randomizált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 volt, melynek beválasztás szerinti populációjában 14 671, </w:t>
      </w:r>
      <w:r w:rsidR="005B2BE0" w:rsidRPr="00053601">
        <w:rPr>
          <w:lang w:val="hu-HU"/>
        </w:rPr>
        <w:t>≥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6,5 és 8,0% közötti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-értékkel rendelkező, igazolt CV betegségben szenvedő beteg vett részt, akik (7332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en) napi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(vagy </w:t>
      </w:r>
      <w:r w:rsidR="005B2BE0" w:rsidRPr="00053601">
        <w:rPr>
          <w:lang w:val="hu-HU"/>
        </w:rPr>
        <w:t>≥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 30 és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 50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/perc/1,73 m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értékű kiindulási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eGFR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esetén napi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(7339-en)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kaptak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CV kockázati tényezőkre vonatkozó regionális standardokat célzó általános kezelés mellé. A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5B2BE0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30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/perc/1,73 m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eGFR</w:t>
      </w:r>
      <w:proofErr w:type="spellEnd"/>
      <w:r w:rsidR="009C0259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értékkel rendelkező betegek nem voltak bevonhatóak a vizsgálatba. A vizsgálati populációba 2004, </w:t>
      </w:r>
      <w:r w:rsidR="005B2BE0" w:rsidRPr="00053601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75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es beteg és 3324, vesekárosodásban szenvedő beteg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eGFR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5B2BE0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60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/perc/1,73 m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tartozott.</w:t>
      </w:r>
    </w:p>
    <w:p w14:paraId="63A53717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C1F2961" w14:textId="7360443E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vizsgálat folyamán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="00AA33B6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placebocsoport közötti becsült átlagos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összkülönbség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(standard deviáció) 0,29% (0,01), 95%-os CI (-0,32, -0,27); p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 0,001</w:t>
      </w:r>
      <w:proofErr w:type="gram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volt.</w:t>
      </w:r>
    </w:p>
    <w:p w14:paraId="7A52BF03" w14:textId="543F514F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elsődleges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végpont az alábbi események első előfordulására vonatkozó összetett végpont volt: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halálozás, nem halálos kimenetelű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myocardialis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infarctus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nem halálos kimenetelű stroke, illetve instabil angina miatti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hospitalizáció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másodlagos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végpontok közé tartozott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halálozás, nem halálos kimenetelű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myocardialis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infarctus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nem halálos kimenetelű stroke; az elsődleges összetett végpont egyes összetevőinek első előfordulása;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összhalálozás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; valamint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pangásos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szívelégtelenség miatti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hospitalizáció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2E7CFAF4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1CF17A0" w14:textId="0C2B6D68" w:rsidR="00802B91" w:rsidRDefault="00C33165" w:rsidP="00C34EFD">
      <w:pPr>
        <w:keepNext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3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es medián időtartamú követés után a szokásos kezeléssel együtt adott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nélkül adott szokásos kezeléssel összehasonlítva nem növelte a jelentősebb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 xml:space="preserve">nemkívánatos események kockázatát vagy a szívelégtelenség miatti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hospitalizáció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kockázatát a 2-es típusú diabetesben szenvedő betegeknél (3. táblázat).</w:t>
      </w:r>
      <w:bookmarkStart w:id="8" w:name="bookmark33"/>
      <w:bookmarkEnd w:id="8"/>
    </w:p>
    <w:p w14:paraId="07A1CCD9" w14:textId="77777777" w:rsidR="00802B91" w:rsidRDefault="00802B91" w:rsidP="00C34EFD">
      <w:pPr>
        <w:keepNext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</w:p>
    <w:p w14:paraId="0E1C6E9F" w14:textId="13F3B635" w:rsidR="00C33165" w:rsidRPr="00C011E4" w:rsidRDefault="00C33165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3. táblázat Az összetett </w:t>
      </w:r>
      <w:proofErr w:type="spellStart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végpontok és a főbb másodlagos végpontok arányai</w:t>
      </w:r>
    </w:p>
    <w:tbl>
      <w:tblPr>
        <w:tblOverlap w:val="never"/>
        <w:tblW w:w="930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10"/>
        <w:gridCol w:w="998"/>
        <w:gridCol w:w="950"/>
        <w:gridCol w:w="979"/>
        <w:gridCol w:w="979"/>
        <w:gridCol w:w="1498"/>
        <w:gridCol w:w="888"/>
      </w:tblGrid>
      <w:tr w:rsidR="00C33165" w:rsidRPr="00C011E4" w14:paraId="00853B9F" w14:textId="77777777" w:rsidTr="00FA4827">
        <w:trPr>
          <w:tblHeader/>
        </w:trPr>
        <w:tc>
          <w:tcPr>
            <w:tcW w:w="30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1F04B4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 w:val="10"/>
                <w:szCs w:val="10"/>
                <w:lang w:val="hu-HU" w:eastAsia="hu-HU" w:bidi="hu-HU"/>
              </w:rPr>
            </w:pP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04601A" w14:textId="0836C3BC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proofErr w:type="spellStart"/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Szitagliptin</w:t>
            </w:r>
            <w:proofErr w:type="spellEnd"/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100</w:t>
            </w:r>
            <w:r w:rsidR="00A60BB4"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 mg</w:t>
            </w:r>
          </w:p>
        </w:tc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E7C93F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Placebo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203CD7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76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Kockázati arány (95%-os CI)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B04D5" w14:textId="7910E2EE" w:rsidR="00C33165" w:rsidRPr="00C011E4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2"/>
                <w:szCs w:val="1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p-érték</w:t>
            </w:r>
            <w:r w:rsidR="006B197F">
              <w:rPr>
                <w:sz w:val="18"/>
                <w:vertAlign w:val="superscript"/>
              </w:rPr>
              <w:t>†</w:t>
            </w:r>
          </w:p>
        </w:tc>
      </w:tr>
      <w:tr w:rsidR="00C33165" w:rsidRPr="00C011E4" w14:paraId="02A6ED35" w14:textId="77777777" w:rsidTr="00FA4827">
        <w:trPr>
          <w:trHeight w:hRule="exact" w:val="1474"/>
        </w:trPr>
        <w:tc>
          <w:tcPr>
            <w:tcW w:w="3010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24CE6E1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420E59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N (%)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2D2BB0" w14:textId="165CE896" w:rsidR="00C33165" w:rsidRPr="00DB69BE" w:rsidRDefault="00C33165" w:rsidP="00C34EFD">
            <w:pPr>
              <w:keepNext/>
              <w:tabs>
                <w:tab w:val="clear" w:pos="567"/>
              </w:tabs>
              <w:spacing w:line="23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100 beteg</w:t>
            </w:r>
            <w:r w:rsidR="006E3747"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év</w:t>
            </w: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re vonatkozó előfordulási arány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*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F1B55F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N (%)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C7E911" w14:textId="34F45973" w:rsidR="00C33165" w:rsidRPr="00DB69BE" w:rsidRDefault="00C33165" w:rsidP="00C34EFD">
            <w:pPr>
              <w:keepNext/>
              <w:tabs>
                <w:tab w:val="clear" w:pos="567"/>
              </w:tabs>
              <w:spacing w:line="23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100 beteg</w:t>
            </w:r>
            <w:r w:rsidR="006E3747"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év</w:t>
            </w: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re vonatkozó előfordulási arány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*</w:t>
            </w:r>
          </w:p>
        </w:tc>
        <w:tc>
          <w:tcPr>
            <w:tcW w:w="149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6E453AD1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  <w:tc>
          <w:tcPr>
            <w:tcW w:w="8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EE57B0" w14:textId="77777777" w:rsidR="00C33165" w:rsidRPr="00C011E4" w:rsidRDefault="00C33165" w:rsidP="00C34EFD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</w:tr>
      <w:tr w:rsidR="00C33165" w:rsidRPr="006010B0" w14:paraId="270F405A" w14:textId="77777777" w:rsidTr="00FA4827">
        <w:trPr>
          <w:trHeight w:hRule="exact" w:val="302"/>
        </w:trPr>
        <w:tc>
          <w:tcPr>
            <w:tcW w:w="930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E6BDE1" w14:textId="1D18721D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A </w:t>
            </w:r>
            <w:r w:rsidR="00AA33B6"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beválasztás</w:t>
            </w: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szerinti populáció elemzése</w:t>
            </w:r>
          </w:p>
        </w:tc>
      </w:tr>
      <w:tr w:rsidR="00C33165" w:rsidRPr="00C011E4" w14:paraId="12AEE8BE" w14:textId="77777777" w:rsidTr="00FA4827">
        <w:trPr>
          <w:trHeight w:hRule="exact" w:val="288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247E7C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ind w:firstLine="28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A betegek száma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1520F5" w14:textId="1CF8899A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7332</w:t>
            </w:r>
          </w:p>
        </w:tc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9E1C89" w14:textId="05C39B43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7339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B9A331" w14:textId="353A5988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0,98 (0,89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1,08)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B6462C" w14:textId="77777777" w:rsidR="00C33165" w:rsidRPr="00C011E4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&lt;0,001</w:t>
            </w:r>
          </w:p>
        </w:tc>
      </w:tr>
      <w:tr w:rsidR="00C33165" w:rsidRPr="00C011E4" w14:paraId="022940A2" w14:textId="77777777" w:rsidTr="00FA4827">
        <w:trPr>
          <w:trHeight w:hRule="exact" w:val="1320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2383EF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30" w:lineRule="auto"/>
              <w:ind w:firstLine="28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Elsődleges összetett végpont</w:t>
            </w:r>
          </w:p>
          <w:p w14:paraId="7C894987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30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(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Cardiovascularis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halálozás, nem halálos kimenetelű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myocardialis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infarctus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, nem halálos kimenetelű stroke, illetve instabil angina miatti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hospitalizáció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D6BADA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839 (11,4)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CB0BF1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4,1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961914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851 (11,6)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4D1046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4,2</w:t>
            </w:r>
          </w:p>
        </w:tc>
        <w:tc>
          <w:tcPr>
            <w:tcW w:w="149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75761894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  <w:tc>
          <w:tcPr>
            <w:tcW w:w="8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99ED16" w14:textId="77777777" w:rsidR="00C33165" w:rsidRPr="00C011E4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</w:tr>
      <w:tr w:rsidR="00C33165" w:rsidRPr="00C011E4" w14:paraId="256C248D" w14:textId="77777777" w:rsidTr="00FA4827">
        <w:trPr>
          <w:trHeight w:hRule="exact" w:val="1138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A13FF3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30" w:lineRule="auto"/>
              <w:ind w:firstLine="28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Másodlagos összetett végpont</w:t>
            </w:r>
          </w:p>
          <w:p w14:paraId="5C1F107D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30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(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Cardiovascularis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halálozás, nem halálos kimenetelű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myocardialis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infarctus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vagy nem halálos kimenetelű stroke)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C8799F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745 (10,2)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EE9ABB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3,6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B2ED32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746 (10,2)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427B45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3,6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7FD351" w14:textId="26DD7BB0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0,99 (0,89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1,10)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DAAEAF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&lt;0,001</w:t>
            </w:r>
          </w:p>
        </w:tc>
      </w:tr>
      <w:tr w:rsidR="00C33165" w:rsidRPr="00C011E4" w14:paraId="12CFF0E6" w14:textId="77777777" w:rsidTr="00FA4827">
        <w:trPr>
          <w:trHeight w:hRule="exact" w:val="288"/>
        </w:trPr>
        <w:tc>
          <w:tcPr>
            <w:tcW w:w="930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C2F8CF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Másodlagos végpont</w:t>
            </w:r>
          </w:p>
        </w:tc>
      </w:tr>
      <w:tr w:rsidR="00C33165" w:rsidRPr="00C011E4" w14:paraId="05FDF64C" w14:textId="77777777" w:rsidTr="00FA4827">
        <w:trPr>
          <w:trHeight w:hRule="exact" w:val="283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5956E9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ind w:firstLine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Cardiovascularis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halálozás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67FAB1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380 (5,2)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092E2B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3D079A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366 (5,0)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5992EF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66BB8E" w14:textId="12AFA45B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1,03 (0,89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1,19)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362389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0,711</w:t>
            </w:r>
          </w:p>
        </w:tc>
      </w:tr>
      <w:tr w:rsidR="00C33165" w:rsidRPr="00C011E4" w14:paraId="3C0B0209" w14:textId="77777777" w:rsidTr="00FA4827">
        <w:trPr>
          <w:trHeight w:hRule="exact" w:val="418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DE6592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28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Összes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myocardialis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infarctus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(halálos és nem halálos)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EB996F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300 (4,1)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6A19DB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6EBAED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316 (4,3)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06042B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DAB8F2" w14:textId="0F6FA716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0,95 (0,81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1,11)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F5CECA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0,487</w:t>
            </w:r>
          </w:p>
        </w:tc>
      </w:tr>
      <w:tr w:rsidR="00C33165" w:rsidRPr="00C011E4" w14:paraId="5DB5A050" w14:textId="77777777" w:rsidTr="00FA4827">
        <w:trPr>
          <w:trHeight w:hRule="exact" w:val="427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59E744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33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Összes stroke (halálos és nem halálos)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09E6EE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178 (2,4)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ED2064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004D56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183 (2,5)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A387C8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9CA539" w14:textId="73C3A606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0,97 (0,79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1,19)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7B63F0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0,760</w:t>
            </w:r>
          </w:p>
        </w:tc>
      </w:tr>
      <w:tr w:rsidR="00C33165" w:rsidRPr="00C011E4" w14:paraId="314197D9" w14:textId="77777777" w:rsidTr="00FA4827">
        <w:trPr>
          <w:trHeight w:hRule="exact" w:val="427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D40AC3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28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Instabil angina miatti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hospitalizáció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AD8B52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116 (1,6)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C69046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998BD9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129 (1,8)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96C312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C66F11" w14:textId="2EDC2C55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0,90 (0,70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1,16)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9FBDCF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0,419</w:t>
            </w:r>
          </w:p>
        </w:tc>
      </w:tr>
      <w:tr w:rsidR="00C33165" w:rsidRPr="00C011E4" w14:paraId="4FB6016C" w14:textId="77777777" w:rsidTr="00FA4827">
        <w:trPr>
          <w:trHeight w:hRule="exact" w:val="422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6B3E04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Összhalálozás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3705A7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547 (7,5)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E0CE94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2,5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61E7CC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537 (7,3)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064364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2,5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543BB4" w14:textId="6AE75074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1,01 (0,90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1,14)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834335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0,875</w:t>
            </w:r>
          </w:p>
        </w:tc>
      </w:tr>
      <w:tr w:rsidR="00C33165" w:rsidRPr="00C011E4" w14:paraId="007B15AB" w14:textId="77777777" w:rsidTr="00FA4827">
        <w:trPr>
          <w:trHeight w:hRule="exact" w:val="442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4617CC8" w14:textId="1FA12B8E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28" w:lineRule="auto"/>
              <w:ind w:left="460"/>
              <w:rPr>
                <w:rFonts w:eastAsia="Times New Roman"/>
                <w:snapToGrid/>
                <w:color w:val="000000"/>
                <w:sz w:val="12"/>
                <w:szCs w:val="12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Szívelégtelenség miatti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hospitalizáció</w:t>
            </w:r>
            <w:proofErr w:type="spellEnd"/>
            <w:r w:rsidR="00605447" w:rsidRPr="00DB69BE">
              <w:rPr>
                <w:sz w:val="18"/>
                <w:vertAlign w:val="superscript"/>
                <w:lang w:val="hu-HU"/>
              </w:rPr>
              <w:t>‡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AFCB163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228 (3,1)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B2E0DAA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0CEFF69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229 (3,1)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0293203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770993F" w14:textId="5B10264D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1,00 (0,83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1,20)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B3DEE7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0,983</w:t>
            </w:r>
          </w:p>
        </w:tc>
      </w:tr>
    </w:tbl>
    <w:p w14:paraId="22742384" w14:textId="6A6F6B9D" w:rsidR="00FA4827" w:rsidRPr="00C011E4" w:rsidRDefault="00FA4827" w:rsidP="00E70CED">
      <w:pPr>
        <w:widowControl w:val="0"/>
        <w:tabs>
          <w:tab w:val="clear" w:pos="567"/>
        </w:tabs>
        <w:autoSpaceDE w:val="0"/>
        <w:autoSpaceDN w:val="0"/>
        <w:spacing w:line="240" w:lineRule="auto"/>
        <w:ind w:left="309" w:right="290" w:hanging="92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* </w:t>
      </w:r>
      <w:bookmarkStart w:id="9" w:name="bookmark31"/>
      <w:bookmarkEnd w:id="9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A 100 betegévre vonatkozó előfordulási arány kiszámítása: 100 × (a beszámítható expozíciós időszak során </w:t>
      </w:r>
      <w:r w:rsidRPr="00C011E4">
        <w:rPr>
          <w:sz w:val="18"/>
          <w:lang w:val="hu-HU"/>
        </w:rPr>
        <w:t>≥</w:t>
      </w:r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1 eseményt elérő betegek összesített száma elosztva a követés összes betegévének számával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).</w:t>
      </w:r>
    </w:p>
    <w:p w14:paraId="31C205A8" w14:textId="66625D79" w:rsidR="00FA4827" w:rsidRPr="00C011E4" w:rsidRDefault="00FA4827" w:rsidP="00E70CED">
      <w:pPr>
        <w:widowControl w:val="0"/>
        <w:tabs>
          <w:tab w:val="clear" w:pos="567"/>
        </w:tabs>
        <w:autoSpaceDE w:val="0"/>
        <w:autoSpaceDN w:val="0"/>
        <w:spacing w:before="2" w:line="206" w:lineRule="exact"/>
        <w:ind w:left="309" w:right="278" w:hanging="92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† </w:t>
      </w:r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Egy régióra </w:t>
      </w:r>
      <w:proofErr w:type="spellStart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>stratifikált</w:t>
      </w:r>
      <w:proofErr w:type="spellEnd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</w:t>
      </w:r>
      <w:proofErr w:type="spellStart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>Cox</w:t>
      </w:r>
      <w:proofErr w:type="spellEnd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modell alapján. Az összetett végpontoknál a p-értékek egy </w:t>
      </w:r>
      <w:proofErr w:type="gramStart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>non-</w:t>
      </w:r>
      <w:proofErr w:type="spellStart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>inferioritási</w:t>
      </w:r>
      <w:proofErr w:type="spellEnd"/>
      <w:proofErr w:type="gramEnd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tesztnek felelnek meg, mely azt volt hivatott kimutatni, hogy a relatív hazárd 1,3-nél alacsonyabb. Az összes többi végpontnál a p-értékek a relatív hazárdok közötti különbségek tesztjének felelnek meg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7B5FDA0A" w14:textId="198519CB" w:rsidR="00FA4827" w:rsidRPr="00C011E4" w:rsidRDefault="00FA4827" w:rsidP="00E70CED">
      <w:pPr>
        <w:widowControl w:val="0"/>
        <w:tabs>
          <w:tab w:val="clear" w:pos="567"/>
        </w:tabs>
        <w:autoSpaceDE w:val="0"/>
        <w:autoSpaceDN w:val="0"/>
        <w:spacing w:line="219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‡ </w:t>
      </w:r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A szívelégtelenség miatti </w:t>
      </w:r>
      <w:proofErr w:type="spellStart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>hospitalizáció</w:t>
      </w:r>
      <w:proofErr w:type="spellEnd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elemzését a kiinduláskor a kórelőzményben fennálló szívelégtelenségre korrigálva végezték el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26959B00" w14:textId="77777777" w:rsidR="00C33165" w:rsidRPr="00C011E4" w:rsidRDefault="00C33165" w:rsidP="00082A8E">
      <w:pPr>
        <w:spacing w:line="240" w:lineRule="auto"/>
        <w:rPr>
          <w:u w:val="single"/>
          <w:lang w:val="hu-HU"/>
        </w:rPr>
      </w:pPr>
    </w:p>
    <w:p w14:paraId="150C4A20" w14:textId="485F6467" w:rsidR="00F45C51" w:rsidRPr="00C011E4" w:rsidRDefault="007B6547" w:rsidP="00082A8E">
      <w:pPr>
        <w:spacing w:line="240" w:lineRule="auto"/>
        <w:rPr>
          <w:u w:val="single"/>
          <w:lang w:val="hu-HU"/>
        </w:rPr>
      </w:pPr>
      <w:r w:rsidRPr="00C011E4">
        <w:rPr>
          <w:u w:val="single"/>
          <w:lang w:val="hu-HU"/>
        </w:rPr>
        <w:t>Gyermek</w:t>
      </w:r>
      <w:r w:rsidR="00127C1D" w:rsidRPr="00C011E4">
        <w:rPr>
          <w:u w:val="single"/>
          <w:lang w:val="hu-HU"/>
        </w:rPr>
        <w:t>ek</w:t>
      </w:r>
      <w:r w:rsidR="004A2056" w:rsidRPr="00C011E4">
        <w:rPr>
          <w:u w:val="single"/>
          <w:lang w:val="hu-HU"/>
        </w:rPr>
        <w:t xml:space="preserve"> és serdülők</w:t>
      </w:r>
    </w:p>
    <w:p w14:paraId="4AAF5A8C" w14:textId="73024C1F" w:rsidR="00FA4827" w:rsidRPr="00C011E4" w:rsidRDefault="00FA4827" w:rsidP="00FA482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naponta egyszer adott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hatásosságát és biztonságosságát egy 54 hetes, kettős vak vizsgálatban értékelték, 2-es típusú diabetesben szenvedő, </w:t>
      </w:r>
      <w:r w:rsidRPr="00DB69BE">
        <w:rPr>
          <w:rFonts w:eastAsia="Times New Roman"/>
          <w:snapToGrid/>
          <w:color w:val="000000"/>
          <w:szCs w:val="22"/>
          <w:lang w:val="hu-HU" w:eastAsia="hu-HU" w:bidi="hu-HU"/>
        </w:rPr>
        <w:t>10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DB69BE">
        <w:rPr>
          <w:szCs w:val="22"/>
          <w:lang w:val="hu-HU"/>
        </w:rPr>
        <w:t xml:space="preserve">és betöltött </w:t>
      </w:r>
      <w:r w:rsidR="00DB69BE" w:rsidRPr="00832710">
        <w:rPr>
          <w:szCs w:val="22"/>
          <w:lang w:val="hu-HU"/>
        </w:rPr>
        <w:t>1</w:t>
      </w:r>
      <w:r w:rsidR="00DB69BE">
        <w:rPr>
          <w:szCs w:val="22"/>
          <w:lang w:val="hu-HU"/>
        </w:rPr>
        <w:t>8</w:t>
      </w:r>
      <w:r w:rsidR="003718E6">
        <w:rPr>
          <w:szCs w:val="22"/>
          <w:lang w:val="hu-HU"/>
        </w:rPr>
        <w:t>.</w:t>
      </w:r>
      <w:r w:rsidR="00DB69BE" w:rsidRPr="00832710">
        <w:rPr>
          <w:szCs w:val="22"/>
          <w:lang w:val="hu-HU"/>
        </w:rPr>
        <w:t xml:space="preserve"> </w:t>
      </w:r>
      <w:r w:rsidR="00DB69BE">
        <w:rPr>
          <w:szCs w:val="22"/>
          <w:lang w:val="hu-HU"/>
        </w:rPr>
        <w:t>élet</w:t>
      </w:r>
      <w:r w:rsidR="00DB69BE" w:rsidRPr="00832710">
        <w:rPr>
          <w:szCs w:val="22"/>
          <w:lang w:val="hu-HU"/>
        </w:rPr>
        <w:t>év</w:t>
      </w:r>
      <w:r w:rsidR="00DB69BE">
        <w:rPr>
          <w:szCs w:val="22"/>
          <w:lang w:val="hu-HU"/>
        </w:rPr>
        <w:t xml:space="preserve"> közötti életkorú</w:t>
      </w:r>
      <w:r w:rsidR="00DB69BE" w:rsidRPr="00832710">
        <w:rPr>
          <w:szCs w:val="22"/>
          <w:lang w:val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gyermekeknél és serdülőknél, akik legalább 12 hétig nem kaptak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antihyperglykaemi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kezelést (HbA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6,5% </w:t>
      </w:r>
      <w:r w:rsidR="0068752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10%) vagy legalább 12</w:t>
      </w:r>
      <w:r w:rsidR="00EB497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hétig stabil dózisban kaptak inzulint (HbA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7% </w:t>
      </w:r>
      <w:r w:rsidR="0068752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10%). A betegek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randomizációt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követően 20</w:t>
      </w:r>
      <w:r w:rsidR="00EB497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héten át napi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kaptak.</w:t>
      </w:r>
    </w:p>
    <w:p w14:paraId="6F39D76A" w14:textId="77777777" w:rsidR="00FA4827" w:rsidRPr="00C011E4" w:rsidRDefault="00FA4827" w:rsidP="00FA482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4317A69" w14:textId="3A06E11F" w:rsidR="00FA4827" w:rsidRPr="00C011E4" w:rsidRDefault="00FA4827" w:rsidP="00FA482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8181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C34EFD">
        <w:rPr>
          <w:rFonts w:eastAsia="Times New Roman"/>
          <w:snapToGrid/>
          <w:color w:val="000000"/>
          <w:szCs w:val="22"/>
          <w:lang w:val="hu-HU" w:eastAsia="hu-HU" w:bidi="hu-HU"/>
        </w:rPr>
        <w:t>vizsgálat elején az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átlagos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-érték 7,5% volt. A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történő kezelés hatására a 20. héten nem mutatkozott jelentős javulás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vonatkozásában.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(N=95)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-értékének csökkenése 0,0% volt,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(N=95) megfigyelt 0,2%-kal összehasonlítva, mely -0,2%-os különbség (95%-os CI: -0,7</w:t>
      </w:r>
      <w:r w:rsidR="0076317E">
        <w:rPr>
          <w:rFonts w:eastAsia="Times New Roman"/>
          <w:snapToGrid/>
          <w:color w:val="000000"/>
          <w:szCs w:val="22"/>
          <w:lang w:val="hu-HU" w:eastAsia="hu-HU" w:bidi="hu-HU"/>
        </w:rPr>
        <w:t>;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0,3). Lásd 4.2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7553173A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AF144B" w14:textId="2AB0F668" w:rsidR="00F45C51" w:rsidRPr="00C011E4" w:rsidRDefault="007B6547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011E4">
        <w:rPr>
          <w:b/>
          <w:lang w:val="hu-HU"/>
        </w:rPr>
        <w:t>5</w:t>
      </w:r>
      <w:r w:rsidR="00FA4827" w:rsidRPr="00C011E4">
        <w:rPr>
          <w:b/>
          <w:lang w:val="hu-HU"/>
        </w:rPr>
        <w:t>.</w:t>
      </w:r>
      <w:r w:rsidRPr="00C011E4">
        <w:rPr>
          <w:b/>
          <w:lang w:val="hu-HU"/>
        </w:rPr>
        <w:t>2</w:t>
      </w:r>
      <w:r w:rsidRPr="00C011E4">
        <w:rPr>
          <w:b/>
          <w:lang w:val="hu-HU"/>
        </w:rPr>
        <w:tab/>
      </w:r>
      <w:proofErr w:type="spellStart"/>
      <w:r w:rsidRPr="00C011E4">
        <w:rPr>
          <w:b/>
          <w:lang w:val="hu-HU"/>
        </w:rPr>
        <w:t>Farmakokinetikai</w:t>
      </w:r>
      <w:proofErr w:type="spellEnd"/>
      <w:r w:rsidRPr="00C011E4">
        <w:rPr>
          <w:b/>
          <w:lang w:val="hu-HU"/>
        </w:rPr>
        <w:t xml:space="preserve"> tulajdonságok</w:t>
      </w:r>
    </w:p>
    <w:p w14:paraId="4AAA3D6A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7908F8C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Felszívódás</w:t>
      </w:r>
    </w:p>
    <w:p w14:paraId="5EA01181" w14:textId="3A2F3FD1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-os dózisa egészséges alanyoknál az orális alkalmazást követően gyorsan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felszívódott, és a dózis bevételét követő 1-4 órán belül érte el a plazma csúcskoncentrációt (</w:t>
      </w:r>
      <w:r w:rsidR="00EB497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medián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átlagos plazma AUC-értéke 8,52 </w:t>
      </w:r>
      <w:r w:rsidR="004006EB" w:rsidRPr="00053601">
        <w:rPr>
          <w:rFonts w:ascii="Symbol" w:hAnsi="Symbol"/>
          <w:lang w:val="hu-HU"/>
        </w:rPr>
        <w:t></w:t>
      </w:r>
      <w:proofErr w:type="spellStart"/>
      <w:r w:rsidRPr="00C011E4">
        <w:rPr>
          <w:lang w:val="hu-HU"/>
        </w:rPr>
        <w:t>M</w:t>
      </w:r>
      <w:r w:rsidR="00B107E6">
        <w:rPr>
          <w:lang w:val="hu-HU"/>
        </w:rPr>
        <w:t>×</w:t>
      </w:r>
      <w:r w:rsidRPr="00C011E4">
        <w:rPr>
          <w:lang w:val="hu-HU"/>
        </w:rPr>
        <w:t>h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értéke 950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nM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abszolút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biohasznosíthatósága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hozzávetőleg 87%. Mivel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magas zsírtartalmú ételekkel való egyidejű bevétele nincs kihatással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farmakokinetikára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ét</w:t>
      </w:r>
      <w:r w:rsidR="00B107E6">
        <w:rPr>
          <w:rFonts w:eastAsia="Times New Roman"/>
          <w:snapToGrid/>
          <w:color w:val="000000"/>
          <w:szCs w:val="22"/>
          <w:lang w:val="hu-HU" w:eastAsia="hu-HU" w:bidi="hu-HU"/>
        </w:rPr>
        <w:t>kezés közben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</w:t>
      </w:r>
      <w:r w:rsidR="00B107E6">
        <w:rPr>
          <w:rFonts w:eastAsia="Times New Roman"/>
          <w:snapToGrid/>
          <w:color w:val="000000"/>
          <w:szCs w:val="22"/>
          <w:lang w:val="hu-HU" w:eastAsia="hu-HU" w:bidi="hu-HU"/>
        </w:rPr>
        <w:t>ttól függetlenül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is bevehető. </w:t>
      </w:r>
    </w:p>
    <w:p w14:paraId="63685FC0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FDF9772" w14:textId="3DCC5868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 AUC-értéke dózisarányosan növekedett. A dózisarányosságot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 xml:space="preserve">24h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vonatkozásában nem állapították meg (a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dózisarányosságnál enyhén nagyobb mértékben nőtt, és a 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24h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dózisarányosságnál enyhén kisebb mértékben nőtt).</w:t>
      </w:r>
    </w:p>
    <w:p w14:paraId="270DDD32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4FC1C2FC" w14:textId="362E3E04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Eloszlás</w:t>
      </w:r>
    </w:p>
    <w:p w14:paraId="57621DD4" w14:textId="08B9C442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Egészséges emberekn</w:t>
      </w:r>
      <w:r w:rsidR="007953AB">
        <w:rPr>
          <w:rFonts w:eastAsia="Times New Roman"/>
          <w:snapToGrid/>
          <w:color w:val="000000"/>
          <w:szCs w:val="22"/>
          <w:lang w:val="hu-HU" w:eastAsia="hu-HU" w:bidi="hu-HU"/>
        </w:rPr>
        <w:t>él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egyszeri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-os dózisának intravénás beadását követően az átlagos elosztási térfogat egyensúlyi állapotban hozzávetőleg 19</w:t>
      </w:r>
      <w:r w:rsidR="003E2E5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8 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liter.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plazmafehérjékhez reverzibilisen kötődő része alacsony (38%).</w:t>
      </w:r>
    </w:p>
    <w:p w14:paraId="3DA98AC3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A1F3783" w14:textId="59EB946A" w:rsidR="00687523" w:rsidRPr="00C011E4" w:rsidRDefault="00687523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Biotranszformáció</w:t>
      </w:r>
      <w:proofErr w:type="spellEnd"/>
    </w:p>
    <w:p w14:paraId="4AA19333" w14:textId="77777777" w:rsidR="00687523" w:rsidRPr="00C011E4" w:rsidRDefault="00687523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elsősorban változatlan formában a vizelettel ürül, a metabolizmus kevésbé jellemző.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hozzávetőleg 79%-a ürül változatlan formában a vizelettel.</w:t>
      </w:r>
    </w:p>
    <w:p w14:paraId="434E868E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398F9F9" w14:textId="4AC4720D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="007953AB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14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="007953AB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F21E8D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pal </w:t>
      </w:r>
      <w:r w:rsidR="007953AB">
        <w:rPr>
          <w:rFonts w:eastAsia="Times New Roman"/>
          <w:snapToGrid/>
          <w:color w:val="000000"/>
          <w:szCs w:val="22"/>
          <w:lang w:val="hu-HU" w:eastAsia="hu-HU" w:bidi="hu-HU"/>
        </w:rPr>
        <w:t>jelölt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orális bevételét követően a radioaktivitás hozzávetőleg 16%-a ürült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metabolitjaként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Hat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metabolitot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tudtak nyomokban kimutatni, melyek várhatóan nem járulnak hozzá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 DPP-4-gátló tevékenységéhez. Az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 szerint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limitált metabolizmusáért felelős fő enzim a CYP3A4 volt a CYP2C8 közreműködésével.</w:t>
      </w:r>
    </w:p>
    <w:p w14:paraId="534ED6A6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0EBA9542" w14:textId="60EC3203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adatok alapján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gátolja a CYP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izoenzimeket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(CYP3A4, 2C8, 2C9, 2D6, 1A2, 2C19 vagy 2B6), és nem indukálja a CYP3A4-et</w:t>
      </w:r>
      <w:r w:rsidR="002F19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valamint a CYP1A2-t.</w:t>
      </w:r>
    </w:p>
    <w:p w14:paraId="5848F9FD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26FCC99D" w14:textId="429E91B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Elimináció</w:t>
      </w:r>
    </w:p>
    <w:p w14:paraId="4ACF4E32" w14:textId="44426E09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14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F21E8D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pal 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jelölt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egészséges résztvevőknek történő orális beadását követően az alkalmazott radioaktivitás megközelítőleg 100%-a ürült a széklettel (13%) vagy vizelettel (87%) a dózis beadását követő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héten belül.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-os orális dózisát követő látszólagos terminális t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 xml:space="preserve">1/2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hozzávetőleg 12,4 óra volt.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többszörös dózisok esetén csak minimális mértékben halmozódik fel.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renális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clearance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megközelítőleg 350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 volt.</w:t>
      </w:r>
    </w:p>
    <w:p w14:paraId="7D67F286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DF7BCEB" w14:textId="137BD75D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elsősorban a vesén keresztül ürül, aktív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tubuláris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szekrécióval.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humán organikus aniontranszporter-3 (hOAT-3)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szubsztrátja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mely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renális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kiválasztódásában játszhat szerepet. A hOAT-3 klinikai jelentőségét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-transzport terén még nem állapították meg.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egyben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renális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kiválasztódásában esetlegesen közvetítőszerepet játszó p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szubsztrátja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is. A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-inhibitornak minősülő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ciklosporin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azonban nem csökkentette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renális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clearance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-ét.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szubsztrátja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OCT2 vagy OAT1, illetve a PEPT1/2 transzportereknek.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gátolta az OAT3 (IC</w:t>
      </w:r>
      <w:r w:rsidRPr="00E70CED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50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=160</w:t>
      </w:r>
      <w:r w:rsidR="006F2C8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lang w:val="hu-HU"/>
        </w:rPr>
        <w:t>µ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M) vagy a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(legfeljebb 250</w:t>
      </w:r>
      <w:r w:rsidR="006F2C8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lang w:val="hu-HU"/>
        </w:rPr>
        <w:t>µ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M) által közvetített transzportot a kezelés szempontjából releváns plazmakoncentrációban. Egy klinikai vizsgálatban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csekély mértékben befolyásolta a plazma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koncentráció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já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t, mely azt jelzi,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enyhén gátolhatja.</w:t>
      </w:r>
    </w:p>
    <w:p w14:paraId="6F2222BD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7417344C" w14:textId="000F89B2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Különleges betegcsoportok</w:t>
      </w:r>
    </w:p>
    <w:p w14:paraId="393E38E7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általában véve hasonló volt az egészséges alanyok és a 2-es típusú diabetesben szenvedő betegek esetében.</w:t>
      </w:r>
    </w:p>
    <w:p w14:paraId="6E1E1B6C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319C1F9" w14:textId="0B9BABE5" w:rsidR="00687523" w:rsidRPr="00C011E4" w:rsidRDefault="00687523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Vesekárosodás</w:t>
      </w:r>
    </w:p>
    <w:p w14:paraId="2E332EF2" w14:textId="0965F39B" w:rsidR="00687523" w:rsidRPr="00C011E4" w:rsidRDefault="00687523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nyílt elrendezésű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egyszeri 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 alkalmazó vizsgálatot folytattak a csökkentett dózisú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farmakokinetikájának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értékelése céljából, különböző fokú krónikus vesekárosodásban szenvedő betegek és egészséges kontrollalanyok összehasonlításával. A vizsgálatot enyhe, közepesen súlyos és súlyos vesekárosodásban, valamint végstádiumú vesebetegségben (ESRD) szenvedő,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hemodialízisre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szoruló betegekkel folytatták. Ezen kívül populációs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farmakokinetikai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elemzésekkel értékelték a vesekárosodás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farmakokinetikájára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gyakorolt hatását a 2-es típusú diabetesben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és enyhe, közepesen súlyos vagy súlyos vesekárosodásban (beleértve az ESRD-t is) szenvedő betegeknél.</w:t>
      </w:r>
    </w:p>
    <w:p w14:paraId="7B37FA08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C9CCA4F" w14:textId="273F255A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Az egészséges kontrollalanyokhoz képest az enyhe vesekárosodásban szenvedő betegeknél (GFR</w:t>
      </w:r>
      <w:r w:rsidR="00655795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lang w:val="hu-HU"/>
        </w:rPr>
        <w:t>≥</w:t>
      </w:r>
      <w:r w:rsidR="00655795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60 –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 90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 AUC-értéke hozzávetőleg 1,2-szeresére, míg a közepesen súlyos vesekárosodásban szenvedő betegeknél (GFR 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45 –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 60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hozzávetőleg 1,6-szeresére emelkedett. Mivel az ilyen mértékű emelkedés klinikailag nem jelentős, ezeknél a betegeknél nincs szükség a dózis módosítására.</w:t>
      </w:r>
    </w:p>
    <w:p w14:paraId="16ABF137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60A3515" w14:textId="737B6092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közepesen súlyos vesekárosodásban szenvedő betegeknél (GFR </w:t>
      </w:r>
      <w:r w:rsidRPr="00C011E4">
        <w:rPr>
          <w:lang w:val="hu-HU"/>
        </w:rPr>
        <w:t>≥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30 –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 45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 AUC-értéke hozzávetőleg 2-szeresére, míg a súlyos vesekárosodásban szenvedő betegeknél (GFR </w:t>
      </w:r>
      <w:proofErr w:type="gramStart"/>
      <w:r w:rsidRPr="00C011E4">
        <w:rPr>
          <w:lang w:val="hu-HU"/>
        </w:rPr>
        <w:t>&lt;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30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/perc), beleértve az ESRD-ben szenvedő,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hemodialízisre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szoruló betegeket is, hozzávetőleg 4-szeresére emelkedett.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közepes mértékben volt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hemodialízis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útján eltávolítható (13,5% egy 3-4 órás, 4 órával a bevételt követően megkezdett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hemodialízis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-kezelés során). A normál vesef</w:t>
      </w:r>
      <w:r w:rsidR="00655795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u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nkciójú betegeknél megfigyeltekhez hasonló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-plazmakoncentrációk eléréséhez </w:t>
      </w:r>
      <w:r w:rsidR="00CB06CA">
        <w:rPr>
          <w:rFonts w:eastAsia="Times New Roman"/>
          <w:snapToGrid/>
          <w:color w:val="000000"/>
          <w:szCs w:val="22"/>
          <w:lang w:val="hu-HU" w:eastAsia="hu-HU" w:bidi="hu-HU"/>
        </w:rPr>
        <w:t>kisebb</w:t>
      </w:r>
      <w:r w:rsidR="00CB06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dózisok javasoltak a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655795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45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 GFR</w:t>
      </w:r>
      <w:r w:rsidR="00C3456F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értékkel rendelkező betegeknél (lásd 4.2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B87FC1C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70A32E2F" w14:textId="5E15F5EA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Májkárosodás</w:t>
      </w:r>
    </w:p>
    <w:p w14:paraId="3F2FACD2" w14:textId="41B006D3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Az enyhe vagy közepesen súlyos májkárosodásban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Child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Pugh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 </w:t>
      </w:r>
      <w:r w:rsidRPr="00C011E4">
        <w:rPr>
          <w:lang w:val="hu-HU"/>
        </w:rPr>
        <w:t>≤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9) szenvedő betegek esetében nincs szükség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dózismódosítására. Súlyos májkárosodásban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Child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Pugh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 &gt;9) szenvedő betegeket illetően nem áll rendelkezésre klinikai tapasztalat. Mivel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elsősorban a vesén keresztül ürül ki, a súlyos májkárosodás várhatóan nem befolyásolja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6A42B186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305D5EC" w14:textId="3C88AF55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Idős</w:t>
      </w:r>
      <w:r w:rsidR="002834F6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e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k</w:t>
      </w:r>
    </w:p>
    <w:p w14:paraId="31EC8C36" w14:textId="195DF7C9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Nincs szükség az életkor függvényében történő dózismódosításra. Az I. és II. fázisú adatokra támaszkodó populációs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farmakokinetikai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analízis alapján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életkor nem befolyásolta jelentős mértékben. A fiatalabb résztvevőkkel összehasonlítva, az idős (65–80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es) résztvevők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plazmakoncentrációja hozzávetőleg 19%-kal volt magasabb.</w:t>
      </w:r>
    </w:p>
    <w:p w14:paraId="1D7765D4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ACBC669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Gyermekek és serdülők</w:t>
      </w:r>
    </w:p>
    <w:p w14:paraId="56879F55" w14:textId="28196FF0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,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200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egyszeri 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2-es típusú diabetesben szenvedő </w:t>
      </w:r>
      <w:r w:rsidRPr="00841F19">
        <w:rPr>
          <w:rFonts w:eastAsia="Times New Roman"/>
          <w:snapToGrid/>
          <w:color w:val="000000"/>
          <w:szCs w:val="22"/>
          <w:lang w:val="hu-HU" w:eastAsia="hu-HU" w:bidi="hu-HU"/>
        </w:rPr>
        <w:t>10</w:t>
      </w:r>
      <w:r w:rsidR="00841F19" w:rsidRPr="00841F1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841F19" w:rsidRPr="00841F19">
        <w:rPr>
          <w:noProof/>
          <w:szCs w:val="22"/>
          <w:lang w:val="hu-HU"/>
        </w:rPr>
        <w:t>és</w:t>
      </w:r>
      <w:r w:rsidR="00841F19">
        <w:rPr>
          <w:noProof/>
          <w:szCs w:val="22"/>
          <w:lang w:val="hu-HU"/>
        </w:rPr>
        <w:t xml:space="preserve"> betöltött</w:t>
      </w:r>
      <w:r w:rsidR="00841F19" w:rsidRPr="00832710">
        <w:rPr>
          <w:noProof/>
          <w:szCs w:val="22"/>
          <w:lang w:val="hu-HU"/>
        </w:rPr>
        <w:t> 1</w:t>
      </w:r>
      <w:r w:rsidR="00841F19">
        <w:rPr>
          <w:noProof/>
          <w:szCs w:val="22"/>
          <w:lang w:val="hu-HU"/>
        </w:rPr>
        <w:t>8</w:t>
      </w:r>
      <w:r w:rsidR="000A74EC">
        <w:rPr>
          <w:noProof/>
          <w:szCs w:val="22"/>
          <w:lang w:val="hu-HU"/>
        </w:rPr>
        <w:t>.</w:t>
      </w:r>
      <w:r w:rsidR="00841F19" w:rsidRPr="00832710">
        <w:rPr>
          <w:noProof/>
          <w:szCs w:val="22"/>
          <w:lang w:val="hu-HU"/>
        </w:rPr>
        <w:t> </w:t>
      </w:r>
      <w:r w:rsidR="00841F19">
        <w:rPr>
          <w:noProof/>
          <w:szCs w:val="22"/>
          <w:lang w:val="hu-HU"/>
        </w:rPr>
        <w:t>élet</w:t>
      </w:r>
      <w:r w:rsidR="00841F19" w:rsidRPr="00832710">
        <w:rPr>
          <w:noProof/>
          <w:szCs w:val="22"/>
          <w:lang w:val="hu-HU"/>
        </w:rPr>
        <w:t>év</w:t>
      </w:r>
      <w:r w:rsidR="00841F19">
        <w:rPr>
          <w:noProof/>
          <w:szCs w:val="22"/>
          <w:lang w:val="hu-HU"/>
        </w:rPr>
        <w:t xml:space="preserve"> közötti életkorú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gyermekeknél és serdülőknél vizsgálták. E populációban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-dózishoz igazított plazma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AUC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értéke hozzávetőleg 18%-kal alacsonyabb volt a 2-es típusú diabeteses felnőtteknél alkalmazott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-os 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megfigyelthez képest. 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>Ez nem tekinthető klinikailag jelentős különbségnek a felnőttekkel összehasonlítva, az 50 mg-os és a 100 mg-os dózisok közti kapcsolat lapos PK/PD görbéje alapján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 10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esnél fiatalabb gyermekeknél nem végeztek vizsgálatokat</w:t>
      </w:r>
      <w:r w:rsidR="0089279E" w:rsidRPr="0089279E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89279E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89279E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89279E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23AFABBA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BF85D04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Egyéb betegcsoportok</w:t>
      </w:r>
    </w:p>
    <w:p w14:paraId="721533D3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Nincs szükség a nem, rassz vagy testtömegindex (BMI) szerinti dózismódosításra. Az I. fázisú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farmakokinetikai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adatok összesített analízise, valamint az I. és II. fázisú adatok populációs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farmakokinetikai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analízise alapján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farmakokinetikájára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ezen tényezők nem voltak klinikailag jelentős hatással.</w:t>
      </w:r>
    </w:p>
    <w:p w14:paraId="63E67CDC" w14:textId="77777777" w:rsidR="00F45C51" w:rsidRPr="00C011E4" w:rsidRDefault="00F45C51" w:rsidP="00082A8E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14:paraId="1C50EDCC" w14:textId="6589F2BF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5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3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67BF77D5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34D01E1" w14:textId="02F0F900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C011E4">
        <w:rPr>
          <w:rFonts w:eastAsia="Times New Roman"/>
          <w:snapToGrid/>
          <w:szCs w:val="22"/>
          <w:lang w:val="hu-HU" w:eastAsia="hu-HU" w:bidi="hu-HU"/>
        </w:rPr>
        <w:t>rágcsálókn</w:t>
      </w:r>
      <w:r w:rsidR="002834F6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humán szisztémás expozíciós szint 58-szorosánál vese- és májtoxicitást figyeltek meg, míg a hatással nem rendelkező dózisszint a humán expozíciós szint 19-szerese volt. A patkányokn</w:t>
      </w:r>
      <w:r w:rsidR="002834F6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klinikai expozíciós szint 67-szerese mellett metszőfog-rendellenességeket figyeltek meg. A patkányok</w:t>
      </w:r>
      <w:r w:rsidR="002834F6">
        <w:rPr>
          <w:rFonts w:eastAsia="Times New Roman"/>
          <w:snapToGrid/>
          <w:szCs w:val="22"/>
          <w:lang w:val="hu-HU" w:eastAsia="hu-HU" w:bidi="hu-HU"/>
        </w:rPr>
        <w:t>kal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végzett 14 hetes vizsgálat alapján e megfigyelés esetében a hatással nem rendelkező dózisszint 58-szoros volt. Nem ismert, hogy e megfigyelések milyen mértékben vonatkoznak az emberre. A kutyákn</w:t>
      </w:r>
      <w:r w:rsidR="002834F6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klinikai expozíciós szint hozzávetőleg 23-szorosánál a kezeléssel összefüggő, múló fizikai tüneteket figyeltek meg, melyek közül néhány neurológiai toxicitásra utal, például: nyitott szájjal történő lélegzés, nyálzás, fehér habszerű hányás,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ataxia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, remegés, csökkent aktivitás és/vagy összegömbölyödött testtartás. Továbbá, olyan dózisok mellett, melyek a humán expozíciós szint hozzávetőleg 23-szorosának megfelelő szisztémás expozíciós szintet </w:t>
      </w:r>
      <w:r w:rsidRPr="00C011E4">
        <w:rPr>
          <w:rFonts w:eastAsia="Times New Roman"/>
          <w:snapToGrid/>
          <w:szCs w:val="22"/>
          <w:lang w:val="hu-HU" w:eastAsia="hu-HU" w:bidi="hu-HU"/>
        </w:rPr>
        <w:lastRenderedPageBreak/>
        <w:t xml:space="preserve">eredményeztek,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szövettanilag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minimális vagy enyhe mértékű vázizom-degenerációt észleltek. Az ilyen hatással már nem rendelkező dózisszint a klinikai expozíciós szint 6-szorosa volt.</w:t>
      </w:r>
    </w:p>
    <w:p w14:paraId="09F8EDFB" w14:textId="77777777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C4DEC54" w14:textId="5F34BD58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preklinikai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vizsgálatok során nem bizonyult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genotoxikusnak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.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egerek</w:t>
      </w:r>
      <w:r w:rsidR="002834F6">
        <w:rPr>
          <w:rFonts w:eastAsia="Times New Roman"/>
          <w:snapToGrid/>
          <w:szCs w:val="22"/>
          <w:lang w:val="hu-HU" w:eastAsia="hu-HU" w:bidi="hu-HU"/>
        </w:rPr>
        <w:t xml:space="preserve"> eseté</w:t>
      </w:r>
      <w:r w:rsidRPr="00C011E4">
        <w:rPr>
          <w:rFonts w:eastAsia="Times New Roman"/>
          <w:snapToGrid/>
          <w:szCs w:val="22"/>
          <w:lang w:val="hu-HU" w:eastAsia="hu-HU" w:bidi="hu-HU"/>
        </w:rPr>
        <w:t>ben nem volt karcinogén. Patkányokn</w:t>
      </w:r>
      <w:r w:rsidR="002834F6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humán expozíciós szint 58-szorosa mellett megnövekedett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májadenoma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és -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karcinoma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előfordulási gyakorisága. Mivel kimutatták, hogy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hepatotoxicitás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patkányok esetében korrelációt mutat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hepatikus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neopláziák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kialakulásával, a májtumorok ezen megnövekedett előfordulási aránya nagy valószínűséggel az ilyen </w:t>
      </w:r>
      <w:r w:rsidR="003D18AA">
        <w:rPr>
          <w:rFonts w:eastAsia="Times New Roman"/>
          <w:snapToGrid/>
          <w:szCs w:val="22"/>
          <w:lang w:val="hu-HU" w:eastAsia="hu-HU" w:bidi="hu-HU"/>
        </w:rPr>
        <w:t>nagy</w:t>
      </w:r>
      <w:r w:rsidR="003D18AA" w:rsidRPr="00C011E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dózisnál fellépő krónikus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hepatotoxicitás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következménye. A magas biztonságossági küszöb (ennek a hatással nem rendelkező dózisszintnek a 19-szerese) miatt e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neoplasztikus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elváltozások emberek vonatkozásában nem tekintendőek relevánsnak.</w:t>
      </w:r>
    </w:p>
    <w:p w14:paraId="60990282" w14:textId="77777777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34703951" w14:textId="2DCE5B80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szCs w:val="22"/>
          <w:lang w:val="hu-HU" w:eastAsia="hu-HU" w:bidi="hu-HU"/>
        </w:rPr>
        <w:t xml:space="preserve">Nem figyeltek meg a termékenységre gyakorolt nemkívánatos hatást, ha a hím és nőstény patkányoknak a párzási időszak előtt és közben adtak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>.</w:t>
      </w:r>
    </w:p>
    <w:p w14:paraId="10B51D95" w14:textId="77777777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053BA5B" w14:textId="69021A3A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szCs w:val="22"/>
          <w:lang w:val="hu-HU" w:eastAsia="hu-HU" w:bidi="hu-HU"/>
        </w:rPr>
        <w:t xml:space="preserve">Egy a patkányok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pre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- és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posztnatális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fejlődésére irányuló vizsgálatban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nem okozott nemkívánatos hatásokat.</w:t>
      </w:r>
    </w:p>
    <w:p w14:paraId="216A7D26" w14:textId="77777777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37211E69" w14:textId="6A427E13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szCs w:val="22"/>
          <w:lang w:val="hu-HU" w:eastAsia="hu-HU" w:bidi="hu-HU"/>
        </w:rPr>
        <w:t xml:space="preserve">A reproduktív toxicitási vizsgálatok a kezeléssel összefüggő magzati borda-rendellenességek (hiányzó,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hypoplasiás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és lengőbordák) előfordulásának enyhe növekedését mutatták patkányok utódain</w:t>
      </w:r>
      <w:r w:rsidR="002834F6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>, a humán expozíciós szint 29-szeresét meghaladó szisztémás expozíciós szintnél. Nyulakn</w:t>
      </w:r>
      <w:r w:rsidR="004153EE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anyai toxicitást figyeltek meg a humán expozíciós szint több mint 29-szeresénél. A magas biztonságossági határértékek miatt e megfigyelések nem utalnak hasonló kockázatra az emberi reprodukció terén.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laktáló patkányok tejébe jelentős mértékben kiválasztódott (tej/plazma arány: 4:1).</w:t>
      </w:r>
    </w:p>
    <w:p w14:paraId="1205A001" w14:textId="6581BCA6" w:rsidR="00F45C51" w:rsidRDefault="00F45C51" w:rsidP="00082A8E">
      <w:pPr>
        <w:spacing w:line="240" w:lineRule="auto"/>
        <w:rPr>
          <w:lang w:val="hu-HU"/>
        </w:rPr>
      </w:pPr>
    </w:p>
    <w:p w14:paraId="3D2F1594" w14:textId="77777777" w:rsidR="004153EE" w:rsidRPr="00C011E4" w:rsidRDefault="004153EE" w:rsidP="00082A8E">
      <w:pPr>
        <w:spacing w:line="240" w:lineRule="auto"/>
        <w:rPr>
          <w:lang w:val="hu-HU"/>
        </w:rPr>
      </w:pPr>
    </w:p>
    <w:p w14:paraId="7CD80D51" w14:textId="496754CD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0783DD28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8C7FD67" w14:textId="0B614E59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1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B514942" w14:textId="77777777" w:rsidR="00F45C51" w:rsidRPr="00C011E4" w:rsidRDefault="00F45C51" w:rsidP="008D1D9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42FF24" w14:textId="77777777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u w:val="single"/>
          <w:lang w:val="hu-HU" w:eastAsia="en-US"/>
        </w:rPr>
        <w:t>Tablettamag</w:t>
      </w:r>
      <w:r w:rsidRPr="00C011E4">
        <w:rPr>
          <w:rFonts w:eastAsia="Times New Roman"/>
          <w:snapToGrid/>
          <w:szCs w:val="22"/>
          <w:lang w:val="hu-HU" w:eastAsia="en-US"/>
        </w:rPr>
        <w:t>:</w:t>
      </w:r>
    </w:p>
    <w:p w14:paraId="5443067B" w14:textId="4FCDF14B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k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alcium-hidrogén-foszfát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2A5C8702" w14:textId="0894B4C6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m</w:t>
      </w:r>
      <w:r w:rsidR="008D1D92" w:rsidRPr="00C011E4">
        <w:rPr>
          <w:rFonts w:eastAsia="Times New Roman"/>
          <w:snapToGrid/>
          <w:szCs w:val="22"/>
          <w:lang w:val="hu-HU" w:eastAsia="en-US"/>
        </w:rPr>
        <w:t>ikrokristályos cellulóz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3AB427E7" w14:textId="12C21B2B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ind w:right="5070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k</w:t>
      </w:r>
      <w:r w:rsidR="008D1D92" w:rsidRPr="00C011E4">
        <w:rPr>
          <w:rFonts w:eastAsia="Times New Roman"/>
          <w:snapToGrid/>
          <w:szCs w:val="22"/>
          <w:lang w:val="hu-HU" w:eastAsia="en-US"/>
        </w:rPr>
        <w:t>roszkarmellóz</w:t>
      </w:r>
      <w:proofErr w:type="spellEnd"/>
      <w:r w:rsidR="008D1D92" w:rsidRPr="00C011E4">
        <w:rPr>
          <w:rFonts w:eastAsia="Times New Roman"/>
          <w:snapToGrid/>
          <w:szCs w:val="22"/>
          <w:lang w:val="hu-HU" w:eastAsia="en-US"/>
        </w:rPr>
        <w:t>-nátrium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5F5942CB" w14:textId="74E7BF9D" w:rsidR="004153EE" w:rsidRDefault="004153EE" w:rsidP="00E70CED">
      <w:pPr>
        <w:widowControl w:val="0"/>
        <w:tabs>
          <w:tab w:val="clear" w:pos="567"/>
          <w:tab w:val="left" w:pos="3402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n</w:t>
      </w:r>
      <w:r w:rsidR="008D1D92" w:rsidRPr="00C011E4">
        <w:rPr>
          <w:rFonts w:eastAsia="Times New Roman"/>
          <w:snapToGrid/>
          <w:szCs w:val="22"/>
          <w:lang w:val="hu-HU" w:eastAsia="en-US"/>
        </w:rPr>
        <w:t>átrium-</w:t>
      </w:r>
      <w:proofErr w:type="spellStart"/>
      <w:r w:rsidR="008D1D92" w:rsidRPr="00C011E4">
        <w:rPr>
          <w:rFonts w:eastAsia="Times New Roman"/>
          <w:snapToGrid/>
          <w:szCs w:val="22"/>
          <w:lang w:val="hu-HU" w:eastAsia="en-US"/>
        </w:rPr>
        <w:t>sztearil</w:t>
      </w:r>
      <w:proofErr w:type="spellEnd"/>
      <w:r w:rsidR="008D1D92" w:rsidRPr="00C011E4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="008D1D92" w:rsidRPr="00C011E4">
        <w:rPr>
          <w:rFonts w:eastAsia="Times New Roman"/>
          <w:snapToGrid/>
          <w:szCs w:val="22"/>
          <w:lang w:val="hu-HU" w:eastAsia="en-US"/>
        </w:rPr>
        <w:t>fumarát</w:t>
      </w:r>
      <w:proofErr w:type="spellEnd"/>
      <w:r>
        <w:rPr>
          <w:rFonts w:eastAsia="Times New Roman"/>
          <w:snapToGrid/>
          <w:szCs w:val="22"/>
          <w:lang w:val="hu-HU" w:eastAsia="en-US"/>
        </w:rPr>
        <w:t>;</w:t>
      </w:r>
    </w:p>
    <w:p w14:paraId="2C6B8A08" w14:textId="466E3722" w:rsidR="008D1D92" w:rsidRPr="00C011E4" w:rsidRDefault="004153EE" w:rsidP="00E70CED">
      <w:pPr>
        <w:widowControl w:val="0"/>
        <w:tabs>
          <w:tab w:val="clear" w:pos="567"/>
          <w:tab w:val="left" w:pos="3402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m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agnézium-</w:t>
      </w:r>
      <w:proofErr w:type="spellStart"/>
      <w:r w:rsidR="008D1D92" w:rsidRPr="00C011E4">
        <w:rPr>
          <w:rFonts w:eastAsia="Times New Roman"/>
          <w:snapToGrid/>
          <w:szCs w:val="22"/>
          <w:lang w:val="hu-HU" w:eastAsia="en-US"/>
        </w:rPr>
        <w:t>sztearát</w:t>
      </w:r>
      <w:proofErr w:type="spellEnd"/>
      <w:r>
        <w:rPr>
          <w:rFonts w:eastAsia="Times New Roman"/>
          <w:snapToGrid/>
          <w:szCs w:val="22"/>
          <w:lang w:val="hu-HU" w:eastAsia="en-US"/>
        </w:rPr>
        <w:t>.</w:t>
      </w:r>
    </w:p>
    <w:p w14:paraId="23BB85E8" w14:textId="77777777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 w:val="16"/>
          <w:szCs w:val="22"/>
          <w:lang w:val="hu-HU" w:eastAsia="en-US"/>
        </w:rPr>
      </w:pPr>
    </w:p>
    <w:p w14:paraId="6C0CCCA7" w14:textId="5A0D9128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u w:val="single"/>
          <w:lang w:val="hu-HU" w:eastAsia="en-US"/>
        </w:rPr>
        <w:t>Filmbevonat</w:t>
      </w:r>
      <w:r w:rsidRPr="00C011E4">
        <w:rPr>
          <w:rFonts w:eastAsia="Times New Roman"/>
          <w:snapToGrid/>
          <w:szCs w:val="22"/>
          <w:lang w:val="hu-HU" w:eastAsia="en-US"/>
        </w:rPr>
        <w:t>:</w:t>
      </w:r>
    </w:p>
    <w:p w14:paraId="4214056C" w14:textId="05B17A69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p</w:t>
      </w:r>
      <w:r w:rsidR="008D1D92" w:rsidRPr="00C011E4">
        <w:rPr>
          <w:rFonts w:eastAsia="Times New Roman"/>
          <w:snapToGrid/>
          <w:szCs w:val="22"/>
          <w:lang w:val="hu-HU" w:eastAsia="en-US"/>
        </w:rPr>
        <w:t>oli</w:t>
      </w:r>
      <w:proofErr w:type="spellEnd"/>
      <w:r w:rsidR="00133F1C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="008D1D92" w:rsidRPr="00C011E4">
        <w:rPr>
          <w:rFonts w:eastAsia="Times New Roman"/>
          <w:snapToGrid/>
          <w:szCs w:val="22"/>
          <w:lang w:val="hu-HU" w:eastAsia="en-US"/>
        </w:rPr>
        <w:t>vinil</w:t>
      </w:r>
      <w:proofErr w:type="spellEnd"/>
      <w:r w:rsidR="008D1D92" w:rsidRPr="00C011E4">
        <w:rPr>
          <w:rFonts w:eastAsia="Times New Roman"/>
          <w:snapToGrid/>
          <w:szCs w:val="22"/>
          <w:lang w:val="hu-HU" w:eastAsia="en-US"/>
        </w:rPr>
        <w:t>-alkohol</w:t>
      </w:r>
      <w:r w:rsidR="00133F1C">
        <w:rPr>
          <w:rFonts w:eastAsia="Times New Roman"/>
          <w:snapToGrid/>
          <w:szCs w:val="22"/>
          <w:lang w:val="hu-HU" w:eastAsia="en-US"/>
        </w:rPr>
        <w:t>)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1520E9A9" w14:textId="0C1167A9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t</w:t>
      </w:r>
      <w:r w:rsidR="008D1D92" w:rsidRPr="00C011E4">
        <w:rPr>
          <w:rFonts w:eastAsia="Times New Roman"/>
          <w:snapToGrid/>
          <w:szCs w:val="22"/>
          <w:lang w:val="hu-HU" w:eastAsia="en-US"/>
        </w:rPr>
        <w:t>itán-dioxid (E171)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2AB0C1AD" w14:textId="04B1BCFB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m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akrogol</w:t>
      </w:r>
      <w:proofErr w:type="spellEnd"/>
      <w:r w:rsidR="003E7416">
        <w:rPr>
          <w:rFonts w:eastAsia="Times New Roman"/>
          <w:snapToGrid/>
          <w:szCs w:val="22"/>
          <w:lang w:val="hu-HU" w:eastAsia="en-US"/>
        </w:rPr>
        <w:t xml:space="preserve"> </w:t>
      </w:r>
      <w:r w:rsidR="008D26D3">
        <w:rPr>
          <w:rFonts w:eastAsia="Times New Roman"/>
          <w:snapToGrid/>
          <w:szCs w:val="22"/>
          <w:lang w:val="hu-HU" w:eastAsia="en-US"/>
        </w:rPr>
        <w:t>3350</w:t>
      </w:r>
      <w:r w:rsidR="00133F1C">
        <w:rPr>
          <w:rFonts w:eastAsia="Times New Roman"/>
          <w:snapToGrid/>
          <w:szCs w:val="22"/>
          <w:lang w:val="hu-HU" w:eastAsia="en-US"/>
        </w:rPr>
        <w:t>;</w:t>
      </w:r>
    </w:p>
    <w:p w14:paraId="5A02D60C" w14:textId="51B08C5D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t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alkum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39DA8026" w14:textId="7D05AE8A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s</w:t>
      </w:r>
      <w:r w:rsidR="008D1D92" w:rsidRPr="00C011E4">
        <w:rPr>
          <w:rFonts w:eastAsia="Times New Roman"/>
          <w:snapToGrid/>
          <w:szCs w:val="22"/>
          <w:lang w:val="hu-HU" w:eastAsia="en-US"/>
        </w:rPr>
        <w:t>árga vas-oxid (E172)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0E72F9F7" w14:textId="5E05CD68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v</w:t>
      </w:r>
      <w:r w:rsidR="008D1D92" w:rsidRPr="00C011E4">
        <w:rPr>
          <w:rFonts w:eastAsia="Times New Roman"/>
          <w:snapToGrid/>
          <w:szCs w:val="22"/>
          <w:lang w:val="hu-HU" w:eastAsia="en-US"/>
        </w:rPr>
        <w:t>örös vas-oxid (E172)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06F0F524" w14:textId="77777777" w:rsidR="00F45C51" w:rsidRPr="00C011E4" w:rsidRDefault="00F45C51" w:rsidP="008D1D9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4F92ADD" w14:textId="477ACAD0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2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45EE4761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1351C64" w14:textId="48516F72" w:rsidR="00F45C51" w:rsidRPr="00C011E4" w:rsidRDefault="007B654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>Nem értelmezhető</w:t>
      </w:r>
      <w:r w:rsidR="008D1D92" w:rsidRPr="00C011E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10C09F9A" w14:textId="77777777" w:rsidR="00F45C51" w:rsidRPr="00C011E4" w:rsidRDefault="00F45C51" w:rsidP="00497F75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48B7A3E5" w14:textId="7FBBC814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3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481776EF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7FBCE54" w14:textId="7F602BD0" w:rsidR="00077267" w:rsidRPr="00C011E4" w:rsidRDefault="007B6547" w:rsidP="008D1D92">
      <w:pPr>
        <w:spacing w:line="240" w:lineRule="auto"/>
        <w:rPr>
          <w:i/>
          <w:iCs/>
          <w:lang w:val="hu-HU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>2</w:t>
      </w:r>
      <w:r w:rsidR="006E3747" w:rsidRPr="00C011E4">
        <w:rPr>
          <w:rFonts w:eastAsia="Times New Roman"/>
          <w:noProof/>
          <w:snapToGrid/>
          <w:szCs w:val="22"/>
          <w:lang w:val="hu-HU" w:eastAsia="en-US"/>
        </w:rPr>
        <w:t> év</w:t>
      </w:r>
    </w:p>
    <w:p w14:paraId="2227472E" w14:textId="77777777" w:rsidR="00077267" w:rsidRPr="00C011E4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E2814F" w14:textId="72E96EE5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2787861F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3EEE326" w14:textId="77777777" w:rsidR="008D1D92" w:rsidRPr="00C011E4" w:rsidRDefault="008D1D92" w:rsidP="008D1D92">
      <w:pPr>
        <w:widowControl w:val="0"/>
        <w:autoSpaceDE w:val="0"/>
        <w:autoSpaceDN w:val="0"/>
        <w:spacing w:line="240" w:lineRule="auto"/>
        <w:ind w:right="686"/>
        <w:jc w:val="both"/>
        <w:rPr>
          <w:rFonts w:eastAsia="Times New Roman"/>
          <w:lang w:val="hu-HU"/>
        </w:rPr>
      </w:pPr>
      <w:r w:rsidRPr="00C011E4">
        <w:rPr>
          <w:rFonts w:eastAsia="Times New Roman"/>
          <w:lang w:val="hu-HU"/>
        </w:rPr>
        <w:t>Ez a gyógyszer nem igényel különleges tárolást.</w:t>
      </w:r>
    </w:p>
    <w:p w14:paraId="197C9D0D" w14:textId="77777777" w:rsidR="00077267" w:rsidRPr="00C011E4" w:rsidRDefault="00077267" w:rsidP="00082A8E">
      <w:pPr>
        <w:spacing w:line="240" w:lineRule="auto"/>
        <w:rPr>
          <w:lang w:val="hu-HU"/>
        </w:rPr>
      </w:pPr>
    </w:p>
    <w:p w14:paraId="400B7606" w14:textId="21966D9D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5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71F870FA" w14:textId="77777777" w:rsidR="008D1D92" w:rsidRPr="00C011E4" w:rsidRDefault="008D1D92" w:rsidP="00C34EFD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snapToGrid/>
          <w:szCs w:val="22"/>
          <w:lang w:val="hu-HU" w:eastAsia="en-US"/>
        </w:rPr>
      </w:pPr>
    </w:p>
    <w:p w14:paraId="3E5349A9" w14:textId="271BA3A4" w:rsidR="008D1D92" w:rsidRPr="007E23F6" w:rsidRDefault="008D1D92" w:rsidP="00C34EF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E23F6">
        <w:rPr>
          <w:rFonts w:eastAsia="Times New Roman"/>
          <w:snapToGrid/>
          <w:szCs w:val="22"/>
          <w:lang w:val="hu-HU" w:eastAsia="en-US"/>
        </w:rPr>
        <w:t>14</w:t>
      </w:r>
      <w:r w:rsidR="007E23F6" w:rsidRPr="00C34EFD">
        <w:rPr>
          <w:rFonts w:eastAsia="Times New Roman"/>
          <w:snapToGrid/>
          <w:szCs w:val="22"/>
          <w:lang w:val="hu-HU" w:eastAsia="en-US"/>
        </w:rPr>
        <w:t> db</w:t>
      </w:r>
      <w:r w:rsidRPr="007E23F6">
        <w:rPr>
          <w:rFonts w:eastAsia="Times New Roman"/>
          <w:snapToGrid/>
          <w:szCs w:val="22"/>
          <w:lang w:val="hu-HU" w:eastAsia="en-US"/>
        </w:rPr>
        <w:t>, 28</w:t>
      </w:r>
      <w:r w:rsidR="007E23F6" w:rsidRPr="00C34EFD">
        <w:rPr>
          <w:rFonts w:eastAsia="Times New Roman"/>
          <w:snapToGrid/>
          <w:szCs w:val="22"/>
          <w:lang w:val="hu-HU" w:eastAsia="en-US"/>
        </w:rPr>
        <w:t> db</w:t>
      </w:r>
      <w:r w:rsidRPr="007E23F6">
        <w:rPr>
          <w:rFonts w:eastAsia="Times New Roman"/>
          <w:snapToGrid/>
          <w:szCs w:val="22"/>
          <w:lang w:val="hu-HU" w:eastAsia="en-US"/>
        </w:rPr>
        <w:t>, 30</w:t>
      </w:r>
      <w:r w:rsidR="007E23F6" w:rsidRPr="00C34EFD">
        <w:rPr>
          <w:rFonts w:eastAsia="Times New Roman"/>
          <w:snapToGrid/>
          <w:szCs w:val="22"/>
          <w:lang w:val="hu-HU" w:eastAsia="en-US"/>
        </w:rPr>
        <w:t> db</w:t>
      </w:r>
      <w:r w:rsidRPr="007E23F6">
        <w:rPr>
          <w:rFonts w:eastAsia="Times New Roman"/>
          <w:snapToGrid/>
          <w:szCs w:val="22"/>
          <w:lang w:val="hu-HU" w:eastAsia="en-US"/>
        </w:rPr>
        <w:t xml:space="preserve">, </w:t>
      </w:r>
      <w:r w:rsidR="00BB71F4" w:rsidRPr="00C34EFD">
        <w:rPr>
          <w:rFonts w:eastAsia="Times New Roman"/>
          <w:snapToGrid/>
          <w:szCs w:val="22"/>
          <w:lang w:val="hu-HU" w:eastAsia="en-US"/>
        </w:rPr>
        <w:t>56</w:t>
      </w:r>
      <w:r w:rsidR="007E23F6" w:rsidRPr="00C34EFD">
        <w:rPr>
          <w:rFonts w:eastAsia="Times New Roman"/>
          <w:snapToGrid/>
          <w:szCs w:val="22"/>
          <w:lang w:val="hu-HU" w:eastAsia="en-US"/>
        </w:rPr>
        <w:t> db</w:t>
      </w:r>
      <w:r w:rsidR="00BB71F4" w:rsidRPr="00C34EFD">
        <w:rPr>
          <w:rFonts w:eastAsia="Times New Roman"/>
          <w:snapToGrid/>
          <w:szCs w:val="22"/>
          <w:lang w:val="hu-HU" w:eastAsia="en-US"/>
        </w:rPr>
        <w:t xml:space="preserve">, </w:t>
      </w:r>
      <w:r w:rsidRPr="007E23F6">
        <w:rPr>
          <w:rFonts w:eastAsia="Times New Roman"/>
          <w:snapToGrid/>
          <w:szCs w:val="22"/>
          <w:lang w:val="hu-HU" w:eastAsia="en-US"/>
        </w:rPr>
        <w:t>98</w:t>
      </w:r>
      <w:r w:rsidR="007E23F6" w:rsidRPr="00C34EFD">
        <w:rPr>
          <w:rFonts w:eastAsia="Times New Roman"/>
          <w:snapToGrid/>
          <w:szCs w:val="22"/>
          <w:lang w:val="hu-HU" w:eastAsia="en-US"/>
        </w:rPr>
        <w:t> db</w:t>
      </w:r>
      <w:r w:rsidR="00BB71F4" w:rsidRPr="00C34EFD">
        <w:rPr>
          <w:rFonts w:eastAsia="Times New Roman"/>
          <w:snapToGrid/>
          <w:szCs w:val="22"/>
          <w:lang w:val="hu-HU" w:eastAsia="en-US"/>
        </w:rPr>
        <w:t xml:space="preserve"> </w:t>
      </w:r>
      <w:r w:rsidRPr="007E23F6">
        <w:rPr>
          <w:rFonts w:eastAsia="Times New Roman"/>
          <w:snapToGrid/>
          <w:szCs w:val="22"/>
          <w:lang w:val="hu-HU" w:eastAsia="en-US"/>
        </w:rPr>
        <w:t xml:space="preserve">filmtabletta </w:t>
      </w:r>
      <w:r w:rsidR="004006EB" w:rsidRPr="007E23F6">
        <w:rPr>
          <w:rFonts w:eastAsia="Times New Roman"/>
          <w:snapToGrid/>
          <w:szCs w:val="22"/>
          <w:lang w:val="hu-HU" w:eastAsia="en-US"/>
        </w:rPr>
        <w:t>átlátszatlan</w:t>
      </w:r>
      <w:r w:rsidRPr="007E23F6"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 w:rsidR="003D18AA"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="004153EE" w:rsidRPr="007E23F6">
        <w:rPr>
          <w:rFonts w:eastAsia="Times New Roman"/>
          <w:snapToGrid/>
          <w:szCs w:val="22"/>
          <w:lang w:val="hu-HU" w:eastAsia="en-US"/>
        </w:rPr>
        <w:t>A</w:t>
      </w:r>
      <w:r w:rsidRPr="007E23F6">
        <w:rPr>
          <w:rFonts w:eastAsia="Times New Roman"/>
          <w:snapToGrid/>
          <w:szCs w:val="22"/>
          <w:lang w:val="hu-HU" w:eastAsia="en-US"/>
        </w:rPr>
        <w:t>l</w:t>
      </w:r>
      <w:proofErr w:type="spellEnd"/>
      <w:r w:rsidR="000F4ED5"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buborékcsomagolásban</w:t>
      </w:r>
      <w:r w:rsidR="004153EE" w:rsidRPr="000F4ED5">
        <w:rPr>
          <w:rFonts w:eastAsia="Times New Roman"/>
          <w:snapToGrid/>
          <w:szCs w:val="22"/>
          <w:lang w:val="hu-HU" w:eastAsia="en-US"/>
        </w:rPr>
        <w:t xml:space="preserve"> és </w:t>
      </w:r>
      <w:r w:rsidR="004153EE" w:rsidRPr="007E23F6">
        <w:rPr>
          <w:rFonts w:eastAsia="Times New Roman"/>
          <w:snapToGrid/>
          <w:szCs w:val="22"/>
          <w:lang w:val="hu-HU" w:eastAsia="en-US"/>
        </w:rPr>
        <w:t>dobozban.</w:t>
      </w:r>
    </w:p>
    <w:p w14:paraId="054A80B7" w14:textId="77777777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 w:val="18"/>
          <w:szCs w:val="22"/>
          <w:lang w:val="hu-HU" w:eastAsia="en-US"/>
        </w:rPr>
      </w:pPr>
    </w:p>
    <w:p w14:paraId="1638A01C" w14:textId="77777777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jc w:val="both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Nem feltétlenül mindegyik kiszerelés kerül kereskedelmi forgalomba.</w:t>
      </w:r>
    </w:p>
    <w:p w14:paraId="45AAEAD4" w14:textId="77777777" w:rsidR="00077267" w:rsidRPr="00C011E4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8FFB3E3" w14:textId="7A0216F9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</w:t>
      </w:r>
      <w:r w:rsidR="00621685">
        <w:rPr>
          <w:rFonts w:eastAsia="Times New Roman"/>
          <w:b/>
          <w:noProof/>
          <w:snapToGrid/>
          <w:szCs w:val="22"/>
          <w:lang w:val="hu-HU" w:eastAsia="en-US"/>
        </w:rPr>
        <w:t xml:space="preserve"> és egyéb, a készítmény kezelésével kapcsolatos információk</w:t>
      </w:r>
    </w:p>
    <w:p w14:paraId="14A4E262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3D954DE" w14:textId="59AF7685" w:rsidR="00F45C51" w:rsidRDefault="007B654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Bármilyen fel nem használt gyógyszer, illetve hulladékanyag megsemmisítését a </w:t>
      </w:r>
      <w:r w:rsidR="00127C1D" w:rsidRPr="00C011E4">
        <w:rPr>
          <w:rFonts w:eastAsia="Times New Roman"/>
          <w:noProof/>
          <w:snapToGrid/>
          <w:szCs w:val="22"/>
          <w:lang w:val="hu-HU" w:eastAsia="en-US"/>
        </w:rPr>
        <w:t>gyógyszerekre vonatkozó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előírások szerint kell végrehajtani</w:t>
      </w:r>
      <w:r w:rsidR="008D1D92" w:rsidRPr="00C011E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B62B704" w14:textId="5513E11B" w:rsidR="003D18AA" w:rsidRDefault="003D18AA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3509AB9" w14:textId="77777777" w:rsidR="003D18AA" w:rsidRPr="00464ACD" w:rsidRDefault="003D18AA" w:rsidP="003D18AA">
      <w:pPr>
        <w:suppressAutoHyphens/>
        <w:ind w:left="1"/>
        <w:rPr>
          <w:lang w:val="hu-HU" w:eastAsia="ar-SA"/>
        </w:rPr>
      </w:pPr>
      <w:r w:rsidRPr="00464ACD">
        <w:rPr>
          <w:b/>
          <w:lang w:val="hu-HU" w:eastAsia="ar-SA"/>
        </w:rPr>
        <w:t>Megjegyzés</w:t>
      </w:r>
      <w:r w:rsidRPr="00D07B2B">
        <w:rPr>
          <w:b/>
          <w:lang w:val="hu-HU" w:eastAsia="ar-SA"/>
        </w:rPr>
        <w:t>:</w:t>
      </w:r>
      <w:r w:rsidRPr="00D07B2B">
        <w:rPr>
          <w:lang w:val="hu-HU" w:eastAsia="ar-SA"/>
        </w:rPr>
        <w:t xml:space="preserve"> </w:t>
      </w:r>
      <w:r w:rsidRPr="00464ACD">
        <w:sym w:font="Wingdings" w:char="F058"/>
      </w:r>
      <w:r w:rsidRPr="00D07B2B">
        <w:rPr>
          <w:lang w:val="hu-HU" w:eastAsia="ar-SA"/>
        </w:rPr>
        <w:t xml:space="preserve"> </w:t>
      </w:r>
      <w:r w:rsidRPr="00464ACD">
        <w:rPr>
          <w:lang w:val="hu-HU" w:eastAsia="ar-SA"/>
        </w:rPr>
        <w:t>(egy keresztes</w:t>
      </w:r>
      <w:r w:rsidRPr="00D07B2B">
        <w:rPr>
          <w:lang w:val="hu-HU" w:eastAsia="ar-SA"/>
        </w:rPr>
        <w:t>)</w:t>
      </w:r>
    </w:p>
    <w:p w14:paraId="664C72C3" w14:textId="0A0AB647" w:rsidR="003D18AA" w:rsidRPr="00464ACD" w:rsidRDefault="003D18AA" w:rsidP="003D18AA">
      <w:pPr>
        <w:suppressAutoHyphens/>
        <w:ind w:left="1"/>
        <w:rPr>
          <w:b/>
          <w:lang w:val="hu-HU" w:eastAsia="ar-SA"/>
        </w:rPr>
      </w:pPr>
      <w:r w:rsidRPr="002A7A93">
        <w:rPr>
          <w:b/>
          <w:lang w:val="hu-HU" w:eastAsia="ar-SA"/>
        </w:rPr>
        <w:t>Osztályozás</w:t>
      </w:r>
      <w:r w:rsidRPr="00D07B2B">
        <w:rPr>
          <w:b/>
          <w:lang w:val="hu-HU" w:eastAsia="ar-SA"/>
        </w:rPr>
        <w:t>: II.</w:t>
      </w:r>
      <w:r w:rsidRPr="00464ACD">
        <w:rPr>
          <w:b/>
          <w:lang w:val="hu-HU" w:eastAsia="ar-SA"/>
        </w:rPr>
        <w:t xml:space="preserve"> csoport</w:t>
      </w:r>
    </w:p>
    <w:p w14:paraId="6B895F2E" w14:textId="77777777" w:rsidR="006010B0" w:rsidRPr="00D75732" w:rsidRDefault="006010B0" w:rsidP="006010B0">
      <w:pPr>
        <w:rPr>
          <w:b/>
          <w:bCs/>
          <w:szCs w:val="22"/>
          <w:lang w:val="hu-HU"/>
        </w:rPr>
      </w:pPr>
      <w:r w:rsidRPr="00D75732">
        <w:rPr>
          <w:szCs w:val="22"/>
          <w:lang w:val="hu-HU"/>
        </w:rPr>
        <w:t>Kizárólag orvosi rendelvényhez kötött gyógyszer (V).</w:t>
      </w:r>
    </w:p>
    <w:p w14:paraId="2A968C72" w14:textId="6C96B1C6" w:rsidR="006010B0" w:rsidRDefault="006010B0" w:rsidP="00C34EFD">
      <w:pPr>
        <w:keepNext/>
        <w:spacing w:line="240" w:lineRule="auto"/>
        <w:ind w:left="567" w:hanging="567"/>
        <w:outlineLvl w:val="0"/>
        <w:rPr>
          <w:b/>
          <w:lang w:val="hu-HU"/>
        </w:rPr>
      </w:pPr>
    </w:p>
    <w:p w14:paraId="6C2EFA41" w14:textId="77777777" w:rsidR="006010B0" w:rsidRPr="00C011E4" w:rsidRDefault="006010B0" w:rsidP="00C34EFD">
      <w:pPr>
        <w:keepNext/>
        <w:spacing w:line="240" w:lineRule="auto"/>
        <w:ind w:left="567" w:hanging="567"/>
        <w:outlineLvl w:val="0"/>
        <w:rPr>
          <w:b/>
          <w:lang w:val="hu-HU"/>
        </w:rPr>
      </w:pPr>
    </w:p>
    <w:p w14:paraId="6D763240" w14:textId="5DE39BF2" w:rsidR="00F45C51" w:rsidRPr="00C011E4" w:rsidRDefault="007B6547" w:rsidP="00C34EFD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7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6A72C56C" w14:textId="77777777" w:rsidR="00F45C51" w:rsidRPr="00C011E4" w:rsidRDefault="00F45C51" w:rsidP="00C34EFD">
      <w:pPr>
        <w:keepNext/>
        <w:spacing w:line="240" w:lineRule="auto"/>
        <w:ind w:left="567" w:hanging="567"/>
        <w:outlineLvl w:val="0"/>
        <w:rPr>
          <w:b/>
          <w:lang w:val="hu-HU"/>
        </w:rPr>
      </w:pPr>
    </w:p>
    <w:p w14:paraId="4B12CE4B" w14:textId="2F8DCB6D" w:rsidR="00C54082" w:rsidRPr="00C54082" w:rsidRDefault="00C54082" w:rsidP="00C34EFD">
      <w:pPr>
        <w:keepNext/>
        <w:spacing w:line="240" w:lineRule="auto"/>
        <w:ind w:left="567" w:hanging="567"/>
        <w:outlineLvl w:val="0"/>
        <w:rPr>
          <w:snapToGrid/>
          <w:color w:val="000000"/>
          <w:szCs w:val="22"/>
          <w:lang w:val="hu-HU"/>
        </w:rPr>
      </w:pPr>
      <w:bookmarkStart w:id="10" w:name="_Hlk66958226"/>
      <w:proofErr w:type="spellStart"/>
      <w:r w:rsidRPr="00C54082">
        <w:rPr>
          <w:snapToGrid/>
          <w:color w:val="000000"/>
          <w:szCs w:val="22"/>
          <w:lang w:val="hu-HU"/>
        </w:rPr>
        <w:t>Zentiva</w:t>
      </w:r>
      <w:proofErr w:type="spellEnd"/>
      <w:r w:rsidRPr="00C54082">
        <w:rPr>
          <w:snapToGrid/>
          <w:color w:val="000000"/>
          <w:szCs w:val="22"/>
          <w:lang w:val="hu-HU"/>
        </w:rPr>
        <w:t xml:space="preserve">, </w:t>
      </w:r>
      <w:proofErr w:type="spellStart"/>
      <w:r w:rsidRPr="00C54082">
        <w:rPr>
          <w:snapToGrid/>
          <w:color w:val="000000"/>
          <w:szCs w:val="22"/>
          <w:lang w:val="hu-HU"/>
        </w:rPr>
        <w:t>k.s</w:t>
      </w:r>
      <w:proofErr w:type="spellEnd"/>
      <w:r w:rsidRPr="00C54082">
        <w:rPr>
          <w:snapToGrid/>
          <w:color w:val="000000"/>
          <w:szCs w:val="22"/>
          <w:lang w:val="hu-HU"/>
        </w:rPr>
        <w:t>.</w:t>
      </w:r>
    </w:p>
    <w:p w14:paraId="2B810271" w14:textId="77777777" w:rsidR="00C54082" w:rsidRPr="00C54082" w:rsidRDefault="00C54082" w:rsidP="00C34EFD">
      <w:pPr>
        <w:keepNext/>
        <w:spacing w:line="240" w:lineRule="auto"/>
        <w:ind w:left="567" w:hanging="567"/>
        <w:outlineLvl w:val="0"/>
        <w:rPr>
          <w:snapToGrid/>
          <w:color w:val="000000"/>
          <w:szCs w:val="22"/>
          <w:lang w:val="hu-HU"/>
        </w:rPr>
      </w:pPr>
      <w:r w:rsidRPr="00C54082">
        <w:rPr>
          <w:snapToGrid/>
          <w:color w:val="000000"/>
          <w:szCs w:val="22"/>
          <w:lang w:val="hu-HU"/>
        </w:rPr>
        <w:t xml:space="preserve">U </w:t>
      </w:r>
      <w:proofErr w:type="spellStart"/>
      <w:r w:rsidRPr="00C54082">
        <w:rPr>
          <w:snapToGrid/>
          <w:color w:val="000000"/>
          <w:szCs w:val="22"/>
          <w:lang w:val="hu-HU"/>
        </w:rPr>
        <w:t>kabelovny</w:t>
      </w:r>
      <w:proofErr w:type="spellEnd"/>
      <w:r w:rsidRPr="00C54082">
        <w:rPr>
          <w:snapToGrid/>
          <w:color w:val="000000"/>
          <w:szCs w:val="22"/>
          <w:lang w:val="hu-HU"/>
        </w:rPr>
        <w:t xml:space="preserve"> 130, </w:t>
      </w:r>
      <w:proofErr w:type="spellStart"/>
      <w:r w:rsidRPr="00C54082">
        <w:rPr>
          <w:snapToGrid/>
          <w:color w:val="000000"/>
          <w:szCs w:val="22"/>
          <w:lang w:val="hu-HU"/>
        </w:rPr>
        <w:t>Dolní</w:t>
      </w:r>
      <w:proofErr w:type="spellEnd"/>
      <w:r w:rsidRPr="00C54082">
        <w:rPr>
          <w:snapToGrid/>
          <w:color w:val="000000"/>
          <w:szCs w:val="22"/>
          <w:lang w:val="hu-HU"/>
        </w:rPr>
        <w:t xml:space="preserve"> </w:t>
      </w:r>
      <w:proofErr w:type="spellStart"/>
      <w:r w:rsidRPr="00C54082">
        <w:rPr>
          <w:snapToGrid/>
          <w:color w:val="000000"/>
          <w:szCs w:val="22"/>
          <w:lang w:val="hu-HU"/>
        </w:rPr>
        <w:t>Měcholupy</w:t>
      </w:r>
      <w:proofErr w:type="spellEnd"/>
      <w:r w:rsidRPr="00C54082">
        <w:rPr>
          <w:snapToGrid/>
          <w:color w:val="000000"/>
          <w:szCs w:val="22"/>
          <w:lang w:val="hu-HU"/>
        </w:rPr>
        <w:t>,</w:t>
      </w:r>
    </w:p>
    <w:p w14:paraId="0F4771CF" w14:textId="4FA0A966" w:rsidR="00C54082" w:rsidRPr="00C54082" w:rsidRDefault="00C54082" w:rsidP="00C34EFD">
      <w:pPr>
        <w:keepNext/>
        <w:spacing w:line="240" w:lineRule="auto"/>
        <w:ind w:left="567" w:hanging="567"/>
        <w:outlineLvl w:val="0"/>
        <w:rPr>
          <w:snapToGrid/>
          <w:color w:val="000000"/>
          <w:szCs w:val="22"/>
          <w:lang w:val="hu-HU"/>
        </w:rPr>
      </w:pPr>
      <w:r w:rsidRPr="00C54082">
        <w:rPr>
          <w:snapToGrid/>
          <w:color w:val="000000"/>
          <w:szCs w:val="22"/>
          <w:lang w:val="hu-HU"/>
        </w:rPr>
        <w:t xml:space="preserve">102 37 </w:t>
      </w:r>
      <w:r>
        <w:rPr>
          <w:snapToGrid/>
          <w:color w:val="000000"/>
          <w:szCs w:val="22"/>
          <w:lang w:val="hu-HU"/>
        </w:rPr>
        <w:t>Prága</w:t>
      </w:r>
      <w:r w:rsidRPr="00C54082">
        <w:rPr>
          <w:snapToGrid/>
          <w:color w:val="000000"/>
          <w:szCs w:val="22"/>
          <w:lang w:val="hu-HU"/>
        </w:rPr>
        <w:t xml:space="preserve"> 10</w:t>
      </w:r>
    </w:p>
    <w:p w14:paraId="10E10129" w14:textId="39FB05FE" w:rsidR="00EC221F" w:rsidRPr="00C011E4" w:rsidRDefault="00C54082" w:rsidP="00C34EFD">
      <w:pPr>
        <w:keepNext/>
        <w:spacing w:line="240" w:lineRule="auto"/>
        <w:ind w:left="567" w:hanging="567"/>
        <w:outlineLvl w:val="0"/>
        <w:rPr>
          <w:b/>
          <w:lang w:val="hu-HU"/>
        </w:rPr>
      </w:pPr>
      <w:r>
        <w:rPr>
          <w:szCs w:val="22"/>
          <w:lang w:val="hu-HU"/>
        </w:rPr>
        <w:t>Csehország</w:t>
      </w:r>
      <w:bookmarkEnd w:id="10"/>
    </w:p>
    <w:p w14:paraId="59D72CBD" w14:textId="54D00C66" w:rsidR="00F45C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C7878AD" w14:textId="77777777" w:rsidR="00C952FF" w:rsidRPr="00C011E4" w:rsidRDefault="00C952FF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EDC3B15" w14:textId="2CF17419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8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3A865083" w14:textId="77777777" w:rsidR="00A13BDD" w:rsidRPr="00A13BDD" w:rsidRDefault="00A13BDD" w:rsidP="00A13BDD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3264E96D" w14:textId="25FE9B98" w:rsidR="002A4867" w:rsidRPr="00D07B2B" w:rsidRDefault="002A4867" w:rsidP="002A4867">
      <w:pPr>
        <w:rPr>
          <w:snapToGrid/>
          <w:szCs w:val="22"/>
          <w:lang w:val="hu-HU" w:eastAsia="hu-HU"/>
        </w:rPr>
      </w:pPr>
      <w:bookmarkStart w:id="11" w:name="_Hlk89755136"/>
      <w:r w:rsidRPr="00D07B2B">
        <w:rPr>
          <w:szCs w:val="22"/>
          <w:lang w:val="hu-HU"/>
        </w:rPr>
        <w:t>OGYI-T-23977/01</w:t>
      </w:r>
      <w:r w:rsidRPr="00D07B2B">
        <w:rPr>
          <w:szCs w:val="22"/>
          <w:lang w:val="hu-HU"/>
        </w:rPr>
        <w:tab/>
        <w:t>14×</w:t>
      </w:r>
      <w:r w:rsidRPr="00D07B2B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</w:t>
      </w:r>
      <w:r>
        <w:rPr>
          <w:rFonts w:eastAsia="Times New Roman"/>
          <w:snapToGrid/>
          <w:szCs w:val="22"/>
          <w:lang w:val="hu-HU" w:eastAsia="en-US"/>
        </w:rPr>
        <w:t>ban.</w:t>
      </w:r>
    </w:p>
    <w:p w14:paraId="645BD4CF" w14:textId="31E5F898" w:rsidR="002A4867" w:rsidRPr="00D07B2B" w:rsidRDefault="002A4867" w:rsidP="002A4867">
      <w:pPr>
        <w:rPr>
          <w:szCs w:val="22"/>
          <w:lang w:val="hu-HU" w:eastAsia="hu-HU"/>
        </w:rPr>
      </w:pPr>
      <w:r w:rsidRPr="00D07B2B">
        <w:rPr>
          <w:szCs w:val="22"/>
          <w:lang w:val="hu-HU"/>
        </w:rPr>
        <w:t>OGYI-T-23977/02</w:t>
      </w:r>
      <w:r w:rsidRPr="00D07B2B">
        <w:rPr>
          <w:szCs w:val="22"/>
          <w:lang w:val="hu-HU"/>
        </w:rPr>
        <w:tab/>
        <w:t>28×</w:t>
      </w:r>
      <w:r w:rsidRPr="00D07B2B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</w:t>
      </w:r>
      <w:r>
        <w:rPr>
          <w:rFonts w:eastAsia="Times New Roman"/>
          <w:snapToGrid/>
          <w:szCs w:val="22"/>
          <w:lang w:val="hu-HU" w:eastAsia="en-US"/>
        </w:rPr>
        <w:t>ban.</w:t>
      </w:r>
    </w:p>
    <w:p w14:paraId="31FFFDB7" w14:textId="639074D1" w:rsidR="002A4867" w:rsidRPr="00D07B2B" w:rsidRDefault="002A4867" w:rsidP="002A4867">
      <w:pPr>
        <w:rPr>
          <w:szCs w:val="22"/>
          <w:lang w:val="hu-HU" w:eastAsia="hu-HU"/>
        </w:rPr>
      </w:pPr>
      <w:r w:rsidRPr="00D07B2B">
        <w:rPr>
          <w:szCs w:val="22"/>
          <w:lang w:val="hu-HU"/>
        </w:rPr>
        <w:t>OGYI-T-23977/03</w:t>
      </w:r>
      <w:r w:rsidRPr="00D07B2B">
        <w:rPr>
          <w:szCs w:val="22"/>
          <w:lang w:val="hu-HU"/>
        </w:rPr>
        <w:tab/>
        <w:t>30×</w:t>
      </w:r>
      <w:r w:rsidRPr="00D07B2B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</w:t>
      </w:r>
      <w:r>
        <w:rPr>
          <w:rFonts w:eastAsia="Times New Roman"/>
          <w:snapToGrid/>
          <w:szCs w:val="22"/>
          <w:lang w:val="hu-HU" w:eastAsia="en-US"/>
        </w:rPr>
        <w:t>ban.</w:t>
      </w:r>
    </w:p>
    <w:p w14:paraId="44B51A44" w14:textId="329FFD98" w:rsidR="002A4867" w:rsidRPr="00D07B2B" w:rsidRDefault="002A4867" w:rsidP="002A4867">
      <w:pPr>
        <w:rPr>
          <w:szCs w:val="22"/>
          <w:lang w:val="hu-HU" w:eastAsia="hu-HU"/>
        </w:rPr>
      </w:pPr>
      <w:r w:rsidRPr="00D07B2B">
        <w:rPr>
          <w:szCs w:val="22"/>
          <w:lang w:val="hu-HU"/>
        </w:rPr>
        <w:t>OGYI-T-23977/04</w:t>
      </w:r>
      <w:r w:rsidRPr="00D07B2B">
        <w:rPr>
          <w:szCs w:val="22"/>
          <w:lang w:val="hu-HU"/>
        </w:rPr>
        <w:tab/>
        <w:t>56×</w:t>
      </w:r>
      <w:r w:rsidRPr="00D07B2B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buborékcsomagolásban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72BD72CC" w14:textId="039FBD8E" w:rsidR="002A4867" w:rsidRPr="00D07B2B" w:rsidRDefault="002A4867" w:rsidP="002A4867">
      <w:pPr>
        <w:rPr>
          <w:szCs w:val="22"/>
          <w:lang w:val="hu-HU" w:eastAsia="hu-HU"/>
        </w:rPr>
      </w:pPr>
      <w:r w:rsidRPr="00D07B2B">
        <w:rPr>
          <w:szCs w:val="22"/>
          <w:lang w:val="hu-HU"/>
        </w:rPr>
        <w:t>OGYI-T-23977/05</w:t>
      </w:r>
      <w:r w:rsidRPr="00D07B2B">
        <w:rPr>
          <w:szCs w:val="22"/>
          <w:lang w:val="hu-HU"/>
        </w:rPr>
        <w:tab/>
        <w:t>98×</w:t>
      </w:r>
      <w:r w:rsidRPr="00D07B2B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buborékcsomagolásban</w:t>
      </w:r>
      <w:r>
        <w:rPr>
          <w:rFonts w:eastAsia="Times New Roman"/>
          <w:snapToGrid/>
          <w:szCs w:val="22"/>
          <w:lang w:val="hu-HU" w:eastAsia="en-US"/>
        </w:rPr>
        <w:t>.</w:t>
      </w:r>
    </w:p>
    <w:bookmarkEnd w:id="11"/>
    <w:p w14:paraId="538BB863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22D82B6" w14:textId="77777777" w:rsidR="00CA6136" w:rsidRPr="00C011E4" w:rsidRDefault="00CA6136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6FC444E" w14:textId="7AC6AC08" w:rsidR="00F45C51" w:rsidRPr="00C011E4" w:rsidRDefault="007B6547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9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C011E4">
        <w:rPr>
          <w:b/>
          <w:lang w:val="hu-HU"/>
        </w:rPr>
        <w:t xml:space="preserve"> DÁTUMA</w:t>
      </w:r>
    </w:p>
    <w:p w14:paraId="66D5230D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33F2BB" w14:textId="52D883EA" w:rsidR="00F45C51" w:rsidRDefault="00A13BD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 forgalomba hozatali engedély első kiadásának dátuma: </w:t>
      </w:r>
      <w:r w:rsidR="003D18AA">
        <w:rPr>
          <w:rFonts w:eastAsia="Times New Roman"/>
          <w:noProof/>
          <w:snapToGrid/>
          <w:szCs w:val="22"/>
          <w:lang w:val="hu-HU" w:eastAsia="en-US"/>
        </w:rPr>
        <w:t>2021.</w:t>
      </w:r>
      <w:r w:rsidR="002A4867">
        <w:rPr>
          <w:rFonts w:eastAsia="Times New Roman"/>
          <w:noProof/>
          <w:snapToGrid/>
          <w:szCs w:val="22"/>
          <w:lang w:val="hu-HU" w:eastAsia="en-US"/>
        </w:rPr>
        <w:t xml:space="preserve"> december 6.</w:t>
      </w:r>
    </w:p>
    <w:p w14:paraId="13B13ABE" w14:textId="77777777" w:rsidR="00A13BDD" w:rsidRPr="00C011E4" w:rsidRDefault="00A13BD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EF3A402" w14:textId="77777777" w:rsidR="00CA6136" w:rsidRPr="00C011E4" w:rsidRDefault="00CA613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3E7C3C9" w14:textId="6E32800B" w:rsidR="00F45C51" w:rsidRPr="00C011E4" w:rsidRDefault="007B6547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10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6401DBC9" w14:textId="76D05BCE" w:rsidR="00A13BDD" w:rsidRDefault="00A13BDD" w:rsidP="008D1D92">
      <w:pPr>
        <w:spacing w:line="240" w:lineRule="auto"/>
        <w:rPr>
          <w:iCs/>
          <w:lang w:val="hu-HU"/>
        </w:rPr>
      </w:pPr>
    </w:p>
    <w:p w14:paraId="325EDBFB" w14:textId="29A7260B" w:rsidR="003D18AA" w:rsidRPr="00A13BDD" w:rsidRDefault="00493A1A" w:rsidP="008D1D92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>2026. február 9.</w:t>
      </w:r>
    </w:p>
    <w:sectPr w:rsidR="003D18AA" w:rsidRPr="00A13BDD" w:rsidSect="002D1F2D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819D9" w14:textId="77777777" w:rsidR="009B7471" w:rsidRDefault="009B7471">
      <w:pPr>
        <w:spacing w:line="240" w:lineRule="auto"/>
      </w:pPr>
      <w:r>
        <w:separator/>
      </w:r>
    </w:p>
  </w:endnote>
  <w:endnote w:type="continuationSeparator" w:id="0">
    <w:p w14:paraId="1A6591E9" w14:textId="77777777" w:rsidR="009B7471" w:rsidRDefault="009B74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47FBF" w14:textId="17661D62" w:rsidR="00041282" w:rsidRDefault="00041282" w:rsidP="00E70CED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08BC6" w14:textId="4A746DBD" w:rsidR="00041282" w:rsidRPr="00D970CB" w:rsidRDefault="00493A1A" w:rsidP="00354C64">
    <w:pPr>
      <w:tabs>
        <w:tab w:val="clear" w:pos="567"/>
        <w:tab w:val="left" w:pos="8080"/>
      </w:tabs>
      <w:rPr>
        <w:sz w:val="18"/>
        <w:szCs w:val="18"/>
      </w:rPr>
    </w:pPr>
    <w:r w:rsidRPr="00493A1A">
      <w:rPr>
        <w:sz w:val="18"/>
        <w:szCs w:val="18"/>
      </w:rPr>
      <w:t>NNGYK/ETGY/3601/2026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0F7E9" w14:textId="77777777" w:rsidR="009B7471" w:rsidRDefault="009B7471">
      <w:pPr>
        <w:spacing w:line="240" w:lineRule="auto"/>
      </w:pPr>
      <w:r>
        <w:separator/>
      </w:r>
    </w:p>
  </w:footnote>
  <w:footnote w:type="continuationSeparator" w:id="0">
    <w:p w14:paraId="71CCD271" w14:textId="77777777" w:rsidR="009B7471" w:rsidRDefault="009B74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C2FC9" w14:textId="32C0F401" w:rsidR="00041282" w:rsidRPr="00E70CED" w:rsidRDefault="009B7471">
    <w:pPr>
      <w:pStyle w:val="lfej"/>
      <w:jc w:val="center"/>
      <w:rPr>
        <w:sz w:val="18"/>
        <w:szCs w:val="18"/>
      </w:rPr>
    </w:pPr>
    <w:sdt>
      <w:sdtPr>
        <w:id w:val="-194543271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041282" w:rsidRPr="00E70CED">
          <w:rPr>
            <w:sz w:val="18"/>
            <w:szCs w:val="18"/>
          </w:rPr>
          <w:fldChar w:fldCharType="begin"/>
        </w:r>
        <w:r w:rsidR="00041282" w:rsidRPr="00E70CED">
          <w:rPr>
            <w:sz w:val="18"/>
            <w:szCs w:val="18"/>
          </w:rPr>
          <w:instrText>PAGE   \* MERGEFORMAT</w:instrText>
        </w:r>
        <w:r w:rsidR="00041282" w:rsidRPr="00E70CED">
          <w:rPr>
            <w:sz w:val="18"/>
            <w:szCs w:val="18"/>
          </w:rPr>
          <w:fldChar w:fldCharType="separate"/>
        </w:r>
        <w:r w:rsidR="00041282" w:rsidRPr="009B1A54">
          <w:rPr>
            <w:noProof/>
            <w:sz w:val="18"/>
            <w:szCs w:val="18"/>
            <w:lang w:val="hu-HU"/>
          </w:rPr>
          <w:t>16</w:t>
        </w:r>
        <w:r w:rsidR="00041282" w:rsidRPr="00E70CED">
          <w:rPr>
            <w:sz w:val="18"/>
            <w:szCs w:val="18"/>
          </w:rPr>
          <w:fldChar w:fldCharType="end"/>
        </w:r>
      </w:sdtContent>
    </w:sdt>
  </w:p>
  <w:p w14:paraId="530DABE5" w14:textId="77777777" w:rsidR="00041282" w:rsidRDefault="0004128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A6441E6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CA0F0E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CC174C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1783078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270472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CF045AD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6A661EE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0963C4C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A0FEDA2E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1C20669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4120F6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600F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0A9E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F822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B4BC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3030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605C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F85B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6104F07"/>
    <w:multiLevelType w:val="hybridMultilevel"/>
    <w:tmpl w:val="CD4430E0"/>
    <w:lvl w:ilvl="0" w:tplc="5B02E2F8">
      <w:numFmt w:val="bullet"/>
      <w:lvlText w:val="•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C44CC1"/>
    <w:multiLevelType w:val="hybridMultilevel"/>
    <w:tmpl w:val="7FF2C56E"/>
    <w:lvl w:ilvl="0" w:tplc="B7E2D3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8627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FE9B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083A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524F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F2E5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F4ED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40EB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A5229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931AD6"/>
    <w:multiLevelType w:val="hybridMultilevel"/>
    <w:tmpl w:val="7CDA57FA"/>
    <w:lvl w:ilvl="0" w:tplc="BE5C671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E541609"/>
    <w:multiLevelType w:val="hybridMultilevel"/>
    <w:tmpl w:val="1E5AABE8"/>
    <w:lvl w:ilvl="0" w:tplc="40009B3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C98CF2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778AD8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B5870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61295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BC3CC93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ABE031E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3614E78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E4D2CD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107683A"/>
    <w:multiLevelType w:val="multilevel"/>
    <w:tmpl w:val="7AC085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00F0A91"/>
    <w:multiLevelType w:val="hybridMultilevel"/>
    <w:tmpl w:val="2B94116C"/>
    <w:lvl w:ilvl="0" w:tplc="B16AC8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B611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4AC8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A878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CEB4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F6E6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9E5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236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8B6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5BE2600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D7F08FC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51644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9B7C7E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1DA60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594E1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AB2362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C5A5A7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3F834D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E638A75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C05E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4ACC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6A44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E839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0423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74CA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D86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C033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2" w15:restartNumberingAfterBreak="0">
    <w:nsid w:val="72AB50F1"/>
    <w:multiLevelType w:val="hybridMultilevel"/>
    <w:tmpl w:val="64CEA6CC"/>
    <w:lvl w:ilvl="0" w:tplc="A41AF76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83880D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B4C72F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78A88B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F4C83C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C721E6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2CE87F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90A062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35076F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A100D28"/>
    <w:multiLevelType w:val="hybridMultilevel"/>
    <w:tmpl w:val="979479BE"/>
    <w:lvl w:ilvl="0" w:tplc="CE68082A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252159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8410F672">
      <w:start w:val="1"/>
      <w:numFmt w:val="lowerRoman"/>
      <w:lvlText w:val="%3."/>
      <w:lvlJc w:val="right"/>
      <w:pPr>
        <w:ind w:left="2160" w:hanging="180"/>
      </w:pPr>
    </w:lvl>
    <w:lvl w:ilvl="3" w:tplc="2CDA2F72">
      <w:start w:val="1"/>
      <w:numFmt w:val="decimal"/>
      <w:lvlText w:val="%4."/>
      <w:lvlJc w:val="left"/>
      <w:pPr>
        <w:ind w:left="2880" w:hanging="360"/>
      </w:pPr>
    </w:lvl>
    <w:lvl w:ilvl="4" w:tplc="89503640">
      <w:start w:val="1"/>
      <w:numFmt w:val="lowerLetter"/>
      <w:lvlText w:val="%5."/>
      <w:lvlJc w:val="left"/>
      <w:pPr>
        <w:ind w:left="3600" w:hanging="360"/>
      </w:pPr>
    </w:lvl>
    <w:lvl w:ilvl="5" w:tplc="ABB26F82">
      <w:start w:val="1"/>
      <w:numFmt w:val="lowerRoman"/>
      <w:lvlText w:val="%6."/>
      <w:lvlJc w:val="right"/>
      <w:pPr>
        <w:ind w:left="4320" w:hanging="180"/>
      </w:pPr>
    </w:lvl>
    <w:lvl w:ilvl="6" w:tplc="620CE536">
      <w:start w:val="1"/>
      <w:numFmt w:val="decimal"/>
      <w:lvlText w:val="%7."/>
      <w:lvlJc w:val="left"/>
      <w:pPr>
        <w:ind w:left="5040" w:hanging="360"/>
      </w:pPr>
    </w:lvl>
    <w:lvl w:ilvl="7" w:tplc="D024A310">
      <w:start w:val="1"/>
      <w:numFmt w:val="lowerLetter"/>
      <w:lvlText w:val="%8."/>
      <w:lvlJc w:val="left"/>
      <w:pPr>
        <w:ind w:left="5760" w:hanging="360"/>
      </w:pPr>
    </w:lvl>
    <w:lvl w:ilvl="8" w:tplc="4384895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BC54FC"/>
    <w:multiLevelType w:val="hybridMultilevel"/>
    <w:tmpl w:val="3C888C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10869">
    <w:abstractNumId w:val="12"/>
  </w:num>
  <w:num w:numId="2" w16cid:durableId="1803956110">
    <w:abstractNumId w:val="28"/>
  </w:num>
  <w:num w:numId="3" w16cid:durableId="1264342816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639530831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214316158">
    <w:abstractNumId w:val="29"/>
  </w:num>
  <w:num w:numId="6" w16cid:durableId="497310489">
    <w:abstractNumId w:val="26"/>
  </w:num>
  <w:num w:numId="7" w16cid:durableId="244649331">
    <w:abstractNumId w:val="19"/>
  </w:num>
  <w:num w:numId="8" w16cid:durableId="655760851">
    <w:abstractNumId w:val="21"/>
  </w:num>
  <w:num w:numId="9" w16cid:durableId="2143842903">
    <w:abstractNumId w:val="32"/>
  </w:num>
  <w:num w:numId="10" w16cid:durableId="361368380">
    <w:abstractNumId w:val="11"/>
  </w:num>
  <w:num w:numId="11" w16cid:durableId="1867525785">
    <w:abstractNumId w:val="30"/>
  </w:num>
  <w:num w:numId="12" w16cid:durableId="466093572">
    <w:abstractNumId w:val="20"/>
  </w:num>
  <w:num w:numId="13" w16cid:durableId="950280392">
    <w:abstractNumId w:val="18"/>
  </w:num>
  <w:num w:numId="14" w16cid:durableId="1238443342">
    <w:abstractNumId w:val="16"/>
  </w:num>
  <w:num w:numId="15" w16cid:durableId="185356767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003703179">
    <w:abstractNumId w:val="31"/>
  </w:num>
  <w:num w:numId="17" w16cid:durableId="1904556225">
    <w:abstractNumId w:val="23"/>
  </w:num>
  <w:num w:numId="18" w16cid:durableId="1924021296">
    <w:abstractNumId w:val="25"/>
  </w:num>
  <w:num w:numId="19" w16cid:durableId="396825178">
    <w:abstractNumId w:val="14"/>
  </w:num>
  <w:num w:numId="20" w16cid:durableId="109951914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446593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2740782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6239802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395786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8005474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50300385">
    <w:abstractNumId w:val="8"/>
  </w:num>
  <w:num w:numId="27" w16cid:durableId="1118793506">
    <w:abstractNumId w:val="9"/>
  </w:num>
  <w:num w:numId="28" w16cid:durableId="188994719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52953881">
    <w:abstractNumId w:val="1"/>
  </w:num>
  <w:num w:numId="30" w16cid:durableId="211697820">
    <w:abstractNumId w:val="2"/>
  </w:num>
  <w:num w:numId="31" w16cid:durableId="1790467201">
    <w:abstractNumId w:val="3"/>
  </w:num>
  <w:num w:numId="32" w16cid:durableId="1545024417">
    <w:abstractNumId w:val="4"/>
  </w:num>
  <w:num w:numId="33" w16cid:durableId="2140606640">
    <w:abstractNumId w:val="5"/>
  </w:num>
  <w:num w:numId="34" w16cid:durableId="1886065473">
    <w:abstractNumId w:val="6"/>
  </w:num>
  <w:num w:numId="35" w16cid:durableId="196083821">
    <w:abstractNumId w:val="7"/>
  </w:num>
  <w:num w:numId="36" w16cid:durableId="1730306092">
    <w:abstractNumId w:val="8"/>
  </w:num>
  <w:num w:numId="37" w16cid:durableId="122505869">
    <w:abstractNumId w:val="9"/>
  </w:num>
  <w:num w:numId="38" w16cid:durableId="851191025">
    <w:abstractNumId w:val="10"/>
  </w:num>
  <w:num w:numId="39" w16cid:durableId="1155953566">
    <w:abstractNumId w:val="24"/>
  </w:num>
  <w:num w:numId="40" w16cid:durableId="1459689923">
    <w:abstractNumId w:val="13"/>
  </w:num>
  <w:num w:numId="41" w16cid:durableId="72525305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882084303">
    <w:abstractNumId w:val="27"/>
  </w:num>
  <w:num w:numId="43" w16cid:durableId="649598312">
    <w:abstractNumId w:val="3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26857612">
    <w:abstractNumId w:val="34"/>
  </w:num>
  <w:num w:numId="45" w16cid:durableId="229390518">
    <w:abstractNumId w:val="15"/>
  </w:num>
  <w:num w:numId="46" w16cid:durableId="2136636543">
    <w:abstractNumId w:val="22"/>
  </w:num>
  <w:num w:numId="47" w16cid:durableId="106761109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3D33"/>
    <w:rsid w:val="000150D3"/>
    <w:rsid w:val="000166C1"/>
    <w:rsid w:val="000177FF"/>
    <w:rsid w:val="00020AE8"/>
    <w:rsid w:val="00023F29"/>
    <w:rsid w:val="00025EBE"/>
    <w:rsid w:val="00030445"/>
    <w:rsid w:val="00031367"/>
    <w:rsid w:val="000318C7"/>
    <w:rsid w:val="00033FDB"/>
    <w:rsid w:val="00034204"/>
    <w:rsid w:val="000344F6"/>
    <w:rsid w:val="0003542B"/>
    <w:rsid w:val="00036493"/>
    <w:rsid w:val="00041282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601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7DE"/>
    <w:rsid w:val="00081DAB"/>
    <w:rsid w:val="0008235E"/>
    <w:rsid w:val="00082A8E"/>
    <w:rsid w:val="000855CA"/>
    <w:rsid w:val="0009351E"/>
    <w:rsid w:val="0009479A"/>
    <w:rsid w:val="00095E44"/>
    <w:rsid w:val="00096DFA"/>
    <w:rsid w:val="0009755A"/>
    <w:rsid w:val="00097691"/>
    <w:rsid w:val="000A1232"/>
    <w:rsid w:val="000A13ED"/>
    <w:rsid w:val="000A1FD6"/>
    <w:rsid w:val="000A5165"/>
    <w:rsid w:val="000A74EC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4E34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0F4725"/>
    <w:rsid w:val="000F4ED5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400"/>
    <w:rsid w:val="00133572"/>
    <w:rsid w:val="00133F1C"/>
    <w:rsid w:val="001354A7"/>
    <w:rsid w:val="001354E2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0FDC"/>
    <w:rsid w:val="00161E87"/>
    <w:rsid w:val="00162EDD"/>
    <w:rsid w:val="00163D6C"/>
    <w:rsid w:val="0016566C"/>
    <w:rsid w:val="00170ECA"/>
    <w:rsid w:val="0017265B"/>
    <w:rsid w:val="001727F0"/>
    <w:rsid w:val="00172B06"/>
    <w:rsid w:val="001752D8"/>
    <w:rsid w:val="00175931"/>
    <w:rsid w:val="00176B25"/>
    <w:rsid w:val="00181818"/>
    <w:rsid w:val="0018224D"/>
    <w:rsid w:val="0018238B"/>
    <w:rsid w:val="00183419"/>
    <w:rsid w:val="0018394A"/>
    <w:rsid w:val="00183CE7"/>
    <w:rsid w:val="001845B6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61F"/>
    <w:rsid w:val="001B0DDB"/>
    <w:rsid w:val="001B13F6"/>
    <w:rsid w:val="001B1747"/>
    <w:rsid w:val="001B1B4E"/>
    <w:rsid w:val="001B2D44"/>
    <w:rsid w:val="001B448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311"/>
    <w:rsid w:val="001F35E8"/>
    <w:rsid w:val="001F38F9"/>
    <w:rsid w:val="001F4014"/>
    <w:rsid w:val="001F445E"/>
    <w:rsid w:val="0020024D"/>
    <w:rsid w:val="00201213"/>
    <w:rsid w:val="00201323"/>
    <w:rsid w:val="0020165E"/>
    <w:rsid w:val="00201E56"/>
    <w:rsid w:val="00202E50"/>
    <w:rsid w:val="00205180"/>
    <w:rsid w:val="002059AF"/>
    <w:rsid w:val="00206BA1"/>
    <w:rsid w:val="00207F81"/>
    <w:rsid w:val="002109F4"/>
    <w:rsid w:val="00211B2E"/>
    <w:rsid w:val="00211FDA"/>
    <w:rsid w:val="002160C2"/>
    <w:rsid w:val="00217D6E"/>
    <w:rsid w:val="00222BB9"/>
    <w:rsid w:val="002258D6"/>
    <w:rsid w:val="0022634E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02F5"/>
    <w:rsid w:val="00271032"/>
    <w:rsid w:val="00273C1C"/>
    <w:rsid w:val="00273E3E"/>
    <w:rsid w:val="00274147"/>
    <w:rsid w:val="00274EB4"/>
    <w:rsid w:val="00275189"/>
    <w:rsid w:val="002756DC"/>
    <w:rsid w:val="00276437"/>
    <w:rsid w:val="0028063F"/>
    <w:rsid w:val="00280740"/>
    <w:rsid w:val="0028282C"/>
    <w:rsid w:val="002833EC"/>
    <w:rsid w:val="002834F6"/>
    <w:rsid w:val="00283B02"/>
    <w:rsid w:val="00283C5D"/>
    <w:rsid w:val="00283D5A"/>
    <w:rsid w:val="002844B0"/>
    <w:rsid w:val="00285586"/>
    <w:rsid w:val="00286322"/>
    <w:rsid w:val="00290C3B"/>
    <w:rsid w:val="00290E39"/>
    <w:rsid w:val="00291607"/>
    <w:rsid w:val="0029347B"/>
    <w:rsid w:val="00296C1F"/>
    <w:rsid w:val="002A0C34"/>
    <w:rsid w:val="002A1B59"/>
    <w:rsid w:val="002A41E6"/>
    <w:rsid w:val="002A4867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4BFC"/>
    <w:rsid w:val="002D5B65"/>
    <w:rsid w:val="002D6396"/>
    <w:rsid w:val="002D7E5E"/>
    <w:rsid w:val="002E07AC"/>
    <w:rsid w:val="002E07EF"/>
    <w:rsid w:val="002E0D06"/>
    <w:rsid w:val="002E107B"/>
    <w:rsid w:val="002E4E94"/>
    <w:rsid w:val="002F1936"/>
    <w:rsid w:val="002F1F28"/>
    <w:rsid w:val="002F43CA"/>
    <w:rsid w:val="002F47FB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50CD"/>
    <w:rsid w:val="003367C4"/>
    <w:rsid w:val="00336D8E"/>
    <w:rsid w:val="003376B3"/>
    <w:rsid w:val="00341F90"/>
    <w:rsid w:val="00342AD6"/>
    <w:rsid w:val="00344166"/>
    <w:rsid w:val="00345EDE"/>
    <w:rsid w:val="00347776"/>
    <w:rsid w:val="00351453"/>
    <w:rsid w:val="00351A91"/>
    <w:rsid w:val="003520C4"/>
    <w:rsid w:val="003533AE"/>
    <w:rsid w:val="00354C64"/>
    <w:rsid w:val="00354EAD"/>
    <w:rsid w:val="00355E14"/>
    <w:rsid w:val="003563B1"/>
    <w:rsid w:val="00361280"/>
    <w:rsid w:val="003615F1"/>
    <w:rsid w:val="00361A6E"/>
    <w:rsid w:val="00362983"/>
    <w:rsid w:val="00363D7F"/>
    <w:rsid w:val="00367C66"/>
    <w:rsid w:val="003718E6"/>
    <w:rsid w:val="0037233D"/>
    <w:rsid w:val="003728DD"/>
    <w:rsid w:val="003736EF"/>
    <w:rsid w:val="003737E3"/>
    <w:rsid w:val="00374F4A"/>
    <w:rsid w:val="00380D80"/>
    <w:rsid w:val="00381833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49BC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57E0"/>
    <w:rsid w:val="003C64A0"/>
    <w:rsid w:val="003C7BA3"/>
    <w:rsid w:val="003D18AA"/>
    <w:rsid w:val="003D21C8"/>
    <w:rsid w:val="003D2303"/>
    <w:rsid w:val="003D4015"/>
    <w:rsid w:val="003D4E9C"/>
    <w:rsid w:val="003E038E"/>
    <w:rsid w:val="003E0D78"/>
    <w:rsid w:val="003E2E56"/>
    <w:rsid w:val="003E3014"/>
    <w:rsid w:val="003E3277"/>
    <w:rsid w:val="003E3A1D"/>
    <w:rsid w:val="003E5E1A"/>
    <w:rsid w:val="003E6CA0"/>
    <w:rsid w:val="003E7416"/>
    <w:rsid w:val="003F2FDE"/>
    <w:rsid w:val="003F330B"/>
    <w:rsid w:val="003F5756"/>
    <w:rsid w:val="003F6FDF"/>
    <w:rsid w:val="004006EB"/>
    <w:rsid w:val="004016F5"/>
    <w:rsid w:val="004045AA"/>
    <w:rsid w:val="00404A0D"/>
    <w:rsid w:val="00405229"/>
    <w:rsid w:val="00405CC9"/>
    <w:rsid w:val="00410E7D"/>
    <w:rsid w:val="004138DE"/>
    <w:rsid w:val="00414B2F"/>
    <w:rsid w:val="004153EE"/>
    <w:rsid w:val="00415E58"/>
    <w:rsid w:val="00416067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3611E"/>
    <w:rsid w:val="004406C1"/>
    <w:rsid w:val="00442C1B"/>
    <w:rsid w:val="004460E9"/>
    <w:rsid w:val="004461E5"/>
    <w:rsid w:val="00447B6F"/>
    <w:rsid w:val="00453C11"/>
    <w:rsid w:val="004557B0"/>
    <w:rsid w:val="00455FED"/>
    <w:rsid w:val="00457946"/>
    <w:rsid w:val="00457BB9"/>
    <w:rsid w:val="00457D8B"/>
    <w:rsid w:val="004605FE"/>
    <w:rsid w:val="00460A17"/>
    <w:rsid w:val="004622E4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507A"/>
    <w:rsid w:val="00487366"/>
    <w:rsid w:val="004873E4"/>
    <w:rsid w:val="0049072C"/>
    <w:rsid w:val="00490FD1"/>
    <w:rsid w:val="0049122E"/>
    <w:rsid w:val="00491AD2"/>
    <w:rsid w:val="004935C0"/>
    <w:rsid w:val="00493696"/>
    <w:rsid w:val="00493A1A"/>
    <w:rsid w:val="00493B43"/>
    <w:rsid w:val="00494EB1"/>
    <w:rsid w:val="00494F35"/>
    <w:rsid w:val="00496414"/>
    <w:rsid w:val="00497A38"/>
    <w:rsid w:val="00497F75"/>
    <w:rsid w:val="004A2056"/>
    <w:rsid w:val="004A2219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C1E51"/>
    <w:rsid w:val="004D4080"/>
    <w:rsid w:val="004E05FD"/>
    <w:rsid w:val="004E1A0D"/>
    <w:rsid w:val="004E23F5"/>
    <w:rsid w:val="004E63E5"/>
    <w:rsid w:val="004E6B76"/>
    <w:rsid w:val="004E7BF4"/>
    <w:rsid w:val="004F18AC"/>
    <w:rsid w:val="004F3540"/>
    <w:rsid w:val="004F3AB1"/>
    <w:rsid w:val="004F5624"/>
    <w:rsid w:val="004F5DA4"/>
    <w:rsid w:val="004F60B4"/>
    <w:rsid w:val="004F62B2"/>
    <w:rsid w:val="004F6424"/>
    <w:rsid w:val="005027C7"/>
    <w:rsid w:val="005040CD"/>
    <w:rsid w:val="005042C8"/>
    <w:rsid w:val="00504623"/>
    <w:rsid w:val="00505229"/>
    <w:rsid w:val="005052C6"/>
    <w:rsid w:val="00505EDB"/>
    <w:rsid w:val="00506B38"/>
    <w:rsid w:val="00506D18"/>
    <w:rsid w:val="00507300"/>
    <w:rsid w:val="00507F98"/>
    <w:rsid w:val="005108A3"/>
    <w:rsid w:val="0051091F"/>
    <w:rsid w:val="00510F6E"/>
    <w:rsid w:val="005118AE"/>
    <w:rsid w:val="00514A51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28E3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5E58"/>
    <w:rsid w:val="0058606E"/>
    <w:rsid w:val="00587706"/>
    <w:rsid w:val="00592792"/>
    <w:rsid w:val="005928BD"/>
    <w:rsid w:val="005935F4"/>
    <w:rsid w:val="0059617C"/>
    <w:rsid w:val="005A346E"/>
    <w:rsid w:val="005A73CF"/>
    <w:rsid w:val="005B14D5"/>
    <w:rsid w:val="005B2BE0"/>
    <w:rsid w:val="005B409C"/>
    <w:rsid w:val="005B798B"/>
    <w:rsid w:val="005C1FAE"/>
    <w:rsid w:val="005C2162"/>
    <w:rsid w:val="005C39E8"/>
    <w:rsid w:val="005C5660"/>
    <w:rsid w:val="005C7731"/>
    <w:rsid w:val="005D162F"/>
    <w:rsid w:val="005D4B68"/>
    <w:rsid w:val="005D5441"/>
    <w:rsid w:val="005D7C3F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0F82"/>
    <w:rsid w:val="006010B0"/>
    <w:rsid w:val="00603148"/>
    <w:rsid w:val="0060534B"/>
    <w:rsid w:val="00605447"/>
    <w:rsid w:val="00606753"/>
    <w:rsid w:val="00606FC7"/>
    <w:rsid w:val="00610456"/>
    <w:rsid w:val="00611473"/>
    <w:rsid w:val="00611B36"/>
    <w:rsid w:val="00612789"/>
    <w:rsid w:val="00613A34"/>
    <w:rsid w:val="00615ADA"/>
    <w:rsid w:val="00615CC5"/>
    <w:rsid w:val="00616028"/>
    <w:rsid w:val="00621685"/>
    <w:rsid w:val="006221CD"/>
    <w:rsid w:val="006237D8"/>
    <w:rsid w:val="006266A9"/>
    <w:rsid w:val="00630426"/>
    <w:rsid w:val="006305B8"/>
    <w:rsid w:val="006316C1"/>
    <w:rsid w:val="00631ED4"/>
    <w:rsid w:val="00633BC7"/>
    <w:rsid w:val="00635E9C"/>
    <w:rsid w:val="00637163"/>
    <w:rsid w:val="00637B41"/>
    <w:rsid w:val="0064061C"/>
    <w:rsid w:val="006414EE"/>
    <w:rsid w:val="00642D0A"/>
    <w:rsid w:val="00645BC8"/>
    <w:rsid w:val="00646130"/>
    <w:rsid w:val="00646FE1"/>
    <w:rsid w:val="006470ED"/>
    <w:rsid w:val="00647E20"/>
    <w:rsid w:val="00655795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523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197F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747"/>
    <w:rsid w:val="006E3B9C"/>
    <w:rsid w:val="006E51A2"/>
    <w:rsid w:val="006F0DE2"/>
    <w:rsid w:val="006F2C8B"/>
    <w:rsid w:val="006F3495"/>
    <w:rsid w:val="006F417D"/>
    <w:rsid w:val="006F51EA"/>
    <w:rsid w:val="006F595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21D"/>
    <w:rsid w:val="00706FEA"/>
    <w:rsid w:val="00707759"/>
    <w:rsid w:val="00710081"/>
    <w:rsid w:val="00710B0D"/>
    <w:rsid w:val="00713CB5"/>
    <w:rsid w:val="007153E5"/>
    <w:rsid w:val="0071558B"/>
    <w:rsid w:val="00716FAC"/>
    <w:rsid w:val="00721189"/>
    <w:rsid w:val="007221C3"/>
    <w:rsid w:val="00722F2C"/>
    <w:rsid w:val="007253A4"/>
    <w:rsid w:val="007254D1"/>
    <w:rsid w:val="00725B32"/>
    <w:rsid w:val="00725B3C"/>
    <w:rsid w:val="007264B0"/>
    <w:rsid w:val="0073360D"/>
    <w:rsid w:val="00733D54"/>
    <w:rsid w:val="00735BB1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317E"/>
    <w:rsid w:val="0076411D"/>
    <w:rsid w:val="007650F8"/>
    <w:rsid w:val="007670F8"/>
    <w:rsid w:val="007671D4"/>
    <w:rsid w:val="00770523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3B7B"/>
    <w:rsid w:val="007947C4"/>
    <w:rsid w:val="007953AB"/>
    <w:rsid w:val="00795CE1"/>
    <w:rsid w:val="007A06AC"/>
    <w:rsid w:val="007A7079"/>
    <w:rsid w:val="007B1014"/>
    <w:rsid w:val="007B103F"/>
    <w:rsid w:val="007B1484"/>
    <w:rsid w:val="007B1A10"/>
    <w:rsid w:val="007B1B55"/>
    <w:rsid w:val="007B6547"/>
    <w:rsid w:val="007B6659"/>
    <w:rsid w:val="007B76AB"/>
    <w:rsid w:val="007B7DBD"/>
    <w:rsid w:val="007C1B32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3F6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2B91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3522"/>
    <w:rsid w:val="00817A54"/>
    <w:rsid w:val="00817A6B"/>
    <w:rsid w:val="00817C04"/>
    <w:rsid w:val="00821865"/>
    <w:rsid w:val="0082327D"/>
    <w:rsid w:val="0082433D"/>
    <w:rsid w:val="00826509"/>
    <w:rsid w:val="00827A29"/>
    <w:rsid w:val="008322E7"/>
    <w:rsid w:val="0083354D"/>
    <w:rsid w:val="0083561B"/>
    <w:rsid w:val="0083685F"/>
    <w:rsid w:val="00836C13"/>
    <w:rsid w:val="008371F6"/>
    <w:rsid w:val="00837D78"/>
    <w:rsid w:val="00840D79"/>
    <w:rsid w:val="008416D8"/>
    <w:rsid w:val="00841F1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0E0"/>
    <w:rsid w:val="008643FC"/>
    <w:rsid w:val="00864529"/>
    <w:rsid w:val="008649B9"/>
    <w:rsid w:val="0086784F"/>
    <w:rsid w:val="00870394"/>
    <w:rsid w:val="0087073B"/>
    <w:rsid w:val="0087412C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79E"/>
    <w:rsid w:val="00892EB4"/>
    <w:rsid w:val="008940AA"/>
    <w:rsid w:val="0089499B"/>
    <w:rsid w:val="00894ACA"/>
    <w:rsid w:val="00894E87"/>
    <w:rsid w:val="00894EC5"/>
    <w:rsid w:val="008956F9"/>
    <w:rsid w:val="008957AC"/>
    <w:rsid w:val="008967B5"/>
    <w:rsid w:val="008A03AC"/>
    <w:rsid w:val="008A11FC"/>
    <w:rsid w:val="008A186D"/>
    <w:rsid w:val="008A20BE"/>
    <w:rsid w:val="008A2B4E"/>
    <w:rsid w:val="008A345A"/>
    <w:rsid w:val="008A396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1D92"/>
    <w:rsid w:val="008D2205"/>
    <w:rsid w:val="008D2331"/>
    <w:rsid w:val="008D26D3"/>
    <w:rsid w:val="008D2E9B"/>
    <w:rsid w:val="008D36CD"/>
    <w:rsid w:val="008D4380"/>
    <w:rsid w:val="008D48D1"/>
    <w:rsid w:val="008D5B7E"/>
    <w:rsid w:val="008F2C49"/>
    <w:rsid w:val="008F478C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301"/>
    <w:rsid w:val="00917C0F"/>
    <w:rsid w:val="00917D2A"/>
    <w:rsid w:val="0092040E"/>
    <w:rsid w:val="00920C6C"/>
    <w:rsid w:val="00921986"/>
    <w:rsid w:val="009227D9"/>
    <w:rsid w:val="009253FC"/>
    <w:rsid w:val="00925D9E"/>
    <w:rsid w:val="00926121"/>
    <w:rsid w:val="00927791"/>
    <w:rsid w:val="00930607"/>
    <w:rsid w:val="00930D0A"/>
    <w:rsid w:val="00931DD1"/>
    <w:rsid w:val="009329BA"/>
    <w:rsid w:val="0093304D"/>
    <w:rsid w:val="009356C6"/>
    <w:rsid w:val="009356D3"/>
    <w:rsid w:val="00936939"/>
    <w:rsid w:val="0094053B"/>
    <w:rsid w:val="00940D04"/>
    <w:rsid w:val="00942040"/>
    <w:rsid w:val="00942C9F"/>
    <w:rsid w:val="00945631"/>
    <w:rsid w:val="00947549"/>
    <w:rsid w:val="00951BDD"/>
    <w:rsid w:val="0095379C"/>
    <w:rsid w:val="00955DC8"/>
    <w:rsid w:val="0095793C"/>
    <w:rsid w:val="0096111E"/>
    <w:rsid w:val="00961125"/>
    <w:rsid w:val="00961951"/>
    <w:rsid w:val="00963BD1"/>
    <w:rsid w:val="00966B1F"/>
    <w:rsid w:val="00970BF0"/>
    <w:rsid w:val="00970C06"/>
    <w:rsid w:val="00974518"/>
    <w:rsid w:val="00975B88"/>
    <w:rsid w:val="00980FE0"/>
    <w:rsid w:val="00983A15"/>
    <w:rsid w:val="00983D7E"/>
    <w:rsid w:val="009905CC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1A54"/>
    <w:rsid w:val="009B39D3"/>
    <w:rsid w:val="009B536C"/>
    <w:rsid w:val="009B6496"/>
    <w:rsid w:val="009B69D5"/>
    <w:rsid w:val="009B7471"/>
    <w:rsid w:val="009C01DA"/>
    <w:rsid w:val="009C0259"/>
    <w:rsid w:val="009C070E"/>
    <w:rsid w:val="009C0F70"/>
    <w:rsid w:val="009C20CC"/>
    <w:rsid w:val="009C3558"/>
    <w:rsid w:val="009C562E"/>
    <w:rsid w:val="009C5A37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5474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2E8"/>
    <w:rsid w:val="00A11B05"/>
    <w:rsid w:val="00A12B81"/>
    <w:rsid w:val="00A13BDD"/>
    <w:rsid w:val="00A15F86"/>
    <w:rsid w:val="00A206ED"/>
    <w:rsid w:val="00A20806"/>
    <w:rsid w:val="00A20C7F"/>
    <w:rsid w:val="00A212DF"/>
    <w:rsid w:val="00A21BD8"/>
    <w:rsid w:val="00A22DBA"/>
    <w:rsid w:val="00A232B2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18CA"/>
    <w:rsid w:val="00A53220"/>
    <w:rsid w:val="00A538E6"/>
    <w:rsid w:val="00A540C1"/>
    <w:rsid w:val="00A55D48"/>
    <w:rsid w:val="00A56800"/>
    <w:rsid w:val="00A56D7E"/>
    <w:rsid w:val="00A5729F"/>
    <w:rsid w:val="00A57404"/>
    <w:rsid w:val="00A575BD"/>
    <w:rsid w:val="00A57AB2"/>
    <w:rsid w:val="00A60BB4"/>
    <w:rsid w:val="00A60EEC"/>
    <w:rsid w:val="00A6181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4EFD"/>
    <w:rsid w:val="00A85357"/>
    <w:rsid w:val="00A902DD"/>
    <w:rsid w:val="00A91617"/>
    <w:rsid w:val="00A920F9"/>
    <w:rsid w:val="00A93207"/>
    <w:rsid w:val="00A9432C"/>
    <w:rsid w:val="00A9482B"/>
    <w:rsid w:val="00A95230"/>
    <w:rsid w:val="00A95BDB"/>
    <w:rsid w:val="00A96FA8"/>
    <w:rsid w:val="00A9770A"/>
    <w:rsid w:val="00A97A85"/>
    <w:rsid w:val="00AA0DD3"/>
    <w:rsid w:val="00AA1C07"/>
    <w:rsid w:val="00AA33B6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0C2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4666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AF7A57"/>
    <w:rsid w:val="00B007DD"/>
    <w:rsid w:val="00B0098A"/>
    <w:rsid w:val="00B01016"/>
    <w:rsid w:val="00B0146E"/>
    <w:rsid w:val="00B027CB"/>
    <w:rsid w:val="00B0352B"/>
    <w:rsid w:val="00B03A73"/>
    <w:rsid w:val="00B06321"/>
    <w:rsid w:val="00B07340"/>
    <w:rsid w:val="00B074F8"/>
    <w:rsid w:val="00B10065"/>
    <w:rsid w:val="00B107E6"/>
    <w:rsid w:val="00B1125D"/>
    <w:rsid w:val="00B145CD"/>
    <w:rsid w:val="00B14B18"/>
    <w:rsid w:val="00B17FAB"/>
    <w:rsid w:val="00B2099F"/>
    <w:rsid w:val="00B22C5F"/>
    <w:rsid w:val="00B23687"/>
    <w:rsid w:val="00B25710"/>
    <w:rsid w:val="00B25A15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0ED3"/>
    <w:rsid w:val="00B6169C"/>
    <w:rsid w:val="00B62854"/>
    <w:rsid w:val="00B62EF1"/>
    <w:rsid w:val="00B63087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87F31"/>
    <w:rsid w:val="00B90477"/>
    <w:rsid w:val="00B92AA5"/>
    <w:rsid w:val="00B93211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B71F4"/>
    <w:rsid w:val="00BC0AD6"/>
    <w:rsid w:val="00BC3584"/>
    <w:rsid w:val="00BC4673"/>
    <w:rsid w:val="00BC5BE1"/>
    <w:rsid w:val="00BC77A6"/>
    <w:rsid w:val="00BC7E22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11E4"/>
    <w:rsid w:val="00C01928"/>
    <w:rsid w:val="00C02239"/>
    <w:rsid w:val="00C022E1"/>
    <w:rsid w:val="00C0398D"/>
    <w:rsid w:val="00C0539F"/>
    <w:rsid w:val="00C117A3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3165"/>
    <w:rsid w:val="00C33552"/>
    <w:rsid w:val="00C3456F"/>
    <w:rsid w:val="00C34B40"/>
    <w:rsid w:val="00C34EFD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4082"/>
    <w:rsid w:val="00C54401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46B9"/>
    <w:rsid w:val="00C94C96"/>
    <w:rsid w:val="00C9524B"/>
    <w:rsid w:val="00C952FF"/>
    <w:rsid w:val="00C95D8D"/>
    <w:rsid w:val="00CA24F2"/>
    <w:rsid w:val="00CA2883"/>
    <w:rsid w:val="00CA2AEF"/>
    <w:rsid w:val="00CA4921"/>
    <w:rsid w:val="00CA6136"/>
    <w:rsid w:val="00CA6BCC"/>
    <w:rsid w:val="00CA71DA"/>
    <w:rsid w:val="00CB06C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5904"/>
    <w:rsid w:val="00CF625A"/>
    <w:rsid w:val="00CF6384"/>
    <w:rsid w:val="00CF6902"/>
    <w:rsid w:val="00CF7924"/>
    <w:rsid w:val="00D030B3"/>
    <w:rsid w:val="00D06235"/>
    <w:rsid w:val="00D06E88"/>
    <w:rsid w:val="00D0750E"/>
    <w:rsid w:val="00D07B2B"/>
    <w:rsid w:val="00D11F90"/>
    <w:rsid w:val="00D13527"/>
    <w:rsid w:val="00D1569B"/>
    <w:rsid w:val="00D15E4E"/>
    <w:rsid w:val="00D161AC"/>
    <w:rsid w:val="00D174E6"/>
    <w:rsid w:val="00D17601"/>
    <w:rsid w:val="00D20D6E"/>
    <w:rsid w:val="00D21300"/>
    <w:rsid w:val="00D230DC"/>
    <w:rsid w:val="00D303A6"/>
    <w:rsid w:val="00D303E8"/>
    <w:rsid w:val="00D31BA6"/>
    <w:rsid w:val="00D31EB9"/>
    <w:rsid w:val="00D335E1"/>
    <w:rsid w:val="00D35FEA"/>
    <w:rsid w:val="00D366E4"/>
    <w:rsid w:val="00D423AC"/>
    <w:rsid w:val="00D44DC6"/>
    <w:rsid w:val="00D50470"/>
    <w:rsid w:val="00D514E5"/>
    <w:rsid w:val="00D53685"/>
    <w:rsid w:val="00D53923"/>
    <w:rsid w:val="00D539D5"/>
    <w:rsid w:val="00D544D5"/>
    <w:rsid w:val="00D5508E"/>
    <w:rsid w:val="00D57530"/>
    <w:rsid w:val="00D602DE"/>
    <w:rsid w:val="00D6096A"/>
    <w:rsid w:val="00D60ABE"/>
    <w:rsid w:val="00D60CE5"/>
    <w:rsid w:val="00D61811"/>
    <w:rsid w:val="00D62055"/>
    <w:rsid w:val="00D62FFB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5732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0CB"/>
    <w:rsid w:val="00D97214"/>
    <w:rsid w:val="00D97A7B"/>
    <w:rsid w:val="00DA0D4C"/>
    <w:rsid w:val="00DA1259"/>
    <w:rsid w:val="00DA1AAD"/>
    <w:rsid w:val="00DA1BE8"/>
    <w:rsid w:val="00DA1E08"/>
    <w:rsid w:val="00DA4A52"/>
    <w:rsid w:val="00DA4E45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69BE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6D6F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580C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36D0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0CED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8F1"/>
    <w:rsid w:val="00E85948"/>
    <w:rsid w:val="00E86536"/>
    <w:rsid w:val="00E87EE7"/>
    <w:rsid w:val="00E9167E"/>
    <w:rsid w:val="00E922A4"/>
    <w:rsid w:val="00E92B02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4C7"/>
    <w:rsid w:val="00EB4951"/>
    <w:rsid w:val="00EB4974"/>
    <w:rsid w:val="00EB4BBD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0B13"/>
    <w:rsid w:val="00EE1490"/>
    <w:rsid w:val="00EE1855"/>
    <w:rsid w:val="00EE2B68"/>
    <w:rsid w:val="00EE491D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1E8D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1C"/>
    <w:rsid w:val="00F44FAB"/>
    <w:rsid w:val="00F450D1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33D8"/>
    <w:rsid w:val="00F961BB"/>
    <w:rsid w:val="00F97406"/>
    <w:rsid w:val="00FA072C"/>
    <w:rsid w:val="00FA4827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29D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4BCBFD"/>
  <w15:docId w15:val="{9D349057-C248-40D3-8776-3D54AF3F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zvegtrzs0">
    <w:name w:val="Szövegtörzs_"/>
    <w:basedOn w:val="Bekezdsalapbettpusa"/>
    <w:link w:val="Szvegtrzs1"/>
    <w:rsid w:val="004A2219"/>
    <w:rPr>
      <w:rFonts w:eastAsia="Times New Roman"/>
      <w:sz w:val="22"/>
      <w:szCs w:val="22"/>
    </w:rPr>
  </w:style>
  <w:style w:type="paragraph" w:customStyle="1" w:styleId="Szvegtrzs1">
    <w:name w:val="Szövegtörzs1"/>
    <w:basedOn w:val="Norml"/>
    <w:link w:val="Szvegtrzs0"/>
    <w:rsid w:val="004A2219"/>
    <w:pPr>
      <w:widowControl w:val="0"/>
      <w:tabs>
        <w:tab w:val="clear" w:pos="567"/>
      </w:tabs>
      <w:spacing w:after="200" w:line="240" w:lineRule="auto"/>
    </w:pPr>
    <w:rPr>
      <w:rFonts w:eastAsia="Times New Roman"/>
      <w:snapToGrid/>
      <w:szCs w:val="22"/>
      <w:lang w:eastAsia="en-GB"/>
    </w:rPr>
  </w:style>
  <w:style w:type="paragraph" w:styleId="Listaszerbekezds">
    <w:name w:val="List Paragraph"/>
    <w:basedOn w:val="Norml"/>
    <w:uiPriority w:val="34"/>
    <w:qFormat/>
    <w:rsid w:val="004605FE"/>
    <w:pPr>
      <w:ind w:left="720"/>
      <w:contextualSpacing/>
    </w:pPr>
  </w:style>
  <w:style w:type="paragraph" w:customStyle="1" w:styleId="Default">
    <w:name w:val="Default"/>
    <w:rsid w:val="004006EB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  <w:style w:type="character" w:customStyle="1" w:styleId="lfejChar">
    <w:name w:val="Élőfej Char"/>
    <w:basedOn w:val="Bekezdsalapbettpusa"/>
    <w:link w:val="lfej"/>
    <w:uiPriority w:val="99"/>
    <w:rsid w:val="00802B91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354EAD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A5E26-66DA-4DFD-BBBD-E2A3CC096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6612</Words>
  <Characters>45630</Characters>
  <Application>Microsoft Office Word</Application>
  <DocSecurity>0</DocSecurity>
  <Lines>380</Lines>
  <Paragraphs>104</Paragraphs>
  <ScaleCrop>false</ScaleCrop>
  <Company/>
  <LinksUpToDate>false</LinksUpToDate>
  <CharactersWithSpaces>52138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HU_NNGYK_56.1</cp:lastModifiedBy>
  <cp:revision>3</cp:revision>
  <dcterms:created xsi:type="dcterms:W3CDTF">2026-02-02T14:56:00Z</dcterms:created>
  <dcterms:modified xsi:type="dcterms:W3CDTF">2026-02-10T13:48:00Z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2022-03-08T09:57:41Z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64b26367-78a8-4ee6-8cfe-fb798d478d5d</vt:lpwstr>
  </property>
  <property fmtid="{D5CDD505-2E9C-101B-9397-08002B2CF9AE}" pid="8" name="MSIP_Label_c63a0701-319b-41bf-8431-58956e491e60_ContentBits">
    <vt:lpwstr>0</vt:lpwstr>
  </property>
</Properties>
</file>