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83926" w14:textId="77777777" w:rsidR="00482034" w:rsidRDefault="00FE15A1">
      <w:pPr>
        <w:widowControl w:val="0"/>
        <w:tabs>
          <w:tab w:val="left" w:pos="567"/>
        </w:tabs>
        <w:rPr>
          <w:b/>
          <w:sz w:val="22"/>
          <w:szCs w:val="22"/>
          <w:lang w:val="hu-HU" w:eastAsia="en-US"/>
        </w:rPr>
      </w:pPr>
      <w:r>
        <w:rPr>
          <w:b/>
          <w:bCs/>
          <w:iCs/>
          <w:noProof/>
          <w:sz w:val="22"/>
          <w:szCs w:val="22"/>
          <w:lang w:val="hu-HU" w:eastAsia="en-US"/>
        </w:rPr>
        <w:t>1.</w:t>
      </w:r>
      <w:r>
        <w:rPr>
          <w:b/>
          <w:bCs/>
          <w:iCs/>
          <w:noProof/>
          <w:sz w:val="22"/>
          <w:szCs w:val="22"/>
          <w:lang w:val="hu-HU" w:eastAsia="en-US"/>
        </w:rPr>
        <w:tab/>
      </w:r>
      <w:r>
        <w:rPr>
          <w:b/>
          <w:sz w:val="22"/>
          <w:szCs w:val="22"/>
          <w:lang w:val="hu-HU" w:eastAsia="en-US"/>
        </w:rPr>
        <w:t>A GYÓGYSZER NEVE</w:t>
      </w:r>
    </w:p>
    <w:p w14:paraId="1F5545AB" w14:textId="77777777" w:rsidR="00482034" w:rsidRDefault="00482034">
      <w:pPr>
        <w:widowControl w:val="0"/>
        <w:tabs>
          <w:tab w:val="left" w:pos="567"/>
        </w:tabs>
        <w:rPr>
          <w:iCs/>
          <w:sz w:val="22"/>
          <w:szCs w:val="22"/>
          <w:lang w:val="hu-HU" w:eastAsia="en-US"/>
        </w:rPr>
      </w:pPr>
    </w:p>
    <w:p w14:paraId="255E62F3" w14:textId="77777777" w:rsidR="00482034" w:rsidRDefault="00FE15A1">
      <w:pPr>
        <w:widowControl w:val="0"/>
        <w:tabs>
          <w:tab w:val="left" w:pos="567"/>
        </w:tabs>
        <w:rPr>
          <w:iCs/>
          <w:sz w:val="22"/>
          <w:szCs w:val="22"/>
          <w:lang w:val="hu-HU" w:eastAsia="en-US"/>
        </w:rPr>
      </w:pPr>
      <w:r>
        <w:rPr>
          <w:noProof/>
          <w:sz w:val="22"/>
          <w:szCs w:val="22"/>
          <w:lang w:val="hu-HU" w:eastAsia="en-US"/>
        </w:rPr>
        <w:t>Adoben 50 mg retard tabletta</w:t>
      </w:r>
    </w:p>
    <w:p w14:paraId="3106D61A" w14:textId="77777777" w:rsidR="00482034" w:rsidRDefault="00FE15A1">
      <w:pPr>
        <w:widowControl w:val="0"/>
        <w:tabs>
          <w:tab w:val="left" w:pos="567"/>
        </w:tabs>
        <w:rPr>
          <w:iCs/>
          <w:sz w:val="22"/>
          <w:szCs w:val="22"/>
          <w:lang w:val="hu-HU" w:eastAsia="en-US"/>
        </w:rPr>
      </w:pPr>
      <w:r>
        <w:rPr>
          <w:noProof/>
          <w:sz w:val="22"/>
          <w:szCs w:val="22"/>
          <w:lang w:val="hu-HU" w:eastAsia="en-US"/>
        </w:rPr>
        <w:t>Adoben 100 mg retard tabletta</w:t>
      </w:r>
    </w:p>
    <w:p w14:paraId="6E506468" w14:textId="77777777" w:rsidR="00482034" w:rsidRDefault="00FE15A1">
      <w:pPr>
        <w:widowControl w:val="0"/>
        <w:tabs>
          <w:tab w:val="left" w:pos="567"/>
        </w:tabs>
        <w:rPr>
          <w:iCs/>
          <w:sz w:val="22"/>
          <w:szCs w:val="22"/>
          <w:lang w:val="hu-HU" w:eastAsia="en-US"/>
        </w:rPr>
      </w:pPr>
      <w:r>
        <w:rPr>
          <w:noProof/>
          <w:sz w:val="22"/>
          <w:szCs w:val="22"/>
          <w:lang w:val="hu-HU" w:eastAsia="en-US"/>
        </w:rPr>
        <w:t>Adoben 150 mg retard tabletta</w:t>
      </w:r>
    </w:p>
    <w:p w14:paraId="1D28D621" w14:textId="77777777" w:rsidR="00482034" w:rsidRDefault="00FE15A1">
      <w:pPr>
        <w:widowControl w:val="0"/>
        <w:tabs>
          <w:tab w:val="left" w:pos="567"/>
        </w:tabs>
        <w:rPr>
          <w:iCs/>
          <w:sz w:val="22"/>
          <w:szCs w:val="22"/>
          <w:lang w:val="hu-HU" w:eastAsia="en-US"/>
        </w:rPr>
      </w:pPr>
      <w:r>
        <w:rPr>
          <w:noProof/>
          <w:sz w:val="22"/>
          <w:szCs w:val="22"/>
          <w:lang w:val="hu-HU" w:eastAsia="en-US"/>
        </w:rPr>
        <w:t>Adoben 200 mg retard tabletta</w:t>
      </w:r>
    </w:p>
    <w:p w14:paraId="42AB7CA4" w14:textId="77777777" w:rsidR="00482034" w:rsidRDefault="00FE15A1">
      <w:pPr>
        <w:widowControl w:val="0"/>
        <w:tabs>
          <w:tab w:val="left" w:pos="567"/>
        </w:tabs>
        <w:rPr>
          <w:iCs/>
          <w:sz w:val="22"/>
          <w:szCs w:val="22"/>
          <w:lang w:val="hu-HU" w:eastAsia="en-US"/>
        </w:rPr>
      </w:pPr>
      <w:r>
        <w:rPr>
          <w:noProof/>
          <w:sz w:val="22"/>
          <w:szCs w:val="22"/>
          <w:lang w:val="hu-HU" w:eastAsia="en-US"/>
        </w:rPr>
        <w:t>Adoben 250 mg retard tabletta</w:t>
      </w:r>
    </w:p>
    <w:p w14:paraId="47D97273" w14:textId="77777777" w:rsidR="00482034" w:rsidRDefault="00482034">
      <w:pPr>
        <w:widowControl w:val="0"/>
        <w:tabs>
          <w:tab w:val="left" w:pos="567"/>
        </w:tabs>
        <w:rPr>
          <w:b/>
          <w:sz w:val="22"/>
          <w:szCs w:val="22"/>
          <w:lang w:val="hu-HU" w:eastAsia="en-US"/>
        </w:rPr>
      </w:pPr>
    </w:p>
    <w:p w14:paraId="7C087B91" w14:textId="77777777" w:rsidR="00482034" w:rsidRDefault="00482034">
      <w:pPr>
        <w:widowControl w:val="0"/>
        <w:tabs>
          <w:tab w:val="left" w:pos="567"/>
        </w:tabs>
        <w:rPr>
          <w:b/>
          <w:sz w:val="22"/>
          <w:szCs w:val="22"/>
          <w:lang w:val="hu-HU" w:eastAsia="en-US"/>
        </w:rPr>
      </w:pPr>
    </w:p>
    <w:p w14:paraId="6C79690D" w14:textId="77777777" w:rsidR="00482034" w:rsidRDefault="00FE15A1">
      <w:pPr>
        <w:widowControl w:val="0"/>
        <w:tabs>
          <w:tab w:val="left" w:pos="567"/>
        </w:tabs>
        <w:rPr>
          <w:sz w:val="22"/>
          <w:szCs w:val="22"/>
          <w:lang w:val="hu-HU" w:eastAsia="en-US"/>
        </w:rPr>
      </w:pPr>
      <w:r>
        <w:rPr>
          <w:b/>
          <w:sz w:val="22"/>
          <w:szCs w:val="22"/>
          <w:lang w:val="hu-HU" w:eastAsia="en-US"/>
        </w:rPr>
        <w:t>2.</w:t>
      </w:r>
      <w:r>
        <w:rPr>
          <w:b/>
          <w:sz w:val="22"/>
          <w:szCs w:val="22"/>
          <w:lang w:val="hu-HU" w:eastAsia="en-US"/>
        </w:rPr>
        <w:tab/>
        <w:t>MINŐSÉGI ÉS MENNYISÉGI ÖSSZETÉTEL</w:t>
      </w:r>
    </w:p>
    <w:p w14:paraId="08C00FD6" w14:textId="77777777" w:rsidR="00482034" w:rsidRDefault="00482034">
      <w:pPr>
        <w:widowControl w:val="0"/>
        <w:tabs>
          <w:tab w:val="left" w:pos="567"/>
        </w:tabs>
        <w:rPr>
          <w:sz w:val="22"/>
          <w:szCs w:val="22"/>
          <w:lang w:val="hu-HU" w:eastAsia="en-US"/>
        </w:rPr>
      </w:pPr>
    </w:p>
    <w:p w14:paraId="4B2C3ED0" w14:textId="77777777" w:rsidR="00482034" w:rsidRDefault="00FE15A1">
      <w:pPr>
        <w:rPr>
          <w:i/>
          <w:noProof/>
          <w:szCs w:val="22"/>
          <w:u w:val="single"/>
          <w:lang w:val="hu-HU"/>
        </w:rPr>
      </w:pPr>
      <w:r>
        <w:rPr>
          <w:i/>
          <w:noProof/>
          <w:szCs w:val="22"/>
          <w:u w:val="single"/>
          <w:lang w:val="hu-HU"/>
        </w:rPr>
        <w:t>Adoben 50 mg retard tabletta</w:t>
      </w:r>
    </w:p>
    <w:p w14:paraId="7B7282A2" w14:textId="77777777" w:rsidR="00482034" w:rsidRDefault="00FE15A1">
      <w:pPr>
        <w:rPr>
          <w:noProof/>
          <w:szCs w:val="22"/>
          <w:lang w:val="hu-HU"/>
        </w:rPr>
      </w:pPr>
      <w:r>
        <w:rPr>
          <w:noProof/>
          <w:szCs w:val="22"/>
          <w:lang w:val="hu-HU"/>
        </w:rPr>
        <w:t>50 mg tapentadolt (tapentadol-maleát-hemihidrát formájában) tartalmaz retard tablettánként.</w:t>
      </w:r>
    </w:p>
    <w:p w14:paraId="730A6F38" w14:textId="77777777" w:rsidR="00482034" w:rsidRDefault="00FE15A1">
      <w:pPr>
        <w:rPr>
          <w:i/>
          <w:noProof/>
          <w:szCs w:val="22"/>
          <w:u w:val="single"/>
          <w:lang w:val="hu-HU"/>
        </w:rPr>
      </w:pPr>
      <w:r>
        <w:rPr>
          <w:i/>
          <w:noProof/>
          <w:szCs w:val="22"/>
          <w:u w:val="single"/>
          <w:lang w:val="hu-HU"/>
        </w:rPr>
        <w:t>Adoben 100 mg retard tabletta</w:t>
      </w:r>
    </w:p>
    <w:p w14:paraId="7259A69C" w14:textId="77777777" w:rsidR="00482034" w:rsidRDefault="00FE15A1">
      <w:pPr>
        <w:rPr>
          <w:noProof/>
          <w:szCs w:val="22"/>
          <w:lang w:val="hu-HU"/>
        </w:rPr>
      </w:pPr>
      <w:r>
        <w:rPr>
          <w:noProof/>
          <w:szCs w:val="22"/>
          <w:lang w:val="hu-HU"/>
        </w:rPr>
        <w:t>100 mg tapentadolt (tapentadol-maleát-hemihidrát formájában) tartalmaz retard tablettánként.</w:t>
      </w:r>
    </w:p>
    <w:p w14:paraId="7459A4D5" w14:textId="77777777" w:rsidR="00482034" w:rsidRDefault="00FE15A1">
      <w:pPr>
        <w:rPr>
          <w:i/>
          <w:noProof/>
          <w:szCs w:val="22"/>
          <w:u w:val="single"/>
          <w:lang w:val="hu-HU"/>
        </w:rPr>
      </w:pPr>
      <w:r>
        <w:rPr>
          <w:i/>
          <w:noProof/>
          <w:szCs w:val="22"/>
          <w:u w:val="single"/>
          <w:lang w:val="hu-HU"/>
        </w:rPr>
        <w:t>Adoben 150 mg retard tabletta</w:t>
      </w:r>
    </w:p>
    <w:p w14:paraId="2E156A74" w14:textId="77777777" w:rsidR="00482034" w:rsidRDefault="00FE15A1">
      <w:pPr>
        <w:rPr>
          <w:noProof/>
          <w:szCs w:val="22"/>
          <w:lang w:val="hu-HU"/>
        </w:rPr>
      </w:pPr>
      <w:r>
        <w:rPr>
          <w:noProof/>
          <w:szCs w:val="22"/>
          <w:lang w:val="hu-HU"/>
        </w:rPr>
        <w:t>150 mg tapentadolt (tapentadol-maleát-hemihidrát formájában) tartalmaz retard tablettánként.</w:t>
      </w:r>
    </w:p>
    <w:p w14:paraId="06A1AD59" w14:textId="77777777" w:rsidR="00482034" w:rsidRDefault="00FE15A1">
      <w:pPr>
        <w:rPr>
          <w:i/>
          <w:noProof/>
          <w:szCs w:val="22"/>
          <w:u w:val="single"/>
          <w:lang w:val="hu-HU"/>
        </w:rPr>
      </w:pPr>
      <w:r>
        <w:rPr>
          <w:i/>
          <w:noProof/>
          <w:szCs w:val="22"/>
          <w:u w:val="single"/>
          <w:lang w:val="hu-HU"/>
        </w:rPr>
        <w:t>Adoben 200 mg retard tabletta</w:t>
      </w:r>
    </w:p>
    <w:p w14:paraId="0383F492" w14:textId="77777777" w:rsidR="00482034" w:rsidRDefault="00FE15A1">
      <w:pPr>
        <w:rPr>
          <w:noProof/>
          <w:szCs w:val="22"/>
          <w:lang w:val="hu-HU"/>
        </w:rPr>
      </w:pPr>
      <w:r>
        <w:rPr>
          <w:noProof/>
          <w:szCs w:val="22"/>
          <w:lang w:val="hu-HU"/>
        </w:rPr>
        <w:t>200 mg tapentadolt (tapentadol-maleát-hemihidrát formájában) tartalmaz retard tablettánként.</w:t>
      </w:r>
    </w:p>
    <w:p w14:paraId="784A3238" w14:textId="77777777" w:rsidR="00482034" w:rsidRDefault="00FE15A1">
      <w:pPr>
        <w:rPr>
          <w:i/>
          <w:noProof/>
          <w:szCs w:val="22"/>
          <w:u w:val="single"/>
          <w:lang w:val="hu-HU"/>
        </w:rPr>
      </w:pPr>
      <w:r>
        <w:rPr>
          <w:i/>
          <w:noProof/>
          <w:szCs w:val="22"/>
          <w:u w:val="single"/>
          <w:lang w:val="hu-HU"/>
        </w:rPr>
        <w:t>Adoben 250 mg retard tabletta</w:t>
      </w:r>
    </w:p>
    <w:p w14:paraId="51757C7D" w14:textId="77777777" w:rsidR="00482034" w:rsidRDefault="00FE15A1">
      <w:pPr>
        <w:rPr>
          <w:noProof/>
          <w:szCs w:val="22"/>
          <w:lang w:val="hu-HU"/>
        </w:rPr>
      </w:pPr>
      <w:r>
        <w:rPr>
          <w:noProof/>
          <w:szCs w:val="22"/>
          <w:lang w:val="hu-HU"/>
        </w:rPr>
        <w:t>250 mg tapentadolt (tapentadol-maleát-hemihidrát formájában) tartalmaz retard tablettánként.</w:t>
      </w:r>
    </w:p>
    <w:p w14:paraId="2335A1DA" w14:textId="77777777" w:rsidR="00482034" w:rsidRDefault="00482034">
      <w:pPr>
        <w:widowControl w:val="0"/>
        <w:autoSpaceDE w:val="0"/>
        <w:autoSpaceDN w:val="0"/>
        <w:adjustRightInd w:val="0"/>
        <w:rPr>
          <w:bCs/>
          <w:noProof/>
          <w:sz w:val="22"/>
          <w:szCs w:val="22"/>
          <w:lang w:val="hu-HU" w:eastAsia="en-US"/>
        </w:rPr>
      </w:pPr>
    </w:p>
    <w:p w14:paraId="5B8EE4E3" w14:textId="77777777" w:rsidR="00482034" w:rsidRDefault="00FE15A1">
      <w:pPr>
        <w:widowControl w:val="0"/>
        <w:autoSpaceDE w:val="0"/>
        <w:autoSpaceDN w:val="0"/>
        <w:adjustRightInd w:val="0"/>
        <w:rPr>
          <w:noProof/>
          <w:sz w:val="22"/>
          <w:szCs w:val="22"/>
          <w:lang w:val="hu-HU" w:eastAsia="en-US"/>
        </w:rPr>
      </w:pPr>
      <w:r>
        <w:rPr>
          <w:noProof/>
          <w:sz w:val="22"/>
          <w:szCs w:val="22"/>
          <w:u w:val="single"/>
          <w:lang w:val="hu-HU" w:eastAsia="en-US"/>
        </w:rPr>
        <w:t>Ismert hatású segédanyag:</w:t>
      </w:r>
      <w:r>
        <w:rPr>
          <w:noProof/>
          <w:sz w:val="22"/>
          <w:szCs w:val="22"/>
          <w:lang w:val="hu-HU" w:eastAsia="en-US"/>
        </w:rPr>
        <w:t xml:space="preserve"> laktóz-monohidrát</w:t>
      </w:r>
    </w:p>
    <w:p w14:paraId="13EFB741" w14:textId="77777777" w:rsidR="00482034" w:rsidRDefault="00FE15A1">
      <w:pPr>
        <w:rPr>
          <w:i/>
          <w:noProof/>
          <w:szCs w:val="22"/>
          <w:u w:val="single"/>
          <w:lang w:val="hu-HU"/>
        </w:rPr>
      </w:pPr>
      <w:r>
        <w:rPr>
          <w:i/>
          <w:noProof/>
          <w:szCs w:val="22"/>
          <w:u w:val="single"/>
          <w:lang w:val="hu-HU"/>
        </w:rPr>
        <w:t>Adoben 50 mg retard tabletta</w:t>
      </w:r>
    </w:p>
    <w:p w14:paraId="6E55E378" w14:textId="77777777" w:rsidR="00482034" w:rsidRDefault="00FE15A1">
      <w:pPr>
        <w:widowControl w:val="0"/>
        <w:autoSpaceDE w:val="0"/>
        <w:autoSpaceDN w:val="0"/>
        <w:adjustRightInd w:val="0"/>
        <w:rPr>
          <w:sz w:val="22"/>
          <w:szCs w:val="22"/>
          <w:lang w:val="hu-HU" w:eastAsia="en-US"/>
        </w:rPr>
      </w:pPr>
      <w:r>
        <w:rPr>
          <w:sz w:val="22"/>
          <w:szCs w:val="22"/>
          <w:lang w:val="hu-HU" w:eastAsia="en-US"/>
        </w:rPr>
        <w:t>3,3 mg laktózt tartalmaz retard tablettánként.</w:t>
      </w:r>
    </w:p>
    <w:p w14:paraId="70046EE6" w14:textId="77777777" w:rsidR="00482034" w:rsidRDefault="00FE15A1">
      <w:pPr>
        <w:rPr>
          <w:i/>
          <w:noProof/>
          <w:szCs w:val="22"/>
          <w:u w:val="single"/>
          <w:lang w:val="hu-HU"/>
        </w:rPr>
      </w:pPr>
      <w:r>
        <w:rPr>
          <w:i/>
          <w:noProof/>
          <w:szCs w:val="22"/>
          <w:u w:val="single"/>
          <w:lang w:val="hu-HU"/>
        </w:rPr>
        <w:t>Adoben 100 mg retard tabletta</w:t>
      </w:r>
    </w:p>
    <w:p w14:paraId="751F5494" w14:textId="77777777" w:rsidR="00482034" w:rsidRDefault="00FE15A1">
      <w:pPr>
        <w:widowControl w:val="0"/>
        <w:autoSpaceDE w:val="0"/>
        <w:autoSpaceDN w:val="0"/>
        <w:adjustRightInd w:val="0"/>
        <w:rPr>
          <w:sz w:val="22"/>
          <w:szCs w:val="22"/>
          <w:lang w:val="hu-HU" w:eastAsia="en-US"/>
        </w:rPr>
      </w:pPr>
      <w:r>
        <w:rPr>
          <w:sz w:val="22"/>
          <w:szCs w:val="22"/>
          <w:lang w:val="hu-HU" w:eastAsia="en-US"/>
        </w:rPr>
        <w:t>3,3 mg laktózt tartalmaz retard tablettánként.</w:t>
      </w:r>
    </w:p>
    <w:p w14:paraId="4DFCA8AD" w14:textId="77777777" w:rsidR="00482034" w:rsidRDefault="00FE15A1">
      <w:pPr>
        <w:rPr>
          <w:i/>
          <w:noProof/>
          <w:szCs w:val="22"/>
          <w:u w:val="single"/>
          <w:lang w:val="hu-HU"/>
        </w:rPr>
      </w:pPr>
      <w:r>
        <w:rPr>
          <w:i/>
          <w:noProof/>
          <w:szCs w:val="22"/>
          <w:u w:val="single"/>
          <w:lang w:val="hu-HU"/>
        </w:rPr>
        <w:t>Adoben 150 mg retard tabletta</w:t>
      </w:r>
    </w:p>
    <w:p w14:paraId="70DFD8E0" w14:textId="77777777" w:rsidR="00482034" w:rsidRDefault="00FE15A1">
      <w:pPr>
        <w:widowControl w:val="0"/>
        <w:autoSpaceDE w:val="0"/>
        <w:autoSpaceDN w:val="0"/>
        <w:adjustRightInd w:val="0"/>
        <w:rPr>
          <w:sz w:val="22"/>
          <w:szCs w:val="22"/>
          <w:lang w:val="hu-HU" w:eastAsia="en-US"/>
        </w:rPr>
      </w:pPr>
      <w:r>
        <w:rPr>
          <w:sz w:val="22"/>
          <w:szCs w:val="22"/>
          <w:lang w:val="hu-HU" w:eastAsia="en-US"/>
        </w:rPr>
        <w:t>3,3 mg laktózt tartalmaz retard tablettánként.</w:t>
      </w:r>
    </w:p>
    <w:p w14:paraId="568FF605" w14:textId="77777777" w:rsidR="00482034" w:rsidRDefault="00FE15A1">
      <w:pPr>
        <w:rPr>
          <w:i/>
          <w:noProof/>
          <w:szCs w:val="22"/>
          <w:u w:val="single"/>
          <w:lang w:val="hu-HU"/>
        </w:rPr>
      </w:pPr>
      <w:r>
        <w:rPr>
          <w:i/>
          <w:noProof/>
          <w:szCs w:val="22"/>
          <w:u w:val="single"/>
          <w:lang w:val="hu-HU"/>
        </w:rPr>
        <w:t>Adoben 200 mg retard tabletta</w:t>
      </w:r>
    </w:p>
    <w:p w14:paraId="6BDE0657" w14:textId="77777777" w:rsidR="00482034" w:rsidRDefault="00FE15A1">
      <w:pPr>
        <w:widowControl w:val="0"/>
        <w:autoSpaceDE w:val="0"/>
        <w:autoSpaceDN w:val="0"/>
        <w:adjustRightInd w:val="0"/>
        <w:rPr>
          <w:sz w:val="22"/>
          <w:szCs w:val="22"/>
          <w:lang w:val="hu-HU" w:eastAsia="en-US"/>
        </w:rPr>
      </w:pPr>
      <w:r>
        <w:rPr>
          <w:sz w:val="22"/>
          <w:szCs w:val="22"/>
          <w:lang w:val="hu-HU" w:eastAsia="en-US"/>
        </w:rPr>
        <w:t>5,1 mg laktózt tartalmaz retard tablettánként.</w:t>
      </w:r>
    </w:p>
    <w:p w14:paraId="3FA6205B" w14:textId="77777777" w:rsidR="00482034" w:rsidRDefault="00FE15A1">
      <w:pPr>
        <w:rPr>
          <w:i/>
          <w:noProof/>
          <w:szCs w:val="22"/>
          <w:u w:val="single"/>
          <w:lang w:val="hu-HU"/>
        </w:rPr>
      </w:pPr>
      <w:r>
        <w:rPr>
          <w:i/>
          <w:noProof/>
          <w:szCs w:val="22"/>
          <w:u w:val="single"/>
          <w:lang w:val="hu-HU"/>
        </w:rPr>
        <w:t>Adoben 250 mg retard tabletta</w:t>
      </w:r>
    </w:p>
    <w:p w14:paraId="63341A80" w14:textId="77777777" w:rsidR="00482034" w:rsidRDefault="00FE15A1">
      <w:pPr>
        <w:widowControl w:val="0"/>
        <w:autoSpaceDE w:val="0"/>
        <w:autoSpaceDN w:val="0"/>
        <w:adjustRightInd w:val="0"/>
        <w:rPr>
          <w:sz w:val="22"/>
          <w:szCs w:val="22"/>
          <w:lang w:val="hu-HU" w:eastAsia="en-US"/>
        </w:rPr>
      </w:pPr>
      <w:r>
        <w:rPr>
          <w:sz w:val="22"/>
          <w:szCs w:val="22"/>
          <w:lang w:val="hu-HU" w:eastAsia="en-US"/>
        </w:rPr>
        <w:t>5,1 mg laktózt tartalmaz retard tablettánként.</w:t>
      </w:r>
    </w:p>
    <w:p w14:paraId="60E9795D" w14:textId="77777777" w:rsidR="00482034" w:rsidRDefault="00482034">
      <w:pPr>
        <w:widowControl w:val="0"/>
        <w:autoSpaceDE w:val="0"/>
        <w:autoSpaceDN w:val="0"/>
        <w:adjustRightInd w:val="0"/>
        <w:rPr>
          <w:noProof/>
          <w:sz w:val="22"/>
          <w:szCs w:val="22"/>
          <w:lang w:val="hu-HU" w:eastAsia="en-US"/>
        </w:rPr>
      </w:pPr>
    </w:p>
    <w:p w14:paraId="77E1CEF5" w14:textId="77777777" w:rsidR="00482034" w:rsidRDefault="00FE15A1">
      <w:pPr>
        <w:rPr>
          <w:szCs w:val="22"/>
          <w:lang w:val="hu-HU"/>
        </w:rPr>
      </w:pPr>
      <w:r>
        <w:rPr>
          <w:szCs w:val="22"/>
          <w:lang w:val="hu-HU"/>
        </w:rPr>
        <w:t>A segédanyagok teljes listáját lásd a 6.1 pontban.</w:t>
      </w:r>
    </w:p>
    <w:p w14:paraId="2CCD759B" w14:textId="77777777" w:rsidR="00482034" w:rsidRDefault="00482034">
      <w:pPr>
        <w:widowControl w:val="0"/>
        <w:tabs>
          <w:tab w:val="left" w:pos="567"/>
        </w:tabs>
        <w:rPr>
          <w:sz w:val="22"/>
          <w:szCs w:val="22"/>
          <w:lang w:val="hu-HU" w:eastAsia="en-US"/>
        </w:rPr>
      </w:pPr>
    </w:p>
    <w:p w14:paraId="612584A9" w14:textId="77777777" w:rsidR="00482034" w:rsidRDefault="00482034">
      <w:pPr>
        <w:widowControl w:val="0"/>
        <w:tabs>
          <w:tab w:val="left" w:pos="567"/>
        </w:tabs>
        <w:rPr>
          <w:sz w:val="22"/>
          <w:szCs w:val="22"/>
          <w:lang w:val="hu-HU" w:eastAsia="en-US"/>
        </w:rPr>
      </w:pPr>
    </w:p>
    <w:p w14:paraId="775F40ED" w14:textId="77777777" w:rsidR="00482034" w:rsidRDefault="00FE15A1">
      <w:pPr>
        <w:widowControl w:val="0"/>
        <w:tabs>
          <w:tab w:val="left" w:pos="567"/>
        </w:tabs>
        <w:rPr>
          <w:b/>
          <w:caps/>
          <w:sz w:val="22"/>
          <w:szCs w:val="22"/>
          <w:lang w:val="hu-HU" w:eastAsia="en-US"/>
        </w:rPr>
      </w:pPr>
      <w:r>
        <w:rPr>
          <w:b/>
          <w:sz w:val="22"/>
          <w:szCs w:val="22"/>
          <w:lang w:val="hu-HU" w:eastAsia="en-US"/>
        </w:rPr>
        <w:t>3.</w:t>
      </w:r>
      <w:r>
        <w:rPr>
          <w:b/>
          <w:sz w:val="22"/>
          <w:szCs w:val="22"/>
          <w:lang w:val="hu-HU" w:eastAsia="en-US"/>
        </w:rPr>
        <w:tab/>
        <w:t>GYÓGYSZERFORMA</w:t>
      </w:r>
    </w:p>
    <w:p w14:paraId="1C4AB5C4" w14:textId="77777777" w:rsidR="00482034" w:rsidRDefault="00482034">
      <w:pPr>
        <w:widowControl w:val="0"/>
        <w:tabs>
          <w:tab w:val="left" w:pos="567"/>
        </w:tabs>
        <w:rPr>
          <w:sz w:val="22"/>
          <w:szCs w:val="22"/>
          <w:lang w:val="hu-HU" w:eastAsia="en-US"/>
        </w:rPr>
      </w:pPr>
    </w:p>
    <w:p w14:paraId="792BE8CE" w14:textId="77777777" w:rsidR="00482034" w:rsidRDefault="00FE15A1">
      <w:pPr>
        <w:widowControl w:val="0"/>
        <w:tabs>
          <w:tab w:val="left" w:pos="567"/>
        </w:tabs>
        <w:rPr>
          <w:sz w:val="22"/>
          <w:szCs w:val="22"/>
          <w:lang w:val="hu-HU" w:eastAsia="en-US"/>
        </w:rPr>
      </w:pPr>
      <w:r>
        <w:rPr>
          <w:sz w:val="22"/>
          <w:szCs w:val="22"/>
          <w:lang w:val="hu-HU" w:eastAsia="en-US"/>
        </w:rPr>
        <w:t>Retard tabletta (tabletta)</w:t>
      </w:r>
    </w:p>
    <w:p w14:paraId="248F276A" w14:textId="77777777" w:rsidR="00482034" w:rsidRDefault="00482034">
      <w:pPr>
        <w:widowControl w:val="0"/>
        <w:tabs>
          <w:tab w:val="left" w:pos="567"/>
        </w:tabs>
        <w:rPr>
          <w:sz w:val="22"/>
          <w:szCs w:val="22"/>
          <w:lang w:val="hu-HU" w:eastAsia="en-US"/>
        </w:rPr>
      </w:pPr>
    </w:p>
    <w:p w14:paraId="22E7DBA9" w14:textId="77777777" w:rsidR="00482034" w:rsidRDefault="00FE15A1">
      <w:pPr>
        <w:rPr>
          <w:i/>
          <w:noProof/>
          <w:szCs w:val="22"/>
          <w:u w:val="single"/>
          <w:lang w:val="hu-HU"/>
        </w:rPr>
      </w:pPr>
      <w:r>
        <w:rPr>
          <w:i/>
          <w:noProof/>
          <w:szCs w:val="22"/>
          <w:u w:val="single"/>
          <w:lang w:val="hu-HU"/>
        </w:rPr>
        <w:t>Adoben 50 mg retard tabletta</w:t>
      </w:r>
    </w:p>
    <w:p w14:paraId="33E2A72E" w14:textId="77777777" w:rsidR="00482034" w:rsidRDefault="00FE15A1">
      <w:pPr>
        <w:widowControl w:val="0"/>
        <w:autoSpaceDE w:val="0"/>
        <w:autoSpaceDN w:val="0"/>
        <w:adjustRightInd w:val="0"/>
        <w:rPr>
          <w:sz w:val="22"/>
          <w:szCs w:val="22"/>
          <w:lang w:val="hu-HU" w:eastAsia="en-US"/>
        </w:rPr>
      </w:pPr>
      <w:r>
        <w:rPr>
          <w:sz w:val="22"/>
          <w:szCs w:val="22"/>
          <w:lang w:val="hu-HU" w:eastAsia="en-US"/>
        </w:rPr>
        <w:t xml:space="preserve">Fehér vagy csaknem fehér, ovális, mindkét oldalán domború, egyik oldalán „T1” jelzéssel ellátott filmbevonatú, retard tabletta. A tabletta mérete: kb. 16 mm × 8,5 mm. </w:t>
      </w:r>
    </w:p>
    <w:p w14:paraId="19345FD0" w14:textId="77777777" w:rsidR="00482034" w:rsidRDefault="00FE15A1">
      <w:pPr>
        <w:rPr>
          <w:i/>
          <w:noProof/>
          <w:szCs w:val="22"/>
          <w:u w:val="single"/>
          <w:lang w:val="hu-HU"/>
        </w:rPr>
      </w:pPr>
      <w:r>
        <w:rPr>
          <w:i/>
          <w:noProof/>
          <w:szCs w:val="22"/>
          <w:u w:val="single"/>
          <w:lang w:val="hu-HU"/>
        </w:rPr>
        <w:t>Adoben 100 mg retard tabletta</w:t>
      </w:r>
    </w:p>
    <w:p w14:paraId="094C68B6" w14:textId="77777777" w:rsidR="00482034" w:rsidRDefault="00FE15A1">
      <w:pPr>
        <w:widowControl w:val="0"/>
        <w:tabs>
          <w:tab w:val="left" w:pos="567"/>
        </w:tabs>
        <w:rPr>
          <w:iCs/>
          <w:sz w:val="22"/>
          <w:szCs w:val="22"/>
          <w:lang w:val="hu-HU" w:eastAsia="en-US"/>
        </w:rPr>
      </w:pPr>
      <w:r>
        <w:rPr>
          <w:iCs/>
          <w:sz w:val="22"/>
          <w:szCs w:val="22"/>
          <w:lang w:val="hu-HU" w:eastAsia="en-US"/>
        </w:rPr>
        <w:t xml:space="preserve">Halvány barnássárga, ovális, mindkét oldalán domború, egyik oldalán „T2” jelzéssel ellátott filmbevonatú, retard tabletta. </w:t>
      </w:r>
      <w:r>
        <w:rPr>
          <w:sz w:val="22"/>
          <w:szCs w:val="22"/>
          <w:lang w:val="hu-HU" w:eastAsia="en-US"/>
        </w:rPr>
        <w:t>A tabletta mérete: kb. 16 mm × 8,5 mm.</w:t>
      </w:r>
    </w:p>
    <w:p w14:paraId="5359BFCB" w14:textId="77777777" w:rsidR="00482034" w:rsidRDefault="00FE15A1">
      <w:pPr>
        <w:rPr>
          <w:i/>
          <w:noProof/>
          <w:szCs w:val="22"/>
          <w:u w:val="single"/>
          <w:lang w:val="hu-HU"/>
        </w:rPr>
      </w:pPr>
      <w:r>
        <w:rPr>
          <w:i/>
          <w:noProof/>
          <w:szCs w:val="22"/>
          <w:u w:val="single"/>
          <w:lang w:val="hu-HU"/>
        </w:rPr>
        <w:t>Adoben 150 mg retard tabletta</w:t>
      </w:r>
    </w:p>
    <w:p w14:paraId="351FB8FF" w14:textId="77777777" w:rsidR="00482034" w:rsidRDefault="00FE15A1">
      <w:pPr>
        <w:widowControl w:val="0"/>
        <w:tabs>
          <w:tab w:val="left" w:pos="567"/>
        </w:tabs>
        <w:rPr>
          <w:iCs/>
          <w:sz w:val="22"/>
          <w:szCs w:val="22"/>
          <w:lang w:val="hu-HU" w:eastAsia="en-US"/>
        </w:rPr>
      </w:pPr>
      <w:r>
        <w:rPr>
          <w:iCs/>
          <w:sz w:val="22"/>
          <w:szCs w:val="22"/>
          <w:lang w:val="hu-HU" w:eastAsia="en-US"/>
        </w:rPr>
        <w:t xml:space="preserve">Halvány rózsaszín, ovális, mindkét oldalán domború, egyik oldalán „T3” jelzéssel ellátott filmbevonatú, retard tabletta. </w:t>
      </w:r>
      <w:r>
        <w:rPr>
          <w:sz w:val="22"/>
          <w:szCs w:val="22"/>
          <w:lang w:val="hu-HU" w:eastAsia="en-US"/>
        </w:rPr>
        <w:t>A tabletta mérete: kb. 16 mm × 8,5 mm.</w:t>
      </w:r>
      <w:r>
        <w:rPr>
          <w:iCs/>
          <w:sz w:val="22"/>
          <w:szCs w:val="22"/>
          <w:lang w:val="hu-HU" w:eastAsia="en-US"/>
        </w:rPr>
        <w:t xml:space="preserve"> </w:t>
      </w:r>
    </w:p>
    <w:p w14:paraId="1D08D7D8" w14:textId="77777777" w:rsidR="00482034" w:rsidRDefault="00FE15A1">
      <w:pPr>
        <w:rPr>
          <w:i/>
          <w:noProof/>
          <w:szCs w:val="22"/>
          <w:u w:val="single"/>
          <w:lang w:val="hu-HU"/>
        </w:rPr>
      </w:pPr>
      <w:r>
        <w:rPr>
          <w:i/>
          <w:noProof/>
          <w:szCs w:val="22"/>
          <w:u w:val="single"/>
          <w:lang w:val="hu-HU"/>
        </w:rPr>
        <w:t>Adoben 200 mg retard tabletta</w:t>
      </w:r>
    </w:p>
    <w:p w14:paraId="774D3EB3" w14:textId="77777777" w:rsidR="00482034" w:rsidRDefault="00FE15A1">
      <w:pPr>
        <w:widowControl w:val="0"/>
        <w:tabs>
          <w:tab w:val="left" w:pos="567"/>
        </w:tabs>
        <w:rPr>
          <w:iCs/>
          <w:sz w:val="22"/>
          <w:szCs w:val="22"/>
          <w:lang w:val="hu-HU" w:eastAsia="en-US"/>
        </w:rPr>
      </w:pPr>
      <w:r>
        <w:rPr>
          <w:iCs/>
          <w:sz w:val="22"/>
          <w:szCs w:val="22"/>
          <w:lang w:val="hu-HU" w:eastAsia="en-US"/>
        </w:rPr>
        <w:t>Halvány barnás narancssárga, ovális, mindkét oldalán domború, egyik oldalán „T4” jelzéssel ellátott filmbevonatú, retard tabletta. A tabletta mérete: kb. 18 mm × 8 mm.</w:t>
      </w:r>
    </w:p>
    <w:p w14:paraId="696B52EF" w14:textId="77777777" w:rsidR="00482034" w:rsidRDefault="00FE15A1">
      <w:pPr>
        <w:rPr>
          <w:i/>
          <w:noProof/>
          <w:szCs w:val="22"/>
          <w:u w:val="single"/>
          <w:lang w:val="hu-HU"/>
        </w:rPr>
      </w:pPr>
      <w:r>
        <w:rPr>
          <w:i/>
          <w:noProof/>
          <w:szCs w:val="22"/>
          <w:u w:val="single"/>
          <w:lang w:val="hu-HU"/>
        </w:rPr>
        <w:lastRenderedPageBreak/>
        <w:t>Adoben 250 mg retard tabletta</w:t>
      </w:r>
    </w:p>
    <w:p w14:paraId="5559890B" w14:textId="77777777" w:rsidR="00482034" w:rsidRDefault="00FE15A1">
      <w:pPr>
        <w:widowControl w:val="0"/>
        <w:tabs>
          <w:tab w:val="left" w:pos="567"/>
        </w:tabs>
        <w:rPr>
          <w:iCs/>
          <w:sz w:val="22"/>
          <w:szCs w:val="22"/>
          <w:lang w:val="hu-HU" w:eastAsia="en-US"/>
        </w:rPr>
      </w:pPr>
      <w:r>
        <w:rPr>
          <w:iCs/>
          <w:sz w:val="22"/>
          <w:szCs w:val="22"/>
          <w:lang w:val="hu-HU" w:eastAsia="en-US"/>
        </w:rPr>
        <w:t>Rózsaszínes, ovális, mindkét oldalán domború, egyik oldalán „T5” jelzéssel ellátott filmbevonatú, retard tabletta. A tabletta mérete: kb. 18 mm × 8 mm.</w:t>
      </w:r>
    </w:p>
    <w:p w14:paraId="66EB4C40" w14:textId="77777777" w:rsidR="00482034" w:rsidRDefault="00482034">
      <w:pPr>
        <w:widowControl w:val="0"/>
        <w:tabs>
          <w:tab w:val="left" w:pos="567"/>
        </w:tabs>
        <w:rPr>
          <w:sz w:val="22"/>
          <w:szCs w:val="22"/>
          <w:lang w:val="hu-HU" w:eastAsia="en-US"/>
        </w:rPr>
      </w:pPr>
    </w:p>
    <w:p w14:paraId="6BD92A9C" w14:textId="77777777" w:rsidR="00482034" w:rsidRDefault="00482034">
      <w:pPr>
        <w:widowControl w:val="0"/>
        <w:tabs>
          <w:tab w:val="left" w:pos="567"/>
        </w:tabs>
        <w:rPr>
          <w:sz w:val="22"/>
          <w:szCs w:val="22"/>
          <w:lang w:val="hu-HU" w:eastAsia="en-US"/>
        </w:rPr>
      </w:pPr>
    </w:p>
    <w:p w14:paraId="05448A14" w14:textId="77777777" w:rsidR="00482034" w:rsidRDefault="00FE15A1">
      <w:pPr>
        <w:widowControl w:val="0"/>
        <w:tabs>
          <w:tab w:val="left" w:pos="567"/>
        </w:tabs>
        <w:rPr>
          <w:caps/>
          <w:sz w:val="22"/>
          <w:szCs w:val="22"/>
          <w:lang w:val="hu-HU" w:eastAsia="en-US"/>
        </w:rPr>
      </w:pPr>
      <w:r>
        <w:rPr>
          <w:b/>
          <w:caps/>
          <w:sz w:val="22"/>
          <w:szCs w:val="22"/>
          <w:lang w:val="hu-HU" w:eastAsia="en-US"/>
        </w:rPr>
        <w:t>4.</w:t>
      </w:r>
      <w:r>
        <w:rPr>
          <w:b/>
          <w:caps/>
          <w:sz w:val="22"/>
          <w:szCs w:val="22"/>
          <w:lang w:val="hu-HU" w:eastAsia="en-US"/>
        </w:rPr>
        <w:tab/>
        <w:t>KLINIKAI JELLEMZŐK</w:t>
      </w:r>
    </w:p>
    <w:p w14:paraId="3171C7DB" w14:textId="77777777" w:rsidR="00482034" w:rsidRDefault="00482034">
      <w:pPr>
        <w:widowControl w:val="0"/>
        <w:tabs>
          <w:tab w:val="left" w:pos="567"/>
        </w:tabs>
        <w:rPr>
          <w:sz w:val="22"/>
          <w:szCs w:val="22"/>
          <w:lang w:val="hu-HU" w:eastAsia="en-US"/>
        </w:rPr>
      </w:pPr>
    </w:p>
    <w:p w14:paraId="750CE4F0" w14:textId="77777777" w:rsidR="00482034" w:rsidRDefault="00FE15A1">
      <w:pPr>
        <w:widowControl w:val="0"/>
        <w:tabs>
          <w:tab w:val="left" w:pos="567"/>
        </w:tabs>
        <w:rPr>
          <w:sz w:val="22"/>
          <w:szCs w:val="22"/>
          <w:lang w:val="hu-HU" w:eastAsia="en-US"/>
        </w:rPr>
      </w:pPr>
      <w:r>
        <w:rPr>
          <w:b/>
          <w:sz w:val="22"/>
          <w:szCs w:val="22"/>
          <w:lang w:val="hu-HU" w:eastAsia="en-US"/>
        </w:rPr>
        <w:t>4.1</w:t>
      </w:r>
      <w:r>
        <w:rPr>
          <w:b/>
          <w:sz w:val="22"/>
          <w:szCs w:val="22"/>
          <w:lang w:val="hu-HU" w:eastAsia="en-US"/>
        </w:rPr>
        <w:tab/>
        <w:t>Terápiás javallatok</w:t>
      </w:r>
    </w:p>
    <w:p w14:paraId="0AB7B6DD" w14:textId="77777777" w:rsidR="00482034" w:rsidRDefault="00482034">
      <w:pPr>
        <w:widowControl w:val="0"/>
        <w:tabs>
          <w:tab w:val="left" w:pos="567"/>
        </w:tabs>
        <w:rPr>
          <w:sz w:val="22"/>
          <w:szCs w:val="22"/>
          <w:lang w:val="hu-HU" w:eastAsia="en-US"/>
        </w:rPr>
      </w:pPr>
    </w:p>
    <w:p w14:paraId="44EEF083" w14:textId="77777777" w:rsidR="00482034" w:rsidRDefault="00FE15A1">
      <w:pPr>
        <w:widowControl w:val="0"/>
        <w:tabs>
          <w:tab w:val="left" w:pos="567"/>
        </w:tabs>
        <w:rPr>
          <w:sz w:val="22"/>
          <w:szCs w:val="22"/>
          <w:lang w:val="hu-HU" w:eastAsia="en-US"/>
        </w:rPr>
      </w:pPr>
      <w:r>
        <w:rPr>
          <w:sz w:val="22"/>
          <w:szCs w:val="22"/>
          <w:lang w:val="hu-HU" w:eastAsia="en-US"/>
        </w:rPr>
        <w:t>Az Adoben alkalmazása a következő esetekben javallott:</w:t>
      </w:r>
    </w:p>
    <w:p w14:paraId="1D8D9C39" w14:textId="77777777" w:rsidR="00482034" w:rsidRDefault="00FE15A1">
      <w:pPr>
        <w:pStyle w:val="Listaszerbekezds"/>
        <w:numPr>
          <w:ilvl w:val="0"/>
          <w:numId w:val="6"/>
        </w:numPr>
        <w:ind w:left="1134"/>
        <w:rPr>
          <w:lang w:val="en"/>
        </w:rPr>
      </w:pPr>
      <w:r>
        <w:rPr>
          <w:lang w:val="en"/>
        </w:rPr>
        <w:t>felnőttek erős krónikus fájdalma, amely megfelelő módon csak opioid analgetikumokkal kezelhető.</w:t>
      </w:r>
    </w:p>
    <w:p w14:paraId="5CAEE6E2" w14:textId="77777777" w:rsidR="00482034" w:rsidRDefault="00FE15A1">
      <w:pPr>
        <w:pStyle w:val="Listaszerbekezds"/>
        <w:numPr>
          <w:ilvl w:val="0"/>
          <w:numId w:val="6"/>
        </w:numPr>
        <w:tabs>
          <w:tab w:val="left" w:pos="567"/>
        </w:tabs>
        <w:ind w:left="1134"/>
        <w:rPr>
          <w:lang w:val="en"/>
        </w:rPr>
      </w:pPr>
      <w:r>
        <w:rPr>
          <w:lang w:val="en"/>
        </w:rPr>
        <w:t>6 évnél idősebb gyermekek és serdülők erős krónikus fájdalma, amely megfelelő módon csak opioid analgetikumokkal kezelhető.</w:t>
      </w:r>
    </w:p>
    <w:p w14:paraId="3CDC6470" w14:textId="77777777" w:rsidR="00482034" w:rsidRDefault="00482034">
      <w:pPr>
        <w:widowControl w:val="0"/>
        <w:tabs>
          <w:tab w:val="left" w:pos="567"/>
        </w:tabs>
        <w:rPr>
          <w:sz w:val="22"/>
          <w:szCs w:val="22"/>
          <w:lang w:val="hu-HU" w:eastAsia="en-US"/>
        </w:rPr>
      </w:pPr>
    </w:p>
    <w:p w14:paraId="6E05EB96" w14:textId="77777777" w:rsidR="00482034" w:rsidRDefault="00FE15A1">
      <w:pPr>
        <w:widowControl w:val="0"/>
        <w:tabs>
          <w:tab w:val="left" w:pos="567"/>
        </w:tabs>
        <w:rPr>
          <w:b/>
          <w:sz w:val="22"/>
          <w:szCs w:val="22"/>
          <w:lang w:val="hu-HU" w:eastAsia="en-US"/>
        </w:rPr>
      </w:pPr>
      <w:r>
        <w:rPr>
          <w:b/>
          <w:sz w:val="22"/>
          <w:szCs w:val="22"/>
          <w:lang w:val="hu-HU" w:eastAsia="en-US"/>
        </w:rPr>
        <w:t>4.2</w:t>
      </w:r>
      <w:r>
        <w:rPr>
          <w:b/>
          <w:sz w:val="22"/>
          <w:szCs w:val="22"/>
          <w:lang w:val="hu-HU" w:eastAsia="en-US"/>
        </w:rPr>
        <w:tab/>
        <w:t>Adagolás és alkalmazás</w:t>
      </w:r>
    </w:p>
    <w:p w14:paraId="742BBD98" w14:textId="77777777" w:rsidR="00482034" w:rsidRDefault="00482034">
      <w:pPr>
        <w:widowControl w:val="0"/>
        <w:tabs>
          <w:tab w:val="left" w:pos="567"/>
        </w:tabs>
        <w:rPr>
          <w:sz w:val="22"/>
          <w:szCs w:val="22"/>
          <w:lang w:val="hu-HU" w:eastAsia="en-US"/>
        </w:rPr>
      </w:pPr>
    </w:p>
    <w:p w14:paraId="4D1563D5" w14:textId="77777777" w:rsidR="00482034" w:rsidRDefault="00FE15A1">
      <w:pPr>
        <w:widowControl w:val="0"/>
        <w:rPr>
          <w:sz w:val="22"/>
          <w:szCs w:val="22"/>
          <w:u w:val="single"/>
          <w:lang w:val="hu-HU" w:eastAsia="en-US"/>
        </w:rPr>
      </w:pPr>
      <w:r>
        <w:rPr>
          <w:sz w:val="22"/>
          <w:szCs w:val="22"/>
          <w:u w:val="single"/>
          <w:lang w:val="hu-HU" w:eastAsia="en-US"/>
        </w:rPr>
        <w:t>Adagolás</w:t>
      </w:r>
    </w:p>
    <w:p w14:paraId="48A3C6B5" w14:textId="77777777" w:rsidR="00482034" w:rsidRDefault="00FE15A1">
      <w:pPr>
        <w:widowControl w:val="0"/>
        <w:rPr>
          <w:sz w:val="22"/>
          <w:szCs w:val="22"/>
          <w:lang w:val="hu-HU" w:eastAsia="en-US"/>
        </w:rPr>
      </w:pPr>
      <w:r>
        <w:rPr>
          <w:sz w:val="22"/>
          <w:szCs w:val="22"/>
          <w:lang w:val="hu-HU" w:eastAsia="en-US"/>
        </w:rPr>
        <w:t>A gyógyszer dózisát egyénileg kell beállítani a kezelendő fájdalom súlyosságától, a korábbi kezeléstől és a beteg ellenőrizhetőségétől függően.</w:t>
      </w:r>
    </w:p>
    <w:p w14:paraId="4E0AEFE9" w14:textId="77777777" w:rsidR="00482034" w:rsidRDefault="00482034">
      <w:pPr>
        <w:widowControl w:val="0"/>
        <w:rPr>
          <w:sz w:val="22"/>
          <w:szCs w:val="22"/>
          <w:lang w:val="hu-HU" w:eastAsia="en-US"/>
        </w:rPr>
      </w:pPr>
    </w:p>
    <w:p w14:paraId="14A2958A" w14:textId="77777777" w:rsidR="00482034" w:rsidRDefault="00FE15A1">
      <w:pPr>
        <w:widowControl w:val="0"/>
        <w:rPr>
          <w:sz w:val="22"/>
          <w:szCs w:val="22"/>
          <w:lang w:val="hu-HU" w:eastAsia="en-US"/>
        </w:rPr>
      </w:pPr>
      <w:r>
        <w:rPr>
          <w:sz w:val="22"/>
          <w:szCs w:val="22"/>
          <w:lang w:val="hu-HU" w:eastAsia="en-US"/>
        </w:rPr>
        <w:t>Az Adoben-t naponta kétszer, kb. 12 óránként kell bevenni.</w:t>
      </w:r>
    </w:p>
    <w:p w14:paraId="3C4F8515" w14:textId="77777777" w:rsidR="00482034" w:rsidRDefault="00482034">
      <w:pPr>
        <w:widowControl w:val="0"/>
        <w:rPr>
          <w:sz w:val="22"/>
          <w:szCs w:val="22"/>
          <w:lang w:val="hu-HU" w:eastAsia="en-US"/>
        </w:rPr>
      </w:pPr>
    </w:p>
    <w:p w14:paraId="51B14813" w14:textId="77777777" w:rsidR="00482034" w:rsidRDefault="00FE15A1">
      <w:pPr>
        <w:widowControl w:val="0"/>
        <w:rPr>
          <w:b/>
          <w:bCs/>
          <w:sz w:val="22"/>
          <w:szCs w:val="22"/>
          <w:u w:val="single"/>
          <w:lang w:val="hu-HU" w:eastAsia="en-US"/>
        </w:rPr>
      </w:pPr>
      <w:r>
        <w:rPr>
          <w:b/>
          <w:bCs/>
          <w:sz w:val="22"/>
          <w:szCs w:val="22"/>
          <w:u w:val="single"/>
          <w:lang w:val="hu-HU" w:eastAsia="en-US"/>
        </w:rPr>
        <w:t>Felnőttek</w:t>
      </w:r>
    </w:p>
    <w:p w14:paraId="1926EBC1" w14:textId="77777777" w:rsidR="00482034" w:rsidRDefault="00482034">
      <w:pPr>
        <w:widowControl w:val="0"/>
        <w:rPr>
          <w:sz w:val="22"/>
          <w:szCs w:val="22"/>
          <w:lang w:val="hu-HU" w:eastAsia="en-US"/>
        </w:rPr>
      </w:pPr>
    </w:p>
    <w:p w14:paraId="052EFF58" w14:textId="77777777" w:rsidR="00482034" w:rsidRDefault="00FE15A1">
      <w:pPr>
        <w:widowControl w:val="0"/>
        <w:tabs>
          <w:tab w:val="left" w:pos="567"/>
        </w:tabs>
        <w:rPr>
          <w:i/>
          <w:iCs/>
          <w:sz w:val="22"/>
          <w:szCs w:val="22"/>
          <w:lang w:val="hu-HU" w:eastAsia="en-US"/>
        </w:rPr>
      </w:pPr>
      <w:r>
        <w:rPr>
          <w:i/>
          <w:iCs/>
          <w:sz w:val="22"/>
          <w:szCs w:val="22"/>
          <w:lang w:val="hu-HU" w:eastAsia="en-US"/>
        </w:rPr>
        <w:t>Bevezető terápia</w:t>
      </w:r>
    </w:p>
    <w:p w14:paraId="7706773B" w14:textId="77777777" w:rsidR="00482034" w:rsidRDefault="00FE15A1">
      <w:pPr>
        <w:rPr>
          <w:i/>
          <w:sz w:val="22"/>
          <w:szCs w:val="22"/>
          <w:lang w:val="hu-HU"/>
        </w:rPr>
      </w:pPr>
      <w:r>
        <w:rPr>
          <w:i/>
          <w:sz w:val="22"/>
          <w:szCs w:val="22"/>
          <w:lang w:val="hu-HU"/>
        </w:rPr>
        <w:t>Jelenleg opioid fájdalomcsillapítót nem szedő betegek bevezető terápiája</w:t>
      </w:r>
    </w:p>
    <w:p w14:paraId="4E190F57" w14:textId="77777777" w:rsidR="00482034" w:rsidRDefault="00FE15A1">
      <w:pPr>
        <w:rPr>
          <w:sz w:val="22"/>
          <w:szCs w:val="22"/>
          <w:lang w:val="hu-HU"/>
        </w:rPr>
      </w:pPr>
      <w:r>
        <w:rPr>
          <w:sz w:val="22"/>
          <w:szCs w:val="22"/>
          <w:lang w:val="hu-HU"/>
        </w:rPr>
        <w:t>A betegek kezelését naponta kétszer 50 mg tapentadol retard tablettával kell kezdeni.</w:t>
      </w:r>
    </w:p>
    <w:p w14:paraId="326E4EA7" w14:textId="77777777" w:rsidR="00482034" w:rsidRDefault="00482034">
      <w:pPr>
        <w:widowControl w:val="0"/>
        <w:rPr>
          <w:sz w:val="22"/>
          <w:szCs w:val="22"/>
          <w:lang w:val="hu-HU" w:eastAsia="en-US"/>
        </w:rPr>
      </w:pPr>
    </w:p>
    <w:p w14:paraId="4CCC3289" w14:textId="77777777" w:rsidR="00482034" w:rsidRDefault="00FE15A1">
      <w:pPr>
        <w:widowControl w:val="0"/>
        <w:rPr>
          <w:i/>
          <w:iCs/>
          <w:sz w:val="22"/>
          <w:szCs w:val="22"/>
          <w:lang w:val="hu-HU" w:eastAsia="en-US"/>
        </w:rPr>
      </w:pPr>
      <w:r>
        <w:rPr>
          <w:i/>
          <w:iCs/>
          <w:sz w:val="22"/>
          <w:szCs w:val="22"/>
          <w:lang w:val="hu-HU" w:eastAsia="en-US"/>
        </w:rPr>
        <w:t>Jelenleg opioid fájdalomcsillapítót szedő betegek bevezető terápiája</w:t>
      </w:r>
    </w:p>
    <w:p w14:paraId="50BB91C1" w14:textId="77777777" w:rsidR="00482034" w:rsidRDefault="00FE15A1">
      <w:pPr>
        <w:widowControl w:val="0"/>
        <w:rPr>
          <w:sz w:val="22"/>
          <w:szCs w:val="22"/>
          <w:lang w:val="hu-HU" w:eastAsia="en-US"/>
        </w:rPr>
      </w:pPr>
      <w:r>
        <w:rPr>
          <w:sz w:val="22"/>
          <w:szCs w:val="22"/>
          <w:lang w:val="hu-HU" w:eastAsia="en-US"/>
        </w:rPr>
        <w:t>Ha opioidokról térnek át az Adoben-re, a bevezető dózis megválasztásánál figyelembe kell venni az előzőleg alkalmazott gyógyszer tulajdonságait, alkalmazását és az átlagos napi dózist. Az Adoben nagyobb kezdő dózisára lehet szükség azoknál a betegeknél, akik jelenleg is opioidokat szednek, összehasonlítva azokkal, akik az Adoben-terápia megkezdése előtt nem szedtek opioidokat.</w:t>
      </w:r>
    </w:p>
    <w:p w14:paraId="46D366BD" w14:textId="77777777" w:rsidR="00482034" w:rsidRDefault="00482034">
      <w:pPr>
        <w:widowControl w:val="0"/>
        <w:rPr>
          <w:sz w:val="22"/>
          <w:szCs w:val="22"/>
          <w:lang w:val="hu-HU" w:eastAsia="en-US"/>
        </w:rPr>
      </w:pPr>
    </w:p>
    <w:p w14:paraId="37194165" w14:textId="77777777" w:rsidR="00482034" w:rsidRDefault="00FE15A1">
      <w:pPr>
        <w:widowControl w:val="0"/>
        <w:tabs>
          <w:tab w:val="left" w:pos="567"/>
        </w:tabs>
        <w:rPr>
          <w:i/>
          <w:iCs/>
          <w:sz w:val="22"/>
          <w:szCs w:val="22"/>
          <w:lang w:val="hu-HU" w:eastAsia="en-US"/>
        </w:rPr>
      </w:pPr>
      <w:r>
        <w:rPr>
          <w:i/>
          <w:iCs/>
          <w:sz w:val="22"/>
          <w:szCs w:val="22"/>
          <w:lang w:val="hu-HU" w:eastAsia="en-US"/>
        </w:rPr>
        <w:t>Dózisbeállítás és fenntartó kezelés</w:t>
      </w:r>
    </w:p>
    <w:p w14:paraId="5EEE8646" w14:textId="77777777" w:rsidR="00482034" w:rsidRDefault="00FE15A1">
      <w:pPr>
        <w:widowControl w:val="0"/>
        <w:rPr>
          <w:sz w:val="22"/>
          <w:szCs w:val="22"/>
          <w:lang w:val="hu-HU" w:eastAsia="en-US"/>
        </w:rPr>
      </w:pPr>
      <w:r>
        <w:rPr>
          <w:sz w:val="22"/>
          <w:szCs w:val="22"/>
          <w:lang w:val="hu-HU" w:eastAsia="en-US"/>
        </w:rPr>
        <w:t>A gyógyszert rendelő orvos szoros ellenőrzése alatt a bevezető terápia után a dózist egyénileg kell beállítani olyan szintre, amely megfelelő fájdalomcsillapító hatást biztosít a mellékhatások minimalizálása mellett.</w:t>
      </w:r>
    </w:p>
    <w:p w14:paraId="7FA20950" w14:textId="77777777" w:rsidR="00482034" w:rsidRDefault="00482034">
      <w:pPr>
        <w:widowControl w:val="0"/>
        <w:rPr>
          <w:sz w:val="22"/>
          <w:szCs w:val="22"/>
          <w:lang w:val="hu-HU" w:eastAsia="en-US"/>
        </w:rPr>
      </w:pPr>
    </w:p>
    <w:p w14:paraId="064C32C2" w14:textId="77777777" w:rsidR="00482034" w:rsidRDefault="00FE15A1">
      <w:pPr>
        <w:widowControl w:val="0"/>
        <w:rPr>
          <w:sz w:val="22"/>
          <w:szCs w:val="22"/>
          <w:lang w:val="hu-HU" w:eastAsia="en-US"/>
        </w:rPr>
      </w:pPr>
      <w:r>
        <w:rPr>
          <w:sz w:val="22"/>
          <w:szCs w:val="22"/>
          <w:lang w:val="hu-HU" w:eastAsia="en-US"/>
        </w:rPr>
        <w:t>Klinikai vizsgálatok tapasztalatai azt mutatták, hogy a legtöbb betegnél a napi kétszeri, retard tabletta formájában adott 50 mg tapentadollal háromnaponta emelve a dózist, beállítható a megfelelő fájdalomkontrollt biztosító gyógyszeradag.</w:t>
      </w:r>
    </w:p>
    <w:p w14:paraId="3443F725" w14:textId="77777777" w:rsidR="00482034" w:rsidRDefault="00482034">
      <w:pPr>
        <w:widowControl w:val="0"/>
        <w:rPr>
          <w:sz w:val="22"/>
          <w:szCs w:val="22"/>
          <w:lang w:val="hu-HU" w:eastAsia="en-US"/>
        </w:rPr>
      </w:pPr>
    </w:p>
    <w:p w14:paraId="2CC6CCF5" w14:textId="2F847006" w:rsidR="00482034" w:rsidRDefault="00FE15A1">
      <w:pPr>
        <w:widowControl w:val="0"/>
        <w:rPr>
          <w:sz w:val="22"/>
          <w:szCs w:val="22"/>
          <w:lang w:val="hu-HU" w:eastAsia="en-US"/>
        </w:rPr>
      </w:pPr>
      <w:r>
        <w:rPr>
          <w:sz w:val="22"/>
          <w:szCs w:val="22"/>
          <w:lang w:val="hu-HU" w:eastAsia="en-US"/>
        </w:rPr>
        <w:t>500 mg tapentadolnál magasabb tapentadol retard tabletta napi dózist nem vizsgáltak, és ezért alkalmazása nem ajánlott.</w:t>
      </w:r>
    </w:p>
    <w:p w14:paraId="56A960EA" w14:textId="77777777" w:rsidR="00482034" w:rsidRDefault="00482034">
      <w:pPr>
        <w:widowControl w:val="0"/>
        <w:rPr>
          <w:sz w:val="22"/>
          <w:szCs w:val="22"/>
          <w:lang w:val="hu-HU" w:eastAsia="en-US"/>
        </w:rPr>
      </w:pPr>
    </w:p>
    <w:p w14:paraId="1D44ACDD" w14:textId="77777777" w:rsidR="00482034" w:rsidRDefault="00FE15A1">
      <w:pPr>
        <w:widowControl w:val="0"/>
        <w:tabs>
          <w:tab w:val="left" w:pos="567"/>
        </w:tabs>
        <w:rPr>
          <w:i/>
          <w:iCs/>
          <w:sz w:val="22"/>
          <w:szCs w:val="22"/>
          <w:lang w:val="hu-HU" w:eastAsia="en-US"/>
        </w:rPr>
      </w:pPr>
      <w:r>
        <w:rPr>
          <w:i/>
          <w:iCs/>
          <w:sz w:val="22"/>
          <w:szCs w:val="22"/>
          <w:lang w:val="hu-HU" w:eastAsia="en-US"/>
        </w:rPr>
        <w:t>Vesekárosodás</w:t>
      </w:r>
    </w:p>
    <w:p w14:paraId="6EA8613D" w14:textId="77777777" w:rsidR="00482034" w:rsidRDefault="00FE15A1">
      <w:pPr>
        <w:widowControl w:val="0"/>
        <w:rPr>
          <w:sz w:val="22"/>
          <w:szCs w:val="22"/>
          <w:lang w:val="hu-HU" w:eastAsia="en-US"/>
        </w:rPr>
      </w:pPr>
      <w:r>
        <w:rPr>
          <w:sz w:val="22"/>
          <w:szCs w:val="22"/>
          <w:lang w:val="hu-HU" w:eastAsia="en-US"/>
        </w:rPr>
        <w:t>Enyhe vagy közepes fokú vesekárosodás esetén nem szükséges az adagolás módosítása (lásd 5.2 pont).</w:t>
      </w:r>
    </w:p>
    <w:p w14:paraId="4CA761E3" w14:textId="77777777" w:rsidR="00482034" w:rsidRDefault="00482034">
      <w:pPr>
        <w:widowControl w:val="0"/>
        <w:rPr>
          <w:sz w:val="22"/>
          <w:szCs w:val="22"/>
          <w:lang w:val="hu-HU" w:eastAsia="en-US"/>
        </w:rPr>
      </w:pPr>
    </w:p>
    <w:p w14:paraId="4C631DB3" w14:textId="77777777" w:rsidR="00482034" w:rsidRDefault="00FE15A1">
      <w:pPr>
        <w:widowControl w:val="0"/>
        <w:rPr>
          <w:sz w:val="22"/>
          <w:szCs w:val="22"/>
          <w:lang w:val="hu-HU" w:eastAsia="en-US"/>
        </w:rPr>
      </w:pPr>
      <w:r>
        <w:rPr>
          <w:sz w:val="22"/>
          <w:szCs w:val="22"/>
          <w:lang w:val="hu-HU" w:eastAsia="en-US"/>
        </w:rPr>
        <w:t>Súlyos vesekárosodásban szenvedő betegeknél nem végeztek kontrollos hatásossági vizsgálatokat, ezért a tapentadol retard tabletta alkalmazása ebben a populációban nem ajánlott (lásd 4.4 és 5.2 pont).</w:t>
      </w:r>
    </w:p>
    <w:p w14:paraId="11774CDF" w14:textId="77777777" w:rsidR="00482034" w:rsidRDefault="00482034">
      <w:pPr>
        <w:widowControl w:val="0"/>
        <w:rPr>
          <w:sz w:val="22"/>
          <w:szCs w:val="22"/>
          <w:lang w:val="hu-HU" w:eastAsia="en-US"/>
        </w:rPr>
      </w:pPr>
    </w:p>
    <w:p w14:paraId="28CCCF9E" w14:textId="77777777" w:rsidR="00482034" w:rsidRDefault="00FE15A1">
      <w:pPr>
        <w:widowControl w:val="0"/>
        <w:tabs>
          <w:tab w:val="left" w:pos="567"/>
        </w:tabs>
        <w:rPr>
          <w:i/>
          <w:iCs/>
          <w:sz w:val="22"/>
          <w:szCs w:val="22"/>
          <w:lang w:val="hu-HU" w:eastAsia="en-US"/>
        </w:rPr>
      </w:pPr>
      <w:r>
        <w:rPr>
          <w:i/>
          <w:iCs/>
          <w:sz w:val="22"/>
          <w:szCs w:val="22"/>
          <w:lang w:val="hu-HU" w:eastAsia="en-US"/>
        </w:rPr>
        <w:t>Májkárosodás</w:t>
      </w:r>
    </w:p>
    <w:p w14:paraId="5445BA9C" w14:textId="77777777" w:rsidR="00482034" w:rsidRDefault="00FE15A1">
      <w:pPr>
        <w:widowControl w:val="0"/>
        <w:rPr>
          <w:iCs/>
          <w:sz w:val="22"/>
          <w:szCs w:val="22"/>
          <w:lang w:val="hu-HU" w:eastAsia="en-US"/>
        </w:rPr>
      </w:pPr>
      <w:r>
        <w:rPr>
          <w:iCs/>
          <w:sz w:val="22"/>
          <w:szCs w:val="22"/>
          <w:lang w:val="hu-HU" w:eastAsia="en-US"/>
        </w:rPr>
        <w:t>Enyhe májkárosodás esetén nem szükséges az adagolás módosítása (lásd 5.2 pont).</w:t>
      </w:r>
    </w:p>
    <w:p w14:paraId="1214E730" w14:textId="77777777" w:rsidR="00482034" w:rsidRDefault="00482034">
      <w:pPr>
        <w:widowControl w:val="0"/>
        <w:rPr>
          <w:iCs/>
          <w:sz w:val="22"/>
          <w:szCs w:val="22"/>
          <w:lang w:val="hu-HU" w:eastAsia="en-US"/>
        </w:rPr>
      </w:pPr>
    </w:p>
    <w:p w14:paraId="46F5E139" w14:textId="77777777" w:rsidR="00482034" w:rsidRDefault="00FE15A1">
      <w:pPr>
        <w:widowControl w:val="0"/>
        <w:rPr>
          <w:iCs/>
          <w:sz w:val="22"/>
          <w:szCs w:val="22"/>
          <w:lang w:val="hu-HU" w:eastAsia="en-US"/>
        </w:rPr>
      </w:pPr>
      <w:r>
        <w:rPr>
          <w:iCs/>
          <w:sz w:val="22"/>
          <w:szCs w:val="22"/>
          <w:lang w:val="hu-HU" w:eastAsia="en-US"/>
        </w:rPr>
        <w:t>Közepes fokú májkárosodás esetén az Adoben-t óvatosan kell alkalmazni. A kezelést a retard tabletta formájában elérhető legalacsonyabb hatáserősségű adaggal, azaz 50 mg-mal kell kezdeni és nem szabad gyakrabban alkalmazni, mint 24 óránként egyszer. Kezdő terápiaként 50 mg retard tablettánál magasabb napi dózis nem ajánlott. A további kezelés során a tolerabilitás figyelembevételével kell a fájdalomcsillapítás fenntartására törekedni (lásd 4.4 és 5.2 pont).</w:t>
      </w:r>
    </w:p>
    <w:p w14:paraId="61CE17CE" w14:textId="77777777" w:rsidR="00482034" w:rsidRDefault="00482034">
      <w:pPr>
        <w:widowControl w:val="0"/>
        <w:rPr>
          <w:iCs/>
          <w:sz w:val="22"/>
          <w:szCs w:val="22"/>
          <w:lang w:val="hu-HU" w:eastAsia="en-US"/>
        </w:rPr>
      </w:pPr>
    </w:p>
    <w:p w14:paraId="3A741A58" w14:textId="77777777" w:rsidR="00482034" w:rsidRDefault="00FE15A1">
      <w:pPr>
        <w:widowControl w:val="0"/>
        <w:rPr>
          <w:iCs/>
          <w:sz w:val="22"/>
          <w:szCs w:val="22"/>
          <w:lang w:val="hu-HU" w:eastAsia="en-US"/>
        </w:rPr>
      </w:pPr>
      <w:r>
        <w:rPr>
          <w:iCs/>
          <w:sz w:val="22"/>
          <w:szCs w:val="22"/>
          <w:lang w:val="hu-HU" w:eastAsia="en-US"/>
        </w:rPr>
        <w:t xml:space="preserve">Súlyos májkárosodásban szenvedő betegeknél nem végeztek vizsgálatokat, ezért a </w:t>
      </w:r>
      <w:r>
        <w:rPr>
          <w:sz w:val="22"/>
          <w:szCs w:val="22"/>
          <w:lang w:val="hu-HU" w:eastAsia="en-US"/>
        </w:rPr>
        <w:t>tapentadol retard tabletta</w:t>
      </w:r>
      <w:r>
        <w:rPr>
          <w:iCs/>
          <w:sz w:val="22"/>
          <w:szCs w:val="22"/>
          <w:lang w:val="hu-HU" w:eastAsia="en-US"/>
        </w:rPr>
        <w:t xml:space="preserve"> alkalmazása ebben a populációban nem ajánlott (lásd 4.4 és 5.2 pont).</w:t>
      </w:r>
    </w:p>
    <w:p w14:paraId="13237A03" w14:textId="77777777" w:rsidR="00482034" w:rsidRDefault="00482034">
      <w:pPr>
        <w:widowControl w:val="0"/>
        <w:rPr>
          <w:iCs/>
          <w:sz w:val="22"/>
          <w:szCs w:val="22"/>
          <w:lang w:val="hu-HU" w:eastAsia="en-US"/>
        </w:rPr>
      </w:pPr>
    </w:p>
    <w:p w14:paraId="530C88F9" w14:textId="77777777" w:rsidR="00482034" w:rsidRDefault="00FE15A1">
      <w:pPr>
        <w:widowControl w:val="0"/>
        <w:tabs>
          <w:tab w:val="left" w:pos="567"/>
        </w:tabs>
        <w:rPr>
          <w:i/>
          <w:iCs/>
          <w:sz w:val="22"/>
          <w:szCs w:val="22"/>
          <w:lang w:val="hu-HU" w:eastAsia="en-US"/>
        </w:rPr>
      </w:pPr>
      <w:r>
        <w:rPr>
          <w:i/>
          <w:iCs/>
          <w:sz w:val="22"/>
          <w:szCs w:val="22"/>
          <w:lang w:val="hu-HU" w:eastAsia="en-US"/>
        </w:rPr>
        <w:t>Idősek</w:t>
      </w:r>
    </w:p>
    <w:p w14:paraId="22EFA807" w14:textId="77777777" w:rsidR="00482034" w:rsidRDefault="00FE15A1">
      <w:pPr>
        <w:widowControl w:val="0"/>
        <w:rPr>
          <w:iCs/>
          <w:sz w:val="22"/>
          <w:szCs w:val="22"/>
          <w:lang w:val="hu-HU" w:eastAsia="en-US"/>
        </w:rPr>
      </w:pPr>
      <w:r>
        <w:rPr>
          <w:iCs/>
          <w:sz w:val="22"/>
          <w:szCs w:val="22"/>
          <w:lang w:val="hu-HU" w:eastAsia="en-US"/>
        </w:rPr>
        <w:t>Időskorú betegeknél rendszerint nincs szükség a dózis módosítására. Azonban, mivel időskorú betegeknél nagyobb valószínűséggel fordul elő csökkent vese- és májfunkció, ezért az adagolás megválasztásánál körültekintően kell eljárni (lásd 4.2 és 5.2 pont).</w:t>
      </w:r>
    </w:p>
    <w:p w14:paraId="5F0DD9C6" w14:textId="77777777" w:rsidR="00482034" w:rsidRDefault="00482034">
      <w:pPr>
        <w:widowControl w:val="0"/>
        <w:rPr>
          <w:iCs/>
          <w:sz w:val="22"/>
          <w:szCs w:val="22"/>
          <w:lang w:val="hu-HU" w:eastAsia="en-US"/>
        </w:rPr>
      </w:pPr>
    </w:p>
    <w:p w14:paraId="31687AD7" w14:textId="77777777" w:rsidR="00482034" w:rsidRDefault="00FE15A1">
      <w:pPr>
        <w:widowControl w:val="0"/>
        <w:rPr>
          <w:b/>
          <w:bCs/>
          <w:sz w:val="22"/>
          <w:szCs w:val="22"/>
          <w:u w:val="single"/>
          <w:lang w:val="hu-HU" w:eastAsia="en-US"/>
        </w:rPr>
      </w:pPr>
      <w:r>
        <w:rPr>
          <w:b/>
          <w:bCs/>
          <w:sz w:val="22"/>
          <w:szCs w:val="22"/>
          <w:u w:val="single"/>
          <w:lang w:val="hu-HU" w:eastAsia="en-US"/>
        </w:rPr>
        <w:t>Gyermekek és serdülők</w:t>
      </w:r>
    </w:p>
    <w:p w14:paraId="103D51E4" w14:textId="77777777" w:rsidR="00482034" w:rsidRDefault="00482034">
      <w:pPr>
        <w:widowControl w:val="0"/>
        <w:rPr>
          <w:iCs/>
          <w:sz w:val="22"/>
          <w:szCs w:val="22"/>
          <w:lang w:val="hu-HU" w:eastAsia="en-US"/>
        </w:rPr>
      </w:pPr>
    </w:p>
    <w:p w14:paraId="1B7B4BC2" w14:textId="77777777" w:rsidR="00482034" w:rsidRDefault="00FE15A1">
      <w:pPr>
        <w:widowControl w:val="0"/>
        <w:rPr>
          <w:iCs/>
          <w:sz w:val="22"/>
          <w:szCs w:val="22"/>
          <w:lang w:val="hu-HU" w:eastAsia="en-US"/>
        </w:rPr>
      </w:pPr>
      <w:r>
        <w:rPr>
          <w:iCs/>
          <w:sz w:val="22"/>
          <w:szCs w:val="22"/>
          <w:lang w:val="hu-HU" w:eastAsia="en-US"/>
        </w:rPr>
        <w:t>Gyermekek esetén az adagolás függ az életkortól és a testtömegtől</w:t>
      </w:r>
    </w:p>
    <w:p w14:paraId="6416003B" w14:textId="77777777" w:rsidR="00482034" w:rsidRDefault="00482034">
      <w:pPr>
        <w:widowControl w:val="0"/>
        <w:rPr>
          <w:iCs/>
          <w:sz w:val="22"/>
          <w:szCs w:val="22"/>
          <w:lang w:val="hu-HU" w:eastAsia="en-US"/>
        </w:rPr>
      </w:pPr>
    </w:p>
    <w:p w14:paraId="3B13BE76" w14:textId="77777777" w:rsidR="00482034" w:rsidRDefault="00FE15A1">
      <w:pPr>
        <w:widowControl w:val="0"/>
        <w:rPr>
          <w:i/>
          <w:sz w:val="22"/>
          <w:szCs w:val="22"/>
          <w:lang w:val="hu-HU" w:eastAsia="en-US"/>
        </w:rPr>
      </w:pPr>
      <w:r>
        <w:rPr>
          <w:i/>
          <w:sz w:val="22"/>
          <w:szCs w:val="22"/>
          <w:lang w:val="hu-HU" w:eastAsia="en-US"/>
        </w:rPr>
        <w:t>A kezelés megkezdése</w:t>
      </w:r>
    </w:p>
    <w:p w14:paraId="7F7E8556" w14:textId="77777777" w:rsidR="00482034" w:rsidRDefault="00FE15A1">
      <w:pPr>
        <w:widowControl w:val="0"/>
        <w:rPr>
          <w:i/>
          <w:sz w:val="22"/>
          <w:szCs w:val="22"/>
          <w:lang w:val="hu-HU" w:eastAsia="en-US"/>
        </w:rPr>
      </w:pPr>
      <w:r>
        <w:rPr>
          <w:i/>
          <w:sz w:val="22"/>
          <w:szCs w:val="22"/>
          <w:lang w:val="hu-HU" w:eastAsia="en-US"/>
        </w:rPr>
        <w:t>A kezelés megkezdése olyan betegeknél, akik jelenleg nem szednek opiod analgetikumokat</w:t>
      </w:r>
    </w:p>
    <w:p w14:paraId="33CE3798" w14:textId="77777777" w:rsidR="00482034" w:rsidRDefault="00FE15A1">
      <w:pPr>
        <w:widowControl w:val="0"/>
        <w:rPr>
          <w:iCs/>
          <w:sz w:val="22"/>
          <w:szCs w:val="22"/>
          <w:lang w:val="hu-HU" w:eastAsia="en-US"/>
        </w:rPr>
      </w:pPr>
      <w:r>
        <w:rPr>
          <w:iCs/>
          <w:sz w:val="22"/>
          <w:szCs w:val="22"/>
          <w:lang w:val="hu-HU" w:eastAsia="en-US"/>
        </w:rPr>
        <w:t>Gyermekek és serdülők számára, 6 éves kortól betöltött 18. életévig, a javasolt kezdő dózis 1,5 mg, testtömegkilogrammonként 12 óránként adagolva. Mindazonáltal az 50 mg-os kezdő dózist nem szabad túllépni. Az elérhető hatáserősségek közül vagy a 25 mg, vagy az 50 mg tabletta alkalmazandó kezdő dózisként.</w:t>
      </w:r>
    </w:p>
    <w:p w14:paraId="093785BC" w14:textId="77777777" w:rsidR="00482034" w:rsidRDefault="00482034">
      <w:pPr>
        <w:widowControl w:val="0"/>
        <w:rPr>
          <w:iCs/>
          <w:sz w:val="22"/>
          <w:szCs w:val="22"/>
          <w:lang w:val="hu-HU" w:eastAsia="en-US"/>
        </w:rPr>
      </w:pPr>
    </w:p>
    <w:p w14:paraId="321223A9" w14:textId="77777777" w:rsidR="00482034" w:rsidRDefault="00FE15A1">
      <w:pPr>
        <w:widowControl w:val="0"/>
        <w:rPr>
          <w:i/>
          <w:sz w:val="22"/>
          <w:szCs w:val="22"/>
          <w:lang w:val="hu-HU" w:eastAsia="en-US"/>
        </w:rPr>
      </w:pPr>
      <w:r>
        <w:rPr>
          <w:i/>
          <w:sz w:val="22"/>
          <w:szCs w:val="22"/>
          <w:lang w:val="hu-HU" w:eastAsia="en-US"/>
        </w:rPr>
        <w:t>A kezelés megkezdése olyan betegeknél, akik jelenleg is opiod analgetikumokat szednek</w:t>
      </w:r>
    </w:p>
    <w:p w14:paraId="7CEEE43B" w14:textId="77777777" w:rsidR="00482034" w:rsidRDefault="00FE15A1">
      <w:pPr>
        <w:widowControl w:val="0"/>
        <w:rPr>
          <w:iCs/>
          <w:sz w:val="22"/>
          <w:szCs w:val="22"/>
          <w:lang w:val="hu-HU" w:eastAsia="en-US"/>
        </w:rPr>
      </w:pPr>
      <w:r>
        <w:rPr>
          <w:iCs/>
          <w:sz w:val="22"/>
          <w:szCs w:val="22"/>
          <w:lang w:val="hu-HU" w:eastAsia="en-US"/>
        </w:rPr>
        <w:t>Más opioidokról Adobenre történő váltás esetén a kezdő dózis megválasztása során figyelembe kell venni a korábbi gyógyszer jellegét, az adagolását és az átlagos napi adagot. Előfordulhat, hogy azok esetén, akik a kezelés megkezdésekor más opioid analgetikumot is szednek, az Adoben kezdeti dózisa magasabb, mint azoknál, akik nem szedtek.</w:t>
      </w:r>
    </w:p>
    <w:p w14:paraId="73B6A377" w14:textId="77777777" w:rsidR="00482034" w:rsidRDefault="00482034">
      <w:pPr>
        <w:widowControl w:val="0"/>
        <w:rPr>
          <w:iCs/>
          <w:sz w:val="22"/>
          <w:szCs w:val="22"/>
          <w:lang w:val="hu-HU" w:eastAsia="en-US"/>
        </w:rPr>
      </w:pPr>
    </w:p>
    <w:p w14:paraId="40AA0C22" w14:textId="77777777" w:rsidR="00482034" w:rsidRDefault="00FE15A1">
      <w:pPr>
        <w:widowControl w:val="0"/>
        <w:rPr>
          <w:i/>
          <w:sz w:val="22"/>
          <w:szCs w:val="22"/>
          <w:lang w:val="hu-HU" w:eastAsia="en-US"/>
        </w:rPr>
      </w:pPr>
      <w:r>
        <w:rPr>
          <w:i/>
          <w:sz w:val="22"/>
          <w:szCs w:val="22"/>
          <w:lang w:val="hu-HU" w:eastAsia="en-US"/>
        </w:rPr>
        <w:t>Dózisbeállítás és fenntartó kezelés</w:t>
      </w:r>
    </w:p>
    <w:p w14:paraId="56A05096" w14:textId="77777777" w:rsidR="00482034" w:rsidRDefault="00FE15A1">
      <w:pPr>
        <w:widowControl w:val="0"/>
        <w:rPr>
          <w:iCs/>
          <w:sz w:val="22"/>
          <w:szCs w:val="22"/>
          <w:lang w:val="hu-HU" w:eastAsia="en-US"/>
        </w:rPr>
      </w:pPr>
      <w:r>
        <w:rPr>
          <w:iCs/>
          <w:sz w:val="22"/>
          <w:szCs w:val="22"/>
          <w:lang w:val="hu-HU" w:eastAsia="en-US"/>
        </w:rPr>
        <w:t>A terápia megkezdését követően a dózist a kezelőorvos szoros megfigyelése mellett egyénileg kell titrálni arra a szintre, amely biztosítja a megfelelő analgéziát és minimalizálja a mellékhatások kialakulásának valószínűségét. A dózis beállítása 40 kg testtömeget el nem érő betegeknél 25 mg-os, míg a 40 kg testtömeget meghaladó páciensek esetén 25-50 mg-os emelésekkel javasolt. Az emelések között legalább 2 napnak el kell telnie.</w:t>
      </w:r>
    </w:p>
    <w:p w14:paraId="5F407B55" w14:textId="77777777" w:rsidR="00482034" w:rsidRDefault="00482034">
      <w:pPr>
        <w:widowControl w:val="0"/>
        <w:rPr>
          <w:iCs/>
          <w:sz w:val="22"/>
          <w:szCs w:val="22"/>
          <w:lang w:val="hu-HU" w:eastAsia="en-US"/>
        </w:rPr>
      </w:pPr>
    </w:p>
    <w:p w14:paraId="47C85AD9" w14:textId="77777777" w:rsidR="00482034" w:rsidRDefault="00FE15A1">
      <w:pPr>
        <w:widowControl w:val="0"/>
        <w:rPr>
          <w:iCs/>
          <w:sz w:val="22"/>
          <w:szCs w:val="22"/>
          <w:lang w:val="hu-HU" w:eastAsia="en-US"/>
        </w:rPr>
      </w:pPr>
      <w:r>
        <w:rPr>
          <w:iCs/>
          <w:sz w:val="22"/>
          <w:szCs w:val="22"/>
          <w:lang w:val="hu-HU" w:eastAsia="en-US"/>
        </w:rPr>
        <w:t>A maximális javasolt dózis 3,5 mg/testtömegkilogramm, 12 óránként adva. A felíró orvosnak figyelembe kell vennie a rendelkezésre álló hatáserősségeket az optimális dózis eléréséhez az általános, ajánlott dózistartományon belül (1,5-3,5 mg/testtömegkilogramm). A teljes dózis nem haladhatja meg a napi 500 mg-ot, vagyis 250 mg-ot 12 óránként. Egyes betegeknél már az 1,0 mg/testtömegkilogrammos dózisok is előnyösnek bizonyultak.</w:t>
      </w:r>
    </w:p>
    <w:p w14:paraId="6C52110B" w14:textId="77777777" w:rsidR="00482034" w:rsidRDefault="00482034">
      <w:pPr>
        <w:widowControl w:val="0"/>
        <w:rPr>
          <w:iCs/>
          <w:sz w:val="22"/>
          <w:szCs w:val="22"/>
          <w:lang w:val="hu-HU" w:eastAsia="en-US"/>
        </w:rPr>
      </w:pPr>
    </w:p>
    <w:p w14:paraId="2EF3BE02" w14:textId="77777777" w:rsidR="00482034" w:rsidRDefault="00FE15A1">
      <w:pPr>
        <w:widowControl w:val="0"/>
        <w:rPr>
          <w:i/>
          <w:iCs/>
          <w:sz w:val="22"/>
          <w:szCs w:val="22"/>
          <w:u w:val="single"/>
          <w:lang w:val="hu-HU" w:eastAsia="en-US"/>
        </w:rPr>
      </w:pPr>
      <w:r>
        <w:rPr>
          <w:i/>
          <w:iCs/>
          <w:sz w:val="22"/>
          <w:szCs w:val="22"/>
          <w:u w:val="single"/>
          <w:lang w:val="hu-HU" w:eastAsia="en-US"/>
        </w:rPr>
        <w:t>Vesekárosodás</w:t>
      </w:r>
    </w:p>
    <w:p w14:paraId="57CD12CA" w14:textId="77777777" w:rsidR="00482034" w:rsidRDefault="00FE15A1">
      <w:pPr>
        <w:widowControl w:val="0"/>
        <w:rPr>
          <w:sz w:val="22"/>
          <w:szCs w:val="22"/>
          <w:lang w:val="hu-HU" w:eastAsia="en-US"/>
        </w:rPr>
      </w:pPr>
      <w:r>
        <w:rPr>
          <w:sz w:val="22"/>
          <w:szCs w:val="22"/>
          <w:lang w:val="hu-HU" w:eastAsia="en-US"/>
        </w:rPr>
        <w:t>Vesekárosodással élő gyermekek és serdülők esetén nem vizsgálták az Adobent, így alkalmazása nem javasolt ebben a populációban (lásd 4.4 és 5.2 pont).</w:t>
      </w:r>
    </w:p>
    <w:p w14:paraId="7156B4D5" w14:textId="77777777" w:rsidR="00482034" w:rsidRDefault="00482034">
      <w:pPr>
        <w:widowControl w:val="0"/>
        <w:rPr>
          <w:sz w:val="22"/>
          <w:szCs w:val="22"/>
          <w:lang w:val="hu-HU" w:eastAsia="en-US"/>
        </w:rPr>
      </w:pPr>
    </w:p>
    <w:p w14:paraId="26644D56" w14:textId="77777777" w:rsidR="00482034" w:rsidRDefault="00FE15A1">
      <w:pPr>
        <w:widowControl w:val="0"/>
        <w:rPr>
          <w:i/>
          <w:iCs/>
          <w:sz w:val="22"/>
          <w:szCs w:val="22"/>
          <w:u w:val="single"/>
          <w:lang w:val="hu-HU" w:eastAsia="en-US"/>
        </w:rPr>
      </w:pPr>
      <w:r>
        <w:rPr>
          <w:i/>
          <w:iCs/>
          <w:sz w:val="22"/>
          <w:szCs w:val="22"/>
          <w:u w:val="single"/>
          <w:lang w:val="hu-HU" w:eastAsia="en-US"/>
        </w:rPr>
        <w:t>Májkárosodás</w:t>
      </w:r>
    </w:p>
    <w:p w14:paraId="70F79CC1" w14:textId="77777777" w:rsidR="00482034" w:rsidRDefault="00FE15A1">
      <w:pPr>
        <w:widowControl w:val="0"/>
        <w:rPr>
          <w:sz w:val="22"/>
          <w:szCs w:val="22"/>
          <w:lang w:val="hu-HU" w:eastAsia="en-US"/>
        </w:rPr>
      </w:pPr>
      <w:r>
        <w:rPr>
          <w:sz w:val="22"/>
          <w:szCs w:val="22"/>
          <w:lang w:val="hu-HU" w:eastAsia="en-US"/>
        </w:rPr>
        <w:t>Májkárosodással élő gyermekek és serdülők esetén nem vizsgálták az Adobent, így alkalmazása nem javasolt ebben a populációban (lásd 4.4 és 5.2 pont).</w:t>
      </w:r>
    </w:p>
    <w:p w14:paraId="66458103" w14:textId="77777777" w:rsidR="00482034" w:rsidRDefault="00482034">
      <w:pPr>
        <w:widowControl w:val="0"/>
        <w:rPr>
          <w:sz w:val="22"/>
          <w:szCs w:val="22"/>
          <w:lang w:val="hu-HU" w:eastAsia="en-US"/>
        </w:rPr>
      </w:pPr>
    </w:p>
    <w:p w14:paraId="13733552" w14:textId="77777777" w:rsidR="00482034" w:rsidRDefault="00FE15A1">
      <w:pPr>
        <w:widowControl w:val="0"/>
        <w:rPr>
          <w:iCs/>
          <w:sz w:val="22"/>
          <w:szCs w:val="22"/>
          <w:lang w:val="hu-HU" w:eastAsia="en-US"/>
        </w:rPr>
      </w:pPr>
      <w:r>
        <w:rPr>
          <w:sz w:val="22"/>
          <w:szCs w:val="22"/>
          <w:lang w:val="hu-HU" w:eastAsia="en-US"/>
        </w:rPr>
        <w:t>Az Adoben biztonságosságát és hatásosságát 6 évnél fiatalabb gyermekek esetén nem igazolták, ezért ebben a populációban nem javasolt az Adoben alkalmazása.</w:t>
      </w:r>
    </w:p>
    <w:p w14:paraId="45D14D7A" w14:textId="77777777" w:rsidR="00482034" w:rsidRDefault="00482034">
      <w:pPr>
        <w:widowControl w:val="0"/>
        <w:rPr>
          <w:i/>
          <w:iCs/>
          <w:sz w:val="22"/>
          <w:szCs w:val="22"/>
          <w:lang w:val="hu-HU" w:eastAsia="en-US"/>
        </w:rPr>
      </w:pPr>
    </w:p>
    <w:p w14:paraId="09960E20" w14:textId="77777777" w:rsidR="00482034" w:rsidRDefault="00FE15A1">
      <w:pPr>
        <w:rPr>
          <w:sz w:val="22"/>
          <w:szCs w:val="22"/>
          <w:u w:val="single"/>
          <w:lang w:val="hu-HU" w:eastAsia="en-US"/>
        </w:rPr>
      </w:pPr>
      <w:r>
        <w:rPr>
          <w:sz w:val="22"/>
          <w:szCs w:val="22"/>
          <w:u w:val="single"/>
          <w:lang w:val="hu-HU" w:eastAsia="en-US"/>
        </w:rPr>
        <w:t>Az alkalmazás módja</w:t>
      </w:r>
    </w:p>
    <w:p w14:paraId="5CA89C11" w14:textId="77777777" w:rsidR="00482034" w:rsidRDefault="00FE15A1">
      <w:pPr>
        <w:pStyle w:val="Default"/>
        <w:widowControl w:val="0"/>
        <w:spacing w:line="240" w:lineRule="exact"/>
        <w:rPr>
          <w:color w:val="auto"/>
          <w:sz w:val="22"/>
          <w:szCs w:val="22"/>
          <w:lang w:val="hu-HU"/>
        </w:rPr>
      </w:pPr>
      <w:r>
        <w:rPr>
          <w:color w:val="auto"/>
          <w:sz w:val="22"/>
          <w:szCs w:val="22"/>
          <w:lang w:val="hu-HU"/>
        </w:rPr>
        <w:t xml:space="preserve">Az Adoben szájon át alkalmazandó. </w:t>
      </w:r>
    </w:p>
    <w:p w14:paraId="4B782C17" w14:textId="77777777" w:rsidR="00482034" w:rsidRDefault="00FE15A1">
      <w:pPr>
        <w:widowControl w:val="0"/>
        <w:rPr>
          <w:iCs/>
          <w:sz w:val="22"/>
          <w:szCs w:val="22"/>
          <w:lang w:val="hu-HU"/>
        </w:rPr>
      </w:pPr>
      <w:r>
        <w:rPr>
          <w:iCs/>
          <w:sz w:val="22"/>
          <w:szCs w:val="22"/>
          <w:lang w:val="hu-HU"/>
        </w:rPr>
        <w:t>A tablettát egészben kell lenyelni, eltörni vagy szétrágni nem szabad a retard mechanizmus biztosítása érdekében. Az Adoben-t megfelelő mennyiségű folyadékkal kell bevenni. Az Adoben bevehető étellel együtt vagy anélkül.</w:t>
      </w:r>
    </w:p>
    <w:p w14:paraId="5C40481E" w14:textId="77777777" w:rsidR="00482034" w:rsidRDefault="00482034">
      <w:pPr>
        <w:widowControl w:val="0"/>
        <w:rPr>
          <w:iCs/>
          <w:sz w:val="22"/>
          <w:szCs w:val="22"/>
          <w:lang w:val="hu-HU"/>
        </w:rPr>
      </w:pPr>
    </w:p>
    <w:p w14:paraId="291B97F8" w14:textId="77777777" w:rsidR="00482034" w:rsidRDefault="00FE15A1">
      <w:pPr>
        <w:widowControl w:val="0"/>
        <w:rPr>
          <w:iCs/>
          <w:sz w:val="22"/>
          <w:szCs w:val="22"/>
          <w:lang w:val="hu-HU"/>
        </w:rPr>
      </w:pPr>
      <w:r>
        <w:rPr>
          <w:iCs/>
          <w:sz w:val="22"/>
          <w:szCs w:val="22"/>
          <w:lang w:val="hu-HU"/>
        </w:rPr>
        <w:t>A tapentadol tabletta héja (mátrix) nem teljesen emészthető, ezért a széklettel ürülhet és látható lehet a beteg székletében. Ennek azonban nincs klinikai jelentősége, mivel a tabletta hatóanyaga addigra már felszívódott.</w:t>
      </w:r>
    </w:p>
    <w:p w14:paraId="7FC25C8B" w14:textId="77777777" w:rsidR="00737219" w:rsidRDefault="00737219" w:rsidP="00737219">
      <w:pPr>
        <w:widowControl w:val="0"/>
        <w:rPr>
          <w:i/>
          <w:iCs/>
          <w:sz w:val="22"/>
          <w:szCs w:val="22"/>
          <w:lang w:val="hu-HU" w:eastAsia="en-US"/>
        </w:rPr>
      </w:pPr>
    </w:p>
    <w:p w14:paraId="25E5C705" w14:textId="725D48E5" w:rsidR="00737219" w:rsidRPr="00537A8C" w:rsidRDefault="00737219" w:rsidP="00737219">
      <w:pPr>
        <w:widowControl w:val="0"/>
        <w:rPr>
          <w:sz w:val="22"/>
          <w:szCs w:val="22"/>
          <w:u w:val="single"/>
          <w:lang w:val="hu-HU" w:eastAsia="en-US"/>
        </w:rPr>
      </w:pPr>
      <w:r w:rsidRPr="00537A8C">
        <w:rPr>
          <w:sz w:val="22"/>
          <w:szCs w:val="22"/>
          <w:u w:val="single"/>
          <w:lang w:val="hu-HU" w:eastAsia="en-US"/>
        </w:rPr>
        <w:t>A kezelés céljai és a kezelés leállítása</w:t>
      </w:r>
    </w:p>
    <w:p w14:paraId="7B10DAD7" w14:textId="77777777" w:rsidR="00737219" w:rsidRDefault="00737219" w:rsidP="00737219">
      <w:pPr>
        <w:widowControl w:val="0"/>
        <w:rPr>
          <w:sz w:val="22"/>
          <w:szCs w:val="22"/>
          <w:lang w:val="hu-HU" w:eastAsia="en-US"/>
        </w:rPr>
      </w:pPr>
      <w:r>
        <w:rPr>
          <w:sz w:val="22"/>
          <w:szCs w:val="22"/>
          <w:lang w:val="hu-HU" w:eastAsia="en-US"/>
        </w:rPr>
        <w:t>Az Adoben-kezelés megkezdése előtt a beteggel egyeztetni kell a kezelési stratégiát, amely magában foglalja a kezelés időtartamát és céljait, valamint a kezelés leállításának tervét, a fájdalomcsillapításról szóló ajánlásoknak megfelelően. A kezelés során az orvosnak és a betegnek rendszeresen kapcsolatot kell tartania, hogy felmérjék a kezelés folytatásának szükségességét, mérlegeljék a kezelés leállítását, és szükség esetén módosítsák az adagolást. Ha a betegnek már nincs szüksége az Adoben-kezelésre, ajánlott a dózis fokozatos csökkentése az elvonási tünetek megelőzése érdekében. Ha a fájdalomcsillapító hatás nem kielégítő, mérlegelni kell a hyperalgesia, a tolerancia és az alapbetegség progressziójának lehetőségét (lásd 4.4 pont).</w:t>
      </w:r>
    </w:p>
    <w:p w14:paraId="22A1BC3E" w14:textId="77777777" w:rsidR="00482034" w:rsidRDefault="00482034">
      <w:pPr>
        <w:widowControl w:val="0"/>
        <w:rPr>
          <w:iCs/>
          <w:sz w:val="22"/>
          <w:szCs w:val="22"/>
          <w:lang w:val="hu-HU"/>
        </w:rPr>
      </w:pPr>
    </w:p>
    <w:p w14:paraId="31BF6460" w14:textId="77777777" w:rsidR="00482034" w:rsidRPr="00537A8C" w:rsidRDefault="00FE15A1">
      <w:pPr>
        <w:widowControl w:val="0"/>
        <w:rPr>
          <w:iCs/>
          <w:sz w:val="22"/>
          <w:szCs w:val="22"/>
          <w:u w:val="single"/>
          <w:lang w:val="hu-HU"/>
        </w:rPr>
      </w:pPr>
      <w:r w:rsidRPr="00537A8C">
        <w:rPr>
          <w:iCs/>
          <w:sz w:val="22"/>
          <w:szCs w:val="22"/>
          <w:u w:val="single"/>
          <w:lang w:val="hu-HU"/>
        </w:rPr>
        <w:t>A kezelés időtartama</w:t>
      </w:r>
    </w:p>
    <w:p w14:paraId="167A8627" w14:textId="77777777" w:rsidR="00482034" w:rsidRDefault="00FE15A1">
      <w:pPr>
        <w:widowControl w:val="0"/>
        <w:rPr>
          <w:iCs/>
          <w:sz w:val="22"/>
          <w:szCs w:val="22"/>
          <w:lang w:val="hu-HU"/>
        </w:rPr>
      </w:pPr>
      <w:r>
        <w:rPr>
          <w:iCs/>
          <w:sz w:val="22"/>
          <w:szCs w:val="22"/>
          <w:lang w:val="hu-HU"/>
        </w:rPr>
        <w:t>Az Adoben-t nem szabad a szükségesnél hosszabb ideig alkalmazni.</w:t>
      </w:r>
    </w:p>
    <w:p w14:paraId="75794062" w14:textId="77777777" w:rsidR="00482034" w:rsidRDefault="00482034">
      <w:pPr>
        <w:widowControl w:val="0"/>
        <w:tabs>
          <w:tab w:val="left" w:pos="567"/>
        </w:tabs>
        <w:rPr>
          <w:sz w:val="22"/>
          <w:szCs w:val="22"/>
          <w:lang w:val="hu-HU" w:eastAsia="en-US"/>
        </w:rPr>
      </w:pPr>
    </w:p>
    <w:p w14:paraId="47A7F4F9" w14:textId="77777777" w:rsidR="00482034" w:rsidRDefault="00FE15A1">
      <w:pPr>
        <w:widowControl w:val="0"/>
        <w:tabs>
          <w:tab w:val="left" w:pos="567"/>
        </w:tabs>
        <w:rPr>
          <w:b/>
          <w:sz w:val="22"/>
          <w:szCs w:val="22"/>
          <w:lang w:val="en-GB" w:eastAsia="en-US"/>
        </w:rPr>
      </w:pPr>
      <w:r>
        <w:rPr>
          <w:b/>
          <w:sz w:val="22"/>
          <w:szCs w:val="22"/>
          <w:lang w:val="en-GB" w:eastAsia="en-US"/>
        </w:rPr>
        <w:t>4.3</w:t>
      </w:r>
      <w:r>
        <w:rPr>
          <w:b/>
          <w:sz w:val="22"/>
          <w:szCs w:val="22"/>
          <w:lang w:val="en-GB" w:eastAsia="en-US"/>
        </w:rPr>
        <w:tab/>
        <w:t>Ellenjavallatok</w:t>
      </w:r>
    </w:p>
    <w:p w14:paraId="116DDA96" w14:textId="77777777" w:rsidR="00482034" w:rsidRDefault="00482034">
      <w:pPr>
        <w:tabs>
          <w:tab w:val="left" w:pos="567"/>
        </w:tabs>
        <w:rPr>
          <w:b/>
          <w:sz w:val="22"/>
          <w:szCs w:val="22"/>
          <w:lang w:val="hu-HU" w:eastAsia="en-US"/>
        </w:rPr>
      </w:pPr>
    </w:p>
    <w:p w14:paraId="3E677612" w14:textId="77777777" w:rsidR="00482034" w:rsidRDefault="00FE15A1">
      <w:pPr>
        <w:tabs>
          <w:tab w:val="left" w:pos="567"/>
        </w:tabs>
        <w:rPr>
          <w:sz w:val="22"/>
          <w:szCs w:val="22"/>
          <w:lang w:val="hu-HU" w:eastAsia="en-US"/>
        </w:rPr>
      </w:pPr>
      <w:r>
        <w:rPr>
          <w:sz w:val="22"/>
          <w:szCs w:val="22"/>
          <w:lang w:val="hu-HU" w:eastAsia="en-US"/>
        </w:rPr>
        <w:t>Az Adoben ellenjavallt</w:t>
      </w:r>
    </w:p>
    <w:p w14:paraId="2229789E" w14:textId="77777777" w:rsidR="00482034" w:rsidRDefault="00FE15A1">
      <w:pPr>
        <w:pStyle w:val="Listaszerbekezds"/>
        <w:numPr>
          <w:ilvl w:val="0"/>
          <w:numId w:val="3"/>
        </w:numPr>
        <w:ind w:right="-1"/>
      </w:pPr>
      <w:r>
        <w:t>a tapentadollal vagy a 6.1 pontban felsorolt bármely segédanyaggal szembeni túlérzékenység esetén.</w:t>
      </w:r>
    </w:p>
    <w:p w14:paraId="2C050457" w14:textId="77777777" w:rsidR="00482034" w:rsidRDefault="00FE15A1">
      <w:pPr>
        <w:pStyle w:val="Listaszerbekezds"/>
        <w:numPr>
          <w:ilvl w:val="0"/>
          <w:numId w:val="3"/>
        </w:numPr>
        <w:ind w:right="-1"/>
      </w:pPr>
      <w:r>
        <w:t>mű</w:t>
      </w:r>
      <w:r>
        <w:noBreakHyphen/>
        <w:t>opioid receptor agonista hatóanyagok adásának kontraindikációja esetén, mint pl. súlyos légzésdepresszió (monitorozási lehetőség vagy újraélesztő készülék hiánya esetén), és akut vagy súlyos asthma bronchiale vagy hypercapnia fennállása esetén.</w:t>
      </w:r>
    </w:p>
    <w:p w14:paraId="57844742" w14:textId="77777777" w:rsidR="00482034" w:rsidRDefault="00FE15A1">
      <w:pPr>
        <w:pStyle w:val="Listaszerbekezds"/>
        <w:numPr>
          <w:ilvl w:val="0"/>
          <w:numId w:val="3"/>
        </w:numPr>
        <w:ind w:right="-1"/>
      </w:pPr>
      <w:r>
        <w:t>bármelyik beteg esetében, akinél paralyticus ileust diagnosztizáltak, vagy annak gyanúja felmerül.</w:t>
      </w:r>
    </w:p>
    <w:p w14:paraId="08AE9E06" w14:textId="77777777" w:rsidR="00482034" w:rsidRDefault="00FE15A1">
      <w:pPr>
        <w:pStyle w:val="Listaszerbekezds"/>
        <w:numPr>
          <w:ilvl w:val="0"/>
          <w:numId w:val="3"/>
        </w:numPr>
        <w:ind w:right="-1"/>
      </w:pPr>
      <w:r>
        <w:t>akut intoxikáció esetén: alkohollal, altatószerekkel, centrálisan ható fájdalomcsillapítókkal vagy pszichotróp hatóanyagokkal (lásd 4.5 pont).</w:t>
      </w:r>
    </w:p>
    <w:p w14:paraId="2DF10700" w14:textId="77777777" w:rsidR="00482034" w:rsidRDefault="00482034">
      <w:pPr>
        <w:tabs>
          <w:tab w:val="left" w:pos="567"/>
        </w:tabs>
        <w:rPr>
          <w:sz w:val="22"/>
          <w:szCs w:val="22"/>
          <w:lang w:val="hu-HU" w:eastAsia="en-US"/>
        </w:rPr>
      </w:pPr>
    </w:p>
    <w:p w14:paraId="12A65508" w14:textId="77777777" w:rsidR="00482034" w:rsidRDefault="00FE15A1">
      <w:pPr>
        <w:tabs>
          <w:tab w:val="left" w:pos="567"/>
        </w:tabs>
        <w:rPr>
          <w:b/>
          <w:sz w:val="22"/>
          <w:szCs w:val="22"/>
          <w:lang w:val="hu-HU" w:eastAsia="en-US"/>
        </w:rPr>
      </w:pPr>
      <w:r>
        <w:rPr>
          <w:b/>
          <w:sz w:val="22"/>
          <w:szCs w:val="22"/>
          <w:lang w:val="hu-HU" w:eastAsia="en-US"/>
        </w:rPr>
        <w:t>4.4</w:t>
      </w:r>
      <w:r>
        <w:rPr>
          <w:b/>
          <w:sz w:val="22"/>
          <w:szCs w:val="22"/>
          <w:lang w:val="hu-HU" w:eastAsia="en-US"/>
        </w:rPr>
        <w:tab/>
        <w:t>Különleges figyelmeztetések és az alkalmazással kapcsolatos óvintézkedések</w:t>
      </w:r>
    </w:p>
    <w:p w14:paraId="1218D911" w14:textId="77777777" w:rsidR="00482034" w:rsidRDefault="00482034">
      <w:pPr>
        <w:tabs>
          <w:tab w:val="left" w:pos="567"/>
        </w:tabs>
        <w:rPr>
          <w:i/>
          <w:sz w:val="22"/>
          <w:szCs w:val="22"/>
          <w:lang w:val="hu-HU" w:eastAsia="en-US"/>
        </w:rPr>
      </w:pPr>
    </w:p>
    <w:p w14:paraId="5E4C2DC0" w14:textId="77777777" w:rsidR="00482034" w:rsidRDefault="00FE15A1">
      <w:pPr>
        <w:tabs>
          <w:tab w:val="left" w:pos="567"/>
        </w:tabs>
        <w:rPr>
          <w:i/>
          <w:sz w:val="22"/>
          <w:szCs w:val="22"/>
          <w:lang w:val="hu-HU" w:eastAsia="en-US"/>
        </w:rPr>
      </w:pPr>
      <w:r>
        <w:rPr>
          <w:i/>
          <w:sz w:val="22"/>
          <w:szCs w:val="22"/>
          <w:lang w:val="hu-HU" w:eastAsia="en-US"/>
        </w:rPr>
        <w:t>Tolerancia és opioidalkalmazási zavarok (abúzus és függőség)</w:t>
      </w:r>
    </w:p>
    <w:p w14:paraId="2B841104" w14:textId="77777777" w:rsidR="00482034" w:rsidRDefault="00FE15A1">
      <w:pPr>
        <w:tabs>
          <w:tab w:val="left" w:pos="567"/>
        </w:tabs>
        <w:rPr>
          <w:sz w:val="22"/>
          <w:szCs w:val="22"/>
          <w:lang w:val="hu-HU" w:eastAsia="en-US"/>
        </w:rPr>
      </w:pPr>
      <w:r>
        <w:rPr>
          <w:sz w:val="22"/>
          <w:szCs w:val="22"/>
          <w:lang w:val="hu-HU" w:eastAsia="en-US"/>
        </w:rPr>
        <w:t>Opioidok, mint pl. az Adoben, ismétlődő beadása esetén tolerancia és fizikai és/vagy pszichológiai függőség, valamint opioidalkalmazási zavar (opioid use disorder, OUD) alakulhat ki. A nagyobb dózisú és hosszabb ideig tartó opioidkezelés növelheti az OUD kialakulásának kockázatát. Az opioidokkal való visszaélés vagy szándékos helytelen alkalmazás túladagoláshoz vezethet és/vagy halált okozhat. Az OUD kialakulásának kockázata fokozott azoknál a betegeknél, akiknek személyes vagy családi (szülők vagy testvérek) anamnézisében szerepelnek szerhasználatból fakadó zavarok (beleértve az alkoholizmust is), akik aktuálisan dohányoznak, vagy azoknál a betegeknél, akiknek személyes anamnézisében egyéb mentális zavarok (pl. major depresszió, szorongás vagy személyiségzavarok) szerepelnek.</w:t>
      </w:r>
    </w:p>
    <w:p w14:paraId="048DA05F" w14:textId="77777777" w:rsidR="00482034" w:rsidRDefault="00FE15A1">
      <w:pPr>
        <w:tabs>
          <w:tab w:val="left" w:pos="567"/>
        </w:tabs>
        <w:rPr>
          <w:sz w:val="22"/>
          <w:szCs w:val="22"/>
          <w:lang w:val="hu-HU" w:eastAsia="en-US"/>
        </w:rPr>
      </w:pPr>
      <w:r>
        <w:rPr>
          <w:sz w:val="22"/>
          <w:szCs w:val="22"/>
          <w:lang w:val="hu-HU" w:eastAsia="en-US"/>
        </w:rPr>
        <w:t>Az Adoben-kezelés megkezdése előtt és a kezelés alatt a kezelési célokról és a kezelés leállítási tervéről meg kell állapodni a beteggel (lásd 4.2 pont). A kezelés előtt és alatt a beteget az OUD kockázatairól és jeleiről is tájékoztatni kell. Ezeknek a jeleknek az előfordulása esetén a betegeknek azt kell tanácsolni, hogy forduljanak kezelőorvosukhoz.</w:t>
      </w:r>
    </w:p>
    <w:p w14:paraId="484E0ECA" w14:textId="77777777" w:rsidR="00482034" w:rsidRDefault="00FE15A1">
      <w:pPr>
        <w:tabs>
          <w:tab w:val="left" w:pos="567"/>
        </w:tabs>
        <w:rPr>
          <w:sz w:val="22"/>
          <w:szCs w:val="22"/>
          <w:lang w:val="hu-HU" w:eastAsia="en-US"/>
        </w:rPr>
      </w:pPr>
      <w:r>
        <w:rPr>
          <w:sz w:val="22"/>
          <w:szCs w:val="22"/>
          <w:lang w:val="hu-HU" w:eastAsia="en-US"/>
        </w:rPr>
        <w:t>A betegeket monitorozni kell a kábítószer-kereső magatartás tekintetében (pl. túl gyakori gyógyszerfelírási kérések). Ez magában foglalja az egyidejűleg alkalmazott opioidok és pszichoaktív szerek (például benzodiazepinek) ellenőrzését. Az OUD jeleit és tüneteit mutató betegek esetében mérlegelni kell addiktológiai szakemberrel való konzultációt.</w:t>
      </w:r>
    </w:p>
    <w:p w14:paraId="759A30A6" w14:textId="77777777" w:rsidR="00482034" w:rsidRDefault="00482034">
      <w:pPr>
        <w:tabs>
          <w:tab w:val="left" w:pos="567"/>
        </w:tabs>
        <w:rPr>
          <w:sz w:val="22"/>
          <w:szCs w:val="22"/>
          <w:lang w:val="hu-HU" w:eastAsia="en-US"/>
        </w:rPr>
      </w:pPr>
    </w:p>
    <w:p w14:paraId="37494545" w14:textId="77777777" w:rsidR="00482034" w:rsidRDefault="00FE15A1">
      <w:pPr>
        <w:tabs>
          <w:tab w:val="left" w:pos="567"/>
        </w:tabs>
        <w:rPr>
          <w:i/>
          <w:sz w:val="22"/>
          <w:szCs w:val="22"/>
          <w:lang w:val="hu-HU" w:eastAsia="en-US"/>
        </w:rPr>
      </w:pPr>
      <w:r>
        <w:rPr>
          <w:sz w:val="22"/>
          <w:szCs w:val="22"/>
          <w:lang w:val="hu-HU" w:eastAsia="en-US"/>
        </w:rPr>
        <w:t>A tapentadol ismételt alkalmazását követően a kezelőorvosnak figyelemmel kell követnie a megvonás tüneteit és kerülni kell a kezelés hirtelen leállítását (lásd 4.2 és 4.8 pont).</w:t>
      </w:r>
    </w:p>
    <w:p w14:paraId="10F33060" w14:textId="77777777" w:rsidR="00482034" w:rsidRDefault="00482034">
      <w:pPr>
        <w:tabs>
          <w:tab w:val="left" w:pos="567"/>
        </w:tabs>
        <w:rPr>
          <w:sz w:val="22"/>
          <w:szCs w:val="22"/>
          <w:lang w:val="hu-HU" w:eastAsia="en-US"/>
        </w:rPr>
      </w:pPr>
    </w:p>
    <w:p w14:paraId="5C939137" w14:textId="77777777" w:rsidR="00482034" w:rsidRDefault="00FE15A1">
      <w:pPr>
        <w:tabs>
          <w:tab w:val="left" w:pos="567"/>
        </w:tabs>
        <w:rPr>
          <w:rFonts w:eastAsia="SimSun"/>
          <w:i/>
          <w:sz w:val="22"/>
          <w:szCs w:val="22"/>
          <w:lang w:val="hu-HU" w:eastAsia="en-US"/>
        </w:rPr>
      </w:pPr>
      <w:r>
        <w:rPr>
          <w:rFonts w:eastAsia="SimSun"/>
          <w:i/>
          <w:sz w:val="22"/>
          <w:szCs w:val="22"/>
          <w:lang w:val="hu-HU" w:eastAsia="en-US"/>
        </w:rPr>
        <w:t>Nyugtató hatású készítmények, mint például a benzodiazepinek vagy rokon vegyületeik egyidejű alkalmazásának kockázata</w:t>
      </w:r>
    </w:p>
    <w:p w14:paraId="2436C99E" w14:textId="77777777" w:rsidR="00482034" w:rsidRDefault="00FE15A1">
      <w:pPr>
        <w:tabs>
          <w:tab w:val="left" w:pos="567"/>
        </w:tabs>
        <w:rPr>
          <w:rFonts w:eastAsia="SimSun"/>
          <w:sz w:val="22"/>
          <w:szCs w:val="22"/>
          <w:lang w:val="hu-HU" w:eastAsia="en-US"/>
        </w:rPr>
      </w:pPr>
      <w:r>
        <w:rPr>
          <w:rFonts w:eastAsia="SimSun"/>
          <w:sz w:val="22"/>
          <w:szCs w:val="22"/>
          <w:lang w:val="hu-HU" w:eastAsia="en-US"/>
        </w:rPr>
        <w:t xml:space="preserve">Az Adoben és nyugtató hatású készítmények, mint például a benzodiazepinek vagy rokon vegyületeik együttes alkalmazása szedációt, légzésdepressziót, kómát és halált okozhatnak. Ezen kockázatok miatt szedatív gyógyszerek az Adoben-nel együtt kizárólag csak olyan betegeknek rendelhetők, akiknél az alternatív kezelési lehetőségek nem lehetségesek. Ha </w:t>
      </w:r>
      <w:r>
        <w:rPr>
          <w:sz w:val="22"/>
          <w:szCs w:val="22"/>
          <w:lang w:val="hu-HU" w:eastAsia="en-US"/>
        </w:rPr>
        <w:t xml:space="preserve">az Adoben-t </w:t>
      </w:r>
      <w:r>
        <w:rPr>
          <w:rFonts w:eastAsia="SimSun"/>
          <w:sz w:val="22"/>
          <w:szCs w:val="22"/>
          <w:lang w:val="hu-HU" w:eastAsia="en-US"/>
        </w:rPr>
        <w:t>szedatív gyógyszerekkel együtt rendelik, akkor mérlegelni kell az egyik vagy mindkét gyógyszer dózisának csökkentését és az egyidejű kezelés időtartamát a lehető legrövidebbre kell korlátozni.</w:t>
      </w:r>
    </w:p>
    <w:p w14:paraId="64E175AF" w14:textId="77777777" w:rsidR="00482034" w:rsidRDefault="00FE15A1">
      <w:pPr>
        <w:tabs>
          <w:tab w:val="left" w:pos="567"/>
        </w:tabs>
        <w:rPr>
          <w:sz w:val="22"/>
          <w:szCs w:val="22"/>
          <w:lang w:val="hu-HU" w:eastAsia="en-US"/>
        </w:rPr>
      </w:pPr>
      <w:r>
        <w:rPr>
          <w:rFonts w:eastAsia="SimSun"/>
          <w:sz w:val="22"/>
          <w:szCs w:val="22"/>
          <w:lang w:val="hu-HU" w:eastAsia="en-US"/>
        </w:rPr>
        <w:t>A betegek szoros megfigyelése szükséges a légzésdepresszió és a szedáció jeleinek és tüneteinek tekintetében. Ezzel kapcsolatban fokozottan ajánlott a betegek és gondozójuk tájékoztatása annak érdekében, hogy tisztában legyenek ezekkel a tünetekkel (lásd 4.5 pont).</w:t>
      </w:r>
    </w:p>
    <w:p w14:paraId="386C98C3" w14:textId="77777777" w:rsidR="00482034" w:rsidRDefault="00482034">
      <w:pPr>
        <w:tabs>
          <w:tab w:val="left" w:pos="567"/>
        </w:tabs>
        <w:rPr>
          <w:sz w:val="22"/>
          <w:szCs w:val="22"/>
          <w:lang w:val="hu-HU" w:eastAsia="en-US"/>
        </w:rPr>
      </w:pPr>
    </w:p>
    <w:p w14:paraId="392D30AE" w14:textId="77777777" w:rsidR="00482034" w:rsidRDefault="00FE15A1">
      <w:pPr>
        <w:tabs>
          <w:tab w:val="left" w:pos="567"/>
        </w:tabs>
        <w:rPr>
          <w:i/>
          <w:sz w:val="22"/>
          <w:szCs w:val="22"/>
          <w:lang w:val="hu-HU" w:eastAsia="en-US"/>
        </w:rPr>
      </w:pPr>
      <w:r>
        <w:rPr>
          <w:i/>
          <w:sz w:val="22"/>
          <w:szCs w:val="22"/>
          <w:lang w:val="hu-HU" w:eastAsia="en-US"/>
        </w:rPr>
        <w:t>Légzésdepresszió</w:t>
      </w:r>
    </w:p>
    <w:p w14:paraId="15B153C3" w14:textId="77777777" w:rsidR="00482034" w:rsidRDefault="00FE15A1">
      <w:pPr>
        <w:tabs>
          <w:tab w:val="left" w:pos="567"/>
        </w:tabs>
        <w:rPr>
          <w:sz w:val="22"/>
          <w:szCs w:val="22"/>
          <w:lang w:val="hu-HU" w:eastAsia="en-US"/>
        </w:rPr>
      </w:pPr>
      <w:r>
        <w:rPr>
          <w:sz w:val="22"/>
          <w:szCs w:val="22"/>
          <w:lang w:val="hu-HU" w:eastAsia="en-US"/>
        </w:rPr>
        <w:t>Nagy dózisoknál vagy mű</w:t>
      </w:r>
      <w:r>
        <w:rPr>
          <w:sz w:val="22"/>
          <w:szCs w:val="22"/>
          <w:lang w:val="hu-HU" w:eastAsia="en-US"/>
        </w:rPr>
        <w:noBreakHyphen/>
        <w:t>opioid receptor agonistára érzékeny betegeknél az Adoben dózisfüggő légzésdepressziót okozhat. Ezért az Adoben</w:t>
      </w:r>
      <w:r>
        <w:rPr>
          <w:sz w:val="22"/>
          <w:szCs w:val="22"/>
          <w:lang w:val="hu-HU" w:eastAsia="en-US"/>
        </w:rPr>
        <w:noBreakHyphen/>
        <w:t>t óvatosan kell alkalmazni károsodott légzésfunkciójú betegeknél. Mérlegelni kell alternatív nem mű</w:t>
      </w:r>
      <w:r>
        <w:rPr>
          <w:sz w:val="22"/>
          <w:szCs w:val="22"/>
          <w:lang w:val="hu-HU" w:eastAsia="en-US"/>
        </w:rPr>
        <w:noBreakHyphen/>
        <w:t>opioid receptor agonista fájdalomcsillapítók adását, és az Adoben</w:t>
      </w:r>
      <w:r>
        <w:rPr>
          <w:sz w:val="22"/>
          <w:szCs w:val="22"/>
          <w:lang w:val="hu-HU" w:eastAsia="en-US"/>
        </w:rPr>
        <w:noBreakHyphen/>
        <w:t>t csak gondos orvosi ellenőrzés mellett, a legalacsonyabb hatásos dózisban szabad alkalmazni. A fellépő légzésdepressziót úgy kell kezelni, mint bármilyen mű</w:t>
      </w:r>
      <w:r>
        <w:rPr>
          <w:sz w:val="22"/>
          <w:szCs w:val="22"/>
          <w:lang w:val="hu-HU" w:eastAsia="en-US"/>
        </w:rPr>
        <w:noBreakHyphen/>
        <w:t>opioid receptor agonista által kiváltott légzésdepressziót (lásd 4.9 pont).</w:t>
      </w:r>
    </w:p>
    <w:p w14:paraId="4EE71D6E" w14:textId="77777777" w:rsidR="00482034" w:rsidRDefault="00482034">
      <w:pPr>
        <w:tabs>
          <w:tab w:val="left" w:pos="567"/>
        </w:tabs>
        <w:rPr>
          <w:i/>
          <w:sz w:val="22"/>
          <w:szCs w:val="22"/>
          <w:lang w:val="hu-HU" w:eastAsia="en-US"/>
        </w:rPr>
      </w:pPr>
    </w:p>
    <w:p w14:paraId="1360EAA4" w14:textId="77777777" w:rsidR="00482034" w:rsidRDefault="00FE15A1">
      <w:pPr>
        <w:tabs>
          <w:tab w:val="left" w:pos="567"/>
        </w:tabs>
        <w:rPr>
          <w:i/>
          <w:sz w:val="22"/>
          <w:szCs w:val="22"/>
          <w:lang w:val="hu-HU" w:eastAsia="en-US"/>
        </w:rPr>
      </w:pPr>
      <w:r>
        <w:rPr>
          <w:i/>
          <w:sz w:val="22"/>
          <w:szCs w:val="22"/>
          <w:lang w:val="hu-HU" w:eastAsia="en-US"/>
        </w:rPr>
        <w:t>Koponyasérülés és fokozott intracranialis nyomás</w:t>
      </w:r>
    </w:p>
    <w:p w14:paraId="08165BB7" w14:textId="77777777" w:rsidR="00482034" w:rsidRDefault="00FE15A1">
      <w:pPr>
        <w:tabs>
          <w:tab w:val="left" w:pos="567"/>
        </w:tabs>
        <w:rPr>
          <w:sz w:val="22"/>
          <w:szCs w:val="22"/>
          <w:lang w:val="hu-HU" w:eastAsia="en-US"/>
        </w:rPr>
      </w:pPr>
      <w:r>
        <w:rPr>
          <w:sz w:val="22"/>
          <w:szCs w:val="22"/>
          <w:lang w:val="hu-HU" w:eastAsia="en-US"/>
        </w:rPr>
        <w:t>Az Adoben nem alkalmazható azoknál a betegeknél, akik különösen érzékenyek lehetnek szén-dioxid retenció intracranialis hatásaira, mint pl. fokozott intracranialis nyomás tünetei esetén, károsodott tudatállapotú vagy kómában lévő betegeknél. A fájdalomcsillapítók mű</w:t>
      </w:r>
      <w:r>
        <w:rPr>
          <w:sz w:val="22"/>
          <w:szCs w:val="22"/>
          <w:lang w:val="hu-HU" w:eastAsia="en-US"/>
        </w:rPr>
        <w:noBreakHyphen/>
        <w:t>opioid receptor agonista hatásai elfedhetik a koponyasérült beteg klinikai állapotát. Az Adoben-t koponyasérült vagy agydaganatos betegeknél óvatosan kell alkalmazni.</w:t>
      </w:r>
    </w:p>
    <w:p w14:paraId="5CC92F8E" w14:textId="77777777" w:rsidR="00482034" w:rsidRDefault="00482034">
      <w:pPr>
        <w:tabs>
          <w:tab w:val="left" w:pos="567"/>
        </w:tabs>
        <w:rPr>
          <w:sz w:val="22"/>
          <w:szCs w:val="22"/>
          <w:lang w:val="hu-HU" w:eastAsia="en-US"/>
        </w:rPr>
      </w:pPr>
    </w:p>
    <w:p w14:paraId="2D323DA5" w14:textId="77777777" w:rsidR="00482034" w:rsidRDefault="00FE15A1">
      <w:pPr>
        <w:tabs>
          <w:tab w:val="left" w:pos="567"/>
        </w:tabs>
        <w:rPr>
          <w:i/>
          <w:sz w:val="22"/>
          <w:szCs w:val="22"/>
          <w:lang w:val="hu-HU" w:eastAsia="en-US"/>
        </w:rPr>
      </w:pPr>
      <w:r>
        <w:rPr>
          <w:i/>
          <w:sz w:val="22"/>
          <w:szCs w:val="22"/>
          <w:lang w:val="hu-HU" w:eastAsia="en-US"/>
        </w:rPr>
        <w:t>Görcsrohamokkal járó kórképek</w:t>
      </w:r>
    </w:p>
    <w:p w14:paraId="7B739B5C" w14:textId="77777777" w:rsidR="00482034" w:rsidRDefault="00FE15A1">
      <w:pPr>
        <w:tabs>
          <w:tab w:val="left" w:pos="567"/>
        </w:tabs>
        <w:rPr>
          <w:sz w:val="22"/>
          <w:szCs w:val="22"/>
          <w:lang w:val="hu-HU" w:eastAsia="en-US"/>
        </w:rPr>
      </w:pPr>
      <w:r>
        <w:rPr>
          <w:sz w:val="22"/>
          <w:szCs w:val="22"/>
          <w:lang w:val="hu-HU" w:eastAsia="en-US"/>
        </w:rPr>
        <w:t>Az Adoben-t görcsrohamokkal járó kórképekben szenvedő betegeknél szisztematikusan nem értékelték, az ilyen betegeket kizárták a klinikai vizsgálatokból. Azonban más mű</w:t>
      </w:r>
      <w:r>
        <w:rPr>
          <w:sz w:val="22"/>
          <w:szCs w:val="22"/>
          <w:lang w:val="hu-HU" w:eastAsia="en-US"/>
        </w:rPr>
        <w:noBreakHyphen/>
        <w:t>opioid receptor-agonista hatású fájdalomcsillapítókhoz hasonlóan, az Adoben nem ajánlott, ha a beteg anamnézisében görcsrohamokkal járó kórkép szerepel, vagy olyan állapot áll fenn, amely görcsroham kockázatának teheti ki a beteget. Ezenkívül a tapentadol növelheti a görcsrohamok előfordulásának kockázatát azoknál a betegeknél, akik a görcsküszöböt csökkentő egyéb gyógyszereket szednek (lásd 4.5 pont).</w:t>
      </w:r>
    </w:p>
    <w:p w14:paraId="1D1C1003" w14:textId="77777777" w:rsidR="00482034" w:rsidRDefault="00482034">
      <w:pPr>
        <w:tabs>
          <w:tab w:val="left" w:pos="567"/>
        </w:tabs>
        <w:rPr>
          <w:sz w:val="22"/>
          <w:szCs w:val="22"/>
          <w:lang w:val="hu-HU" w:eastAsia="en-US"/>
        </w:rPr>
      </w:pPr>
    </w:p>
    <w:p w14:paraId="589EF2AB" w14:textId="77777777" w:rsidR="00482034" w:rsidRDefault="00FE15A1">
      <w:pPr>
        <w:tabs>
          <w:tab w:val="left" w:pos="567"/>
        </w:tabs>
        <w:rPr>
          <w:i/>
          <w:sz w:val="22"/>
          <w:szCs w:val="22"/>
          <w:lang w:val="hu-HU" w:eastAsia="en-US"/>
        </w:rPr>
      </w:pPr>
      <w:r>
        <w:rPr>
          <w:i/>
          <w:sz w:val="22"/>
          <w:szCs w:val="22"/>
          <w:lang w:val="hu-HU" w:eastAsia="en-US"/>
        </w:rPr>
        <w:t>Vesekárosodás</w:t>
      </w:r>
    </w:p>
    <w:p w14:paraId="64D07112" w14:textId="77777777" w:rsidR="00482034" w:rsidRDefault="00FE15A1">
      <w:pPr>
        <w:tabs>
          <w:tab w:val="left" w:pos="567"/>
        </w:tabs>
        <w:rPr>
          <w:sz w:val="22"/>
          <w:szCs w:val="22"/>
          <w:lang w:val="hu-HU" w:eastAsia="en-US"/>
        </w:rPr>
      </w:pPr>
      <w:r>
        <w:rPr>
          <w:sz w:val="22"/>
          <w:szCs w:val="22"/>
          <w:lang w:val="hu-HU" w:eastAsia="en-US"/>
        </w:rPr>
        <w:t>Súlyos vesekárosodásban szenvedő betegekkel nem végeztek kontrollos hatásossági vizsgálatokat, ezért a tapentadol alkalmazása ebben a populációban nem ajánlott (lásd 4.2 és 5.2 pont).</w:t>
      </w:r>
    </w:p>
    <w:p w14:paraId="2B8EAF69" w14:textId="77777777" w:rsidR="00482034" w:rsidRDefault="00482034">
      <w:pPr>
        <w:tabs>
          <w:tab w:val="left" w:pos="567"/>
        </w:tabs>
        <w:rPr>
          <w:i/>
          <w:sz w:val="22"/>
          <w:szCs w:val="22"/>
          <w:lang w:val="hu-HU" w:eastAsia="en-US"/>
        </w:rPr>
      </w:pPr>
    </w:p>
    <w:p w14:paraId="1BEC09E4" w14:textId="77777777" w:rsidR="00482034" w:rsidRDefault="00FE15A1">
      <w:pPr>
        <w:tabs>
          <w:tab w:val="left" w:pos="567"/>
        </w:tabs>
        <w:rPr>
          <w:i/>
          <w:sz w:val="22"/>
          <w:szCs w:val="22"/>
          <w:lang w:val="hu-HU" w:eastAsia="en-US"/>
        </w:rPr>
      </w:pPr>
      <w:r>
        <w:rPr>
          <w:i/>
          <w:sz w:val="22"/>
          <w:szCs w:val="22"/>
          <w:lang w:val="hu-HU" w:eastAsia="en-US"/>
        </w:rPr>
        <w:t>Májkárosodás</w:t>
      </w:r>
    </w:p>
    <w:p w14:paraId="494432E4" w14:textId="77777777" w:rsidR="00482034" w:rsidRDefault="00FE15A1">
      <w:pPr>
        <w:tabs>
          <w:tab w:val="left" w:pos="567"/>
        </w:tabs>
        <w:rPr>
          <w:sz w:val="22"/>
          <w:szCs w:val="22"/>
          <w:lang w:val="hu-HU" w:eastAsia="en-US"/>
        </w:rPr>
      </w:pPr>
      <w:r>
        <w:rPr>
          <w:sz w:val="22"/>
          <w:szCs w:val="22"/>
          <w:lang w:val="hu-HU" w:eastAsia="en-US"/>
        </w:rPr>
        <w:t>Enyhe és közepes fokú májkárosodásban szenvedő betegeknél a szisztémás expozíció 2-szeresére, ill. 4,5-szörösére emelkedett összehasonlítva a normális májfunkcióval rendelkező egyénekkel. Közepes fokú májkárosodás esetén az Adoben-t óvatosan kell alkalmazni, különösen a kezelés megkezdésekor (lásd 4.2 és 5.2 pont).</w:t>
      </w:r>
    </w:p>
    <w:p w14:paraId="58611E1B" w14:textId="77777777" w:rsidR="00482034" w:rsidRDefault="00FE15A1">
      <w:pPr>
        <w:tabs>
          <w:tab w:val="left" w:pos="567"/>
        </w:tabs>
        <w:rPr>
          <w:sz w:val="22"/>
          <w:szCs w:val="22"/>
          <w:lang w:val="hu-HU" w:eastAsia="en-US"/>
        </w:rPr>
      </w:pPr>
      <w:r>
        <w:rPr>
          <w:sz w:val="22"/>
          <w:szCs w:val="22"/>
          <w:lang w:val="hu-HU" w:eastAsia="en-US"/>
        </w:rPr>
        <w:t>Súlyos májkárosodásban szenvedő betegekkel nem végeztek vizsgálatokat, ezért a tapentadol alkalmazása ebben a populációban nem ajánlott (lásd 4.4 és 5.2 pont).</w:t>
      </w:r>
    </w:p>
    <w:p w14:paraId="20CCE460" w14:textId="77777777" w:rsidR="00482034" w:rsidRDefault="00482034">
      <w:pPr>
        <w:tabs>
          <w:tab w:val="left" w:pos="567"/>
        </w:tabs>
        <w:rPr>
          <w:i/>
          <w:iCs/>
          <w:sz w:val="22"/>
          <w:szCs w:val="22"/>
          <w:lang w:val="hu-HU" w:eastAsia="en-US"/>
        </w:rPr>
      </w:pPr>
    </w:p>
    <w:p w14:paraId="6F62064C" w14:textId="77777777" w:rsidR="00482034" w:rsidRDefault="00FE15A1">
      <w:pPr>
        <w:tabs>
          <w:tab w:val="left" w:pos="567"/>
        </w:tabs>
        <w:rPr>
          <w:i/>
          <w:iCs/>
          <w:sz w:val="22"/>
          <w:szCs w:val="22"/>
          <w:lang w:val="hu-HU" w:eastAsia="en-US"/>
        </w:rPr>
      </w:pPr>
      <w:r>
        <w:rPr>
          <w:i/>
          <w:iCs/>
          <w:sz w:val="22"/>
          <w:szCs w:val="22"/>
          <w:lang w:val="hu-HU" w:eastAsia="en-US"/>
        </w:rPr>
        <w:t>Pancreatitis/biliáris traktus megbetegedése</w:t>
      </w:r>
    </w:p>
    <w:p w14:paraId="1E988022" w14:textId="77777777" w:rsidR="00482034" w:rsidRDefault="00FE15A1">
      <w:pPr>
        <w:tabs>
          <w:tab w:val="left" w:pos="567"/>
        </w:tabs>
        <w:rPr>
          <w:sz w:val="22"/>
          <w:szCs w:val="22"/>
          <w:lang w:val="hu-HU" w:eastAsia="en-US"/>
        </w:rPr>
      </w:pPr>
      <w:r>
        <w:rPr>
          <w:sz w:val="22"/>
          <w:szCs w:val="22"/>
          <w:lang w:val="hu-HU" w:eastAsia="en-US"/>
        </w:rPr>
        <w:t>A mű</w:t>
      </w:r>
      <w:r>
        <w:rPr>
          <w:sz w:val="22"/>
          <w:szCs w:val="22"/>
          <w:lang w:val="hu-HU" w:eastAsia="en-US"/>
        </w:rPr>
        <w:noBreakHyphen/>
        <w:t>opioid receptor agonista hatóanyagok az Oddi-szfinkter spazmusát okozhatják. A biliáris traktus betegségeiben, beleértve az akut pancreatitisben szenvedő betegeket, az Adoben óvatosan alkalmazandó.</w:t>
      </w:r>
    </w:p>
    <w:p w14:paraId="5B7848D4" w14:textId="77777777" w:rsidR="00482034" w:rsidRDefault="00482034">
      <w:pPr>
        <w:tabs>
          <w:tab w:val="left" w:pos="567"/>
        </w:tabs>
        <w:rPr>
          <w:sz w:val="22"/>
          <w:szCs w:val="22"/>
          <w:lang w:val="hu-HU" w:eastAsia="en-US"/>
        </w:rPr>
      </w:pPr>
    </w:p>
    <w:p w14:paraId="308EDADD" w14:textId="77777777" w:rsidR="00482034" w:rsidRDefault="00FE15A1">
      <w:pPr>
        <w:widowControl w:val="0"/>
        <w:ind w:left="720" w:hanging="720"/>
        <w:rPr>
          <w:i/>
          <w:iCs/>
          <w:sz w:val="22"/>
          <w:szCs w:val="22"/>
          <w:lang w:val="en-GB" w:eastAsia="en-US"/>
        </w:rPr>
      </w:pPr>
      <w:r>
        <w:rPr>
          <w:i/>
          <w:iCs/>
          <w:sz w:val="22"/>
          <w:szCs w:val="22"/>
          <w:lang w:val="en-GB" w:eastAsia="en-US"/>
        </w:rPr>
        <w:t>Alvással kapcsolatos légzészavarok</w:t>
      </w:r>
    </w:p>
    <w:p w14:paraId="736F0EB3" w14:textId="77777777" w:rsidR="00482034" w:rsidRDefault="00FE15A1">
      <w:pPr>
        <w:widowControl w:val="0"/>
        <w:rPr>
          <w:iCs/>
          <w:sz w:val="22"/>
          <w:szCs w:val="22"/>
          <w:lang w:val="en" w:eastAsia="en-US"/>
        </w:rPr>
      </w:pPr>
      <w:r>
        <w:rPr>
          <w:iCs/>
          <w:sz w:val="22"/>
          <w:szCs w:val="22"/>
          <w:lang w:val="en" w:eastAsia="en-US"/>
        </w:rPr>
        <w:t>Az opioidok alvással kapcsolatos légzészavarokat, köztük centrális alvási apnoét (central sleep apnoea – CSA) és alvási hypoxaemiát okozhatnak. Az opioidok alkalmazása dózisfüggően fokozza a CSA kialakulásának kockázatát. CSA-ban szenvedő betegeknél megfontolandó az opioidok összdózisának csökkentése.</w:t>
      </w:r>
    </w:p>
    <w:p w14:paraId="0693CEA2" w14:textId="77777777" w:rsidR="00482034" w:rsidRDefault="00482034">
      <w:pPr>
        <w:tabs>
          <w:tab w:val="left" w:pos="567"/>
        </w:tabs>
        <w:rPr>
          <w:sz w:val="22"/>
          <w:szCs w:val="22"/>
          <w:lang w:val="hu-HU" w:eastAsia="en-US"/>
        </w:rPr>
      </w:pPr>
    </w:p>
    <w:p w14:paraId="6F6ADC03" w14:textId="77777777" w:rsidR="00482034" w:rsidRDefault="00FE15A1">
      <w:pPr>
        <w:tabs>
          <w:tab w:val="left" w:pos="567"/>
        </w:tabs>
        <w:rPr>
          <w:iCs/>
          <w:sz w:val="22"/>
          <w:szCs w:val="22"/>
          <w:u w:val="single"/>
          <w:lang w:val="hu-HU" w:eastAsia="en-US"/>
        </w:rPr>
      </w:pPr>
      <w:r>
        <w:rPr>
          <w:iCs/>
          <w:sz w:val="22"/>
          <w:szCs w:val="22"/>
          <w:u w:val="single"/>
          <w:lang w:val="hu-HU" w:eastAsia="en-US"/>
        </w:rPr>
        <w:t>Kevert agonista/antagonista opioidok</w:t>
      </w:r>
    </w:p>
    <w:p w14:paraId="71876403" w14:textId="77777777" w:rsidR="00482034" w:rsidRDefault="00FE15A1">
      <w:pPr>
        <w:autoSpaceDE w:val="0"/>
        <w:autoSpaceDN w:val="0"/>
        <w:adjustRightInd w:val="0"/>
        <w:rPr>
          <w:sz w:val="22"/>
          <w:szCs w:val="22"/>
          <w:lang w:val="hu-HU" w:eastAsia="en-US"/>
        </w:rPr>
      </w:pPr>
      <w:r>
        <w:rPr>
          <w:sz w:val="22"/>
          <w:szCs w:val="22"/>
          <w:lang w:val="hu-HU" w:eastAsia="en-US"/>
        </w:rPr>
        <w:t xml:space="preserve">Óvatosságra van szükség az Adoben és kevert </w:t>
      </w:r>
      <w:r>
        <w:rPr>
          <w:sz w:val="22"/>
          <w:szCs w:val="22"/>
          <w:lang w:val="hu-HU" w:eastAsia="de-DE"/>
        </w:rPr>
        <w:t>mű</w:t>
      </w:r>
      <w:r>
        <w:rPr>
          <w:sz w:val="22"/>
          <w:szCs w:val="22"/>
          <w:lang w:val="hu-HU" w:eastAsia="de-DE"/>
        </w:rPr>
        <w:noBreakHyphen/>
      </w:r>
      <w:r>
        <w:rPr>
          <w:sz w:val="22"/>
          <w:szCs w:val="22"/>
          <w:lang w:val="hu-HU" w:eastAsia="en-US"/>
        </w:rPr>
        <w:t xml:space="preserve">opioid agonisták/antagonisták (pl. pentazocin, nalbufin) vagy részleges </w:t>
      </w:r>
      <w:r>
        <w:rPr>
          <w:sz w:val="22"/>
          <w:szCs w:val="22"/>
          <w:lang w:val="hu-HU" w:eastAsia="de-DE"/>
        </w:rPr>
        <w:t>mű</w:t>
      </w:r>
      <w:r>
        <w:rPr>
          <w:sz w:val="22"/>
          <w:szCs w:val="22"/>
          <w:lang w:val="hu-HU" w:eastAsia="de-DE"/>
        </w:rPr>
        <w:noBreakHyphen/>
      </w:r>
      <w:r>
        <w:rPr>
          <w:sz w:val="22"/>
          <w:szCs w:val="22"/>
          <w:lang w:val="hu-HU" w:eastAsia="en-US"/>
        </w:rPr>
        <w:t>opioid agonisták (pl. a buprenorfin) egyidejű alkalmazásakor. Akut fájdalom esetén, az opioid-függőség kezelésére alkalmazott buprenorfin-kezelés alatt álló betegeknél egyéb kezelési lehetőségeket (mint például a buprenorfin-kezelés átmeneti leállítása) kell megfontolni, amennyiben tiszta mű</w:t>
      </w:r>
      <w:r>
        <w:rPr>
          <w:sz w:val="22"/>
          <w:szCs w:val="22"/>
          <w:lang w:val="hu-HU" w:eastAsia="en-US"/>
        </w:rPr>
        <w:noBreakHyphen/>
        <w:t xml:space="preserve">opioid agonista (mint például a tapentadol) adása válik szükségessé. Buprenorfinnal történő egyidejű alkalmazás esetén a tiszta </w:t>
      </w:r>
      <w:r>
        <w:rPr>
          <w:sz w:val="22"/>
          <w:szCs w:val="22"/>
          <w:lang w:val="hu-HU" w:eastAsia="de-DE"/>
        </w:rPr>
        <w:t>mű</w:t>
      </w:r>
      <w:r>
        <w:rPr>
          <w:sz w:val="22"/>
          <w:szCs w:val="22"/>
          <w:lang w:val="hu-HU" w:eastAsia="de-DE"/>
        </w:rPr>
        <w:noBreakHyphen/>
      </w:r>
      <w:r>
        <w:rPr>
          <w:sz w:val="22"/>
          <w:szCs w:val="22"/>
          <w:lang w:val="hu-HU" w:eastAsia="en-US"/>
        </w:rPr>
        <w:t>opioid agonisták magasabb dózisigényét jelentették, és ezekben az esetekben a mellékhatások – mint például a légzésdepresszió – szoros monitorozása szükséges.</w:t>
      </w:r>
    </w:p>
    <w:p w14:paraId="7214A9EB" w14:textId="77777777" w:rsidR="00482034" w:rsidRDefault="00482034">
      <w:pPr>
        <w:tabs>
          <w:tab w:val="left" w:pos="567"/>
        </w:tabs>
        <w:rPr>
          <w:sz w:val="22"/>
          <w:szCs w:val="22"/>
          <w:lang w:val="hu-HU" w:eastAsia="en-US"/>
        </w:rPr>
      </w:pPr>
    </w:p>
    <w:p w14:paraId="1DC78CB1" w14:textId="77777777" w:rsidR="00482034" w:rsidRDefault="00FE15A1">
      <w:pPr>
        <w:tabs>
          <w:tab w:val="left" w:pos="567"/>
        </w:tabs>
        <w:rPr>
          <w:sz w:val="22"/>
          <w:szCs w:val="22"/>
          <w:lang w:val="hu-HU" w:eastAsia="en-US"/>
        </w:rPr>
      </w:pPr>
      <w:r>
        <w:rPr>
          <w:sz w:val="22"/>
          <w:szCs w:val="22"/>
          <w:lang w:val="hu-HU" w:eastAsia="en-US"/>
        </w:rPr>
        <w:t>Az Adoben laktózt tartalmaz. Ritkán előforduló, örökletes galaktózintoleranciában, teljes laktáz-hiányban vagy glükóz-galaktóz malabszorpcióban a készítmény nem szedhető.</w:t>
      </w:r>
    </w:p>
    <w:p w14:paraId="0B6D2092" w14:textId="77777777" w:rsidR="00482034" w:rsidRDefault="00482034">
      <w:pPr>
        <w:tabs>
          <w:tab w:val="left" w:pos="567"/>
        </w:tabs>
        <w:rPr>
          <w:sz w:val="22"/>
          <w:szCs w:val="22"/>
          <w:lang w:val="hu-HU" w:eastAsia="en-US"/>
        </w:rPr>
      </w:pPr>
    </w:p>
    <w:p w14:paraId="74873257" w14:textId="77777777" w:rsidR="00482034" w:rsidRDefault="00FE15A1">
      <w:pPr>
        <w:tabs>
          <w:tab w:val="left" w:pos="567"/>
        </w:tabs>
        <w:rPr>
          <w:iCs/>
          <w:sz w:val="22"/>
          <w:szCs w:val="22"/>
          <w:u w:val="single"/>
          <w:lang w:val="hu-HU" w:eastAsia="en-US"/>
        </w:rPr>
      </w:pPr>
      <w:r>
        <w:rPr>
          <w:iCs/>
          <w:sz w:val="22"/>
          <w:szCs w:val="22"/>
          <w:u w:val="single"/>
          <w:lang w:val="hu-HU" w:eastAsia="en-US"/>
        </w:rPr>
        <w:t>Gyermekek és serdülők</w:t>
      </w:r>
    </w:p>
    <w:p w14:paraId="01A32161" w14:textId="77777777" w:rsidR="00482034" w:rsidRDefault="00FE15A1">
      <w:pPr>
        <w:numPr>
          <w:ilvl w:val="12"/>
          <w:numId w:val="0"/>
        </w:numPr>
        <w:tabs>
          <w:tab w:val="left" w:pos="567"/>
        </w:tabs>
        <w:rPr>
          <w:sz w:val="22"/>
          <w:szCs w:val="22"/>
          <w:lang w:val="hu-HU" w:eastAsia="en-US"/>
        </w:rPr>
      </w:pPr>
      <w:r>
        <w:rPr>
          <w:sz w:val="22"/>
          <w:szCs w:val="22"/>
          <w:lang w:val="hu-HU" w:eastAsia="en-US"/>
        </w:rPr>
        <w:t>Ugyanazokat a figyelmeztetéseket és óvintézkedéseket kell figyelembe venni az Adoben gyermekeknél és serdülőknél történő alkalmazása során, a következő kiegészítésekkel:</w:t>
      </w:r>
    </w:p>
    <w:p w14:paraId="6A443DC2" w14:textId="77777777" w:rsidR="00482034" w:rsidRDefault="00482034">
      <w:pPr>
        <w:numPr>
          <w:ilvl w:val="12"/>
          <w:numId w:val="0"/>
        </w:numPr>
        <w:tabs>
          <w:tab w:val="left" w:pos="567"/>
        </w:tabs>
        <w:rPr>
          <w:sz w:val="22"/>
          <w:szCs w:val="22"/>
          <w:lang w:val="hu-HU" w:eastAsia="en-US"/>
        </w:rPr>
      </w:pPr>
    </w:p>
    <w:p w14:paraId="57022C2B" w14:textId="77777777" w:rsidR="00482034" w:rsidRDefault="00FE15A1">
      <w:pPr>
        <w:widowControl w:val="0"/>
        <w:rPr>
          <w:sz w:val="22"/>
          <w:szCs w:val="22"/>
          <w:lang w:val="hu-HU" w:eastAsia="en-US"/>
        </w:rPr>
      </w:pPr>
      <w:r>
        <w:rPr>
          <w:sz w:val="22"/>
          <w:szCs w:val="22"/>
          <w:lang w:val="hu-HU" w:eastAsia="en-US"/>
        </w:rPr>
        <w:t>Az Adobent 6 évnél fiatalabb gyermekek esetén nem vizsgálták, ezért ebben a populációban nem javasolt az alkalmazása (lásd 4.1 és 4.2 pont).</w:t>
      </w:r>
    </w:p>
    <w:p w14:paraId="09655A1F" w14:textId="77777777" w:rsidR="00482034" w:rsidRDefault="00482034">
      <w:pPr>
        <w:widowControl w:val="0"/>
        <w:rPr>
          <w:sz w:val="22"/>
          <w:szCs w:val="22"/>
          <w:lang w:val="hu-HU" w:eastAsia="en-US"/>
        </w:rPr>
      </w:pPr>
    </w:p>
    <w:p w14:paraId="103F0B57" w14:textId="77777777" w:rsidR="00482034" w:rsidRDefault="00FE15A1">
      <w:pPr>
        <w:widowControl w:val="0"/>
        <w:rPr>
          <w:iCs/>
          <w:sz w:val="22"/>
          <w:szCs w:val="22"/>
          <w:lang w:val="hu-HU" w:eastAsia="en-US"/>
        </w:rPr>
      </w:pPr>
      <w:r>
        <w:rPr>
          <w:iCs/>
          <w:sz w:val="22"/>
          <w:szCs w:val="22"/>
          <w:lang w:val="hu-HU" w:eastAsia="en-US"/>
        </w:rPr>
        <w:t>Az Adoben szisztematikus kiértékelése nem történt meg túlsúlyos gyermekek és serdülők esetén, ezért ebben a populációban alapos megfigyelés mellett alkalmazandó, és kerülni kell a maximális dózis elérését.</w:t>
      </w:r>
    </w:p>
    <w:p w14:paraId="5DA2C54C" w14:textId="77777777" w:rsidR="00482034" w:rsidRDefault="00482034">
      <w:pPr>
        <w:widowControl w:val="0"/>
        <w:rPr>
          <w:iCs/>
          <w:sz w:val="22"/>
          <w:szCs w:val="22"/>
          <w:lang w:val="hu-HU" w:eastAsia="en-US"/>
        </w:rPr>
      </w:pPr>
    </w:p>
    <w:p w14:paraId="4877D365" w14:textId="77777777" w:rsidR="00482034" w:rsidRDefault="00FE15A1">
      <w:pPr>
        <w:widowControl w:val="0"/>
        <w:rPr>
          <w:sz w:val="22"/>
          <w:szCs w:val="22"/>
          <w:lang w:val="hu-HU" w:eastAsia="en-US"/>
        </w:rPr>
      </w:pPr>
      <w:r>
        <w:rPr>
          <w:sz w:val="22"/>
          <w:szCs w:val="22"/>
          <w:lang w:val="hu-HU" w:eastAsia="en-US"/>
        </w:rPr>
        <w:t>Az Adobent vese- vagy májkárosodással élő gyermekek és serdülők esetén nem vizsgálták, ezért ebben a populációban nem javasolt az alkalmazása (lásd 4.2 és 5.2 pont).</w:t>
      </w:r>
    </w:p>
    <w:p w14:paraId="37F59AEA" w14:textId="77777777" w:rsidR="00482034" w:rsidRDefault="00482034">
      <w:pPr>
        <w:numPr>
          <w:ilvl w:val="12"/>
          <w:numId w:val="0"/>
        </w:numPr>
        <w:tabs>
          <w:tab w:val="left" w:pos="567"/>
        </w:tabs>
        <w:rPr>
          <w:sz w:val="22"/>
          <w:szCs w:val="22"/>
          <w:lang w:val="hu-HU" w:eastAsia="en-US"/>
        </w:rPr>
      </w:pPr>
    </w:p>
    <w:p w14:paraId="6444D8F3" w14:textId="77777777" w:rsidR="00482034" w:rsidRDefault="00FE15A1">
      <w:pPr>
        <w:tabs>
          <w:tab w:val="left" w:pos="567"/>
        </w:tabs>
        <w:rPr>
          <w:b/>
          <w:sz w:val="22"/>
          <w:szCs w:val="22"/>
          <w:lang w:val="hu-HU" w:eastAsia="en-US"/>
        </w:rPr>
      </w:pPr>
      <w:r>
        <w:rPr>
          <w:b/>
          <w:sz w:val="22"/>
          <w:szCs w:val="22"/>
          <w:lang w:val="hu-HU" w:eastAsia="en-US"/>
        </w:rPr>
        <w:t>4.5</w:t>
      </w:r>
      <w:r>
        <w:rPr>
          <w:b/>
          <w:sz w:val="22"/>
          <w:szCs w:val="22"/>
          <w:lang w:val="hu-HU" w:eastAsia="en-US"/>
        </w:rPr>
        <w:tab/>
        <w:t>Gyógyszerkölcsönhatások és egyéb interakciók</w:t>
      </w:r>
    </w:p>
    <w:p w14:paraId="4043C93B" w14:textId="77777777" w:rsidR="00482034" w:rsidRDefault="00482034">
      <w:pPr>
        <w:tabs>
          <w:tab w:val="left" w:pos="567"/>
        </w:tabs>
        <w:rPr>
          <w:b/>
          <w:sz w:val="22"/>
          <w:szCs w:val="22"/>
          <w:lang w:val="hu-HU" w:eastAsia="en-US"/>
        </w:rPr>
      </w:pPr>
    </w:p>
    <w:p w14:paraId="038BA5F1" w14:textId="77777777" w:rsidR="00482034" w:rsidRDefault="00FE15A1">
      <w:pPr>
        <w:tabs>
          <w:tab w:val="left" w:pos="567"/>
        </w:tabs>
        <w:rPr>
          <w:i/>
          <w:sz w:val="22"/>
          <w:szCs w:val="22"/>
          <w:lang w:val="hu-HU" w:eastAsia="en-US"/>
        </w:rPr>
      </w:pPr>
      <w:r>
        <w:rPr>
          <w:i/>
          <w:sz w:val="22"/>
          <w:szCs w:val="22"/>
          <w:lang w:val="hu-HU" w:eastAsia="en-US"/>
        </w:rPr>
        <w:t>Központi hatású gyógyszerek/központi idegrendszeri (CNS-) depresszánsok, beleértve az alkoholt és a CNS-depresszáns narkotikumokat</w:t>
      </w:r>
    </w:p>
    <w:p w14:paraId="1F69C94C" w14:textId="77777777" w:rsidR="00482034" w:rsidRDefault="00FE15A1">
      <w:pPr>
        <w:tabs>
          <w:tab w:val="left" w:pos="567"/>
        </w:tabs>
      </w:pPr>
      <w:r>
        <w:rPr>
          <w:sz w:val="22"/>
          <w:szCs w:val="22"/>
          <w:lang w:val="hu-HU" w:eastAsia="en-US"/>
        </w:rPr>
        <w:t>Az Adoben nyugtató hatású gyógyszerekkel, mint például a benzodiazepinekkel vagy más légzőrendszeri vagy központi idegrendszeri depresszánsokkal (egyéb opioidokkal, köhögéscsillapítókkal vagy szubszitúciós kezelésekkel, barbiturátokkal, antipszichotikumokkal, H1</w:t>
      </w:r>
      <w:r>
        <w:rPr>
          <w:sz w:val="22"/>
          <w:szCs w:val="22"/>
          <w:lang w:val="hu-HU" w:eastAsia="en-US"/>
        </w:rPr>
        <w:noBreakHyphen/>
        <w:t xml:space="preserve">antihisztaminokkal, alkohollal) való együttes alkalmazása az additív központi idegrendszeri depresszáns hatás miatt növeli a szedáció, a légzésdepresszió, a kóma, illetve a haláleset kockázatát. </w:t>
      </w:r>
      <w:r>
        <w:rPr>
          <w:iCs/>
          <w:sz w:val="22"/>
          <w:szCs w:val="22"/>
          <w:lang w:val="hu-HU" w:eastAsia="de-DE"/>
        </w:rPr>
        <w:t>Amennyiben az Adoben-t légzőrendszeri vagy központi idegrendszeri depresszánssal kombinációban alkalmazzák, mérlegelni kell az egyik vagy mindkét hatóanyag dózisának csökkentését,</w:t>
      </w:r>
      <w:r>
        <w:rPr>
          <w:sz w:val="22"/>
          <w:szCs w:val="22"/>
          <w:lang w:val="hu-HU" w:eastAsia="en-US"/>
        </w:rPr>
        <w:t xml:space="preserve"> és korlátozni kell a kombinációs alkalmazás időtartamát (lásd 4.4 pont).</w:t>
      </w:r>
    </w:p>
    <w:p w14:paraId="385C2BAC" w14:textId="77777777" w:rsidR="00482034" w:rsidRDefault="00FE15A1">
      <w:pPr>
        <w:tabs>
          <w:tab w:val="left" w:pos="567"/>
        </w:tabs>
        <w:rPr>
          <w:sz w:val="22"/>
          <w:szCs w:val="22"/>
          <w:lang w:val="hu-HU" w:eastAsia="en-US"/>
        </w:rPr>
      </w:pPr>
      <w:r>
        <w:rPr>
          <w:sz w:val="22"/>
          <w:szCs w:val="22"/>
          <w:lang w:val="hu-HU" w:eastAsia="en-US"/>
        </w:rPr>
        <w:t>Az opioidok és gabapentinoidok (gabapentin és pregabalin) egyidejű alkalmazása növeli az opioid-túladagolás, a légzésdepresszió és a halál kockázatát.</w:t>
      </w:r>
    </w:p>
    <w:p w14:paraId="43042EC4" w14:textId="77777777" w:rsidR="00482034" w:rsidRDefault="00482034">
      <w:pPr>
        <w:tabs>
          <w:tab w:val="left" w:pos="567"/>
        </w:tabs>
        <w:rPr>
          <w:sz w:val="22"/>
          <w:szCs w:val="22"/>
          <w:lang w:val="hu-HU" w:eastAsia="en-US"/>
        </w:rPr>
      </w:pPr>
    </w:p>
    <w:p w14:paraId="33431369" w14:textId="77777777" w:rsidR="00482034" w:rsidRDefault="00FE15A1">
      <w:pPr>
        <w:tabs>
          <w:tab w:val="left" w:pos="567"/>
        </w:tabs>
        <w:rPr>
          <w:i/>
          <w:iCs/>
          <w:sz w:val="22"/>
          <w:szCs w:val="22"/>
          <w:lang w:val="hu-HU" w:eastAsia="en-US"/>
        </w:rPr>
      </w:pPr>
      <w:r>
        <w:rPr>
          <w:i/>
          <w:iCs/>
          <w:sz w:val="22"/>
          <w:szCs w:val="22"/>
          <w:lang w:val="hu-HU" w:eastAsia="en-US"/>
        </w:rPr>
        <w:t>Kevert agonista/antagonista opioidok</w:t>
      </w:r>
    </w:p>
    <w:p w14:paraId="2F4C79EA" w14:textId="77777777" w:rsidR="00482034" w:rsidRDefault="00FE15A1">
      <w:pPr>
        <w:autoSpaceDE w:val="0"/>
        <w:autoSpaceDN w:val="0"/>
        <w:adjustRightInd w:val="0"/>
        <w:rPr>
          <w:sz w:val="22"/>
          <w:szCs w:val="22"/>
          <w:lang w:val="hu-HU" w:eastAsia="en-US"/>
        </w:rPr>
      </w:pPr>
      <w:r>
        <w:rPr>
          <w:sz w:val="22"/>
          <w:szCs w:val="22"/>
          <w:lang w:val="hu-HU" w:eastAsia="en-US"/>
        </w:rPr>
        <w:t xml:space="preserve">Óvatosságra van szükség amennyiben az Adoben-t kevert </w:t>
      </w:r>
      <w:r>
        <w:rPr>
          <w:sz w:val="22"/>
          <w:szCs w:val="22"/>
          <w:lang w:val="hu-HU" w:eastAsia="de-DE"/>
        </w:rPr>
        <w:t>mű</w:t>
      </w:r>
      <w:r>
        <w:rPr>
          <w:sz w:val="22"/>
          <w:szCs w:val="22"/>
          <w:lang w:val="hu-HU" w:eastAsia="de-DE"/>
        </w:rPr>
        <w:noBreakHyphen/>
      </w:r>
      <w:r>
        <w:rPr>
          <w:sz w:val="22"/>
          <w:szCs w:val="22"/>
          <w:lang w:val="hu-HU" w:eastAsia="en-US"/>
        </w:rPr>
        <w:t xml:space="preserve">opioid agonistákkal/antagonistákkal (pl. pentazocin, nalbufin) vagy részleges </w:t>
      </w:r>
      <w:r>
        <w:rPr>
          <w:sz w:val="22"/>
          <w:szCs w:val="22"/>
          <w:lang w:val="hu-HU" w:eastAsia="de-DE"/>
        </w:rPr>
        <w:t>mű</w:t>
      </w:r>
      <w:r>
        <w:rPr>
          <w:sz w:val="22"/>
          <w:szCs w:val="22"/>
          <w:lang w:val="hu-HU" w:eastAsia="de-DE"/>
        </w:rPr>
        <w:noBreakHyphen/>
      </w:r>
      <w:r>
        <w:rPr>
          <w:sz w:val="22"/>
          <w:szCs w:val="22"/>
          <w:lang w:val="hu-HU" w:eastAsia="en-US"/>
        </w:rPr>
        <w:t>opioid agonistákkal (pl. a buprenorfin) együttesen alkalmazzák (lásd 4.4 pont).</w:t>
      </w:r>
    </w:p>
    <w:p w14:paraId="23EDC686" w14:textId="77777777" w:rsidR="00482034" w:rsidRDefault="00482034">
      <w:pPr>
        <w:autoSpaceDE w:val="0"/>
        <w:autoSpaceDN w:val="0"/>
        <w:adjustRightInd w:val="0"/>
        <w:rPr>
          <w:sz w:val="22"/>
          <w:szCs w:val="22"/>
          <w:lang w:val="hu-HU" w:eastAsia="en-US"/>
        </w:rPr>
      </w:pPr>
    </w:p>
    <w:p w14:paraId="73E5C537" w14:textId="77777777" w:rsidR="00482034" w:rsidRDefault="00FE15A1">
      <w:pPr>
        <w:autoSpaceDE w:val="0"/>
        <w:autoSpaceDN w:val="0"/>
        <w:adjustRightInd w:val="0"/>
        <w:rPr>
          <w:sz w:val="22"/>
          <w:szCs w:val="22"/>
          <w:lang w:val="hu-HU" w:eastAsia="en-US"/>
        </w:rPr>
      </w:pPr>
      <w:r>
        <w:rPr>
          <w:sz w:val="22"/>
          <w:szCs w:val="22"/>
          <w:lang w:val="hu-HU" w:eastAsia="en-US"/>
        </w:rPr>
        <w:t>Az Adoben görcsrohamokat válthat ki és növelheti a szelektív szerotoninvisszavétel-gátlók (SSRI</w:t>
      </w:r>
      <w:r>
        <w:rPr>
          <w:sz w:val="22"/>
          <w:szCs w:val="22"/>
          <w:lang w:val="hu-HU" w:eastAsia="en-US"/>
        </w:rPr>
        <w:noBreakHyphen/>
        <w:t>k), a szerotonin-noradrenalin visszavételgátlók (SNRI</w:t>
      </w:r>
      <w:r>
        <w:rPr>
          <w:sz w:val="22"/>
          <w:szCs w:val="22"/>
          <w:lang w:val="hu-HU" w:eastAsia="en-US"/>
        </w:rPr>
        <w:noBreakHyphen/>
        <w:t>k), a triciklusos antidepresszánsok, az antipszichotikumok és a görcsküszöböt csökkentő egyéb gyógyszerek görcskeltő potenciálját.</w:t>
      </w:r>
    </w:p>
    <w:p w14:paraId="50CBB435" w14:textId="77777777" w:rsidR="00482034" w:rsidRDefault="00482034">
      <w:pPr>
        <w:autoSpaceDE w:val="0"/>
        <w:autoSpaceDN w:val="0"/>
        <w:adjustRightInd w:val="0"/>
        <w:rPr>
          <w:iCs/>
          <w:sz w:val="22"/>
          <w:szCs w:val="22"/>
          <w:shd w:val="pct15" w:color="auto" w:fill="FFFFFF"/>
          <w:lang w:val="hu-HU" w:eastAsia="de-DE"/>
        </w:rPr>
      </w:pPr>
    </w:p>
    <w:p w14:paraId="31CD3E61" w14:textId="77777777" w:rsidR="00482034" w:rsidRDefault="00FE15A1">
      <w:pPr>
        <w:tabs>
          <w:tab w:val="left" w:pos="567"/>
        </w:tabs>
        <w:rPr>
          <w:sz w:val="22"/>
          <w:szCs w:val="22"/>
          <w:lang w:val="hu-HU" w:eastAsia="en-US"/>
        </w:rPr>
      </w:pPr>
      <w:r>
        <w:rPr>
          <w:sz w:val="22"/>
          <w:szCs w:val="22"/>
          <w:lang w:val="hu-HU" w:eastAsia="en-US"/>
        </w:rPr>
        <w:t>Szerotoninszindrómát jelentettek olyan esetekben, amelyek időbeli összefüggést mutattak a tapentadol terápiás célú alkalmazásával, kombinációban szerotoninerg gyógyszerekkel, például szelektív szerotoninvisszavétel-gátlókkal (SSRI</w:t>
      </w:r>
      <w:r>
        <w:rPr>
          <w:sz w:val="22"/>
          <w:szCs w:val="22"/>
          <w:lang w:val="hu-HU" w:eastAsia="en-US"/>
        </w:rPr>
        <w:noBreakHyphen/>
        <w:t>k),</w:t>
      </w:r>
      <w:r>
        <w:rPr>
          <w:sz w:val="22"/>
          <w:lang w:val="hu-HU" w:eastAsia="en-US"/>
        </w:rPr>
        <w:t xml:space="preserve"> </w:t>
      </w:r>
      <w:r>
        <w:rPr>
          <w:sz w:val="22"/>
          <w:szCs w:val="22"/>
          <w:lang w:val="hu-HU" w:eastAsia="en-US"/>
        </w:rPr>
        <w:t>szerotonin-noradrenalin visszavételgátlókkal (SNRI</w:t>
      </w:r>
      <w:r>
        <w:rPr>
          <w:sz w:val="22"/>
          <w:szCs w:val="22"/>
          <w:lang w:val="hu-HU" w:eastAsia="en-US"/>
        </w:rPr>
        <w:noBreakHyphen/>
        <w:t>k) vagy triciklusos antidepresszánsokkal.</w:t>
      </w:r>
    </w:p>
    <w:p w14:paraId="29DEE303" w14:textId="77777777" w:rsidR="00482034" w:rsidRDefault="00482034">
      <w:pPr>
        <w:tabs>
          <w:tab w:val="left" w:pos="567"/>
        </w:tabs>
        <w:rPr>
          <w:sz w:val="22"/>
          <w:szCs w:val="22"/>
          <w:lang w:val="hu-HU" w:eastAsia="en-US"/>
        </w:rPr>
      </w:pPr>
    </w:p>
    <w:p w14:paraId="66B7A069" w14:textId="77777777" w:rsidR="00482034" w:rsidRDefault="00FE15A1">
      <w:pPr>
        <w:tabs>
          <w:tab w:val="left" w:pos="567"/>
        </w:tabs>
        <w:rPr>
          <w:sz w:val="22"/>
          <w:szCs w:val="22"/>
          <w:lang w:val="hu-HU" w:eastAsia="en-US"/>
        </w:rPr>
      </w:pPr>
      <w:r>
        <w:rPr>
          <w:sz w:val="22"/>
          <w:szCs w:val="22"/>
          <w:lang w:val="hu-HU" w:eastAsia="en-US"/>
        </w:rPr>
        <w:t>A szerotoninszindróma kialkulása valószínű, ha az alábbiak valamelyike megfigyelhető:</w:t>
      </w:r>
    </w:p>
    <w:p w14:paraId="2D91D06F" w14:textId="77777777" w:rsidR="00482034" w:rsidRDefault="00FE15A1">
      <w:pPr>
        <w:numPr>
          <w:ilvl w:val="0"/>
          <w:numId w:val="5"/>
        </w:numPr>
        <w:spacing w:line="260" w:lineRule="exact"/>
        <w:ind w:left="567" w:hanging="567"/>
        <w:rPr>
          <w:rFonts w:eastAsia="Calibri"/>
          <w:sz w:val="22"/>
          <w:szCs w:val="22"/>
          <w:lang w:val="hu-HU" w:eastAsia="en-US"/>
        </w:rPr>
      </w:pPr>
      <w:r>
        <w:rPr>
          <w:rFonts w:eastAsia="Calibri"/>
          <w:sz w:val="22"/>
          <w:szCs w:val="22"/>
          <w:lang w:val="hu-HU" w:eastAsia="en-US"/>
        </w:rPr>
        <w:t>spontán klónus</w:t>
      </w:r>
    </w:p>
    <w:p w14:paraId="4DF60891" w14:textId="77777777" w:rsidR="00482034" w:rsidRDefault="00FE15A1">
      <w:pPr>
        <w:numPr>
          <w:ilvl w:val="0"/>
          <w:numId w:val="5"/>
        </w:numPr>
        <w:spacing w:line="260" w:lineRule="exact"/>
        <w:ind w:left="567" w:hanging="567"/>
        <w:rPr>
          <w:rFonts w:eastAsia="Calibri"/>
          <w:sz w:val="22"/>
          <w:szCs w:val="22"/>
          <w:lang w:val="hu-HU" w:eastAsia="en-US"/>
        </w:rPr>
      </w:pPr>
      <w:r>
        <w:rPr>
          <w:rFonts w:eastAsia="Calibri"/>
          <w:sz w:val="22"/>
          <w:szCs w:val="22"/>
          <w:lang w:val="hu-HU" w:eastAsia="en-US"/>
        </w:rPr>
        <w:t>izgatottsággal vagy bőséges verejtékezéssel járó kiváltható vagy okuláris klónus</w:t>
      </w:r>
    </w:p>
    <w:p w14:paraId="72B37F22" w14:textId="77777777" w:rsidR="00482034" w:rsidRDefault="00FE15A1">
      <w:pPr>
        <w:numPr>
          <w:ilvl w:val="0"/>
          <w:numId w:val="5"/>
        </w:numPr>
        <w:spacing w:line="260" w:lineRule="exact"/>
        <w:ind w:left="567" w:hanging="567"/>
        <w:rPr>
          <w:rFonts w:eastAsia="Calibri"/>
          <w:sz w:val="22"/>
          <w:szCs w:val="22"/>
          <w:lang w:val="hu-HU" w:eastAsia="en-US"/>
        </w:rPr>
      </w:pPr>
      <w:r>
        <w:rPr>
          <w:rFonts w:eastAsia="Calibri"/>
          <w:sz w:val="22"/>
          <w:szCs w:val="22"/>
          <w:lang w:val="hu-HU" w:eastAsia="en-US"/>
        </w:rPr>
        <w:t>tremor és hiperreflexia</w:t>
      </w:r>
    </w:p>
    <w:p w14:paraId="6B214119" w14:textId="77777777" w:rsidR="00482034" w:rsidRDefault="00FE15A1">
      <w:pPr>
        <w:numPr>
          <w:ilvl w:val="0"/>
          <w:numId w:val="5"/>
        </w:numPr>
        <w:spacing w:line="260" w:lineRule="exact"/>
        <w:ind w:left="567" w:hanging="567"/>
        <w:rPr>
          <w:rFonts w:eastAsia="Calibri"/>
          <w:sz w:val="22"/>
          <w:szCs w:val="22"/>
          <w:lang w:val="hu-HU" w:eastAsia="en-US"/>
        </w:rPr>
      </w:pPr>
      <w:r>
        <w:rPr>
          <w:rFonts w:eastAsia="Calibri"/>
          <w:sz w:val="22"/>
          <w:szCs w:val="22"/>
          <w:lang w:val="hu-HU" w:eastAsia="en-US"/>
        </w:rPr>
        <w:t>hypertonia, 38 °C-nál magasabb testhőmérséklet és kiváltható okuláris klónus</w:t>
      </w:r>
    </w:p>
    <w:p w14:paraId="75CB3EC2" w14:textId="77777777" w:rsidR="00482034" w:rsidRDefault="00482034">
      <w:pPr>
        <w:tabs>
          <w:tab w:val="left" w:pos="567"/>
        </w:tabs>
        <w:rPr>
          <w:sz w:val="22"/>
          <w:szCs w:val="22"/>
          <w:lang w:val="hu-HU" w:eastAsia="en-US"/>
        </w:rPr>
      </w:pPr>
    </w:p>
    <w:p w14:paraId="1133A139" w14:textId="77777777" w:rsidR="00482034" w:rsidRDefault="00FE15A1">
      <w:pPr>
        <w:tabs>
          <w:tab w:val="left" w:pos="567"/>
        </w:tabs>
        <w:rPr>
          <w:sz w:val="22"/>
          <w:szCs w:val="22"/>
          <w:lang w:val="hu-HU" w:eastAsia="en-US"/>
        </w:rPr>
      </w:pPr>
      <w:r>
        <w:rPr>
          <w:sz w:val="22"/>
          <w:szCs w:val="22"/>
          <w:lang w:val="hu-HU" w:eastAsia="en-US"/>
        </w:rPr>
        <w:t>A szerotoninerg gyógyszer megvonása rendszerint gyors javulást eredményez. A szerotoninszindróma kezelése a tünetek természetétől és súlyosságától függ.</w:t>
      </w:r>
    </w:p>
    <w:p w14:paraId="04BCCE38" w14:textId="77777777" w:rsidR="00482034" w:rsidRDefault="00482034">
      <w:pPr>
        <w:tabs>
          <w:tab w:val="left" w:pos="567"/>
        </w:tabs>
        <w:rPr>
          <w:b/>
          <w:i/>
          <w:sz w:val="22"/>
          <w:szCs w:val="22"/>
          <w:lang w:val="hu-HU" w:eastAsia="en-US"/>
        </w:rPr>
      </w:pPr>
    </w:p>
    <w:p w14:paraId="5A3FEAE5" w14:textId="77777777" w:rsidR="00482034" w:rsidRDefault="00FE15A1">
      <w:pPr>
        <w:tabs>
          <w:tab w:val="left" w:pos="567"/>
        </w:tabs>
        <w:rPr>
          <w:b/>
          <w:i/>
          <w:sz w:val="22"/>
          <w:szCs w:val="22"/>
          <w:lang w:val="hu-HU" w:eastAsia="en-US"/>
        </w:rPr>
      </w:pPr>
      <w:r>
        <w:rPr>
          <w:sz w:val="22"/>
          <w:szCs w:val="22"/>
          <w:lang w:val="hu-HU" w:eastAsia="en-US"/>
        </w:rPr>
        <w:t xml:space="preserve">A tapentadol fő eliminációs útja az uridin-difoszfát-transzferáz (UGT), főként UGT1A6, UGT1A9 és UGT2B7 izoformok által közvetített konjugáció glükuronsavval. Ezért ezeknek az izoenzimeknek erős inhibitoraival (pl. ketokonazol, flukonazol, meklofenaminsav) történő együttadás a tapentadol szisztémás expozíciójának emelkedéséhez vezethet (lásd 5.2 pont). </w:t>
      </w:r>
    </w:p>
    <w:p w14:paraId="61234801" w14:textId="77777777" w:rsidR="00482034" w:rsidRDefault="00482034">
      <w:pPr>
        <w:tabs>
          <w:tab w:val="left" w:pos="567"/>
        </w:tabs>
        <w:rPr>
          <w:b/>
          <w:i/>
          <w:sz w:val="22"/>
          <w:szCs w:val="22"/>
          <w:lang w:val="hu-HU" w:eastAsia="en-US"/>
        </w:rPr>
      </w:pPr>
    </w:p>
    <w:p w14:paraId="218E2F06" w14:textId="77777777" w:rsidR="00482034" w:rsidRDefault="00FE15A1">
      <w:pPr>
        <w:tabs>
          <w:tab w:val="left" w:pos="567"/>
        </w:tabs>
        <w:rPr>
          <w:b/>
          <w:i/>
          <w:sz w:val="22"/>
          <w:szCs w:val="22"/>
          <w:lang w:val="hu-HU" w:eastAsia="en-US"/>
        </w:rPr>
      </w:pPr>
      <w:r>
        <w:rPr>
          <w:sz w:val="22"/>
          <w:szCs w:val="22"/>
          <w:lang w:val="hu-HU" w:eastAsia="en-US"/>
        </w:rPr>
        <w:t>A tapentadol-kezelés során erős enzimindukáló gyógyszerek (pl. rifampicin, fenobarbitál, közönséges orbáncfű [</w:t>
      </w:r>
      <w:r>
        <w:rPr>
          <w:i/>
          <w:sz w:val="22"/>
          <w:szCs w:val="22"/>
          <w:lang w:val="hu-HU" w:eastAsia="en-US"/>
        </w:rPr>
        <w:t>Hypericum Perforatum</w:t>
      </w:r>
      <w:r>
        <w:rPr>
          <w:sz w:val="22"/>
          <w:szCs w:val="22"/>
          <w:lang w:val="hu-HU" w:eastAsia="en-US"/>
        </w:rPr>
        <w:t>]) alkalmazásának megkezdése, illetve az alkalmazás megszüntetése csökkent hatásossághoz vagy mellékhatások kialakulásának kockázatához vezethet, ezért ezekben az esetekben óvatosságra van szükség.</w:t>
      </w:r>
    </w:p>
    <w:p w14:paraId="66AEB8CB" w14:textId="77777777" w:rsidR="00482034" w:rsidRDefault="00482034">
      <w:pPr>
        <w:tabs>
          <w:tab w:val="left" w:pos="567"/>
        </w:tabs>
        <w:rPr>
          <w:sz w:val="22"/>
          <w:szCs w:val="22"/>
          <w:lang w:val="hu-HU" w:eastAsia="en-US"/>
        </w:rPr>
      </w:pPr>
    </w:p>
    <w:p w14:paraId="57F425C0" w14:textId="77777777" w:rsidR="00482034" w:rsidRDefault="00FE15A1">
      <w:pPr>
        <w:tabs>
          <w:tab w:val="left" w:pos="567"/>
        </w:tabs>
        <w:rPr>
          <w:sz w:val="22"/>
          <w:szCs w:val="22"/>
          <w:lang w:val="hu-HU" w:eastAsia="en-US"/>
        </w:rPr>
      </w:pPr>
      <w:r>
        <w:rPr>
          <w:sz w:val="22"/>
          <w:szCs w:val="22"/>
          <w:lang w:val="hu-HU" w:eastAsia="de-DE"/>
        </w:rPr>
        <w:t xml:space="preserve">Az Adoben alkalmazását </w:t>
      </w:r>
      <w:r>
        <w:rPr>
          <w:sz w:val="22"/>
          <w:szCs w:val="22"/>
          <w:lang w:val="hu-HU" w:eastAsia="en-US"/>
        </w:rPr>
        <w:t>kerülni kell monoamin-oxidáz (MAO)-gátlókat szedő vagy azokkal az utóbbi 14 napon belül kezelt betegek esetén a szinaptikus noradrenalin koncentrációra kifejtett lehetséges additív hatás miatt, mely kardiovaszkuláris mellékhatásokat, mint pl. magasvérnyomásos krízist okozhat.</w:t>
      </w:r>
    </w:p>
    <w:p w14:paraId="162467D3" w14:textId="77777777" w:rsidR="00A7403A" w:rsidRDefault="00A7403A" w:rsidP="00A7403A">
      <w:pPr>
        <w:tabs>
          <w:tab w:val="left" w:pos="567"/>
        </w:tabs>
        <w:rPr>
          <w:sz w:val="22"/>
          <w:szCs w:val="22"/>
          <w:lang w:val="hu-HU" w:eastAsia="en-US"/>
        </w:rPr>
      </w:pPr>
    </w:p>
    <w:p w14:paraId="75D6715A" w14:textId="5542747D" w:rsidR="00A7403A" w:rsidRDefault="00A7403A" w:rsidP="00537A8C">
      <w:pPr>
        <w:tabs>
          <w:tab w:val="left" w:pos="567"/>
        </w:tabs>
        <w:rPr>
          <w:iCs/>
          <w:sz w:val="22"/>
          <w:szCs w:val="22"/>
          <w:lang w:val="hu-HU" w:eastAsia="de-DE"/>
        </w:rPr>
      </w:pPr>
      <w:r>
        <w:rPr>
          <w:sz w:val="22"/>
          <w:szCs w:val="22"/>
          <w:lang w:val="hu-HU" w:eastAsia="en-US"/>
        </w:rPr>
        <w:t>Az Adoben és antikolinerg szerek vagy antikolinerg aktivitású gyógyszerek (például triciklusos antidepresszánsok, antihisztaminok, antipszichotikumok, izomlazítók, Parkinson-kór kezelésére alkalmazott gyógyszerek) egyidejű alkalmazása fokozhatja az antikolinerg nemkívánatos hatásokat.</w:t>
      </w:r>
    </w:p>
    <w:p w14:paraId="4C592711" w14:textId="77777777" w:rsidR="00482034" w:rsidRDefault="00482034">
      <w:pPr>
        <w:tabs>
          <w:tab w:val="left" w:pos="567"/>
        </w:tabs>
        <w:rPr>
          <w:sz w:val="22"/>
          <w:szCs w:val="22"/>
          <w:lang w:val="hu-HU" w:eastAsia="en-US"/>
        </w:rPr>
      </w:pPr>
    </w:p>
    <w:p w14:paraId="133C9BBC" w14:textId="77777777" w:rsidR="00482034" w:rsidRDefault="00FE15A1">
      <w:pPr>
        <w:tabs>
          <w:tab w:val="left" w:pos="567"/>
        </w:tabs>
        <w:rPr>
          <w:b/>
          <w:sz w:val="22"/>
          <w:szCs w:val="22"/>
          <w:lang w:val="hu-HU" w:eastAsia="en-US"/>
        </w:rPr>
      </w:pPr>
      <w:r>
        <w:rPr>
          <w:b/>
          <w:sz w:val="22"/>
          <w:szCs w:val="22"/>
          <w:lang w:val="hu-HU" w:eastAsia="en-US"/>
        </w:rPr>
        <w:t>4.6</w:t>
      </w:r>
      <w:r>
        <w:rPr>
          <w:b/>
          <w:sz w:val="22"/>
          <w:szCs w:val="22"/>
          <w:lang w:val="hu-HU" w:eastAsia="en-US"/>
        </w:rPr>
        <w:tab/>
        <w:t>Termékenység, terhesség és szoptatás</w:t>
      </w:r>
    </w:p>
    <w:p w14:paraId="172F25A2" w14:textId="77777777" w:rsidR="00482034" w:rsidRDefault="00482034">
      <w:pPr>
        <w:tabs>
          <w:tab w:val="left" w:pos="567"/>
        </w:tabs>
        <w:rPr>
          <w:b/>
          <w:sz w:val="22"/>
          <w:szCs w:val="22"/>
          <w:lang w:val="hu-HU" w:eastAsia="en-US"/>
        </w:rPr>
      </w:pPr>
    </w:p>
    <w:p w14:paraId="06C38362" w14:textId="77777777" w:rsidR="00482034" w:rsidRDefault="00FE15A1">
      <w:pPr>
        <w:tabs>
          <w:tab w:val="left" w:pos="567"/>
        </w:tabs>
        <w:rPr>
          <w:i/>
          <w:sz w:val="22"/>
          <w:szCs w:val="22"/>
          <w:lang w:val="hu-HU" w:eastAsia="en-US"/>
        </w:rPr>
      </w:pPr>
      <w:r>
        <w:rPr>
          <w:i/>
          <w:sz w:val="22"/>
          <w:szCs w:val="22"/>
          <w:lang w:val="hu-HU" w:eastAsia="en-US"/>
        </w:rPr>
        <w:t>Terhesség</w:t>
      </w:r>
    </w:p>
    <w:p w14:paraId="1593FDAD" w14:textId="77777777" w:rsidR="00482034" w:rsidRDefault="00FE15A1">
      <w:pPr>
        <w:rPr>
          <w:sz w:val="22"/>
          <w:szCs w:val="22"/>
          <w:lang w:val="hu-HU" w:eastAsia="en-US"/>
        </w:rPr>
      </w:pPr>
      <w:r>
        <w:rPr>
          <w:sz w:val="22"/>
          <w:szCs w:val="22"/>
          <w:lang w:val="hu-HU" w:eastAsia="en-US"/>
        </w:rPr>
        <w:t>A tapentadol terhes nőknél történő alkalmazása tekintetében korlátozott mennyiségű információ áll rendelkezésre.</w:t>
      </w:r>
    </w:p>
    <w:p w14:paraId="69779CBA" w14:textId="77777777" w:rsidR="00482034" w:rsidRDefault="00482034">
      <w:pPr>
        <w:rPr>
          <w:sz w:val="22"/>
          <w:szCs w:val="22"/>
          <w:lang w:val="hu-HU" w:eastAsia="en-US"/>
        </w:rPr>
      </w:pPr>
    </w:p>
    <w:p w14:paraId="2CC48555" w14:textId="77777777" w:rsidR="00482034" w:rsidRDefault="00FE15A1">
      <w:pPr>
        <w:tabs>
          <w:tab w:val="left" w:pos="567"/>
        </w:tabs>
        <w:rPr>
          <w:sz w:val="22"/>
          <w:szCs w:val="22"/>
          <w:lang w:val="hu-HU" w:eastAsia="en-US"/>
        </w:rPr>
      </w:pPr>
      <w:r>
        <w:rPr>
          <w:sz w:val="22"/>
          <w:szCs w:val="22"/>
          <w:lang w:val="hu-HU" w:eastAsia="en-US"/>
        </w:rPr>
        <w:t>Állatkísérletek nem mutattak teratogén hatásokat. Azonban késleltetett fejlődést és embriotoxicitást figyeltek meg szélsőséges farmakológiai hatásokat eredményező dózisokban alkalmazva (a terápiás tartományt meghaladó dózisok</w:t>
      </w:r>
      <w:r>
        <w:rPr>
          <w:sz w:val="22"/>
          <w:szCs w:val="22"/>
          <w:lang w:val="hu-HU" w:eastAsia="de-DE"/>
        </w:rPr>
        <w:t xml:space="preserve"> mű</w:t>
      </w:r>
      <w:r>
        <w:rPr>
          <w:sz w:val="22"/>
          <w:szCs w:val="22"/>
          <w:lang w:val="hu-HU" w:eastAsia="de-DE"/>
        </w:rPr>
        <w:noBreakHyphen/>
        <w:t>opioiddal összefüggő központi idegrendszeri hatásai)</w:t>
      </w:r>
      <w:r>
        <w:rPr>
          <w:sz w:val="22"/>
          <w:szCs w:val="22"/>
          <w:lang w:val="hu-HU" w:eastAsia="en-US"/>
        </w:rPr>
        <w:t>. A postnatalis fejlődésre gyakorolt hatásokat már az anyai NOAEL-nél (terhelési küszöb, amelynél káros hatás még nem figyelhető meg) megfigyeltek (lásd 5.3 pont).</w:t>
      </w:r>
    </w:p>
    <w:p w14:paraId="0A3BC7BA" w14:textId="77777777" w:rsidR="00482034" w:rsidRDefault="00482034">
      <w:pPr>
        <w:tabs>
          <w:tab w:val="left" w:pos="567"/>
        </w:tabs>
        <w:rPr>
          <w:sz w:val="22"/>
          <w:szCs w:val="22"/>
          <w:lang w:val="hu-HU" w:eastAsia="en-US"/>
        </w:rPr>
      </w:pPr>
    </w:p>
    <w:p w14:paraId="3269E6BD" w14:textId="77777777" w:rsidR="00482034" w:rsidRDefault="00FE15A1">
      <w:pPr>
        <w:tabs>
          <w:tab w:val="left" w:pos="567"/>
        </w:tabs>
        <w:rPr>
          <w:sz w:val="22"/>
          <w:szCs w:val="22"/>
          <w:lang w:val="hu-HU" w:eastAsia="en-US"/>
        </w:rPr>
      </w:pPr>
      <w:r>
        <w:rPr>
          <w:sz w:val="22"/>
          <w:szCs w:val="22"/>
          <w:lang w:val="hu-HU" w:eastAsia="en-US"/>
        </w:rPr>
        <w:t xml:space="preserve">Az Adoben csak akkor alkalmazható terhesség alatt, ha a potenciális előny meghaladja a magzatra kifejtett potenciális kockázatot. A hosszú távú alkalmazás az anya részéről a terhesség során a magzat számára is expozíciót jelent. Ennek következtében az újszülöttnél neonatalis opioid-elvonási szindróma (NOWS) jelentkezhet. Felismerés és kezelés hiányában a neonatalis opioid-elvonási szindróma életveszélyes lehet. Az újszülött számára antidotumot kell készenlétben tartani. </w:t>
      </w:r>
    </w:p>
    <w:p w14:paraId="23C5B508" w14:textId="77777777" w:rsidR="00482034" w:rsidRDefault="00482034">
      <w:pPr>
        <w:tabs>
          <w:tab w:val="left" w:pos="567"/>
        </w:tabs>
        <w:rPr>
          <w:sz w:val="22"/>
          <w:szCs w:val="22"/>
          <w:lang w:val="hu-HU" w:eastAsia="en-US"/>
        </w:rPr>
      </w:pPr>
    </w:p>
    <w:p w14:paraId="72BEBB9C" w14:textId="77777777" w:rsidR="00482034" w:rsidRDefault="00FE15A1">
      <w:pPr>
        <w:tabs>
          <w:tab w:val="left" w:pos="567"/>
        </w:tabs>
        <w:rPr>
          <w:i/>
          <w:sz w:val="22"/>
          <w:szCs w:val="22"/>
          <w:lang w:val="hu-HU" w:eastAsia="en-US"/>
        </w:rPr>
      </w:pPr>
      <w:r>
        <w:rPr>
          <w:i/>
          <w:sz w:val="22"/>
          <w:szCs w:val="22"/>
          <w:lang w:val="hu-HU" w:eastAsia="en-US"/>
        </w:rPr>
        <w:t>Vajúdás és szülés</w:t>
      </w:r>
    </w:p>
    <w:p w14:paraId="1A30495C" w14:textId="77777777" w:rsidR="00482034" w:rsidRDefault="00FE15A1">
      <w:pPr>
        <w:tabs>
          <w:tab w:val="left" w:pos="567"/>
        </w:tabs>
        <w:rPr>
          <w:sz w:val="22"/>
          <w:szCs w:val="22"/>
          <w:lang w:val="hu-HU" w:eastAsia="de-DE"/>
        </w:rPr>
      </w:pPr>
      <w:r>
        <w:rPr>
          <w:sz w:val="22"/>
          <w:szCs w:val="22"/>
          <w:lang w:val="hu-HU" w:eastAsia="de-DE"/>
        </w:rPr>
        <w:t>A tapentadol hatása a vajúdásra és a szülésre embernél nem ismert. Az Adoben alkalmazása nem ajánlott közvetlenül a vajúdás és szülés előtt és alatt. A tapentadol mű</w:t>
      </w:r>
      <w:r>
        <w:rPr>
          <w:sz w:val="22"/>
          <w:szCs w:val="22"/>
          <w:lang w:val="hu-HU" w:eastAsia="de-DE"/>
        </w:rPr>
        <w:noBreakHyphen/>
        <w:t>opioid receptor agonista hatása miatt azokat az újszülötteket, akiknek édesanyja tapentadolt szedett, a légzésdepresszióra monitorozni kell.</w:t>
      </w:r>
    </w:p>
    <w:p w14:paraId="497B014C" w14:textId="77777777" w:rsidR="00482034" w:rsidRDefault="00482034">
      <w:pPr>
        <w:tabs>
          <w:tab w:val="left" w:pos="567"/>
        </w:tabs>
        <w:rPr>
          <w:i/>
          <w:sz w:val="22"/>
          <w:szCs w:val="22"/>
          <w:lang w:val="hu-HU" w:eastAsia="en-US"/>
        </w:rPr>
      </w:pPr>
    </w:p>
    <w:p w14:paraId="0EEDA744" w14:textId="77777777" w:rsidR="00482034" w:rsidRDefault="00FE15A1">
      <w:pPr>
        <w:tabs>
          <w:tab w:val="left" w:pos="567"/>
        </w:tabs>
        <w:rPr>
          <w:i/>
          <w:sz w:val="22"/>
          <w:szCs w:val="22"/>
          <w:lang w:val="hu-HU" w:eastAsia="en-US"/>
        </w:rPr>
      </w:pPr>
      <w:r>
        <w:rPr>
          <w:i/>
          <w:sz w:val="22"/>
          <w:szCs w:val="22"/>
          <w:lang w:val="hu-HU" w:eastAsia="en-US"/>
        </w:rPr>
        <w:t>Szoptatás</w:t>
      </w:r>
    </w:p>
    <w:p w14:paraId="4E368955" w14:textId="77777777" w:rsidR="00482034" w:rsidRDefault="00FE15A1">
      <w:pPr>
        <w:tabs>
          <w:tab w:val="left" w:pos="567"/>
        </w:tabs>
        <w:rPr>
          <w:sz w:val="22"/>
          <w:szCs w:val="22"/>
          <w:lang w:val="hu-HU" w:eastAsia="en-US"/>
        </w:rPr>
      </w:pPr>
      <w:r>
        <w:rPr>
          <w:sz w:val="22"/>
          <w:szCs w:val="22"/>
          <w:lang w:val="hu-HU" w:eastAsia="de-DE"/>
        </w:rPr>
        <w:t>Nem ismert, hogy a tapentadol kiválasztódik-e a humán anyatejbe. Tapentadollal kezelt anyaállat által szoptatott patkánykölykökkel végzett vizsgálatok során azt állapították meg, hogy a tapentadol kiválasztódik a tejbe (lásd 5.3 pont). Tehát a szoptatott (anyatejjel táplált) csecsemőre nézve a kockázatot nem lehet kizárni. Az Adoben-t nem szabad szoptatás alatt alkalmazni.</w:t>
      </w:r>
    </w:p>
    <w:p w14:paraId="1D3F7379" w14:textId="77777777" w:rsidR="00482034" w:rsidRDefault="00482034">
      <w:pPr>
        <w:tabs>
          <w:tab w:val="left" w:pos="567"/>
        </w:tabs>
        <w:rPr>
          <w:sz w:val="22"/>
          <w:szCs w:val="22"/>
          <w:lang w:val="hu-HU" w:eastAsia="en-US"/>
        </w:rPr>
      </w:pPr>
    </w:p>
    <w:p w14:paraId="263DAA85" w14:textId="77777777" w:rsidR="00482034" w:rsidRDefault="00FE15A1">
      <w:pPr>
        <w:tabs>
          <w:tab w:val="left" w:pos="567"/>
        </w:tabs>
        <w:rPr>
          <w:i/>
          <w:sz w:val="22"/>
          <w:szCs w:val="22"/>
          <w:lang w:val="hu-HU" w:eastAsia="en-US"/>
        </w:rPr>
      </w:pPr>
      <w:r>
        <w:rPr>
          <w:i/>
          <w:sz w:val="22"/>
          <w:szCs w:val="22"/>
          <w:lang w:val="hu-HU" w:eastAsia="en-US"/>
        </w:rPr>
        <w:t>Termékenység</w:t>
      </w:r>
    </w:p>
    <w:p w14:paraId="26C387AF" w14:textId="77777777" w:rsidR="00482034" w:rsidRDefault="00FE15A1">
      <w:pPr>
        <w:tabs>
          <w:tab w:val="left" w:pos="567"/>
        </w:tabs>
        <w:rPr>
          <w:sz w:val="22"/>
          <w:szCs w:val="22"/>
          <w:lang w:val="hu-HU" w:eastAsia="en-US"/>
        </w:rPr>
      </w:pPr>
      <w:r>
        <w:rPr>
          <w:sz w:val="22"/>
          <w:szCs w:val="22"/>
          <w:lang w:val="hu-HU" w:eastAsia="en-US"/>
        </w:rPr>
        <w:t>Nem állnak rendelkezésre humán adatok a tapentadol hatásáról a termékenységre. Egy, hím és nőstény patkányokkal végzett fertilitási és korai embriófejlődési vizsgálat során nem figyelték meg olyan hatását a tapentadolnak, amely a szaporodási paramétereket befolyásolta volna. (lásd 5.3 pont)</w:t>
      </w:r>
    </w:p>
    <w:p w14:paraId="36391679" w14:textId="77777777" w:rsidR="00482034" w:rsidRDefault="00482034">
      <w:pPr>
        <w:tabs>
          <w:tab w:val="left" w:pos="567"/>
        </w:tabs>
        <w:rPr>
          <w:sz w:val="22"/>
          <w:szCs w:val="22"/>
          <w:lang w:val="hu-HU" w:eastAsia="en-US"/>
        </w:rPr>
      </w:pPr>
    </w:p>
    <w:p w14:paraId="471FE7E3" w14:textId="77777777" w:rsidR="00482034" w:rsidRDefault="00FE15A1">
      <w:pPr>
        <w:tabs>
          <w:tab w:val="left" w:pos="567"/>
        </w:tabs>
        <w:rPr>
          <w:b/>
          <w:sz w:val="22"/>
          <w:szCs w:val="22"/>
          <w:lang w:val="hu-HU" w:eastAsia="en-US"/>
        </w:rPr>
      </w:pPr>
      <w:r>
        <w:rPr>
          <w:b/>
          <w:sz w:val="22"/>
          <w:szCs w:val="22"/>
          <w:lang w:val="hu-HU" w:eastAsia="en-US"/>
        </w:rPr>
        <w:t>4.7</w:t>
      </w:r>
      <w:r>
        <w:rPr>
          <w:b/>
          <w:sz w:val="22"/>
          <w:szCs w:val="22"/>
          <w:lang w:val="hu-HU" w:eastAsia="en-US"/>
        </w:rPr>
        <w:tab/>
        <w:t>A készítmény hatásai a gépjárművezetéshez és a gépek kezeléséhez szükséges képességekre</w:t>
      </w:r>
    </w:p>
    <w:p w14:paraId="2E0FD7B1" w14:textId="77777777" w:rsidR="00482034" w:rsidRDefault="00482034">
      <w:pPr>
        <w:tabs>
          <w:tab w:val="left" w:pos="567"/>
        </w:tabs>
        <w:rPr>
          <w:b/>
          <w:sz w:val="22"/>
          <w:szCs w:val="22"/>
          <w:lang w:val="hu-HU" w:eastAsia="en-US"/>
        </w:rPr>
      </w:pPr>
    </w:p>
    <w:p w14:paraId="30D26E2E" w14:textId="77777777" w:rsidR="00482034" w:rsidRDefault="00FE15A1">
      <w:pPr>
        <w:tabs>
          <w:tab w:val="left" w:pos="567"/>
        </w:tabs>
        <w:rPr>
          <w:sz w:val="22"/>
          <w:szCs w:val="22"/>
          <w:lang w:val="hu-HU" w:eastAsia="en-US"/>
        </w:rPr>
      </w:pPr>
      <w:r>
        <w:rPr>
          <w:sz w:val="22"/>
          <w:szCs w:val="22"/>
          <w:lang w:val="hu-HU" w:eastAsia="en-US"/>
        </w:rPr>
        <w:t>Az Adoben nagymértékben befolyásolhatja a gépjárművezetéshez és a gépek kezeléséhez szükséges képességeket, mivel káros hatással lehet a központi idegrendszer működésére (lásd 4.8 pont). Ez főként a kezelés kezdetén, az adagolás bármilyen megváltoztatásakor, valamint alkohol vagy trankvillánsok alkalmazásakor várható (lásd 4.4 pont). A betegek figyelmét fel kell hívni, hogy tartsák be az orvos javaslatát a gépjárművezetésre, illetve a gépek kezelésére vonatkozóan.</w:t>
      </w:r>
    </w:p>
    <w:p w14:paraId="13D99C20" w14:textId="77777777" w:rsidR="00482034" w:rsidRDefault="00482034">
      <w:pPr>
        <w:tabs>
          <w:tab w:val="left" w:pos="567"/>
        </w:tabs>
        <w:rPr>
          <w:b/>
          <w:sz w:val="22"/>
          <w:szCs w:val="22"/>
          <w:lang w:val="hu-HU" w:eastAsia="en-US"/>
        </w:rPr>
      </w:pPr>
    </w:p>
    <w:p w14:paraId="1E47410F" w14:textId="77777777" w:rsidR="00482034" w:rsidRDefault="00FE15A1">
      <w:pPr>
        <w:tabs>
          <w:tab w:val="left" w:pos="567"/>
        </w:tabs>
        <w:rPr>
          <w:b/>
          <w:sz w:val="22"/>
          <w:szCs w:val="22"/>
          <w:lang w:val="hu-HU" w:eastAsia="en-US"/>
        </w:rPr>
      </w:pPr>
      <w:r>
        <w:rPr>
          <w:b/>
          <w:sz w:val="22"/>
          <w:szCs w:val="22"/>
          <w:lang w:val="hu-HU" w:eastAsia="en-US"/>
        </w:rPr>
        <w:t>4.8</w:t>
      </w:r>
      <w:r>
        <w:rPr>
          <w:b/>
          <w:sz w:val="22"/>
          <w:szCs w:val="22"/>
          <w:lang w:val="hu-HU" w:eastAsia="en-US"/>
        </w:rPr>
        <w:tab/>
        <w:t>Nemkívánatos hatások, mellékhatások</w:t>
      </w:r>
    </w:p>
    <w:p w14:paraId="2E97903A" w14:textId="77777777" w:rsidR="00482034" w:rsidRDefault="00482034">
      <w:pPr>
        <w:tabs>
          <w:tab w:val="left" w:pos="567"/>
        </w:tabs>
        <w:rPr>
          <w:b/>
          <w:sz w:val="22"/>
          <w:szCs w:val="22"/>
          <w:lang w:val="hu-HU" w:eastAsia="en-US"/>
        </w:rPr>
      </w:pPr>
    </w:p>
    <w:p w14:paraId="0784C842" w14:textId="77777777" w:rsidR="00482034" w:rsidRDefault="00FE15A1">
      <w:pPr>
        <w:tabs>
          <w:tab w:val="left" w:pos="567"/>
        </w:tabs>
        <w:rPr>
          <w:sz w:val="22"/>
          <w:szCs w:val="22"/>
          <w:lang w:val="hu-HU" w:eastAsia="en-US"/>
        </w:rPr>
      </w:pPr>
      <w:r>
        <w:rPr>
          <w:sz w:val="22"/>
          <w:szCs w:val="22"/>
          <w:lang w:val="hu-HU" w:eastAsia="en-US"/>
        </w:rPr>
        <w:t>A tapentadol retard tablettával végzett placebo-kontrollos vizsgálatok során a betegek által tapasztalt gyógyszer-mellékhatások főként enyhék és közepes súlyosságúak voltak. A leggyakoribbak a gasztrointesztinális és a központi idegrendszerben (hányinger, szédülés, székrekedés, fejfájás és aluszékonyság) jelentkező gyógyszer-mellékhatások voltak.</w:t>
      </w:r>
    </w:p>
    <w:p w14:paraId="0C032E86" w14:textId="77777777" w:rsidR="00482034" w:rsidRDefault="00482034">
      <w:pPr>
        <w:tabs>
          <w:tab w:val="left" w:pos="567"/>
        </w:tabs>
        <w:rPr>
          <w:rFonts w:ascii="Arial" w:hAnsi="Arial" w:cs="Arial"/>
          <w:sz w:val="22"/>
          <w:szCs w:val="22"/>
          <w:lang w:val="hu-HU" w:eastAsia="en-US"/>
        </w:rPr>
      </w:pPr>
    </w:p>
    <w:p w14:paraId="711C740A" w14:textId="77777777" w:rsidR="00482034" w:rsidRDefault="00FE15A1">
      <w:pPr>
        <w:tabs>
          <w:tab w:val="left" w:pos="567"/>
        </w:tabs>
        <w:rPr>
          <w:sz w:val="22"/>
          <w:szCs w:val="22"/>
          <w:lang w:val="hu-HU" w:eastAsia="en-US"/>
        </w:rPr>
      </w:pPr>
      <w:r>
        <w:rPr>
          <w:sz w:val="22"/>
          <w:szCs w:val="22"/>
          <w:lang w:val="hu-HU" w:eastAsia="en-US"/>
        </w:rPr>
        <w:t>Az alábbi táblázat a tapentadol retard tabletta klinikai vizsgálatai során, valamint a forgalmazás megkezdését követően azonosított gyógyszer-mellékhatásokat mutatja. Ezek szervrendszer és gyakoriság szerint vannak felsorolva.</w:t>
      </w:r>
    </w:p>
    <w:p w14:paraId="6B9C87A9" w14:textId="77777777" w:rsidR="00482034" w:rsidRDefault="00482034">
      <w:pPr>
        <w:tabs>
          <w:tab w:val="left" w:pos="567"/>
        </w:tabs>
        <w:rPr>
          <w:sz w:val="22"/>
          <w:szCs w:val="22"/>
          <w:lang w:val="hu-HU" w:eastAsia="en-US"/>
        </w:rPr>
      </w:pPr>
    </w:p>
    <w:p w14:paraId="6F0D4B1D" w14:textId="77777777" w:rsidR="00482034" w:rsidRDefault="00FE15A1">
      <w:pPr>
        <w:tabs>
          <w:tab w:val="left" w:pos="567"/>
        </w:tabs>
        <w:rPr>
          <w:sz w:val="22"/>
          <w:szCs w:val="22"/>
          <w:lang w:val="hu-HU" w:eastAsia="en-US"/>
        </w:rPr>
      </w:pPr>
      <w:r>
        <w:rPr>
          <w:sz w:val="22"/>
          <w:szCs w:val="22"/>
          <w:lang w:val="hu-HU" w:eastAsia="en-US"/>
        </w:rPr>
        <w:t>A gyakorisági kategóriák a következők:</w:t>
      </w:r>
    </w:p>
    <w:p w14:paraId="6C0786F3"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nagyon gyakori (</w:t>
      </w:r>
      <w:r>
        <w:rPr>
          <w:rFonts w:ascii="Symbol" w:hAnsi="Symbol"/>
          <w:noProof/>
          <w:sz w:val="22"/>
          <w:szCs w:val="22"/>
          <w:lang w:val="en-GB"/>
        </w:rPr>
        <w:sym w:font="Symbol" w:char="F0B3"/>
      </w:r>
      <w:r>
        <w:rPr>
          <w:noProof/>
          <w:sz w:val="22"/>
          <w:szCs w:val="22"/>
          <w:lang w:val="en-GB"/>
        </w:rPr>
        <w:t> 1/10)</w:t>
      </w:r>
    </w:p>
    <w:p w14:paraId="77D11C5F"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gyakori (</w:t>
      </w:r>
      <w:r>
        <w:rPr>
          <w:rFonts w:ascii="Symbol" w:hAnsi="Symbol"/>
          <w:noProof/>
          <w:sz w:val="22"/>
          <w:szCs w:val="22"/>
          <w:lang w:val="en-GB"/>
        </w:rPr>
        <w:sym w:font="Symbol" w:char="F0B3"/>
      </w:r>
      <w:r>
        <w:rPr>
          <w:noProof/>
          <w:sz w:val="22"/>
          <w:szCs w:val="22"/>
          <w:lang w:val="en-GB"/>
        </w:rPr>
        <w:t> 1/100 </w:t>
      </w:r>
      <w:r>
        <w:rPr>
          <w:noProof/>
          <w:sz w:val="22"/>
          <w:szCs w:val="22"/>
          <w:lang w:val="en-GB"/>
        </w:rPr>
        <w:noBreakHyphen/>
        <w:t> &lt; 1/10)</w:t>
      </w:r>
    </w:p>
    <w:p w14:paraId="2C3A71B5"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nem gyakori (</w:t>
      </w:r>
      <w:r>
        <w:rPr>
          <w:rFonts w:ascii="Symbol" w:hAnsi="Symbol"/>
          <w:noProof/>
          <w:sz w:val="22"/>
          <w:szCs w:val="22"/>
          <w:lang w:val="en-GB"/>
        </w:rPr>
        <w:sym w:font="Symbol" w:char="F0B3"/>
      </w:r>
      <w:r>
        <w:rPr>
          <w:noProof/>
          <w:sz w:val="22"/>
          <w:szCs w:val="22"/>
          <w:lang w:val="en-GB"/>
        </w:rPr>
        <w:t> 1/1000 </w:t>
      </w:r>
      <w:r>
        <w:rPr>
          <w:noProof/>
          <w:sz w:val="22"/>
          <w:szCs w:val="22"/>
          <w:lang w:val="en-GB"/>
        </w:rPr>
        <w:noBreakHyphen/>
        <w:t> &lt; 1/100)</w:t>
      </w:r>
    </w:p>
    <w:p w14:paraId="5928F6B5"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ritka (</w:t>
      </w:r>
      <w:r>
        <w:rPr>
          <w:rFonts w:ascii="Symbol" w:hAnsi="Symbol"/>
          <w:noProof/>
          <w:sz w:val="22"/>
          <w:szCs w:val="22"/>
          <w:lang w:val="en-GB"/>
        </w:rPr>
        <w:sym w:font="Symbol" w:char="F0B3"/>
      </w:r>
      <w:r>
        <w:rPr>
          <w:noProof/>
          <w:sz w:val="22"/>
          <w:szCs w:val="22"/>
          <w:lang w:val="en-GB"/>
        </w:rPr>
        <w:t> 1/10 000 </w:t>
      </w:r>
      <w:r>
        <w:rPr>
          <w:noProof/>
          <w:sz w:val="22"/>
          <w:szCs w:val="22"/>
          <w:lang w:val="en-GB"/>
        </w:rPr>
        <w:noBreakHyphen/>
        <w:t> &lt; 1/1000)</w:t>
      </w:r>
    </w:p>
    <w:p w14:paraId="138D6250"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nagyon ritka (&lt; 1/10 000)</w:t>
      </w:r>
    </w:p>
    <w:p w14:paraId="32014166" w14:textId="77777777" w:rsidR="00482034" w:rsidRDefault="00FE15A1">
      <w:pPr>
        <w:widowControl w:val="0"/>
        <w:numPr>
          <w:ilvl w:val="0"/>
          <w:numId w:val="4"/>
        </w:numPr>
        <w:tabs>
          <w:tab w:val="left" w:pos="567"/>
        </w:tabs>
        <w:ind w:left="567" w:hanging="567"/>
        <w:rPr>
          <w:noProof/>
          <w:sz w:val="22"/>
          <w:szCs w:val="22"/>
          <w:lang w:val="en-GB"/>
        </w:rPr>
      </w:pPr>
      <w:r>
        <w:rPr>
          <w:noProof/>
          <w:sz w:val="22"/>
          <w:szCs w:val="22"/>
          <w:lang w:val="en-GB"/>
        </w:rPr>
        <w:t>nem ismert (a gyakoriság a rendelkezésre álló adatokból nem állapítható meg).</w:t>
      </w:r>
    </w:p>
    <w:p w14:paraId="7536B194" w14:textId="77777777" w:rsidR="00482034" w:rsidRDefault="00482034">
      <w:pPr>
        <w:widowControl w:val="0"/>
        <w:tabs>
          <w:tab w:val="left" w:pos="567"/>
        </w:tabs>
        <w:rPr>
          <w:noProof/>
          <w:sz w:val="22"/>
          <w:szCs w:val="22"/>
          <w:lang w:val="en-GB"/>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52"/>
        <w:gridCol w:w="1359"/>
        <w:gridCol w:w="1709"/>
        <w:gridCol w:w="1843"/>
        <w:gridCol w:w="1559"/>
        <w:gridCol w:w="1276"/>
      </w:tblGrid>
      <w:tr w:rsidR="00482034" w14:paraId="55FBEC37" w14:textId="77777777">
        <w:tc>
          <w:tcPr>
            <w:tcW w:w="1752" w:type="dxa"/>
            <w:vMerge w:val="restart"/>
            <w:vAlign w:val="center"/>
          </w:tcPr>
          <w:p w14:paraId="4E477E90" w14:textId="77777777" w:rsidR="00482034" w:rsidRDefault="00FE15A1">
            <w:pPr>
              <w:widowControl w:val="0"/>
              <w:tabs>
                <w:tab w:val="left" w:pos="567"/>
              </w:tabs>
              <w:rPr>
                <w:b/>
                <w:sz w:val="20"/>
                <w:lang w:val="en-GB" w:eastAsia="en-US"/>
              </w:rPr>
            </w:pPr>
            <w:r>
              <w:rPr>
                <w:b/>
                <w:bCs/>
                <w:sz w:val="20"/>
                <w:lang w:val="hu-HU" w:eastAsia="en-US"/>
              </w:rPr>
              <w:t>Szervrendszer</w:t>
            </w:r>
          </w:p>
        </w:tc>
        <w:tc>
          <w:tcPr>
            <w:tcW w:w="7746" w:type="dxa"/>
            <w:gridSpan w:val="5"/>
          </w:tcPr>
          <w:p w14:paraId="27CF47A2" w14:textId="77777777" w:rsidR="00482034" w:rsidRDefault="00FE15A1">
            <w:pPr>
              <w:widowControl w:val="0"/>
              <w:tabs>
                <w:tab w:val="left" w:pos="567"/>
              </w:tabs>
              <w:jc w:val="center"/>
              <w:rPr>
                <w:b/>
                <w:noProof/>
                <w:sz w:val="20"/>
                <w:lang w:val="en-GB" w:eastAsia="en-US"/>
              </w:rPr>
            </w:pPr>
            <w:r>
              <w:rPr>
                <w:b/>
                <w:bCs/>
                <w:sz w:val="20"/>
                <w:lang w:val="hu-HU" w:eastAsia="en-US"/>
              </w:rPr>
              <w:t>Gyakoriság</w:t>
            </w:r>
          </w:p>
        </w:tc>
      </w:tr>
      <w:tr w:rsidR="00482034" w14:paraId="40D0B02B" w14:textId="77777777">
        <w:tc>
          <w:tcPr>
            <w:tcW w:w="1752" w:type="dxa"/>
            <w:vMerge/>
          </w:tcPr>
          <w:p w14:paraId="3CA1D611" w14:textId="77777777" w:rsidR="00482034" w:rsidRDefault="00482034">
            <w:pPr>
              <w:widowControl w:val="0"/>
              <w:tabs>
                <w:tab w:val="left" w:pos="567"/>
              </w:tabs>
              <w:rPr>
                <w:sz w:val="20"/>
                <w:lang w:val="en-GB" w:eastAsia="en-US"/>
              </w:rPr>
            </w:pPr>
          </w:p>
        </w:tc>
        <w:tc>
          <w:tcPr>
            <w:tcW w:w="1359" w:type="dxa"/>
          </w:tcPr>
          <w:p w14:paraId="279E2D15" w14:textId="77777777" w:rsidR="00482034" w:rsidRDefault="00FE15A1">
            <w:pPr>
              <w:tabs>
                <w:tab w:val="left" w:pos="567"/>
              </w:tabs>
              <w:rPr>
                <w:sz w:val="20"/>
                <w:lang w:val="hu-HU" w:eastAsia="en-US"/>
              </w:rPr>
            </w:pPr>
            <w:r>
              <w:rPr>
                <w:bCs/>
                <w:sz w:val="20"/>
                <w:lang w:val="hu-HU" w:eastAsia="en-US"/>
              </w:rPr>
              <w:t>Nagyon gyakori</w:t>
            </w:r>
          </w:p>
        </w:tc>
        <w:tc>
          <w:tcPr>
            <w:tcW w:w="1709" w:type="dxa"/>
          </w:tcPr>
          <w:p w14:paraId="7A344F79" w14:textId="77777777" w:rsidR="00482034" w:rsidRDefault="00FE15A1">
            <w:pPr>
              <w:tabs>
                <w:tab w:val="left" w:pos="567"/>
              </w:tabs>
              <w:rPr>
                <w:sz w:val="20"/>
                <w:lang w:val="hu-HU" w:eastAsia="en-US"/>
              </w:rPr>
            </w:pPr>
            <w:r>
              <w:rPr>
                <w:bCs/>
                <w:sz w:val="20"/>
                <w:lang w:val="hu-HU" w:eastAsia="en-US"/>
              </w:rPr>
              <w:t>Gyakori</w:t>
            </w:r>
          </w:p>
        </w:tc>
        <w:tc>
          <w:tcPr>
            <w:tcW w:w="1843" w:type="dxa"/>
          </w:tcPr>
          <w:p w14:paraId="43D9D4C9" w14:textId="77777777" w:rsidR="00482034" w:rsidRDefault="00FE15A1">
            <w:pPr>
              <w:tabs>
                <w:tab w:val="left" w:pos="567"/>
              </w:tabs>
              <w:rPr>
                <w:sz w:val="20"/>
                <w:lang w:val="hu-HU" w:eastAsia="en-US"/>
              </w:rPr>
            </w:pPr>
            <w:r>
              <w:rPr>
                <w:bCs/>
                <w:sz w:val="20"/>
                <w:lang w:val="hu-HU" w:eastAsia="en-US"/>
              </w:rPr>
              <w:t>Nem gyakori</w:t>
            </w:r>
          </w:p>
        </w:tc>
        <w:tc>
          <w:tcPr>
            <w:tcW w:w="1559" w:type="dxa"/>
          </w:tcPr>
          <w:p w14:paraId="16C4F85E" w14:textId="77777777" w:rsidR="00482034" w:rsidRDefault="00FE15A1">
            <w:pPr>
              <w:tabs>
                <w:tab w:val="left" w:pos="567"/>
              </w:tabs>
              <w:rPr>
                <w:sz w:val="20"/>
                <w:lang w:val="hu-HU" w:eastAsia="en-US"/>
              </w:rPr>
            </w:pPr>
            <w:r>
              <w:rPr>
                <w:bCs/>
                <w:sz w:val="20"/>
                <w:lang w:val="hu-HU" w:eastAsia="en-US"/>
              </w:rPr>
              <w:t>Ritka</w:t>
            </w:r>
          </w:p>
        </w:tc>
        <w:tc>
          <w:tcPr>
            <w:tcW w:w="1276" w:type="dxa"/>
          </w:tcPr>
          <w:p w14:paraId="1D78DD5B" w14:textId="77777777" w:rsidR="00482034" w:rsidRDefault="00FE15A1">
            <w:pPr>
              <w:widowControl w:val="0"/>
              <w:tabs>
                <w:tab w:val="left" w:pos="567"/>
              </w:tabs>
              <w:rPr>
                <w:sz w:val="20"/>
                <w:lang w:val="en-GB" w:eastAsia="en-US"/>
              </w:rPr>
            </w:pPr>
            <w:r>
              <w:rPr>
                <w:noProof/>
                <w:sz w:val="20"/>
                <w:lang w:val="en-GB" w:eastAsia="en-US"/>
              </w:rPr>
              <w:t>Nem ismert</w:t>
            </w:r>
          </w:p>
        </w:tc>
      </w:tr>
      <w:tr w:rsidR="00482034" w14:paraId="59607F92" w14:textId="77777777">
        <w:tc>
          <w:tcPr>
            <w:tcW w:w="1752" w:type="dxa"/>
          </w:tcPr>
          <w:p w14:paraId="21033FBC" w14:textId="77777777" w:rsidR="00482034" w:rsidRDefault="00FE15A1">
            <w:pPr>
              <w:tabs>
                <w:tab w:val="left" w:pos="567"/>
              </w:tabs>
              <w:rPr>
                <w:bCs/>
                <w:sz w:val="20"/>
                <w:lang w:val="hu-HU" w:eastAsia="en-US"/>
              </w:rPr>
            </w:pPr>
            <w:r>
              <w:rPr>
                <w:bCs/>
                <w:sz w:val="20"/>
                <w:lang w:val="hu-HU" w:eastAsia="en-US"/>
              </w:rPr>
              <w:t>Immunrendszeri betegségek és tünetek</w:t>
            </w:r>
          </w:p>
        </w:tc>
        <w:tc>
          <w:tcPr>
            <w:tcW w:w="1359" w:type="dxa"/>
          </w:tcPr>
          <w:p w14:paraId="14B0C82C" w14:textId="77777777" w:rsidR="00482034" w:rsidRDefault="00482034">
            <w:pPr>
              <w:tabs>
                <w:tab w:val="left" w:pos="567"/>
              </w:tabs>
              <w:rPr>
                <w:sz w:val="20"/>
                <w:lang w:val="hu-HU" w:eastAsia="en-US"/>
              </w:rPr>
            </w:pPr>
          </w:p>
        </w:tc>
        <w:tc>
          <w:tcPr>
            <w:tcW w:w="1709" w:type="dxa"/>
          </w:tcPr>
          <w:p w14:paraId="5CFBEE4A" w14:textId="77777777" w:rsidR="00482034" w:rsidRDefault="00482034">
            <w:pPr>
              <w:tabs>
                <w:tab w:val="left" w:pos="567"/>
              </w:tabs>
              <w:rPr>
                <w:sz w:val="20"/>
                <w:lang w:val="hu-HU" w:eastAsia="en-US"/>
              </w:rPr>
            </w:pPr>
          </w:p>
        </w:tc>
        <w:tc>
          <w:tcPr>
            <w:tcW w:w="1843" w:type="dxa"/>
          </w:tcPr>
          <w:p w14:paraId="47F17076" w14:textId="77777777" w:rsidR="00482034" w:rsidRDefault="00FE15A1">
            <w:pPr>
              <w:tabs>
                <w:tab w:val="left" w:pos="567"/>
              </w:tabs>
              <w:rPr>
                <w:sz w:val="20"/>
                <w:lang w:val="hu-HU" w:eastAsia="en-US"/>
              </w:rPr>
            </w:pPr>
            <w:r>
              <w:rPr>
                <w:sz w:val="20"/>
                <w:lang w:val="hu-HU" w:eastAsia="en-US"/>
              </w:rPr>
              <w:t>gyógyszer okozta túlérzékenység*</w:t>
            </w:r>
          </w:p>
        </w:tc>
        <w:tc>
          <w:tcPr>
            <w:tcW w:w="1559" w:type="dxa"/>
          </w:tcPr>
          <w:p w14:paraId="14744812" w14:textId="77777777" w:rsidR="00482034" w:rsidRDefault="00482034">
            <w:pPr>
              <w:tabs>
                <w:tab w:val="left" w:pos="567"/>
              </w:tabs>
              <w:rPr>
                <w:sz w:val="20"/>
                <w:lang w:val="hu-HU" w:eastAsia="en-US"/>
              </w:rPr>
            </w:pPr>
          </w:p>
        </w:tc>
        <w:tc>
          <w:tcPr>
            <w:tcW w:w="1276" w:type="dxa"/>
          </w:tcPr>
          <w:p w14:paraId="4BFD8EEA" w14:textId="77777777" w:rsidR="00482034" w:rsidRDefault="00482034">
            <w:pPr>
              <w:widowControl w:val="0"/>
              <w:tabs>
                <w:tab w:val="left" w:pos="567"/>
              </w:tabs>
              <w:rPr>
                <w:sz w:val="20"/>
                <w:lang w:val="en-GB" w:eastAsia="en-US"/>
              </w:rPr>
            </w:pPr>
          </w:p>
        </w:tc>
      </w:tr>
      <w:tr w:rsidR="00482034" w14:paraId="28133A84" w14:textId="77777777">
        <w:tc>
          <w:tcPr>
            <w:tcW w:w="1752" w:type="dxa"/>
          </w:tcPr>
          <w:p w14:paraId="660AF8B3" w14:textId="77777777" w:rsidR="00482034" w:rsidRDefault="00FE15A1">
            <w:pPr>
              <w:tabs>
                <w:tab w:val="left" w:pos="567"/>
              </w:tabs>
              <w:rPr>
                <w:bCs/>
                <w:sz w:val="20"/>
                <w:lang w:val="hu-HU" w:eastAsia="en-US"/>
              </w:rPr>
            </w:pPr>
            <w:r>
              <w:rPr>
                <w:bCs/>
                <w:sz w:val="20"/>
                <w:lang w:val="hu-HU" w:eastAsia="en-US"/>
              </w:rPr>
              <w:t>Anyagcsere- és táplálkozási betegségek és tünetek</w:t>
            </w:r>
          </w:p>
        </w:tc>
        <w:tc>
          <w:tcPr>
            <w:tcW w:w="1359" w:type="dxa"/>
          </w:tcPr>
          <w:p w14:paraId="4DF3E41C" w14:textId="77777777" w:rsidR="00482034" w:rsidRDefault="00482034">
            <w:pPr>
              <w:tabs>
                <w:tab w:val="left" w:pos="567"/>
              </w:tabs>
              <w:rPr>
                <w:sz w:val="20"/>
                <w:lang w:val="hu-HU" w:eastAsia="en-US"/>
              </w:rPr>
            </w:pPr>
          </w:p>
        </w:tc>
        <w:tc>
          <w:tcPr>
            <w:tcW w:w="1709" w:type="dxa"/>
          </w:tcPr>
          <w:p w14:paraId="2082F465" w14:textId="77777777" w:rsidR="00482034" w:rsidRDefault="00FE15A1">
            <w:pPr>
              <w:tabs>
                <w:tab w:val="left" w:pos="567"/>
              </w:tabs>
              <w:rPr>
                <w:sz w:val="20"/>
                <w:lang w:val="hu-HU" w:eastAsia="en-US"/>
              </w:rPr>
            </w:pPr>
            <w:r>
              <w:rPr>
                <w:sz w:val="20"/>
                <w:lang w:val="hu-HU" w:eastAsia="en-US"/>
              </w:rPr>
              <w:t>étvágycsökkenés</w:t>
            </w:r>
          </w:p>
        </w:tc>
        <w:tc>
          <w:tcPr>
            <w:tcW w:w="1843" w:type="dxa"/>
          </w:tcPr>
          <w:p w14:paraId="5AE68195" w14:textId="77777777" w:rsidR="00482034" w:rsidRDefault="00FE15A1">
            <w:pPr>
              <w:tabs>
                <w:tab w:val="left" w:pos="567"/>
              </w:tabs>
              <w:rPr>
                <w:sz w:val="20"/>
                <w:lang w:val="hu-HU" w:eastAsia="en-US"/>
              </w:rPr>
            </w:pPr>
            <w:r>
              <w:rPr>
                <w:sz w:val="20"/>
                <w:lang w:val="hu-HU" w:eastAsia="en-US"/>
              </w:rPr>
              <w:t>testtömegcsökkenés</w:t>
            </w:r>
          </w:p>
        </w:tc>
        <w:tc>
          <w:tcPr>
            <w:tcW w:w="1559" w:type="dxa"/>
          </w:tcPr>
          <w:p w14:paraId="5806287D" w14:textId="77777777" w:rsidR="00482034" w:rsidRDefault="00482034">
            <w:pPr>
              <w:tabs>
                <w:tab w:val="left" w:pos="567"/>
              </w:tabs>
              <w:rPr>
                <w:sz w:val="20"/>
                <w:lang w:val="hu-HU" w:eastAsia="en-US"/>
              </w:rPr>
            </w:pPr>
          </w:p>
        </w:tc>
        <w:tc>
          <w:tcPr>
            <w:tcW w:w="1276" w:type="dxa"/>
          </w:tcPr>
          <w:p w14:paraId="7F4C2ACF" w14:textId="77777777" w:rsidR="00482034" w:rsidRDefault="00482034">
            <w:pPr>
              <w:widowControl w:val="0"/>
              <w:tabs>
                <w:tab w:val="left" w:pos="567"/>
              </w:tabs>
              <w:rPr>
                <w:sz w:val="20"/>
                <w:lang w:val="en-GB" w:eastAsia="en-US"/>
              </w:rPr>
            </w:pPr>
          </w:p>
        </w:tc>
      </w:tr>
      <w:tr w:rsidR="00482034" w14:paraId="47A2A1F0" w14:textId="77777777">
        <w:tc>
          <w:tcPr>
            <w:tcW w:w="1752" w:type="dxa"/>
          </w:tcPr>
          <w:p w14:paraId="04B8A26A" w14:textId="77777777" w:rsidR="00482034" w:rsidRDefault="00FE15A1">
            <w:pPr>
              <w:tabs>
                <w:tab w:val="left" w:pos="567"/>
              </w:tabs>
              <w:rPr>
                <w:bCs/>
                <w:sz w:val="20"/>
                <w:lang w:val="hu-HU" w:eastAsia="en-US"/>
              </w:rPr>
            </w:pPr>
            <w:r>
              <w:rPr>
                <w:bCs/>
                <w:sz w:val="20"/>
                <w:lang w:val="hu-HU" w:eastAsia="en-US"/>
              </w:rPr>
              <w:t>Pszichiátriai kórképek</w:t>
            </w:r>
          </w:p>
        </w:tc>
        <w:tc>
          <w:tcPr>
            <w:tcW w:w="1359" w:type="dxa"/>
          </w:tcPr>
          <w:p w14:paraId="3A3B626C" w14:textId="77777777" w:rsidR="00482034" w:rsidRDefault="00482034">
            <w:pPr>
              <w:tabs>
                <w:tab w:val="left" w:pos="567"/>
              </w:tabs>
              <w:rPr>
                <w:sz w:val="20"/>
                <w:lang w:val="hu-HU" w:eastAsia="en-US"/>
              </w:rPr>
            </w:pPr>
          </w:p>
        </w:tc>
        <w:tc>
          <w:tcPr>
            <w:tcW w:w="1709" w:type="dxa"/>
          </w:tcPr>
          <w:p w14:paraId="133B9FA1" w14:textId="77777777" w:rsidR="00482034" w:rsidRDefault="00FE15A1">
            <w:pPr>
              <w:tabs>
                <w:tab w:val="left" w:pos="567"/>
              </w:tabs>
              <w:rPr>
                <w:sz w:val="20"/>
                <w:lang w:val="hu-HU" w:eastAsia="en-US"/>
              </w:rPr>
            </w:pPr>
            <w:r>
              <w:rPr>
                <w:sz w:val="20"/>
                <w:lang w:val="hu-HU" w:eastAsia="en-US"/>
              </w:rPr>
              <w:t>szorongás,</w:t>
            </w:r>
          </w:p>
          <w:p w14:paraId="7167A785" w14:textId="77777777" w:rsidR="00482034" w:rsidRDefault="00FE15A1">
            <w:pPr>
              <w:tabs>
                <w:tab w:val="left" w:pos="567"/>
              </w:tabs>
              <w:rPr>
                <w:sz w:val="20"/>
                <w:lang w:val="hu-HU" w:eastAsia="en-US"/>
              </w:rPr>
            </w:pPr>
            <w:r>
              <w:rPr>
                <w:sz w:val="20"/>
                <w:lang w:val="hu-HU" w:eastAsia="en-US"/>
              </w:rPr>
              <w:t>depressziós hangulat,</w:t>
            </w:r>
          </w:p>
          <w:p w14:paraId="309296D3" w14:textId="77777777" w:rsidR="00482034" w:rsidRDefault="00FE15A1">
            <w:pPr>
              <w:tabs>
                <w:tab w:val="left" w:pos="567"/>
              </w:tabs>
              <w:rPr>
                <w:sz w:val="20"/>
                <w:lang w:val="hu-HU" w:eastAsia="en-US"/>
              </w:rPr>
            </w:pPr>
            <w:r>
              <w:rPr>
                <w:sz w:val="20"/>
                <w:lang w:val="hu-HU" w:eastAsia="en-US"/>
              </w:rPr>
              <w:t>alvászavar,</w:t>
            </w:r>
          </w:p>
          <w:p w14:paraId="02B0D9B9" w14:textId="77777777" w:rsidR="00482034" w:rsidRDefault="00FE15A1">
            <w:pPr>
              <w:tabs>
                <w:tab w:val="left" w:pos="567"/>
              </w:tabs>
              <w:rPr>
                <w:sz w:val="20"/>
                <w:lang w:val="hu-HU" w:eastAsia="en-US"/>
              </w:rPr>
            </w:pPr>
            <w:r>
              <w:rPr>
                <w:sz w:val="20"/>
                <w:lang w:val="hu-HU" w:eastAsia="en-US"/>
              </w:rPr>
              <w:t>idegesség,</w:t>
            </w:r>
          </w:p>
          <w:p w14:paraId="559D431B" w14:textId="77777777" w:rsidR="00482034" w:rsidRDefault="00FE15A1">
            <w:pPr>
              <w:tabs>
                <w:tab w:val="left" w:pos="567"/>
              </w:tabs>
              <w:rPr>
                <w:sz w:val="20"/>
                <w:lang w:val="hu-HU" w:eastAsia="en-US"/>
              </w:rPr>
            </w:pPr>
            <w:r>
              <w:rPr>
                <w:sz w:val="20"/>
                <w:lang w:val="hu-HU" w:eastAsia="en-US"/>
              </w:rPr>
              <w:t>nyugtalanság</w:t>
            </w:r>
          </w:p>
        </w:tc>
        <w:tc>
          <w:tcPr>
            <w:tcW w:w="1843" w:type="dxa"/>
          </w:tcPr>
          <w:p w14:paraId="0D2445CB" w14:textId="77777777" w:rsidR="00482034" w:rsidRDefault="00FE15A1">
            <w:pPr>
              <w:tabs>
                <w:tab w:val="left" w:pos="567"/>
              </w:tabs>
              <w:rPr>
                <w:sz w:val="20"/>
                <w:lang w:val="hu-HU" w:eastAsia="en-US"/>
              </w:rPr>
            </w:pPr>
            <w:r>
              <w:rPr>
                <w:sz w:val="20"/>
                <w:lang w:val="hu-HU" w:eastAsia="en-US"/>
              </w:rPr>
              <w:t>tájékozódási zavar,</w:t>
            </w:r>
          </w:p>
          <w:p w14:paraId="43964534" w14:textId="77777777" w:rsidR="00482034" w:rsidRDefault="00FE15A1">
            <w:pPr>
              <w:tabs>
                <w:tab w:val="left" w:pos="567"/>
              </w:tabs>
              <w:rPr>
                <w:sz w:val="20"/>
                <w:lang w:val="hu-HU" w:eastAsia="en-US"/>
              </w:rPr>
            </w:pPr>
            <w:r>
              <w:rPr>
                <w:sz w:val="20"/>
                <w:lang w:val="hu-HU" w:eastAsia="en-US"/>
              </w:rPr>
              <w:t>zavart állapot,</w:t>
            </w:r>
          </w:p>
          <w:p w14:paraId="76E9A82A" w14:textId="77777777" w:rsidR="00482034" w:rsidRDefault="00FE15A1">
            <w:pPr>
              <w:tabs>
                <w:tab w:val="left" w:pos="567"/>
              </w:tabs>
              <w:rPr>
                <w:sz w:val="20"/>
                <w:lang w:val="hu-HU" w:eastAsia="en-US"/>
              </w:rPr>
            </w:pPr>
            <w:r>
              <w:rPr>
                <w:sz w:val="20"/>
                <w:lang w:val="hu-HU" w:eastAsia="en-US"/>
              </w:rPr>
              <w:t>izgatottság,</w:t>
            </w:r>
          </w:p>
          <w:p w14:paraId="7CE55003" w14:textId="77777777" w:rsidR="00482034" w:rsidRDefault="00FE15A1">
            <w:pPr>
              <w:tabs>
                <w:tab w:val="left" w:pos="567"/>
              </w:tabs>
              <w:rPr>
                <w:sz w:val="20"/>
                <w:lang w:val="hu-HU" w:eastAsia="en-US"/>
              </w:rPr>
            </w:pPr>
            <w:r>
              <w:rPr>
                <w:sz w:val="20"/>
                <w:lang w:val="hu-HU" w:eastAsia="en-US"/>
              </w:rPr>
              <w:t>érzékelési zavarok,</w:t>
            </w:r>
          </w:p>
          <w:p w14:paraId="043B6D91" w14:textId="77777777" w:rsidR="00482034" w:rsidRDefault="00FE15A1">
            <w:pPr>
              <w:tabs>
                <w:tab w:val="left" w:pos="567"/>
              </w:tabs>
              <w:rPr>
                <w:sz w:val="20"/>
                <w:lang w:val="hu-HU" w:eastAsia="en-US"/>
              </w:rPr>
            </w:pPr>
            <w:r>
              <w:rPr>
                <w:sz w:val="20"/>
                <w:lang w:val="hu-HU" w:eastAsia="en-US"/>
              </w:rPr>
              <w:t>abnormális álmok,</w:t>
            </w:r>
          </w:p>
          <w:p w14:paraId="76E70B7F" w14:textId="77777777" w:rsidR="00482034" w:rsidRDefault="00FE15A1">
            <w:pPr>
              <w:tabs>
                <w:tab w:val="left" w:pos="567"/>
              </w:tabs>
              <w:rPr>
                <w:sz w:val="20"/>
                <w:lang w:val="hu-HU" w:eastAsia="en-US"/>
              </w:rPr>
            </w:pPr>
            <w:r>
              <w:rPr>
                <w:sz w:val="20"/>
                <w:lang w:val="hu-HU" w:eastAsia="en-US"/>
              </w:rPr>
              <w:t>eufóriás hangulat</w:t>
            </w:r>
          </w:p>
        </w:tc>
        <w:tc>
          <w:tcPr>
            <w:tcW w:w="1559" w:type="dxa"/>
          </w:tcPr>
          <w:p w14:paraId="18B0ED57" w14:textId="77777777" w:rsidR="00482034" w:rsidRDefault="00FE15A1">
            <w:pPr>
              <w:tabs>
                <w:tab w:val="left" w:pos="567"/>
              </w:tabs>
              <w:rPr>
                <w:sz w:val="20"/>
                <w:lang w:val="hu-HU" w:eastAsia="en-US"/>
              </w:rPr>
            </w:pPr>
            <w:r>
              <w:rPr>
                <w:sz w:val="20"/>
                <w:lang w:val="hu-HU" w:eastAsia="en-US"/>
              </w:rPr>
              <w:t>gyógyszer</w:t>
            </w:r>
            <w:r>
              <w:rPr>
                <w:sz w:val="20"/>
                <w:lang w:val="hu-HU" w:eastAsia="en-US"/>
              </w:rPr>
              <w:softHyphen/>
              <w:t>függőség,</w:t>
            </w:r>
          </w:p>
          <w:p w14:paraId="568DF327" w14:textId="77777777" w:rsidR="00482034" w:rsidRDefault="00FE15A1">
            <w:pPr>
              <w:tabs>
                <w:tab w:val="left" w:pos="567"/>
              </w:tabs>
              <w:rPr>
                <w:sz w:val="20"/>
                <w:lang w:val="hu-HU" w:eastAsia="en-US"/>
              </w:rPr>
            </w:pPr>
            <w:r>
              <w:rPr>
                <w:sz w:val="20"/>
                <w:lang w:val="hu-HU" w:eastAsia="en-US"/>
              </w:rPr>
              <w:t>abnormális gondolkodás</w:t>
            </w:r>
          </w:p>
        </w:tc>
        <w:tc>
          <w:tcPr>
            <w:tcW w:w="1276" w:type="dxa"/>
          </w:tcPr>
          <w:p w14:paraId="1EB60320" w14:textId="77777777" w:rsidR="00482034" w:rsidRDefault="00FE15A1">
            <w:pPr>
              <w:widowControl w:val="0"/>
              <w:tabs>
                <w:tab w:val="left" w:pos="567"/>
              </w:tabs>
              <w:rPr>
                <w:sz w:val="20"/>
                <w:lang w:val="en-GB" w:eastAsia="en-US"/>
              </w:rPr>
            </w:pPr>
            <w:r>
              <w:rPr>
                <w:sz w:val="20"/>
                <w:lang w:val="en-GB" w:eastAsia="en-US"/>
              </w:rPr>
              <w:t>delírium**</w:t>
            </w:r>
          </w:p>
        </w:tc>
      </w:tr>
      <w:tr w:rsidR="00482034" w14:paraId="2A8E1DA1" w14:textId="77777777">
        <w:tc>
          <w:tcPr>
            <w:tcW w:w="1752" w:type="dxa"/>
          </w:tcPr>
          <w:p w14:paraId="452B60AF" w14:textId="77777777" w:rsidR="00482034" w:rsidRDefault="00FE15A1">
            <w:pPr>
              <w:tabs>
                <w:tab w:val="left" w:pos="567"/>
              </w:tabs>
              <w:rPr>
                <w:bCs/>
                <w:sz w:val="20"/>
                <w:lang w:val="hu-HU" w:eastAsia="en-US"/>
              </w:rPr>
            </w:pPr>
            <w:r>
              <w:rPr>
                <w:bCs/>
                <w:sz w:val="20"/>
                <w:lang w:val="hu-HU" w:eastAsia="en-US"/>
              </w:rPr>
              <w:t>Idegrendszeri betegségek és tünetek</w:t>
            </w:r>
          </w:p>
        </w:tc>
        <w:tc>
          <w:tcPr>
            <w:tcW w:w="1359" w:type="dxa"/>
          </w:tcPr>
          <w:p w14:paraId="2C28F404" w14:textId="77777777" w:rsidR="00482034" w:rsidRDefault="00FE15A1">
            <w:pPr>
              <w:tabs>
                <w:tab w:val="left" w:pos="567"/>
              </w:tabs>
              <w:rPr>
                <w:sz w:val="20"/>
                <w:lang w:val="hu-HU" w:eastAsia="en-US"/>
              </w:rPr>
            </w:pPr>
            <w:r>
              <w:rPr>
                <w:sz w:val="20"/>
                <w:lang w:val="hu-HU" w:eastAsia="en-US"/>
              </w:rPr>
              <w:t>szédülés,</w:t>
            </w:r>
          </w:p>
          <w:p w14:paraId="3A25FA25" w14:textId="77777777" w:rsidR="00482034" w:rsidRDefault="00FE15A1">
            <w:pPr>
              <w:tabs>
                <w:tab w:val="left" w:pos="567"/>
              </w:tabs>
              <w:rPr>
                <w:sz w:val="20"/>
                <w:lang w:val="hu-HU" w:eastAsia="en-US"/>
              </w:rPr>
            </w:pPr>
            <w:r>
              <w:rPr>
                <w:sz w:val="20"/>
                <w:lang w:val="hu-HU" w:eastAsia="en-US"/>
              </w:rPr>
              <w:t>aluszékony</w:t>
            </w:r>
            <w:r>
              <w:rPr>
                <w:sz w:val="20"/>
                <w:lang w:val="hu-HU" w:eastAsia="en-US"/>
              </w:rPr>
              <w:softHyphen/>
              <w:t>ság,</w:t>
            </w:r>
          </w:p>
          <w:p w14:paraId="5DFA3C39" w14:textId="77777777" w:rsidR="00482034" w:rsidRDefault="00FE15A1">
            <w:pPr>
              <w:tabs>
                <w:tab w:val="left" w:pos="567"/>
              </w:tabs>
              <w:rPr>
                <w:sz w:val="20"/>
                <w:lang w:val="hu-HU" w:eastAsia="en-US"/>
              </w:rPr>
            </w:pPr>
            <w:r>
              <w:rPr>
                <w:sz w:val="20"/>
                <w:lang w:val="hu-HU" w:eastAsia="en-US"/>
              </w:rPr>
              <w:t>fejfájás</w:t>
            </w:r>
          </w:p>
        </w:tc>
        <w:tc>
          <w:tcPr>
            <w:tcW w:w="1709" w:type="dxa"/>
          </w:tcPr>
          <w:p w14:paraId="63E54E4A" w14:textId="77777777" w:rsidR="00482034" w:rsidRDefault="00FE15A1">
            <w:pPr>
              <w:tabs>
                <w:tab w:val="left" w:pos="567"/>
              </w:tabs>
              <w:rPr>
                <w:sz w:val="20"/>
                <w:lang w:val="hu-HU" w:eastAsia="en-US"/>
              </w:rPr>
            </w:pPr>
            <w:r>
              <w:rPr>
                <w:sz w:val="20"/>
                <w:lang w:val="hu-HU" w:eastAsia="en-US"/>
              </w:rPr>
              <w:t>figyelemzavar,</w:t>
            </w:r>
          </w:p>
          <w:p w14:paraId="6EF96930" w14:textId="77777777" w:rsidR="00482034" w:rsidRDefault="00FE15A1">
            <w:pPr>
              <w:tabs>
                <w:tab w:val="left" w:pos="567"/>
              </w:tabs>
              <w:rPr>
                <w:sz w:val="20"/>
                <w:lang w:val="hu-HU" w:eastAsia="en-US"/>
              </w:rPr>
            </w:pPr>
            <w:r>
              <w:rPr>
                <w:sz w:val="20"/>
                <w:lang w:val="hu-HU" w:eastAsia="en-US"/>
              </w:rPr>
              <w:t>tremor,</w:t>
            </w:r>
          </w:p>
          <w:p w14:paraId="71453D63" w14:textId="77777777" w:rsidR="00482034" w:rsidRDefault="00FE15A1">
            <w:pPr>
              <w:tabs>
                <w:tab w:val="left" w:pos="567"/>
              </w:tabs>
              <w:rPr>
                <w:sz w:val="20"/>
                <w:lang w:val="hu-HU" w:eastAsia="en-US"/>
              </w:rPr>
            </w:pPr>
            <w:r>
              <w:rPr>
                <w:sz w:val="20"/>
                <w:lang w:val="hu-HU" w:eastAsia="en-US"/>
              </w:rPr>
              <w:t>akaratlan izomösszehúzó</w:t>
            </w:r>
            <w:r>
              <w:rPr>
                <w:sz w:val="20"/>
                <w:lang w:val="hu-HU" w:eastAsia="en-US"/>
              </w:rPr>
              <w:softHyphen/>
              <w:t>dások</w:t>
            </w:r>
          </w:p>
        </w:tc>
        <w:tc>
          <w:tcPr>
            <w:tcW w:w="1843" w:type="dxa"/>
          </w:tcPr>
          <w:p w14:paraId="0850EEFD" w14:textId="77777777" w:rsidR="00482034" w:rsidRDefault="00FE15A1">
            <w:pPr>
              <w:tabs>
                <w:tab w:val="left" w:pos="567"/>
              </w:tabs>
              <w:rPr>
                <w:sz w:val="20"/>
                <w:lang w:val="hu-HU" w:eastAsia="en-US"/>
              </w:rPr>
            </w:pPr>
            <w:r>
              <w:rPr>
                <w:sz w:val="20"/>
                <w:lang w:val="hu-HU" w:eastAsia="en-US"/>
              </w:rPr>
              <w:t>csökkent tudatállapot,</w:t>
            </w:r>
          </w:p>
          <w:p w14:paraId="23ED024E" w14:textId="77777777" w:rsidR="00482034" w:rsidRDefault="00FE15A1">
            <w:pPr>
              <w:tabs>
                <w:tab w:val="left" w:pos="567"/>
              </w:tabs>
              <w:rPr>
                <w:sz w:val="20"/>
                <w:lang w:val="hu-HU" w:eastAsia="en-US"/>
              </w:rPr>
            </w:pPr>
            <w:r>
              <w:rPr>
                <w:sz w:val="20"/>
                <w:lang w:val="hu-HU" w:eastAsia="en-US"/>
              </w:rPr>
              <w:t>memóriakárosodás,</w:t>
            </w:r>
          </w:p>
          <w:p w14:paraId="567E2C1F" w14:textId="77777777" w:rsidR="00482034" w:rsidRDefault="00FE15A1">
            <w:pPr>
              <w:tabs>
                <w:tab w:val="left" w:pos="567"/>
              </w:tabs>
              <w:rPr>
                <w:sz w:val="20"/>
                <w:lang w:val="hu-HU" w:eastAsia="en-US"/>
              </w:rPr>
            </w:pPr>
            <w:r>
              <w:rPr>
                <w:sz w:val="20"/>
                <w:lang w:val="hu-HU" w:eastAsia="en-US"/>
              </w:rPr>
              <w:t>mentális károsodás,</w:t>
            </w:r>
          </w:p>
          <w:p w14:paraId="416F8D89" w14:textId="77777777" w:rsidR="00482034" w:rsidRDefault="00FE15A1">
            <w:pPr>
              <w:tabs>
                <w:tab w:val="left" w:pos="567"/>
              </w:tabs>
              <w:rPr>
                <w:sz w:val="20"/>
                <w:lang w:val="hu-HU" w:eastAsia="en-US"/>
              </w:rPr>
            </w:pPr>
            <w:r>
              <w:rPr>
                <w:sz w:val="20"/>
                <w:lang w:val="hu-HU" w:eastAsia="en-US"/>
              </w:rPr>
              <w:t>syncope,</w:t>
            </w:r>
          </w:p>
          <w:p w14:paraId="6F95864D" w14:textId="77777777" w:rsidR="00482034" w:rsidRDefault="00FE15A1">
            <w:pPr>
              <w:tabs>
                <w:tab w:val="left" w:pos="567"/>
              </w:tabs>
              <w:rPr>
                <w:sz w:val="20"/>
                <w:lang w:val="hu-HU" w:eastAsia="en-US"/>
              </w:rPr>
            </w:pPr>
            <w:r>
              <w:rPr>
                <w:sz w:val="20"/>
                <w:lang w:val="hu-HU" w:eastAsia="en-US"/>
              </w:rPr>
              <w:t>szedáció,</w:t>
            </w:r>
          </w:p>
          <w:p w14:paraId="564E2764" w14:textId="77777777" w:rsidR="00482034" w:rsidRDefault="00FE15A1">
            <w:pPr>
              <w:tabs>
                <w:tab w:val="left" w:pos="567"/>
              </w:tabs>
              <w:rPr>
                <w:sz w:val="20"/>
                <w:lang w:val="hu-HU" w:eastAsia="en-US"/>
              </w:rPr>
            </w:pPr>
            <w:r>
              <w:rPr>
                <w:sz w:val="20"/>
                <w:lang w:val="hu-HU" w:eastAsia="en-US"/>
              </w:rPr>
              <w:t>egyensúlyzavar,</w:t>
            </w:r>
          </w:p>
          <w:p w14:paraId="0F4A0511" w14:textId="77777777" w:rsidR="00482034" w:rsidRDefault="00FE15A1">
            <w:pPr>
              <w:tabs>
                <w:tab w:val="left" w:pos="567"/>
              </w:tabs>
              <w:rPr>
                <w:sz w:val="20"/>
                <w:lang w:val="hu-HU" w:eastAsia="en-US"/>
              </w:rPr>
            </w:pPr>
            <w:r>
              <w:rPr>
                <w:sz w:val="20"/>
                <w:lang w:val="hu-HU" w:eastAsia="en-US"/>
              </w:rPr>
              <w:t xml:space="preserve">dysarthria, hypaesthesia, </w:t>
            </w:r>
          </w:p>
          <w:p w14:paraId="25B11992" w14:textId="77777777" w:rsidR="00482034" w:rsidRDefault="00FE15A1">
            <w:pPr>
              <w:tabs>
                <w:tab w:val="left" w:pos="567"/>
              </w:tabs>
              <w:rPr>
                <w:sz w:val="20"/>
                <w:lang w:val="hu-HU" w:eastAsia="en-US"/>
              </w:rPr>
            </w:pPr>
            <w:r>
              <w:rPr>
                <w:sz w:val="20"/>
                <w:lang w:val="hu-HU" w:eastAsia="en-US"/>
              </w:rPr>
              <w:t>paraesthesia</w:t>
            </w:r>
          </w:p>
        </w:tc>
        <w:tc>
          <w:tcPr>
            <w:tcW w:w="1559" w:type="dxa"/>
          </w:tcPr>
          <w:p w14:paraId="162EB8F4" w14:textId="77777777" w:rsidR="00482034" w:rsidRDefault="00FE15A1">
            <w:pPr>
              <w:tabs>
                <w:tab w:val="left" w:pos="567"/>
              </w:tabs>
              <w:rPr>
                <w:sz w:val="20"/>
                <w:lang w:val="hu-HU" w:eastAsia="en-US"/>
              </w:rPr>
            </w:pPr>
            <w:r>
              <w:rPr>
                <w:sz w:val="20"/>
                <w:lang w:val="hu-HU" w:eastAsia="en-US"/>
              </w:rPr>
              <w:t>convulsio,</w:t>
            </w:r>
          </w:p>
          <w:p w14:paraId="197A23FD" w14:textId="77777777" w:rsidR="00482034" w:rsidRDefault="00FE15A1">
            <w:pPr>
              <w:tabs>
                <w:tab w:val="left" w:pos="567"/>
              </w:tabs>
              <w:rPr>
                <w:sz w:val="20"/>
                <w:lang w:val="hu-HU" w:eastAsia="en-US"/>
              </w:rPr>
            </w:pPr>
            <w:r>
              <w:rPr>
                <w:sz w:val="20"/>
                <w:lang w:val="hu-HU" w:eastAsia="en-US"/>
              </w:rPr>
              <w:t>presyncope,</w:t>
            </w:r>
          </w:p>
          <w:p w14:paraId="7DC34EFD" w14:textId="77777777" w:rsidR="00482034" w:rsidRDefault="00FE15A1">
            <w:pPr>
              <w:tabs>
                <w:tab w:val="left" w:pos="567"/>
              </w:tabs>
              <w:rPr>
                <w:sz w:val="20"/>
                <w:lang w:val="hu-HU" w:eastAsia="en-US"/>
              </w:rPr>
            </w:pPr>
            <w:r>
              <w:rPr>
                <w:sz w:val="20"/>
                <w:lang w:val="hu-HU" w:eastAsia="en-US"/>
              </w:rPr>
              <w:t>koordináció zavara</w:t>
            </w:r>
          </w:p>
        </w:tc>
        <w:tc>
          <w:tcPr>
            <w:tcW w:w="1276" w:type="dxa"/>
          </w:tcPr>
          <w:p w14:paraId="48BA34F3" w14:textId="77777777" w:rsidR="00482034" w:rsidRDefault="00482034">
            <w:pPr>
              <w:widowControl w:val="0"/>
              <w:tabs>
                <w:tab w:val="left" w:pos="567"/>
              </w:tabs>
              <w:rPr>
                <w:sz w:val="20"/>
                <w:lang w:val="en-GB" w:eastAsia="en-US"/>
              </w:rPr>
            </w:pPr>
          </w:p>
        </w:tc>
      </w:tr>
      <w:tr w:rsidR="00482034" w14:paraId="066828B6" w14:textId="77777777">
        <w:tc>
          <w:tcPr>
            <w:tcW w:w="1752" w:type="dxa"/>
          </w:tcPr>
          <w:p w14:paraId="29136AAD" w14:textId="77777777" w:rsidR="00482034" w:rsidRDefault="00FE15A1">
            <w:pPr>
              <w:tabs>
                <w:tab w:val="left" w:pos="567"/>
              </w:tabs>
              <w:rPr>
                <w:bCs/>
                <w:sz w:val="20"/>
                <w:lang w:val="hu-HU" w:eastAsia="en-US"/>
              </w:rPr>
            </w:pPr>
            <w:r>
              <w:rPr>
                <w:bCs/>
                <w:sz w:val="20"/>
                <w:lang w:val="hu-HU" w:eastAsia="en-US"/>
              </w:rPr>
              <w:t>Szembetegségek és szemészeti tünetek</w:t>
            </w:r>
          </w:p>
        </w:tc>
        <w:tc>
          <w:tcPr>
            <w:tcW w:w="1359" w:type="dxa"/>
          </w:tcPr>
          <w:p w14:paraId="68F049BC" w14:textId="77777777" w:rsidR="00482034" w:rsidRDefault="00482034">
            <w:pPr>
              <w:tabs>
                <w:tab w:val="left" w:pos="567"/>
              </w:tabs>
              <w:rPr>
                <w:sz w:val="20"/>
                <w:lang w:val="hu-HU" w:eastAsia="en-US"/>
              </w:rPr>
            </w:pPr>
          </w:p>
        </w:tc>
        <w:tc>
          <w:tcPr>
            <w:tcW w:w="1709" w:type="dxa"/>
          </w:tcPr>
          <w:p w14:paraId="654997CC" w14:textId="77777777" w:rsidR="00482034" w:rsidRDefault="00482034">
            <w:pPr>
              <w:tabs>
                <w:tab w:val="left" w:pos="567"/>
              </w:tabs>
              <w:rPr>
                <w:sz w:val="20"/>
                <w:lang w:val="hu-HU" w:eastAsia="en-US"/>
              </w:rPr>
            </w:pPr>
          </w:p>
        </w:tc>
        <w:tc>
          <w:tcPr>
            <w:tcW w:w="1843" w:type="dxa"/>
          </w:tcPr>
          <w:p w14:paraId="53515988" w14:textId="77777777" w:rsidR="00482034" w:rsidRDefault="00FE15A1">
            <w:pPr>
              <w:tabs>
                <w:tab w:val="left" w:pos="567"/>
              </w:tabs>
              <w:rPr>
                <w:sz w:val="20"/>
                <w:lang w:val="hu-HU" w:eastAsia="en-US"/>
              </w:rPr>
            </w:pPr>
            <w:r>
              <w:rPr>
                <w:sz w:val="20"/>
                <w:lang w:val="hu-HU" w:eastAsia="en-US"/>
              </w:rPr>
              <w:t>látászavar</w:t>
            </w:r>
          </w:p>
        </w:tc>
        <w:tc>
          <w:tcPr>
            <w:tcW w:w="1559" w:type="dxa"/>
          </w:tcPr>
          <w:p w14:paraId="72E489E0" w14:textId="77777777" w:rsidR="00482034" w:rsidRDefault="00482034">
            <w:pPr>
              <w:tabs>
                <w:tab w:val="left" w:pos="567"/>
              </w:tabs>
              <w:rPr>
                <w:sz w:val="20"/>
                <w:lang w:val="hu-HU" w:eastAsia="en-US"/>
              </w:rPr>
            </w:pPr>
          </w:p>
        </w:tc>
        <w:tc>
          <w:tcPr>
            <w:tcW w:w="1276" w:type="dxa"/>
          </w:tcPr>
          <w:p w14:paraId="448A3D8D" w14:textId="77777777" w:rsidR="00482034" w:rsidRDefault="00482034">
            <w:pPr>
              <w:widowControl w:val="0"/>
              <w:tabs>
                <w:tab w:val="left" w:pos="567"/>
              </w:tabs>
              <w:rPr>
                <w:sz w:val="20"/>
                <w:lang w:val="en-GB" w:eastAsia="en-US"/>
              </w:rPr>
            </w:pPr>
          </w:p>
        </w:tc>
      </w:tr>
      <w:tr w:rsidR="00482034" w14:paraId="7C4CF5F6" w14:textId="77777777">
        <w:tc>
          <w:tcPr>
            <w:tcW w:w="1752" w:type="dxa"/>
          </w:tcPr>
          <w:p w14:paraId="64EE8377" w14:textId="77777777" w:rsidR="00482034" w:rsidRDefault="00FE15A1">
            <w:pPr>
              <w:tabs>
                <w:tab w:val="left" w:pos="567"/>
              </w:tabs>
              <w:rPr>
                <w:bCs/>
                <w:sz w:val="20"/>
                <w:lang w:val="hu-HU" w:eastAsia="en-US"/>
              </w:rPr>
            </w:pPr>
            <w:r>
              <w:rPr>
                <w:bCs/>
                <w:sz w:val="20"/>
                <w:lang w:val="hu-HU" w:eastAsia="en-US"/>
              </w:rPr>
              <w:t>Szívbetegségek és a szívvel kapcsolatos tünetek</w:t>
            </w:r>
          </w:p>
        </w:tc>
        <w:tc>
          <w:tcPr>
            <w:tcW w:w="1359" w:type="dxa"/>
          </w:tcPr>
          <w:p w14:paraId="2D3652A9" w14:textId="77777777" w:rsidR="00482034" w:rsidRDefault="00482034">
            <w:pPr>
              <w:tabs>
                <w:tab w:val="left" w:pos="567"/>
              </w:tabs>
              <w:rPr>
                <w:sz w:val="20"/>
                <w:lang w:val="hu-HU" w:eastAsia="en-US"/>
              </w:rPr>
            </w:pPr>
          </w:p>
        </w:tc>
        <w:tc>
          <w:tcPr>
            <w:tcW w:w="1709" w:type="dxa"/>
          </w:tcPr>
          <w:p w14:paraId="180DDC7D" w14:textId="77777777" w:rsidR="00482034" w:rsidRDefault="00482034">
            <w:pPr>
              <w:tabs>
                <w:tab w:val="left" w:pos="567"/>
              </w:tabs>
              <w:rPr>
                <w:sz w:val="20"/>
                <w:lang w:val="hu-HU" w:eastAsia="en-US"/>
              </w:rPr>
            </w:pPr>
          </w:p>
        </w:tc>
        <w:tc>
          <w:tcPr>
            <w:tcW w:w="1843" w:type="dxa"/>
          </w:tcPr>
          <w:p w14:paraId="66D058A3" w14:textId="77777777" w:rsidR="00482034" w:rsidRDefault="00FE15A1">
            <w:pPr>
              <w:tabs>
                <w:tab w:val="left" w:pos="567"/>
              </w:tabs>
              <w:rPr>
                <w:sz w:val="20"/>
                <w:lang w:val="hu-HU" w:eastAsia="en-US"/>
              </w:rPr>
            </w:pPr>
            <w:r>
              <w:rPr>
                <w:sz w:val="20"/>
                <w:lang w:val="hu-HU" w:eastAsia="en-US"/>
              </w:rPr>
              <w:t>emelkedett szívfrekvencia,</w:t>
            </w:r>
          </w:p>
          <w:p w14:paraId="61E54C04" w14:textId="77777777" w:rsidR="00482034" w:rsidRDefault="00FE15A1">
            <w:pPr>
              <w:tabs>
                <w:tab w:val="left" w:pos="567"/>
              </w:tabs>
              <w:rPr>
                <w:sz w:val="20"/>
                <w:lang w:val="hu-HU" w:eastAsia="en-US"/>
              </w:rPr>
            </w:pPr>
            <w:r>
              <w:rPr>
                <w:sz w:val="20"/>
                <w:lang w:val="hu-HU" w:eastAsia="en-US"/>
              </w:rPr>
              <w:t>csökkent szívfrekvencia,</w:t>
            </w:r>
          </w:p>
          <w:p w14:paraId="34A21763" w14:textId="77777777" w:rsidR="00482034" w:rsidRDefault="00FE15A1">
            <w:pPr>
              <w:tabs>
                <w:tab w:val="left" w:pos="567"/>
              </w:tabs>
              <w:rPr>
                <w:sz w:val="20"/>
                <w:lang w:val="hu-HU" w:eastAsia="en-US"/>
              </w:rPr>
            </w:pPr>
            <w:r>
              <w:rPr>
                <w:sz w:val="20"/>
                <w:lang w:val="hu-HU" w:eastAsia="en-US"/>
              </w:rPr>
              <w:t>palpitatio</w:t>
            </w:r>
          </w:p>
        </w:tc>
        <w:tc>
          <w:tcPr>
            <w:tcW w:w="1559" w:type="dxa"/>
          </w:tcPr>
          <w:p w14:paraId="4967F3F3" w14:textId="77777777" w:rsidR="00482034" w:rsidRDefault="00482034">
            <w:pPr>
              <w:tabs>
                <w:tab w:val="left" w:pos="567"/>
              </w:tabs>
              <w:rPr>
                <w:sz w:val="20"/>
                <w:lang w:val="hu-HU" w:eastAsia="en-US"/>
              </w:rPr>
            </w:pPr>
          </w:p>
        </w:tc>
        <w:tc>
          <w:tcPr>
            <w:tcW w:w="1276" w:type="dxa"/>
          </w:tcPr>
          <w:p w14:paraId="340699F4" w14:textId="77777777" w:rsidR="00482034" w:rsidRDefault="00482034">
            <w:pPr>
              <w:widowControl w:val="0"/>
              <w:tabs>
                <w:tab w:val="left" w:pos="567"/>
              </w:tabs>
              <w:rPr>
                <w:sz w:val="20"/>
                <w:lang w:val="en-GB" w:eastAsia="en-US"/>
              </w:rPr>
            </w:pPr>
          </w:p>
        </w:tc>
      </w:tr>
      <w:tr w:rsidR="00482034" w14:paraId="4B37913E" w14:textId="77777777">
        <w:tc>
          <w:tcPr>
            <w:tcW w:w="1752" w:type="dxa"/>
          </w:tcPr>
          <w:p w14:paraId="2F84D3C8" w14:textId="77777777" w:rsidR="00482034" w:rsidRDefault="00FE15A1">
            <w:pPr>
              <w:tabs>
                <w:tab w:val="left" w:pos="567"/>
              </w:tabs>
              <w:rPr>
                <w:bCs/>
                <w:sz w:val="20"/>
                <w:lang w:val="hu-HU" w:eastAsia="en-US"/>
              </w:rPr>
            </w:pPr>
            <w:r>
              <w:rPr>
                <w:bCs/>
                <w:sz w:val="20"/>
                <w:lang w:val="hu-HU" w:eastAsia="en-US"/>
              </w:rPr>
              <w:t>Érbetegségek és tünetek</w:t>
            </w:r>
          </w:p>
        </w:tc>
        <w:tc>
          <w:tcPr>
            <w:tcW w:w="1359" w:type="dxa"/>
          </w:tcPr>
          <w:p w14:paraId="15BD6B69" w14:textId="77777777" w:rsidR="00482034" w:rsidRDefault="00482034">
            <w:pPr>
              <w:tabs>
                <w:tab w:val="left" w:pos="567"/>
              </w:tabs>
              <w:rPr>
                <w:sz w:val="20"/>
                <w:lang w:val="hu-HU" w:eastAsia="en-US"/>
              </w:rPr>
            </w:pPr>
          </w:p>
        </w:tc>
        <w:tc>
          <w:tcPr>
            <w:tcW w:w="1709" w:type="dxa"/>
          </w:tcPr>
          <w:p w14:paraId="1ECE6720" w14:textId="77777777" w:rsidR="00482034" w:rsidRDefault="00FE15A1">
            <w:pPr>
              <w:tabs>
                <w:tab w:val="left" w:pos="567"/>
              </w:tabs>
              <w:rPr>
                <w:sz w:val="20"/>
                <w:lang w:val="hu-HU" w:eastAsia="en-US"/>
              </w:rPr>
            </w:pPr>
            <w:r>
              <w:rPr>
                <w:sz w:val="20"/>
                <w:lang w:val="hu-HU" w:eastAsia="en-US"/>
              </w:rPr>
              <w:t>kipirulás</w:t>
            </w:r>
          </w:p>
        </w:tc>
        <w:tc>
          <w:tcPr>
            <w:tcW w:w="1843" w:type="dxa"/>
          </w:tcPr>
          <w:p w14:paraId="6F56F124" w14:textId="77777777" w:rsidR="00482034" w:rsidRDefault="00FE15A1">
            <w:pPr>
              <w:tabs>
                <w:tab w:val="left" w:pos="567"/>
              </w:tabs>
              <w:rPr>
                <w:sz w:val="20"/>
                <w:lang w:val="hu-HU" w:eastAsia="en-US"/>
              </w:rPr>
            </w:pPr>
            <w:r>
              <w:rPr>
                <w:sz w:val="20"/>
                <w:lang w:val="hu-HU" w:eastAsia="en-US"/>
              </w:rPr>
              <w:t>csökkent vérnyomás</w:t>
            </w:r>
          </w:p>
        </w:tc>
        <w:tc>
          <w:tcPr>
            <w:tcW w:w="1559" w:type="dxa"/>
          </w:tcPr>
          <w:p w14:paraId="756DECF5" w14:textId="77777777" w:rsidR="00482034" w:rsidRDefault="00482034">
            <w:pPr>
              <w:tabs>
                <w:tab w:val="left" w:pos="567"/>
              </w:tabs>
              <w:rPr>
                <w:sz w:val="20"/>
                <w:lang w:val="hu-HU" w:eastAsia="en-US"/>
              </w:rPr>
            </w:pPr>
          </w:p>
        </w:tc>
        <w:tc>
          <w:tcPr>
            <w:tcW w:w="1276" w:type="dxa"/>
          </w:tcPr>
          <w:p w14:paraId="15286F03" w14:textId="77777777" w:rsidR="00482034" w:rsidRDefault="00482034">
            <w:pPr>
              <w:widowControl w:val="0"/>
              <w:tabs>
                <w:tab w:val="left" w:pos="567"/>
              </w:tabs>
              <w:rPr>
                <w:sz w:val="20"/>
                <w:lang w:val="en-GB" w:eastAsia="en-US"/>
              </w:rPr>
            </w:pPr>
          </w:p>
        </w:tc>
      </w:tr>
      <w:tr w:rsidR="00482034" w14:paraId="01A9C403" w14:textId="77777777">
        <w:tc>
          <w:tcPr>
            <w:tcW w:w="1752" w:type="dxa"/>
          </w:tcPr>
          <w:p w14:paraId="2DCBD87B" w14:textId="77777777" w:rsidR="00482034" w:rsidRDefault="00FE15A1">
            <w:pPr>
              <w:tabs>
                <w:tab w:val="left" w:pos="567"/>
              </w:tabs>
              <w:rPr>
                <w:bCs/>
                <w:sz w:val="20"/>
                <w:lang w:val="hu-HU" w:eastAsia="en-US"/>
              </w:rPr>
            </w:pPr>
            <w:r>
              <w:rPr>
                <w:bCs/>
                <w:sz w:val="20"/>
                <w:lang w:val="hu-HU" w:eastAsia="en-US"/>
              </w:rPr>
              <w:t>Légzőrendszeri, mellkasi és mediastinalis betegségek és tünetek</w:t>
            </w:r>
          </w:p>
        </w:tc>
        <w:tc>
          <w:tcPr>
            <w:tcW w:w="1359" w:type="dxa"/>
          </w:tcPr>
          <w:p w14:paraId="003CC22D" w14:textId="77777777" w:rsidR="00482034" w:rsidRDefault="00482034">
            <w:pPr>
              <w:tabs>
                <w:tab w:val="left" w:pos="567"/>
              </w:tabs>
              <w:rPr>
                <w:sz w:val="20"/>
                <w:lang w:val="hu-HU" w:eastAsia="en-US"/>
              </w:rPr>
            </w:pPr>
          </w:p>
        </w:tc>
        <w:tc>
          <w:tcPr>
            <w:tcW w:w="1709" w:type="dxa"/>
          </w:tcPr>
          <w:p w14:paraId="35F1E382" w14:textId="77777777" w:rsidR="00482034" w:rsidRDefault="00FE15A1">
            <w:pPr>
              <w:tabs>
                <w:tab w:val="left" w:pos="567"/>
              </w:tabs>
              <w:rPr>
                <w:sz w:val="20"/>
                <w:lang w:val="hu-HU" w:eastAsia="en-US"/>
              </w:rPr>
            </w:pPr>
            <w:r>
              <w:rPr>
                <w:sz w:val="20"/>
                <w:lang w:val="hu-HU" w:eastAsia="en-US"/>
              </w:rPr>
              <w:t>dyspnoe</w:t>
            </w:r>
          </w:p>
        </w:tc>
        <w:tc>
          <w:tcPr>
            <w:tcW w:w="1843" w:type="dxa"/>
          </w:tcPr>
          <w:p w14:paraId="1BB1BDAF" w14:textId="77777777" w:rsidR="00482034" w:rsidRDefault="00482034">
            <w:pPr>
              <w:tabs>
                <w:tab w:val="left" w:pos="567"/>
              </w:tabs>
              <w:rPr>
                <w:sz w:val="20"/>
                <w:lang w:val="hu-HU" w:eastAsia="en-US"/>
              </w:rPr>
            </w:pPr>
          </w:p>
        </w:tc>
        <w:tc>
          <w:tcPr>
            <w:tcW w:w="1559" w:type="dxa"/>
          </w:tcPr>
          <w:p w14:paraId="0CC6A111" w14:textId="77777777" w:rsidR="00482034" w:rsidRDefault="00FE15A1">
            <w:pPr>
              <w:tabs>
                <w:tab w:val="left" w:pos="567"/>
              </w:tabs>
              <w:rPr>
                <w:sz w:val="20"/>
                <w:lang w:val="hu-HU" w:eastAsia="en-US"/>
              </w:rPr>
            </w:pPr>
            <w:r>
              <w:rPr>
                <w:sz w:val="20"/>
                <w:lang w:val="hu-HU" w:eastAsia="en-US"/>
              </w:rPr>
              <w:t>légzés</w:t>
            </w:r>
            <w:r>
              <w:rPr>
                <w:sz w:val="20"/>
                <w:lang w:val="hu-HU" w:eastAsia="en-US"/>
              </w:rPr>
              <w:softHyphen/>
              <w:t>depresszió</w:t>
            </w:r>
          </w:p>
        </w:tc>
        <w:tc>
          <w:tcPr>
            <w:tcW w:w="1276" w:type="dxa"/>
          </w:tcPr>
          <w:p w14:paraId="3B1DCF62" w14:textId="77777777" w:rsidR="00482034" w:rsidRDefault="00482034">
            <w:pPr>
              <w:widowControl w:val="0"/>
              <w:tabs>
                <w:tab w:val="left" w:pos="567"/>
              </w:tabs>
              <w:rPr>
                <w:sz w:val="20"/>
                <w:lang w:val="en-GB" w:eastAsia="en-US"/>
              </w:rPr>
            </w:pPr>
          </w:p>
        </w:tc>
      </w:tr>
      <w:tr w:rsidR="00482034" w14:paraId="26D94F0B" w14:textId="77777777">
        <w:tc>
          <w:tcPr>
            <w:tcW w:w="1752" w:type="dxa"/>
          </w:tcPr>
          <w:p w14:paraId="68D15FA9" w14:textId="77777777" w:rsidR="00482034" w:rsidRDefault="00FE15A1">
            <w:pPr>
              <w:keepNext/>
              <w:tabs>
                <w:tab w:val="left" w:pos="567"/>
              </w:tabs>
              <w:rPr>
                <w:bCs/>
                <w:sz w:val="20"/>
                <w:lang w:val="hu-HU" w:eastAsia="en-US"/>
              </w:rPr>
            </w:pPr>
            <w:r>
              <w:rPr>
                <w:bCs/>
                <w:sz w:val="20"/>
                <w:lang w:val="hu-HU" w:eastAsia="en-US"/>
              </w:rPr>
              <w:t>Emésztőrendszeri betegségek és tünetek</w:t>
            </w:r>
          </w:p>
        </w:tc>
        <w:tc>
          <w:tcPr>
            <w:tcW w:w="1359" w:type="dxa"/>
          </w:tcPr>
          <w:p w14:paraId="434FB58E" w14:textId="77777777" w:rsidR="00482034" w:rsidRDefault="00FE15A1">
            <w:pPr>
              <w:keepNext/>
              <w:tabs>
                <w:tab w:val="left" w:pos="567"/>
              </w:tabs>
              <w:rPr>
                <w:sz w:val="20"/>
                <w:lang w:val="hu-HU" w:eastAsia="en-US"/>
              </w:rPr>
            </w:pPr>
            <w:r>
              <w:rPr>
                <w:sz w:val="20"/>
                <w:lang w:val="hu-HU" w:eastAsia="en-US"/>
              </w:rPr>
              <w:t>hányinger,</w:t>
            </w:r>
          </w:p>
          <w:p w14:paraId="63F4E1C0" w14:textId="77777777" w:rsidR="00482034" w:rsidRDefault="00FE15A1">
            <w:pPr>
              <w:keepNext/>
              <w:tabs>
                <w:tab w:val="left" w:pos="567"/>
              </w:tabs>
              <w:rPr>
                <w:sz w:val="20"/>
                <w:lang w:val="hu-HU" w:eastAsia="en-US"/>
              </w:rPr>
            </w:pPr>
            <w:r>
              <w:rPr>
                <w:sz w:val="20"/>
                <w:lang w:val="hu-HU" w:eastAsia="en-US"/>
              </w:rPr>
              <w:t>székrekedés</w:t>
            </w:r>
          </w:p>
        </w:tc>
        <w:tc>
          <w:tcPr>
            <w:tcW w:w="1709" w:type="dxa"/>
          </w:tcPr>
          <w:p w14:paraId="4485626F" w14:textId="77777777" w:rsidR="00482034" w:rsidRDefault="00FE15A1">
            <w:pPr>
              <w:keepNext/>
              <w:tabs>
                <w:tab w:val="left" w:pos="567"/>
              </w:tabs>
              <w:rPr>
                <w:sz w:val="20"/>
                <w:lang w:val="hu-HU" w:eastAsia="en-US"/>
              </w:rPr>
            </w:pPr>
            <w:r>
              <w:rPr>
                <w:sz w:val="20"/>
                <w:lang w:val="hu-HU" w:eastAsia="en-US"/>
              </w:rPr>
              <w:t>hányás,</w:t>
            </w:r>
          </w:p>
          <w:p w14:paraId="4C1E1471" w14:textId="77777777" w:rsidR="00482034" w:rsidRDefault="00FE15A1">
            <w:pPr>
              <w:keepNext/>
              <w:tabs>
                <w:tab w:val="left" w:pos="567"/>
              </w:tabs>
              <w:rPr>
                <w:sz w:val="20"/>
                <w:lang w:val="hu-HU" w:eastAsia="en-US"/>
              </w:rPr>
            </w:pPr>
            <w:r>
              <w:rPr>
                <w:sz w:val="20"/>
                <w:lang w:val="hu-HU" w:eastAsia="en-US"/>
              </w:rPr>
              <w:t>hasmenés,</w:t>
            </w:r>
          </w:p>
          <w:p w14:paraId="3902FDE8" w14:textId="77777777" w:rsidR="00482034" w:rsidRDefault="00FE15A1">
            <w:pPr>
              <w:keepNext/>
              <w:tabs>
                <w:tab w:val="left" w:pos="567"/>
              </w:tabs>
              <w:rPr>
                <w:sz w:val="20"/>
                <w:lang w:val="hu-HU" w:eastAsia="en-US"/>
              </w:rPr>
            </w:pPr>
            <w:r>
              <w:rPr>
                <w:sz w:val="20"/>
                <w:lang w:val="hu-HU" w:eastAsia="en-US"/>
              </w:rPr>
              <w:t>emésztési zavar</w:t>
            </w:r>
          </w:p>
        </w:tc>
        <w:tc>
          <w:tcPr>
            <w:tcW w:w="1843" w:type="dxa"/>
          </w:tcPr>
          <w:p w14:paraId="42D3725E" w14:textId="77777777" w:rsidR="00482034" w:rsidRDefault="00FE15A1">
            <w:pPr>
              <w:keepNext/>
              <w:tabs>
                <w:tab w:val="left" w:pos="567"/>
              </w:tabs>
              <w:rPr>
                <w:sz w:val="20"/>
                <w:lang w:val="hu-HU" w:eastAsia="en-US"/>
              </w:rPr>
            </w:pPr>
            <w:r>
              <w:rPr>
                <w:sz w:val="20"/>
                <w:lang w:val="hu-HU" w:eastAsia="en-US"/>
              </w:rPr>
              <w:t>hasi diszkomfort</w:t>
            </w:r>
          </w:p>
        </w:tc>
        <w:tc>
          <w:tcPr>
            <w:tcW w:w="1559" w:type="dxa"/>
          </w:tcPr>
          <w:p w14:paraId="44D745C2" w14:textId="77777777" w:rsidR="00482034" w:rsidRDefault="00FE15A1">
            <w:pPr>
              <w:keepNext/>
              <w:tabs>
                <w:tab w:val="left" w:pos="567"/>
              </w:tabs>
              <w:rPr>
                <w:sz w:val="20"/>
                <w:lang w:val="hu-HU" w:eastAsia="en-US"/>
              </w:rPr>
            </w:pPr>
            <w:r>
              <w:rPr>
                <w:sz w:val="20"/>
                <w:lang w:val="hu-HU" w:eastAsia="en-US"/>
              </w:rPr>
              <w:t>károsodott gyomorürülés</w:t>
            </w:r>
          </w:p>
        </w:tc>
        <w:tc>
          <w:tcPr>
            <w:tcW w:w="1276" w:type="dxa"/>
          </w:tcPr>
          <w:p w14:paraId="119BF381" w14:textId="77777777" w:rsidR="00482034" w:rsidRDefault="00482034">
            <w:pPr>
              <w:widowControl w:val="0"/>
              <w:tabs>
                <w:tab w:val="left" w:pos="567"/>
              </w:tabs>
              <w:rPr>
                <w:sz w:val="20"/>
                <w:lang w:val="en-GB" w:eastAsia="en-US"/>
              </w:rPr>
            </w:pPr>
          </w:p>
        </w:tc>
      </w:tr>
      <w:tr w:rsidR="00482034" w14:paraId="2A5E8B51" w14:textId="77777777">
        <w:tc>
          <w:tcPr>
            <w:tcW w:w="1752" w:type="dxa"/>
          </w:tcPr>
          <w:p w14:paraId="79BA0ECB" w14:textId="77777777" w:rsidR="00482034" w:rsidRDefault="00FE15A1">
            <w:pPr>
              <w:tabs>
                <w:tab w:val="left" w:pos="567"/>
              </w:tabs>
              <w:rPr>
                <w:bCs/>
                <w:sz w:val="20"/>
                <w:lang w:val="hu-HU" w:eastAsia="en-US"/>
              </w:rPr>
            </w:pPr>
            <w:r>
              <w:rPr>
                <w:bCs/>
                <w:sz w:val="20"/>
                <w:lang w:val="hu-HU" w:eastAsia="en-US"/>
              </w:rPr>
              <w:t>A bőr és a bőr alatti szövet betegségei és tünetei</w:t>
            </w:r>
          </w:p>
        </w:tc>
        <w:tc>
          <w:tcPr>
            <w:tcW w:w="1359" w:type="dxa"/>
          </w:tcPr>
          <w:p w14:paraId="71D66B9E" w14:textId="77777777" w:rsidR="00482034" w:rsidRDefault="00482034">
            <w:pPr>
              <w:tabs>
                <w:tab w:val="left" w:pos="567"/>
              </w:tabs>
              <w:rPr>
                <w:sz w:val="20"/>
                <w:lang w:val="hu-HU" w:eastAsia="en-US"/>
              </w:rPr>
            </w:pPr>
          </w:p>
        </w:tc>
        <w:tc>
          <w:tcPr>
            <w:tcW w:w="1709" w:type="dxa"/>
          </w:tcPr>
          <w:p w14:paraId="49EB7F90" w14:textId="77777777" w:rsidR="00482034" w:rsidRDefault="00FE15A1">
            <w:pPr>
              <w:tabs>
                <w:tab w:val="left" w:pos="567"/>
              </w:tabs>
              <w:rPr>
                <w:sz w:val="20"/>
                <w:lang w:val="hu-HU" w:eastAsia="en-US"/>
              </w:rPr>
            </w:pPr>
            <w:r>
              <w:rPr>
                <w:sz w:val="20"/>
                <w:lang w:val="hu-HU" w:eastAsia="en-US"/>
              </w:rPr>
              <w:t>pruritus,</w:t>
            </w:r>
          </w:p>
          <w:p w14:paraId="6A899831" w14:textId="77777777" w:rsidR="00482034" w:rsidRDefault="00FE15A1">
            <w:pPr>
              <w:tabs>
                <w:tab w:val="left" w:pos="567"/>
              </w:tabs>
              <w:rPr>
                <w:sz w:val="20"/>
                <w:lang w:val="hu-HU" w:eastAsia="en-US"/>
              </w:rPr>
            </w:pPr>
            <w:r>
              <w:rPr>
                <w:sz w:val="20"/>
                <w:lang w:val="hu-HU" w:eastAsia="en-US"/>
              </w:rPr>
              <w:t>hyperhidrosis,</w:t>
            </w:r>
          </w:p>
          <w:p w14:paraId="3BA08AAF" w14:textId="77777777" w:rsidR="00482034" w:rsidRDefault="00FE15A1">
            <w:pPr>
              <w:tabs>
                <w:tab w:val="left" w:pos="567"/>
              </w:tabs>
              <w:rPr>
                <w:sz w:val="20"/>
                <w:lang w:val="hu-HU" w:eastAsia="en-US"/>
              </w:rPr>
            </w:pPr>
            <w:r>
              <w:rPr>
                <w:sz w:val="20"/>
                <w:lang w:val="hu-HU" w:eastAsia="en-US"/>
              </w:rPr>
              <w:t>bőrkiütés</w:t>
            </w:r>
          </w:p>
        </w:tc>
        <w:tc>
          <w:tcPr>
            <w:tcW w:w="1843" w:type="dxa"/>
          </w:tcPr>
          <w:p w14:paraId="18F53138" w14:textId="77777777" w:rsidR="00482034" w:rsidRDefault="00FE15A1">
            <w:pPr>
              <w:tabs>
                <w:tab w:val="left" w:pos="567"/>
              </w:tabs>
              <w:rPr>
                <w:sz w:val="20"/>
                <w:lang w:val="hu-HU" w:eastAsia="en-US"/>
              </w:rPr>
            </w:pPr>
            <w:r>
              <w:rPr>
                <w:sz w:val="20"/>
                <w:lang w:val="hu-HU" w:eastAsia="en-US"/>
              </w:rPr>
              <w:t>csalánkiütés</w:t>
            </w:r>
          </w:p>
        </w:tc>
        <w:tc>
          <w:tcPr>
            <w:tcW w:w="1559" w:type="dxa"/>
          </w:tcPr>
          <w:p w14:paraId="116DFC6D" w14:textId="77777777" w:rsidR="00482034" w:rsidRDefault="00482034">
            <w:pPr>
              <w:tabs>
                <w:tab w:val="left" w:pos="567"/>
              </w:tabs>
              <w:rPr>
                <w:sz w:val="20"/>
                <w:lang w:val="hu-HU" w:eastAsia="en-US"/>
              </w:rPr>
            </w:pPr>
          </w:p>
        </w:tc>
        <w:tc>
          <w:tcPr>
            <w:tcW w:w="1276" w:type="dxa"/>
          </w:tcPr>
          <w:p w14:paraId="43799539" w14:textId="77777777" w:rsidR="00482034" w:rsidRDefault="00482034">
            <w:pPr>
              <w:widowControl w:val="0"/>
              <w:tabs>
                <w:tab w:val="left" w:pos="567"/>
              </w:tabs>
              <w:rPr>
                <w:sz w:val="20"/>
                <w:lang w:val="en-GB" w:eastAsia="en-US"/>
              </w:rPr>
            </w:pPr>
          </w:p>
        </w:tc>
      </w:tr>
      <w:tr w:rsidR="00482034" w14:paraId="1068D747" w14:textId="77777777">
        <w:tc>
          <w:tcPr>
            <w:tcW w:w="1752" w:type="dxa"/>
          </w:tcPr>
          <w:p w14:paraId="08137394" w14:textId="77777777" w:rsidR="00482034" w:rsidRDefault="00FE15A1">
            <w:pPr>
              <w:tabs>
                <w:tab w:val="left" w:pos="567"/>
              </w:tabs>
              <w:rPr>
                <w:bCs/>
                <w:sz w:val="20"/>
                <w:lang w:val="hu-HU" w:eastAsia="en-US"/>
              </w:rPr>
            </w:pPr>
            <w:r>
              <w:rPr>
                <w:bCs/>
                <w:sz w:val="20"/>
                <w:lang w:val="hu-HU" w:eastAsia="en-US"/>
              </w:rPr>
              <w:t>Vese- és húgyúti betegségek és tünetek</w:t>
            </w:r>
          </w:p>
        </w:tc>
        <w:tc>
          <w:tcPr>
            <w:tcW w:w="1359" w:type="dxa"/>
          </w:tcPr>
          <w:p w14:paraId="6D459D60" w14:textId="77777777" w:rsidR="00482034" w:rsidRDefault="00482034">
            <w:pPr>
              <w:tabs>
                <w:tab w:val="left" w:pos="567"/>
              </w:tabs>
              <w:rPr>
                <w:sz w:val="20"/>
                <w:lang w:val="hu-HU" w:eastAsia="en-US"/>
              </w:rPr>
            </w:pPr>
          </w:p>
        </w:tc>
        <w:tc>
          <w:tcPr>
            <w:tcW w:w="1709" w:type="dxa"/>
          </w:tcPr>
          <w:p w14:paraId="22B356F3" w14:textId="77777777" w:rsidR="00482034" w:rsidRDefault="00482034">
            <w:pPr>
              <w:tabs>
                <w:tab w:val="left" w:pos="567"/>
              </w:tabs>
              <w:rPr>
                <w:sz w:val="20"/>
                <w:lang w:val="hu-HU" w:eastAsia="en-US"/>
              </w:rPr>
            </w:pPr>
          </w:p>
        </w:tc>
        <w:tc>
          <w:tcPr>
            <w:tcW w:w="1843" w:type="dxa"/>
          </w:tcPr>
          <w:p w14:paraId="551B717B" w14:textId="77777777" w:rsidR="00482034" w:rsidRDefault="00FE15A1">
            <w:pPr>
              <w:tabs>
                <w:tab w:val="left" w:pos="567"/>
              </w:tabs>
              <w:rPr>
                <w:sz w:val="20"/>
                <w:lang w:val="hu-HU" w:eastAsia="en-US"/>
              </w:rPr>
            </w:pPr>
            <w:r>
              <w:rPr>
                <w:sz w:val="20"/>
                <w:lang w:val="hu-HU" w:eastAsia="en-US"/>
              </w:rPr>
              <w:t>vizeletüritési zavar,</w:t>
            </w:r>
          </w:p>
          <w:p w14:paraId="18DD6749" w14:textId="77777777" w:rsidR="00482034" w:rsidRDefault="00FE15A1">
            <w:pPr>
              <w:tabs>
                <w:tab w:val="left" w:pos="567"/>
              </w:tabs>
              <w:rPr>
                <w:sz w:val="20"/>
                <w:lang w:val="hu-HU" w:eastAsia="en-US"/>
              </w:rPr>
            </w:pPr>
            <w:r>
              <w:rPr>
                <w:sz w:val="20"/>
                <w:lang w:val="hu-HU" w:eastAsia="en-US"/>
              </w:rPr>
              <w:t>pollakiuria</w:t>
            </w:r>
          </w:p>
        </w:tc>
        <w:tc>
          <w:tcPr>
            <w:tcW w:w="1559" w:type="dxa"/>
          </w:tcPr>
          <w:p w14:paraId="00D008B5" w14:textId="77777777" w:rsidR="00482034" w:rsidRDefault="00482034">
            <w:pPr>
              <w:tabs>
                <w:tab w:val="left" w:pos="567"/>
              </w:tabs>
              <w:rPr>
                <w:sz w:val="20"/>
                <w:lang w:val="hu-HU" w:eastAsia="en-US"/>
              </w:rPr>
            </w:pPr>
          </w:p>
        </w:tc>
        <w:tc>
          <w:tcPr>
            <w:tcW w:w="1276" w:type="dxa"/>
          </w:tcPr>
          <w:p w14:paraId="47EAA92C" w14:textId="77777777" w:rsidR="00482034" w:rsidRDefault="00482034">
            <w:pPr>
              <w:widowControl w:val="0"/>
              <w:tabs>
                <w:tab w:val="left" w:pos="567"/>
              </w:tabs>
              <w:rPr>
                <w:sz w:val="20"/>
                <w:lang w:val="en-GB" w:eastAsia="en-US"/>
              </w:rPr>
            </w:pPr>
          </w:p>
        </w:tc>
      </w:tr>
      <w:tr w:rsidR="00482034" w14:paraId="6FA6A2AA" w14:textId="77777777">
        <w:tc>
          <w:tcPr>
            <w:tcW w:w="1752" w:type="dxa"/>
          </w:tcPr>
          <w:p w14:paraId="21177904" w14:textId="77777777" w:rsidR="00482034" w:rsidRDefault="00FE15A1">
            <w:pPr>
              <w:tabs>
                <w:tab w:val="left" w:pos="567"/>
              </w:tabs>
              <w:rPr>
                <w:bCs/>
                <w:sz w:val="20"/>
                <w:lang w:val="hu-HU" w:eastAsia="en-US"/>
              </w:rPr>
            </w:pPr>
            <w:r>
              <w:rPr>
                <w:bCs/>
                <w:sz w:val="20"/>
                <w:lang w:val="hu-HU" w:eastAsia="en-US"/>
              </w:rPr>
              <w:t>A nemi szervekkel és az emlőkkel kapcsolatos betegségek és tünetek</w:t>
            </w:r>
          </w:p>
        </w:tc>
        <w:tc>
          <w:tcPr>
            <w:tcW w:w="1359" w:type="dxa"/>
          </w:tcPr>
          <w:p w14:paraId="1C8A471A" w14:textId="77777777" w:rsidR="00482034" w:rsidRDefault="00482034">
            <w:pPr>
              <w:tabs>
                <w:tab w:val="left" w:pos="567"/>
              </w:tabs>
              <w:rPr>
                <w:sz w:val="20"/>
                <w:lang w:val="hu-HU" w:eastAsia="en-US"/>
              </w:rPr>
            </w:pPr>
          </w:p>
        </w:tc>
        <w:tc>
          <w:tcPr>
            <w:tcW w:w="1709" w:type="dxa"/>
          </w:tcPr>
          <w:p w14:paraId="7FD67035" w14:textId="77777777" w:rsidR="00482034" w:rsidRDefault="00482034">
            <w:pPr>
              <w:tabs>
                <w:tab w:val="left" w:pos="567"/>
              </w:tabs>
              <w:rPr>
                <w:sz w:val="20"/>
                <w:lang w:val="hu-HU" w:eastAsia="en-US"/>
              </w:rPr>
            </w:pPr>
          </w:p>
        </w:tc>
        <w:tc>
          <w:tcPr>
            <w:tcW w:w="1843" w:type="dxa"/>
          </w:tcPr>
          <w:p w14:paraId="609B9132" w14:textId="77777777" w:rsidR="00482034" w:rsidRDefault="00FE15A1">
            <w:pPr>
              <w:tabs>
                <w:tab w:val="left" w:pos="567"/>
              </w:tabs>
              <w:rPr>
                <w:sz w:val="20"/>
                <w:lang w:val="hu-HU" w:eastAsia="en-US"/>
              </w:rPr>
            </w:pPr>
            <w:r>
              <w:rPr>
                <w:sz w:val="20"/>
                <w:lang w:val="hu-HU" w:eastAsia="en-US"/>
              </w:rPr>
              <w:t>szexuális diszfunkció</w:t>
            </w:r>
          </w:p>
        </w:tc>
        <w:tc>
          <w:tcPr>
            <w:tcW w:w="1559" w:type="dxa"/>
          </w:tcPr>
          <w:p w14:paraId="4B1E1364" w14:textId="77777777" w:rsidR="00482034" w:rsidRDefault="00482034">
            <w:pPr>
              <w:tabs>
                <w:tab w:val="left" w:pos="567"/>
              </w:tabs>
              <w:rPr>
                <w:sz w:val="20"/>
                <w:lang w:val="hu-HU" w:eastAsia="en-US"/>
              </w:rPr>
            </w:pPr>
          </w:p>
        </w:tc>
        <w:tc>
          <w:tcPr>
            <w:tcW w:w="1276" w:type="dxa"/>
          </w:tcPr>
          <w:p w14:paraId="5BDAB034" w14:textId="77777777" w:rsidR="00482034" w:rsidRDefault="00482034">
            <w:pPr>
              <w:widowControl w:val="0"/>
              <w:tabs>
                <w:tab w:val="left" w:pos="567"/>
              </w:tabs>
              <w:rPr>
                <w:sz w:val="20"/>
                <w:lang w:val="en-GB" w:eastAsia="en-US"/>
              </w:rPr>
            </w:pPr>
          </w:p>
        </w:tc>
      </w:tr>
      <w:tr w:rsidR="00482034" w14:paraId="3B6A916C" w14:textId="77777777">
        <w:tc>
          <w:tcPr>
            <w:tcW w:w="1752" w:type="dxa"/>
          </w:tcPr>
          <w:p w14:paraId="66BB438C" w14:textId="77777777" w:rsidR="00482034" w:rsidRDefault="00FE15A1">
            <w:pPr>
              <w:tabs>
                <w:tab w:val="left" w:pos="567"/>
              </w:tabs>
              <w:rPr>
                <w:bCs/>
                <w:sz w:val="20"/>
                <w:lang w:val="hu-HU" w:eastAsia="en-US"/>
              </w:rPr>
            </w:pPr>
            <w:r>
              <w:rPr>
                <w:bCs/>
                <w:sz w:val="20"/>
                <w:lang w:val="hu-HU" w:eastAsia="en-US"/>
              </w:rPr>
              <w:t>Általános tünetek, az alkalmazás helyén fellépő reakciók</w:t>
            </w:r>
          </w:p>
        </w:tc>
        <w:tc>
          <w:tcPr>
            <w:tcW w:w="1359" w:type="dxa"/>
          </w:tcPr>
          <w:p w14:paraId="391B525D" w14:textId="77777777" w:rsidR="00482034" w:rsidRDefault="00482034">
            <w:pPr>
              <w:tabs>
                <w:tab w:val="left" w:pos="567"/>
              </w:tabs>
              <w:rPr>
                <w:sz w:val="20"/>
                <w:lang w:val="hu-HU" w:eastAsia="en-US"/>
              </w:rPr>
            </w:pPr>
          </w:p>
        </w:tc>
        <w:tc>
          <w:tcPr>
            <w:tcW w:w="1709" w:type="dxa"/>
          </w:tcPr>
          <w:p w14:paraId="683380F7" w14:textId="77777777" w:rsidR="00482034" w:rsidRDefault="00FE15A1">
            <w:pPr>
              <w:tabs>
                <w:tab w:val="left" w:pos="567"/>
              </w:tabs>
              <w:rPr>
                <w:sz w:val="20"/>
                <w:lang w:val="hu-HU" w:eastAsia="en-US"/>
              </w:rPr>
            </w:pPr>
            <w:r>
              <w:rPr>
                <w:sz w:val="20"/>
                <w:lang w:val="hu-HU" w:eastAsia="en-US"/>
              </w:rPr>
              <w:t>aszténia,</w:t>
            </w:r>
          </w:p>
          <w:p w14:paraId="1AE77300" w14:textId="77777777" w:rsidR="00482034" w:rsidRDefault="00FE15A1">
            <w:pPr>
              <w:tabs>
                <w:tab w:val="left" w:pos="567"/>
              </w:tabs>
              <w:rPr>
                <w:sz w:val="20"/>
                <w:lang w:val="hu-HU" w:eastAsia="en-US"/>
              </w:rPr>
            </w:pPr>
            <w:r>
              <w:rPr>
                <w:sz w:val="20"/>
                <w:lang w:val="hu-HU" w:eastAsia="en-US"/>
              </w:rPr>
              <w:t>fáradtság,</w:t>
            </w:r>
          </w:p>
          <w:p w14:paraId="3C3396B9" w14:textId="77777777" w:rsidR="00482034" w:rsidRDefault="00FE15A1">
            <w:pPr>
              <w:tabs>
                <w:tab w:val="left" w:pos="567"/>
              </w:tabs>
              <w:rPr>
                <w:sz w:val="20"/>
                <w:lang w:val="hu-HU" w:eastAsia="en-US"/>
              </w:rPr>
            </w:pPr>
            <w:r>
              <w:rPr>
                <w:sz w:val="20"/>
                <w:lang w:val="hu-HU" w:eastAsia="en-US"/>
              </w:rPr>
              <w:t>testhőmérséklet változásának érzése,</w:t>
            </w:r>
          </w:p>
          <w:p w14:paraId="222A1B3D" w14:textId="77777777" w:rsidR="00482034" w:rsidRDefault="00FE15A1">
            <w:pPr>
              <w:tabs>
                <w:tab w:val="left" w:pos="567"/>
              </w:tabs>
              <w:rPr>
                <w:sz w:val="20"/>
                <w:lang w:val="hu-HU" w:eastAsia="en-US"/>
              </w:rPr>
            </w:pPr>
            <w:r>
              <w:rPr>
                <w:sz w:val="20"/>
                <w:lang w:val="hu-HU" w:eastAsia="en-US"/>
              </w:rPr>
              <w:t>nyálkahártya-szárazság,</w:t>
            </w:r>
          </w:p>
          <w:p w14:paraId="4463B971" w14:textId="77777777" w:rsidR="00482034" w:rsidRDefault="00FE15A1">
            <w:pPr>
              <w:tabs>
                <w:tab w:val="left" w:pos="567"/>
              </w:tabs>
              <w:rPr>
                <w:sz w:val="20"/>
                <w:lang w:val="hu-HU" w:eastAsia="en-US"/>
              </w:rPr>
            </w:pPr>
            <w:r>
              <w:rPr>
                <w:sz w:val="20"/>
                <w:lang w:val="hu-HU" w:eastAsia="en-US"/>
              </w:rPr>
              <w:t>oedema</w:t>
            </w:r>
          </w:p>
        </w:tc>
        <w:tc>
          <w:tcPr>
            <w:tcW w:w="1843" w:type="dxa"/>
          </w:tcPr>
          <w:p w14:paraId="40CE0C6D" w14:textId="77777777" w:rsidR="00482034" w:rsidRDefault="00FE15A1">
            <w:pPr>
              <w:tabs>
                <w:tab w:val="left" w:pos="567"/>
              </w:tabs>
              <w:rPr>
                <w:sz w:val="20"/>
                <w:lang w:val="hu-HU" w:eastAsia="en-US"/>
              </w:rPr>
            </w:pPr>
            <w:r>
              <w:rPr>
                <w:sz w:val="20"/>
                <w:lang w:val="hu-HU" w:eastAsia="en-US"/>
              </w:rPr>
              <w:t>gyógyszer</w:t>
            </w:r>
            <w:r>
              <w:rPr>
                <w:sz w:val="20"/>
                <w:lang w:val="hu-HU" w:eastAsia="en-US"/>
              </w:rPr>
              <w:softHyphen/>
              <w:t>megvonási szindróma,</w:t>
            </w:r>
          </w:p>
          <w:p w14:paraId="3BBF8C69" w14:textId="77777777" w:rsidR="00482034" w:rsidRDefault="00FE15A1">
            <w:pPr>
              <w:tabs>
                <w:tab w:val="left" w:pos="567"/>
              </w:tabs>
              <w:rPr>
                <w:sz w:val="20"/>
                <w:lang w:val="hu-HU" w:eastAsia="en-US"/>
              </w:rPr>
            </w:pPr>
            <w:r>
              <w:rPr>
                <w:sz w:val="20"/>
                <w:lang w:val="hu-HU" w:eastAsia="en-US"/>
              </w:rPr>
              <w:t>abnormális érzés,</w:t>
            </w:r>
          </w:p>
          <w:p w14:paraId="3E7A77AE" w14:textId="77777777" w:rsidR="00482034" w:rsidRDefault="00FE15A1">
            <w:pPr>
              <w:tabs>
                <w:tab w:val="left" w:pos="567"/>
              </w:tabs>
              <w:rPr>
                <w:sz w:val="20"/>
                <w:lang w:val="hu-HU" w:eastAsia="en-US"/>
              </w:rPr>
            </w:pPr>
            <w:r>
              <w:rPr>
                <w:sz w:val="20"/>
                <w:lang w:val="hu-HU" w:eastAsia="en-US"/>
              </w:rPr>
              <w:t>irritabilitás</w:t>
            </w:r>
          </w:p>
        </w:tc>
        <w:tc>
          <w:tcPr>
            <w:tcW w:w="1559" w:type="dxa"/>
          </w:tcPr>
          <w:p w14:paraId="7B4E1863" w14:textId="77777777" w:rsidR="00482034" w:rsidRDefault="00FE15A1">
            <w:pPr>
              <w:tabs>
                <w:tab w:val="left" w:pos="567"/>
              </w:tabs>
              <w:rPr>
                <w:sz w:val="20"/>
                <w:lang w:val="hu-HU" w:eastAsia="en-US"/>
              </w:rPr>
            </w:pPr>
            <w:r>
              <w:rPr>
                <w:sz w:val="20"/>
                <w:lang w:val="hu-HU" w:eastAsia="en-US"/>
              </w:rPr>
              <w:t>részegségérzet,</w:t>
            </w:r>
          </w:p>
          <w:p w14:paraId="7E0A876C" w14:textId="77777777" w:rsidR="00482034" w:rsidRDefault="00FE15A1">
            <w:pPr>
              <w:tabs>
                <w:tab w:val="left" w:pos="567"/>
              </w:tabs>
              <w:rPr>
                <w:sz w:val="20"/>
                <w:lang w:val="hu-HU" w:eastAsia="en-US"/>
              </w:rPr>
            </w:pPr>
            <w:r>
              <w:rPr>
                <w:sz w:val="20"/>
                <w:lang w:val="hu-HU" w:eastAsia="en-US"/>
              </w:rPr>
              <w:t>relaxáltság érzése</w:t>
            </w:r>
          </w:p>
        </w:tc>
        <w:tc>
          <w:tcPr>
            <w:tcW w:w="1276" w:type="dxa"/>
          </w:tcPr>
          <w:p w14:paraId="74FA2501" w14:textId="77777777" w:rsidR="00482034" w:rsidRDefault="00482034">
            <w:pPr>
              <w:widowControl w:val="0"/>
              <w:tabs>
                <w:tab w:val="left" w:pos="567"/>
              </w:tabs>
              <w:rPr>
                <w:sz w:val="20"/>
                <w:lang w:val="en-GB" w:eastAsia="en-US"/>
              </w:rPr>
            </w:pPr>
          </w:p>
        </w:tc>
      </w:tr>
      <w:tr w:rsidR="00482034" w14:paraId="460F8F8F" w14:textId="77777777">
        <w:tc>
          <w:tcPr>
            <w:tcW w:w="9498" w:type="dxa"/>
            <w:gridSpan w:val="6"/>
          </w:tcPr>
          <w:p w14:paraId="0259B208" w14:textId="77777777" w:rsidR="00482034" w:rsidRDefault="00FE15A1">
            <w:pPr>
              <w:widowControl w:val="0"/>
              <w:tabs>
                <w:tab w:val="left" w:pos="567"/>
              </w:tabs>
              <w:rPr>
                <w:sz w:val="20"/>
                <w:lang w:val="en-GB" w:eastAsia="en-US"/>
              </w:rPr>
            </w:pPr>
            <w:r>
              <w:rPr>
                <w:sz w:val="20"/>
                <w:lang w:val="en-GB" w:eastAsia="en-US"/>
              </w:rPr>
              <w:t>* A forgalmazás megkezdését követően angio-oedema, anaphylaxiás és anaphylactoid sokk ritka eseteit jelentették.</w:t>
            </w:r>
          </w:p>
        </w:tc>
      </w:tr>
      <w:tr w:rsidR="00482034" w14:paraId="5538A394" w14:textId="77777777">
        <w:tc>
          <w:tcPr>
            <w:tcW w:w="9498" w:type="dxa"/>
            <w:gridSpan w:val="6"/>
          </w:tcPr>
          <w:p w14:paraId="5E0332B2" w14:textId="77777777" w:rsidR="00482034" w:rsidRDefault="00FE15A1">
            <w:pPr>
              <w:widowControl w:val="0"/>
              <w:tabs>
                <w:tab w:val="left" w:pos="567"/>
              </w:tabs>
              <w:rPr>
                <w:sz w:val="20"/>
                <w:highlight w:val="yellow"/>
                <w:lang w:val="en-GB" w:eastAsia="en-US"/>
              </w:rPr>
            </w:pPr>
            <w:r>
              <w:rPr>
                <w:sz w:val="20"/>
                <w:lang w:val="en-GB" w:eastAsia="en-US"/>
              </w:rPr>
              <w:t>** A forgalmazás megkezdését követően delírium eseteit figyelték meg olyan betegeknél, akiknél további kockázati tényezők álltak fenn (mint például daganatos megbetegedés, idős kor).</w:t>
            </w:r>
          </w:p>
          <w:p w14:paraId="3BBCCE07" w14:textId="77777777" w:rsidR="00482034" w:rsidRDefault="00482034">
            <w:pPr>
              <w:widowControl w:val="0"/>
              <w:tabs>
                <w:tab w:val="left" w:pos="567"/>
              </w:tabs>
              <w:rPr>
                <w:sz w:val="20"/>
                <w:lang w:val="en-GB" w:eastAsia="en-US"/>
              </w:rPr>
            </w:pPr>
          </w:p>
        </w:tc>
      </w:tr>
    </w:tbl>
    <w:p w14:paraId="78E85814" w14:textId="77777777" w:rsidR="00482034" w:rsidRDefault="00482034">
      <w:pPr>
        <w:tabs>
          <w:tab w:val="left" w:pos="567"/>
        </w:tabs>
        <w:rPr>
          <w:sz w:val="22"/>
          <w:szCs w:val="22"/>
          <w:lang w:val="hu-HU" w:eastAsia="en-US"/>
        </w:rPr>
      </w:pPr>
    </w:p>
    <w:p w14:paraId="1A2AA5A2" w14:textId="77777777" w:rsidR="00482034" w:rsidRDefault="00FE15A1">
      <w:pPr>
        <w:tabs>
          <w:tab w:val="left" w:pos="567"/>
        </w:tabs>
        <w:rPr>
          <w:sz w:val="22"/>
          <w:szCs w:val="22"/>
          <w:lang w:val="hu-HU" w:eastAsia="en-US"/>
        </w:rPr>
      </w:pPr>
      <w:r>
        <w:rPr>
          <w:sz w:val="22"/>
          <w:szCs w:val="22"/>
          <w:lang w:val="hu-HU" w:eastAsia="en-US"/>
        </w:rPr>
        <w:t>A tapentadol retard tabletta gyógyszerforma klinikai vizsgálatai során kevés bizonyítékot találtak megvonási tünetek fellépésére, a legfeljebb 1 éven át kezelt betegeknél, a kezelés hirtelen megszakítását követően. Ezek a tünetek, ha előfordultak, általában enyhék voltak. Mindazonáltal az orvosoknak figyelniük kell a megvonási tünetekre (lásd 4.2 pont), és ha azok előfordulnak, a betegeket ennek megfelelően kell kezelni.</w:t>
      </w:r>
    </w:p>
    <w:p w14:paraId="7120FAD6" w14:textId="77777777" w:rsidR="00482034" w:rsidRDefault="00482034">
      <w:pPr>
        <w:tabs>
          <w:tab w:val="left" w:pos="567"/>
        </w:tabs>
        <w:rPr>
          <w:sz w:val="22"/>
          <w:szCs w:val="22"/>
          <w:lang w:val="hu-HU" w:eastAsia="en-US"/>
        </w:rPr>
      </w:pPr>
    </w:p>
    <w:p w14:paraId="1943CC6B" w14:textId="77777777" w:rsidR="00482034" w:rsidRDefault="00FE15A1">
      <w:pPr>
        <w:tabs>
          <w:tab w:val="left" w:pos="567"/>
        </w:tabs>
        <w:rPr>
          <w:sz w:val="22"/>
          <w:szCs w:val="22"/>
          <w:lang w:val="hu-HU" w:eastAsia="en-US"/>
        </w:rPr>
      </w:pPr>
      <w:r>
        <w:rPr>
          <w:sz w:val="22"/>
          <w:szCs w:val="22"/>
          <w:lang w:val="hu-HU" w:eastAsia="en-US"/>
        </w:rPr>
        <w:t>Krónikus fájdalomtól szenvedő betegeknél fokozott az öngyilkossági gondolatok és az öngyilkos magatartás kockázata. Továbbá a monoaminerg rendszerre ható gyógyszerek a depresszió kezelése során fokozzák az öngyilkosság kockázatát, különösen az alkalmazás kezdetekor. A tapentadol klinikai vizsgálatai, illetve forgalomba hozatalt követő jelentései nem mutatnak emelkedett kockázatot.</w:t>
      </w:r>
    </w:p>
    <w:p w14:paraId="4BB3DEA1" w14:textId="77777777" w:rsidR="00A7403A" w:rsidRDefault="00A7403A" w:rsidP="00A7403A">
      <w:pPr>
        <w:tabs>
          <w:tab w:val="left" w:pos="567"/>
        </w:tabs>
        <w:rPr>
          <w:sz w:val="22"/>
          <w:szCs w:val="22"/>
          <w:u w:val="single"/>
          <w:lang w:val="hu-HU" w:eastAsia="en-US"/>
        </w:rPr>
      </w:pPr>
    </w:p>
    <w:p w14:paraId="1C15B5F8" w14:textId="523EBBB5" w:rsidR="00A7403A" w:rsidRDefault="00A7403A" w:rsidP="00A7403A">
      <w:pPr>
        <w:tabs>
          <w:tab w:val="left" w:pos="567"/>
        </w:tabs>
        <w:rPr>
          <w:sz w:val="22"/>
          <w:szCs w:val="22"/>
          <w:u w:val="single"/>
          <w:lang w:val="hu-HU" w:eastAsia="en-US"/>
        </w:rPr>
      </w:pPr>
      <w:r w:rsidRPr="00356030">
        <w:rPr>
          <w:sz w:val="22"/>
          <w:szCs w:val="22"/>
          <w:u w:val="single"/>
          <w:lang w:val="hu-HU" w:eastAsia="en-US"/>
        </w:rPr>
        <w:t>Gyógyszerfüggőség</w:t>
      </w:r>
    </w:p>
    <w:p w14:paraId="07F2B474" w14:textId="77777777" w:rsidR="00A7403A" w:rsidRDefault="00A7403A" w:rsidP="00A7403A">
      <w:pPr>
        <w:tabs>
          <w:tab w:val="left" w:pos="567"/>
        </w:tabs>
        <w:rPr>
          <w:sz w:val="22"/>
          <w:szCs w:val="22"/>
          <w:lang w:val="hu-HU" w:eastAsia="en-US"/>
        </w:rPr>
      </w:pPr>
      <w:r>
        <w:rPr>
          <w:sz w:val="22"/>
          <w:szCs w:val="22"/>
          <w:lang w:val="hu-HU" w:eastAsia="en-US"/>
        </w:rPr>
        <w:t>Az Adoben ismétlődő alkalmazása – még terápiás dózisban is – gyógyszerfüggőséghez vezethet. A gyógyszerfüggőség kockázata a beteg egyéni kockázati tényezőitől, az adagolástól és az opioidkezelés időtartamától függően változhat (lásd 4.4 pont).</w:t>
      </w:r>
    </w:p>
    <w:p w14:paraId="744B53CE" w14:textId="77777777" w:rsidR="00737219" w:rsidRDefault="00737219" w:rsidP="00737219">
      <w:pPr>
        <w:tabs>
          <w:tab w:val="left" w:pos="567"/>
        </w:tabs>
        <w:rPr>
          <w:sz w:val="22"/>
          <w:szCs w:val="22"/>
          <w:u w:val="single"/>
          <w:lang w:val="hu-HU" w:eastAsia="en-US"/>
        </w:rPr>
      </w:pPr>
    </w:p>
    <w:p w14:paraId="2B1A77E5" w14:textId="3ABCB3D2" w:rsidR="00737219" w:rsidRDefault="00737219" w:rsidP="00737219">
      <w:pPr>
        <w:tabs>
          <w:tab w:val="left" w:pos="567"/>
        </w:tabs>
        <w:rPr>
          <w:sz w:val="22"/>
          <w:szCs w:val="22"/>
          <w:u w:val="single"/>
          <w:lang w:val="hu-HU" w:eastAsia="en-US"/>
        </w:rPr>
      </w:pPr>
      <w:r>
        <w:rPr>
          <w:sz w:val="22"/>
          <w:szCs w:val="22"/>
          <w:u w:val="single"/>
          <w:lang w:val="hu-HU" w:eastAsia="en-US"/>
        </w:rPr>
        <w:t>Gyermekek és serdülők</w:t>
      </w:r>
    </w:p>
    <w:p w14:paraId="317648A9" w14:textId="77777777" w:rsidR="00737219" w:rsidRDefault="00737219" w:rsidP="00737219">
      <w:pPr>
        <w:tabs>
          <w:tab w:val="left" w:pos="567"/>
        </w:tabs>
        <w:rPr>
          <w:sz w:val="22"/>
          <w:szCs w:val="22"/>
          <w:lang w:val="hu-HU" w:eastAsia="en-US"/>
        </w:rPr>
      </w:pPr>
      <w:r>
        <w:rPr>
          <w:sz w:val="22"/>
          <w:szCs w:val="22"/>
          <w:lang w:val="hu-HU" w:eastAsia="en-US"/>
        </w:rPr>
        <w:t>A mellékhatások gyakorisága, típusa és súlyossága az Adoben-kezelésben részesülő gyermekek és serdülők esetén várhatóan megegyezik a felnőttekével. A befejezett gyermekgyógyászati vizsgálat során egyetlen korcsoportban sem azonosítottak új gyógyszerbiztonsági kérdéseket. A gyermekeknek adott tapentadol retard tabletta miatt kialakuló elvonási tünetekkel kapcsolatban korlátozott mennyiségű klinikai vizsgálati eredmény áll rendelkezésre.</w:t>
      </w:r>
    </w:p>
    <w:p w14:paraId="5905F545" w14:textId="77777777" w:rsidR="00482034" w:rsidRDefault="00482034">
      <w:pPr>
        <w:tabs>
          <w:tab w:val="left" w:pos="567"/>
        </w:tabs>
        <w:rPr>
          <w:sz w:val="22"/>
          <w:szCs w:val="22"/>
          <w:lang w:val="hu-HU" w:eastAsia="en-US"/>
        </w:rPr>
      </w:pPr>
    </w:p>
    <w:p w14:paraId="549F2E15" w14:textId="77777777" w:rsidR="00482034" w:rsidRDefault="00FE15A1">
      <w:pPr>
        <w:tabs>
          <w:tab w:val="left" w:pos="567"/>
        </w:tabs>
        <w:rPr>
          <w:sz w:val="22"/>
          <w:szCs w:val="22"/>
          <w:u w:val="single"/>
          <w:lang w:val="hu-HU" w:eastAsia="en-US"/>
        </w:rPr>
      </w:pPr>
      <w:r>
        <w:rPr>
          <w:sz w:val="22"/>
          <w:szCs w:val="22"/>
          <w:u w:val="single"/>
          <w:lang w:val="hu-HU" w:eastAsia="en-US"/>
        </w:rPr>
        <w:t>Feltételezett mellékhatások bejelentése</w:t>
      </w:r>
    </w:p>
    <w:p w14:paraId="1ABBEB9C" w14:textId="3F685F2B" w:rsidR="00482034" w:rsidRDefault="00FE15A1">
      <w:pPr>
        <w:tabs>
          <w:tab w:val="left" w:pos="567"/>
        </w:tabs>
        <w:rPr>
          <w:sz w:val="22"/>
          <w:szCs w:val="22"/>
          <w:lang w:val="hu-HU" w:eastAsia="en-US"/>
        </w:rPr>
      </w:pPr>
      <w:r>
        <w:rPr>
          <w:sz w:val="22"/>
          <w:szCs w:val="22"/>
          <w:lang w:val="hu-HU" w:eastAsia="en-US"/>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Pr>
            <w:color w:val="0000FF"/>
            <w:sz w:val="22"/>
            <w:szCs w:val="22"/>
            <w:highlight w:val="lightGray"/>
            <w:u w:val="single"/>
            <w:lang w:val="en-GB" w:eastAsia="en-US"/>
          </w:rPr>
          <w:t>V. függelékben</w:t>
        </w:r>
      </w:hyperlink>
      <w:r>
        <w:rPr>
          <w:sz w:val="22"/>
          <w:szCs w:val="22"/>
          <w:highlight w:val="lightGray"/>
          <w:lang w:val="hu-HU" w:eastAsia="en-US"/>
        </w:rPr>
        <w:t xml:space="preserve"> található elérhetőségek valamelyikén keresztül.</w:t>
      </w:r>
    </w:p>
    <w:p w14:paraId="61410856" w14:textId="77777777" w:rsidR="00482034" w:rsidRDefault="00482034">
      <w:pPr>
        <w:tabs>
          <w:tab w:val="left" w:pos="567"/>
        </w:tabs>
        <w:rPr>
          <w:sz w:val="22"/>
          <w:szCs w:val="22"/>
          <w:lang w:val="hu-HU" w:eastAsia="en-US"/>
        </w:rPr>
      </w:pPr>
    </w:p>
    <w:p w14:paraId="16E9C06F" w14:textId="77777777" w:rsidR="00482034" w:rsidRDefault="00FE15A1">
      <w:pPr>
        <w:tabs>
          <w:tab w:val="left" w:pos="567"/>
        </w:tabs>
        <w:rPr>
          <w:b/>
          <w:sz w:val="22"/>
          <w:szCs w:val="22"/>
          <w:lang w:val="hu-HU" w:eastAsia="en-US"/>
        </w:rPr>
      </w:pPr>
      <w:r>
        <w:rPr>
          <w:b/>
          <w:sz w:val="22"/>
          <w:szCs w:val="22"/>
          <w:lang w:val="hu-HU" w:eastAsia="en-US"/>
        </w:rPr>
        <w:t>4.9</w:t>
      </w:r>
      <w:r>
        <w:rPr>
          <w:b/>
          <w:sz w:val="22"/>
          <w:szCs w:val="22"/>
          <w:lang w:val="hu-HU" w:eastAsia="en-US"/>
        </w:rPr>
        <w:tab/>
        <w:t>Túladagolás</w:t>
      </w:r>
    </w:p>
    <w:p w14:paraId="20881919" w14:textId="77777777" w:rsidR="00482034" w:rsidRDefault="00482034">
      <w:pPr>
        <w:tabs>
          <w:tab w:val="left" w:pos="567"/>
        </w:tabs>
        <w:rPr>
          <w:b/>
          <w:sz w:val="22"/>
          <w:szCs w:val="22"/>
          <w:lang w:val="hu-HU" w:eastAsia="en-US"/>
        </w:rPr>
      </w:pPr>
    </w:p>
    <w:p w14:paraId="2037A575" w14:textId="77777777" w:rsidR="00482034" w:rsidRDefault="00FE15A1">
      <w:pPr>
        <w:tabs>
          <w:tab w:val="left" w:pos="567"/>
        </w:tabs>
        <w:rPr>
          <w:i/>
          <w:sz w:val="22"/>
          <w:szCs w:val="22"/>
          <w:lang w:val="hu-HU" w:eastAsia="en-US"/>
        </w:rPr>
      </w:pPr>
      <w:r>
        <w:rPr>
          <w:i/>
          <w:sz w:val="22"/>
          <w:szCs w:val="22"/>
          <w:lang w:val="hu-HU" w:eastAsia="en-US"/>
        </w:rPr>
        <w:t>Tünetek</w:t>
      </w:r>
    </w:p>
    <w:p w14:paraId="11D33706" w14:textId="35A7433E" w:rsidR="00482034" w:rsidRDefault="00FE15A1">
      <w:pPr>
        <w:tabs>
          <w:tab w:val="left" w:pos="567"/>
        </w:tabs>
        <w:rPr>
          <w:sz w:val="22"/>
          <w:szCs w:val="22"/>
          <w:lang w:val="hu-HU" w:eastAsia="en-US"/>
        </w:rPr>
      </w:pPr>
      <w:r>
        <w:rPr>
          <w:sz w:val="22"/>
          <w:szCs w:val="22"/>
          <w:lang w:val="hu-HU" w:eastAsia="en-US"/>
        </w:rPr>
        <w:t>A tapentadol túladagolással kapcsolatos humán tapasztalatok korlátozottak. Preklinikai adatok arra utalnak, hogy a tapentadol-intoxikáció várható tünetei az egyéb centrálisan ható mű</w:t>
      </w:r>
      <w:r>
        <w:rPr>
          <w:sz w:val="22"/>
          <w:szCs w:val="22"/>
          <w:lang w:val="hu-HU" w:eastAsia="en-US"/>
        </w:rPr>
        <w:noBreakHyphen/>
        <w:t>opioid receptor agonista hatású fájdalomcsillapítókhoz hasonlóak. A klinikai megfigyeléseken alapuló tünetek általában a következők: pupillaszűkület, hányás, a keringés összeomlása, kómáig súlyosbodó tudatzavar, görcsrohamok és légzésleállásig terjedő légzésdepresszió, amely halálos kimenetelű is lehet.</w:t>
      </w:r>
    </w:p>
    <w:p w14:paraId="6EF29986" w14:textId="77777777" w:rsidR="00482034" w:rsidRDefault="00482034">
      <w:pPr>
        <w:tabs>
          <w:tab w:val="left" w:pos="567"/>
        </w:tabs>
        <w:rPr>
          <w:i/>
          <w:sz w:val="22"/>
          <w:szCs w:val="22"/>
          <w:lang w:val="hu-HU" w:eastAsia="en-US"/>
        </w:rPr>
      </w:pPr>
    </w:p>
    <w:p w14:paraId="6BF89A4B" w14:textId="77777777" w:rsidR="00482034" w:rsidRDefault="00FE15A1">
      <w:pPr>
        <w:keepNext/>
        <w:tabs>
          <w:tab w:val="left" w:pos="567"/>
        </w:tabs>
        <w:rPr>
          <w:i/>
          <w:sz w:val="22"/>
          <w:szCs w:val="22"/>
          <w:lang w:val="hu-HU" w:eastAsia="en-US"/>
        </w:rPr>
      </w:pPr>
      <w:r>
        <w:rPr>
          <w:i/>
          <w:sz w:val="22"/>
          <w:szCs w:val="22"/>
          <w:lang w:val="hu-HU" w:eastAsia="en-US"/>
        </w:rPr>
        <w:t>Kezelés</w:t>
      </w:r>
    </w:p>
    <w:p w14:paraId="3B442FC0" w14:textId="77777777" w:rsidR="00482034" w:rsidRDefault="00FE15A1">
      <w:pPr>
        <w:keepNext/>
        <w:tabs>
          <w:tab w:val="left" w:pos="567"/>
        </w:tabs>
        <w:rPr>
          <w:sz w:val="22"/>
          <w:szCs w:val="22"/>
          <w:lang w:val="hu-HU" w:eastAsia="en-US"/>
        </w:rPr>
      </w:pPr>
      <w:r>
        <w:rPr>
          <w:sz w:val="22"/>
          <w:szCs w:val="22"/>
          <w:lang w:val="hu-HU" w:eastAsia="en-US"/>
        </w:rPr>
        <w:t>A túladagolás kezelésénél a mű</w:t>
      </w:r>
      <w:r>
        <w:rPr>
          <w:sz w:val="22"/>
          <w:szCs w:val="22"/>
          <w:lang w:val="hu-HU" w:eastAsia="en-US"/>
        </w:rPr>
        <w:noBreakHyphen/>
        <w:t>opioid agonizmus tüneteinek kezelésére kell koncentrálni. Ha valószínű a tapentadol-túladagolás, elsődlegesen a légutak szabaddá tételéről, és asszisztált vagy kontrollált gépi lélegeztetés biztosításáról kell gondoskodni.</w:t>
      </w:r>
    </w:p>
    <w:p w14:paraId="41E8A002" w14:textId="77777777" w:rsidR="00482034" w:rsidRDefault="00482034">
      <w:pPr>
        <w:keepNext/>
        <w:tabs>
          <w:tab w:val="left" w:pos="567"/>
        </w:tabs>
        <w:rPr>
          <w:sz w:val="22"/>
          <w:szCs w:val="22"/>
          <w:lang w:val="hu-HU" w:eastAsia="en-US"/>
        </w:rPr>
      </w:pPr>
    </w:p>
    <w:p w14:paraId="144F3C9A" w14:textId="77777777" w:rsidR="00482034" w:rsidRDefault="00FE15A1">
      <w:pPr>
        <w:tabs>
          <w:tab w:val="left" w:pos="567"/>
        </w:tabs>
        <w:rPr>
          <w:sz w:val="22"/>
          <w:szCs w:val="22"/>
          <w:lang w:val="hu-HU" w:eastAsia="en-US"/>
        </w:rPr>
      </w:pPr>
      <w:r>
        <w:rPr>
          <w:sz w:val="22"/>
          <w:szCs w:val="22"/>
          <w:lang w:val="hu-HU" w:eastAsia="en-US"/>
        </w:rPr>
        <w:t>A tiszta opioid receptor antagonisták, mint pl. a naloxon, specifikus antidotumai az opioid-túladagolás miatti légzésdepressziónak. A túladagolást követő légzésdepresszió tovább tarthat, mint az opioid receptor antagonista hatásának időtartama. Az opioid receptor antagonista alkalmazása nem helyettesíti a légutak, a légzés és a keringés folyamatos ellenőrzését az opioid-túladagolást követően. Ha az opioid receptor antagonistára adott válasz nem megfelelő, vagy rövid időtartamú, az antagonista gyógyszer (pl. naloxon) további dózisát kell alkalmazni, a készítmény gyártójának útmutatása szerint.</w:t>
      </w:r>
    </w:p>
    <w:p w14:paraId="3ED4AB8C" w14:textId="77777777" w:rsidR="00482034" w:rsidRDefault="00482034">
      <w:pPr>
        <w:tabs>
          <w:tab w:val="left" w:pos="567"/>
        </w:tabs>
        <w:rPr>
          <w:sz w:val="22"/>
          <w:szCs w:val="22"/>
          <w:lang w:val="hu-HU" w:eastAsia="en-US"/>
        </w:rPr>
      </w:pPr>
    </w:p>
    <w:p w14:paraId="7FC5FE42" w14:textId="77777777" w:rsidR="00482034" w:rsidRDefault="00FE15A1">
      <w:pPr>
        <w:tabs>
          <w:tab w:val="left" w:pos="567"/>
        </w:tabs>
        <w:rPr>
          <w:sz w:val="22"/>
          <w:szCs w:val="22"/>
          <w:lang w:val="hu-HU" w:eastAsia="en-US"/>
        </w:rPr>
      </w:pPr>
      <w:r>
        <w:rPr>
          <w:sz w:val="22"/>
          <w:szCs w:val="22"/>
          <w:lang w:val="hu-HU" w:eastAsia="en-US"/>
        </w:rPr>
        <w:t>A nem abszorbeált hatóanyag eliminációja érdekében megfontolandó annak eltávolítása a gasztrointesztinális traktusból. Ezt a bevételt követő 2 órán belül célszerű elvégezni, aktív szén vagy gyomormosás alkalmazásával. A beavatkozás előtt biztosítani kell a légutak átjárhatóságát.</w:t>
      </w:r>
    </w:p>
    <w:p w14:paraId="69B83976" w14:textId="77777777" w:rsidR="00482034" w:rsidRDefault="00482034">
      <w:pPr>
        <w:tabs>
          <w:tab w:val="left" w:pos="567"/>
        </w:tabs>
        <w:rPr>
          <w:sz w:val="22"/>
          <w:szCs w:val="22"/>
          <w:lang w:val="hu-HU" w:eastAsia="en-US"/>
        </w:rPr>
      </w:pPr>
    </w:p>
    <w:p w14:paraId="5B815E13" w14:textId="77777777" w:rsidR="00482034" w:rsidRDefault="00482034">
      <w:pPr>
        <w:tabs>
          <w:tab w:val="left" w:pos="567"/>
        </w:tabs>
        <w:rPr>
          <w:sz w:val="22"/>
          <w:szCs w:val="22"/>
          <w:lang w:val="hu-HU" w:eastAsia="en-US"/>
        </w:rPr>
      </w:pPr>
    </w:p>
    <w:p w14:paraId="0D02E28F" w14:textId="77777777" w:rsidR="00482034" w:rsidRDefault="00FE15A1">
      <w:pPr>
        <w:tabs>
          <w:tab w:val="left" w:pos="567"/>
        </w:tabs>
        <w:outlineLvl w:val="0"/>
        <w:rPr>
          <w:b/>
          <w:caps/>
          <w:sz w:val="22"/>
          <w:szCs w:val="22"/>
          <w:lang w:val="hu-HU" w:eastAsia="en-US"/>
        </w:rPr>
      </w:pPr>
      <w:r>
        <w:rPr>
          <w:b/>
          <w:caps/>
          <w:sz w:val="22"/>
          <w:szCs w:val="22"/>
          <w:lang w:val="hu-HU" w:eastAsia="en-US"/>
        </w:rPr>
        <w:t>5.</w:t>
      </w:r>
      <w:r>
        <w:rPr>
          <w:b/>
          <w:caps/>
          <w:sz w:val="22"/>
          <w:szCs w:val="22"/>
          <w:lang w:val="hu-HU" w:eastAsia="en-US"/>
        </w:rPr>
        <w:tab/>
        <w:t>FARMAKOLÓGIAI TULAJDONSÁGOK</w:t>
      </w:r>
    </w:p>
    <w:p w14:paraId="42BA51C1" w14:textId="77777777" w:rsidR="00482034" w:rsidRDefault="00482034">
      <w:pPr>
        <w:tabs>
          <w:tab w:val="left" w:pos="567"/>
        </w:tabs>
        <w:rPr>
          <w:sz w:val="22"/>
          <w:szCs w:val="22"/>
          <w:lang w:val="hu-HU" w:eastAsia="en-US"/>
        </w:rPr>
      </w:pPr>
    </w:p>
    <w:p w14:paraId="00DF2FBC" w14:textId="77777777" w:rsidR="00482034" w:rsidRDefault="00FE15A1">
      <w:pPr>
        <w:tabs>
          <w:tab w:val="left" w:pos="567"/>
        </w:tabs>
        <w:rPr>
          <w:b/>
          <w:sz w:val="22"/>
          <w:szCs w:val="22"/>
          <w:lang w:val="hu-HU" w:eastAsia="en-US"/>
        </w:rPr>
      </w:pPr>
      <w:r>
        <w:rPr>
          <w:b/>
          <w:sz w:val="22"/>
          <w:szCs w:val="22"/>
          <w:lang w:val="hu-HU" w:eastAsia="en-US"/>
        </w:rPr>
        <w:t>5.1</w:t>
      </w:r>
      <w:r>
        <w:rPr>
          <w:b/>
          <w:sz w:val="22"/>
          <w:szCs w:val="22"/>
          <w:lang w:val="hu-HU" w:eastAsia="en-US"/>
        </w:rPr>
        <w:tab/>
        <w:t>Farmakodinámiás tulajdonságok</w:t>
      </w:r>
    </w:p>
    <w:p w14:paraId="0D36F1E0" w14:textId="77777777" w:rsidR="00482034" w:rsidRDefault="00482034">
      <w:pPr>
        <w:tabs>
          <w:tab w:val="left" w:pos="567"/>
        </w:tabs>
        <w:rPr>
          <w:sz w:val="22"/>
          <w:szCs w:val="22"/>
          <w:lang w:val="hu-HU" w:eastAsia="de-DE"/>
        </w:rPr>
      </w:pPr>
    </w:p>
    <w:p w14:paraId="0FE9E928" w14:textId="77777777" w:rsidR="00482034" w:rsidRDefault="00FE15A1">
      <w:pPr>
        <w:tabs>
          <w:tab w:val="left" w:pos="567"/>
        </w:tabs>
        <w:rPr>
          <w:sz w:val="22"/>
          <w:szCs w:val="22"/>
          <w:lang w:val="hu-HU" w:eastAsia="de-DE"/>
        </w:rPr>
      </w:pPr>
      <w:r>
        <w:rPr>
          <w:sz w:val="22"/>
          <w:szCs w:val="22"/>
          <w:lang w:val="hu-HU" w:eastAsia="de-DE"/>
        </w:rPr>
        <w:t xml:space="preserve">Farmakoterápiás csoport: analgetikumok; opioidok; egyéb opioidok, ATC kód: </w:t>
      </w:r>
      <w:r>
        <w:rPr>
          <w:bCs/>
          <w:sz w:val="22"/>
          <w:szCs w:val="22"/>
          <w:lang w:val="hu-HU" w:eastAsia="en-US"/>
        </w:rPr>
        <w:t>N02AX06</w:t>
      </w:r>
    </w:p>
    <w:p w14:paraId="1BA26D27" w14:textId="77777777" w:rsidR="00482034" w:rsidRDefault="00482034">
      <w:pPr>
        <w:tabs>
          <w:tab w:val="left" w:pos="567"/>
        </w:tabs>
        <w:rPr>
          <w:b/>
          <w:bCs/>
          <w:sz w:val="22"/>
          <w:szCs w:val="22"/>
          <w:lang w:val="hu-HU" w:eastAsia="en-US"/>
        </w:rPr>
      </w:pPr>
    </w:p>
    <w:p w14:paraId="4142232F" w14:textId="77777777" w:rsidR="00482034" w:rsidRDefault="00FE15A1">
      <w:pPr>
        <w:tabs>
          <w:tab w:val="left" w:pos="567"/>
        </w:tabs>
        <w:rPr>
          <w:b/>
          <w:bCs/>
          <w:sz w:val="22"/>
          <w:szCs w:val="22"/>
          <w:lang w:val="hu-HU" w:eastAsia="en-US"/>
        </w:rPr>
      </w:pPr>
      <w:r>
        <w:rPr>
          <w:sz w:val="22"/>
          <w:szCs w:val="22"/>
          <w:lang w:val="hu-HU" w:eastAsia="en-US"/>
        </w:rPr>
        <w:t>A tapentadol erős fájdalomcsillapító mű</w:t>
      </w:r>
      <w:r>
        <w:rPr>
          <w:sz w:val="22"/>
          <w:szCs w:val="22"/>
          <w:lang w:val="hu-HU" w:eastAsia="en-US"/>
        </w:rPr>
        <w:noBreakHyphen/>
        <w:t>opioid receptor agonista, ezenkívül noradrenalin-visszavétel-gátló tulajdonságokkal is rendelkezik. A tapentadol fájdalomcsillapító hatását közvetlenül, farmakológiailag aktív metabolit nélkül fejti ki.</w:t>
      </w:r>
    </w:p>
    <w:p w14:paraId="214C9223" w14:textId="77777777" w:rsidR="00482034" w:rsidRDefault="00482034">
      <w:pPr>
        <w:tabs>
          <w:tab w:val="left" w:pos="567"/>
        </w:tabs>
        <w:rPr>
          <w:sz w:val="22"/>
          <w:szCs w:val="22"/>
          <w:lang w:val="hu-HU" w:eastAsia="en-US"/>
        </w:rPr>
      </w:pPr>
    </w:p>
    <w:p w14:paraId="118F1299" w14:textId="77777777" w:rsidR="00482034" w:rsidRDefault="00FE15A1">
      <w:pPr>
        <w:tabs>
          <w:tab w:val="left" w:pos="567"/>
        </w:tabs>
        <w:rPr>
          <w:sz w:val="22"/>
          <w:szCs w:val="22"/>
          <w:lang w:val="hu-HU" w:eastAsia="de-DE"/>
        </w:rPr>
      </w:pPr>
      <w:r>
        <w:rPr>
          <w:sz w:val="22"/>
          <w:szCs w:val="22"/>
          <w:lang w:val="hu-HU" w:eastAsia="en-US"/>
        </w:rPr>
        <w:t>A tapentadol preklinikai modellekben hatásos nociceptív, neuropathiás, visceralis, valamint gyulladásos fájdalomban. Klinikai vizsgálatokkal igazolt a tapentadol retard tabletta hatásossága nem daganatos nociceptív és neuropathiás krónikus fájdalomban és krónikus tumorral összefüggő fájdalomban egyaránt.</w:t>
      </w:r>
      <w:r>
        <w:rPr>
          <w:sz w:val="22"/>
          <w:szCs w:val="22"/>
          <w:lang w:val="hu-HU" w:eastAsia="de-DE"/>
        </w:rPr>
        <w:t xml:space="preserve"> Osteoarthritis okozta fájdalom és krónikus hátfájdalom klinikai vizsgálataiban a tapentadol a komparátorként használt erős opioddal azonos fájdalomcsillapító hatást mutatott. A fájdalommal járó diabeteses perifériás neuropathia klinikai vizsgálatában a tapentadol különbözött a komparátorként használt placebotól.</w:t>
      </w:r>
    </w:p>
    <w:p w14:paraId="38C92ECE" w14:textId="77777777" w:rsidR="00482034" w:rsidRDefault="00482034">
      <w:pPr>
        <w:tabs>
          <w:tab w:val="left" w:pos="567"/>
        </w:tabs>
        <w:rPr>
          <w:sz w:val="22"/>
          <w:szCs w:val="22"/>
          <w:lang w:val="hu-HU" w:eastAsia="en-US"/>
        </w:rPr>
      </w:pPr>
    </w:p>
    <w:p w14:paraId="191569A8" w14:textId="77777777" w:rsidR="00482034" w:rsidRDefault="00FE15A1">
      <w:pPr>
        <w:tabs>
          <w:tab w:val="left" w:pos="567"/>
        </w:tabs>
        <w:rPr>
          <w:sz w:val="22"/>
          <w:szCs w:val="22"/>
          <w:lang w:val="hu-HU" w:eastAsia="en-US"/>
        </w:rPr>
      </w:pPr>
      <w:r>
        <w:rPr>
          <w:sz w:val="22"/>
          <w:szCs w:val="22"/>
          <w:lang w:val="hu-HU" w:eastAsia="en-US"/>
        </w:rPr>
        <w:t>A kardiovaszkuláris rendszerre kifejtett hatások: egy átfogó human QT-vizsgálat során nem mutatták ki a tapentadol többszörös terápiás és szupraterápiás dózisának, a QT-intervallumra gyakorolt hatását. Hasonlóan nem mutatott releváns hatást a tapentadol egyéb EKG paraméterekre (szívfrekvencia, PR-intervallum, QRS-időtartam, T</w:t>
      </w:r>
      <w:r>
        <w:rPr>
          <w:sz w:val="22"/>
          <w:szCs w:val="22"/>
          <w:lang w:val="hu-HU" w:eastAsia="en-US"/>
        </w:rPr>
        <w:noBreakHyphen/>
        <w:t>hullám vagy az U</w:t>
      </w:r>
      <w:r>
        <w:rPr>
          <w:sz w:val="22"/>
          <w:szCs w:val="22"/>
          <w:lang w:val="hu-HU" w:eastAsia="en-US"/>
        </w:rPr>
        <w:noBreakHyphen/>
        <w:t>hullám morfológiája).</w:t>
      </w:r>
    </w:p>
    <w:p w14:paraId="65831D2F" w14:textId="77777777" w:rsidR="00482034" w:rsidRDefault="00482034">
      <w:pPr>
        <w:tabs>
          <w:tab w:val="left" w:pos="567"/>
        </w:tabs>
        <w:rPr>
          <w:sz w:val="22"/>
          <w:szCs w:val="22"/>
          <w:lang w:val="hu-HU" w:eastAsia="en-US"/>
        </w:rPr>
      </w:pPr>
    </w:p>
    <w:p w14:paraId="72037507" w14:textId="77777777" w:rsidR="00482034" w:rsidRDefault="00FE15A1">
      <w:pPr>
        <w:tabs>
          <w:tab w:val="left" w:pos="567"/>
        </w:tabs>
        <w:rPr>
          <w:i/>
          <w:sz w:val="22"/>
          <w:szCs w:val="22"/>
          <w:lang w:val="hu-HU" w:eastAsia="en-US"/>
        </w:rPr>
      </w:pPr>
      <w:r>
        <w:rPr>
          <w:i/>
          <w:sz w:val="22"/>
          <w:szCs w:val="22"/>
          <w:lang w:val="hu-HU" w:eastAsia="en-US"/>
        </w:rPr>
        <w:t>Gyermekek és serdülők</w:t>
      </w:r>
    </w:p>
    <w:p w14:paraId="09AD8F66" w14:textId="77777777" w:rsidR="00482034" w:rsidRDefault="00FE15A1">
      <w:pPr>
        <w:tabs>
          <w:tab w:val="left" w:pos="567"/>
        </w:tabs>
        <w:rPr>
          <w:sz w:val="22"/>
          <w:szCs w:val="22"/>
          <w:lang w:val="hu-HU" w:eastAsia="en-US"/>
        </w:rPr>
      </w:pPr>
      <w:r>
        <w:rPr>
          <w:sz w:val="22"/>
          <w:szCs w:val="22"/>
          <w:lang w:val="hu-HU" w:eastAsia="en-US"/>
        </w:rPr>
        <w:t>Az indikáció 6 éven felüli gyermekekre történő kiterjesztése a popPK modell szimulációja által támogatott expozíció-illesztési extrapolációs megközelítés alapján történt. A gyermekek számára javasolt dózisok alkalmazásával a felnőttekéhez hasonló tapentadol-expozíció érhető el.</w:t>
      </w:r>
    </w:p>
    <w:p w14:paraId="6262E749" w14:textId="77777777" w:rsidR="00482034" w:rsidRDefault="00482034">
      <w:pPr>
        <w:tabs>
          <w:tab w:val="left" w:pos="567"/>
        </w:tabs>
        <w:rPr>
          <w:sz w:val="22"/>
          <w:szCs w:val="22"/>
          <w:lang w:val="hu-HU" w:eastAsia="en-US"/>
        </w:rPr>
      </w:pPr>
    </w:p>
    <w:p w14:paraId="074FD44F" w14:textId="77777777" w:rsidR="00482034" w:rsidRDefault="00FE15A1">
      <w:pPr>
        <w:tabs>
          <w:tab w:val="left" w:pos="567"/>
        </w:tabs>
        <w:rPr>
          <w:sz w:val="22"/>
          <w:szCs w:val="22"/>
          <w:lang w:val="hu-HU" w:eastAsia="en-US"/>
        </w:rPr>
      </w:pPr>
      <w:r>
        <w:rPr>
          <w:sz w:val="22"/>
          <w:szCs w:val="22"/>
          <w:lang w:val="hu-HU" w:eastAsia="en-US"/>
        </w:rPr>
        <w:t xml:space="preserve">Egy randomizált, aktív kontrollos, nyílt non-inferioritási vizsgálatban (KF5503/66) 69, </w:t>
      </w:r>
      <w:r>
        <w:rPr>
          <w:iCs/>
          <w:sz w:val="22"/>
          <w:szCs w:val="22"/>
          <w:lang w:val="hu-HU" w:eastAsia="en-US"/>
        </w:rPr>
        <w:t>6 és betöltött 18. életév közötti életkorú</w:t>
      </w:r>
      <w:r>
        <w:rPr>
          <w:sz w:val="22"/>
          <w:szCs w:val="22"/>
          <w:lang w:val="hu-HU" w:eastAsia="en-US"/>
        </w:rPr>
        <w:t xml:space="preserve"> gyermeket és serdülőt vizsgáltak, akik olyan súlyos fájdalomtól szenvedtek, melynek kezelése várhatóan minimum 14 napos opioid-kezelést igényelt. 45 gyermeket randomizáltak a tapentadol retard tablettát kapó csoportba. A gyermekek a testtömegük alapján 25-250 mg tapentadol-kezelésben részesültek naponta kétszer vagy az ezzel ekvivalens komparátor készítményt kapták 14 napon keresztül. A tapentadol retard tabletta biztonságossági profilja gyermekek esetén hasonló volt a komparátor készítményéhez és a tapentadol-kezelésben részesülő felnőttekéhez képest.</w:t>
      </w:r>
      <w:r>
        <w:t xml:space="preserve"> </w:t>
      </w:r>
      <w:r>
        <w:rPr>
          <w:sz w:val="22"/>
          <w:szCs w:val="22"/>
          <w:lang w:val="hu-HU" w:eastAsia="en-US"/>
        </w:rPr>
        <w:t>A tapentadol retard tabletta biztonságossági profilja 9 gyermeknél megmaradt egy legfeljebb egy évig tartó nyílt meghosszabbítási időszak alatt.</w:t>
      </w:r>
    </w:p>
    <w:p w14:paraId="1C9086AF" w14:textId="77777777" w:rsidR="00482034" w:rsidRDefault="00482034">
      <w:pPr>
        <w:tabs>
          <w:tab w:val="left" w:pos="567"/>
        </w:tabs>
        <w:rPr>
          <w:sz w:val="22"/>
          <w:szCs w:val="22"/>
          <w:lang w:val="hu-HU" w:eastAsia="en-US"/>
        </w:rPr>
      </w:pPr>
    </w:p>
    <w:p w14:paraId="6F8BB2F3" w14:textId="77777777" w:rsidR="00482034" w:rsidRDefault="00FE15A1">
      <w:pPr>
        <w:tabs>
          <w:tab w:val="left" w:pos="567"/>
        </w:tabs>
        <w:rPr>
          <w:i/>
          <w:sz w:val="22"/>
          <w:szCs w:val="22"/>
          <w:lang w:val="hu-HU" w:eastAsia="en-US"/>
        </w:rPr>
      </w:pPr>
      <w:r>
        <w:rPr>
          <w:i/>
          <w:sz w:val="22"/>
          <w:szCs w:val="22"/>
          <w:lang w:val="hu-HU" w:eastAsia="en-US"/>
        </w:rPr>
        <w:t>Forgalomba hozatalt követően szerzett adatok</w:t>
      </w:r>
    </w:p>
    <w:p w14:paraId="5D5D0A23" w14:textId="77777777" w:rsidR="00482034" w:rsidRDefault="00FE15A1">
      <w:pPr>
        <w:tabs>
          <w:tab w:val="left" w:pos="567"/>
        </w:tabs>
        <w:rPr>
          <w:sz w:val="22"/>
          <w:szCs w:val="22"/>
          <w:lang w:val="hu-HU" w:eastAsia="en-US"/>
        </w:rPr>
      </w:pPr>
      <w:r>
        <w:rPr>
          <w:sz w:val="22"/>
          <w:szCs w:val="22"/>
          <w:lang w:val="hu-HU" w:eastAsia="en-US"/>
        </w:rPr>
        <w:t>A tapentadol gyakorlati alkalmazásával kapcsolatban két vizsgálatot végeztek a forgalomba hozatalt követően.</w:t>
      </w:r>
    </w:p>
    <w:p w14:paraId="555AD647" w14:textId="77777777" w:rsidR="00482034" w:rsidRDefault="00482034">
      <w:pPr>
        <w:tabs>
          <w:tab w:val="left" w:pos="567"/>
        </w:tabs>
        <w:rPr>
          <w:sz w:val="22"/>
          <w:szCs w:val="22"/>
          <w:lang w:val="hu-HU" w:eastAsia="en-US"/>
        </w:rPr>
      </w:pPr>
    </w:p>
    <w:p w14:paraId="18DB3B69" w14:textId="77777777" w:rsidR="00482034" w:rsidRDefault="00FE15A1">
      <w:pPr>
        <w:tabs>
          <w:tab w:val="left" w:pos="567"/>
        </w:tabs>
        <w:rPr>
          <w:sz w:val="22"/>
          <w:szCs w:val="22"/>
          <w:lang w:val="hu-HU" w:eastAsia="en-US"/>
        </w:rPr>
      </w:pPr>
      <w:r>
        <w:rPr>
          <w:sz w:val="22"/>
          <w:szCs w:val="22"/>
          <w:lang w:val="hu-HU" w:eastAsia="en-US"/>
        </w:rPr>
        <w:t>A tapentadol retard tabletta hatásosságát egy multicentrikus, randomizált, kettős vak, párhuzamos elrendezésű vizsgálatban igazolták neuropathiás komponensű derékfájdalomban szenvedő betegeknél (KF5503/58). Az átlagos fájdalomintenzitás-csökkentés hasonló volt a tapentadol csoportban és a komparátor kezelési csoportban, ahol tapentadol retard tabletta és pregabalin azonnali hatóanyag-leadású tabletta kombinációt kaptak.</w:t>
      </w:r>
    </w:p>
    <w:p w14:paraId="2D82E7EA" w14:textId="77777777" w:rsidR="00482034" w:rsidRDefault="00482034">
      <w:pPr>
        <w:tabs>
          <w:tab w:val="left" w:pos="567"/>
        </w:tabs>
        <w:rPr>
          <w:sz w:val="22"/>
          <w:szCs w:val="22"/>
          <w:lang w:val="hu-HU" w:eastAsia="en-US"/>
        </w:rPr>
      </w:pPr>
    </w:p>
    <w:p w14:paraId="1207BB66" w14:textId="77777777" w:rsidR="00482034" w:rsidRDefault="00FE15A1">
      <w:pPr>
        <w:tabs>
          <w:tab w:val="left" w:pos="567"/>
        </w:tabs>
        <w:rPr>
          <w:sz w:val="22"/>
          <w:szCs w:val="22"/>
          <w:lang w:val="hu-HU" w:eastAsia="en-US"/>
        </w:rPr>
      </w:pPr>
      <w:r>
        <w:rPr>
          <w:sz w:val="22"/>
          <w:szCs w:val="22"/>
          <w:lang w:val="hu-HU" w:eastAsia="en-US"/>
        </w:rPr>
        <w:t xml:space="preserve">Egy súlyos, krónikus, neuropathiás komponensű derékfájdalomban szenvedő betegeken végzett nyílt, multicentrikus, randomizált vizsgálatban </w:t>
      </w:r>
      <w:r>
        <w:rPr>
          <w:sz w:val="22"/>
          <w:lang w:val="hu-HU" w:eastAsia="de-DE"/>
        </w:rPr>
        <w:t xml:space="preserve">(KF5503/60) </w:t>
      </w:r>
      <w:r>
        <w:rPr>
          <w:sz w:val="22"/>
          <w:szCs w:val="22"/>
          <w:lang w:val="hu-HU" w:eastAsia="en-US"/>
        </w:rPr>
        <w:t>a tapentadol retard tabletta szignifikánsan csökkentette az átlagos fájdalomintenzitást.</w:t>
      </w:r>
    </w:p>
    <w:p w14:paraId="4DAD0528" w14:textId="77777777" w:rsidR="00482034" w:rsidRDefault="00482034">
      <w:pPr>
        <w:tabs>
          <w:tab w:val="left" w:pos="567"/>
        </w:tabs>
        <w:rPr>
          <w:sz w:val="22"/>
          <w:szCs w:val="22"/>
          <w:lang w:val="hu-HU" w:eastAsia="en-US"/>
        </w:rPr>
      </w:pPr>
    </w:p>
    <w:p w14:paraId="01ABA5DA" w14:textId="77777777" w:rsidR="00482034" w:rsidRDefault="00FE15A1">
      <w:pPr>
        <w:tabs>
          <w:tab w:val="left" w:pos="567"/>
        </w:tabs>
        <w:rPr>
          <w:b/>
          <w:sz w:val="22"/>
          <w:szCs w:val="22"/>
          <w:lang w:val="hu-HU" w:eastAsia="en-US"/>
        </w:rPr>
      </w:pPr>
      <w:r>
        <w:rPr>
          <w:b/>
          <w:sz w:val="22"/>
          <w:szCs w:val="22"/>
          <w:lang w:val="hu-HU" w:eastAsia="en-US"/>
        </w:rPr>
        <w:t>5.2</w:t>
      </w:r>
      <w:r>
        <w:rPr>
          <w:b/>
          <w:sz w:val="22"/>
          <w:szCs w:val="22"/>
          <w:lang w:val="hu-HU" w:eastAsia="en-US"/>
        </w:rPr>
        <w:tab/>
        <w:t>Farmakokinetikai tulajdonságok</w:t>
      </w:r>
    </w:p>
    <w:p w14:paraId="31065943" w14:textId="77777777" w:rsidR="00482034" w:rsidRDefault="00482034">
      <w:pPr>
        <w:tabs>
          <w:tab w:val="left" w:pos="567"/>
        </w:tabs>
        <w:rPr>
          <w:sz w:val="22"/>
          <w:szCs w:val="22"/>
          <w:lang w:val="hu-HU" w:eastAsia="en-US"/>
        </w:rPr>
      </w:pPr>
    </w:p>
    <w:p w14:paraId="5B9B3A9A" w14:textId="77777777" w:rsidR="00482034" w:rsidRDefault="00FE15A1">
      <w:pPr>
        <w:tabs>
          <w:tab w:val="left" w:pos="567"/>
        </w:tabs>
        <w:rPr>
          <w:i/>
          <w:sz w:val="22"/>
          <w:szCs w:val="22"/>
          <w:lang w:val="hu-HU" w:eastAsia="en-US"/>
        </w:rPr>
      </w:pPr>
      <w:r>
        <w:rPr>
          <w:i/>
          <w:sz w:val="22"/>
          <w:szCs w:val="22"/>
          <w:lang w:val="hu-HU" w:eastAsia="en-US"/>
        </w:rPr>
        <w:t>Felszívódás</w:t>
      </w:r>
    </w:p>
    <w:p w14:paraId="6D241FED" w14:textId="77777777" w:rsidR="00482034" w:rsidRDefault="00FE15A1">
      <w:pPr>
        <w:tabs>
          <w:tab w:val="left" w:pos="567"/>
        </w:tabs>
        <w:rPr>
          <w:sz w:val="22"/>
          <w:szCs w:val="22"/>
          <w:lang w:val="hu-HU" w:eastAsia="en-US"/>
        </w:rPr>
      </w:pPr>
      <w:r>
        <w:rPr>
          <w:sz w:val="22"/>
          <w:szCs w:val="22"/>
          <w:lang w:val="hu-HU" w:eastAsia="en-US"/>
        </w:rPr>
        <w:t xml:space="preserve">Éhomi egyszeri adagolást követően a tapentadol retard tabletta biohasznosulása kb. 32%-a </w:t>
      </w:r>
      <w:r>
        <w:rPr>
          <w:rFonts w:ascii="TimesNewRomanPSMT" w:hAnsi="TimesNewRomanPSMT" w:cs="TimesNewRomanPSMT"/>
          <w:sz w:val="22"/>
          <w:szCs w:val="22"/>
          <w:lang w:val="hu-HU" w:eastAsia="zh-CN"/>
        </w:rPr>
        <w:t xml:space="preserve">nagymértékű first-pass metabolizmus következtében. </w:t>
      </w:r>
      <w:r>
        <w:rPr>
          <w:sz w:val="22"/>
          <w:szCs w:val="22"/>
          <w:lang w:val="hu-HU" w:eastAsia="en-US"/>
        </w:rPr>
        <w:t>A tapentadol maximális szérumkoncentrációja a retard tabletta bevételét követő 3 és 6 óra között alakul ki.</w:t>
      </w:r>
    </w:p>
    <w:p w14:paraId="1DE9BC37" w14:textId="77777777" w:rsidR="00482034" w:rsidRDefault="00482034">
      <w:pPr>
        <w:tabs>
          <w:tab w:val="left" w:pos="567"/>
        </w:tabs>
        <w:rPr>
          <w:sz w:val="22"/>
          <w:szCs w:val="22"/>
          <w:lang w:val="hu-HU" w:eastAsia="en-US"/>
        </w:rPr>
      </w:pPr>
    </w:p>
    <w:p w14:paraId="2AE639DC" w14:textId="77777777" w:rsidR="00482034" w:rsidRDefault="00FE15A1">
      <w:pPr>
        <w:tabs>
          <w:tab w:val="left" w:pos="567"/>
        </w:tabs>
        <w:rPr>
          <w:sz w:val="22"/>
          <w:szCs w:val="22"/>
          <w:lang w:val="hu-HU" w:eastAsia="en-US"/>
        </w:rPr>
      </w:pPr>
      <w:r>
        <w:rPr>
          <w:sz w:val="22"/>
          <w:szCs w:val="22"/>
          <w:lang w:val="hu-HU" w:eastAsia="en-US"/>
        </w:rPr>
        <w:t>Dózisarányos AUC növekedést figyeltek meg a retard tabletta terápiás dózist meghaladó adagjainak alkalmazását követően.</w:t>
      </w:r>
    </w:p>
    <w:p w14:paraId="5D468962" w14:textId="77777777" w:rsidR="00482034" w:rsidRDefault="00482034">
      <w:pPr>
        <w:tabs>
          <w:tab w:val="left" w:pos="567"/>
        </w:tabs>
        <w:rPr>
          <w:sz w:val="22"/>
          <w:szCs w:val="22"/>
          <w:lang w:val="hu-HU" w:eastAsia="en-US"/>
        </w:rPr>
      </w:pPr>
    </w:p>
    <w:p w14:paraId="761153FB" w14:textId="77777777" w:rsidR="00482034" w:rsidRDefault="00FE15A1">
      <w:pPr>
        <w:tabs>
          <w:tab w:val="left" w:pos="567"/>
        </w:tabs>
        <w:rPr>
          <w:sz w:val="22"/>
          <w:szCs w:val="22"/>
          <w:lang w:val="hu-HU" w:eastAsia="en-US"/>
        </w:rPr>
      </w:pPr>
      <w:r>
        <w:rPr>
          <w:sz w:val="22"/>
          <w:szCs w:val="22"/>
          <w:lang w:val="hu-HU" w:eastAsia="en-US"/>
        </w:rPr>
        <w:t>Egy többszörös dózisú klinikai vizsgálatban a tapentadolt naponta kétszer alkalmazva 86 mg-os és 172 mg-os dózisokban, retard tabletta formájában, az elsődleges hatóanyag kb. 1,5</w:t>
      </w:r>
      <w:r>
        <w:rPr>
          <w:sz w:val="22"/>
          <w:szCs w:val="22"/>
          <w:lang w:val="hu-HU" w:eastAsia="en-US"/>
        </w:rPr>
        <w:noBreakHyphen/>
        <w:t>es akkumulációs arányát találták, amelyet elsősorban az adagolási intervallum és a tapentadol felezési ideje határoz meg. A tapentadol steady</w:t>
      </w:r>
      <w:r>
        <w:rPr>
          <w:sz w:val="22"/>
          <w:szCs w:val="22"/>
          <w:lang w:val="hu-HU" w:eastAsia="en-US"/>
        </w:rPr>
        <w:noBreakHyphen/>
        <w:t>state-nek megfelő szérumkoncentrációját a kezelés második napján érte el.</w:t>
      </w:r>
    </w:p>
    <w:p w14:paraId="11CFCD28" w14:textId="77777777" w:rsidR="00482034" w:rsidRDefault="00482034">
      <w:pPr>
        <w:tabs>
          <w:tab w:val="left" w:pos="567"/>
        </w:tabs>
        <w:rPr>
          <w:sz w:val="22"/>
          <w:szCs w:val="22"/>
          <w:lang w:val="hu-HU" w:eastAsia="en-US"/>
        </w:rPr>
      </w:pPr>
    </w:p>
    <w:p w14:paraId="6BFE2C81" w14:textId="77777777" w:rsidR="00482034" w:rsidRDefault="00FE15A1">
      <w:pPr>
        <w:keepNext/>
        <w:tabs>
          <w:tab w:val="left" w:pos="567"/>
        </w:tabs>
        <w:rPr>
          <w:i/>
          <w:sz w:val="22"/>
          <w:szCs w:val="22"/>
          <w:lang w:val="hu-HU" w:eastAsia="en-US"/>
        </w:rPr>
      </w:pPr>
      <w:r>
        <w:rPr>
          <w:i/>
          <w:sz w:val="22"/>
          <w:szCs w:val="22"/>
          <w:lang w:val="hu-HU" w:eastAsia="en-US"/>
        </w:rPr>
        <w:t>Táplálékkal kapcsolatos hatások</w:t>
      </w:r>
    </w:p>
    <w:p w14:paraId="10FE3AD1" w14:textId="77777777" w:rsidR="00482034" w:rsidRDefault="00FE15A1">
      <w:pPr>
        <w:keepNext/>
        <w:tabs>
          <w:tab w:val="left" w:pos="567"/>
        </w:tabs>
        <w:rPr>
          <w:sz w:val="22"/>
          <w:szCs w:val="22"/>
          <w:lang w:val="hu-HU" w:eastAsia="en-US"/>
        </w:rPr>
      </w:pPr>
      <w:r>
        <w:rPr>
          <w:sz w:val="22"/>
          <w:szCs w:val="22"/>
          <w:lang w:val="hu-HU" w:eastAsia="en-US"/>
        </w:rPr>
        <w:t>A retard tabletta magas zsír-, illetve magas kalóriatartalmú reggelit követő alkalmazásakor az AUC érték 8%-kal, a C</w:t>
      </w:r>
      <w:r>
        <w:rPr>
          <w:sz w:val="22"/>
          <w:szCs w:val="22"/>
          <w:vertAlign w:val="subscript"/>
          <w:lang w:val="hu-HU" w:eastAsia="en-US"/>
        </w:rPr>
        <w:t>max</w:t>
      </w:r>
      <w:r>
        <w:rPr>
          <w:sz w:val="22"/>
          <w:szCs w:val="22"/>
          <w:lang w:val="hu-HU" w:eastAsia="en-US"/>
        </w:rPr>
        <w:t xml:space="preserve"> érték 18%-kal emelkedett. Az értékek a tapentadol esetében az egyének közötti farmakokinetikai variabilitás értékei közé esnek, így a változásnak klinikailag jelentősége nincs. A tapentadol retard tabletta bevehető étellel együtt vagy anélkül.</w:t>
      </w:r>
    </w:p>
    <w:p w14:paraId="04231169" w14:textId="77777777" w:rsidR="00482034" w:rsidRDefault="00482034">
      <w:pPr>
        <w:tabs>
          <w:tab w:val="left" w:pos="567"/>
        </w:tabs>
        <w:rPr>
          <w:sz w:val="22"/>
          <w:szCs w:val="22"/>
          <w:lang w:val="hu-HU" w:eastAsia="en-US"/>
        </w:rPr>
      </w:pPr>
    </w:p>
    <w:p w14:paraId="505FA66F" w14:textId="77777777" w:rsidR="00482034" w:rsidRDefault="00FE15A1">
      <w:pPr>
        <w:tabs>
          <w:tab w:val="left" w:pos="567"/>
        </w:tabs>
        <w:rPr>
          <w:i/>
          <w:sz w:val="22"/>
          <w:szCs w:val="22"/>
          <w:lang w:val="hu-HU" w:eastAsia="en-US"/>
        </w:rPr>
      </w:pPr>
      <w:r>
        <w:rPr>
          <w:i/>
          <w:sz w:val="22"/>
          <w:szCs w:val="22"/>
          <w:lang w:val="hu-HU" w:eastAsia="en-US"/>
        </w:rPr>
        <w:t>Eloszlás</w:t>
      </w:r>
    </w:p>
    <w:p w14:paraId="0080E07F" w14:textId="77777777" w:rsidR="00482034" w:rsidRDefault="00FE15A1">
      <w:pPr>
        <w:tabs>
          <w:tab w:val="left" w:pos="567"/>
        </w:tabs>
        <w:rPr>
          <w:sz w:val="22"/>
          <w:szCs w:val="22"/>
          <w:lang w:val="hu-HU" w:eastAsia="en-US"/>
        </w:rPr>
      </w:pPr>
      <w:r>
        <w:rPr>
          <w:sz w:val="22"/>
          <w:szCs w:val="22"/>
          <w:lang w:val="hu-HU" w:eastAsia="en-US"/>
        </w:rPr>
        <w:t>A tapentadol nagymértékben eloszlik a szervezetben. Intravénás alkalmazást követően a tapentadol megoszlási térfogata (Vz) 540 +/– 98 l. A tapentadol plazmafehérjéhez történő kötődése alacsony, a nagysága megközelítőleg 20%.</w:t>
      </w:r>
    </w:p>
    <w:p w14:paraId="6B311863" w14:textId="77777777" w:rsidR="00482034" w:rsidRDefault="00482034">
      <w:pPr>
        <w:tabs>
          <w:tab w:val="left" w:pos="567"/>
        </w:tabs>
        <w:rPr>
          <w:sz w:val="22"/>
          <w:szCs w:val="22"/>
          <w:lang w:val="hu-HU" w:eastAsia="en-US"/>
        </w:rPr>
      </w:pPr>
    </w:p>
    <w:p w14:paraId="55818D45" w14:textId="77777777" w:rsidR="00482034" w:rsidRDefault="00FE15A1">
      <w:pPr>
        <w:tabs>
          <w:tab w:val="left" w:pos="567"/>
        </w:tabs>
        <w:rPr>
          <w:i/>
          <w:sz w:val="22"/>
          <w:szCs w:val="22"/>
          <w:lang w:val="hu-HU" w:eastAsia="en-US"/>
        </w:rPr>
      </w:pPr>
      <w:r>
        <w:rPr>
          <w:i/>
          <w:sz w:val="22"/>
          <w:szCs w:val="22"/>
          <w:lang w:val="hu-HU" w:eastAsia="en-US"/>
        </w:rPr>
        <w:t>Biotranszformáció</w:t>
      </w:r>
    </w:p>
    <w:p w14:paraId="66156675" w14:textId="77777777" w:rsidR="00482034" w:rsidRDefault="00FE15A1">
      <w:pPr>
        <w:tabs>
          <w:tab w:val="left" w:pos="567"/>
        </w:tabs>
        <w:rPr>
          <w:sz w:val="22"/>
          <w:szCs w:val="22"/>
          <w:lang w:val="hu-HU" w:eastAsia="en-US"/>
        </w:rPr>
      </w:pPr>
      <w:r>
        <w:rPr>
          <w:sz w:val="22"/>
          <w:szCs w:val="22"/>
          <w:lang w:val="hu-HU" w:eastAsia="en-US"/>
        </w:rPr>
        <w:t>Emberben a tapentadol nagymértékben metabolizálódik. Az alapvegyület kb. 97%-a metabolizálódik.</w:t>
      </w:r>
    </w:p>
    <w:p w14:paraId="5E0880E7" w14:textId="77777777" w:rsidR="00482034" w:rsidRDefault="00FE15A1">
      <w:pPr>
        <w:tabs>
          <w:tab w:val="left" w:pos="567"/>
        </w:tabs>
        <w:rPr>
          <w:sz w:val="22"/>
          <w:szCs w:val="22"/>
          <w:lang w:val="hu-HU" w:eastAsia="en-US"/>
        </w:rPr>
      </w:pPr>
      <w:r>
        <w:rPr>
          <w:sz w:val="22"/>
          <w:szCs w:val="22"/>
          <w:lang w:val="hu-HU" w:eastAsia="en-US"/>
        </w:rPr>
        <w:t>A tapentadol-metabolizmus fő útja a glükuronidokat eredményező glükuronsavval való konjugáció.</w:t>
      </w:r>
    </w:p>
    <w:p w14:paraId="0745F510" w14:textId="77777777" w:rsidR="00482034" w:rsidRDefault="00FE15A1">
      <w:pPr>
        <w:tabs>
          <w:tab w:val="left" w:pos="567"/>
        </w:tabs>
        <w:rPr>
          <w:sz w:val="22"/>
          <w:szCs w:val="22"/>
          <w:lang w:val="hu-HU" w:eastAsia="en-US"/>
        </w:rPr>
      </w:pPr>
      <w:r>
        <w:rPr>
          <w:sz w:val="22"/>
          <w:szCs w:val="22"/>
          <w:lang w:val="hu-HU" w:eastAsia="en-US"/>
        </w:rPr>
        <w:t>Orális alkalmazást követően a dózisnak kb. 70%-a ürül a vizelettel konjugált formákban (55% glükuronidált és 15% szulfatált tapentadol). A glükuronidációban elsődleges enzim az uridin</w:t>
      </w:r>
      <w:r>
        <w:rPr>
          <w:sz w:val="22"/>
          <w:szCs w:val="22"/>
          <w:lang w:val="hu-HU" w:eastAsia="en-US"/>
        </w:rPr>
        <w:noBreakHyphen/>
        <w:t>difoszfát</w:t>
      </w:r>
      <w:r>
        <w:rPr>
          <w:sz w:val="22"/>
          <w:szCs w:val="22"/>
          <w:lang w:val="hu-HU" w:eastAsia="en-US"/>
        </w:rPr>
        <w:noBreakHyphen/>
        <w:t>glükoronil-transzferáz (UGT), elsősorban az UGT1A6, UGT1A9 és UGT2B7 izoformok. A vizelettel változatlan formában a hatóanyag 3%-a ürül. További metabolitok a CYP2C9 és CYP2C19 enzimek közreműködésével az N</w:t>
      </w:r>
      <w:r>
        <w:rPr>
          <w:sz w:val="22"/>
          <w:szCs w:val="22"/>
          <w:lang w:val="hu-HU" w:eastAsia="en-US"/>
        </w:rPr>
        <w:noBreakHyphen/>
        <w:t>dezmetil-tapentadol (13%), a CYP2D6 enzim hatására hidroxi-tapentadol (2%), melyek konjugációval tovább metabolizálódnak. Vagyis a citokróm P450 mediálta metabolizmus kevésbé jelentős, mint a glükuronidáció.</w:t>
      </w:r>
    </w:p>
    <w:p w14:paraId="21D723CE" w14:textId="77777777" w:rsidR="00482034" w:rsidRDefault="00482034">
      <w:pPr>
        <w:tabs>
          <w:tab w:val="left" w:pos="567"/>
        </w:tabs>
        <w:rPr>
          <w:sz w:val="22"/>
          <w:szCs w:val="22"/>
          <w:lang w:val="hu-HU" w:eastAsia="en-US"/>
        </w:rPr>
      </w:pPr>
    </w:p>
    <w:p w14:paraId="55856A21" w14:textId="77777777" w:rsidR="00482034" w:rsidRDefault="00FE15A1">
      <w:pPr>
        <w:tabs>
          <w:tab w:val="left" w:pos="567"/>
        </w:tabs>
        <w:rPr>
          <w:sz w:val="22"/>
          <w:szCs w:val="22"/>
          <w:lang w:val="hu-HU" w:eastAsia="en-US"/>
        </w:rPr>
      </w:pPr>
      <w:r>
        <w:rPr>
          <w:sz w:val="22"/>
          <w:szCs w:val="22"/>
          <w:lang w:val="hu-HU" w:eastAsia="en-US"/>
        </w:rPr>
        <w:t>Egyik metabolit sem rendelkezik fájdalomcsillapító hatással.</w:t>
      </w:r>
    </w:p>
    <w:p w14:paraId="7A455B16" w14:textId="77777777" w:rsidR="00482034" w:rsidRDefault="00482034">
      <w:pPr>
        <w:tabs>
          <w:tab w:val="left" w:pos="567"/>
        </w:tabs>
        <w:rPr>
          <w:sz w:val="22"/>
          <w:szCs w:val="22"/>
          <w:lang w:val="hu-HU" w:eastAsia="en-US"/>
        </w:rPr>
      </w:pPr>
    </w:p>
    <w:p w14:paraId="51C458CC" w14:textId="77777777" w:rsidR="00482034" w:rsidRDefault="00FE15A1">
      <w:pPr>
        <w:tabs>
          <w:tab w:val="left" w:pos="567"/>
        </w:tabs>
        <w:rPr>
          <w:i/>
          <w:sz w:val="22"/>
          <w:szCs w:val="22"/>
          <w:lang w:val="hu-HU" w:eastAsia="en-US"/>
        </w:rPr>
      </w:pPr>
      <w:r>
        <w:rPr>
          <w:i/>
          <w:sz w:val="22"/>
          <w:szCs w:val="22"/>
          <w:lang w:val="hu-HU" w:eastAsia="en-US"/>
        </w:rPr>
        <w:t>Elimináció</w:t>
      </w:r>
    </w:p>
    <w:p w14:paraId="748F630C" w14:textId="77777777" w:rsidR="00482034" w:rsidRDefault="00FE15A1">
      <w:pPr>
        <w:tabs>
          <w:tab w:val="left" w:pos="567"/>
        </w:tabs>
        <w:rPr>
          <w:sz w:val="22"/>
          <w:szCs w:val="22"/>
          <w:lang w:val="hu-HU" w:eastAsia="en-US"/>
        </w:rPr>
      </w:pPr>
      <w:r>
        <w:rPr>
          <w:sz w:val="22"/>
          <w:szCs w:val="22"/>
          <w:lang w:val="hu-HU" w:eastAsia="en-US"/>
        </w:rPr>
        <w:t>A tapentadol és metabolitjai szinte kizárólagosan (99%) a vesén át ürülnek. Az intravénás alkalmazást követően a teljes clearance értéke 1530 +/</w:t>
      </w:r>
      <w:r>
        <w:rPr>
          <w:sz w:val="22"/>
          <w:szCs w:val="22"/>
          <w:lang w:val="hu-HU" w:eastAsia="en-US"/>
        </w:rPr>
        <w:noBreakHyphen/>
        <w:t> 177 ml/perc volt. A terminális felezési idő átlagosan 5</w:t>
      </w:r>
      <w:r>
        <w:rPr>
          <w:sz w:val="22"/>
          <w:szCs w:val="22"/>
          <w:lang w:val="hu-HU" w:eastAsia="en-US"/>
        </w:rPr>
        <w:noBreakHyphen/>
        <w:t>6 óra az orális alkalmazást követően.</w:t>
      </w:r>
    </w:p>
    <w:p w14:paraId="3BD7B480" w14:textId="77777777" w:rsidR="00482034" w:rsidRDefault="00482034">
      <w:pPr>
        <w:tabs>
          <w:tab w:val="left" w:pos="567"/>
        </w:tabs>
        <w:rPr>
          <w:sz w:val="22"/>
          <w:szCs w:val="22"/>
          <w:lang w:val="hu-HU" w:eastAsia="en-US"/>
        </w:rPr>
      </w:pPr>
    </w:p>
    <w:p w14:paraId="5D347721" w14:textId="77777777" w:rsidR="00482034" w:rsidRDefault="00FE15A1">
      <w:pPr>
        <w:tabs>
          <w:tab w:val="left" w:pos="567"/>
        </w:tabs>
        <w:rPr>
          <w:bCs/>
          <w:sz w:val="22"/>
          <w:szCs w:val="22"/>
          <w:u w:val="single"/>
          <w:lang w:val="hu-HU" w:eastAsia="en-US"/>
        </w:rPr>
      </w:pPr>
      <w:r>
        <w:rPr>
          <w:bCs/>
          <w:sz w:val="22"/>
          <w:szCs w:val="22"/>
          <w:u w:val="single"/>
          <w:lang w:val="hu-HU" w:eastAsia="en-US"/>
        </w:rPr>
        <w:t>Különleges betegcsoportok</w:t>
      </w:r>
    </w:p>
    <w:p w14:paraId="40CB04A8" w14:textId="77777777" w:rsidR="00482034" w:rsidRDefault="00482034">
      <w:pPr>
        <w:tabs>
          <w:tab w:val="left" w:pos="567"/>
        </w:tabs>
        <w:rPr>
          <w:bCs/>
          <w:i/>
          <w:sz w:val="22"/>
          <w:szCs w:val="22"/>
          <w:lang w:val="hu-HU" w:eastAsia="en-US"/>
        </w:rPr>
      </w:pPr>
    </w:p>
    <w:p w14:paraId="477E6870" w14:textId="77777777" w:rsidR="00482034" w:rsidRDefault="00FE15A1">
      <w:pPr>
        <w:tabs>
          <w:tab w:val="left" w:pos="567"/>
        </w:tabs>
        <w:rPr>
          <w:bCs/>
          <w:i/>
          <w:sz w:val="22"/>
          <w:szCs w:val="22"/>
          <w:lang w:val="hu-HU" w:eastAsia="en-US"/>
        </w:rPr>
      </w:pPr>
      <w:r>
        <w:rPr>
          <w:bCs/>
          <w:i/>
          <w:sz w:val="22"/>
          <w:szCs w:val="22"/>
          <w:lang w:val="hu-HU" w:eastAsia="en-US"/>
        </w:rPr>
        <w:t>Idősek</w:t>
      </w:r>
    </w:p>
    <w:p w14:paraId="57796E7F" w14:textId="77777777" w:rsidR="00482034" w:rsidRDefault="00FE15A1">
      <w:pPr>
        <w:tabs>
          <w:tab w:val="left" w:pos="567"/>
        </w:tabs>
        <w:rPr>
          <w:rFonts w:eastAsia="Arial Unicode MS"/>
          <w:sz w:val="22"/>
          <w:szCs w:val="22"/>
          <w:lang w:val="hu-HU" w:eastAsia="en-US"/>
        </w:rPr>
      </w:pPr>
      <w:r>
        <w:rPr>
          <w:rFonts w:eastAsia="Arial Unicode MS"/>
          <w:sz w:val="22"/>
          <w:szCs w:val="22"/>
          <w:lang w:val="hu-HU" w:eastAsia="en-US"/>
        </w:rPr>
        <w:t>Időskorú (65</w:t>
      </w:r>
      <w:r>
        <w:rPr>
          <w:rFonts w:eastAsia="Arial Unicode MS"/>
          <w:sz w:val="22"/>
          <w:szCs w:val="22"/>
          <w:lang w:val="hu-HU" w:eastAsia="en-US"/>
        </w:rPr>
        <w:noBreakHyphen/>
        <w:t>78 éves) és fiatal felnőtt (19</w:t>
      </w:r>
      <w:r>
        <w:rPr>
          <w:rFonts w:eastAsia="Arial Unicode MS"/>
          <w:sz w:val="22"/>
          <w:szCs w:val="22"/>
          <w:lang w:val="hu-HU" w:eastAsia="en-US"/>
        </w:rPr>
        <w:noBreakHyphen/>
        <w:t>43) alanyok bevonásával végzett vizsgálatban a tapentadol átlagos expozícióját (AUC) a két csoportban hasonlónak találták, a C</w:t>
      </w:r>
      <w:r>
        <w:rPr>
          <w:rFonts w:eastAsia="Arial Unicode MS"/>
          <w:sz w:val="22"/>
          <w:szCs w:val="22"/>
          <w:vertAlign w:val="subscript"/>
          <w:lang w:val="hu-HU" w:eastAsia="en-US"/>
        </w:rPr>
        <w:t>max</w:t>
      </w:r>
      <w:r>
        <w:rPr>
          <w:rFonts w:eastAsia="Arial Unicode MS"/>
          <w:sz w:val="22"/>
          <w:szCs w:val="22"/>
          <w:lang w:val="hu-HU" w:eastAsia="en-US"/>
        </w:rPr>
        <w:t xml:space="preserve"> értéket 16%-kal alacsonyabbnak találták az időskorú csoportban.</w:t>
      </w:r>
    </w:p>
    <w:p w14:paraId="6890E7DC" w14:textId="77777777" w:rsidR="00482034" w:rsidRDefault="00482034">
      <w:pPr>
        <w:tabs>
          <w:tab w:val="left" w:pos="567"/>
        </w:tabs>
        <w:rPr>
          <w:sz w:val="22"/>
          <w:szCs w:val="22"/>
          <w:lang w:val="hu-HU" w:eastAsia="en-US"/>
        </w:rPr>
      </w:pPr>
    </w:p>
    <w:p w14:paraId="1A1BC814" w14:textId="77777777" w:rsidR="00482034" w:rsidRDefault="00FE15A1">
      <w:pPr>
        <w:tabs>
          <w:tab w:val="left" w:pos="567"/>
        </w:tabs>
        <w:rPr>
          <w:i/>
          <w:sz w:val="22"/>
          <w:szCs w:val="22"/>
          <w:lang w:val="hu-HU" w:eastAsia="en-US"/>
        </w:rPr>
      </w:pPr>
      <w:r>
        <w:rPr>
          <w:bCs/>
          <w:i/>
          <w:sz w:val="22"/>
          <w:szCs w:val="22"/>
          <w:lang w:val="hu-HU" w:eastAsia="en-US"/>
        </w:rPr>
        <w:t>Vesekárosodás</w:t>
      </w:r>
    </w:p>
    <w:p w14:paraId="36D762FC" w14:textId="77777777" w:rsidR="00482034" w:rsidRDefault="00FE15A1">
      <w:pPr>
        <w:tabs>
          <w:tab w:val="left" w:pos="567"/>
        </w:tabs>
        <w:rPr>
          <w:sz w:val="22"/>
          <w:szCs w:val="22"/>
          <w:lang w:val="hu-HU" w:eastAsia="en-US"/>
        </w:rPr>
      </w:pPr>
      <w:r>
        <w:rPr>
          <w:sz w:val="22"/>
          <w:szCs w:val="22"/>
          <w:lang w:val="hu-HU" w:eastAsia="en-US"/>
        </w:rPr>
        <w:t>A tapentadol AUC és C</w:t>
      </w:r>
      <w:r>
        <w:rPr>
          <w:sz w:val="22"/>
          <w:szCs w:val="22"/>
          <w:vertAlign w:val="subscript"/>
          <w:lang w:val="hu-HU" w:eastAsia="en-US"/>
        </w:rPr>
        <w:t>max</w:t>
      </w:r>
      <w:r>
        <w:rPr>
          <w:sz w:val="22"/>
          <w:szCs w:val="22"/>
          <w:lang w:val="hu-HU" w:eastAsia="en-US"/>
        </w:rPr>
        <w:t xml:space="preserve"> értékei összevethetőek különböző szintű veseműködésű (normáltól a súlyos fokú károsodásig) betegeknél. Ellenben súlyosbodó vesekárosodás esetén növekvő tapentadol-O</w:t>
      </w:r>
      <w:r>
        <w:rPr>
          <w:sz w:val="22"/>
          <w:szCs w:val="22"/>
          <w:lang w:val="hu-HU" w:eastAsia="en-US"/>
        </w:rPr>
        <w:noBreakHyphen/>
        <w:t>glükoronid expozíciót (AUC) figyeltek meg. Enyhe-, közepes- és súlyos vesekárosodott egyéneket összevetve normál vesefunkciójúakkal 1,5-, 2,5-, és 5,5</w:t>
      </w:r>
      <w:r>
        <w:rPr>
          <w:sz w:val="22"/>
          <w:szCs w:val="22"/>
          <w:lang w:val="hu-HU" w:eastAsia="en-US"/>
        </w:rPr>
        <w:noBreakHyphen/>
        <w:t>szörös tapentadol-O-glükoronid AUC értékekeket találtak.</w:t>
      </w:r>
    </w:p>
    <w:p w14:paraId="7FFD2E77" w14:textId="77777777" w:rsidR="00482034" w:rsidRDefault="00482034">
      <w:pPr>
        <w:tabs>
          <w:tab w:val="left" w:pos="567"/>
        </w:tabs>
        <w:rPr>
          <w:sz w:val="22"/>
          <w:szCs w:val="22"/>
          <w:lang w:val="hu-HU" w:eastAsia="en-US"/>
        </w:rPr>
      </w:pPr>
    </w:p>
    <w:p w14:paraId="2EEC9207" w14:textId="77777777" w:rsidR="00482034" w:rsidRDefault="00FE15A1">
      <w:pPr>
        <w:tabs>
          <w:tab w:val="left" w:pos="567"/>
        </w:tabs>
        <w:rPr>
          <w:i/>
          <w:sz w:val="22"/>
          <w:szCs w:val="22"/>
          <w:lang w:val="hu-HU" w:eastAsia="en-US"/>
        </w:rPr>
      </w:pPr>
      <w:r>
        <w:rPr>
          <w:i/>
          <w:sz w:val="22"/>
          <w:szCs w:val="22"/>
          <w:lang w:val="hu-HU" w:eastAsia="en-US"/>
        </w:rPr>
        <w:t>Májkárosodás</w:t>
      </w:r>
    </w:p>
    <w:p w14:paraId="44AAE7B1" w14:textId="77777777" w:rsidR="00482034" w:rsidRDefault="00FE15A1">
      <w:pPr>
        <w:tabs>
          <w:tab w:val="left" w:pos="567"/>
        </w:tabs>
        <w:rPr>
          <w:sz w:val="22"/>
          <w:szCs w:val="22"/>
          <w:lang w:val="hu-HU" w:eastAsia="en-US"/>
        </w:rPr>
      </w:pPr>
      <w:r>
        <w:rPr>
          <w:sz w:val="22"/>
          <w:szCs w:val="22"/>
          <w:lang w:val="hu-HU" w:eastAsia="en-US"/>
        </w:rPr>
        <w:t>A tapentadol alkalmazása magasabb expozíciót és plazmaszinteket eredményez károsodott májfunkciójú egyénekben, összevetve normál májműködésűekkel. A farmakokinetikai paraméterek arányai összehasonlítva az enyhe és közepes fokú májkárosodásban szenvedő egyéneket a normális májfunkciójúakkal: az AUC értékek esetén 1,7 és 4,2; a C</w:t>
      </w:r>
      <w:r>
        <w:rPr>
          <w:sz w:val="22"/>
          <w:szCs w:val="22"/>
          <w:vertAlign w:val="subscript"/>
          <w:lang w:val="hu-HU" w:eastAsia="en-US"/>
        </w:rPr>
        <w:t>max</w:t>
      </w:r>
      <w:r>
        <w:rPr>
          <w:sz w:val="22"/>
          <w:szCs w:val="22"/>
          <w:lang w:val="hu-HU" w:eastAsia="en-US"/>
        </w:rPr>
        <w:t xml:space="preserve"> értékek esetén 1,4 és 2,5; a t</w:t>
      </w:r>
      <w:r>
        <w:rPr>
          <w:sz w:val="22"/>
          <w:szCs w:val="22"/>
          <w:vertAlign w:val="subscript"/>
          <w:lang w:val="hu-HU" w:eastAsia="en-US"/>
        </w:rPr>
        <w:t>1/2</w:t>
      </w:r>
      <w:r>
        <w:rPr>
          <w:sz w:val="22"/>
          <w:szCs w:val="22"/>
          <w:lang w:val="hu-HU" w:eastAsia="en-US"/>
        </w:rPr>
        <w:t xml:space="preserve"> értékek esetén 1,2 és 1,4. A tapentadol</w:t>
      </w:r>
      <w:r>
        <w:rPr>
          <w:sz w:val="22"/>
          <w:szCs w:val="22"/>
          <w:lang w:val="hu-HU" w:eastAsia="en-US"/>
        </w:rPr>
        <w:noBreakHyphen/>
        <w:t>O</w:t>
      </w:r>
      <w:r>
        <w:rPr>
          <w:sz w:val="22"/>
          <w:szCs w:val="22"/>
          <w:lang w:val="hu-HU" w:eastAsia="en-US"/>
        </w:rPr>
        <w:noBreakHyphen/>
        <w:t>glükoronid forma aránya alacsonyabb súlyosabb fokú májkárosodás esetén.</w:t>
      </w:r>
    </w:p>
    <w:p w14:paraId="6B874046" w14:textId="77777777" w:rsidR="00482034" w:rsidRDefault="00482034">
      <w:pPr>
        <w:tabs>
          <w:tab w:val="left" w:pos="567"/>
        </w:tabs>
        <w:rPr>
          <w:sz w:val="22"/>
          <w:szCs w:val="22"/>
          <w:lang w:val="hu-HU" w:eastAsia="en-US"/>
        </w:rPr>
      </w:pPr>
    </w:p>
    <w:p w14:paraId="3EB9A881" w14:textId="77777777" w:rsidR="00482034" w:rsidRDefault="00FE15A1">
      <w:pPr>
        <w:tabs>
          <w:tab w:val="left" w:pos="567"/>
        </w:tabs>
        <w:rPr>
          <w:i/>
          <w:sz w:val="22"/>
          <w:szCs w:val="22"/>
          <w:lang w:val="hu-HU" w:eastAsia="en-US"/>
        </w:rPr>
      </w:pPr>
      <w:r>
        <w:rPr>
          <w:i/>
          <w:sz w:val="22"/>
          <w:szCs w:val="22"/>
          <w:lang w:val="hu-HU" w:eastAsia="en-US"/>
        </w:rPr>
        <w:t>Farmakokinetikai interakciók</w:t>
      </w:r>
    </w:p>
    <w:p w14:paraId="73822611" w14:textId="77777777" w:rsidR="00482034" w:rsidRDefault="00FE15A1">
      <w:pPr>
        <w:tabs>
          <w:tab w:val="left" w:pos="567"/>
        </w:tabs>
        <w:rPr>
          <w:sz w:val="22"/>
          <w:szCs w:val="22"/>
          <w:lang w:val="hu-HU" w:eastAsia="en-US"/>
        </w:rPr>
      </w:pPr>
      <w:r>
        <w:rPr>
          <w:sz w:val="22"/>
          <w:szCs w:val="22"/>
          <w:lang w:val="hu-HU" w:eastAsia="en-US"/>
        </w:rPr>
        <w:t>A tapentadol metabolizmusának fő útja a glükuronidáció, oxidatív átalakulással csak kis mennyiség metabolizálódik.</w:t>
      </w:r>
    </w:p>
    <w:p w14:paraId="62FB45C5" w14:textId="77777777" w:rsidR="00482034" w:rsidRDefault="00482034">
      <w:pPr>
        <w:tabs>
          <w:tab w:val="left" w:pos="567"/>
        </w:tabs>
        <w:rPr>
          <w:sz w:val="22"/>
          <w:szCs w:val="22"/>
          <w:lang w:val="hu-HU" w:eastAsia="en-US"/>
        </w:rPr>
      </w:pPr>
    </w:p>
    <w:p w14:paraId="5CB09079" w14:textId="77777777" w:rsidR="00482034" w:rsidRDefault="00FE15A1">
      <w:pPr>
        <w:tabs>
          <w:tab w:val="left" w:pos="567"/>
        </w:tabs>
        <w:rPr>
          <w:sz w:val="22"/>
          <w:szCs w:val="22"/>
          <w:lang w:val="hu-HU" w:eastAsia="en-US"/>
        </w:rPr>
      </w:pPr>
      <w:r>
        <w:rPr>
          <w:sz w:val="22"/>
          <w:szCs w:val="22"/>
          <w:lang w:val="hu-HU" w:eastAsia="en-US"/>
        </w:rPr>
        <w:t>Mivel a glükuronidáció nagy kapacitású/alacsony affinitású rendszer, amely nehezen szaturálódik még kóros állapotokban is, és a betegségekben alkalmazott gyógyszerek terápiás dózisai általában jóval a glükuronidációt potenciálisan gátló dózisok alatt vannak, a glükuronidáció miatt kialakuló klinikailag jelentős interakciók valószínűtlenek. Gyógyszer-gyógyszer kölcsönhatás vizsgálatokban értékelték paracetamolt, naproxént, acetilszalicilsavat, probenecidet használva a hatóanyagok lehetséges hatását a tapentadol glükuronidációjára. A vizsgálatok a tapentadol AUC értékének 17%-os, illetve 57%-os emelkedését mutatták naproxen (500 mg naponta kétszer, két napon át), illetve probenecid (500 mg naponta kétszer, két napon át) alkalmazásakor. Összességében a vizsgálatok nem mutatták a tapentadol-plazmakoncentráció klinikailag jelentős változását.</w:t>
      </w:r>
    </w:p>
    <w:p w14:paraId="7CA36019" w14:textId="77777777" w:rsidR="00482034" w:rsidRDefault="00482034">
      <w:pPr>
        <w:tabs>
          <w:tab w:val="left" w:pos="567"/>
        </w:tabs>
        <w:rPr>
          <w:sz w:val="22"/>
          <w:szCs w:val="22"/>
          <w:lang w:val="hu-HU" w:eastAsia="en-US"/>
        </w:rPr>
      </w:pPr>
    </w:p>
    <w:p w14:paraId="22AA9FBC" w14:textId="77777777" w:rsidR="00482034" w:rsidRDefault="00FE15A1">
      <w:pPr>
        <w:tabs>
          <w:tab w:val="left" w:pos="567"/>
        </w:tabs>
        <w:rPr>
          <w:sz w:val="22"/>
          <w:szCs w:val="22"/>
          <w:lang w:val="hu-HU" w:eastAsia="en-US"/>
        </w:rPr>
      </w:pPr>
      <w:r>
        <w:rPr>
          <w:iCs/>
          <w:sz w:val="22"/>
          <w:szCs w:val="22"/>
          <w:lang w:val="hu-HU" w:eastAsia="en-US"/>
        </w:rPr>
        <w:t xml:space="preserve">Továbbá tapentadol és metoklopramid, illetve omeprazol interakciós vizsgálatokat végeztek, hogy a tapentadol felszívódására kifejtett potenciális hatást vizsgálják. </w:t>
      </w:r>
      <w:r>
        <w:rPr>
          <w:sz w:val="22"/>
          <w:szCs w:val="22"/>
          <w:lang w:val="hu-HU" w:eastAsia="en-US"/>
        </w:rPr>
        <w:t>Ezek a vizsgálatok szintén nem mutatták a tapentadol-plazmakoncentráció klinikailag jelentős változását.</w:t>
      </w:r>
    </w:p>
    <w:p w14:paraId="06BEC47F" w14:textId="77777777" w:rsidR="00482034" w:rsidRDefault="00482034">
      <w:pPr>
        <w:tabs>
          <w:tab w:val="left" w:pos="567"/>
        </w:tabs>
        <w:rPr>
          <w:sz w:val="22"/>
          <w:szCs w:val="22"/>
          <w:lang w:val="hu-HU" w:eastAsia="en-US"/>
        </w:rPr>
      </w:pPr>
    </w:p>
    <w:p w14:paraId="5F84DD67" w14:textId="77777777" w:rsidR="00482034" w:rsidRDefault="00FE15A1">
      <w:pPr>
        <w:tabs>
          <w:tab w:val="left" w:pos="567"/>
        </w:tabs>
        <w:rPr>
          <w:sz w:val="22"/>
          <w:szCs w:val="22"/>
          <w:lang w:val="hu-HU" w:eastAsia="en-US"/>
        </w:rPr>
      </w:pPr>
      <w:r>
        <w:rPr>
          <w:i/>
          <w:iCs/>
          <w:sz w:val="22"/>
          <w:szCs w:val="22"/>
          <w:lang w:val="hu-HU" w:eastAsia="en-US"/>
        </w:rPr>
        <w:t xml:space="preserve">In vitro </w:t>
      </w:r>
      <w:r>
        <w:rPr>
          <w:iCs/>
          <w:sz w:val="22"/>
          <w:szCs w:val="22"/>
          <w:lang w:val="hu-HU" w:eastAsia="en-US"/>
        </w:rPr>
        <w:t xml:space="preserve">vizsgálatok nem mutatták ki a tapentadol citokróm P450 enzimekre gátló vagy indukáló </w:t>
      </w:r>
      <w:r>
        <w:rPr>
          <w:sz w:val="22"/>
          <w:szCs w:val="22"/>
          <w:lang w:val="hu-HU" w:eastAsia="en-US"/>
        </w:rPr>
        <w:t>hatását. Következésképpen valószínűtlen a tapentadol és a citokróm P450 rendszer klinikailag jelentős interakciója.</w:t>
      </w:r>
    </w:p>
    <w:p w14:paraId="072EAB23" w14:textId="77777777" w:rsidR="00482034" w:rsidRDefault="00482034">
      <w:pPr>
        <w:tabs>
          <w:tab w:val="left" w:pos="567"/>
        </w:tabs>
        <w:rPr>
          <w:sz w:val="22"/>
          <w:szCs w:val="22"/>
          <w:lang w:val="hu-HU" w:eastAsia="en-US"/>
        </w:rPr>
      </w:pPr>
    </w:p>
    <w:p w14:paraId="246814B7" w14:textId="77777777" w:rsidR="00482034" w:rsidRDefault="00FE15A1">
      <w:pPr>
        <w:tabs>
          <w:tab w:val="left" w:pos="567"/>
        </w:tabs>
        <w:rPr>
          <w:sz w:val="22"/>
          <w:szCs w:val="22"/>
          <w:lang w:val="hu-HU" w:eastAsia="en-US"/>
        </w:rPr>
      </w:pPr>
      <w:r>
        <w:rPr>
          <w:sz w:val="22"/>
          <w:szCs w:val="22"/>
          <w:lang w:val="hu-HU" w:eastAsia="en-US"/>
        </w:rPr>
        <w:t>A tapentadol plazmafehérjékhez való kötődése alacsony (kb. 20%). Ezért rendellenes plazmafehérje-kötődéssel járó farmakokinetikai interakciók valószínűsége alacsony.</w:t>
      </w:r>
    </w:p>
    <w:p w14:paraId="47EF7065" w14:textId="77777777" w:rsidR="00482034" w:rsidRDefault="00482034">
      <w:pPr>
        <w:tabs>
          <w:tab w:val="left" w:pos="567"/>
        </w:tabs>
        <w:rPr>
          <w:sz w:val="22"/>
          <w:szCs w:val="22"/>
          <w:lang w:val="hu-HU" w:eastAsia="en-US"/>
        </w:rPr>
      </w:pPr>
    </w:p>
    <w:p w14:paraId="47B7AA35" w14:textId="77777777" w:rsidR="00482034" w:rsidRDefault="00FE15A1">
      <w:pPr>
        <w:tabs>
          <w:tab w:val="left" w:pos="567"/>
        </w:tabs>
        <w:rPr>
          <w:i/>
          <w:sz w:val="22"/>
          <w:szCs w:val="22"/>
          <w:lang w:val="hu-HU" w:eastAsia="en-US"/>
        </w:rPr>
      </w:pPr>
      <w:r>
        <w:rPr>
          <w:i/>
          <w:sz w:val="22"/>
          <w:szCs w:val="22"/>
          <w:lang w:val="hu-HU" w:eastAsia="en-US"/>
        </w:rPr>
        <w:t>Gyermekek és serdülők</w:t>
      </w:r>
    </w:p>
    <w:p w14:paraId="6C099316" w14:textId="77777777" w:rsidR="00482034" w:rsidRDefault="00482034">
      <w:pPr>
        <w:tabs>
          <w:tab w:val="left" w:pos="567"/>
        </w:tabs>
        <w:rPr>
          <w:i/>
          <w:sz w:val="22"/>
          <w:szCs w:val="22"/>
          <w:lang w:val="hu-HU" w:eastAsia="en-US"/>
        </w:rPr>
      </w:pPr>
    </w:p>
    <w:p w14:paraId="465C990B" w14:textId="77777777" w:rsidR="00482034" w:rsidRDefault="00FE15A1">
      <w:pPr>
        <w:tabs>
          <w:tab w:val="left" w:pos="567"/>
        </w:tabs>
        <w:rPr>
          <w:i/>
          <w:sz w:val="22"/>
          <w:szCs w:val="22"/>
          <w:lang w:val="hu-HU" w:eastAsia="en-US"/>
        </w:rPr>
      </w:pPr>
      <w:r>
        <w:rPr>
          <w:i/>
          <w:sz w:val="22"/>
          <w:szCs w:val="22"/>
          <w:lang w:val="hu-HU" w:eastAsia="en-US"/>
        </w:rPr>
        <w:t>Abszopció</w:t>
      </w:r>
    </w:p>
    <w:p w14:paraId="6968241E" w14:textId="77777777" w:rsidR="00482034" w:rsidRDefault="00FE15A1">
      <w:pPr>
        <w:tabs>
          <w:tab w:val="left" w:pos="567"/>
        </w:tabs>
        <w:rPr>
          <w:sz w:val="22"/>
          <w:szCs w:val="22"/>
          <w:lang w:val="hu-HU" w:eastAsia="en-US"/>
        </w:rPr>
      </w:pPr>
      <w:r>
        <w:rPr>
          <w:sz w:val="22"/>
          <w:szCs w:val="22"/>
          <w:lang w:val="hu-HU" w:eastAsia="en-US"/>
        </w:rPr>
        <w:t>A testtömeg alapú dózismeghatározás eredményeként a tapentadol gyermekeknél és serdülőknél mért átlagos szérumkoncentrációja a felnőtt alanyokban megfigyelt határok között mozgott.</w:t>
      </w:r>
    </w:p>
    <w:p w14:paraId="5B3E8D08" w14:textId="77777777" w:rsidR="00482034" w:rsidRDefault="00482034">
      <w:pPr>
        <w:tabs>
          <w:tab w:val="left" w:pos="567"/>
        </w:tabs>
        <w:rPr>
          <w:sz w:val="22"/>
          <w:szCs w:val="22"/>
          <w:lang w:val="hu-HU" w:eastAsia="en-US"/>
        </w:rPr>
      </w:pPr>
    </w:p>
    <w:p w14:paraId="09B54899" w14:textId="77777777" w:rsidR="00482034" w:rsidRDefault="00FE15A1">
      <w:pPr>
        <w:keepNext/>
        <w:tabs>
          <w:tab w:val="left" w:pos="567"/>
        </w:tabs>
        <w:rPr>
          <w:i/>
          <w:sz w:val="22"/>
          <w:szCs w:val="22"/>
          <w:lang w:val="hu-HU" w:eastAsia="en-US"/>
        </w:rPr>
      </w:pPr>
      <w:r>
        <w:rPr>
          <w:i/>
          <w:sz w:val="22"/>
          <w:szCs w:val="22"/>
          <w:lang w:val="hu-HU" w:eastAsia="en-US"/>
        </w:rPr>
        <w:t>Táplálékkal kapcsolatos hatások</w:t>
      </w:r>
    </w:p>
    <w:p w14:paraId="0AAEBD26" w14:textId="77777777" w:rsidR="00482034" w:rsidRDefault="00FE15A1">
      <w:pPr>
        <w:tabs>
          <w:tab w:val="left" w:pos="567"/>
        </w:tabs>
        <w:rPr>
          <w:sz w:val="22"/>
          <w:szCs w:val="22"/>
          <w:lang w:val="hu-HU" w:eastAsia="en-US"/>
        </w:rPr>
      </w:pPr>
      <w:r>
        <w:rPr>
          <w:sz w:val="22"/>
          <w:szCs w:val="22"/>
          <w:lang w:val="hu-HU" w:eastAsia="en-US"/>
        </w:rPr>
        <w:t>Gyermekeknél és serdülőknél nem végeztek külön élelmiszerhatás vizsgálatot. A II./III. fázisú vizsgálatok során étkezéstől függetlenül adták gyermekeknek és serdülőknek a tapentadolt. A gyermekek és serdülők vizsgálata során szerzett hatásossági adatok alapján az étkezésnek nincsen klinikai relevanciája. Az Adoben bevehető étkezés közben vagy attól függetlenül.</w:t>
      </w:r>
    </w:p>
    <w:p w14:paraId="6C9B0AAE" w14:textId="77777777" w:rsidR="00482034" w:rsidRDefault="00482034">
      <w:pPr>
        <w:tabs>
          <w:tab w:val="left" w:pos="567"/>
        </w:tabs>
        <w:rPr>
          <w:sz w:val="22"/>
          <w:szCs w:val="22"/>
          <w:lang w:val="hu-HU" w:eastAsia="en-US"/>
        </w:rPr>
      </w:pPr>
    </w:p>
    <w:p w14:paraId="12F5B80A" w14:textId="77777777" w:rsidR="00482034" w:rsidRDefault="00FE15A1">
      <w:pPr>
        <w:tabs>
          <w:tab w:val="left" w:pos="567"/>
        </w:tabs>
        <w:rPr>
          <w:i/>
          <w:sz w:val="22"/>
          <w:szCs w:val="22"/>
          <w:lang w:val="hu-HU" w:eastAsia="en-US"/>
        </w:rPr>
      </w:pPr>
      <w:r>
        <w:rPr>
          <w:i/>
          <w:sz w:val="22"/>
          <w:szCs w:val="22"/>
          <w:lang w:val="hu-HU" w:eastAsia="en-US"/>
        </w:rPr>
        <w:t>Eloszlás</w:t>
      </w:r>
    </w:p>
    <w:p w14:paraId="77A210CD" w14:textId="77777777" w:rsidR="00482034" w:rsidRDefault="00FE15A1">
      <w:pPr>
        <w:tabs>
          <w:tab w:val="left" w:pos="567"/>
        </w:tabs>
        <w:rPr>
          <w:sz w:val="22"/>
          <w:szCs w:val="22"/>
          <w:lang w:val="en-GB" w:eastAsia="en-US"/>
        </w:rPr>
      </w:pPr>
      <w:r>
        <w:rPr>
          <w:sz w:val="22"/>
          <w:szCs w:val="22"/>
          <w:lang w:val="hu-HU" w:eastAsia="en-US"/>
        </w:rPr>
        <w:t>A populáció farmakokinetikai analízise alapján, szájon át történő alkalmazás után a tapentadol látszólagos eloszlási térfogatának (V/F) átlaga (</w:t>
      </w:r>
      <w:r>
        <w:rPr>
          <w:sz w:val="22"/>
          <w:szCs w:val="22"/>
          <w:lang w:val="en-GB" w:eastAsia="en-US"/>
        </w:rPr>
        <w:t>± SD) 6-12 év közötti gyermekeknél 528 l (± 227 l), míg 12-18 év közötti gyermekeknél és serdülőknél 795 l (±</w:t>
      </w:r>
      <w:r>
        <w:t> </w:t>
      </w:r>
      <w:r>
        <w:rPr>
          <w:sz w:val="22"/>
          <w:szCs w:val="22"/>
          <w:lang w:val="en-GB" w:eastAsia="en-US"/>
        </w:rPr>
        <w:t>220 l) volt.</w:t>
      </w:r>
    </w:p>
    <w:p w14:paraId="1F6B7904" w14:textId="77777777" w:rsidR="00482034" w:rsidRDefault="00482034">
      <w:pPr>
        <w:tabs>
          <w:tab w:val="left" w:pos="567"/>
        </w:tabs>
        <w:rPr>
          <w:sz w:val="22"/>
          <w:szCs w:val="22"/>
          <w:lang w:val="en-GB" w:eastAsia="en-US"/>
        </w:rPr>
      </w:pPr>
    </w:p>
    <w:p w14:paraId="790E61B2" w14:textId="77777777" w:rsidR="00482034" w:rsidRDefault="00FE15A1">
      <w:pPr>
        <w:tabs>
          <w:tab w:val="left" w:pos="567"/>
        </w:tabs>
        <w:rPr>
          <w:i/>
          <w:sz w:val="22"/>
          <w:szCs w:val="22"/>
          <w:lang w:val="hu-HU" w:eastAsia="en-US"/>
        </w:rPr>
      </w:pPr>
      <w:r>
        <w:rPr>
          <w:i/>
          <w:sz w:val="22"/>
          <w:szCs w:val="22"/>
          <w:lang w:val="hu-HU" w:eastAsia="en-US"/>
        </w:rPr>
        <w:t>Biotranszformáció</w:t>
      </w:r>
    </w:p>
    <w:p w14:paraId="37C6E24D" w14:textId="77777777" w:rsidR="00482034" w:rsidRDefault="00FE15A1">
      <w:pPr>
        <w:tabs>
          <w:tab w:val="left" w:pos="567"/>
        </w:tabs>
        <w:rPr>
          <w:sz w:val="22"/>
          <w:szCs w:val="22"/>
          <w:lang w:val="hu-HU" w:eastAsia="en-US"/>
        </w:rPr>
      </w:pPr>
      <w:r>
        <w:rPr>
          <w:sz w:val="22"/>
          <w:szCs w:val="22"/>
          <w:lang w:val="hu-HU" w:eastAsia="en-US"/>
        </w:rPr>
        <w:t>Emberben a tapentadol nagymértékben metabolizálódik 5 hónapos vagy annál idősebb korban.</w:t>
      </w:r>
    </w:p>
    <w:p w14:paraId="63E46888" w14:textId="77777777" w:rsidR="00482034" w:rsidRDefault="00482034">
      <w:pPr>
        <w:tabs>
          <w:tab w:val="left" w:pos="567"/>
        </w:tabs>
        <w:rPr>
          <w:sz w:val="22"/>
          <w:szCs w:val="22"/>
          <w:lang w:val="hu-HU" w:eastAsia="en-US"/>
        </w:rPr>
      </w:pPr>
    </w:p>
    <w:p w14:paraId="4C8B0AF6" w14:textId="77777777" w:rsidR="00482034" w:rsidRDefault="00FE15A1">
      <w:pPr>
        <w:tabs>
          <w:tab w:val="left" w:pos="567"/>
        </w:tabs>
        <w:rPr>
          <w:i/>
          <w:sz w:val="22"/>
          <w:szCs w:val="22"/>
          <w:lang w:val="hu-HU" w:eastAsia="en-US"/>
        </w:rPr>
      </w:pPr>
      <w:r>
        <w:rPr>
          <w:i/>
          <w:sz w:val="22"/>
          <w:szCs w:val="22"/>
          <w:lang w:val="hu-HU" w:eastAsia="en-US"/>
        </w:rPr>
        <w:t>Elimináció</w:t>
      </w:r>
    </w:p>
    <w:p w14:paraId="0D306C3E" w14:textId="77777777" w:rsidR="00482034" w:rsidRDefault="00FE15A1">
      <w:pPr>
        <w:rPr>
          <w:sz w:val="22"/>
          <w:szCs w:val="22"/>
          <w:lang w:val="en-GB" w:eastAsia="en-US"/>
        </w:rPr>
      </w:pPr>
      <w:r>
        <w:rPr>
          <w:sz w:val="22"/>
          <w:szCs w:val="22"/>
          <w:lang w:val="hu-HU" w:eastAsia="en-US"/>
        </w:rPr>
        <w:t>A populáció farmakokinetikai analízise alapján, szájon át történő alkalmazás után a tapentadol látszólagos orális clearance-ének (CL/F) átlaga (</w:t>
      </w:r>
      <w:r>
        <w:rPr>
          <w:sz w:val="22"/>
          <w:szCs w:val="22"/>
          <w:lang w:val="en-GB" w:eastAsia="en-US"/>
        </w:rPr>
        <w:t>± SD) 6-12 év közötti gyermekekben 135 l/óra (± 51 l/óra), míg 12-18 év közötti gyermekeknél és serdülőknél 180 l/óra (± 45 l/óra) volt.</w:t>
      </w:r>
    </w:p>
    <w:p w14:paraId="15B53714" w14:textId="77777777" w:rsidR="00482034" w:rsidRDefault="00482034">
      <w:pPr>
        <w:rPr>
          <w:sz w:val="22"/>
          <w:szCs w:val="22"/>
          <w:lang w:val="en-GB" w:eastAsia="en-US"/>
        </w:rPr>
      </w:pPr>
    </w:p>
    <w:p w14:paraId="640EC8B7" w14:textId="77777777" w:rsidR="00482034" w:rsidRDefault="00FE15A1">
      <w:pPr>
        <w:tabs>
          <w:tab w:val="left" w:pos="567"/>
        </w:tabs>
        <w:rPr>
          <w:bCs/>
          <w:i/>
          <w:sz w:val="22"/>
          <w:szCs w:val="22"/>
          <w:lang w:val="hu-HU" w:eastAsia="en-US"/>
        </w:rPr>
      </w:pPr>
      <w:r>
        <w:rPr>
          <w:bCs/>
          <w:i/>
          <w:sz w:val="22"/>
          <w:szCs w:val="22"/>
          <w:lang w:val="hu-HU" w:eastAsia="en-US"/>
        </w:rPr>
        <w:t>Különleges betegcsoportok</w:t>
      </w:r>
    </w:p>
    <w:p w14:paraId="2636F524" w14:textId="77777777" w:rsidR="00482034" w:rsidRDefault="00FE15A1">
      <w:pPr>
        <w:tabs>
          <w:tab w:val="left" w:pos="567"/>
        </w:tabs>
        <w:rPr>
          <w:i/>
          <w:sz w:val="22"/>
          <w:szCs w:val="22"/>
          <w:lang w:val="hu-HU" w:eastAsia="en-US"/>
        </w:rPr>
      </w:pPr>
      <w:r>
        <w:rPr>
          <w:bCs/>
          <w:i/>
          <w:sz w:val="22"/>
          <w:szCs w:val="22"/>
          <w:lang w:val="hu-HU" w:eastAsia="en-US"/>
        </w:rPr>
        <w:t>Vese- és májkárosodás</w:t>
      </w:r>
    </w:p>
    <w:p w14:paraId="256725B2" w14:textId="77777777" w:rsidR="00482034" w:rsidRDefault="00FE15A1">
      <w:pPr>
        <w:rPr>
          <w:sz w:val="22"/>
          <w:szCs w:val="22"/>
          <w:lang w:val="en-GB" w:eastAsia="en-US"/>
        </w:rPr>
      </w:pPr>
      <w:r>
        <w:rPr>
          <w:sz w:val="22"/>
          <w:szCs w:val="22"/>
          <w:lang w:val="en-GB" w:eastAsia="en-US"/>
        </w:rPr>
        <w:t>Az Adobent nem vizsgálták vese- és májkárosodással élő gyermekek és serdülők esetén.</w:t>
      </w:r>
    </w:p>
    <w:p w14:paraId="011DD950" w14:textId="77777777" w:rsidR="00482034" w:rsidRDefault="00482034">
      <w:pPr>
        <w:rPr>
          <w:sz w:val="22"/>
          <w:szCs w:val="22"/>
          <w:lang w:val="en-GB" w:eastAsia="en-US"/>
        </w:rPr>
      </w:pPr>
    </w:p>
    <w:p w14:paraId="712675A7" w14:textId="77777777" w:rsidR="00482034" w:rsidRDefault="00FE15A1">
      <w:pPr>
        <w:tabs>
          <w:tab w:val="left" w:pos="567"/>
        </w:tabs>
        <w:rPr>
          <w:i/>
          <w:sz w:val="22"/>
          <w:szCs w:val="22"/>
          <w:lang w:val="hu-HU" w:eastAsia="en-US"/>
        </w:rPr>
      </w:pPr>
      <w:r>
        <w:rPr>
          <w:i/>
          <w:sz w:val="22"/>
          <w:szCs w:val="22"/>
          <w:lang w:val="hu-HU" w:eastAsia="en-US"/>
        </w:rPr>
        <w:t>Farmakokinetikai interakciók</w:t>
      </w:r>
    </w:p>
    <w:p w14:paraId="6B7C6C38" w14:textId="77777777" w:rsidR="00482034" w:rsidRDefault="00FE15A1">
      <w:pPr>
        <w:rPr>
          <w:sz w:val="22"/>
          <w:szCs w:val="22"/>
          <w:lang w:val="en-GB" w:eastAsia="en-US"/>
        </w:rPr>
      </w:pPr>
      <w:r>
        <w:rPr>
          <w:sz w:val="22"/>
          <w:szCs w:val="22"/>
          <w:lang w:val="en-GB" w:eastAsia="en-US"/>
        </w:rPr>
        <w:t>Nem végeztek gyermekekre és serdülőkre irányuló gyógyszer-gyógyszer interakciós vizsgálatokat.</w:t>
      </w:r>
    </w:p>
    <w:p w14:paraId="1F50A2F2" w14:textId="77777777" w:rsidR="00482034" w:rsidRDefault="00482034">
      <w:pPr>
        <w:rPr>
          <w:b/>
          <w:sz w:val="22"/>
          <w:szCs w:val="22"/>
          <w:lang w:val="hu-HU" w:eastAsia="en-US"/>
        </w:rPr>
      </w:pPr>
    </w:p>
    <w:p w14:paraId="7387E877" w14:textId="77777777" w:rsidR="00482034" w:rsidRDefault="00FE15A1">
      <w:pPr>
        <w:tabs>
          <w:tab w:val="left" w:pos="567"/>
        </w:tabs>
        <w:rPr>
          <w:b/>
          <w:sz w:val="22"/>
          <w:szCs w:val="22"/>
          <w:lang w:val="hu-HU" w:eastAsia="en-US"/>
        </w:rPr>
      </w:pPr>
      <w:r>
        <w:rPr>
          <w:b/>
          <w:sz w:val="22"/>
          <w:szCs w:val="22"/>
          <w:lang w:val="hu-HU" w:eastAsia="en-US"/>
        </w:rPr>
        <w:t>5.3</w:t>
      </w:r>
      <w:r>
        <w:rPr>
          <w:b/>
          <w:sz w:val="22"/>
          <w:szCs w:val="22"/>
          <w:lang w:val="hu-HU" w:eastAsia="en-US"/>
        </w:rPr>
        <w:tab/>
        <w:t>A preklinikai biztonságossági vizsgálatok eredményei</w:t>
      </w:r>
    </w:p>
    <w:p w14:paraId="3FEE132B" w14:textId="77777777" w:rsidR="00482034" w:rsidRDefault="00482034">
      <w:pPr>
        <w:tabs>
          <w:tab w:val="left" w:pos="567"/>
        </w:tabs>
        <w:rPr>
          <w:b/>
          <w:sz w:val="22"/>
          <w:szCs w:val="22"/>
          <w:lang w:val="hu-HU" w:eastAsia="en-US"/>
        </w:rPr>
      </w:pPr>
    </w:p>
    <w:p w14:paraId="2B622EDD" w14:textId="77777777" w:rsidR="00482034" w:rsidRDefault="00FE15A1">
      <w:pPr>
        <w:tabs>
          <w:tab w:val="left" w:pos="567"/>
        </w:tabs>
        <w:rPr>
          <w:sz w:val="22"/>
          <w:szCs w:val="22"/>
          <w:lang w:val="hu-HU" w:eastAsia="en-US"/>
        </w:rPr>
      </w:pPr>
      <w:r>
        <w:rPr>
          <w:sz w:val="22"/>
          <w:szCs w:val="22"/>
          <w:lang w:val="hu-HU" w:eastAsia="en-US"/>
        </w:rPr>
        <w:t xml:space="preserve">A tapentadol baktériumban, Ames-teszttel vizsgálva nem genotoxikus. Nem egyértelmű eredményeket észleltek egy </w:t>
      </w:r>
      <w:r>
        <w:rPr>
          <w:i/>
          <w:sz w:val="22"/>
          <w:szCs w:val="22"/>
          <w:lang w:val="hu-HU" w:eastAsia="en-US"/>
        </w:rPr>
        <w:t>in vitro</w:t>
      </w:r>
      <w:r>
        <w:rPr>
          <w:sz w:val="22"/>
          <w:szCs w:val="22"/>
          <w:lang w:val="hu-HU" w:eastAsia="en-US"/>
        </w:rPr>
        <w:t xml:space="preserve"> kromoszómaaberrációs teszt alkalmával, de a megismételt teszt eredménye egyértelműen negatív volt. A tapentadol nem genotoxikus a maximális tolerálható dózisig vizsgálva </w:t>
      </w:r>
      <w:r>
        <w:rPr>
          <w:i/>
          <w:sz w:val="22"/>
          <w:szCs w:val="22"/>
          <w:lang w:val="hu-HU" w:eastAsia="en-US"/>
        </w:rPr>
        <w:t>in vivo</w:t>
      </w:r>
      <w:r>
        <w:rPr>
          <w:sz w:val="22"/>
          <w:szCs w:val="22"/>
          <w:lang w:val="hu-HU" w:eastAsia="en-US"/>
        </w:rPr>
        <w:t xml:space="preserve"> két végpontos kromoszóma aberrációs, illetve </w:t>
      </w:r>
      <w:r>
        <w:rPr>
          <w:rFonts w:ascii="TimesNewRomanPSMT" w:hAnsi="TimesNewRomanPSMT" w:cs="TimesNewRomanPSMT"/>
          <w:sz w:val="22"/>
          <w:szCs w:val="22"/>
          <w:lang w:val="hu-HU" w:eastAsia="zh-CN"/>
        </w:rPr>
        <w:t xml:space="preserve">nem tervezett DNS-szintézis assay vizsgálatokkal. </w:t>
      </w:r>
      <w:r>
        <w:rPr>
          <w:sz w:val="22"/>
          <w:szCs w:val="22"/>
          <w:lang w:val="hu-HU" w:eastAsia="en-US"/>
        </w:rPr>
        <w:t>Hosszú távú állatkísérletek nem mutattak potenciális humán karcinogén kockázatot.</w:t>
      </w:r>
    </w:p>
    <w:p w14:paraId="70ACB0BE" w14:textId="77777777" w:rsidR="00482034" w:rsidRDefault="00482034">
      <w:pPr>
        <w:tabs>
          <w:tab w:val="left" w:pos="567"/>
        </w:tabs>
        <w:rPr>
          <w:sz w:val="22"/>
          <w:szCs w:val="22"/>
          <w:lang w:val="hu-HU" w:eastAsia="en-US"/>
        </w:rPr>
      </w:pPr>
    </w:p>
    <w:p w14:paraId="2C056EC6" w14:textId="77777777" w:rsidR="00482034" w:rsidRDefault="00FE15A1">
      <w:pPr>
        <w:tabs>
          <w:tab w:val="left" w:pos="567"/>
        </w:tabs>
        <w:rPr>
          <w:sz w:val="22"/>
          <w:szCs w:val="22"/>
          <w:lang w:val="hu-HU" w:eastAsia="en-US"/>
        </w:rPr>
      </w:pPr>
      <w:r>
        <w:rPr>
          <w:sz w:val="22"/>
          <w:szCs w:val="22"/>
          <w:lang w:val="hu-HU" w:eastAsia="en-US"/>
        </w:rPr>
        <w:t>A tapentadol nincs hatással a patkányok fertilitására, függetlenül azok nemétől, ugyanakkor magas dózisoknál csökkent intrauterin túlélést figyeltek meg. Nem ismert, hogy ez a hatás melyik nem által közvetített folyamat. A tapentadol intravénás és szubkután alkalmazás során nem mutatott teratogén hatást patkányon és nyúlon. Azonban késleltetett fejlődést és embriotoxicitást figyeltek meg, fokozott farmakológiai hatást eredményező dózisokban alkalmazva (a terápiás tartományt meghaladó dózisok</w:t>
      </w:r>
      <w:r>
        <w:rPr>
          <w:sz w:val="22"/>
          <w:szCs w:val="22"/>
          <w:lang w:val="hu-HU" w:eastAsia="de-DE"/>
        </w:rPr>
        <w:t xml:space="preserve"> mű</w:t>
      </w:r>
      <w:r>
        <w:rPr>
          <w:sz w:val="22"/>
          <w:szCs w:val="22"/>
          <w:lang w:val="hu-HU" w:eastAsia="de-DE"/>
        </w:rPr>
        <w:noBreakHyphen/>
        <w:t>opioiddal összefüggő központi idegrendszeri hatásai)</w:t>
      </w:r>
      <w:r>
        <w:rPr>
          <w:sz w:val="22"/>
          <w:szCs w:val="22"/>
          <w:lang w:val="hu-HU" w:eastAsia="en-US"/>
        </w:rPr>
        <w:t>. Intravénás alkalmazást követően csökkent intrauterin túlélést tapasztaltak patkánynál. A tapentadolt a nőstény patkányra nem toxikus dózisban alkalmazva, a születést követő 1</w:t>
      </w:r>
      <w:r>
        <w:rPr>
          <w:sz w:val="22"/>
          <w:szCs w:val="22"/>
          <w:lang w:val="hu-HU" w:eastAsia="en-US"/>
        </w:rPr>
        <w:noBreakHyphen/>
        <w:t>4 napon anyatejjel exponált F1 patkánykölykök növekedett halálozását okozta. Nem mutattak ki hatást az idegi-viselkedési paraméterekre.</w:t>
      </w:r>
    </w:p>
    <w:p w14:paraId="67775E3F" w14:textId="77777777" w:rsidR="00482034" w:rsidRDefault="00482034">
      <w:pPr>
        <w:tabs>
          <w:tab w:val="left" w:pos="567"/>
        </w:tabs>
        <w:rPr>
          <w:sz w:val="22"/>
          <w:szCs w:val="22"/>
          <w:lang w:val="hu-HU" w:eastAsia="en-US"/>
        </w:rPr>
      </w:pPr>
    </w:p>
    <w:p w14:paraId="69677931" w14:textId="77777777" w:rsidR="00482034" w:rsidRDefault="00FE15A1">
      <w:pPr>
        <w:tabs>
          <w:tab w:val="left" w:pos="567"/>
        </w:tabs>
        <w:rPr>
          <w:sz w:val="22"/>
          <w:szCs w:val="22"/>
          <w:lang w:val="hu-HU" w:eastAsia="en-US"/>
        </w:rPr>
      </w:pPr>
      <w:r>
        <w:rPr>
          <w:sz w:val="22"/>
          <w:szCs w:val="22"/>
          <w:lang w:val="hu-HU" w:eastAsia="en-US"/>
        </w:rPr>
        <w:t>Anyatejjel táplált patkánykölykökön vizsgálták a tapentadol kiválasztódását az anyatejbe. A szoptatott kölykök dózisarányosan terhelődtek tapentadollal és tapentadol-O-glükoroniddal. A következtetések szerint a tapentadol kiválasztódik az anyatejbe.</w:t>
      </w:r>
    </w:p>
    <w:p w14:paraId="41A132A1" w14:textId="77777777" w:rsidR="00482034" w:rsidRDefault="00482034">
      <w:pPr>
        <w:tabs>
          <w:tab w:val="left" w:pos="567"/>
        </w:tabs>
        <w:rPr>
          <w:sz w:val="22"/>
          <w:szCs w:val="22"/>
          <w:lang w:val="hu-HU" w:eastAsia="en-US"/>
        </w:rPr>
      </w:pPr>
    </w:p>
    <w:p w14:paraId="60201E8E" w14:textId="77777777" w:rsidR="00482034" w:rsidRDefault="00FE15A1">
      <w:pPr>
        <w:tabs>
          <w:tab w:val="left" w:pos="567"/>
        </w:tabs>
        <w:rPr>
          <w:sz w:val="22"/>
          <w:szCs w:val="22"/>
          <w:lang w:val="en-GB" w:eastAsia="en-US"/>
        </w:rPr>
      </w:pPr>
      <w:r>
        <w:rPr>
          <w:sz w:val="22"/>
          <w:szCs w:val="22"/>
          <w:lang w:val="hu-HU" w:eastAsia="en-US"/>
        </w:rPr>
        <w:t xml:space="preserve">Juvenilis patkányokat kezeltek az ellést követő 6-90 napon át, mely periódus lefedi a humán csecsemőkort, gyermek- és serdülőkort. A mortalitás számszerűen magasabb előfordulása volt megfigyelhető a kezelés első 3 napja alatt </w:t>
      </w:r>
      <w:r>
        <w:rPr>
          <w:sz w:val="22"/>
          <w:szCs w:val="22"/>
          <w:lang w:val="en-GB" w:eastAsia="en-US"/>
        </w:rPr>
        <w:t>≥ 25 mg/ttkg napi dózis mellett, a tapentadol plazmaexpozíciója a legalacsonyabb megfigyelt káros hatás szintjén (LOAEL) a gyermekeknél előre jelzett klinikai plazmaexpozícióhoz hasonlítható. A 10 naposnál idősebb kölykök jól tolerálták a tapentadolt. Nem mutattak ki a testtömegre, a táplálkozásra, az elválasztás előtti fejlődésre vagy a reprodukcióra, a hosszú csontok növekedésére, a motoros aktivitásra, a viselkedésre vagy tanulásra és a memóriára gyakorolt klinikai tüneteket, melyek a kezeléssel összefüggésbe hozhatóak lennének. A szervek tömegére, a makroszkópikus és mikroszkópikus vizsgálatok sem mutattak ki a kezeléssel összefüggésbe hozható változásokat. A tapentadol nem volt hatással az ivarérésre, a párzásra és a vemhességi paraméterekre a kezelt állatokban.</w:t>
      </w:r>
    </w:p>
    <w:p w14:paraId="4B412625" w14:textId="77777777" w:rsidR="00482034" w:rsidRDefault="00482034">
      <w:pPr>
        <w:tabs>
          <w:tab w:val="left" w:pos="567"/>
        </w:tabs>
        <w:rPr>
          <w:sz w:val="22"/>
          <w:szCs w:val="22"/>
          <w:lang w:val="hu-HU" w:eastAsia="en-US"/>
        </w:rPr>
      </w:pPr>
    </w:p>
    <w:p w14:paraId="1D613D40" w14:textId="77777777" w:rsidR="00482034" w:rsidRDefault="00482034">
      <w:pPr>
        <w:tabs>
          <w:tab w:val="left" w:pos="567"/>
        </w:tabs>
        <w:rPr>
          <w:sz w:val="22"/>
          <w:szCs w:val="22"/>
          <w:lang w:val="hu-HU" w:eastAsia="en-US"/>
        </w:rPr>
      </w:pPr>
    </w:p>
    <w:p w14:paraId="367771A1" w14:textId="77777777" w:rsidR="00482034" w:rsidRDefault="00FE15A1">
      <w:pPr>
        <w:tabs>
          <w:tab w:val="left" w:pos="567"/>
        </w:tabs>
        <w:outlineLvl w:val="0"/>
        <w:rPr>
          <w:b/>
          <w:caps/>
          <w:sz w:val="22"/>
          <w:szCs w:val="22"/>
          <w:lang w:val="hu-HU" w:eastAsia="en-US"/>
        </w:rPr>
      </w:pPr>
      <w:r>
        <w:rPr>
          <w:b/>
          <w:bCs/>
          <w:caps/>
          <w:sz w:val="22"/>
          <w:szCs w:val="22"/>
          <w:lang w:val="hu-HU" w:eastAsia="en-US"/>
        </w:rPr>
        <w:t>6.</w:t>
      </w:r>
      <w:r>
        <w:rPr>
          <w:b/>
          <w:bCs/>
          <w:caps/>
          <w:sz w:val="22"/>
          <w:szCs w:val="22"/>
          <w:lang w:val="hu-HU" w:eastAsia="en-US"/>
        </w:rPr>
        <w:tab/>
      </w:r>
      <w:r>
        <w:rPr>
          <w:b/>
          <w:caps/>
          <w:sz w:val="22"/>
          <w:szCs w:val="22"/>
          <w:lang w:val="hu-HU" w:eastAsia="en-US"/>
        </w:rPr>
        <w:t>GYÓGYSZERÉSZETI JELLEMZŐK</w:t>
      </w:r>
    </w:p>
    <w:p w14:paraId="1F4EFBDE" w14:textId="77777777" w:rsidR="00482034" w:rsidRDefault="00482034">
      <w:pPr>
        <w:tabs>
          <w:tab w:val="left" w:pos="567"/>
        </w:tabs>
        <w:rPr>
          <w:sz w:val="22"/>
          <w:szCs w:val="22"/>
          <w:lang w:val="hu-HU" w:eastAsia="en-US"/>
        </w:rPr>
      </w:pPr>
    </w:p>
    <w:p w14:paraId="342126FA" w14:textId="77777777" w:rsidR="00482034" w:rsidRDefault="00FE15A1">
      <w:pPr>
        <w:tabs>
          <w:tab w:val="left" w:pos="567"/>
        </w:tabs>
        <w:rPr>
          <w:b/>
          <w:sz w:val="22"/>
          <w:szCs w:val="22"/>
          <w:lang w:val="hu-HU" w:eastAsia="en-US"/>
        </w:rPr>
      </w:pPr>
      <w:r>
        <w:rPr>
          <w:b/>
          <w:sz w:val="22"/>
          <w:szCs w:val="22"/>
          <w:lang w:val="hu-HU" w:eastAsia="en-US"/>
        </w:rPr>
        <w:t>6.1</w:t>
      </w:r>
      <w:r>
        <w:rPr>
          <w:b/>
          <w:sz w:val="22"/>
          <w:szCs w:val="22"/>
          <w:lang w:val="hu-HU" w:eastAsia="en-US"/>
        </w:rPr>
        <w:tab/>
        <w:t>Segédanyagok felsorolása</w:t>
      </w:r>
    </w:p>
    <w:p w14:paraId="76E1088D" w14:textId="77777777" w:rsidR="00482034" w:rsidRDefault="00482034">
      <w:pPr>
        <w:tabs>
          <w:tab w:val="left" w:pos="567"/>
        </w:tabs>
        <w:rPr>
          <w:sz w:val="22"/>
          <w:szCs w:val="22"/>
          <w:lang w:val="hu-HU" w:eastAsia="en-US"/>
        </w:rPr>
      </w:pPr>
    </w:p>
    <w:p w14:paraId="32121138" w14:textId="77777777" w:rsidR="00482034" w:rsidRDefault="00FE15A1">
      <w:pPr>
        <w:tabs>
          <w:tab w:val="left" w:pos="567"/>
        </w:tabs>
        <w:rPr>
          <w:sz w:val="22"/>
          <w:szCs w:val="22"/>
          <w:u w:val="single"/>
          <w:lang w:val="hu-HU" w:eastAsia="en-US"/>
        </w:rPr>
      </w:pPr>
      <w:r>
        <w:rPr>
          <w:sz w:val="22"/>
          <w:szCs w:val="22"/>
          <w:u w:val="single"/>
          <w:lang w:val="hu-HU" w:eastAsia="en-US"/>
        </w:rPr>
        <w:t>Tablettamag:</w:t>
      </w:r>
    </w:p>
    <w:p w14:paraId="7A2B5EE4" w14:textId="77777777" w:rsidR="00482034" w:rsidRDefault="00FE15A1">
      <w:pPr>
        <w:tabs>
          <w:tab w:val="left" w:pos="567"/>
        </w:tabs>
        <w:rPr>
          <w:sz w:val="22"/>
          <w:szCs w:val="22"/>
          <w:lang w:val="hu-HU" w:eastAsia="en-US"/>
        </w:rPr>
      </w:pPr>
      <w:r>
        <w:rPr>
          <w:sz w:val="22"/>
          <w:szCs w:val="22"/>
          <w:lang w:val="hu-HU" w:eastAsia="en-US"/>
        </w:rPr>
        <w:t>hipromellóz</w:t>
      </w:r>
    </w:p>
    <w:p w14:paraId="6CE450F4" w14:textId="77777777" w:rsidR="00482034" w:rsidRDefault="00FE15A1">
      <w:pPr>
        <w:tabs>
          <w:tab w:val="left" w:pos="567"/>
        </w:tabs>
        <w:rPr>
          <w:sz w:val="22"/>
          <w:szCs w:val="22"/>
          <w:lang w:val="hu-HU" w:eastAsia="de-DE"/>
        </w:rPr>
      </w:pPr>
      <w:r>
        <w:rPr>
          <w:sz w:val="22"/>
          <w:szCs w:val="22"/>
          <w:lang w:val="hu-HU" w:eastAsia="de-DE"/>
        </w:rPr>
        <w:t>mikrokristályos cellulóz</w:t>
      </w:r>
    </w:p>
    <w:p w14:paraId="0E0291DC" w14:textId="77777777" w:rsidR="00482034" w:rsidRDefault="00FE15A1">
      <w:pPr>
        <w:tabs>
          <w:tab w:val="left" w:pos="567"/>
        </w:tabs>
        <w:rPr>
          <w:sz w:val="22"/>
          <w:szCs w:val="22"/>
          <w:lang w:val="hu-HU" w:eastAsia="de-DE"/>
        </w:rPr>
      </w:pPr>
      <w:r>
        <w:rPr>
          <w:sz w:val="22"/>
          <w:szCs w:val="22"/>
          <w:lang w:val="hu-HU" w:eastAsia="de-DE"/>
        </w:rPr>
        <w:t>vízmentes kolloid szilícium-dioxid</w:t>
      </w:r>
    </w:p>
    <w:p w14:paraId="13A26A15" w14:textId="77777777" w:rsidR="00482034" w:rsidRDefault="00FE15A1">
      <w:pPr>
        <w:tabs>
          <w:tab w:val="left" w:pos="567"/>
        </w:tabs>
        <w:rPr>
          <w:sz w:val="22"/>
          <w:szCs w:val="22"/>
          <w:lang w:val="hu-HU" w:eastAsia="en-US"/>
        </w:rPr>
      </w:pPr>
      <w:r>
        <w:rPr>
          <w:sz w:val="22"/>
          <w:szCs w:val="22"/>
          <w:lang w:val="hu-HU" w:eastAsia="en-US"/>
        </w:rPr>
        <w:t xml:space="preserve">magnézium-sztearát </w:t>
      </w:r>
    </w:p>
    <w:p w14:paraId="58CC7434" w14:textId="77777777" w:rsidR="00482034" w:rsidRDefault="00482034">
      <w:pPr>
        <w:tabs>
          <w:tab w:val="left" w:pos="567"/>
        </w:tabs>
        <w:rPr>
          <w:sz w:val="22"/>
          <w:szCs w:val="22"/>
          <w:lang w:val="hu-HU" w:eastAsia="en-US"/>
        </w:rPr>
      </w:pPr>
    </w:p>
    <w:p w14:paraId="3692E128" w14:textId="77777777" w:rsidR="00482034" w:rsidRDefault="00FE15A1">
      <w:pPr>
        <w:tabs>
          <w:tab w:val="left" w:pos="567"/>
        </w:tabs>
        <w:rPr>
          <w:sz w:val="22"/>
          <w:szCs w:val="22"/>
          <w:u w:val="single"/>
          <w:lang w:val="hu-HU" w:eastAsia="en-US"/>
        </w:rPr>
      </w:pPr>
      <w:r>
        <w:rPr>
          <w:sz w:val="22"/>
          <w:szCs w:val="22"/>
          <w:u w:val="single"/>
          <w:lang w:val="hu-HU" w:eastAsia="en-US"/>
        </w:rPr>
        <w:t>Filmbevonat:</w:t>
      </w:r>
    </w:p>
    <w:p w14:paraId="3BD49572" w14:textId="77777777" w:rsidR="00482034" w:rsidRDefault="00FE15A1">
      <w:pPr>
        <w:tabs>
          <w:tab w:val="left" w:pos="567"/>
        </w:tabs>
        <w:rPr>
          <w:sz w:val="22"/>
          <w:szCs w:val="22"/>
          <w:lang w:val="hu-HU" w:eastAsia="en-US"/>
        </w:rPr>
      </w:pPr>
      <w:r>
        <w:rPr>
          <w:sz w:val="22"/>
          <w:szCs w:val="22"/>
          <w:lang w:val="hu-HU" w:eastAsia="en-US"/>
        </w:rPr>
        <w:t>hipromellóz</w:t>
      </w:r>
    </w:p>
    <w:p w14:paraId="65760F0D" w14:textId="77777777" w:rsidR="00482034" w:rsidRDefault="00FE15A1">
      <w:pPr>
        <w:tabs>
          <w:tab w:val="left" w:pos="567"/>
        </w:tabs>
        <w:rPr>
          <w:sz w:val="22"/>
          <w:szCs w:val="22"/>
          <w:lang w:val="hu-HU" w:eastAsia="en-US"/>
        </w:rPr>
      </w:pPr>
      <w:r>
        <w:rPr>
          <w:sz w:val="22"/>
          <w:szCs w:val="22"/>
          <w:lang w:val="hu-HU" w:eastAsia="en-US"/>
        </w:rPr>
        <w:t>laktóz-monohidrát</w:t>
      </w:r>
    </w:p>
    <w:p w14:paraId="7D2C615A" w14:textId="77777777" w:rsidR="00482034" w:rsidRDefault="00FE15A1">
      <w:pPr>
        <w:tabs>
          <w:tab w:val="left" w:pos="567"/>
        </w:tabs>
        <w:rPr>
          <w:sz w:val="22"/>
          <w:szCs w:val="22"/>
          <w:lang w:val="hu-HU" w:eastAsia="en-US"/>
        </w:rPr>
      </w:pPr>
      <w:r>
        <w:rPr>
          <w:sz w:val="22"/>
          <w:szCs w:val="22"/>
          <w:lang w:val="hu-HU" w:eastAsia="en-US"/>
        </w:rPr>
        <w:t>titán-dioxid (E171)</w:t>
      </w:r>
    </w:p>
    <w:p w14:paraId="2A9FAEA9" w14:textId="77777777" w:rsidR="00482034" w:rsidRDefault="00FE15A1">
      <w:pPr>
        <w:tabs>
          <w:tab w:val="left" w:pos="567"/>
        </w:tabs>
        <w:rPr>
          <w:sz w:val="22"/>
          <w:szCs w:val="22"/>
          <w:lang w:val="hu-HU" w:eastAsia="en-US"/>
        </w:rPr>
      </w:pPr>
      <w:r>
        <w:rPr>
          <w:sz w:val="22"/>
          <w:szCs w:val="22"/>
          <w:lang w:val="hu-HU" w:eastAsia="en-US"/>
        </w:rPr>
        <w:t xml:space="preserve">makrogol </w:t>
      </w:r>
    </w:p>
    <w:p w14:paraId="4AFC51B3" w14:textId="77777777" w:rsidR="00482034" w:rsidRDefault="00FE15A1">
      <w:pPr>
        <w:tabs>
          <w:tab w:val="left" w:pos="567"/>
        </w:tabs>
        <w:rPr>
          <w:sz w:val="22"/>
          <w:szCs w:val="22"/>
          <w:lang w:val="hu-HU" w:eastAsia="en-US"/>
        </w:rPr>
      </w:pPr>
      <w:r>
        <w:rPr>
          <w:sz w:val="22"/>
          <w:szCs w:val="22"/>
          <w:lang w:val="hu-HU" w:eastAsia="en-US"/>
        </w:rPr>
        <w:t>triacetin</w:t>
      </w:r>
    </w:p>
    <w:p w14:paraId="4CD724BB" w14:textId="77777777" w:rsidR="00482034" w:rsidRDefault="00FE15A1">
      <w:pPr>
        <w:tabs>
          <w:tab w:val="left" w:pos="567"/>
        </w:tabs>
        <w:rPr>
          <w:iCs/>
          <w:sz w:val="22"/>
          <w:szCs w:val="22"/>
          <w:lang w:val="hu-HU" w:eastAsia="en-US"/>
        </w:rPr>
      </w:pPr>
      <w:r>
        <w:rPr>
          <w:sz w:val="22"/>
          <w:szCs w:val="22"/>
          <w:lang w:val="hu-HU" w:eastAsia="en-US"/>
        </w:rPr>
        <w:t>sárga vas-oxid (E172) [</w:t>
      </w:r>
      <w:r>
        <w:rPr>
          <w:i/>
          <w:sz w:val="22"/>
          <w:szCs w:val="22"/>
          <w:lang w:val="hu-HU" w:eastAsia="en-US"/>
        </w:rPr>
        <w:t>csak 100 mg, 150 mg, 200 mg és 250 mg hatáserősség esetében</w:t>
      </w:r>
      <w:r>
        <w:rPr>
          <w:sz w:val="22"/>
          <w:szCs w:val="22"/>
          <w:lang w:val="hu-HU" w:eastAsia="en-US"/>
        </w:rPr>
        <w:t>]</w:t>
      </w:r>
    </w:p>
    <w:p w14:paraId="74A8F891" w14:textId="77777777" w:rsidR="00482034" w:rsidRDefault="00FE15A1">
      <w:pPr>
        <w:tabs>
          <w:tab w:val="left" w:pos="567"/>
        </w:tabs>
        <w:rPr>
          <w:sz w:val="22"/>
          <w:szCs w:val="22"/>
          <w:lang w:val="hu-HU" w:eastAsia="en-US"/>
        </w:rPr>
      </w:pPr>
      <w:r>
        <w:rPr>
          <w:sz w:val="22"/>
          <w:szCs w:val="22"/>
          <w:lang w:val="hu-HU" w:eastAsia="en-US"/>
        </w:rPr>
        <w:t>vörös vas-oxid (E172) [</w:t>
      </w:r>
      <w:r>
        <w:rPr>
          <w:i/>
          <w:sz w:val="22"/>
          <w:szCs w:val="22"/>
          <w:lang w:val="hu-HU" w:eastAsia="en-US"/>
        </w:rPr>
        <w:t>csak 150 mg, 200 mg és 250 mg hatáserősség esetében</w:t>
      </w:r>
      <w:r>
        <w:rPr>
          <w:sz w:val="22"/>
          <w:szCs w:val="22"/>
          <w:lang w:val="hu-HU" w:eastAsia="en-US"/>
        </w:rPr>
        <w:t>]</w:t>
      </w:r>
    </w:p>
    <w:p w14:paraId="1154BC54" w14:textId="77777777" w:rsidR="00482034" w:rsidRDefault="00FE15A1">
      <w:pPr>
        <w:tabs>
          <w:tab w:val="left" w:pos="567"/>
        </w:tabs>
        <w:rPr>
          <w:sz w:val="22"/>
          <w:szCs w:val="22"/>
          <w:lang w:val="hu-HU" w:eastAsia="en-US"/>
        </w:rPr>
      </w:pPr>
      <w:r>
        <w:rPr>
          <w:sz w:val="22"/>
          <w:szCs w:val="22"/>
          <w:lang w:val="hu-HU" w:eastAsia="en-US"/>
        </w:rPr>
        <w:t>fekete vas-oxid (E172) [</w:t>
      </w:r>
      <w:r>
        <w:rPr>
          <w:i/>
          <w:sz w:val="22"/>
          <w:szCs w:val="22"/>
          <w:lang w:val="hu-HU" w:eastAsia="en-US"/>
        </w:rPr>
        <w:t>csak</w:t>
      </w:r>
      <w:r>
        <w:rPr>
          <w:sz w:val="22"/>
          <w:szCs w:val="22"/>
          <w:lang w:val="hu-HU" w:eastAsia="en-US"/>
        </w:rPr>
        <w:t xml:space="preserve"> </w:t>
      </w:r>
      <w:r>
        <w:rPr>
          <w:i/>
          <w:sz w:val="22"/>
          <w:szCs w:val="22"/>
          <w:lang w:val="hu-HU" w:eastAsia="en-US"/>
        </w:rPr>
        <w:t>250 mg hatáserősség esetében</w:t>
      </w:r>
      <w:r>
        <w:rPr>
          <w:sz w:val="22"/>
          <w:szCs w:val="22"/>
          <w:lang w:val="hu-HU" w:eastAsia="en-US"/>
        </w:rPr>
        <w:t>]</w:t>
      </w:r>
    </w:p>
    <w:p w14:paraId="7AC99A7C" w14:textId="77777777" w:rsidR="00482034" w:rsidRDefault="00482034">
      <w:pPr>
        <w:tabs>
          <w:tab w:val="left" w:pos="567"/>
        </w:tabs>
        <w:rPr>
          <w:sz w:val="22"/>
          <w:szCs w:val="22"/>
          <w:lang w:val="hu-HU" w:eastAsia="en-US"/>
        </w:rPr>
      </w:pPr>
    </w:p>
    <w:p w14:paraId="23387B30" w14:textId="77777777" w:rsidR="00482034" w:rsidRDefault="00FE15A1">
      <w:pPr>
        <w:tabs>
          <w:tab w:val="left" w:pos="567"/>
        </w:tabs>
        <w:rPr>
          <w:b/>
          <w:sz w:val="22"/>
          <w:szCs w:val="22"/>
          <w:lang w:val="hu-HU" w:eastAsia="en-US"/>
        </w:rPr>
      </w:pPr>
      <w:r>
        <w:rPr>
          <w:b/>
          <w:sz w:val="22"/>
          <w:szCs w:val="22"/>
          <w:lang w:val="hu-HU" w:eastAsia="en-US"/>
        </w:rPr>
        <w:t>6.2</w:t>
      </w:r>
      <w:r>
        <w:rPr>
          <w:b/>
          <w:sz w:val="22"/>
          <w:szCs w:val="22"/>
          <w:lang w:val="hu-HU" w:eastAsia="en-US"/>
        </w:rPr>
        <w:tab/>
        <w:t>Inkompatibilitások</w:t>
      </w:r>
    </w:p>
    <w:p w14:paraId="48DAA8E5" w14:textId="77777777" w:rsidR="00482034" w:rsidRDefault="00482034">
      <w:pPr>
        <w:tabs>
          <w:tab w:val="left" w:pos="567"/>
        </w:tabs>
        <w:rPr>
          <w:sz w:val="22"/>
          <w:szCs w:val="22"/>
          <w:lang w:val="hu-HU" w:eastAsia="en-US"/>
        </w:rPr>
      </w:pPr>
    </w:p>
    <w:p w14:paraId="078E2579" w14:textId="77777777" w:rsidR="00482034" w:rsidRDefault="00FE15A1">
      <w:pPr>
        <w:tabs>
          <w:tab w:val="left" w:pos="567"/>
        </w:tabs>
        <w:rPr>
          <w:sz w:val="22"/>
          <w:szCs w:val="22"/>
          <w:lang w:val="hu-HU" w:eastAsia="en-US"/>
        </w:rPr>
      </w:pPr>
      <w:r>
        <w:rPr>
          <w:sz w:val="22"/>
          <w:szCs w:val="22"/>
          <w:lang w:val="hu-HU" w:eastAsia="en-US"/>
        </w:rPr>
        <w:t>Nem értelmezhető.</w:t>
      </w:r>
    </w:p>
    <w:p w14:paraId="734042FC" w14:textId="77777777" w:rsidR="00482034" w:rsidRDefault="00482034">
      <w:pPr>
        <w:tabs>
          <w:tab w:val="left" w:pos="567"/>
        </w:tabs>
        <w:rPr>
          <w:strike/>
          <w:sz w:val="22"/>
          <w:szCs w:val="22"/>
          <w:lang w:val="hu-HU" w:eastAsia="en-US"/>
        </w:rPr>
      </w:pPr>
    </w:p>
    <w:p w14:paraId="0356A7F3" w14:textId="77777777" w:rsidR="00482034" w:rsidRDefault="00FE15A1">
      <w:pPr>
        <w:tabs>
          <w:tab w:val="left" w:pos="567"/>
        </w:tabs>
        <w:rPr>
          <w:b/>
          <w:sz w:val="22"/>
          <w:szCs w:val="22"/>
          <w:lang w:val="hu-HU" w:eastAsia="en-US"/>
        </w:rPr>
      </w:pPr>
      <w:r>
        <w:rPr>
          <w:b/>
          <w:sz w:val="22"/>
          <w:szCs w:val="22"/>
          <w:lang w:val="hu-HU" w:eastAsia="en-US"/>
        </w:rPr>
        <w:t>6.3</w:t>
      </w:r>
      <w:r>
        <w:rPr>
          <w:b/>
          <w:sz w:val="22"/>
          <w:szCs w:val="22"/>
          <w:lang w:val="hu-HU" w:eastAsia="en-US"/>
        </w:rPr>
        <w:tab/>
        <w:t>Felhasználhatósági időtartam</w:t>
      </w:r>
    </w:p>
    <w:p w14:paraId="2E75C60F" w14:textId="77777777" w:rsidR="00482034" w:rsidRDefault="00482034">
      <w:pPr>
        <w:rPr>
          <w:sz w:val="22"/>
          <w:szCs w:val="22"/>
          <w:lang w:val="hu-HU" w:eastAsia="en-US"/>
        </w:rPr>
      </w:pPr>
    </w:p>
    <w:p w14:paraId="773BEA70" w14:textId="77777777" w:rsidR="00482034" w:rsidRDefault="00FE15A1">
      <w:pPr>
        <w:rPr>
          <w:sz w:val="22"/>
          <w:szCs w:val="22"/>
          <w:lang w:val="hu-HU" w:eastAsia="en-US"/>
        </w:rPr>
      </w:pPr>
      <w:r>
        <w:rPr>
          <w:sz w:val="22"/>
          <w:szCs w:val="22"/>
          <w:lang w:val="hu-HU" w:eastAsia="en-US"/>
        </w:rPr>
        <w:t>3 év</w:t>
      </w:r>
    </w:p>
    <w:p w14:paraId="509DC558" w14:textId="77777777" w:rsidR="00482034" w:rsidRDefault="00482034">
      <w:pPr>
        <w:rPr>
          <w:sz w:val="22"/>
          <w:szCs w:val="22"/>
          <w:lang w:val="hu-HU" w:eastAsia="en-US"/>
        </w:rPr>
      </w:pPr>
    </w:p>
    <w:p w14:paraId="4FA8A825" w14:textId="77777777" w:rsidR="00482034" w:rsidRDefault="00FE15A1">
      <w:pPr>
        <w:tabs>
          <w:tab w:val="left" w:pos="567"/>
        </w:tabs>
        <w:rPr>
          <w:b/>
          <w:sz w:val="22"/>
          <w:szCs w:val="22"/>
          <w:lang w:val="hu-HU" w:eastAsia="en-US"/>
        </w:rPr>
      </w:pPr>
      <w:r>
        <w:rPr>
          <w:b/>
          <w:sz w:val="22"/>
          <w:szCs w:val="22"/>
          <w:lang w:val="hu-HU" w:eastAsia="en-US"/>
        </w:rPr>
        <w:t>6.4</w:t>
      </w:r>
      <w:r>
        <w:rPr>
          <w:b/>
          <w:sz w:val="22"/>
          <w:szCs w:val="22"/>
          <w:lang w:val="hu-HU" w:eastAsia="en-US"/>
        </w:rPr>
        <w:tab/>
        <w:t>Különleges tárolási előírások</w:t>
      </w:r>
    </w:p>
    <w:p w14:paraId="144771DB" w14:textId="77777777" w:rsidR="00482034" w:rsidRDefault="00482034">
      <w:pPr>
        <w:tabs>
          <w:tab w:val="left" w:pos="567"/>
        </w:tabs>
        <w:rPr>
          <w:sz w:val="22"/>
          <w:szCs w:val="22"/>
          <w:lang w:val="hu-HU" w:eastAsia="en-US"/>
        </w:rPr>
      </w:pPr>
    </w:p>
    <w:p w14:paraId="13E78CF1" w14:textId="77777777" w:rsidR="00482034" w:rsidRDefault="00FE15A1">
      <w:pPr>
        <w:tabs>
          <w:tab w:val="left" w:pos="567"/>
        </w:tabs>
        <w:rPr>
          <w:sz w:val="22"/>
          <w:szCs w:val="22"/>
          <w:lang w:val="hu-HU" w:eastAsia="en-US"/>
        </w:rPr>
      </w:pPr>
      <w:r>
        <w:rPr>
          <w:sz w:val="22"/>
          <w:szCs w:val="22"/>
          <w:lang w:val="hu-HU" w:eastAsia="en-US"/>
        </w:rPr>
        <w:t>Ez a gyógyszer nem igényel különleges tárolást.</w:t>
      </w:r>
    </w:p>
    <w:p w14:paraId="3516BDBD" w14:textId="77777777" w:rsidR="00482034" w:rsidRDefault="00482034">
      <w:pPr>
        <w:tabs>
          <w:tab w:val="left" w:pos="567"/>
        </w:tabs>
        <w:rPr>
          <w:sz w:val="22"/>
          <w:szCs w:val="22"/>
          <w:lang w:val="hu-HU" w:eastAsia="en-US"/>
        </w:rPr>
      </w:pPr>
    </w:p>
    <w:p w14:paraId="4479BA60" w14:textId="77777777" w:rsidR="00482034" w:rsidRDefault="00FE15A1">
      <w:pPr>
        <w:keepNext/>
        <w:tabs>
          <w:tab w:val="left" w:pos="567"/>
        </w:tabs>
        <w:outlineLvl w:val="1"/>
        <w:rPr>
          <w:b/>
          <w:sz w:val="22"/>
          <w:szCs w:val="22"/>
          <w:lang w:val="hu-HU" w:eastAsia="en-US"/>
        </w:rPr>
      </w:pPr>
      <w:r>
        <w:rPr>
          <w:b/>
          <w:sz w:val="22"/>
          <w:szCs w:val="22"/>
          <w:lang w:val="hu-HU" w:eastAsia="en-US"/>
        </w:rPr>
        <w:t>6.5</w:t>
      </w:r>
      <w:r>
        <w:rPr>
          <w:b/>
          <w:sz w:val="22"/>
          <w:szCs w:val="22"/>
          <w:lang w:val="hu-HU" w:eastAsia="en-US"/>
        </w:rPr>
        <w:tab/>
        <w:t>Csomagolás típusa és kiszerelése</w:t>
      </w:r>
    </w:p>
    <w:p w14:paraId="0CEFCFFE" w14:textId="77777777" w:rsidR="00482034" w:rsidRDefault="00482034">
      <w:pPr>
        <w:tabs>
          <w:tab w:val="left" w:pos="567"/>
        </w:tabs>
        <w:rPr>
          <w:sz w:val="22"/>
          <w:szCs w:val="22"/>
          <w:lang w:val="hu-HU" w:eastAsia="en-US"/>
        </w:rPr>
      </w:pPr>
    </w:p>
    <w:p w14:paraId="670AF1F4" w14:textId="77777777" w:rsidR="00482034" w:rsidRDefault="00FE15A1">
      <w:pPr>
        <w:tabs>
          <w:tab w:val="left" w:pos="567"/>
        </w:tabs>
        <w:rPr>
          <w:sz w:val="22"/>
          <w:szCs w:val="22"/>
          <w:lang w:val="hu-HU" w:eastAsia="en-US"/>
        </w:rPr>
      </w:pPr>
      <w:r>
        <w:rPr>
          <w:sz w:val="22"/>
          <w:szCs w:val="22"/>
          <w:lang w:val="hu-HU" w:eastAsia="en-US"/>
        </w:rPr>
        <w:t>20 (</w:t>
      </w:r>
      <w:r>
        <w:rPr>
          <w:i/>
          <w:sz w:val="22"/>
          <w:szCs w:val="22"/>
          <w:lang w:val="hu-HU" w:eastAsia="en-US"/>
        </w:rPr>
        <w:t>csak 50 mg hatáserősség esetén</w:t>
      </w:r>
      <w:r>
        <w:rPr>
          <w:sz w:val="22"/>
          <w:szCs w:val="22"/>
          <w:lang w:val="hu-HU" w:eastAsia="en-US"/>
        </w:rPr>
        <w:t>), 30, 60 (2 × 30) vagy 100 retard tabletta polietilén (HDPE) tartályban, gyermekbiztos, garanciazáras polipropilén (PP) kupakkal, dobozban.</w:t>
      </w:r>
    </w:p>
    <w:p w14:paraId="29F0FDB3" w14:textId="77777777" w:rsidR="00482034" w:rsidRDefault="00482034">
      <w:pPr>
        <w:tabs>
          <w:tab w:val="left" w:pos="567"/>
        </w:tabs>
        <w:rPr>
          <w:sz w:val="22"/>
          <w:szCs w:val="22"/>
          <w:lang w:val="hu-HU" w:eastAsia="en-US"/>
        </w:rPr>
      </w:pPr>
    </w:p>
    <w:p w14:paraId="1D4190A0" w14:textId="77777777" w:rsidR="00482034" w:rsidRDefault="00FE15A1">
      <w:pPr>
        <w:tabs>
          <w:tab w:val="left" w:pos="567"/>
        </w:tabs>
        <w:rPr>
          <w:b/>
          <w:sz w:val="22"/>
          <w:szCs w:val="22"/>
          <w:lang w:val="hu-HU" w:eastAsia="en-US"/>
        </w:rPr>
      </w:pPr>
      <w:r>
        <w:rPr>
          <w:sz w:val="22"/>
          <w:szCs w:val="22"/>
          <w:lang w:val="hu-HU" w:eastAsia="en-US"/>
        </w:rPr>
        <w:t>Nem feltétlenül mindegyik kiszerelés kerül kereskedelmi forgalomba.</w:t>
      </w:r>
    </w:p>
    <w:p w14:paraId="7756005F" w14:textId="77777777" w:rsidR="00482034" w:rsidRDefault="00482034">
      <w:pPr>
        <w:tabs>
          <w:tab w:val="left" w:pos="567"/>
        </w:tabs>
        <w:rPr>
          <w:b/>
          <w:sz w:val="22"/>
          <w:szCs w:val="22"/>
          <w:lang w:val="hu-HU" w:eastAsia="en-US"/>
        </w:rPr>
      </w:pPr>
    </w:p>
    <w:p w14:paraId="395929D5" w14:textId="77777777" w:rsidR="00482034" w:rsidRDefault="00FE15A1">
      <w:pPr>
        <w:tabs>
          <w:tab w:val="left" w:pos="567"/>
        </w:tabs>
        <w:rPr>
          <w:b/>
          <w:sz w:val="22"/>
          <w:szCs w:val="22"/>
          <w:lang w:val="hu-HU" w:eastAsia="en-US"/>
        </w:rPr>
      </w:pPr>
      <w:r>
        <w:rPr>
          <w:b/>
          <w:sz w:val="22"/>
          <w:szCs w:val="22"/>
          <w:lang w:val="hu-HU" w:eastAsia="en-US"/>
        </w:rPr>
        <w:t>6.6</w:t>
      </w:r>
      <w:r>
        <w:rPr>
          <w:b/>
          <w:sz w:val="22"/>
          <w:szCs w:val="22"/>
          <w:lang w:val="hu-HU" w:eastAsia="en-US"/>
        </w:rPr>
        <w:tab/>
        <w:t>A megsemmisítésre vonatkozó különleges óvintézkedések és egyéb, a készítmény kezelésével kapcsolatos információk</w:t>
      </w:r>
    </w:p>
    <w:p w14:paraId="2CA6AAD2" w14:textId="77777777" w:rsidR="00482034" w:rsidRDefault="00482034">
      <w:pPr>
        <w:tabs>
          <w:tab w:val="left" w:pos="567"/>
        </w:tabs>
        <w:rPr>
          <w:sz w:val="22"/>
          <w:szCs w:val="22"/>
          <w:lang w:val="hu-HU" w:eastAsia="en-US"/>
        </w:rPr>
      </w:pPr>
    </w:p>
    <w:p w14:paraId="10F3F6FC" w14:textId="77777777" w:rsidR="00482034" w:rsidRDefault="00FE15A1">
      <w:pPr>
        <w:tabs>
          <w:tab w:val="left" w:pos="567"/>
        </w:tabs>
        <w:rPr>
          <w:sz w:val="22"/>
          <w:szCs w:val="22"/>
          <w:lang w:val="hu-HU" w:eastAsia="en-US"/>
        </w:rPr>
      </w:pPr>
      <w:r>
        <w:rPr>
          <w:sz w:val="22"/>
          <w:szCs w:val="22"/>
          <w:lang w:val="hu-HU" w:eastAsia="en-US"/>
        </w:rPr>
        <w:t>Bármilyen fel nem használt gyógyszer, illetve hulladékanyag megsemmisítését a gyógyszerekre vonatkozó előírások szerint kell végrehajtani.</w:t>
      </w:r>
    </w:p>
    <w:p w14:paraId="7A56D9F7" w14:textId="77777777" w:rsidR="00482034" w:rsidRDefault="00482034">
      <w:pPr>
        <w:tabs>
          <w:tab w:val="left" w:pos="567"/>
        </w:tabs>
        <w:rPr>
          <w:b/>
          <w:sz w:val="22"/>
          <w:szCs w:val="22"/>
          <w:lang w:val="hu-HU" w:eastAsia="en-US"/>
        </w:rPr>
      </w:pPr>
    </w:p>
    <w:p w14:paraId="70F4D050" w14:textId="77777777" w:rsidR="00482034" w:rsidRDefault="00FE15A1">
      <w:pPr>
        <w:tabs>
          <w:tab w:val="left" w:pos="567"/>
        </w:tabs>
        <w:rPr>
          <w:b/>
          <w:sz w:val="22"/>
          <w:szCs w:val="22"/>
          <w:lang w:val="hu-HU" w:eastAsia="en-US"/>
        </w:rPr>
      </w:pPr>
      <w:r>
        <w:rPr>
          <w:b/>
          <w:sz w:val="22"/>
          <w:szCs w:val="22"/>
          <w:lang w:val="hu-HU" w:eastAsia="en-US"/>
        </w:rPr>
        <w:t xml:space="preserve">Megjegyzés: </w:t>
      </w:r>
      <w:r>
        <w:rPr>
          <w:b/>
          <w:noProof/>
          <w:sz w:val="22"/>
          <w:szCs w:val="22"/>
          <w:lang w:val="hu-HU" w:eastAsia="hu-HU"/>
        </w:rPr>
        <w:drawing>
          <wp:inline distT="0" distB="0" distL="0" distR="0" wp14:anchorId="1DE556D7" wp14:editId="02413101">
            <wp:extent cx="142875" cy="123825"/>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Pr>
          <w:b/>
          <w:noProof/>
          <w:sz w:val="22"/>
          <w:szCs w:val="22"/>
          <w:lang w:val="hu-HU" w:eastAsia="hu-HU"/>
        </w:rPr>
        <w:drawing>
          <wp:inline distT="0" distB="0" distL="0" distR="0" wp14:anchorId="1A019E00" wp14:editId="4B17270A">
            <wp:extent cx="142875" cy="123825"/>
            <wp:effectExtent l="0" t="0" r="0"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Pr>
          <w:szCs w:val="22"/>
          <w:lang w:val="hu-HU"/>
        </w:rPr>
        <w:t xml:space="preserve"> (két üres kereszt)</w:t>
      </w:r>
    </w:p>
    <w:p w14:paraId="7AE8895E" w14:textId="77777777" w:rsidR="00482034" w:rsidRDefault="00FE15A1">
      <w:pPr>
        <w:tabs>
          <w:tab w:val="left" w:pos="567"/>
        </w:tabs>
        <w:rPr>
          <w:sz w:val="22"/>
          <w:szCs w:val="22"/>
          <w:lang w:val="hu-HU" w:eastAsia="en-US"/>
        </w:rPr>
      </w:pPr>
      <w:r>
        <w:rPr>
          <w:b/>
          <w:sz w:val="22"/>
          <w:szCs w:val="22"/>
          <w:lang w:val="hu-HU" w:eastAsia="en-US"/>
        </w:rPr>
        <w:t>Osztályozás:</w:t>
      </w:r>
      <w:r>
        <w:rPr>
          <w:sz w:val="22"/>
          <w:szCs w:val="22"/>
          <w:lang w:val="hu-HU" w:eastAsia="en-US"/>
        </w:rPr>
        <w:t xml:space="preserve"> </w:t>
      </w:r>
      <w:r>
        <w:rPr>
          <w:b/>
          <w:sz w:val="22"/>
          <w:szCs w:val="22"/>
          <w:lang w:val="hu-HU" w:eastAsia="en-US"/>
        </w:rPr>
        <w:t>II. csoport</w:t>
      </w:r>
    </w:p>
    <w:p w14:paraId="45EAC22D" w14:textId="77777777" w:rsidR="00482034" w:rsidRDefault="00FE15A1">
      <w:pPr>
        <w:tabs>
          <w:tab w:val="left" w:pos="567"/>
        </w:tabs>
        <w:rPr>
          <w:sz w:val="22"/>
          <w:szCs w:val="22"/>
          <w:lang w:val="hu-HU" w:eastAsia="en-US"/>
        </w:rPr>
      </w:pPr>
      <w:r>
        <w:rPr>
          <w:sz w:val="22"/>
          <w:szCs w:val="22"/>
          <w:lang w:val="hu-HU" w:eastAsia="en-US"/>
        </w:rPr>
        <w:t>Kizárólag orvosi rendelvényhez kötött gyógyszer (V).</w:t>
      </w:r>
    </w:p>
    <w:p w14:paraId="5A2808E5" w14:textId="77777777" w:rsidR="00482034" w:rsidRDefault="00FE15A1">
      <w:pPr>
        <w:tabs>
          <w:tab w:val="left" w:pos="567"/>
        </w:tabs>
        <w:rPr>
          <w:sz w:val="22"/>
          <w:szCs w:val="22"/>
          <w:lang w:val="hu-HU" w:eastAsia="en-US"/>
        </w:rPr>
      </w:pPr>
      <w:r>
        <w:rPr>
          <w:sz w:val="22"/>
          <w:szCs w:val="22"/>
          <w:lang w:val="hu-HU" w:eastAsia="en-US"/>
        </w:rPr>
        <w:t>Különleges rendelvényhez kötött, a külön jogszabály szerint kábítószerként és pszichotróp anyagként minősített gyógyszer (KP).</w:t>
      </w:r>
    </w:p>
    <w:p w14:paraId="4CEA1D25" w14:textId="77777777" w:rsidR="00482034" w:rsidRDefault="00482034">
      <w:pPr>
        <w:tabs>
          <w:tab w:val="left" w:pos="567"/>
        </w:tabs>
        <w:rPr>
          <w:sz w:val="22"/>
          <w:szCs w:val="22"/>
          <w:lang w:val="hu-HU" w:eastAsia="en-US"/>
        </w:rPr>
      </w:pPr>
    </w:p>
    <w:p w14:paraId="4C6CFA1E" w14:textId="77777777" w:rsidR="00482034" w:rsidRDefault="00482034">
      <w:pPr>
        <w:tabs>
          <w:tab w:val="left" w:pos="567"/>
        </w:tabs>
        <w:rPr>
          <w:sz w:val="22"/>
          <w:szCs w:val="22"/>
          <w:lang w:val="hu-HU" w:eastAsia="en-US"/>
        </w:rPr>
      </w:pPr>
    </w:p>
    <w:p w14:paraId="0BC43D66" w14:textId="77777777" w:rsidR="00482034" w:rsidRDefault="00FE15A1">
      <w:pPr>
        <w:tabs>
          <w:tab w:val="left" w:pos="567"/>
        </w:tabs>
        <w:outlineLvl w:val="0"/>
        <w:rPr>
          <w:b/>
          <w:caps/>
          <w:sz w:val="22"/>
          <w:szCs w:val="22"/>
          <w:lang w:val="hu-HU" w:eastAsia="en-US"/>
        </w:rPr>
      </w:pPr>
      <w:r>
        <w:rPr>
          <w:b/>
          <w:bCs/>
          <w:caps/>
          <w:sz w:val="22"/>
          <w:szCs w:val="22"/>
          <w:lang w:val="hu-HU" w:eastAsia="en-US"/>
        </w:rPr>
        <w:t>7.</w:t>
      </w:r>
      <w:r>
        <w:rPr>
          <w:b/>
          <w:bCs/>
          <w:caps/>
          <w:sz w:val="22"/>
          <w:szCs w:val="22"/>
          <w:lang w:val="hu-HU" w:eastAsia="en-US"/>
        </w:rPr>
        <w:tab/>
      </w:r>
      <w:r>
        <w:rPr>
          <w:b/>
          <w:caps/>
          <w:sz w:val="22"/>
          <w:szCs w:val="22"/>
          <w:lang w:val="hu-HU" w:eastAsia="en-US"/>
        </w:rPr>
        <w:t>A FORGALOMBA HOZATALI ENGEDÉLY JOGOSULTJA</w:t>
      </w:r>
    </w:p>
    <w:p w14:paraId="02742622" w14:textId="77777777" w:rsidR="00482034" w:rsidRDefault="00482034">
      <w:pPr>
        <w:tabs>
          <w:tab w:val="left" w:pos="567"/>
        </w:tabs>
        <w:rPr>
          <w:sz w:val="22"/>
          <w:szCs w:val="22"/>
          <w:lang w:val="hu-HU" w:eastAsia="en-US"/>
        </w:rPr>
      </w:pPr>
    </w:p>
    <w:p w14:paraId="3CE7A30B" w14:textId="77777777" w:rsidR="00482034" w:rsidRDefault="00FE15A1">
      <w:pPr>
        <w:widowControl w:val="0"/>
        <w:rPr>
          <w:sz w:val="22"/>
          <w:szCs w:val="22"/>
        </w:rPr>
      </w:pPr>
      <w:r>
        <w:rPr>
          <w:sz w:val="22"/>
          <w:szCs w:val="22"/>
        </w:rPr>
        <w:t>KRKA, d.d., Novo mesto</w:t>
      </w:r>
    </w:p>
    <w:p w14:paraId="1D66BBC9" w14:textId="77777777" w:rsidR="00482034" w:rsidRDefault="00FE15A1">
      <w:pPr>
        <w:widowControl w:val="0"/>
        <w:rPr>
          <w:sz w:val="22"/>
          <w:szCs w:val="22"/>
        </w:rPr>
      </w:pPr>
      <w:r>
        <w:rPr>
          <w:sz w:val="22"/>
          <w:szCs w:val="22"/>
        </w:rPr>
        <w:t>Šmarješka cesta 6</w:t>
      </w:r>
    </w:p>
    <w:p w14:paraId="093ECFE3" w14:textId="77777777" w:rsidR="00482034" w:rsidRDefault="00FE15A1">
      <w:pPr>
        <w:widowControl w:val="0"/>
        <w:rPr>
          <w:sz w:val="22"/>
          <w:szCs w:val="22"/>
        </w:rPr>
      </w:pPr>
      <w:r>
        <w:rPr>
          <w:sz w:val="22"/>
          <w:szCs w:val="22"/>
        </w:rPr>
        <w:t>8501 Novo mesto</w:t>
      </w:r>
    </w:p>
    <w:p w14:paraId="49B9DDFA" w14:textId="77777777" w:rsidR="00482034" w:rsidRDefault="00FE15A1">
      <w:pPr>
        <w:widowControl w:val="0"/>
        <w:rPr>
          <w:sz w:val="22"/>
          <w:szCs w:val="22"/>
        </w:rPr>
      </w:pPr>
      <w:r>
        <w:rPr>
          <w:sz w:val="22"/>
          <w:szCs w:val="22"/>
        </w:rPr>
        <w:t>Szlovénia</w:t>
      </w:r>
    </w:p>
    <w:p w14:paraId="7A85A798" w14:textId="77777777" w:rsidR="00482034" w:rsidRDefault="00482034">
      <w:pPr>
        <w:tabs>
          <w:tab w:val="left" w:pos="567"/>
        </w:tabs>
        <w:rPr>
          <w:sz w:val="22"/>
          <w:szCs w:val="22"/>
          <w:lang w:val="hu-HU" w:eastAsia="en-US"/>
        </w:rPr>
      </w:pPr>
    </w:p>
    <w:p w14:paraId="747B6202" w14:textId="77777777" w:rsidR="00482034" w:rsidRDefault="00482034">
      <w:pPr>
        <w:tabs>
          <w:tab w:val="left" w:pos="567"/>
        </w:tabs>
        <w:rPr>
          <w:sz w:val="22"/>
          <w:szCs w:val="22"/>
          <w:lang w:val="hu-HU" w:eastAsia="en-US"/>
        </w:rPr>
      </w:pPr>
    </w:p>
    <w:p w14:paraId="3C6BE73B" w14:textId="77777777" w:rsidR="00482034" w:rsidRDefault="00FE15A1">
      <w:pPr>
        <w:tabs>
          <w:tab w:val="left" w:pos="567"/>
        </w:tabs>
        <w:outlineLvl w:val="0"/>
        <w:rPr>
          <w:b/>
          <w:caps/>
          <w:sz w:val="22"/>
          <w:szCs w:val="22"/>
          <w:lang w:val="hu-HU" w:eastAsia="en-US"/>
        </w:rPr>
      </w:pPr>
      <w:r>
        <w:rPr>
          <w:b/>
          <w:bCs/>
          <w:caps/>
          <w:sz w:val="22"/>
          <w:szCs w:val="22"/>
          <w:lang w:val="hu-HU" w:eastAsia="en-US"/>
        </w:rPr>
        <w:t>8.</w:t>
      </w:r>
      <w:r>
        <w:rPr>
          <w:b/>
          <w:bCs/>
          <w:caps/>
          <w:sz w:val="22"/>
          <w:szCs w:val="22"/>
          <w:lang w:val="hu-HU" w:eastAsia="en-US"/>
        </w:rPr>
        <w:tab/>
      </w:r>
      <w:r>
        <w:rPr>
          <w:b/>
          <w:caps/>
          <w:sz w:val="22"/>
          <w:szCs w:val="22"/>
          <w:lang w:val="hu-HU" w:eastAsia="en-US"/>
        </w:rPr>
        <w:t>A FORGALOMBA HOZATALI ENGEDÉLY SZÁMA(i)</w:t>
      </w:r>
    </w:p>
    <w:p w14:paraId="129289B2" w14:textId="77777777" w:rsidR="00482034" w:rsidRDefault="00482034">
      <w:pPr>
        <w:tabs>
          <w:tab w:val="left" w:pos="567"/>
        </w:tabs>
        <w:rPr>
          <w:sz w:val="22"/>
          <w:szCs w:val="22"/>
          <w:lang w:val="hu-HU" w:eastAsia="en-US"/>
        </w:rPr>
      </w:pPr>
    </w:p>
    <w:p w14:paraId="1AB91B2D" w14:textId="77777777" w:rsidR="00482034" w:rsidRDefault="00FE15A1">
      <w:pPr>
        <w:tabs>
          <w:tab w:val="left" w:pos="567"/>
        </w:tabs>
        <w:rPr>
          <w:i/>
          <w:sz w:val="22"/>
          <w:szCs w:val="22"/>
          <w:u w:val="single"/>
          <w:lang w:val="hu-HU" w:eastAsia="en-US"/>
        </w:rPr>
      </w:pPr>
      <w:r>
        <w:rPr>
          <w:i/>
          <w:sz w:val="22"/>
          <w:szCs w:val="22"/>
          <w:u w:val="single"/>
          <w:lang w:val="hu-HU" w:eastAsia="en-US"/>
        </w:rPr>
        <w:t>Adoben 50 mg retard tabletta</w:t>
      </w:r>
    </w:p>
    <w:p w14:paraId="4A5458F3" w14:textId="77777777" w:rsidR="00482034" w:rsidRDefault="00FE15A1">
      <w:pPr>
        <w:tabs>
          <w:tab w:val="left" w:pos="567"/>
        </w:tabs>
        <w:rPr>
          <w:sz w:val="22"/>
          <w:szCs w:val="22"/>
          <w:lang w:val="hu-HU" w:eastAsia="en-US"/>
        </w:rPr>
      </w:pPr>
      <w:r>
        <w:rPr>
          <w:sz w:val="22"/>
          <w:szCs w:val="22"/>
          <w:lang w:val="hu-HU" w:eastAsia="en-US"/>
        </w:rPr>
        <w:t>OGYI-T-23921/01     20×</w:t>
      </w:r>
    </w:p>
    <w:p w14:paraId="20E546AF" w14:textId="77777777" w:rsidR="00482034" w:rsidRDefault="00FE15A1">
      <w:pPr>
        <w:tabs>
          <w:tab w:val="left" w:pos="567"/>
        </w:tabs>
        <w:rPr>
          <w:sz w:val="22"/>
          <w:szCs w:val="22"/>
          <w:lang w:val="hu-HU" w:eastAsia="en-US"/>
        </w:rPr>
      </w:pPr>
      <w:r>
        <w:rPr>
          <w:sz w:val="22"/>
          <w:szCs w:val="22"/>
          <w:lang w:val="hu-HU" w:eastAsia="en-US"/>
        </w:rPr>
        <w:t>OGYI-T-23921/02     30×</w:t>
      </w:r>
    </w:p>
    <w:p w14:paraId="16D56A57" w14:textId="77777777" w:rsidR="00482034" w:rsidRDefault="00FE15A1">
      <w:pPr>
        <w:tabs>
          <w:tab w:val="left" w:pos="567"/>
        </w:tabs>
        <w:rPr>
          <w:sz w:val="22"/>
          <w:szCs w:val="22"/>
          <w:lang w:val="hu-HU" w:eastAsia="en-US"/>
        </w:rPr>
      </w:pPr>
      <w:r>
        <w:rPr>
          <w:sz w:val="22"/>
          <w:szCs w:val="22"/>
          <w:lang w:val="hu-HU" w:eastAsia="en-US"/>
        </w:rPr>
        <w:t>OGYI-T-23921/03     60×</w:t>
      </w:r>
    </w:p>
    <w:p w14:paraId="145D3904" w14:textId="77777777" w:rsidR="00482034" w:rsidRDefault="00FE15A1">
      <w:pPr>
        <w:tabs>
          <w:tab w:val="left" w:pos="567"/>
        </w:tabs>
        <w:rPr>
          <w:sz w:val="22"/>
          <w:szCs w:val="22"/>
          <w:lang w:val="hu-HU" w:eastAsia="en-US"/>
        </w:rPr>
      </w:pPr>
      <w:r>
        <w:rPr>
          <w:sz w:val="22"/>
          <w:szCs w:val="22"/>
          <w:lang w:val="hu-HU" w:eastAsia="en-US"/>
        </w:rPr>
        <w:t>OGYI-T-23921/04     100×</w:t>
      </w:r>
    </w:p>
    <w:p w14:paraId="576104C6" w14:textId="77777777" w:rsidR="00482034" w:rsidRDefault="00482034">
      <w:pPr>
        <w:tabs>
          <w:tab w:val="left" w:pos="567"/>
        </w:tabs>
        <w:rPr>
          <w:sz w:val="22"/>
          <w:szCs w:val="22"/>
          <w:lang w:val="hu-HU" w:eastAsia="en-US"/>
        </w:rPr>
      </w:pPr>
    </w:p>
    <w:p w14:paraId="40011438" w14:textId="77777777" w:rsidR="00482034" w:rsidRDefault="00FE15A1">
      <w:pPr>
        <w:tabs>
          <w:tab w:val="left" w:pos="567"/>
        </w:tabs>
        <w:rPr>
          <w:i/>
          <w:sz w:val="22"/>
          <w:szCs w:val="22"/>
          <w:u w:val="single"/>
          <w:lang w:val="hu-HU" w:eastAsia="en-US"/>
        </w:rPr>
      </w:pPr>
      <w:r>
        <w:rPr>
          <w:i/>
          <w:sz w:val="22"/>
          <w:szCs w:val="22"/>
          <w:u w:val="single"/>
          <w:lang w:val="hu-HU" w:eastAsia="en-US"/>
        </w:rPr>
        <w:t>Adoben 100 mg retard tabletta</w:t>
      </w:r>
    </w:p>
    <w:p w14:paraId="04717E97" w14:textId="77777777" w:rsidR="00482034" w:rsidRDefault="00FE15A1">
      <w:pPr>
        <w:tabs>
          <w:tab w:val="left" w:pos="567"/>
        </w:tabs>
        <w:rPr>
          <w:sz w:val="22"/>
          <w:szCs w:val="22"/>
          <w:lang w:val="hu-HU" w:eastAsia="en-US"/>
        </w:rPr>
      </w:pPr>
      <w:r>
        <w:rPr>
          <w:sz w:val="22"/>
          <w:szCs w:val="22"/>
          <w:lang w:val="hu-HU" w:eastAsia="en-US"/>
        </w:rPr>
        <w:t>OGYI-T-23921/05     30×</w:t>
      </w:r>
    </w:p>
    <w:p w14:paraId="11121CF5" w14:textId="77777777" w:rsidR="00482034" w:rsidRDefault="00FE15A1">
      <w:pPr>
        <w:tabs>
          <w:tab w:val="left" w:pos="567"/>
        </w:tabs>
        <w:rPr>
          <w:sz w:val="22"/>
          <w:szCs w:val="22"/>
          <w:lang w:val="hu-HU" w:eastAsia="en-US"/>
        </w:rPr>
      </w:pPr>
      <w:r>
        <w:rPr>
          <w:sz w:val="22"/>
          <w:szCs w:val="22"/>
          <w:lang w:val="hu-HU" w:eastAsia="en-US"/>
        </w:rPr>
        <w:t>OGYI-T-23921/06     60×</w:t>
      </w:r>
    </w:p>
    <w:p w14:paraId="7EED9C05" w14:textId="77777777" w:rsidR="00482034" w:rsidRDefault="00FE15A1">
      <w:pPr>
        <w:tabs>
          <w:tab w:val="left" w:pos="567"/>
        </w:tabs>
        <w:rPr>
          <w:sz w:val="22"/>
          <w:szCs w:val="22"/>
          <w:lang w:val="hu-HU" w:eastAsia="en-US"/>
        </w:rPr>
      </w:pPr>
      <w:r>
        <w:rPr>
          <w:sz w:val="22"/>
          <w:szCs w:val="22"/>
          <w:lang w:val="hu-HU" w:eastAsia="en-US"/>
        </w:rPr>
        <w:t>OGYI-T-23921/07     100×</w:t>
      </w:r>
    </w:p>
    <w:p w14:paraId="7C8774C8" w14:textId="77777777" w:rsidR="00482034" w:rsidRDefault="00482034">
      <w:pPr>
        <w:tabs>
          <w:tab w:val="left" w:pos="567"/>
        </w:tabs>
        <w:rPr>
          <w:sz w:val="22"/>
          <w:szCs w:val="22"/>
          <w:lang w:val="hu-HU" w:eastAsia="en-US"/>
        </w:rPr>
      </w:pPr>
    </w:p>
    <w:p w14:paraId="73981E5B" w14:textId="77777777" w:rsidR="00482034" w:rsidRDefault="00FE15A1">
      <w:pPr>
        <w:tabs>
          <w:tab w:val="left" w:pos="567"/>
        </w:tabs>
        <w:rPr>
          <w:i/>
          <w:sz w:val="22"/>
          <w:szCs w:val="22"/>
          <w:u w:val="single"/>
          <w:lang w:val="hu-HU" w:eastAsia="en-US"/>
        </w:rPr>
      </w:pPr>
      <w:r>
        <w:rPr>
          <w:i/>
          <w:sz w:val="22"/>
          <w:szCs w:val="22"/>
          <w:u w:val="single"/>
          <w:lang w:val="hu-HU" w:eastAsia="en-US"/>
        </w:rPr>
        <w:t>Adoben 150 mg retard tabletta</w:t>
      </w:r>
    </w:p>
    <w:p w14:paraId="2DD17315" w14:textId="77777777" w:rsidR="00482034" w:rsidRDefault="00FE15A1">
      <w:pPr>
        <w:tabs>
          <w:tab w:val="left" w:pos="567"/>
        </w:tabs>
        <w:rPr>
          <w:sz w:val="22"/>
          <w:szCs w:val="22"/>
          <w:lang w:val="hu-HU" w:eastAsia="en-US"/>
        </w:rPr>
      </w:pPr>
      <w:r>
        <w:rPr>
          <w:sz w:val="22"/>
          <w:szCs w:val="22"/>
          <w:lang w:val="hu-HU" w:eastAsia="en-US"/>
        </w:rPr>
        <w:t>OGYI-T-23921/08     30×</w:t>
      </w:r>
    </w:p>
    <w:p w14:paraId="5738C75E" w14:textId="77777777" w:rsidR="00482034" w:rsidRDefault="00FE15A1">
      <w:pPr>
        <w:tabs>
          <w:tab w:val="left" w:pos="567"/>
        </w:tabs>
        <w:rPr>
          <w:sz w:val="22"/>
          <w:szCs w:val="22"/>
          <w:lang w:val="hu-HU" w:eastAsia="en-US"/>
        </w:rPr>
      </w:pPr>
      <w:r>
        <w:rPr>
          <w:sz w:val="22"/>
          <w:szCs w:val="22"/>
          <w:lang w:val="hu-HU" w:eastAsia="en-US"/>
        </w:rPr>
        <w:t>OGYI-T-23921/09     60×</w:t>
      </w:r>
    </w:p>
    <w:p w14:paraId="384539B7" w14:textId="77777777" w:rsidR="00482034" w:rsidRDefault="00FE15A1">
      <w:pPr>
        <w:tabs>
          <w:tab w:val="left" w:pos="567"/>
        </w:tabs>
        <w:rPr>
          <w:sz w:val="22"/>
          <w:szCs w:val="22"/>
          <w:lang w:val="hu-HU" w:eastAsia="en-US"/>
        </w:rPr>
      </w:pPr>
      <w:r>
        <w:rPr>
          <w:sz w:val="22"/>
          <w:szCs w:val="22"/>
          <w:lang w:val="hu-HU" w:eastAsia="en-US"/>
        </w:rPr>
        <w:t>OGYI-T-23921/10     100×</w:t>
      </w:r>
    </w:p>
    <w:p w14:paraId="52C3EFC8" w14:textId="77777777" w:rsidR="00482034" w:rsidRDefault="00482034">
      <w:pPr>
        <w:tabs>
          <w:tab w:val="left" w:pos="567"/>
        </w:tabs>
        <w:rPr>
          <w:sz w:val="22"/>
          <w:szCs w:val="22"/>
          <w:lang w:val="hu-HU" w:eastAsia="en-US"/>
        </w:rPr>
      </w:pPr>
    </w:p>
    <w:p w14:paraId="41D29E61" w14:textId="77777777" w:rsidR="00482034" w:rsidRDefault="00FE15A1">
      <w:pPr>
        <w:tabs>
          <w:tab w:val="left" w:pos="567"/>
        </w:tabs>
        <w:rPr>
          <w:i/>
          <w:sz w:val="22"/>
          <w:szCs w:val="22"/>
          <w:u w:val="single"/>
          <w:lang w:val="hu-HU" w:eastAsia="en-US"/>
        </w:rPr>
      </w:pPr>
      <w:r>
        <w:rPr>
          <w:i/>
          <w:sz w:val="22"/>
          <w:szCs w:val="22"/>
          <w:u w:val="single"/>
          <w:lang w:val="hu-HU" w:eastAsia="en-US"/>
        </w:rPr>
        <w:t>Adoben 200 mg retard tabletta</w:t>
      </w:r>
    </w:p>
    <w:p w14:paraId="4812B718" w14:textId="77777777" w:rsidR="00482034" w:rsidRDefault="00FE15A1">
      <w:pPr>
        <w:tabs>
          <w:tab w:val="left" w:pos="567"/>
        </w:tabs>
        <w:rPr>
          <w:sz w:val="22"/>
          <w:szCs w:val="22"/>
          <w:lang w:val="hu-HU" w:eastAsia="en-US"/>
        </w:rPr>
      </w:pPr>
      <w:r>
        <w:rPr>
          <w:sz w:val="22"/>
          <w:szCs w:val="22"/>
          <w:lang w:val="hu-HU" w:eastAsia="en-US"/>
        </w:rPr>
        <w:t>OGYI-T-23921/11     30×</w:t>
      </w:r>
    </w:p>
    <w:p w14:paraId="1106F4FB" w14:textId="77777777" w:rsidR="00482034" w:rsidRDefault="00FE15A1">
      <w:pPr>
        <w:tabs>
          <w:tab w:val="left" w:pos="567"/>
        </w:tabs>
        <w:rPr>
          <w:sz w:val="22"/>
          <w:szCs w:val="22"/>
          <w:lang w:val="hu-HU" w:eastAsia="en-US"/>
        </w:rPr>
      </w:pPr>
      <w:r>
        <w:rPr>
          <w:sz w:val="22"/>
          <w:szCs w:val="22"/>
          <w:lang w:val="hu-HU" w:eastAsia="en-US"/>
        </w:rPr>
        <w:t>OGYI-T-23921/12     60×</w:t>
      </w:r>
    </w:p>
    <w:p w14:paraId="52F0EBD1" w14:textId="77777777" w:rsidR="00482034" w:rsidRDefault="00FE15A1">
      <w:pPr>
        <w:tabs>
          <w:tab w:val="left" w:pos="567"/>
        </w:tabs>
        <w:rPr>
          <w:sz w:val="22"/>
          <w:szCs w:val="22"/>
          <w:lang w:val="hu-HU" w:eastAsia="en-US"/>
        </w:rPr>
      </w:pPr>
      <w:r>
        <w:rPr>
          <w:sz w:val="22"/>
          <w:szCs w:val="22"/>
          <w:lang w:val="hu-HU" w:eastAsia="en-US"/>
        </w:rPr>
        <w:t>OGYI-T-23921/13     100×</w:t>
      </w:r>
    </w:p>
    <w:p w14:paraId="7F939853" w14:textId="77777777" w:rsidR="00482034" w:rsidRDefault="00482034">
      <w:pPr>
        <w:tabs>
          <w:tab w:val="left" w:pos="567"/>
        </w:tabs>
        <w:rPr>
          <w:sz w:val="22"/>
          <w:szCs w:val="22"/>
          <w:lang w:val="hu-HU" w:eastAsia="en-US"/>
        </w:rPr>
      </w:pPr>
    </w:p>
    <w:p w14:paraId="5C479B77" w14:textId="77777777" w:rsidR="00482034" w:rsidRDefault="00FE15A1">
      <w:pPr>
        <w:tabs>
          <w:tab w:val="left" w:pos="567"/>
        </w:tabs>
        <w:rPr>
          <w:i/>
          <w:sz w:val="22"/>
          <w:szCs w:val="22"/>
          <w:u w:val="single"/>
          <w:lang w:val="hu-HU" w:eastAsia="en-US"/>
        </w:rPr>
      </w:pPr>
      <w:r>
        <w:rPr>
          <w:i/>
          <w:sz w:val="22"/>
          <w:szCs w:val="22"/>
          <w:u w:val="single"/>
          <w:lang w:val="hu-HU" w:eastAsia="en-US"/>
        </w:rPr>
        <w:t>Adoben 250 mg retard tabletta</w:t>
      </w:r>
    </w:p>
    <w:p w14:paraId="4224130D" w14:textId="77777777" w:rsidR="00482034" w:rsidRDefault="00FE15A1">
      <w:pPr>
        <w:tabs>
          <w:tab w:val="left" w:pos="567"/>
        </w:tabs>
        <w:rPr>
          <w:sz w:val="22"/>
          <w:szCs w:val="22"/>
          <w:lang w:val="hu-HU" w:eastAsia="en-US"/>
        </w:rPr>
      </w:pPr>
      <w:r>
        <w:rPr>
          <w:sz w:val="22"/>
          <w:szCs w:val="22"/>
          <w:lang w:val="hu-HU" w:eastAsia="en-US"/>
        </w:rPr>
        <w:t>OGYI-T-23921/14     30×</w:t>
      </w:r>
    </w:p>
    <w:p w14:paraId="7CFBA5FF" w14:textId="77777777" w:rsidR="00482034" w:rsidRDefault="00FE15A1">
      <w:pPr>
        <w:tabs>
          <w:tab w:val="left" w:pos="567"/>
        </w:tabs>
        <w:rPr>
          <w:sz w:val="22"/>
          <w:szCs w:val="22"/>
          <w:lang w:val="hu-HU" w:eastAsia="en-US"/>
        </w:rPr>
      </w:pPr>
      <w:r>
        <w:rPr>
          <w:sz w:val="22"/>
          <w:szCs w:val="22"/>
          <w:lang w:val="hu-HU" w:eastAsia="en-US"/>
        </w:rPr>
        <w:t>OGYI-T-23921/15     60×</w:t>
      </w:r>
    </w:p>
    <w:p w14:paraId="5D1C2464" w14:textId="77777777" w:rsidR="00482034" w:rsidRDefault="00FE15A1">
      <w:pPr>
        <w:tabs>
          <w:tab w:val="left" w:pos="567"/>
        </w:tabs>
        <w:rPr>
          <w:sz w:val="22"/>
          <w:szCs w:val="22"/>
          <w:lang w:val="hu-HU" w:eastAsia="en-US"/>
        </w:rPr>
      </w:pPr>
      <w:r>
        <w:rPr>
          <w:sz w:val="22"/>
          <w:szCs w:val="22"/>
          <w:lang w:val="hu-HU" w:eastAsia="en-US"/>
        </w:rPr>
        <w:t>OGYI-T-23921/16     100×</w:t>
      </w:r>
    </w:p>
    <w:p w14:paraId="1BACFACE" w14:textId="77777777" w:rsidR="00482034" w:rsidRDefault="00482034">
      <w:pPr>
        <w:tabs>
          <w:tab w:val="left" w:pos="567"/>
        </w:tabs>
        <w:rPr>
          <w:sz w:val="22"/>
          <w:szCs w:val="22"/>
          <w:lang w:val="hu-HU" w:eastAsia="en-US"/>
        </w:rPr>
      </w:pPr>
    </w:p>
    <w:p w14:paraId="561E6895" w14:textId="77777777" w:rsidR="00482034" w:rsidRDefault="00482034">
      <w:pPr>
        <w:tabs>
          <w:tab w:val="left" w:pos="567"/>
        </w:tabs>
        <w:rPr>
          <w:sz w:val="22"/>
          <w:szCs w:val="22"/>
          <w:lang w:val="hu-HU" w:eastAsia="en-US"/>
        </w:rPr>
      </w:pPr>
    </w:p>
    <w:p w14:paraId="679EFB5C" w14:textId="77777777" w:rsidR="00482034" w:rsidRDefault="00FE15A1">
      <w:pPr>
        <w:tabs>
          <w:tab w:val="left" w:pos="600"/>
        </w:tabs>
        <w:ind w:left="600" w:hanging="600"/>
        <w:outlineLvl w:val="0"/>
        <w:rPr>
          <w:b/>
          <w:i/>
          <w:iCs/>
          <w:caps/>
          <w:sz w:val="22"/>
          <w:szCs w:val="22"/>
          <w:lang w:val="hu-HU" w:eastAsia="en-US"/>
        </w:rPr>
      </w:pPr>
      <w:r>
        <w:rPr>
          <w:b/>
          <w:caps/>
          <w:sz w:val="22"/>
          <w:szCs w:val="22"/>
          <w:lang w:val="hu-HU" w:eastAsia="en-US"/>
        </w:rPr>
        <w:t>9.</w:t>
      </w:r>
      <w:r>
        <w:rPr>
          <w:b/>
          <w:caps/>
          <w:sz w:val="22"/>
          <w:szCs w:val="22"/>
          <w:lang w:val="hu-HU" w:eastAsia="en-US"/>
        </w:rPr>
        <w:tab/>
        <w:t>A FORGALOMBA HOZATALI ENGEDÉLY ELSŐ KIADÁSÁNAK/ MEGÚJÍTÁSÁNAK DÁTUMA</w:t>
      </w:r>
    </w:p>
    <w:p w14:paraId="591DF374" w14:textId="77777777" w:rsidR="00482034" w:rsidRDefault="00482034">
      <w:pPr>
        <w:tabs>
          <w:tab w:val="left" w:pos="567"/>
        </w:tabs>
        <w:rPr>
          <w:sz w:val="22"/>
          <w:szCs w:val="22"/>
          <w:lang w:val="hu-HU" w:eastAsia="en-US"/>
        </w:rPr>
      </w:pPr>
    </w:p>
    <w:p w14:paraId="6D118CB8" w14:textId="77777777" w:rsidR="00482034" w:rsidRDefault="00FE15A1">
      <w:pPr>
        <w:tabs>
          <w:tab w:val="left" w:pos="567"/>
        </w:tabs>
        <w:rPr>
          <w:sz w:val="22"/>
          <w:szCs w:val="22"/>
          <w:lang w:val="hu-HU" w:eastAsia="en-US"/>
        </w:rPr>
      </w:pPr>
      <w:r>
        <w:rPr>
          <w:sz w:val="22"/>
          <w:szCs w:val="22"/>
          <w:lang w:val="hu-HU" w:eastAsia="en-US"/>
        </w:rPr>
        <w:t>A forgalomba hozatali engedély első kiadásának dátuma: 2021. augusztus 3.</w:t>
      </w:r>
    </w:p>
    <w:p w14:paraId="5550580B" w14:textId="77777777" w:rsidR="00482034" w:rsidRDefault="00482034">
      <w:pPr>
        <w:tabs>
          <w:tab w:val="left" w:pos="567"/>
        </w:tabs>
        <w:rPr>
          <w:sz w:val="22"/>
          <w:szCs w:val="22"/>
          <w:lang w:val="hu-HU" w:eastAsia="en-US"/>
        </w:rPr>
      </w:pPr>
    </w:p>
    <w:p w14:paraId="064E78BD" w14:textId="77777777" w:rsidR="00482034" w:rsidRDefault="00482034">
      <w:pPr>
        <w:tabs>
          <w:tab w:val="left" w:pos="567"/>
        </w:tabs>
        <w:rPr>
          <w:sz w:val="22"/>
          <w:szCs w:val="22"/>
          <w:lang w:val="hu-HU" w:eastAsia="en-US"/>
        </w:rPr>
      </w:pPr>
    </w:p>
    <w:p w14:paraId="0B7A9CDE" w14:textId="77777777" w:rsidR="00482034" w:rsidRDefault="00FE15A1">
      <w:pPr>
        <w:tabs>
          <w:tab w:val="left" w:pos="567"/>
        </w:tabs>
        <w:rPr>
          <w:sz w:val="22"/>
          <w:szCs w:val="22"/>
          <w:lang w:val="hu-HU" w:eastAsia="en-US"/>
        </w:rPr>
      </w:pPr>
      <w:r>
        <w:rPr>
          <w:b/>
          <w:sz w:val="22"/>
          <w:szCs w:val="22"/>
          <w:lang w:val="hu-HU" w:eastAsia="en-US"/>
        </w:rPr>
        <w:t>10.</w:t>
      </w:r>
      <w:r>
        <w:rPr>
          <w:b/>
          <w:sz w:val="22"/>
          <w:szCs w:val="22"/>
          <w:lang w:val="hu-HU" w:eastAsia="en-US"/>
        </w:rPr>
        <w:tab/>
        <w:t>A SZÖVEG ELLENŐRZÉSÉNEK DÁTUMA</w:t>
      </w:r>
    </w:p>
    <w:p w14:paraId="79E09895" w14:textId="77777777" w:rsidR="00482034" w:rsidRDefault="00482034">
      <w:pPr>
        <w:tabs>
          <w:tab w:val="left" w:pos="567"/>
        </w:tabs>
        <w:rPr>
          <w:sz w:val="22"/>
          <w:szCs w:val="22"/>
          <w:lang w:val="hu-HU" w:eastAsia="en-US"/>
        </w:rPr>
      </w:pPr>
    </w:p>
    <w:p w14:paraId="384A8537" w14:textId="6CCB6E79" w:rsidR="00482034" w:rsidRDefault="00FE15A1">
      <w:pPr>
        <w:widowControl w:val="0"/>
        <w:tabs>
          <w:tab w:val="left" w:pos="567"/>
        </w:tabs>
        <w:rPr>
          <w:noProof/>
          <w:sz w:val="22"/>
          <w:szCs w:val="22"/>
          <w:lang w:val="hu-HU" w:eastAsia="en-US"/>
        </w:rPr>
      </w:pPr>
      <w:r>
        <w:rPr>
          <w:noProof/>
          <w:sz w:val="22"/>
          <w:szCs w:val="22"/>
          <w:lang w:val="hu-HU" w:eastAsia="en-US"/>
        </w:rPr>
        <w:t xml:space="preserve">2026. </w:t>
      </w:r>
      <w:r w:rsidR="00777C5E">
        <w:rPr>
          <w:noProof/>
          <w:sz w:val="22"/>
          <w:szCs w:val="22"/>
          <w:lang w:val="hu-HU" w:eastAsia="en-US"/>
        </w:rPr>
        <w:t>augusztus 14</w:t>
      </w:r>
      <w:bookmarkStart w:id="0" w:name="_GoBack"/>
      <w:bookmarkEnd w:id="0"/>
      <w:r w:rsidR="00EB1D74">
        <w:rPr>
          <w:noProof/>
          <w:sz w:val="22"/>
          <w:szCs w:val="22"/>
          <w:lang w:val="hu-HU" w:eastAsia="en-US"/>
        </w:rPr>
        <w:t>.</w:t>
      </w:r>
    </w:p>
    <w:sectPr w:rsidR="00482034">
      <w:headerReference w:type="default" r:id="rId10"/>
      <w:footerReference w:type="even" r:id="rId11"/>
      <w:footerReference w:type="first" r:id="rId12"/>
      <w:type w:val="continuous"/>
      <w:pgSz w:w="11907" w:h="16840" w:code="9"/>
      <w:pgMar w:top="1134" w:right="1418" w:bottom="1134" w:left="1418" w:header="737" w:footer="73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380142" w14:textId="77777777" w:rsidR="00AD0808" w:rsidRDefault="00AD0808">
      <w:r>
        <w:separator/>
      </w:r>
    </w:p>
  </w:endnote>
  <w:endnote w:type="continuationSeparator" w:id="0">
    <w:p w14:paraId="0B465DAD" w14:textId="77777777" w:rsidR="00AD0808" w:rsidRDefault="00AD0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2798B" w14:textId="77777777" w:rsidR="00482034" w:rsidRDefault="00FE15A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58CD99E5" w14:textId="77777777" w:rsidR="00482034" w:rsidRDefault="00482034">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622B2D" w14:textId="77777777" w:rsidR="00FE15A1" w:rsidRPr="00FE15A1" w:rsidRDefault="00FE15A1" w:rsidP="00FE15A1">
    <w:pPr>
      <w:pStyle w:val="llb"/>
      <w:rPr>
        <w:sz w:val="18"/>
        <w:szCs w:val="18"/>
        <w:lang w:val="hu-HU"/>
      </w:rPr>
    </w:pPr>
    <w:r w:rsidRPr="00FE15A1">
      <w:rPr>
        <w:sz w:val="18"/>
        <w:szCs w:val="18"/>
        <w:lang w:val="hu-HU"/>
      </w:rPr>
      <w:t>NNGYK/ETGY/30024/2025</w:t>
    </w:r>
  </w:p>
  <w:p w14:paraId="421F22BB" w14:textId="77777777" w:rsidR="00FE15A1" w:rsidRPr="00FE15A1" w:rsidRDefault="00FE15A1" w:rsidP="00FE15A1">
    <w:pPr>
      <w:pStyle w:val="llb"/>
      <w:rPr>
        <w:sz w:val="18"/>
        <w:szCs w:val="18"/>
        <w:lang w:val="hu-HU"/>
      </w:rPr>
    </w:pPr>
    <w:r w:rsidRPr="00FE15A1">
      <w:rPr>
        <w:sz w:val="18"/>
        <w:szCs w:val="18"/>
        <w:lang w:val="hu-HU"/>
      </w:rPr>
      <w:t>NNGYK/ETGY/30030/2025</w:t>
    </w:r>
  </w:p>
  <w:p w14:paraId="3F84416A" w14:textId="77777777" w:rsidR="00FE15A1" w:rsidRPr="00FE15A1" w:rsidRDefault="00FE15A1" w:rsidP="00FE15A1">
    <w:pPr>
      <w:pStyle w:val="llb"/>
      <w:rPr>
        <w:sz w:val="18"/>
        <w:szCs w:val="18"/>
        <w:lang w:val="hu-HU"/>
      </w:rPr>
    </w:pPr>
    <w:r w:rsidRPr="00FE15A1">
      <w:rPr>
        <w:sz w:val="18"/>
        <w:szCs w:val="18"/>
        <w:lang w:val="hu-HU"/>
      </w:rPr>
      <w:t>NNGYK/ETGY/30035/2025</w:t>
    </w:r>
  </w:p>
  <w:p w14:paraId="4FCE6569" w14:textId="77777777" w:rsidR="00FE15A1" w:rsidRPr="00FE15A1" w:rsidRDefault="00FE15A1" w:rsidP="00FE15A1">
    <w:pPr>
      <w:pStyle w:val="llb"/>
      <w:rPr>
        <w:sz w:val="18"/>
        <w:szCs w:val="18"/>
        <w:lang w:val="hu-HU"/>
      </w:rPr>
    </w:pPr>
    <w:r w:rsidRPr="00FE15A1">
      <w:rPr>
        <w:sz w:val="18"/>
        <w:szCs w:val="18"/>
        <w:lang w:val="hu-HU"/>
      </w:rPr>
      <w:t>NNGYK/ETGY/30038/2025</w:t>
    </w:r>
  </w:p>
  <w:p w14:paraId="24D01C57" w14:textId="36A42985" w:rsidR="00482034" w:rsidRDefault="00FE15A1">
    <w:pPr>
      <w:pStyle w:val="llb"/>
      <w:rPr>
        <w:sz w:val="18"/>
        <w:szCs w:val="18"/>
      </w:rPr>
    </w:pPr>
    <w:r w:rsidRPr="00FE15A1">
      <w:rPr>
        <w:sz w:val="18"/>
        <w:szCs w:val="18"/>
        <w:lang w:val="hu-HU"/>
      </w:rPr>
      <w:t>NNGYK/ETGY/30041/2025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EB129" w14:textId="77777777" w:rsidR="00AD0808" w:rsidRDefault="00AD0808">
      <w:r>
        <w:separator/>
      </w:r>
    </w:p>
  </w:footnote>
  <w:footnote w:type="continuationSeparator" w:id="0">
    <w:p w14:paraId="7C4E4A6A" w14:textId="77777777" w:rsidR="00AD0808" w:rsidRDefault="00AD0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TableTag1"/>
  <w:bookmarkEnd w:id="1"/>
  <w:p w14:paraId="13B3F9C2" w14:textId="3891462B" w:rsidR="00482034" w:rsidRDefault="00FE15A1">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37A8C" w:rsidRPr="00537A8C">
      <w:rPr>
        <w:noProof/>
        <w:sz w:val="18"/>
        <w:szCs w:val="18"/>
        <w:lang w:val="hu-HU"/>
      </w:rPr>
      <w:t>16</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51C6B"/>
    <w:multiLevelType w:val="hybridMultilevel"/>
    <w:tmpl w:val="F53215F0"/>
    <w:lvl w:ilvl="0" w:tplc="04240001">
      <w:start w:val="1"/>
      <w:numFmt w:val="bullet"/>
      <w:lvlText w:val=""/>
      <w:lvlJc w:val="left"/>
      <w:pPr>
        <w:ind w:left="778" w:hanging="360"/>
      </w:pPr>
      <w:rPr>
        <w:rFonts w:ascii="Symbol" w:hAnsi="Symbol" w:hint="default"/>
      </w:rPr>
    </w:lvl>
    <w:lvl w:ilvl="1" w:tplc="04240003" w:tentative="1">
      <w:start w:val="1"/>
      <w:numFmt w:val="bullet"/>
      <w:lvlText w:val="o"/>
      <w:lvlJc w:val="left"/>
      <w:pPr>
        <w:ind w:left="1498" w:hanging="360"/>
      </w:pPr>
      <w:rPr>
        <w:rFonts w:ascii="Courier New" w:hAnsi="Courier New" w:cs="Courier New" w:hint="default"/>
      </w:rPr>
    </w:lvl>
    <w:lvl w:ilvl="2" w:tplc="04240005" w:tentative="1">
      <w:start w:val="1"/>
      <w:numFmt w:val="bullet"/>
      <w:lvlText w:val=""/>
      <w:lvlJc w:val="left"/>
      <w:pPr>
        <w:ind w:left="2218" w:hanging="360"/>
      </w:pPr>
      <w:rPr>
        <w:rFonts w:ascii="Wingdings" w:hAnsi="Wingdings" w:hint="default"/>
      </w:rPr>
    </w:lvl>
    <w:lvl w:ilvl="3" w:tplc="04240001" w:tentative="1">
      <w:start w:val="1"/>
      <w:numFmt w:val="bullet"/>
      <w:lvlText w:val=""/>
      <w:lvlJc w:val="left"/>
      <w:pPr>
        <w:ind w:left="2938" w:hanging="360"/>
      </w:pPr>
      <w:rPr>
        <w:rFonts w:ascii="Symbol" w:hAnsi="Symbol" w:hint="default"/>
      </w:rPr>
    </w:lvl>
    <w:lvl w:ilvl="4" w:tplc="04240003" w:tentative="1">
      <w:start w:val="1"/>
      <w:numFmt w:val="bullet"/>
      <w:lvlText w:val="o"/>
      <w:lvlJc w:val="left"/>
      <w:pPr>
        <w:ind w:left="3658" w:hanging="360"/>
      </w:pPr>
      <w:rPr>
        <w:rFonts w:ascii="Courier New" w:hAnsi="Courier New" w:cs="Courier New" w:hint="default"/>
      </w:rPr>
    </w:lvl>
    <w:lvl w:ilvl="5" w:tplc="04240005" w:tentative="1">
      <w:start w:val="1"/>
      <w:numFmt w:val="bullet"/>
      <w:lvlText w:val=""/>
      <w:lvlJc w:val="left"/>
      <w:pPr>
        <w:ind w:left="4378" w:hanging="360"/>
      </w:pPr>
      <w:rPr>
        <w:rFonts w:ascii="Wingdings" w:hAnsi="Wingdings" w:hint="default"/>
      </w:rPr>
    </w:lvl>
    <w:lvl w:ilvl="6" w:tplc="04240001" w:tentative="1">
      <w:start w:val="1"/>
      <w:numFmt w:val="bullet"/>
      <w:lvlText w:val=""/>
      <w:lvlJc w:val="left"/>
      <w:pPr>
        <w:ind w:left="5098" w:hanging="360"/>
      </w:pPr>
      <w:rPr>
        <w:rFonts w:ascii="Symbol" w:hAnsi="Symbol" w:hint="default"/>
      </w:rPr>
    </w:lvl>
    <w:lvl w:ilvl="7" w:tplc="04240003" w:tentative="1">
      <w:start w:val="1"/>
      <w:numFmt w:val="bullet"/>
      <w:lvlText w:val="o"/>
      <w:lvlJc w:val="left"/>
      <w:pPr>
        <w:ind w:left="5818" w:hanging="360"/>
      </w:pPr>
      <w:rPr>
        <w:rFonts w:ascii="Courier New" w:hAnsi="Courier New" w:cs="Courier New" w:hint="default"/>
      </w:rPr>
    </w:lvl>
    <w:lvl w:ilvl="8" w:tplc="04240005" w:tentative="1">
      <w:start w:val="1"/>
      <w:numFmt w:val="bullet"/>
      <w:lvlText w:val=""/>
      <w:lvlJc w:val="left"/>
      <w:pPr>
        <w:ind w:left="6538" w:hanging="360"/>
      </w:pPr>
      <w:rPr>
        <w:rFonts w:ascii="Wingdings" w:hAnsi="Wingdings" w:hint="default"/>
      </w:rPr>
    </w:lvl>
  </w:abstractNum>
  <w:abstractNum w:abstractNumId="1" w15:restartNumberingAfterBreak="0">
    <w:nsid w:val="15DD7B53"/>
    <w:multiLevelType w:val="hybridMultilevel"/>
    <w:tmpl w:val="D842E566"/>
    <w:lvl w:ilvl="0" w:tplc="5D589352">
      <w:start w:val="1"/>
      <w:numFmt w:val="bullet"/>
      <w:lvlText w:val="-"/>
      <w:lvlJc w:val="left"/>
      <w:pPr>
        <w:ind w:left="720" w:hanging="360"/>
      </w:pPr>
      <w:rPr>
        <w:rFonts w:ascii="Times New Roman" w:eastAsia="Times New Roman" w:hAnsi="Times New Roman" w:cs="Times New Roman" w:hint="default"/>
      </w:rPr>
    </w:lvl>
    <w:lvl w:ilvl="1" w:tplc="147AD850" w:tentative="1">
      <w:start w:val="1"/>
      <w:numFmt w:val="bullet"/>
      <w:lvlText w:val="o"/>
      <w:lvlJc w:val="left"/>
      <w:pPr>
        <w:ind w:left="1440" w:hanging="360"/>
      </w:pPr>
      <w:rPr>
        <w:rFonts w:ascii="Courier New" w:hAnsi="Courier New" w:cs="Courier New" w:hint="default"/>
      </w:rPr>
    </w:lvl>
    <w:lvl w:ilvl="2" w:tplc="F7E6DD78" w:tentative="1">
      <w:start w:val="1"/>
      <w:numFmt w:val="bullet"/>
      <w:lvlText w:val=""/>
      <w:lvlJc w:val="left"/>
      <w:pPr>
        <w:ind w:left="2160" w:hanging="360"/>
      </w:pPr>
      <w:rPr>
        <w:rFonts w:ascii="Wingdings" w:hAnsi="Wingdings" w:hint="default"/>
      </w:rPr>
    </w:lvl>
    <w:lvl w:ilvl="3" w:tplc="DB4EB73E" w:tentative="1">
      <w:start w:val="1"/>
      <w:numFmt w:val="bullet"/>
      <w:lvlText w:val=""/>
      <w:lvlJc w:val="left"/>
      <w:pPr>
        <w:ind w:left="2880" w:hanging="360"/>
      </w:pPr>
      <w:rPr>
        <w:rFonts w:ascii="Symbol" w:hAnsi="Symbol" w:hint="default"/>
      </w:rPr>
    </w:lvl>
    <w:lvl w:ilvl="4" w:tplc="6CC2ABAA" w:tentative="1">
      <w:start w:val="1"/>
      <w:numFmt w:val="bullet"/>
      <w:lvlText w:val="o"/>
      <w:lvlJc w:val="left"/>
      <w:pPr>
        <w:ind w:left="3600" w:hanging="360"/>
      </w:pPr>
      <w:rPr>
        <w:rFonts w:ascii="Courier New" w:hAnsi="Courier New" w:cs="Courier New" w:hint="default"/>
      </w:rPr>
    </w:lvl>
    <w:lvl w:ilvl="5" w:tplc="49406BAA" w:tentative="1">
      <w:start w:val="1"/>
      <w:numFmt w:val="bullet"/>
      <w:lvlText w:val=""/>
      <w:lvlJc w:val="left"/>
      <w:pPr>
        <w:ind w:left="4320" w:hanging="360"/>
      </w:pPr>
      <w:rPr>
        <w:rFonts w:ascii="Wingdings" w:hAnsi="Wingdings" w:hint="default"/>
      </w:rPr>
    </w:lvl>
    <w:lvl w:ilvl="6" w:tplc="F67A4A48" w:tentative="1">
      <w:start w:val="1"/>
      <w:numFmt w:val="bullet"/>
      <w:lvlText w:val=""/>
      <w:lvlJc w:val="left"/>
      <w:pPr>
        <w:ind w:left="5040" w:hanging="360"/>
      </w:pPr>
      <w:rPr>
        <w:rFonts w:ascii="Symbol" w:hAnsi="Symbol" w:hint="default"/>
      </w:rPr>
    </w:lvl>
    <w:lvl w:ilvl="7" w:tplc="1CFE9682" w:tentative="1">
      <w:start w:val="1"/>
      <w:numFmt w:val="bullet"/>
      <w:lvlText w:val="o"/>
      <w:lvlJc w:val="left"/>
      <w:pPr>
        <w:ind w:left="5760" w:hanging="360"/>
      </w:pPr>
      <w:rPr>
        <w:rFonts w:ascii="Courier New" w:hAnsi="Courier New" w:cs="Courier New" w:hint="default"/>
      </w:rPr>
    </w:lvl>
    <w:lvl w:ilvl="8" w:tplc="6A2EF7C2" w:tentative="1">
      <w:start w:val="1"/>
      <w:numFmt w:val="bullet"/>
      <w:lvlText w:val=""/>
      <w:lvlJc w:val="left"/>
      <w:pPr>
        <w:ind w:left="6480" w:hanging="360"/>
      </w:pPr>
      <w:rPr>
        <w:rFonts w:ascii="Wingdings" w:hAnsi="Wingdings" w:hint="default"/>
      </w:rPr>
    </w:lvl>
  </w:abstractNum>
  <w:abstractNum w:abstractNumId="2" w15:restartNumberingAfterBreak="0">
    <w:nsid w:val="17513817"/>
    <w:multiLevelType w:val="hybridMultilevel"/>
    <w:tmpl w:val="2662D480"/>
    <w:lvl w:ilvl="0" w:tplc="D9A08B04">
      <w:start w:val="1"/>
      <w:numFmt w:val="bullet"/>
      <w:lvlText w:val="-"/>
      <w:lvlJc w:val="left"/>
      <w:pPr>
        <w:tabs>
          <w:tab w:val="num" w:pos="360"/>
        </w:tabs>
        <w:ind w:left="360" w:hanging="360"/>
      </w:pPr>
      <w:rPr>
        <w:rFonts w:ascii="Times New Roman" w:eastAsia="Times New Roman" w:hAnsi="Times New Roman" w:cs="Times New Roman" w:hint="default"/>
      </w:rPr>
    </w:lvl>
    <w:lvl w:ilvl="1" w:tplc="C2EA0076" w:tentative="1">
      <w:start w:val="1"/>
      <w:numFmt w:val="bullet"/>
      <w:lvlText w:val="o"/>
      <w:lvlJc w:val="left"/>
      <w:pPr>
        <w:tabs>
          <w:tab w:val="num" w:pos="1080"/>
        </w:tabs>
        <w:ind w:left="1080" w:hanging="360"/>
      </w:pPr>
      <w:rPr>
        <w:rFonts w:ascii="Courier New" w:hAnsi="Courier New" w:cs="Courier New" w:hint="default"/>
      </w:rPr>
    </w:lvl>
    <w:lvl w:ilvl="2" w:tplc="F556A266" w:tentative="1">
      <w:start w:val="1"/>
      <w:numFmt w:val="bullet"/>
      <w:lvlText w:val=""/>
      <w:lvlJc w:val="left"/>
      <w:pPr>
        <w:tabs>
          <w:tab w:val="num" w:pos="1800"/>
        </w:tabs>
        <w:ind w:left="1800" w:hanging="360"/>
      </w:pPr>
      <w:rPr>
        <w:rFonts w:ascii="Wingdings" w:hAnsi="Wingdings" w:hint="default"/>
      </w:rPr>
    </w:lvl>
    <w:lvl w:ilvl="3" w:tplc="C01A5022" w:tentative="1">
      <w:start w:val="1"/>
      <w:numFmt w:val="bullet"/>
      <w:lvlText w:val=""/>
      <w:lvlJc w:val="left"/>
      <w:pPr>
        <w:tabs>
          <w:tab w:val="num" w:pos="2520"/>
        </w:tabs>
        <w:ind w:left="2520" w:hanging="360"/>
      </w:pPr>
      <w:rPr>
        <w:rFonts w:ascii="Symbol" w:hAnsi="Symbol" w:hint="default"/>
      </w:rPr>
    </w:lvl>
    <w:lvl w:ilvl="4" w:tplc="AEFEC142" w:tentative="1">
      <w:start w:val="1"/>
      <w:numFmt w:val="bullet"/>
      <w:lvlText w:val="o"/>
      <w:lvlJc w:val="left"/>
      <w:pPr>
        <w:tabs>
          <w:tab w:val="num" w:pos="3240"/>
        </w:tabs>
        <w:ind w:left="3240" w:hanging="360"/>
      </w:pPr>
      <w:rPr>
        <w:rFonts w:ascii="Courier New" w:hAnsi="Courier New" w:cs="Courier New" w:hint="default"/>
      </w:rPr>
    </w:lvl>
    <w:lvl w:ilvl="5" w:tplc="85E87A78" w:tentative="1">
      <w:start w:val="1"/>
      <w:numFmt w:val="bullet"/>
      <w:lvlText w:val=""/>
      <w:lvlJc w:val="left"/>
      <w:pPr>
        <w:tabs>
          <w:tab w:val="num" w:pos="3960"/>
        </w:tabs>
        <w:ind w:left="3960" w:hanging="360"/>
      </w:pPr>
      <w:rPr>
        <w:rFonts w:ascii="Wingdings" w:hAnsi="Wingdings" w:hint="default"/>
      </w:rPr>
    </w:lvl>
    <w:lvl w:ilvl="6" w:tplc="E46A5EC8" w:tentative="1">
      <w:start w:val="1"/>
      <w:numFmt w:val="bullet"/>
      <w:lvlText w:val=""/>
      <w:lvlJc w:val="left"/>
      <w:pPr>
        <w:tabs>
          <w:tab w:val="num" w:pos="4680"/>
        </w:tabs>
        <w:ind w:left="4680" w:hanging="360"/>
      </w:pPr>
      <w:rPr>
        <w:rFonts w:ascii="Symbol" w:hAnsi="Symbol" w:hint="default"/>
      </w:rPr>
    </w:lvl>
    <w:lvl w:ilvl="7" w:tplc="9F5AF1A0" w:tentative="1">
      <w:start w:val="1"/>
      <w:numFmt w:val="bullet"/>
      <w:lvlText w:val="o"/>
      <w:lvlJc w:val="left"/>
      <w:pPr>
        <w:tabs>
          <w:tab w:val="num" w:pos="5400"/>
        </w:tabs>
        <w:ind w:left="5400" w:hanging="360"/>
      </w:pPr>
      <w:rPr>
        <w:rFonts w:ascii="Courier New" w:hAnsi="Courier New" w:cs="Courier New" w:hint="default"/>
      </w:rPr>
    </w:lvl>
    <w:lvl w:ilvl="8" w:tplc="3222CB78"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4" w15:restartNumberingAfterBreak="0">
    <w:nsid w:val="2D997928"/>
    <w:multiLevelType w:val="hybridMultilevel"/>
    <w:tmpl w:val="9F0E6844"/>
    <w:lvl w:ilvl="0" w:tplc="EA8CBE56">
      <w:start w:val="1"/>
      <w:numFmt w:val="bullet"/>
      <w:lvlText w:val=""/>
      <w:lvlJc w:val="left"/>
      <w:pPr>
        <w:ind w:left="720" w:hanging="360"/>
      </w:pPr>
      <w:rPr>
        <w:rFonts w:ascii="Symbol" w:hAnsi="Symbol" w:hint="default"/>
      </w:rPr>
    </w:lvl>
    <w:lvl w:ilvl="1" w:tplc="94CCD632" w:tentative="1">
      <w:start w:val="1"/>
      <w:numFmt w:val="bullet"/>
      <w:lvlText w:val="o"/>
      <w:lvlJc w:val="left"/>
      <w:pPr>
        <w:ind w:left="1440" w:hanging="360"/>
      </w:pPr>
      <w:rPr>
        <w:rFonts w:ascii="Courier New" w:hAnsi="Courier New" w:cs="Courier New" w:hint="default"/>
      </w:rPr>
    </w:lvl>
    <w:lvl w:ilvl="2" w:tplc="EBD86C90" w:tentative="1">
      <w:start w:val="1"/>
      <w:numFmt w:val="bullet"/>
      <w:lvlText w:val=""/>
      <w:lvlJc w:val="left"/>
      <w:pPr>
        <w:ind w:left="2160" w:hanging="360"/>
      </w:pPr>
      <w:rPr>
        <w:rFonts w:ascii="Wingdings" w:hAnsi="Wingdings" w:hint="default"/>
      </w:rPr>
    </w:lvl>
    <w:lvl w:ilvl="3" w:tplc="4F76E32C" w:tentative="1">
      <w:start w:val="1"/>
      <w:numFmt w:val="bullet"/>
      <w:lvlText w:val=""/>
      <w:lvlJc w:val="left"/>
      <w:pPr>
        <w:ind w:left="2880" w:hanging="360"/>
      </w:pPr>
      <w:rPr>
        <w:rFonts w:ascii="Symbol" w:hAnsi="Symbol" w:hint="default"/>
      </w:rPr>
    </w:lvl>
    <w:lvl w:ilvl="4" w:tplc="D4241910" w:tentative="1">
      <w:start w:val="1"/>
      <w:numFmt w:val="bullet"/>
      <w:lvlText w:val="o"/>
      <w:lvlJc w:val="left"/>
      <w:pPr>
        <w:ind w:left="3600" w:hanging="360"/>
      </w:pPr>
      <w:rPr>
        <w:rFonts w:ascii="Courier New" w:hAnsi="Courier New" w:cs="Courier New" w:hint="default"/>
      </w:rPr>
    </w:lvl>
    <w:lvl w:ilvl="5" w:tplc="F792206C" w:tentative="1">
      <w:start w:val="1"/>
      <w:numFmt w:val="bullet"/>
      <w:lvlText w:val=""/>
      <w:lvlJc w:val="left"/>
      <w:pPr>
        <w:ind w:left="4320" w:hanging="360"/>
      </w:pPr>
      <w:rPr>
        <w:rFonts w:ascii="Wingdings" w:hAnsi="Wingdings" w:hint="default"/>
      </w:rPr>
    </w:lvl>
    <w:lvl w:ilvl="6" w:tplc="44A4B49A" w:tentative="1">
      <w:start w:val="1"/>
      <w:numFmt w:val="bullet"/>
      <w:lvlText w:val=""/>
      <w:lvlJc w:val="left"/>
      <w:pPr>
        <w:ind w:left="5040" w:hanging="360"/>
      </w:pPr>
      <w:rPr>
        <w:rFonts w:ascii="Symbol" w:hAnsi="Symbol" w:hint="default"/>
      </w:rPr>
    </w:lvl>
    <w:lvl w:ilvl="7" w:tplc="054C6CDC" w:tentative="1">
      <w:start w:val="1"/>
      <w:numFmt w:val="bullet"/>
      <w:lvlText w:val="o"/>
      <w:lvlJc w:val="left"/>
      <w:pPr>
        <w:ind w:left="5760" w:hanging="360"/>
      </w:pPr>
      <w:rPr>
        <w:rFonts w:ascii="Courier New" w:hAnsi="Courier New" w:cs="Courier New" w:hint="default"/>
      </w:rPr>
    </w:lvl>
    <w:lvl w:ilvl="8" w:tplc="AEF8F902" w:tentative="1">
      <w:start w:val="1"/>
      <w:numFmt w:val="bullet"/>
      <w:lvlText w:val=""/>
      <w:lvlJc w:val="left"/>
      <w:pPr>
        <w:ind w:left="6480" w:hanging="360"/>
      </w:pPr>
      <w:rPr>
        <w:rFonts w:ascii="Wingdings" w:hAnsi="Wingdings" w:hint="default"/>
      </w:rPr>
    </w:lvl>
  </w:abstractNum>
  <w:abstractNum w:abstractNumId="5" w15:restartNumberingAfterBreak="0">
    <w:nsid w:val="60F01E20"/>
    <w:multiLevelType w:val="hybridMultilevel"/>
    <w:tmpl w:val="E5324CC6"/>
    <w:lvl w:ilvl="0" w:tplc="9296F3A2">
      <w:start w:val="1"/>
      <w:numFmt w:val="bullet"/>
      <w:lvlText w:val="-"/>
      <w:lvlJc w:val="left"/>
      <w:pPr>
        <w:ind w:left="720" w:hanging="360"/>
      </w:pPr>
      <w:rPr>
        <w:rFonts w:ascii="Times New Roman" w:hAnsi="Times New Roman" w:cs="Times New Roman" w:hint="default"/>
      </w:rPr>
    </w:lvl>
    <w:lvl w:ilvl="1" w:tplc="158041F2" w:tentative="1">
      <w:start w:val="1"/>
      <w:numFmt w:val="bullet"/>
      <w:lvlText w:val="o"/>
      <w:lvlJc w:val="left"/>
      <w:pPr>
        <w:ind w:left="1440" w:hanging="360"/>
      </w:pPr>
      <w:rPr>
        <w:rFonts w:ascii="Courier New" w:hAnsi="Courier New" w:cs="Courier New" w:hint="default"/>
      </w:rPr>
    </w:lvl>
    <w:lvl w:ilvl="2" w:tplc="38EAB33C" w:tentative="1">
      <w:start w:val="1"/>
      <w:numFmt w:val="bullet"/>
      <w:lvlText w:val=""/>
      <w:lvlJc w:val="left"/>
      <w:pPr>
        <w:ind w:left="2160" w:hanging="360"/>
      </w:pPr>
      <w:rPr>
        <w:rFonts w:ascii="Wingdings" w:hAnsi="Wingdings" w:hint="default"/>
      </w:rPr>
    </w:lvl>
    <w:lvl w:ilvl="3" w:tplc="BCA6C49A" w:tentative="1">
      <w:start w:val="1"/>
      <w:numFmt w:val="bullet"/>
      <w:lvlText w:val=""/>
      <w:lvlJc w:val="left"/>
      <w:pPr>
        <w:ind w:left="2880" w:hanging="360"/>
      </w:pPr>
      <w:rPr>
        <w:rFonts w:ascii="Symbol" w:hAnsi="Symbol" w:hint="default"/>
      </w:rPr>
    </w:lvl>
    <w:lvl w:ilvl="4" w:tplc="ED2C6022" w:tentative="1">
      <w:start w:val="1"/>
      <w:numFmt w:val="bullet"/>
      <w:lvlText w:val="o"/>
      <w:lvlJc w:val="left"/>
      <w:pPr>
        <w:ind w:left="3600" w:hanging="360"/>
      </w:pPr>
      <w:rPr>
        <w:rFonts w:ascii="Courier New" w:hAnsi="Courier New" w:cs="Courier New" w:hint="default"/>
      </w:rPr>
    </w:lvl>
    <w:lvl w:ilvl="5" w:tplc="518CC47C" w:tentative="1">
      <w:start w:val="1"/>
      <w:numFmt w:val="bullet"/>
      <w:lvlText w:val=""/>
      <w:lvlJc w:val="left"/>
      <w:pPr>
        <w:ind w:left="4320" w:hanging="360"/>
      </w:pPr>
      <w:rPr>
        <w:rFonts w:ascii="Wingdings" w:hAnsi="Wingdings" w:hint="default"/>
      </w:rPr>
    </w:lvl>
    <w:lvl w:ilvl="6" w:tplc="64D0F468" w:tentative="1">
      <w:start w:val="1"/>
      <w:numFmt w:val="bullet"/>
      <w:lvlText w:val=""/>
      <w:lvlJc w:val="left"/>
      <w:pPr>
        <w:ind w:left="5040" w:hanging="360"/>
      </w:pPr>
      <w:rPr>
        <w:rFonts w:ascii="Symbol" w:hAnsi="Symbol" w:hint="default"/>
      </w:rPr>
    </w:lvl>
    <w:lvl w:ilvl="7" w:tplc="D57A2AEA" w:tentative="1">
      <w:start w:val="1"/>
      <w:numFmt w:val="bullet"/>
      <w:lvlText w:val="o"/>
      <w:lvlJc w:val="left"/>
      <w:pPr>
        <w:ind w:left="5760" w:hanging="360"/>
      </w:pPr>
      <w:rPr>
        <w:rFonts w:ascii="Courier New" w:hAnsi="Courier New" w:cs="Courier New" w:hint="default"/>
      </w:rPr>
    </w:lvl>
    <w:lvl w:ilvl="8" w:tplc="A1CA6CB2"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2034"/>
    <w:rsid w:val="000E4CBA"/>
    <w:rsid w:val="0010769B"/>
    <w:rsid w:val="003D292A"/>
    <w:rsid w:val="00482034"/>
    <w:rsid w:val="00537A8C"/>
    <w:rsid w:val="00621E10"/>
    <w:rsid w:val="00737219"/>
    <w:rsid w:val="00777C5E"/>
    <w:rsid w:val="00A7403A"/>
    <w:rsid w:val="00AD0808"/>
    <w:rsid w:val="00DB4D1A"/>
    <w:rsid w:val="00E05CC1"/>
    <w:rsid w:val="00EB1D74"/>
    <w:rsid w:val="00F60924"/>
    <w:rsid w:val="00FE15A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942C4B"/>
  <w15:chartTrackingRefBased/>
  <w15:docId w15:val="{7F49FC3F-1CB2-4C57-A973-D7F8B6F8C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4"/>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5">
    <w:name w:val="heading 5"/>
    <w:basedOn w:val="Norml"/>
    <w:next w:val="Norml"/>
    <w:link w:val="Cmsor5Char"/>
    <w:qFormat/>
    <w:pPr>
      <w:keepNext/>
      <w:tabs>
        <w:tab w:val="left" w:pos="567"/>
      </w:tabs>
      <w:spacing w:line="260" w:lineRule="exact"/>
      <w:jc w:val="both"/>
      <w:outlineLvl w:val="4"/>
    </w:pPr>
    <w:rPr>
      <w:noProof/>
      <w:sz w:val="22"/>
      <w:lang w:val="en-US" w:eastAsia="en-US"/>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paragraph" w:styleId="Cmsor7">
    <w:name w:val="heading 7"/>
    <w:basedOn w:val="Norml"/>
    <w:next w:val="Norml"/>
    <w:link w:val="Cmsor7Char"/>
    <w:qFormat/>
    <w:pPr>
      <w:keepNext/>
      <w:tabs>
        <w:tab w:val="left" w:pos="-720"/>
        <w:tab w:val="left" w:pos="567"/>
        <w:tab w:val="left" w:pos="4536"/>
      </w:tabs>
      <w:suppressAutoHyphens/>
      <w:spacing w:line="260" w:lineRule="exact"/>
      <w:jc w:val="both"/>
      <w:outlineLvl w:val="6"/>
    </w:pPr>
    <w:rPr>
      <w:i/>
      <w:sz w:val="22"/>
      <w:lang w:val="en-US" w:eastAsia="en-US"/>
    </w:rPr>
  </w:style>
  <w:style w:type="paragraph" w:styleId="Cmsor8">
    <w:name w:val="heading 8"/>
    <w:basedOn w:val="Norml"/>
    <w:next w:val="Norml"/>
    <w:link w:val="Cmsor8Char"/>
    <w:qFormat/>
    <w:pPr>
      <w:keepNext/>
      <w:tabs>
        <w:tab w:val="left" w:pos="567"/>
      </w:tabs>
      <w:spacing w:line="260" w:lineRule="exact"/>
      <w:ind w:left="567" w:hanging="567"/>
      <w:jc w:val="both"/>
      <w:outlineLvl w:val="7"/>
    </w:pPr>
    <w:rPr>
      <w:b/>
      <w:i/>
      <w:sz w:val="22"/>
      <w:lang w:val="en-US" w:eastAsia="en-US"/>
    </w:rPr>
  </w:style>
  <w:style w:type="paragraph" w:styleId="Cmsor9">
    <w:name w:val="heading 9"/>
    <w:basedOn w:val="Norml"/>
    <w:next w:val="Norml"/>
    <w:link w:val="Cmsor9Char"/>
    <w:qFormat/>
    <w:pPr>
      <w:keepNext/>
      <w:tabs>
        <w:tab w:val="left" w:pos="567"/>
      </w:tabs>
      <w:spacing w:line="260" w:lineRule="exact"/>
      <w:jc w:val="both"/>
      <w:outlineLvl w:val="8"/>
    </w:pPr>
    <w:rPr>
      <w:b/>
      <w:i/>
      <w:sz w:val="22"/>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style>
  <w:style w:type="paragraph" w:styleId="llb">
    <w:name w:val="footer"/>
    <w:aliases w:val="Footer Char1,Footer Char1 Char Char,Footer Char1 Char Char Char Char1,Footer Char1 Char Char Char Char1 Char Char,Footer Char2 Char,Footer Char2 Char Char1 Char,Footer Char2 Char Char1 Char Char Char Char Char Char"/>
    <w:basedOn w:val="Norml"/>
    <w:link w:val="llbChar"/>
    <w:uiPriority w:val="99"/>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aliases w:val="Footer Char1 Char,Footer Char1 Char Char Char,Footer Char1 Char Char Char Char1 Char,Footer Char1 Char Char Char Char1 Char Char Char,Footer Char2,Footer Char2 Char Char1,Footer Char2 Char Char1 Char Char"/>
    <w:uiPriority w:val="99"/>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link w:val="SzvegtrzsChar"/>
    <w:pPr>
      <w:numPr>
        <w:ilvl w:val="12"/>
      </w:numPr>
      <w:tabs>
        <w:tab w:val="left" w:pos="8505"/>
      </w:tabs>
      <w:ind w:right="-2"/>
    </w:pPr>
    <w:rPr>
      <w:sz w:val="22"/>
    </w:r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sz w:val="22"/>
      <w:lang w:val="en-US" w:eastAsia="en-US"/>
    </w:rPr>
  </w:style>
  <w:style w:type="paragraph" w:customStyle="1" w:styleId="Default">
    <w:name w:val="Default"/>
    <w:pPr>
      <w:autoSpaceDE w:val="0"/>
      <w:autoSpaceDN w:val="0"/>
      <w:adjustRightInd w:val="0"/>
    </w:pPr>
    <w:rPr>
      <w:color w:val="000000"/>
      <w:sz w:val="24"/>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sz w:val="22"/>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sz w:val="22"/>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paragraph" w:customStyle="1" w:styleId="TitleB">
    <w:name w:val="Title B"/>
    <w:basedOn w:val="Norml"/>
    <w:qFormat/>
    <w:pPr>
      <w:widowControl w:val="0"/>
      <w:tabs>
        <w:tab w:val="left" w:pos="567"/>
      </w:tabs>
      <w:ind w:left="567" w:hanging="567"/>
    </w:pPr>
    <w:rPr>
      <w:b/>
      <w:bCs/>
      <w:noProof/>
      <w:sz w:val="22"/>
      <w:szCs w:val="22"/>
      <w:lang w:val="en-US" w:eastAsia="en-US"/>
    </w:rPr>
  </w:style>
  <w:style w:type="paragraph" w:customStyle="1" w:styleId="TitleA">
    <w:name w:val="Title A"/>
    <w:basedOn w:val="Norml"/>
    <w:qFormat/>
    <w:pPr>
      <w:widowControl w:val="0"/>
      <w:jc w:val="center"/>
      <w:outlineLvl w:val="0"/>
    </w:pPr>
    <w:rPr>
      <w:b/>
      <w:noProof/>
      <w:sz w:val="22"/>
      <w:szCs w:val="22"/>
      <w:lang w:val="en-GB" w:eastAsia="en-US"/>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cs="Tahoma"/>
      <w:sz w:val="16"/>
      <w:szCs w:val="16"/>
    </w:rPr>
  </w:style>
  <w:style w:type="character" w:customStyle="1" w:styleId="BuborkszvegChar">
    <w:name w:val="Buborékszöveg Char"/>
    <w:link w:val="Buborkszveg"/>
    <w:rPr>
      <w:rFonts w:ascii="Tahoma" w:hAnsi="Tahoma" w:cs="Tahoma"/>
      <w:sz w:val="16"/>
      <w:szCs w:val="16"/>
    </w:rPr>
  </w:style>
  <w:style w:type="numbering" w:customStyle="1" w:styleId="Brezseznama6">
    <w:name w:val="Brez seznama6"/>
    <w:next w:val="Nemlista"/>
    <w:uiPriority w:val="99"/>
    <w:semiHidden/>
    <w:unhideWhenUsed/>
  </w:style>
  <w:style w:type="paragraph" w:customStyle="1" w:styleId="BodytextAgency">
    <w:name w:val="Body text (Agency)"/>
    <w:basedOn w:val="Norml"/>
    <w:link w:val="BodytextAgencyChar"/>
    <w:pPr>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rPr>
      <w:rFonts w:ascii="Verdana" w:eastAsia="Verdana" w:hAnsi="Verdana" w:cs="Verdana"/>
      <w:sz w:val="18"/>
      <w:szCs w:val="18"/>
      <w:lang w:val="en-GB" w:eastAsia="en-GB"/>
    </w:rPr>
  </w:style>
  <w:style w:type="paragraph" w:styleId="Listaszerbekezds">
    <w:name w:val="List Paragraph"/>
    <w:basedOn w:val="Norml"/>
    <w:uiPriority w:val="1"/>
    <w:qFormat/>
    <w:pPr>
      <w:widowControl w:val="0"/>
      <w:autoSpaceDE w:val="0"/>
      <w:autoSpaceDN w:val="0"/>
      <w:ind w:left="784" w:hanging="566"/>
    </w:pPr>
    <w:rPr>
      <w:sz w:val="22"/>
      <w:szCs w:val="22"/>
      <w:lang w:val="en-US" w:eastAsia="en-US"/>
    </w:rPr>
  </w:style>
  <w:style w:type="character" w:customStyle="1" w:styleId="Cmsor5Char">
    <w:name w:val="Címsor 5 Char"/>
    <w:link w:val="Cmsor5"/>
    <w:rPr>
      <w:noProof/>
      <w:sz w:val="22"/>
      <w:lang w:val="en-US" w:eastAsia="en-US"/>
    </w:rPr>
  </w:style>
  <w:style w:type="character" w:customStyle="1" w:styleId="Cmsor7Char">
    <w:name w:val="Címsor 7 Char"/>
    <w:link w:val="Cmsor7"/>
    <w:rPr>
      <w:i/>
      <w:sz w:val="22"/>
      <w:lang w:val="en-US" w:eastAsia="en-US"/>
    </w:rPr>
  </w:style>
  <w:style w:type="character" w:customStyle="1" w:styleId="Cmsor8Char">
    <w:name w:val="Címsor 8 Char"/>
    <w:link w:val="Cmsor8"/>
    <w:rPr>
      <w:b/>
      <w:i/>
      <w:sz w:val="22"/>
      <w:lang w:val="en-US" w:eastAsia="en-US"/>
    </w:rPr>
  </w:style>
  <w:style w:type="character" w:customStyle="1" w:styleId="Cmsor9Char">
    <w:name w:val="Címsor 9 Char"/>
    <w:link w:val="Cmsor9"/>
    <w:rPr>
      <w:b/>
      <w:i/>
      <w:sz w:val="22"/>
      <w:lang w:val="en-US" w:eastAsia="en-US"/>
    </w:rPr>
  </w:style>
  <w:style w:type="numbering" w:customStyle="1" w:styleId="Nemlista1">
    <w:name w:val="Nem lista1"/>
    <w:next w:val="Nemlista"/>
    <w:semiHidden/>
  </w:style>
  <w:style w:type="paragraph" w:styleId="Szvegtrzsbehzssal">
    <w:name w:val="Body Text Indent"/>
    <w:basedOn w:val="Norml"/>
    <w:link w:val="SzvegtrzsbehzssalChar"/>
    <w:pPr>
      <w:autoSpaceDE w:val="0"/>
      <w:autoSpaceDN w:val="0"/>
      <w:adjustRightInd w:val="0"/>
      <w:ind w:left="720"/>
      <w:jc w:val="both"/>
    </w:pPr>
    <w:rPr>
      <w:sz w:val="22"/>
      <w:szCs w:val="22"/>
      <w:lang w:val="en-US" w:eastAsia="en-GB"/>
    </w:rPr>
  </w:style>
  <w:style w:type="character" w:customStyle="1" w:styleId="SzvegtrzsbehzssalChar">
    <w:name w:val="Szövegtörzs behúzással Char"/>
    <w:link w:val="Szvegtrzsbehzssal"/>
    <w:rPr>
      <w:sz w:val="22"/>
      <w:szCs w:val="22"/>
      <w:lang w:val="en-US" w:eastAsia="en-GB"/>
    </w:rPr>
  </w:style>
  <w:style w:type="paragraph" w:styleId="Szvegtrzs3">
    <w:name w:val="Body Text 3"/>
    <w:basedOn w:val="Norml"/>
    <w:link w:val="Szvegtrzs3Char"/>
    <w:pPr>
      <w:autoSpaceDE w:val="0"/>
      <w:autoSpaceDN w:val="0"/>
      <w:adjustRightInd w:val="0"/>
      <w:jc w:val="both"/>
    </w:pPr>
    <w:rPr>
      <w:color w:val="0000FF"/>
      <w:sz w:val="22"/>
      <w:szCs w:val="22"/>
      <w:lang w:val="en-US" w:eastAsia="en-GB"/>
    </w:rPr>
  </w:style>
  <w:style w:type="character" w:customStyle="1" w:styleId="Szvegtrzs3Char">
    <w:name w:val="Szövegtörzs 3 Char"/>
    <w:link w:val="Szvegtrzs3"/>
    <w:rPr>
      <w:color w:val="0000FF"/>
      <w:sz w:val="22"/>
      <w:szCs w:val="22"/>
      <w:lang w:val="en-US" w:eastAsia="en-GB"/>
    </w:rPr>
  </w:style>
  <w:style w:type="paragraph" w:styleId="Szvegtrzsbehzssal2">
    <w:name w:val="Body Text Indent 2"/>
    <w:basedOn w:val="Norml"/>
    <w:link w:val="Szvegtrzsbehzssal2Char"/>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line="260" w:lineRule="exact"/>
      <w:ind w:left="1134"/>
      <w:jc w:val="both"/>
    </w:pPr>
    <w:rPr>
      <w:b/>
      <w:bCs/>
      <w:color w:val="0000FF"/>
      <w:sz w:val="22"/>
      <w:szCs w:val="22"/>
      <w:lang w:val="en-US" w:eastAsia="en-US"/>
    </w:rPr>
  </w:style>
  <w:style w:type="character" w:customStyle="1" w:styleId="Szvegtrzsbehzssal2Char">
    <w:name w:val="Szövegtörzs behúzással 2 Char"/>
    <w:link w:val="Szvegtrzsbehzssal2"/>
    <w:rPr>
      <w:b/>
      <w:bCs/>
      <w:color w:val="0000FF"/>
      <w:sz w:val="22"/>
      <w:szCs w:val="22"/>
      <w:lang w:val="en-US" w:eastAsia="en-US"/>
    </w:rPr>
  </w:style>
  <w:style w:type="character" w:styleId="Jegyzethivatkozs">
    <w:name w:val="annotation reference"/>
    <w:rPr>
      <w:sz w:val="16"/>
      <w:szCs w:val="16"/>
    </w:rPr>
  </w:style>
  <w:style w:type="paragraph" w:styleId="Jegyzetszveg">
    <w:name w:val="annotation text"/>
    <w:basedOn w:val="Norml"/>
    <w:link w:val="JegyzetszvegChar"/>
    <w:pPr>
      <w:tabs>
        <w:tab w:val="left" w:pos="567"/>
      </w:tabs>
      <w:spacing w:line="260" w:lineRule="exact"/>
    </w:pPr>
    <w:rPr>
      <w:sz w:val="20"/>
      <w:lang w:val="en-US" w:eastAsia="en-US"/>
    </w:rPr>
  </w:style>
  <w:style w:type="character" w:customStyle="1" w:styleId="JegyzetszvegChar">
    <w:name w:val="Jegyzetszöveg Char"/>
    <w:link w:val="Jegyzetszveg"/>
    <w:rPr>
      <w:lang w:val="en-US" w:eastAsia="en-US"/>
    </w:rPr>
  </w:style>
  <w:style w:type="paragraph" w:styleId="Dokumentumtrkp">
    <w:name w:val="Document Map"/>
    <w:basedOn w:val="Norml"/>
    <w:link w:val="DokumentumtrkpChar"/>
    <w:pPr>
      <w:shd w:val="clear" w:color="auto" w:fill="000080"/>
      <w:tabs>
        <w:tab w:val="left" w:pos="567"/>
      </w:tabs>
      <w:spacing w:line="260" w:lineRule="exact"/>
    </w:pPr>
    <w:rPr>
      <w:rFonts w:ascii="Tahoma" w:hAnsi="Tahoma" w:cs="Tahoma"/>
      <w:sz w:val="22"/>
      <w:lang w:val="en-US" w:eastAsia="en-US"/>
    </w:rPr>
  </w:style>
  <w:style w:type="character" w:customStyle="1" w:styleId="DokumentumtrkpChar">
    <w:name w:val="Dokumentumtérkép Char"/>
    <w:link w:val="Dokumentumtrkp"/>
    <w:rPr>
      <w:rFonts w:ascii="Tahoma" w:hAnsi="Tahoma" w:cs="Tahoma"/>
      <w:sz w:val="22"/>
      <w:shd w:val="clear" w:color="auto" w:fill="000080"/>
      <w:lang w:val="en-US" w:eastAsia="en-US"/>
    </w:rPr>
  </w:style>
  <w:style w:type="paragraph" w:customStyle="1" w:styleId="AHeader1">
    <w:name w:val="AHeader 1"/>
    <w:basedOn w:val="Norml"/>
    <w:pPr>
      <w:numPr>
        <w:numId w:val="1"/>
      </w:numPr>
      <w:spacing w:after="120"/>
    </w:pPr>
    <w:rPr>
      <w:rFonts w:ascii="Arial" w:hAnsi="Arial" w:cs="Arial"/>
      <w:b/>
      <w:bCs/>
      <w:lang w:val="en-US" w:eastAsia="en-US"/>
    </w:rPr>
  </w:style>
  <w:style w:type="paragraph" w:customStyle="1" w:styleId="AHeader2">
    <w:name w:val="AHeader 2"/>
    <w:basedOn w:val="AHeader1"/>
    <w:pPr>
      <w:numPr>
        <w:ilvl w:val="1"/>
      </w:numPr>
      <w:tabs>
        <w:tab w:val="clear" w:pos="709"/>
        <w:tab w:val="num" w:pos="360"/>
      </w:tabs>
    </w:pPr>
    <w:rPr>
      <w:sz w:val="22"/>
    </w:rPr>
  </w:style>
  <w:style w:type="paragraph" w:customStyle="1" w:styleId="AHeader3">
    <w:name w:val="AHeader 3"/>
    <w:basedOn w:val="AHeader2"/>
    <w:pPr>
      <w:numPr>
        <w:ilvl w:val="2"/>
      </w:numPr>
      <w:tabs>
        <w:tab w:val="clear" w:pos="1276"/>
        <w:tab w:val="num" w:pos="360"/>
      </w:tabs>
    </w:pPr>
  </w:style>
  <w:style w:type="paragraph" w:customStyle="1" w:styleId="AHeader2abc">
    <w:name w:val="AHeader 2 abc"/>
    <w:basedOn w:val="AHeader3"/>
    <w:pPr>
      <w:numPr>
        <w:ilvl w:val="3"/>
      </w:numPr>
      <w:tabs>
        <w:tab w:val="clear" w:pos="1276"/>
        <w:tab w:val="num" w:pos="360"/>
      </w:tabs>
      <w:jc w:val="both"/>
    </w:pPr>
    <w:rPr>
      <w:b w:val="0"/>
      <w:bCs w:val="0"/>
    </w:rPr>
  </w:style>
  <w:style w:type="paragraph" w:customStyle="1" w:styleId="AHeader3abc">
    <w:name w:val="AHeader 3 abc"/>
    <w:basedOn w:val="AHeader2abc"/>
    <w:pPr>
      <w:numPr>
        <w:ilvl w:val="4"/>
      </w:numPr>
      <w:tabs>
        <w:tab w:val="clear" w:pos="1701"/>
        <w:tab w:val="num" w:pos="360"/>
      </w:tabs>
    </w:pPr>
  </w:style>
  <w:style w:type="paragraph" w:styleId="Szvegtrzsbehzssal3">
    <w:name w:val="Body Text Indent 3"/>
    <w:basedOn w:val="Norml"/>
    <w:link w:val="Szvegtrzsbehzssal3Char"/>
    <w:pPr>
      <w:tabs>
        <w:tab w:val="left" w:pos="567"/>
        <w:tab w:val="left" w:pos="1134"/>
      </w:tabs>
      <w:autoSpaceDE w:val="0"/>
      <w:autoSpaceDN w:val="0"/>
      <w:adjustRightInd w:val="0"/>
      <w:spacing w:line="260" w:lineRule="exact"/>
      <w:ind w:left="633"/>
      <w:jc w:val="both"/>
    </w:pPr>
    <w:rPr>
      <w:sz w:val="22"/>
      <w:szCs w:val="21"/>
      <w:lang w:val="en-US" w:eastAsia="en-US"/>
    </w:rPr>
  </w:style>
  <w:style w:type="character" w:customStyle="1" w:styleId="Szvegtrzsbehzssal3Char">
    <w:name w:val="Szövegtörzs behúzással 3 Char"/>
    <w:link w:val="Szvegtrzsbehzssal3"/>
    <w:rPr>
      <w:sz w:val="22"/>
      <w:szCs w:val="21"/>
      <w:lang w:val="en-US" w:eastAsia="en-US"/>
    </w:rPr>
  </w:style>
  <w:style w:type="paragraph" w:customStyle="1" w:styleId="Front-Info">
    <w:name w:val="Front-Info"/>
    <w:basedOn w:val="Norml"/>
    <w:pPr>
      <w:keepLines/>
      <w:spacing w:before="120"/>
      <w:jc w:val="center"/>
    </w:pPr>
    <w:rPr>
      <w:b/>
      <w:szCs w:val="24"/>
      <w:lang w:val="en-US" w:eastAsia="de-DE"/>
    </w:rPr>
  </w:style>
  <w:style w:type="paragraph" w:styleId="Lbjegyzetszveg">
    <w:name w:val="footnote text"/>
    <w:basedOn w:val="Norml"/>
    <w:link w:val="LbjegyzetszvegChar"/>
    <w:pPr>
      <w:tabs>
        <w:tab w:val="left" w:pos="567"/>
      </w:tabs>
      <w:spacing w:line="260" w:lineRule="exact"/>
    </w:pPr>
    <w:rPr>
      <w:sz w:val="20"/>
      <w:lang w:val="en-US" w:eastAsia="en-US"/>
    </w:rPr>
  </w:style>
  <w:style w:type="character" w:customStyle="1" w:styleId="LbjegyzetszvegChar">
    <w:name w:val="Lábjegyzetszöveg Char"/>
    <w:link w:val="Lbjegyzetszveg"/>
    <w:rPr>
      <w:lang w:val="en-US" w:eastAsia="en-US"/>
    </w:rPr>
  </w:style>
  <w:style w:type="character" w:styleId="Lbjegyzet-hivatkozs">
    <w:name w:val="footnote reference"/>
    <w:rPr>
      <w:vertAlign w:val="superscript"/>
    </w:rPr>
  </w:style>
  <w:style w:type="paragraph" w:customStyle="1" w:styleId="TableText">
    <w:name w:val="TableText"/>
    <w:pPr>
      <w:keepNext/>
    </w:pPr>
    <w:rPr>
      <w:lang w:val="en-US" w:eastAsia="en-US"/>
    </w:rPr>
  </w:style>
  <w:style w:type="paragraph" w:customStyle="1" w:styleId="TableTextIndent">
    <w:name w:val="TableTextIndent"/>
    <w:pPr>
      <w:ind w:left="540"/>
    </w:pPr>
    <w:rPr>
      <w:lang w:val="en-US" w:eastAsia="en-US"/>
    </w:rPr>
  </w:style>
  <w:style w:type="paragraph" w:customStyle="1" w:styleId="BodyText10">
    <w:name w:val="BodyText10"/>
    <w:pPr>
      <w:suppressAutoHyphens/>
      <w:jc w:val="both"/>
    </w:pPr>
    <w:rPr>
      <w:lang w:val="en-US" w:eastAsia="en-US"/>
    </w:rPr>
  </w:style>
  <w:style w:type="paragraph" w:styleId="NormlWeb">
    <w:name w:val="Normal (Web)"/>
    <w:basedOn w:val="Norml"/>
    <w:pPr>
      <w:spacing w:before="100" w:beforeAutospacing="1" w:after="100" w:afterAutospacing="1"/>
    </w:pPr>
    <w:rPr>
      <w:rFonts w:ascii="Arial Unicode MS" w:eastAsia="Arial Unicode MS" w:hAnsi="Arial Unicode MS"/>
      <w:szCs w:val="24"/>
      <w:lang w:val="en-US" w:eastAsia="en-US"/>
    </w:rPr>
  </w:style>
  <w:style w:type="paragraph" w:customStyle="1" w:styleId="Kommentarthema1">
    <w:name w:val="Kommentarthema1"/>
    <w:basedOn w:val="Jegyzetszveg"/>
    <w:next w:val="Jegyzetszveg"/>
    <w:semiHidden/>
    <w:rPr>
      <w:b/>
      <w:bCs/>
    </w:rPr>
  </w:style>
  <w:style w:type="paragraph" w:customStyle="1" w:styleId="Sprechblasentext1">
    <w:name w:val="Sprechblasentext1"/>
    <w:basedOn w:val="Norml"/>
    <w:semiHidden/>
    <w:pPr>
      <w:tabs>
        <w:tab w:val="left" w:pos="567"/>
      </w:tabs>
      <w:spacing w:line="260" w:lineRule="exact"/>
    </w:pPr>
    <w:rPr>
      <w:rFonts w:ascii="Tahoma" w:hAnsi="Tahoma" w:cs="Tahoma"/>
      <w:sz w:val="16"/>
      <w:szCs w:val="16"/>
      <w:lang w:val="en-US" w:eastAsia="en-US"/>
    </w:rPr>
  </w:style>
  <w:style w:type="paragraph" w:customStyle="1" w:styleId="standard2">
    <w:name w:val="standard2"/>
    <w:basedOn w:val="Norml"/>
    <w:pPr>
      <w:jc w:val="both"/>
    </w:pPr>
    <w:rPr>
      <w:rFonts w:ascii="Arial" w:hAnsi="Arial"/>
      <w:b/>
      <w:color w:val="000000"/>
      <w:lang w:val="en-US" w:eastAsia="de-DE"/>
    </w:rPr>
  </w:style>
  <w:style w:type="paragraph" w:customStyle="1" w:styleId="Standard1">
    <w:name w:val="Standard1"/>
    <w:basedOn w:val="Norml"/>
    <w:pPr>
      <w:spacing w:after="120"/>
      <w:ind w:firstLine="567"/>
    </w:pPr>
    <w:rPr>
      <w:rFonts w:ascii="Arial" w:hAnsi="Arial"/>
      <w:sz w:val="22"/>
      <w:lang w:val="de-DE" w:eastAsia="de-DE"/>
    </w:rPr>
  </w:style>
  <w:style w:type="paragraph" w:customStyle="1" w:styleId="SynopsisText">
    <w:name w:val="SynopsisText"/>
    <w:pPr>
      <w:spacing w:before="60" w:after="60"/>
      <w:jc w:val="both"/>
    </w:pPr>
    <w:rPr>
      <w:sz w:val="18"/>
      <w:lang w:val="en-US" w:eastAsia="en-US"/>
    </w:rPr>
  </w:style>
  <w:style w:type="paragraph" w:customStyle="1" w:styleId="BodyText12">
    <w:name w:val="BodyText12"/>
    <w:pPr>
      <w:spacing w:after="200" w:line="300" w:lineRule="auto"/>
      <w:ind w:left="850"/>
      <w:jc w:val="both"/>
    </w:pPr>
    <w:rPr>
      <w:sz w:val="24"/>
      <w:lang w:val="en-US" w:eastAsia="en-US"/>
    </w:rPr>
  </w:style>
  <w:style w:type="paragraph" w:customStyle="1" w:styleId="SummaryHeading">
    <w:name w:val="SummaryHeading"/>
    <w:next w:val="Norml"/>
    <w:pPr>
      <w:keepNext/>
      <w:spacing w:after="60"/>
    </w:pPr>
    <w:rPr>
      <w:rFonts w:ascii="Arial" w:hAnsi="Arial"/>
      <w:b/>
      <w:caps/>
      <w:sz w:val="24"/>
      <w:lang w:val="en-US" w:eastAsia="en-US"/>
    </w:rPr>
  </w:style>
  <w:style w:type="paragraph" w:customStyle="1" w:styleId="MarkAttachment">
    <w:name w:val="Mark Attachment"/>
    <w:next w:val="BodyText10"/>
    <w:pPr>
      <w:keepNext/>
      <w:jc w:val="center"/>
    </w:pPr>
    <w:rPr>
      <w:rFonts w:ascii="Arial" w:hAnsi="Arial"/>
      <w:lang w:val="en-US" w:eastAsia="en-US"/>
    </w:rPr>
  </w:style>
  <w:style w:type="paragraph" w:styleId="Megjegyzstrgya">
    <w:name w:val="annotation subject"/>
    <w:basedOn w:val="Jegyzetszveg"/>
    <w:next w:val="Jegyzetszveg"/>
    <w:link w:val="MegjegyzstrgyaChar"/>
    <w:rPr>
      <w:b/>
      <w:bCs/>
    </w:rPr>
  </w:style>
  <w:style w:type="character" w:customStyle="1" w:styleId="MegjegyzstrgyaChar">
    <w:name w:val="Megjegyzés tárgya Char"/>
    <w:link w:val="Megjegyzstrgya"/>
    <w:rPr>
      <w:b/>
      <w:bCs/>
      <w:lang w:val="en-US" w:eastAsia="en-US"/>
    </w:rPr>
  </w:style>
  <w:style w:type="paragraph" w:customStyle="1" w:styleId="Heading2">
    <w:name w:val="Heading 2#"/>
    <w:basedOn w:val="Cmsor2"/>
    <w:next w:val="Szvegtrzs"/>
    <w:pPr>
      <w:tabs>
        <w:tab w:val="clear" w:pos="4300"/>
        <w:tab w:val="clear" w:pos="5940"/>
        <w:tab w:val="clear" w:pos="8180"/>
        <w:tab w:val="num" w:pos="720"/>
      </w:tabs>
      <w:spacing w:before="240" w:after="120" w:line="240" w:lineRule="auto"/>
      <w:ind w:left="720" w:hanging="720"/>
    </w:pPr>
    <w:rPr>
      <w:rFonts w:cs="Arial"/>
      <w:bCs/>
      <w:iCs/>
      <w:sz w:val="28"/>
      <w:szCs w:val="28"/>
      <w:u w:val="none"/>
      <w:lang w:eastAsia="en-US"/>
    </w:rPr>
  </w:style>
  <w:style w:type="paragraph" w:customStyle="1" w:styleId="Heading3">
    <w:name w:val="Heading 3#"/>
    <w:basedOn w:val="Cmsor3"/>
    <w:next w:val="Szvegtrzs"/>
    <w:pPr>
      <w:tabs>
        <w:tab w:val="clear" w:pos="6760"/>
        <w:tab w:val="num" w:pos="720"/>
      </w:tabs>
      <w:spacing w:before="240" w:after="120" w:line="240" w:lineRule="auto"/>
      <w:ind w:left="720" w:hanging="720"/>
    </w:pPr>
    <w:rPr>
      <w:rFonts w:cs="Arial"/>
      <w:bCs/>
      <w:szCs w:val="26"/>
      <w:u w:val="single"/>
      <w:lang w:eastAsia="en-US"/>
    </w:rPr>
  </w:style>
  <w:style w:type="paragraph" w:customStyle="1" w:styleId="Heading4">
    <w:name w:val="Heading 4#"/>
    <w:basedOn w:val="Cmsor4"/>
    <w:next w:val="Szvegtrzs"/>
    <w:pPr>
      <w:tabs>
        <w:tab w:val="num" w:pos="1296"/>
      </w:tabs>
      <w:spacing w:after="120"/>
      <w:ind w:left="1296" w:hanging="1296"/>
    </w:pPr>
    <w:rPr>
      <w:sz w:val="24"/>
      <w:lang w:val="en-US" w:eastAsia="en-US"/>
    </w:rPr>
  </w:style>
  <w:style w:type="paragraph" w:customStyle="1" w:styleId="Heading5">
    <w:name w:val="Heading 5#"/>
    <w:basedOn w:val="Cmsor5"/>
    <w:next w:val="Szvegtrzs"/>
    <w:pPr>
      <w:tabs>
        <w:tab w:val="clear" w:pos="567"/>
        <w:tab w:val="num" w:pos="1296"/>
      </w:tabs>
      <w:spacing w:before="240" w:after="120" w:line="240" w:lineRule="auto"/>
      <w:ind w:left="1296" w:hanging="1296"/>
      <w:jc w:val="left"/>
    </w:pPr>
    <w:rPr>
      <w:bCs/>
      <w:iCs/>
      <w:noProof w:val="0"/>
      <w:sz w:val="24"/>
      <w:szCs w:val="26"/>
      <w:u w:val="single"/>
    </w:rPr>
  </w:style>
  <w:style w:type="paragraph" w:customStyle="1" w:styleId="Heading6">
    <w:name w:val="Heading 6#"/>
    <w:basedOn w:val="Cmsor6"/>
    <w:next w:val="Szvegtrzs"/>
    <w:pPr>
      <w:keepLines w:val="0"/>
      <w:tabs>
        <w:tab w:val="clear" w:pos="4536"/>
        <w:tab w:val="clear" w:pos="5180"/>
        <w:tab w:val="clear" w:pos="5380"/>
        <w:tab w:val="clear" w:pos="8222"/>
        <w:tab w:val="num" w:pos="1296"/>
      </w:tabs>
      <w:spacing w:before="240" w:after="120"/>
      <w:ind w:left="1296" w:hanging="1296"/>
    </w:pPr>
    <w:rPr>
      <w:b w:val="0"/>
      <w:bCs/>
      <w:i/>
      <w:szCs w:val="22"/>
      <w:lang w:eastAsia="en-US"/>
    </w:rPr>
  </w:style>
  <w:style w:type="paragraph" w:customStyle="1" w:styleId="Heading7">
    <w:name w:val="Heading 7#"/>
    <w:basedOn w:val="Cmsor7"/>
    <w:next w:val="Szvegtrzs"/>
    <w:pPr>
      <w:tabs>
        <w:tab w:val="clear" w:pos="-720"/>
        <w:tab w:val="clear" w:pos="567"/>
        <w:tab w:val="clear" w:pos="4536"/>
        <w:tab w:val="num" w:pos="1800"/>
      </w:tabs>
      <w:suppressAutoHyphens w:val="0"/>
      <w:spacing w:before="240" w:after="120" w:line="240" w:lineRule="auto"/>
      <w:ind w:left="1800" w:hanging="1800"/>
      <w:jc w:val="left"/>
    </w:pPr>
    <w:rPr>
      <w:sz w:val="24"/>
      <w:szCs w:val="24"/>
      <w:u w:val="single"/>
    </w:rPr>
  </w:style>
  <w:style w:type="paragraph" w:customStyle="1" w:styleId="Heading8">
    <w:name w:val="Heading 8#"/>
    <w:basedOn w:val="Cmsor8"/>
    <w:next w:val="Szvegtrzs"/>
    <w:pPr>
      <w:tabs>
        <w:tab w:val="clear" w:pos="567"/>
        <w:tab w:val="num" w:pos="1800"/>
      </w:tabs>
      <w:spacing w:before="240" w:after="120" w:line="240" w:lineRule="auto"/>
      <w:ind w:left="1800" w:hanging="1800"/>
      <w:jc w:val="left"/>
    </w:pPr>
    <w:rPr>
      <w:i w:val="0"/>
      <w:iCs/>
      <w:sz w:val="24"/>
      <w:szCs w:val="24"/>
    </w:rPr>
  </w:style>
  <w:style w:type="paragraph" w:customStyle="1" w:styleId="Heading9">
    <w:name w:val="Heading 9#"/>
    <w:basedOn w:val="Cmsor9"/>
    <w:next w:val="Szvegtrzs"/>
    <w:pPr>
      <w:tabs>
        <w:tab w:val="clear" w:pos="567"/>
        <w:tab w:val="left" w:pos="1800"/>
        <w:tab w:val="num" w:pos="2160"/>
      </w:tabs>
      <w:spacing w:before="240" w:after="120" w:line="240" w:lineRule="auto"/>
      <w:ind w:left="1800" w:hanging="1800"/>
      <w:jc w:val="left"/>
    </w:pPr>
    <w:rPr>
      <w:rFonts w:cs="Arial"/>
      <w:b w:val="0"/>
      <w:i w:val="0"/>
      <w:sz w:val="24"/>
      <w:szCs w:val="22"/>
      <w:u w:val="single"/>
    </w:rPr>
  </w:style>
  <w:style w:type="character" w:styleId="Kiemels2">
    <w:name w:val="Strong"/>
    <w:qFormat/>
    <w:rPr>
      <w:b/>
      <w:bCs/>
    </w:rPr>
  </w:style>
  <w:style w:type="paragraph" w:customStyle="1" w:styleId="Table-Text">
    <w:name w:val="Table-Text"/>
    <w:basedOn w:val="Norml"/>
    <w:pPr>
      <w:keepLines/>
      <w:spacing w:before="40" w:after="40"/>
    </w:pPr>
    <w:rPr>
      <w:szCs w:val="24"/>
      <w:lang w:val="en-US" w:eastAsia="de-DE"/>
    </w:rPr>
  </w:style>
  <w:style w:type="paragraph" w:customStyle="1" w:styleId="Text">
    <w:name w:val="Text"/>
    <w:aliases w:val="Graphic,Italic"/>
    <w:basedOn w:val="Norml"/>
    <w:link w:val="TextChar"/>
    <w:pPr>
      <w:spacing w:after="120"/>
    </w:pPr>
    <w:rPr>
      <w:szCs w:val="24"/>
      <w:lang w:val="en-US" w:eastAsia="de-DE"/>
    </w:rPr>
  </w:style>
  <w:style w:type="table" w:customStyle="1" w:styleId="Rcsostblzat1">
    <w:name w:val="Rácsos táblázat1"/>
    <w:basedOn w:val="Normltblzat"/>
    <w:next w:val="Rcsostblzat"/>
    <w:pPr>
      <w:tabs>
        <w:tab w:val="left" w:pos="567"/>
      </w:tabs>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har">
    <w:name w:val="Text Char"/>
    <w:aliases w:val="Body Text Char Char Char Char Char Char3,Body Text Char Char Char Char Char Char3 Char Char"/>
    <w:link w:val="Text"/>
    <w:rPr>
      <w:sz w:val="24"/>
      <w:szCs w:val="24"/>
      <w:lang w:val="en-US" w:eastAsia="de-DE"/>
    </w:rPr>
  </w:style>
  <w:style w:type="character" w:styleId="Kiemels">
    <w:name w:val="Emphasis"/>
    <w:qFormat/>
    <w:rPr>
      <w:i/>
      <w:iCs/>
    </w:rPr>
  </w:style>
  <w:style w:type="character" w:customStyle="1" w:styleId="de85618">
    <w:name w:val="de85618"/>
    <w:semiHidden/>
    <w:rPr>
      <w:rFonts w:ascii="Arial" w:hAnsi="Arial" w:cs="Arial"/>
      <w:color w:val="000080"/>
      <w:sz w:val="20"/>
      <w:szCs w:val="20"/>
    </w:rPr>
  </w:style>
  <w:style w:type="character" w:customStyle="1" w:styleId="msoins0">
    <w:name w:val="msoins"/>
    <w:basedOn w:val="Bekezdsalapbettpusa"/>
  </w:style>
  <w:style w:type="paragraph" w:customStyle="1" w:styleId="Listaszerbekezds1">
    <w:name w:val="Listaszerű bekezdés1"/>
    <w:basedOn w:val="Norml"/>
    <w:uiPriority w:val="34"/>
    <w:qFormat/>
    <w:pPr>
      <w:tabs>
        <w:tab w:val="left" w:pos="567"/>
      </w:tabs>
      <w:spacing w:line="260" w:lineRule="exact"/>
      <w:ind w:left="708"/>
    </w:pPr>
    <w:rPr>
      <w:sz w:val="22"/>
      <w:lang w:val="en-US" w:eastAsia="en-US"/>
    </w:rPr>
  </w:style>
  <w:style w:type="character" w:customStyle="1" w:styleId="SzvegtrzsChar">
    <w:name w:val="Szövegtörzs Char"/>
    <w:link w:val="Szvegtrzs"/>
    <w:rPr>
      <w:sz w:val="22"/>
      <w:lang w:val="sl-SI" w:eastAsia="sl-SI"/>
    </w:rPr>
  </w:style>
  <w:style w:type="character" w:customStyle="1" w:styleId="llbChar">
    <w:name w:val="Élőláb Char"/>
    <w:aliases w:val="Footer Char1 Char1,Footer Char1 Char Char Char1,Footer Char1 Char Char Char Char1 Char1,Footer Char1 Char Char Char Char1 Char Char Char1,Footer Char2 Char Char,Footer Char2 Char Char1 Char Char1"/>
    <w:link w:val="llb"/>
    <w:uiPriority w:val="99"/>
    <w:rPr>
      <w:sz w:val="24"/>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393802">
      <w:bodyDiv w:val="1"/>
      <w:marLeft w:val="0"/>
      <w:marRight w:val="0"/>
      <w:marTop w:val="0"/>
      <w:marBottom w:val="0"/>
      <w:divBdr>
        <w:top w:val="none" w:sz="0" w:space="0" w:color="auto"/>
        <w:left w:val="none" w:sz="0" w:space="0" w:color="auto"/>
        <w:bottom w:val="none" w:sz="0" w:space="0" w:color="auto"/>
        <w:right w:val="none" w:sz="0" w:space="0" w:color="auto"/>
      </w:divBdr>
    </w:div>
    <w:div w:id="96026956">
      <w:bodyDiv w:val="1"/>
      <w:marLeft w:val="0"/>
      <w:marRight w:val="0"/>
      <w:marTop w:val="0"/>
      <w:marBottom w:val="0"/>
      <w:divBdr>
        <w:top w:val="none" w:sz="0" w:space="0" w:color="auto"/>
        <w:left w:val="none" w:sz="0" w:space="0" w:color="auto"/>
        <w:bottom w:val="none" w:sz="0" w:space="0" w:color="auto"/>
        <w:right w:val="none" w:sz="0" w:space="0" w:color="auto"/>
      </w:divBdr>
    </w:div>
    <w:div w:id="101611091">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669679462">
      <w:bodyDiv w:val="1"/>
      <w:marLeft w:val="0"/>
      <w:marRight w:val="0"/>
      <w:marTop w:val="0"/>
      <w:marBottom w:val="0"/>
      <w:divBdr>
        <w:top w:val="none" w:sz="0" w:space="0" w:color="auto"/>
        <w:left w:val="none" w:sz="0" w:space="0" w:color="auto"/>
        <w:bottom w:val="none" w:sz="0" w:space="0" w:color="auto"/>
        <w:right w:val="none" w:sz="0" w:space="0" w:color="auto"/>
      </w:divBdr>
    </w:div>
    <w:div w:id="715660468">
      <w:bodyDiv w:val="1"/>
      <w:marLeft w:val="0"/>
      <w:marRight w:val="0"/>
      <w:marTop w:val="0"/>
      <w:marBottom w:val="0"/>
      <w:divBdr>
        <w:top w:val="none" w:sz="0" w:space="0" w:color="auto"/>
        <w:left w:val="none" w:sz="0" w:space="0" w:color="auto"/>
        <w:bottom w:val="none" w:sz="0" w:space="0" w:color="auto"/>
        <w:right w:val="none" w:sz="0" w:space="0" w:color="auto"/>
      </w:divBdr>
    </w:div>
    <w:div w:id="778330181">
      <w:bodyDiv w:val="1"/>
      <w:marLeft w:val="0"/>
      <w:marRight w:val="0"/>
      <w:marTop w:val="0"/>
      <w:marBottom w:val="0"/>
      <w:divBdr>
        <w:top w:val="none" w:sz="0" w:space="0" w:color="auto"/>
        <w:left w:val="none" w:sz="0" w:space="0" w:color="auto"/>
        <w:bottom w:val="none" w:sz="0" w:space="0" w:color="auto"/>
        <w:right w:val="none" w:sz="0" w:space="0" w:color="auto"/>
      </w:divBdr>
    </w:div>
    <w:div w:id="796878903">
      <w:bodyDiv w:val="1"/>
      <w:marLeft w:val="0"/>
      <w:marRight w:val="0"/>
      <w:marTop w:val="0"/>
      <w:marBottom w:val="0"/>
      <w:divBdr>
        <w:top w:val="none" w:sz="0" w:space="0" w:color="auto"/>
        <w:left w:val="none" w:sz="0" w:space="0" w:color="auto"/>
        <w:bottom w:val="none" w:sz="0" w:space="0" w:color="auto"/>
        <w:right w:val="none" w:sz="0" w:space="0" w:color="auto"/>
      </w:divBdr>
    </w:div>
    <w:div w:id="798568876">
      <w:bodyDiv w:val="1"/>
      <w:marLeft w:val="0"/>
      <w:marRight w:val="0"/>
      <w:marTop w:val="0"/>
      <w:marBottom w:val="0"/>
      <w:divBdr>
        <w:top w:val="none" w:sz="0" w:space="0" w:color="auto"/>
        <w:left w:val="none" w:sz="0" w:space="0" w:color="auto"/>
        <w:bottom w:val="none" w:sz="0" w:space="0" w:color="auto"/>
        <w:right w:val="none" w:sz="0" w:space="0" w:color="auto"/>
      </w:divBdr>
    </w:div>
    <w:div w:id="1005086427">
      <w:bodyDiv w:val="1"/>
      <w:marLeft w:val="0"/>
      <w:marRight w:val="0"/>
      <w:marTop w:val="0"/>
      <w:marBottom w:val="0"/>
      <w:divBdr>
        <w:top w:val="none" w:sz="0" w:space="0" w:color="auto"/>
        <w:left w:val="none" w:sz="0" w:space="0" w:color="auto"/>
        <w:bottom w:val="none" w:sz="0" w:space="0" w:color="auto"/>
        <w:right w:val="none" w:sz="0" w:space="0" w:color="auto"/>
      </w:divBdr>
    </w:div>
    <w:div w:id="1059481408">
      <w:bodyDiv w:val="1"/>
      <w:marLeft w:val="0"/>
      <w:marRight w:val="0"/>
      <w:marTop w:val="0"/>
      <w:marBottom w:val="0"/>
      <w:divBdr>
        <w:top w:val="none" w:sz="0" w:space="0" w:color="auto"/>
        <w:left w:val="none" w:sz="0" w:space="0" w:color="auto"/>
        <w:bottom w:val="none" w:sz="0" w:space="0" w:color="auto"/>
        <w:right w:val="none" w:sz="0" w:space="0" w:color="auto"/>
      </w:divBdr>
    </w:div>
    <w:div w:id="1095323226">
      <w:bodyDiv w:val="1"/>
      <w:marLeft w:val="0"/>
      <w:marRight w:val="0"/>
      <w:marTop w:val="0"/>
      <w:marBottom w:val="0"/>
      <w:divBdr>
        <w:top w:val="none" w:sz="0" w:space="0" w:color="auto"/>
        <w:left w:val="none" w:sz="0" w:space="0" w:color="auto"/>
        <w:bottom w:val="none" w:sz="0" w:space="0" w:color="auto"/>
        <w:right w:val="none" w:sz="0" w:space="0" w:color="auto"/>
      </w:divBdr>
    </w:div>
    <w:div w:id="1201354807">
      <w:bodyDiv w:val="1"/>
      <w:marLeft w:val="0"/>
      <w:marRight w:val="0"/>
      <w:marTop w:val="0"/>
      <w:marBottom w:val="0"/>
      <w:divBdr>
        <w:top w:val="none" w:sz="0" w:space="0" w:color="auto"/>
        <w:left w:val="none" w:sz="0" w:space="0" w:color="auto"/>
        <w:bottom w:val="none" w:sz="0" w:space="0" w:color="auto"/>
        <w:right w:val="none" w:sz="0" w:space="0" w:color="auto"/>
      </w:divBdr>
    </w:div>
    <w:div w:id="1465925610">
      <w:bodyDiv w:val="1"/>
      <w:marLeft w:val="0"/>
      <w:marRight w:val="0"/>
      <w:marTop w:val="0"/>
      <w:marBottom w:val="0"/>
      <w:divBdr>
        <w:top w:val="none" w:sz="0" w:space="0" w:color="auto"/>
        <w:left w:val="none" w:sz="0" w:space="0" w:color="auto"/>
        <w:bottom w:val="none" w:sz="0" w:space="0" w:color="auto"/>
        <w:right w:val="none" w:sz="0" w:space="0" w:color="auto"/>
      </w:divBdr>
    </w:div>
    <w:div w:id="1551303828">
      <w:bodyDiv w:val="1"/>
      <w:marLeft w:val="0"/>
      <w:marRight w:val="0"/>
      <w:marTop w:val="0"/>
      <w:marBottom w:val="0"/>
      <w:divBdr>
        <w:top w:val="none" w:sz="0" w:space="0" w:color="auto"/>
        <w:left w:val="none" w:sz="0" w:space="0" w:color="auto"/>
        <w:bottom w:val="none" w:sz="0" w:space="0" w:color="auto"/>
        <w:right w:val="none" w:sz="0" w:space="0" w:color="auto"/>
      </w:divBdr>
    </w:div>
    <w:div w:id="1568033304">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683623964">
      <w:bodyDiv w:val="1"/>
      <w:marLeft w:val="0"/>
      <w:marRight w:val="0"/>
      <w:marTop w:val="0"/>
      <w:marBottom w:val="0"/>
      <w:divBdr>
        <w:top w:val="none" w:sz="0" w:space="0" w:color="auto"/>
        <w:left w:val="none" w:sz="0" w:space="0" w:color="auto"/>
        <w:bottom w:val="none" w:sz="0" w:space="0" w:color="auto"/>
        <w:right w:val="none" w:sz="0" w:space="0" w:color="auto"/>
      </w:divBdr>
    </w:div>
    <w:div w:id="1746412491">
      <w:bodyDiv w:val="1"/>
      <w:marLeft w:val="0"/>
      <w:marRight w:val="0"/>
      <w:marTop w:val="0"/>
      <w:marBottom w:val="0"/>
      <w:divBdr>
        <w:top w:val="none" w:sz="0" w:space="0" w:color="auto"/>
        <w:left w:val="none" w:sz="0" w:space="0" w:color="auto"/>
        <w:bottom w:val="none" w:sz="0" w:space="0" w:color="auto"/>
        <w:right w:val="none" w:sz="0" w:space="0" w:color="auto"/>
      </w:divBdr>
    </w:div>
    <w:div w:id="1972906974">
      <w:bodyDiv w:val="1"/>
      <w:marLeft w:val="0"/>
      <w:marRight w:val="0"/>
      <w:marTop w:val="0"/>
      <w:marBottom w:val="0"/>
      <w:divBdr>
        <w:top w:val="none" w:sz="0" w:space="0" w:color="auto"/>
        <w:left w:val="none" w:sz="0" w:space="0" w:color="auto"/>
        <w:bottom w:val="none" w:sz="0" w:space="0" w:color="auto"/>
        <w:right w:val="none" w:sz="0" w:space="0" w:color="auto"/>
      </w:divBdr>
    </w:div>
    <w:div w:id="2018069778">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391AA-05E6-40D8-8712-D2FEEB177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5395</Words>
  <Characters>39928</Characters>
  <Application>Microsoft Office Word</Application>
  <DocSecurity>0</DocSecurity>
  <Lines>332</Lines>
  <Paragraphs>90</Paragraphs>
  <ScaleCrop>false</ScaleCrop>
  <HeadingPairs>
    <vt:vector size="6" baseType="variant">
      <vt:variant>
        <vt:lpstr>Cím</vt:lpstr>
      </vt:variant>
      <vt:variant>
        <vt:i4>1</vt:i4>
      </vt:variant>
      <vt:variant>
        <vt:lpstr>Title</vt:lpstr>
      </vt:variant>
      <vt:variant>
        <vt:i4>1</vt:i4>
      </vt:variant>
      <vt:variant>
        <vt:lpstr>Naslov</vt:lpstr>
      </vt:variant>
      <vt:variant>
        <vt:i4>1</vt:i4>
      </vt:variant>
    </vt:vector>
  </HeadingPairs>
  <TitlesOfParts>
    <vt:vector size="3" baseType="lpstr">
      <vt:lpstr>PARTICULARS TO APPEAR ON &lt;THE OUTER PACKAGING&gt; &lt;AND&gt; &lt;THE IMMEDIATE PACKAGING&gt;</vt:lpstr>
      <vt:lpstr>PARTICULARS TO APPEAR ON &lt;THE OUTER PACKAGING&gt; &lt;AND&gt; &lt;THE IMMEDIATE PACKAGING&gt;</vt:lpstr>
      <vt:lpstr>PARTICULARS TO APPEAR ON &lt;THE OUTER PACKAGING&gt; &lt;AND&gt; &lt;THE IMMEDIATE PACKAGING&gt;</vt:lpstr>
    </vt:vector>
  </TitlesOfParts>
  <Company/>
  <LinksUpToDate>false</LinksUpToDate>
  <CharactersWithSpaces>45233</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dc:description/>
  <cp:lastModifiedBy>HU_OGYI_50.1</cp:lastModifiedBy>
  <cp:revision>2</cp:revision>
  <cp:lastPrinted>1899-12-31T23:00:00Z</cp:lastPrinted>
  <dcterms:created xsi:type="dcterms:W3CDTF">2026-08-25T06:38:00Z</dcterms:created>
  <dcterms:modified xsi:type="dcterms:W3CDTF">2026-08-25T06:38:00Z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rz1">
    <vt:lpwstr/>
  </property>
  <property fmtid="{D5CDD505-2E9C-101B-9397-08002B2CF9AE}" pid="3" name="drz10">
    <vt:lpwstr/>
  </property>
  <property fmtid="{D5CDD505-2E9C-101B-9397-08002B2CF9AE}" pid="4" name="drz2">
    <vt:lpwstr/>
  </property>
  <property fmtid="{D5CDD505-2E9C-101B-9397-08002B2CF9AE}" pid="5" name="drz3">
    <vt:lpwstr/>
  </property>
  <property fmtid="{D5CDD505-2E9C-101B-9397-08002B2CF9AE}" pid="6" name="drz4">
    <vt:lpwstr/>
  </property>
  <property fmtid="{D5CDD505-2E9C-101B-9397-08002B2CF9AE}" pid="7" name="drz5">
    <vt:lpwstr/>
  </property>
  <property fmtid="{D5CDD505-2E9C-101B-9397-08002B2CF9AE}" pid="8" name="drz6">
    <vt:lpwstr/>
  </property>
  <property fmtid="{D5CDD505-2E9C-101B-9397-08002B2CF9AE}" pid="9" name="drz7">
    <vt:lpwstr/>
  </property>
  <property fmtid="{D5CDD505-2E9C-101B-9397-08002B2CF9AE}" pid="10" name="drz8">
    <vt:lpwstr/>
  </property>
  <property fmtid="{D5CDD505-2E9C-101B-9397-08002B2CF9AE}" pid="11" name="drz9">
    <vt:lpwstr/>
  </property>
  <property fmtid="{D5CDD505-2E9C-101B-9397-08002B2CF9AE}" pid="12" name="mp_document_code">
    <vt:lpwstr/>
  </property>
  <property fmtid="{D5CDD505-2E9C-101B-9397-08002B2CF9AE}" pid="13" name="mp_first_effective_date">
    <vt:lpwstr/>
  </property>
  <property fmtid="{D5CDD505-2E9C-101B-9397-08002B2CF9AE}" pid="14" name="mp_title">
    <vt:lpwstr/>
  </property>
  <property fmtid="{D5CDD505-2E9C-101B-9397-08002B2CF9AE}" pid="15" name="mp_updated_effective_date">
    <vt:lpwstr/>
  </property>
  <property fmtid="{D5CDD505-2E9C-101B-9397-08002B2CF9AE}" pid="16" name="object_name">
    <vt:lpwstr>PI_Text102474_1</vt:lpwstr>
  </property>
  <property fmtid="{D5CDD505-2E9C-101B-9397-08002B2CF9AE}" pid="17" name="ph_inn_name">
    <vt:lpwstr/>
  </property>
  <property fmtid="{D5CDD505-2E9C-101B-9397-08002B2CF9AE}" pid="18" name="ph_pharm_form">
    <vt:lpwstr/>
  </property>
  <property fmtid="{D5CDD505-2E9C-101B-9397-08002B2CF9AE}" pid="19" name="ph_strength_custom">
    <vt:lpwstr/>
  </property>
  <property fmtid="{D5CDD505-2E9C-101B-9397-08002B2CF9AE}" pid="20" name="ph_unit_measure">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