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41262" w14:textId="15BF6C34" w:rsidR="009E6253" w:rsidRPr="00D74541" w:rsidRDefault="009E6253" w:rsidP="008218B0">
      <w:pPr>
        <w:spacing w:line="240" w:lineRule="auto"/>
        <w:ind w:left="567" w:hanging="567"/>
        <w:outlineLvl w:val="0"/>
      </w:pPr>
      <w:r>
        <w:t>1.</w:t>
      </w:r>
      <w:r>
        <w:tab/>
      </w:r>
      <w:r>
        <w:rPr>
          <w:b/>
        </w:rPr>
        <w:t>A GYÓGYSZER MEGNEVEZÉSE</w:t>
      </w:r>
    </w:p>
    <w:p w14:paraId="3E51EEBA" w14:textId="77777777" w:rsidR="009E6253" w:rsidRPr="00D74541" w:rsidRDefault="009E6253" w:rsidP="00646227">
      <w:pPr>
        <w:spacing w:line="240" w:lineRule="auto"/>
        <w:rPr>
          <w:iCs/>
        </w:rPr>
      </w:pPr>
    </w:p>
    <w:p w14:paraId="68402717" w14:textId="6BA6C022" w:rsidR="009E6253" w:rsidRPr="00D74541" w:rsidRDefault="00B104B5" w:rsidP="002F09AE">
      <w:pPr>
        <w:spacing w:line="240" w:lineRule="auto"/>
        <w:rPr>
          <w:noProof/>
        </w:rPr>
      </w:pPr>
      <w:r>
        <w:t>Neo Citran Max C-vitaminnal por belsőleges oldathoz</w:t>
      </w:r>
    </w:p>
    <w:p w14:paraId="00288F2D" w14:textId="77777777" w:rsidR="009E6253" w:rsidRPr="00D74541" w:rsidRDefault="009E6253">
      <w:pPr>
        <w:spacing w:line="240" w:lineRule="auto"/>
      </w:pPr>
    </w:p>
    <w:p w14:paraId="2F096174" w14:textId="77777777" w:rsidR="009E6253" w:rsidRPr="00D74541" w:rsidRDefault="009E6253">
      <w:pPr>
        <w:widowControl w:val="0"/>
        <w:spacing w:line="240" w:lineRule="auto"/>
        <w:rPr>
          <w:b/>
        </w:rPr>
      </w:pPr>
    </w:p>
    <w:p w14:paraId="15EC6A26" w14:textId="77777777" w:rsidR="009E6253" w:rsidRPr="00D74541" w:rsidRDefault="009E6253">
      <w:pPr>
        <w:spacing w:line="240" w:lineRule="auto"/>
        <w:ind w:left="567" w:hanging="567"/>
        <w:outlineLvl w:val="0"/>
      </w:pPr>
      <w:r>
        <w:rPr>
          <w:b/>
        </w:rPr>
        <w:t>2.</w:t>
      </w:r>
      <w:r>
        <w:rPr>
          <w:b/>
        </w:rPr>
        <w:tab/>
        <w:t>MINŐSÉGI ÉS MENNYISÉGI ÖSSZETÉTEL</w:t>
      </w:r>
    </w:p>
    <w:p w14:paraId="29B0EEDA" w14:textId="77777777" w:rsidR="009E6253" w:rsidRPr="00D74541" w:rsidRDefault="009E6253">
      <w:pPr>
        <w:spacing w:line="240" w:lineRule="auto"/>
      </w:pPr>
    </w:p>
    <w:p w14:paraId="03C7D9C5" w14:textId="226BF60A" w:rsidR="009E6253" w:rsidRPr="00AF3D12" w:rsidRDefault="009E6253">
      <w:pPr>
        <w:spacing w:line="240" w:lineRule="auto"/>
      </w:pPr>
      <w:bookmarkStart w:id="0" w:name="_Hlk56507243"/>
      <w:r>
        <w:t xml:space="preserve">1000 mg paracetamolt, 10 mg fenilefrin-hidrokloridot </w:t>
      </w:r>
      <w:r>
        <w:rPr>
          <w:color w:val="000000"/>
        </w:rPr>
        <w:t>(</w:t>
      </w:r>
      <w:r>
        <w:rPr>
          <w:color w:val="000000"/>
          <w:szCs w:val="22"/>
        </w:rPr>
        <w:t>8,2 mg fenilefrin bázisnak felel meg)</w:t>
      </w:r>
      <w:r>
        <w:rPr>
          <w:color w:val="000000"/>
        </w:rPr>
        <w:t xml:space="preserve"> </w:t>
      </w:r>
      <w:r>
        <w:t>és 70 mg aszkorbinsavat tartalmaz</w:t>
      </w:r>
      <w:r w:rsidR="001E6992">
        <w:t xml:space="preserve"> tasakonként</w:t>
      </w:r>
      <w:r w:rsidR="00EC7617">
        <w:t>.</w:t>
      </w:r>
    </w:p>
    <w:bookmarkEnd w:id="0"/>
    <w:p w14:paraId="24FA135D" w14:textId="77777777" w:rsidR="009E6253" w:rsidRDefault="009E6253">
      <w:pPr>
        <w:pStyle w:val="EMEAEnBodyText"/>
        <w:autoSpaceDE w:val="0"/>
        <w:autoSpaceDN w:val="0"/>
        <w:adjustRightInd w:val="0"/>
        <w:spacing w:before="0" w:after="0"/>
        <w:jc w:val="left"/>
        <w:rPr>
          <w:u w:val="single"/>
        </w:rPr>
      </w:pPr>
    </w:p>
    <w:p w14:paraId="28C5A47D" w14:textId="77777777" w:rsidR="009E6253" w:rsidRDefault="009E6253">
      <w:pPr>
        <w:pStyle w:val="EMEAEnBodyText"/>
        <w:autoSpaceDE w:val="0"/>
        <w:autoSpaceDN w:val="0"/>
        <w:adjustRightInd w:val="0"/>
        <w:spacing w:before="0" w:after="0"/>
        <w:jc w:val="left"/>
        <w:rPr>
          <w:u w:val="single"/>
        </w:rPr>
      </w:pPr>
      <w:r>
        <w:rPr>
          <w:u w:val="single"/>
        </w:rPr>
        <w:t>Ismert hatású segédanyagok:</w:t>
      </w:r>
    </w:p>
    <w:p w14:paraId="414410BF" w14:textId="48AAC007" w:rsidR="009E6253" w:rsidRPr="00AF3D12" w:rsidRDefault="009E6253">
      <w:pPr>
        <w:spacing w:line="240" w:lineRule="auto"/>
      </w:pPr>
      <w:bookmarkStart w:id="1" w:name="_Hlk23937287"/>
      <w:r>
        <w:t>5210 mg szacharóz</w:t>
      </w:r>
      <w:r w:rsidR="001E6992">
        <w:t>t</w:t>
      </w:r>
      <w:r>
        <w:t>, 118 mg nátrium</w:t>
      </w:r>
      <w:r w:rsidR="001E6992">
        <w:t>ot</w:t>
      </w:r>
      <w:r>
        <w:t xml:space="preserve">, </w:t>
      </w:r>
      <w:bookmarkStart w:id="2" w:name="_Hlk23336536"/>
      <w:r>
        <w:t xml:space="preserve">0,1 mg </w:t>
      </w:r>
      <w:r w:rsidR="00C83D84">
        <w:t>S</w:t>
      </w:r>
      <w:r>
        <w:t xml:space="preserve">unset </w:t>
      </w:r>
      <w:r w:rsidR="00C83D84">
        <w:t>Y</w:t>
      </w:r>
      <w:r>
        <w:t>ellow</w:t>
      </w:r>
      <w:r w:rsidR="00130087">
        <w:t xml:space="preserve"> színezéket</w:t>
      </w:r>
      <w:bookmarkEnd w:id="2"/>
      <w:r>
        <w:t xml:space="preserve"> (E 110), </w:t>
      </w:r>
      <w:bookmarkStart w:id="3" w:name="_Hlk23336559"/>
      <w:r>
        <w:t xml:space="preserve">3,91 mg </w:t>
      </w:r>
      <w:r w:rsidR="00B24363">
        <w:t xml:space="preserve">karmazsin </w:t>
      </w:r>
      <w:r w:rsidR="00130087">
        <w:t>színezéket</w:t>
      </w:r>
      <w:r>
        <w:t xml:space="preserve"> </w:t>
      </w:r>
      <w:bookmarkEnd w:id="3"/>
      <w:r>
        <w:t>(E 122), és 80 mg aszpartám</w:t>
      </w:r>
      <w:r w:rsidR="001E6992">
        <w:t>ot</w:t>
      </w:r>
      <w:r>
        <w:t xml:space="preserve"> (E 951)</w:t>
      </w:r>
      <w:r w:rsidR="001E6992">
        <w:t xml:space="preserve"> tartalmaz tasakonként</w:t>
      </w:r>
      <w:r>
        <w:t>.</w:t>
      </w:r>
    </w:p>
    <w:bookmarkEnd w:id="1"/>
    <w:p w14:paraId="6B435836" w14:textId="77777777" w:rsidR="009E6253" w:rsidRPr="00D74541" w:rsidRDefault="009E6253">
      <w:pPr>
        <w:spacing w:line="240" w:lineRule="auto"/>
        <w:rPr>
          <w:iCs/>
          <w:u w:val="single"/>
        </w:rPr>
      </w:pPr>
    </w:p>
    <w:p w14:paraId="119BEDE1" w14:textId="77777777" w:rsidR="009E6253" w:rsidRPr="00962267" w:rsidRDefault="009E6253">
      <w:pPr>
        <w:spacing w:line="240" w:lineRule="auto"/>
      </w:pPr>
      <w:r>
        <w:t>A segédanyagok teljes listáját lásd a 6.1 pontban</w:t>
      </w:r>
    </w:p>
    <w:p w14:paraId="260197B3" w14:textId="77777777" w:rsidR="009E6253" w:rsidRDefault="009E6253">
      <w:pPr>
        <w:spacing w:line="240" w:lineRule="auto"/>
      </w:pPr>
    </w:p>
    <w:p w14:paraId="26256208" w14:textId="77777777" w:rsidR="009E6253" w:rsidRDefault="009E6253">
      <w:pPr>
        <w:spacing w:line="240" w:lineRule="auto"/>
      </w:pPr>
    </w:p>
    <w:p w14:paraId="032E82A2" w14:textId="363E7B92" w:rsidR="009E6253" w:rsidRDefault="009E6253">
      <w:pPr>
        <w:spacing w:line="240" w:lineRule="auto"/>
        <w:ind w:left="567" w:hanging="567"/>
        <w:outlineLvl w:val="0"/>
        <w:rPr>
          <w:b/>
          <w:caps/>
        </w:rPr>
      </w:pPr>
      <w:bookmarkStart w:id="4" w:name="_Hlk78356613"/>
      <w:r>
        <w:rPr>
          <w:b/>
        </w:rPr>
        <w:t>3.</w:t>
      </w:r>
      <w:r>
        <w:rPr>
          <w:b/>
        </w:rPr>
        <w:tab/>
        <w:t>GYÓGYSZERFORMA</w:t>
      </w:r>
    </w:p>
    <w:bookmarkEnd w:id="4"/>
    <w:p w14:paraId="2A563D65" w14:textId="77777777" w:rsidR="009E6253" w:rsidRDefault="009E6253">
      <w:pPr>
        <w:spacing w:line="240" w:lineRule="auto"/>
      </w:pPr>
    </w:p>
    <w:p w14:paraId="497E1C8B" w14:textId="52262F38" w:rsidR="009E6253" w:rsidRDefault="00130087">
      <w:pPr>
        <w:spacing w:line="240" w:lineRule="auto"/>
      </w:pPr>
      <w:r>
        <w:t>Por belsőleges oldathoz</w:t>
      </w:r>
      <w:r w:rsidR="009E6253">
        <w:t>.</w:t>
      </w:r>
    </w:p>
    <w:p w14:paraId="267E4213" w14:textId="0E2BDC84" w:rsidR="009E6253" w:rsidRDefault="00130087">
      <w:pPr>
        <w:spacing w:line="240" w:lineRule="auto"/>
      </w:pPr>
      <w:bookmarkStart w:id="5" w:name="_Hlk74770539"/>
      <w:r>
        <w:t>Halványrózsaszínű vagy őszibarack színű por, jellegzetes erdei gyümölcsös és mentol illattal.</w:t>
      </w:r>
      <w:bookmarkEnd w:id="5"/>
    </w:p>
    <w:p w14:paraId="54B99B5B" w14:textId="53E7D0C1" w:rsidR="009E6253" w:rsidRDefault="009E6253">
      <w:pPr>
        <w:spacing w:line="240" w:lineRule="auto"/>
      </w:pPr>
    </w:p>
    <w:p w14:paraId="7F405BA5" w14:textId="77777777" w:rsidR="00EC7617" w:rsidRDefault="00EC7617">
      <w:pPr>
        <w:spacing w:line="240" w:lineRule="auto"/>
      </w:pPr>
    </w:p>
    <w:p w14:paraId="6F89E4B2" w14:textId="77777777" w:rsidR="009E6253" w:rsidRDefault="009E6253">
      <w:pPr>
        <w:spacing w:line="240" w:lineRule="auto"/>
        <w:ind w:left="567" w:hanging="567"/>
        <w:outlineLvl w:val="0"/>
        <w:rPr>
          <w:caps/>
        </w:rPr>
      </w:pPr>
      <w:r>
        <w:rPr>
          <w:b/>
          <w:caps/>
        </w:rPr>
        <w:t>4.</w:t>
      </w:r>
      <w:r>
        <w:rPr>
          <w:b/>
          <w:caps/>
        </w:rPr>
        <w:tab/>
        <w:t>Klinikai jellemzők</w:t>
      </w:r>
    </w:p>
    <w:p w14:paraId="18177D6C" w14:textId="77777777" w:rsidR="009E6253" w:rsidRDefault="009E6253">
      <w:pPr>
        <w:spacing w:line="240" w:lineRule="auto"/>
      </w:pPr>
    </w:p>
    <w:p w14:paraId="58335C58" w14:textId="4702B3B6" w:rsidR="009E6253" w:rsidRDefault="009E6253">
      <w:pPr>
        <w:pStyle w:val="Listaszerbekezds"/>
        <w:numPr>
          <w:ilvl w:val="1"/>
          <w:numId w:val="38"/>
        </w:numPr>
        <w:spacing w:line="240" w:lineRule="auto"/>
        <w:outlineLvl w:val="0"/>
      </w:pPr>
      <w:bookmarkStart w:id="6" w:name="_Hlk22283429"/>
      <w:r>
        <w:rPr>
          <w:b/>
        </w:rPr>
        <w:t>Terápiás javallatok</w:t>
      </w:r>
    </w:p>
    <w:p w14:paraId="456A7A14" w14:textId="77777777" w:rsidR="009E6253" w:rsidRDefault="009E6253">
      <w:pPr>
        <w:spacing w:line="240" w:lineRule="auto"/>
      </w:pPr>
    </w:p>
    <w:p w14:paraId="057D3830" w14:textId="43B7760A" w:rsidR="00497419" w:rsidRDefault="002C6541">
      <w:pPr>
        <w:spacing w:line="240" w:lineRule="auto"/>
      </w:pPr>
      <w:bookmarkStart w:id="7" w:name="_Hlk74238167"/>
      <w:bookmarkStart w:id="8" w:name="_Hlk78356658"/>
      <w:r>
        <w:t xml:space="preserve">A </w:t>
      </w:r>
      <w:r w:rsidR="00B104B5">
        <w:t>Neo Citran Max C-vitaminnal por belsőleges oldathoz</w:t>
      </w:r>
      <w:r>
        <w:t xml:space="preserve"> </w:t>
      </w:r>
      <w:bookmarkStart w:id="9" w:name="_Hlk57006363"/>
      <w:r>
        <w:t>használata a megfázás és az influenza tüneteinek enyhítésére javallott,</w:t>
      </w:r>
      <w:bookmarkEnd w:id="9"/>
      <w:r>
        <w:t xml:space="preserve"> ha az orrdugulás lázzal és/vagy enyhe vagy közepesen erős fájdalommal párosul, beleértve a torokfájást, fejfájást, izomfájdalmat és a</w:t>
      </w:r>
      <w:r w:rsidR="00130087">
        <w:t>z</w:t>
      </w:r>
      <w:r>
        <w:t xml:space="preserve"> </w:t>
      </w:r>
      <w:r w:rsidR="00130087">
        <w:t>orr</w:t>
      </w:r>
      <w:r>
        <w:t>melléküregekben tapasztalható fájdalmat.</w:t>
      </w:r>
      <w:bookmarkEnd w:id="7"/>
    </w:p>
    <w:p w14:paraId="05842F8B" w14:textId="3601590F" w:rsidR="000F7638" w:rsidRDefault="000F7638">
      <w:pPr>
        <w:spacing w:line="240" w:lineRule="auto"/>
      </w:pPr>
    </w:p>
    <w:p w14:paraId="6CC26751" w14:textId="7289A61F" w:rsidR="008D36CD" w:rsidRPr="008D36CD" w:rsidRDefault="008D36CD">
      <w:pPr>
        <w:tabs>
          <w:tab w:val="clear" w:pos="567"/>
        </w:tabs>
        <w:spacing w:line="240" w:lineRule="auto"/>
        <w:rPr>
          <w:szCs w:val="22"/>
        </w:rPr>
      </w:pPr>
      <w:bookmarkStart w:id="10" w:name="_Hlk65764134"/>
      <w:r>
        <w:t xml:space="preserve">A gyógyszer használata felnőttek </w:t>
      </w:r>
      <w:r w:rsidR="00331953">
        <w:t xml:space="preserve">(beleértve az </w:t>
      </w:r>
      <w:r>
        <w:t>idő</w:t>
      </w:r>
      <w:bookmarkStart w:id="11" w:name="_Hlk79655769"/>
      <w:r w:rsidR="00E45323">
        <w:t>sek</w:t>
      </w:r>
      <w:r w:rsidR="00331953">
        <w:t>et)</w:t>
      </w:r>
      <w:r w:rsidR="00E45323">
        <w:t xml:space="preserve"> számára javallott, akiknek </w:t>
      </w:r>
      <w:r>
        <w:t>a testtömege 50 kg vagy annál nagyobb</w:t>
      </w:r>
      <w:bookmarkEnd w:id="11"/>
      <w:r>
        <w:t xml:space="preserve">. </w:t>
      </w:r>
    </w:p>
    <w:bookmarkEnd w:id="8"/>
    <w:bookmarkEnd w:id="10"/>
    <w:p w14:paraId="0BB3BD78" w14:textId="0BAAD2B5" w:rsidR="000F7638" w:rsidRDefault="000F7638">
      <w:pPr>
        <w:spacing w:line="240" w:lineRule="auto"/>
      </w:pPr>
    </w:p>
    <w:bookmarkEnd w:id="6"/>
    <w:p w14:paraId="7160EC27" w14:textId="77777777" w:rsidR="009E6253" w:rsidRDefault="009E6253">
      <w:pPr>
        <w:spacing w:line="240" w:lineRule="auto"/>
        <w:ind w:left="567" w:hanging="567"/>
        <w:outlineLvl w:val="0"/>
        <w:rPr>
          <w:b/>
        </w:rPr>
      </w:pPr>
      <w:r>
        <w:rPr>
          <w:b/>
        </w:rPr>
        <w:t>4.2</w:t>
      </w:r>
      <w:r>
        <w:rPr>
          <w:b/>
        </w:rPr>
        <w:tab/>
      </w:r>
      <w:bookmarkStart w:id="12" w:name="_Hlk33449179"/>
      <w:bookmarkStart w:id="13" w:name="_Hlk22283446"/>
      <w:r>
        <w:rPr>
          <w:b/>
        </w:rPr>
        <w:t>Adagolás és alkalmazás</w:t>
      </w:r>
      <w:bookmarkEnd w:id="12"/>
    </w:p>
    <w:p w14:paraId="2E508935" w14:textId="77777777" w:rsidR="009E6253" w:rsidRDefault="009E6253">
      <w:pPr>
        <w:spacing w:line="240" w:lineRule="auto"/>
        <w:ind w:left="567" w:hanging="567"/>
      </w:pPr>
    </w:p>
    <w:p w14:paraId="62AC859A" w14:textId="77777777" w:rsidR="009E6253" w:rsidRDefault="009E6253">
      <w:pPr>
        <w:tabs>
          <w:tab w:val="clear" w:pos="567"/>
        </w:tabs>
        <w:spacing w:line="240" w:lineRule="auto"/>
        <w:rPr>
          <w:szCs w:val="22"/>
          <w:u w:val="single"/>
        </w:rPr>
      </w:pPr>
      <w:bookmarkStart w:id="14" w:name="_Hlk57008966"/>
      <w:r>
        <w:rPr>
          <w:szCs w:val="22"/>
          <w:u w:val="single"/>
        </w:rPr>
        <w:t>Adagolás</w:t>
      </w:r>
    </w:p>
    <w:p w14:paraId="332F254C" w14:textId="77777777" w:rsidR="00B533C1" w:rsidRDefault="00B533C1">
      <w:pPr>
        <w:tabs>
          <w:tab w:val="clear" w:pos="567"/>
        </w:tabs>
        <w:spacing w:line="240" w:lineRule="auto"/>
        <w:rPr>
          <w:szCs w:val="22"/>
          <w:u w:val="single"/>
        </w:rPr>
      </w:pPr>
    </w:p>
    <w:p w14:paraId="682A1562" w14:textId="77777777" w:rsidR="00B533C1" w:rsidRDefault="00B533C1">
      <w:pPr>
        <w:tabs>
          <w:tab w:val="clear" w:pos="567"/>
        </w:tabs>
        <w:spacing w:line="240" w:lineRule="auto"/>
        <w:rPr>
          <w:szCs w:val="22"/>
          <w:u w:val="single"/>
        </w:rPr>
      </w:pPr>
    </w:p>
    <w:p w14:paraId="607EB05E" w14:textId="5F11B64F" w:rsidR="00A60A1D" w:rsidRDefault="009E6253" w:rsidP="001704A4">
      <w:pPr>
        <w:spacing w:line="240" w:lineRule="auto"/>
        <w:rPr>
          <w:szCs w:val="22"/>
        </w:rPr>
      </w:pPr>
      <w:r>
        <w:rPr>
          <w:b/>
          <w:szCs w:val="22"/>
        </w:rPr>
        <w:t>Felnőttek (az időseket is beleértve), 50 kg, vagy azt meghaladó testsúly esetén:</w:t>
      </w:r>
      <w:r>
        <w:t xml:space="preserve"> </w:t>
      </w:r>
    </w:p>
    <w:p w14:paraId="368D2ABD" w14:textId="77777777" w:rsidR="006B6255" w:rsidRPr="006B6255" w:rsidRDefault="00A60A1D" w:rsidP="008218B0">
      <w:pPr>
        <w:tabs>
          <w:tab w:val="clear" w:pos="567"/>
        </w:tabs>
        <w:spacing w:line="240" w:lineRule="auto"/>
      </w:pPr>
      <w:r>
        <w:t>4-6 óránként egy tasak szükség szerint, legfeljebb 4 tasak naponta.</w:t>
      </w:r>
      <w:bookmarkStart w:id="15" w:name="_Hlk62161196"/>
      <w:r>
        <w:t xml:space="preserve"> </w:t>
      </w:r>
      <w:bookmarkEnd w:id="15"/>
    </w:p>
    <w:p w14:paraId="4B2F3F83" w14:textId="77777777" w:rsidR="008218B0" w:rsidRDefault="00A60A1D" w:rsidP="00646227">
      <w:pPr>
        <w:tabs>
          <w:tab w:val="clear" w:pos="567"/>
        </w:tabs>
        <w:spacing w:line="240" w:lineRule="auto"/>
      </w:pPr>
      <w:r>
        <w:t>Maximális napi adag: 4 tasak bármely 24 órás időszakban, ami 4000 mg paracetamolnak, 40 mg fenilefrin-hidrokloridnak és 280 mg aszkorbinsavnak felel meg.</w:t>
      </w:r>
      <w:bookmarkStart w:id="16" w:name="_Hlk58947542"/>
      <w:r>
        <w:t xml:space="preserve"> A megadott adagolást, vagy alkalmazási gyakoriságot nem szabad túllépni.</w:t>
      </w:r>
    </w:p>
    <w:bookmarkEnd w:id="16"/>
    <w:p w14:paraId="44EFF153" w14:textId="70383F69" w:rsidR="00795E95" w:rsidRDefault="00795E95" w:rsidP="00646227">
      <w:pPr>
        <w:tabs>
          <w:tab w:val="clear" w:pos="567"/>
        </w:tabs>
        <w:spacing w:line="240" w:lineRule="auto"/>
      </w:pPr>
    </w:p>
    <w:p w14:paraId="377AD33D" w14:textId="5472A952" w:rsidR="00647788" w:rsidRDefault="00A60A1D" w:rsidP="001704A4">
      <w:pPr>
        <w:tabs>
          <w:tab w:val="clear" w:pos="567"/>
        </w:tabs>
        <w:spacing w:line="240" w:lineRule="auto"/>
        <w:rPr>
          <w:szCs w:val="24"/>
        </w:rPr>
      </w:pPr>
      <w:r>
        <w:t xml:space="preserve">Alkalmazás maximális ideje orvosi </w:t>
      </w:r>
      <w:r w:rsidR="005D27A7">
        <w:t xml:space="preserve">javaslat </w:t>
      </w:r>
      <w:r>
        <w:t>nélkül: 3 nap.</w:t>
      </w:r>
      <w:r w:rsidR="00F62DDE" w:rsidRPr="007D369B">
        <w:rPr>
          <w:szCs w:val="22"/>
        </w:rPr>
        <w:t xml:space="preserve">A </w:t>
      </w:r>
      <w:r w:rsidR="005D27A7">
        <w:rPr>
          <w:szCs w:val="22"/>
        </w:rPr>
        <w:t>kívánt hatás</w:t>
      </w:r>
      <w:r w:rsidR="005D27A7" w:rsidRPr="007D369B">
        <w:rPr>
          <w:szCs w:val="22"/>
        </w:rPr>
        <w:t xml:space="preserve"> </w:t>
      </w:r>
      <w:r w:rsidR="00F62DDE" w:rsidRPr="007D369B">
        <w:rPr>
          <w:szCs w:val="22"/>
        </w:rPr>
        <w:t xml:space="preserve">eléréséhez </w:t>
      </w:r>
      <w:r w:rsidR="005D27A7">
        <w:rPr>
          <w:szCs w:val="22"/>
        </w:rPr>
        <w:t>szükséges</w:t>
      </w:r>
      <w:r w:rsidR="00F62DDE">
        <w:rPr>
          <w:szCs w:val="22"/>
        </w:rPr>
        <w:t xml:space="preserve"> </w:t>
      </w:r>
      <w:r w:rsidR="00F62DDE" w:rsidRPr="0017790A">
        <w:rPr>
          <w:szCs w:val="22"/>
        </w:rPr>
        <w:t>legkisebb adagot a lehető legrövidebb ideig kell alkalmazni</w:t>
      </w:r>
      <w:r w:rsidR="00A811EF">
        <w:t>.</w:t>
      </w:r>
      <w:bookmarkEnd w:id="13"/>
      <w:bookmarkEnd w:id="14"/>
    </w:p>
    <w:p w14:paraId="6EF64F54" w14:textId="77777777" w:rsidR="007E224E" w:rsidRDefault="007E224E" w:rsidP="001704A4">
      <w:pPr>
        <w:tabs>
          <w:tab w:val="clear" w:pos="567"/>
        </w:tabs>
        <w:spacing w:line="240" w:lineRule="auto"/>
        <w:rPr>
          <w:szCs w:val="22"/>
        </w:rPr>
      </w:pPr>
    </w:p>
    <w:p w14:paraId="1E1AF037" w14:textId="3B990806" w:rsidR="00331953" w:rsidRPr="00AC3058" w:rsidRDefault="00331953" w:rsidP="001704A4">
      <w:pPr>
        <w:tabs>
          <w:tab w:val="clear" w:pos="567"/>
        </w:tabs>
        <w:spacing w:line="240" w:lineRule="auto"/>
        <w:rPr>
          <w:szCs w:val="22"/>
          <w:u w:val="single"/>
        </w:rPr>
      </w:pPr>
      <w:r w:rsidRPr="00AC3058">
        <w:rPr>
          <w:szCs w:val="22"/>
          <w:u w:val="single"/>
        </w:rPr>
        <w:t>Különleges betegcsoportok</w:t>
      </w:r>
    </w:p>
    <w:p w14:paraId="1F0B3FE8" w14:textId="77777777" w:rsidR="00331953" w:rsidRDefault="00331953" w:rsidP="001704A4">
      <w:pPr>
        <w:tabs>
          <w:tab w:val="clear" w:pos="567"/>
        </w:tabs>
        <w:spacing w:line="240" w:lineRule="auto"/>
        <w:rPr>
          <w:szCs w:val="22"/>
        </w:rPr>
      </w:pPr>
    </w:p>
    <w:p w14:paraId="0155158E" w14:textId="76BEC5F6" w:rsidR="00FB771E" w:rsidRDefault="009E6253" w:rsidP="001704A4">
      <w:pPr>
        <w:tabs>
          <w:tab w:val="clear" w:pos="567"/>
        </w:tabs>
        <w:spacing w:line="240" w:lineRule="auto"/>
        <w:rPr>
          <w:bCs/>
          <w:i/>
          <w:iCs/>
          <w:szCs w:val="22"/>
        </w:rPr>
      </w:pPr>
      <w:bookmarkStart w:id="17" w:name="_Hlk74239102"/>
      <w:r>
        <w:rPr>
          <w:bCs/>
          <w:i/>
          <w:iCs/>
          <w:szCs w:val="22"/>
        </w:rPr>
        <w:t xml:space="preserve">Gyermekek </w:t>
      </w:r>
      <w:bookmarkStart w:id="18" w:name="_Hlk22283467"/>
      <w:r w:rsidR="008218B0">
        <w:rPr>
          <w:bCs/>
          <w:i/>
          <w:iCs/>
          <w:szCs w:val="22"/>
        </w:rPr>
        <w:t>és serdülők</w:t>
      </w:r>
    </w:p>
    <w:p w14:paraId="17A4CA07" w14:textId="77777777" w:rsidR="00FB771E" w:rsidRPr="00FB771E" w:rsidRDefault="00FB771E" w:rsidP="001704A4">
      <w:pPr>
        <w:tabs>
          <w:tab w:val="clear" w:pos="567"/>
        </w:tabs>
        <w:spacing w:line="240" w:lineRule="auto"/>
        <w:rPr>
          <w:bCs/>
          <w:szCs w:val="22"/>
        </w:rPr>
      </w:pPr>
      <w:r>
        <w:t>A gyógyszer használata 18 évesnél fiatalabb gyermekek és serdülők számára nem ajánlott.</w:t>
      </w:r>
    </w:p>
    <w:bookmarkEnd w:id="18"/>
    <w:p w14:paraId="1C95E8EE" w14:textId="77777777" w:rsidR="009E6253" w:rsidRDefault="009E6253" w:rsidP="008218B0">
      <w:pPr>
        <w:tabs>
          <w:tab w:val="clear" w:pos="567"/>
        </w:tabs>
        <w:autoSpaceDE w:val="0"/>
        <w:autoSpaceDN w:val="0"/>
        <w:adjustRightInd w:val="0"/>
        <w:spacing w:line="240" w:lineRule="auto"/>
        <w:rPr>
          <w:i/>
          <w:szCs w:val="22"/>
        </w:rPr>
      </w:pPr>
    </w:p>
    <w:p w14:paraId="3E15A0B1" w14:textId="0FBD6E0C" w:rsidR="009E6253" w:rsidRDefault="009E6253" w:rsidP="001704A4">
      <w:pPr>
        <w:keepNext/>
        <w:tabs>
          <w:tab w:val="clear" w:pos="567"/>
        </w:tabs>
        <w:autoSpaceDE w:val="0"/>
        <w:autoSpaceDN w:val="0"/>
        <w:adjustRightInd w:val="0"/>
        <w:spacing w:line="240" w:lineRule="auto"/>
        <w:rPr>
          <w:i/>
          <w:szCs w:val="22"/>
        </w:rPr>
      </w:pPr>
      <w:bookmarkStart w:id="19" w:name="_Hlk78389854"/>
      <w:r>
        <w:rPr>
          <w:i/>
          <w:szCs w:val="22"/>
        </w:rPr>
        <w:t>Máj</w:t>
      </w:r>
      <w:r w:rsidR="005D27A7">
        <w:rPr>
          <w:i/>
          <w:szCs w:val="22"/>
        </w:rPr>
        <w:t>károsodás</w:t>
      </w:r>
      <w:r>
        <w:rPr>
          <w:i/>
          <w:szCs w:val="22"/>
        </w:rPr>
        <w:t xml:space="preserve"> </w:t>
      </w:r>
    </w:p>
    <w:p w14:paraId="538CB643" w14:textId="3B6A0445" w:rsidR="008218B0" w:rsidRDefault="00711067" w:rsidP="001704A4">
      <w:pPr>
        <w:keepNext/>
        <w:tabs>
          <w:tab w:val="clear" w:pos="567"/>
        </w:tabs>
        <w:autoSpaceDE w:val="0"/>
        <w:autoSpaceDN w:val="0"/>
        <w:adjustRightInd w:val="0"/>
        <w:spacing w:line="240" w:lineRule="auto"/>
      </w:pPr>
      <w:bookmarkStart w:id="20" w:name="_Hlk57009449"/>
      <w:r>
        <w:t xml:space="preserve">A súlyos májkárosodásban szenvedő betegeknél történő alkalmazás ellenjavallt, lásd a 4.3 </w:t>
      </w:r>
      <w:r w:rsidR="008218B0">
        <w:t>pont</w:t>
      </w:r>
      <w:r>
        <w:t>. Enyhe vagy közepesen súlyos májkárosodásban vagy Gilbert-szindrómá</w:t>
      </w:r>
      <w:r w:rsidR="008218B0">
        <w:t>ban</w:t>
      </w:r>
      <w:r>
        <w:t xml:space="preserve"> </w:t>
      </w:r>
      <w:r w:rsidR="008218B0">
        <w:t xml:space="preserve">szenvedő </w:t>
      </w:r>
      <w:r>
        <w:t xml:space="preserve">betegeknél az adagot </w:t>
      </w:r>
      <w:r>
        <w:lastRenderedPageBreak/>
        <w:t xml:space="preserve">csökkenteni kell, vagy az egyes adagok </w:t>
      </w:r>
      <w:r w:rsidR="008218B0">
        <w:t xml:space="preserve">bevétele </w:t>
      </w:r>
      <w:r>
        <w:t xml:space="preserve">között </w:t>
      </w:r>
      <w:r w:rsidR="008218B0">
        <w:t xml:space="preserve">nagyobb </w:t>
      </w:r>
      <w:r>
        <w:t>idő</w:t>
      </w:r>
      <w:r w:rsidR="008218B0">
        <w:t>közt</w:t>
      </w:r>
      <w:r>
        <w:t xml:space="preserve"> kell hagyni. Az egyszeri adagban alkalmazott 1000 mg paracetamol nem alkalmazható enyhe vagy közepesen súlyos májkárosodásban szenvedő betegeknél, ha csökkentett dózis szükséges. </w:t>
      </w:r>
      <w:r w:rsidR="007401FF">
        <w:t>M</w:t>
      </w:r>
      <w:r>
        <w:t>egfelelőbb gyógyszerformá</w:t>
      </w:r>
      <w:r w:rsidR="00E0629E">
        <w:t>jú</w:t>
      </w:r>
      <w:r>
        <w:t xml:space="preserve"> és adagolás</w:t>
      </w:r>
      <w:r w:rsidR="00E0629E">
        <w:t>ú készítmények</w:t>
      </w:r>
      <w:r>
        <w:t xml:space="preserve"> </w:t>
      </w:r>
      <w:r w:rsidR="00E0629E">
        <w:t>kaphatóak</w:t>
      </w:r>
      <w:r>
        <w:t>.</w:t>
      </w:r>
    </w:p>
    <w:bookmarkEnd w:id="19"/>
    <w:p w14:paraId="367C3E79" w14:textId="6D32AD98" w:rsidR="00965793" w:rsidRPr="00273E4E" w:rsidRDefault="00965793" w:rsidP="001704A4">
      <w:pPr>
        <w:keepNext/>
        <w:tabs>
          <w:tab w:val="clear" w:pos="567"/>
        </w:tabs>
        <w:autoSpaceDE w:val="0"/>
        <w:autoSpaceDN w:val="0"/>
        <w:adjustRightInd w:val="0"/>
        <w:spacing w:line="240" w:lineRule="auto"/>
        <w:rPr>
          <w:i/>
          <w:szCs w:val="22"/>
        </w:rPr>
      </w:pPr>
    </w:p>
    <w:p w14:paraId="142F0B19" w14:textId="4C3A9AF3" w:rsidR="009E6253" w:rsidRDefault="009E6253" w:rsidP="001704A4">
      <w:pPr>
        <w:keepNext/>
        <w:tabs>
          <w:tab w:val="clear" w:pos="567"/>
        </w:tabs>
        <w:autoSpaceDE w:val="0"/>
        <w:autoSpaceDN w:val="0"/>
        <w:adjustRightInd w:val="0"/>
        <w:spacing w:line="240" w:lineRule="auto"/>
        <w:rPr>
          <w:i/>
          <w:szCs w:val="22"/>
        </w:rPr>
      </w:pPr>
      <w:bookmarkStart w:id="21" w:name="_Hlk78389841"/>
      <w:bookmarkStart w:id="22" w:name="_Hlk57009357"/>
      <w:bookmarkEnd w:id="20"/>
      <w:r>
        <w:rPr>
          <w:i/>
          <w:szCs w:val="22"/>
        </w:rPr>
        <w:t>Vese</w:t>
      </w:r>
      <w:r w:rsidR="007401FF">
        <w:rPr>
          <w:i/>
          <w:szCs w:val="22"/>
        </w:rPr>
        <w:t>károsodás</w:t>
      </w:r>
      <w:r>
        <w:rPr>
          <w:i/>
          <w:szCs w:val="22"/>
        </w:rPr>
        <w:t xml:space="preserve"> </w:t>
      </w:r>
    </w:p>
    <w:p w14:paraId="5EA5ECAE" w14:textId="7F574A7E" w:rsidR="007401FF" w:rsidRDefault="009E6253" w:rsidP="007401FF">
      <w:pPr>
        <w:tabs>
          <w:tab w:val="clear" w:pos="567"/>
        </w:tabs>
        <w:spacing w:line="240" w:lineRule="auto"/>
      </w:pPr>
      <w:bookmarkStart w:id="23" w:name="_Hlk21521606"/>
      <w:r>
        <w:t xml:space="preserve">Ezt a gyógyszert enyhe </w:t>
      </w:r>
      <w:r w:rsidR="007401FF">
        <w:t xml:space="preserve">vesekárosodásban </w:t>
      </w:r>
      <w:r>
        <w:t xml:space="preserve">szenvedő betegeknél fokozott óvatossággal és orvosi felügyelet mellett kell alkalmazni (lásd 4.4. pont). Az egyszeri adagban alkalmazott 1000 mg paracetamol nem alkalmazható közepesen súlyos, vagy súlyos veseelégtelenségben szenvedő betegeknél, ha csökkentett adagolás szükséges. </w:t>
      </w:r>
      <w:r w:rsidR="007401FF">
        <w:t>Megfelelőbb gyógyszerformájú és adagolású készítmények kaphatóak.</w:t>
      </w:r>
    </w:p>
    <w:bookmarkEnd w:id="17"/>
    <w:bookmarkEnd w:id="21"/>
    <w:bookmarkEnd w:id="23"/>
    <w:p w14:paraId="5949A841" w14:textId="77777777" w:rsidR="00F14141" w:rsidRDefault="00F14141" w:rsidP="007401FF">
      <w:pPr>
        <w:tabs>
          <w:tab w:val="clear" w:pos="567"/>
        </w:tabs>
        <w:spacing w:line="240" w:lineRule="auto"/>
        <w:rPr>
          <w:szCs w:val="22"/>
          <w:u w:val="single"/>
        </w:rPr>
      </w:pPr>
    </w:p>
    <w:p w14:paraId="0F12D574" w14:textId="77777777" w:rsidR="009E6253" w:rsidRDefault="009E6253" w:rsidP="00646227">
      <w:pPr>
        <w:tabs>
          <w:tab w:val="clear" w:pos="567"/>
        </w:tabs>
        <w:spacing w:line="240" w:lineRule="auto"/>
        <w:rPr>
          <w:szCs w:val="22"/>
          <w:u w:val="single"/>
        </w:rPr>
      </w:pPr>
      <w:bookmarkStart w:id="24" w:name="_Hlk22283478"/>
      <w:r>
        <w:rPr>
          <w:szCs w:val="22"/>
          <w:u w:val="single"/>
        </w:rPr>
        <w:t xml:space="preserve">Az alkalmazás módja </w:t>
      </w:r>
    </w:p>
    <w:p w14:paraId="20AB1B61" w14:textId="77777777" w:rsidR="00B533C1" w:rsidRDefault="00B533C1" w:rsidP="00646227">
      <w:pPr>
        <w:tabs>
          <w:tab w:val="clear" w:pos="567"/>
        </w:tabs>
        <w:spacing w:line="240" w:lineRule="auto"/>
        <w:rPr>
          <w:szCs w:val="22"/>
          <w:u w:val="single"/>
        </w:rPr>
      </w:pPr>
    </w:p>
    <w:p w14:paraId="60938753" w14:textId="3632CC71" w:rsidR="009E6253" w:rsidRDefault="009E6253">
      <w:pPr>
        <w:spacing w:line="240" w:lineRule="auto"/>
      </w:pPr>
      <w:r>
        <w:t>Szájon át történő alkalmazásra.</w:t>
      </w:r>
    </w:p>
    <w:p w14:paraId="598BDA6C" w14:textId="77777777" w:rsidR="00B533C1" w:rsidRDefault="00B533C1">
      <w:pPr>
        <w:spacing w:line="240" w:lineRule="auto"/>
        <w:rPr>
          <w:szCs w:val="22"/>
        </w:rPr>
      </w:pPr>
    </w:p>
    <w:p w14:paraId="16BB603C" w14:textId="1CEB9C39" w:rsidR="009E6253" w:rsidRDefault="009530DC">
      <w:pPr>
        <w:tabs>
          <w:tab w:val="clear" w:pos="567"/>
        </w:tabs>
        <w:spacing w:line="240" w:lineRule="auto"/>
        <w:rPr>
          <w:szCs w:val="22"/>
        </w:rPr>
      </w:pPr>
      <w:r>
        <w:t>Egy tasak tartalmát fel kell oldani egy bögrényi forró, de nem forrásban levő vízben. Elfogadható hőmérsékletűre hűthető, de még melegen kell meginni.</w:t>
      </w:r>
    </w:p>
    <w:bookmarkEnd w:id="22"/>
    <w:bookmarkEnd w:id="24"/>
    <w:p w14:paraId="796DD9E6" w14:textId="77777777" w:rsidR="009E6253" w:rsidRDefault="009E6253">
      <w:pPr>
        <w:spacing w:line="240" w:lineRule="auto"/>
      </w:pPr>
    </w:p>
    <w:p w14:paraId="064D52FB" w14:textId="77777777" w:rsidR="009E6253" w:rsidRDefault="009E6253">
      <w:pPr>
        <w:spacing w:line="240" w:lineRule="auto"/>
        <w:ind w:left="567" w:hanging="567"/>
        <w:outlineLvl w:val="0"/>
      </w:pPr>
      <w:r>
        <w:rPr>
          <w:b/>
          <w:bCs/>
        </w:rPr>
        <w:t>4.3</w:t>
      </w:r>
      <w:r>
        <w:tab/>
      </w:r>
      <w:r>
        <w:rPr>
          <w:b/>
          <w:bCs/>
        </w:rPr>
        <w:t>Ellenjavallatok</w:t>
      </w:r>
    </w:p>
    <w:p w14:paraId="5F751590" w14:textId="77777777" w:rsidR="009E6253" w:rsidRDefault="009E6253">
      <w:pPr>
        <w:spacing w:line="240" w:lineRule="auto"/>
      </w:pPr>
    </w:p>
    <w:p w14:paraId="23D82001" w14:textId="185D7EA1" w:rsidR="009E6253" w:rsidRPr="008B7E12" w:rsidRDefault="00E87511">
      <w:pPr>
        <w:numPr>
          <w:ilvl w:val="0"/>
          <w:numId w:val="25"/>
        </w:numPr>
        <w:spacing w:line="240" w:lineRule="auto"/>
      </w:pPr>
      <w:bookmarkStart w:id="25" w:name="_Hlk60744344"/>
      <w:r>
        <w:t>A paracetamollal, fenilefrinnel, aszkorbinsavval, vagy a 6.1 pontban felsorolt bármely segédanyaggal szembeni túlérzékenység</w:t>
      </w:r>
    </w:p>
    <w:p w14:paraId="35507B1D" w14:textId="267ACDD0" w:rsidR="009E6253" w:rsidRPr="00533AC5" w:rsidRDefault="00E87511">
      <w:pPr>
        <w:numPr>
          <w:ilvl w:val="0"/>
          <w:numId w:val="25"/>
        </w:numPr>
        <w:spacing w:line="240" w:lineRule="auto"/>
        <w:rPr>
          <w:i/>
        </w:rPr>
      </w:pPr>
      <w:r>
        <w:t>Azok a betegek, akik monoamin-oxidáz-gátlókat szednek vagy szedtek az elmúlt két hétben (lásd 4.5. pont).</w:t>
      </w:r>
    </w:p>
    <w:p w14:paraId="4CA1A59A" w14:textId="52858AA7" w:rsidR="008A7357" w:rsidRPr="00533AC5" w:rsidRDefault="008A7357">
      <w:pPr>
        <w:pStyle w:val="Listaszerbekezds"/>
        <w:numPr>
          <w:ilvl w:val="0"/>
          <w:numId w:val="25"/>
        </w:numPr>
        <w:spacing w:line="240" w:lineRule="auto"/>
      </w:pPr>
      <w:r>
        <w:t xml:space="preserve">Zárt zugú </w:t>
      </w:r>
      <w:r w:rsidR="00883B6C">
        <w:t>glaucoma</w:t>
      </w:r>
    </w:p>
    <w:p w14:paraId="705AF376" w14:textId="682516CF" w:rsidR="008A7357" w:rsidRPr="00533AC5" w:rsidRDefault="008A7357">
      <w:pPr>
        <w:pStyle w:val="Listaszerbekezds"/>
        <w:numPr>
          <w:ilvl w:val="0"/>
          <w:numId w:val="25"/>
        </w:numPr>
        <w:spacing w:line="240" w:lineRule="auto"/>
      </w:pPr>
      <w:r>
        <w:t>Pajzsmirigy</w:t>
      </w:r>
      <w:r w:rsidR="00883B6C">
        <w:t>-</w:t>
      </w:r>
      <w:r>
        <w:t>túlműködés</w:t>
      </w:r>
    </w:p>
    <w:p w14:paraId="6C3AF2FF" w14:textId="71E903D9" w:rsidR="008A7357" w:rsidRPr="00533AC5" w:rsidRDefault="00883B6C">
      <w:pPr>
        <w:pStyle w:val="Listaszerbekezds"/>
        <w:numPr>
          <w:ilvl w:val="0"/>
          <w:numId w:val="25"/>
        </w:numPr>
        <w:spacing w:line="240" w:lineRule="auto"/>
      </w:pPr>
      <w:r>
        <w:t>Diabetes mellitus</w:t>
      </w:r>
    </w:p>
    <w:p w14:paraId="2C8907AA" w14:textId="13459751" w:rsidR="008A7357" w:rsidRPr="00533AC5" w:rsidRDefault="008A7357">
      <w:pPr>
        <w:pStyle w:val="Listaszerbekezds"/>
        <w:numPr>
          <w:ilvl w:val="0"/>
          <w:numId w:val="25"/>
        </w:numPr>
        <w:spacing w:line="240" w:lineRule="auto"/>
      </w:pPr>
      <w:r>
        <w:t xml:space="preserve">Szív- és érrendszeri betegségek, beleértve a szívbetegségeket, </w:t>
      </w:r>
      <w:r w:rsidR="00883B6C">
        <w:t>hypertoniát</w:t>
      </w:r>
    </w:p>
    <w:p w14:paraId="6EDE073D" w14:textId="7CC8CFD5" w:rsidR="002F5B59" w:rsidRPr="008246D0" w:rsidRDefault="008A7357">
      <w:pPr>
        <w:pStyle w:val="Listaszerbekezds"/>
        <w:numPr>
          <w:ilvl w:val="0"/>
          <w:numId w:val="25"/>
        </w:numPr>
        <w:spacing w:line="240" w:lineRule="auto"/>
      </w:pPr>
      <w:r>
        <w:t xml:space="preserve">Feokromocitóma </w:t>
      </w:r>
    </w:p>
    <w:p w14:paraId="01BEF54B" w14:textId="6FCABF16" w:rsidR="008A7357" w:rsidRPr="00533AC5" w:rsidRDefault="008A7357">
      <w:pPr>
        <w:pStyle w:val="Listaszerbekezds"/>
        <w:numPr>
          <w:ilvl w:val="0"/>
          <w:numId w:val="25"/>
        </w:numPr>
        <w:spacing w:line="240" w:lineRule="auto"/>
      </w:pPr>
      <w:r>
        <w:t>Triciklusos antidepresszánsokkal történ</w:t>
      </w:r>
      <w:r w:rsidR="00883B6C">
        <w:t>ő</w:t>
      </w:r>
      <w:r>
        <w:t xml:space="preserve"> egyidejű kezelés (lásd 4.5 pont)</w:t>
      </w:r>
    </w:p>
    <w:p w14:paraId="15D4FD90" w14:textId="50139327" w:rsidR="008A7357" w:rsidRDefault="008A7357">
      <w:pPr>
        <w:pStyle w:val="Listaszerbekezds"/>
        <w:numPr>
          <w:ilvl w:val="0"/>
          <w:numId w:val="25"/>
        </w:numPr>
        <w:spacing w:line="240" w:lineRule="auto"/>
      </w:pPr>
      <w:bookmarkStart w:id="26" w:name="_Hlk74588839"/>
      <w:r>
        <w:t xml:space="preserve">Béta-blokkolókkal és egyéb vérnyomáscsökkentő készítményekkel </w:t>
      </w:r>
      <w:r w:rsidR="002E30A5">
        <w:t>történő</w:t>
      </w:r>
      <w:r>
        <w:t xml:space="preserve"> egyidejű kezelés </w:t>
      </w:r>
      <w:bookmarkEnd w:id="26"/>
      <w:r>
        <w:t>(lásd 4.5 pont)</w:t>
      </w:r>
    </w:p>
    <w:p w14:paraId="4E27CDA4" w14:textId="73B2E1B9" w:rsidR="00DE1B46" w:rsidRPr="00A54C21" w:rsidRDefault="002F5B59">
      <w:pPr>
        <w:pStyle w:val="Listaszerbekezds"/>
        <w:numPr>
          <w:ilvl w:val="0"/>
          <w:numId w:val="25"/>
        </w:numPr>
        <w:tabs>
          <w:tab w:val="clear" w:pos="567"/>
        </w:tabs>
        <w:spacing w:line="240" w:lineRule="auto"/>
      </w:pPr>
      <w:bookmarkStart w:id="27" w:name="_Hlk78302100"/>
      <w:r>
        <w:t xml:space="preserve">Más szimpatomimetikus készítményekkel történő egyidejű kezelés (például orrdugulást csökkent, </w:t>
      </w:r>
      <w:r w:rsidR="002E30A5">
        <w:t xml:space="preserve">vagy </w:t>
      </w:r>
      <w:r>
        <w:t xml:space="preserve">étvágycsökkentő szerek </w:t>
      </w:r>
      <w:r w:rsidR="002E30A5">
        <w:t xml:space="preserve">vagy </w:t>
      </w:r>
      <w:r>
        <w:t xml:space="preserve">amfetamin-szerű pszichostimulánsok) </w:t>
      </w:r>
      <w:bookmarkEnd w:id="27"/>
      <w:r>
        <w:t>(lásd</w:t>
      </w:r>
      <w:r>
        <w:rPr>
          <w:i/>
        </w:rPr>
        <w:t> </w:t>
      </w:r>
      <w:r>
        <w:t>4.5 pont)</w:t>
      </w:r>
    </w:p>
    <w:p w14:paraId="4E2077F9" w14:textId="308A76A3" w:rsidR="00B927DA" w:rsidRPr="00533AC5" w:rsidRDefault="00B927DA">
      <w:pPr>
        <w:pStyle w:val="Listaszerbekezds"/>
        <w:numPr>
          <w:ilvl w:val="0"/>
          <w:numId w:val="25"/>
        </w:numPr>
        <w:tabs>
          <w:tab w:val="clear" w:pos="567"/>
        </w:tabs>
        <w:spacing w:line="240" w:lineRule="auto"/>
      </w:pPr>
      <w:r>
        <w:t>Súlyos máj</w:t>
      </w:r>
      <w:bookmarkEnd w:id="25"/>
      <w:r w:rsidR="002E30A5">
        <w:t>károsodás</w:t>
      </w:r>
    </w:p>
    <w:p w14:paraId="6B8FDC94" w14:textId="77777777" w:rsidR="009E6253" w:rsidRDefault="009E6253">
      <w:pPr>
        <w:spacing w:line="240" w:lineRule="auto"/>
      </w:pPr>
    </w:p>
    <w:p w14:paraId="090DF9D4" w14:textId="77777777" w:rsidR="009E6253" w:rsidRDefault="009E6253">
      <w:pPr>
        <w:spacing w:line="240" w:lineRule="auto"/>
        <w:ind w:left="567" w:hanging="567"/>
        <w:outlineLvl w:val="0"/>
        <w:rPr>
          <w:b/>
          <w:bCs/>
        </w:rPr>
      </w:pPr>
      <w:r>
        <w:rPr>
          <w:b/>
          <w:bCs/>
        </w:rPr>
        <w:t>4.4</w:t>
      </w:r>
      <w:r>
        <w:tab/>
      </w:r>
      <w:r>
        <w:rPr>
          <w:b/>
          <w:bCs/>
        </w:rPr>
        <w:t>Különleges figyelmeztetések és az alkalmazással kapcsolatos óvintézkedések</w:t>
      </w:r>
    </w:p>
    <w:p w14:paraId="7835E865" w14:textId="77777777" w:rsidR="009E6253" w:rsidRDefault="009E6253">
      <w:pPr>
        <w:spacing w:line="240" w:lineRule="auto"/>
        <w:ind w:left="567" w:hanging="567"/>
      </w:pPr>
    </w:p>
    <w:p w14:paraId="64CFEA63" w14:textId="5C2707BA" w:rsidR="009E6253" w:rsidRDefault="002C6541">
      <w:pPr>
        <w:tabs>
          <w:tab w:val="clear" w:pos="567"/>
        </w:tabs>
        <w:spacing w:line="240" w:lineRule="auto"/>
        <w:rPr>
          <w:noProof/>
          <w:szCs w:val="22"/>
        </w:rPr>
      </w:pPr>
      <w:r>
        <w:t xml:space="preserve">A </w:t>
      </w:r>
      <w:r w:rsidR="00B104B5">
        <w:t>Neo Citran Max C-vitaminnal por belsőleges oldathoz</w:t>
      </w:r>
      <w:r>
        <w:t xml:space="preserve"> paracetamolt tartalmaz. Tilos egyidejűleg más paracetamol tartalmú gyógyszerkészítményeket szedni, mivel ez túladagoláshoz vezethet. A paracetamol javasolt adag feletti alkalmazása súlyos májkárosodást okozhat, ami májátültetést tehet szükségessé, vagy halálos kimenetelű lehet.</w:t>
      </w:r>
    </w:p>
    <w:p w14:paraId="4F7C8341" w14:textId="77777777" w:rsidR="009E6253" w:rsidRDefault="009E6253">
      <w:pPr>
        <w:tabs>
          <w:tab w:val="clear" w:pos="567"/>
        </w:tabs>
        <w:spacing w:line="240" w:lineRule="auto"/>
        <w:rPr>
          <w:noProof/>
          <w:szCs w:val="22"/>
        </w:rPr>
      </w:pPr>
    </w:p>
    <w:p w14:paraId="2C945452" w14:textId="6E3BF98E" w:rsidR="006B6729" w:rsidRPr="008B7E12" w:rsidRDefault="006B6729">
      <w:pPr>
        <w:tabs>
          <w:tab w:val="clear" w:pos="567"/>
        </w:tabs>
        <w:spacing w:line="240" w:lineRule="auto"/>
        <w:rPr>
          <w:noProof/>
          <w:szCs w:val="22"/>
        </w:rPr>
      </w:pPr>
      <w:r w:rsidRPr="006B6729">
        <w:rPr>
          <w:noProof/>
          <w:szCs w:val="22"/>
        </w:rPr>
        <w:t>Piroglutamát-acidózis miatt kialakuló emelkedett anionréssel járó metabolikus acidózist (HAGMA) jelentettek egyes olyan, súlyos betegségben (pl. súlyos vesekárosodás, sepsis) szenvedő, vagy egyes alultáplált, illetve egyéb ok (pl. krónikus alkoholizmus) miatt glutationhiányban szenvedő betegeknél, akiket hosszú időn keresztül kezeltek terápiás dózisú paracetamollal, illetve akiket paracetamol és flukloxacillin kombinációjával kezeltek. Ha piroglutamát-acidózis miatt kialakuló HAGMA gyanúja merül fel, a paracetamol alkalmazásának azonnali leállítása és szoros monitorozás javasolt. A vizelet 5-oxoprolin-szintjének ellenőrzése célszerű lehet a piroglutamát-acidózis – mint a HAGMA mögöttes okának – azonosításához olyan betegek esetében, akiknél több kockázati tényező is fennáll.</w:t>
      </w:r>
    </w:p>
    <w:p w14:paraId="60423DC9" w14:textId="77777777" w:rsidR="009E6253" w:rsidRDefault="009E6253">
      <w:pPr>
        <w:tabs>
          <w:tab w:val="clear" w:pos="567"/>
        </w:tabs>
        <w:spacing w:line="240" w:lineRule="auto"/>
        <w:rPr>
          <w:noProof/>
          <w:szCs w:val="22"/>
        </w:rPr>
      </w:pPr>
    </w:p>
    <w:p w14:paraId="684921DB" w14:textId="259EB2A0" w:rsidR="009E6253" w:rsidRPr="008B7E12" w:rsidRDefault="009E6253">
      <w:pPr>
        <w:tabs>
          <w:tab w:val="clear" w:pos="567"/>
        </w:tabs>
        <w:spacing w:line="240" w:lineRule="auto"/>
        <w:rPr>
          <w:noProof/>
          <w:szCs w:val="22"/>
        </w:rPr>
      </w:pPr>
      <w:bookmarkStart w:id="28" w:name="_Hlk78389981"/>
      <w:r>
        <w:t xml:space="preserve">A gyógyszer szedése előtt </w:t>
      </w:r>
      <w:r w:rsidR="00004FCF">
        <w:t>orvossal való egyeztetés szükséges</w:t>
      </w:r>
      <w:r>
        <w:t xml:space="preserve">, amennyiben </w:t>
      </w:r>
      <w:r w:rsidR="00004FCF">
        <w:t xml:space="preserve">a betegnél </w:t>
      </w:r>
      <w:r>
        <w:t>az alábbi állapotok bármelyike fennál:</w:t>
      </w:r>
    </w:p>
    <w:p w14:paraId="4056195E" w14:textId="54375AE6" w:rsidR="00E564F2" w:rsidRDefault="009E6253">
      <w:pPr>
        <w:numPr>
          <w:ilvl w:val="0"/>
          <w:numId w:val="26"/>
        </w:numPr>
        <w:tabs>
          <w:tab w:val="clear" w:pos="567"/>
        </w:tabs>
        <w:spacing w:line="240" w:lineRule="auto"/>
        <w:rPr>
          <w:noProof/>
          <w:szCs w:val="22"/>
        </w:rPr>
      </w:pPr>
      <w:r>
        <w:t>jóindulatú prosztatamegnagyobbodás</w:t>
      </w:r>
    </w:p>
    <w:p w14:paraId="5B79F8B1" w14:textId="6AA6FAED" w:rsidR="006C0461" w:rsidRPr="00AD17B4" w:rsidRDefault="00004FCF">
      <w:pPr>
        <w:numPr>
          <w:ilvl w:val="0"/>
          <w:numId w:val="26"/>
        </w:numPr>
        <w:tabs>
          <w:tab w:val="clear" w:pos="567"/>
        </w:tabs>
        <w:spacing w:line="240" w:lineRule="auto"/>
      </w:pPr>
      <w:r>
        <w:t>érelzáródásos</w:t>
      </w:r>
      <w:r w:rsidR="009E6253">
        <w:t xml:space="preserve"> betegség (például Raynaud-szindróma)</w:t>
      </w:r>
      <w:bookmarkStart w:id="29" w:name="_Hlk62112045"/>
    </w:p>
    <w:p w14:paraId="366DD295" w14:textId="22F539FB" w:rsidR="006D4E04" w:rsidRDefault="006D4E04">
      <w:pPr>
        <w:numPr>
          <w:ilvl w:val="0"/>
          <w:numId w:val="26"/>
        </w:numPr>
        <w:tabs>
          <w:tab w:val="clear" w:pos="567"/>
        </w:tabs>
        <w:spacing w:line="240" w:lineRule="auto"/>
      </w:pPr>
      <w:r>
        <w:t xml:space="preserve">enyhe-közepes </w:t>
      </w:r>
      <w:r w:rsidR="00004FCF">
        <w:t>májkárosodás</w:t>
      </w:r>
    </w:p>
    <w:p w14:paraId="50418765" w14:textId="34BE0A88" w:rsidR="009E6253" w:rsidRPr="00792CE3" w:rsidDel="00DE1B46" w:rsidRDefault="00DF69C1">
      <w:pPr>
        <w:numPr>
          <w:ilvl w:val="0"/>
          <w:numId w:val="26"/>
        </w:numPr>
        <w:tabs>
          <w:tab w:val="clear" w:pos="567"/>
        </w:tabs>
        <w:spacing w:line="240" w:lineRule="auto"/>
      </w:pPr>
      <w:r>
        <w:t xml:space="preserve">enyhe </w:t>
      </w:r>
      <w:r w:rsidR="00004FCF">
        <w:t>vesekárosodás</w:t>
      </w:r>
    </w:p>
    <w:bookmarkEnd w:id="29"/>
    <w:p w14:paraId="37DA8933" w14:textId="20216855" w:rsidR="009E6253" w:rsidRPr="00233C03" w:rsidRDefault="009E6253">
      <w:pPr>
        <w:numPr>
          <w:ilvl w:val="0"/>
          <w:numId w:val="26"/>
        </w:numPr>
        <w:tabs>
          <w:tab w:val="clear" w:pos="567"/>
        </w:tabs>
        <w:spacing w:line="240" w:lineRule="auto"/>
        <w:rPr>
          <w:noProof/>
          <w:szCs w:val="22"/>
        </w:rPr>
      </w:pPr>
      <w:r>
        <w:t>a kimerült glutation</w:t>
      </w:r>
      <w:r w:rsidR="00004FCF">
        <w:t>-tartalékkal</w:t>
      </w:r>
      <w:r>
        <w:t xml:space="preserve"> rendelkező betegeknél a paracetamol alkalmazása növelheti a metabolikus acidózis kockázatát</w:t>
      </w:r>
    </w:p>
    <w:p w14:paraId="3CAC4EE9" w14:textId="12E7F8FC" w:rsidR="00E03F67" w:rsidRPr="008B7E12" w:rsidRDefault="00E03F67" w:rsidP="00233C03">
      <w:pPr>
        <w:tabs>
          <w:tab w:val="clear" w:pos="567"/>
        </w:tabs>
        <w:spacing w:line="240" w:lineRule="auto"/>
        <w:ind w:left="360"/>
        <w:rPr>
          <w:noProof/>
          <w:szCs w:val="22"/>
        </w:rPr>
      </w:pPr>
      <w:r>
        <w:t>Májkárosodást, vagy a májműködés leállását jelentették olyan betegeknél, akiknél glutation-hiány áll fenn.</w:t>
      </w:r>
    </w:p>
    <w:bookmarkEnd w:id="28"/>
    <w:p w14:paraId="55CE4C0F" w14:textId="77777777" w:rsidR="009E6253" w:rsidRDefault="009E6253">
      <w:pPr>
        <w:tabs>
          <w:tab w:val="clear" w:pos="567"/>
        </w:tabs>
        <w:spacing w:line="240" w:lineRule="auto"/>
        <w:rPr>
          <w:noProof/>
          <w:szCs w:val="22"/>
        </w:rPr>
      </w:pPr>
    </w:p>
    <w:p w14:paraId="6648AFD1" w14:textId="3E7F1F4D" w:rsidR="009E6253" w:rsidRDefault="00F020EA">
      <w:pPr>
        <w:tabs>
          <w:tab w:val="clear" w:pos="567"/>
        </w:tabs>
        <w:spacing w:line="240" w:lineRule="auto"/>
        <w:rPr>
          <w:noProof/>
          <w:szCs w:val="22"/>
        </w:rPr>
      </w:pPr>
      <w:r>
        <w:t>A következő gyógyszerek szedése esetén fokozott óvatossággal kell eljárni (lásd 4.5. pont):</w:t>
      </w:r>
    </w:p>
    <w:p w14:paraId="3D03AC2D" w14:textId="77777777" w:rsidR="009E6253" w:rsidRPr="00384FF8" w:rsidRDefault="009E6253">
      <w:pPr>
        <w:pStyle w:val="Listaszerbekezds"/>
        <w:numPr>
          <w:ilvl w:val="0"/>
          <w:numId w:val="27"/>
        </w:numPr>
        <w:tabs>
          <w:tab w:val="clear" w:pos="567"/>
        </w:tabs>
        <w:spacing w:line="240" w:lineRule="auto"/>
        <w:ind w:left="360"/>
        <w:rPr>
          <w:noProof/>
          <w:szCs w:val="22"/>
        </w:rPr>
      </w:pPr>
      <w:bookmarkStart w:id="30" w:name="_Hlk74589114"/>
      <w:r>
        <w:t>digoxin és szívglikozidok</w:t>
      </w:r>
    </w:p>
    <w:p w14:paraId="50F10E57" w14:textId="3DD11F29" w:rsidR="009E6253" w:rsidRPr="00BE1B7F" w:rsidRDefault="009E6253">
      <w:pPr>
        <w:pStyle w:val="Listaszerbekezds"/>
        <w:numPr>
          <w:ilvl w:val="0"/>
          <w:numId w:val="27"/>
        </w:numPr>
        <w:tabs>
          <w:tab w:val="clear" w:pos="567"/>
        </w:tabs>
        <w:spacing w:line="240" w:lineRule="auto"/>
        <w:ind w:left="360"/>
        <w:rPr>
          <w:noProof/>
          <w:szCs w:val="22"/>
        </w:rPr>
      </w:pPr>
      <w:r>
        <w:t>ergotalkaloidok (pl: ergotamin és metizergid)</w:t>
      </w:r>
    </w:p>
    <w:p w14:paraId="32FCD904" w14:textId="77777777" w:rsidR="00C13696" w:rsidRPr="00384FF8" w:rsidRDefault="00C13696">
      <w:pPr>
        <w:pStyle w:val="Listaszerbekezds"/>
        <w:numPr>
          <w:ilvl w:val="0"/>
          <w:numId w:val="27"/>
        </w:numPr>
        <w:tabs>
          <w:tab w:val="clear" w:pos="567"/>
        </w:tabs>
        <w:spacing w:line="240" w:lineRule="auto"/>
        <w:ind w:left="360"/>
        <w:rPr>
          <w:noProof/>
          <w:szCs w:val="22"/>
        </w:rPr>
      </w:pPr>
      <w:r>
        <w:t>a májműködést befolyásoló gyógyszerek</w:t>
      </w:r>
      <w:bookmarkEnd w:id="30"/>
    </w:p>
    <w:p w14:paraId="4AC01132" w14:textId="77777777" w:rsidR="009E6253" w:rsidRPr="00A263EB" w:rsidRDefault="009E6253">
      <w:pPr>
        <w:tabs>
          <w:tab w:val="clear" w:pos="567"/>
        </w:tabs>
        <w:autoSpaceDE w:val="0"/>
        <w:autoSpaceDN w:val="0"/>
        <w:adjustRightInd w:val="0"/>
        <w:spacing w:line="240" w:lineRule="auto"/>
        <w:rPr>
          <w:noProof/>
          <w:szCs w:val="22"/>
          <w:lang w:val="en-US"/>
        </w:rPr>
      </w:pPr>
    </w:p>
    <w:p w14:paraId="5F46853E" w14:textId="1AA55033" w:rsidR="000F7638" w:rsidRDefault="00004FCF">
      <w:pPr>
        <w:tabs>
          <w:tab w:val="clear" w:pos="567"/>
        </w:tabs>
        <w:spacing w:line="240" w:lineRule="auto"/>
        <w:rPr>
          <w:noProof/>
          <w:szCs w:val="22"/>
        </w:rPr>
      </w:pPr>
      <w:r>
        <w:t>Orvoshoz kell fordulni</w:t>
      </w:r>
      <w:r w:rsidR="009E6253">
        <w:t>, ha a tünetek súlyosbodnak, 3 napnál tovább fennállnak, vagy magas láz, bőrkiütés vagy tartós fejfájás kíséri őket.</w:t>
      </w:r>
    </w:p>
    <w:p w14:paraId="08F46E76" w14:textId="77777777" w:rsidR="000F7638" w:rsidRPr="000F7638" w:rsidRDefault="000F7638">
      <w:pPr>
        <w:tabs>
          <w:tab w:val="clear" w:pos="567"/>
        </w:tabs>
        <w:spacing w:line="240" w:lineRule="auto"/>
        <w:rPr>
          <w:noProof/>
          <w:szCs w:val="22"/>
        </w:rPr>
      </w:pPr>
    </w:p>
    <w:p w14:paraId="4D437B1A" w14:textId="53026202" w:rsidR="009E6253" w:rsidRDefault="002C6541">
      <w:pPr>
        <w:keepNext/>
        <w:tabs>
          <w:tab w:val="clear" w:pos="567"/>
        </w:tabs>
        <w:spacing w:line="240" w:lineRule="auto"/>
      </w:pPr>
      <w:r>
        <w:t xml:space="preserve">A </w:t>
      </w:r>
      <w:r w:rsidR="00B104B5">
        <w:t>Neo Citran Max C-vitaminnal por belsőleges oldathoz</w:t>
      </w:r>
      <w:r>
        <w:t xml:space="preserve"> tartalmaz:</w:t>
      </w:r>
    </w:p>
    <w:p w14:paraId="7311C2D3" w14:textId="77777777" w:rsidR="00004FCF" w:rsidRPr="00715D08" w:rsidRDefault="00004FCF">
      <w:pPr>
        <w:keepNext/>
        <w:tabs>
          <w:tab w:val="clear" w:pos="567"/>
        </w:tabs>
        <w:spacing w:line="240" w:lineRule="auto"/>
        <w:rPr>
          <w:noProof/>
          <w:szCs w:val="22"/>
          <w:u w:val="single"/>
        </w:rPr>
      </w:pPr>
    </w:p>
    <w:p w14:paraId="30D682BE" w14:textId="77777777" w:rsidR="009E6253" w:rsidRPr="00715D08" w:rsidRDefault="009E6253" w:rsidP="001704A4">
      <w:pPr>
        <w:keepNext/>
        <w:tabs>
          <w:tab w:val="clear" w:pos="567"/>
        </w:tabs>
        <w:autoSpaceDE w:val="0"/>
        <w:autoSpaceDN w:val="0"/>
        <w:adjustRightInd w:val="0"/>
        <w:spacing w:line="240" w:lineRule="auto"/>
        <w:rPr>
          <w:i/>
          <w:noProof/>
          <w:szCs w:val="22"/>
        </w:rPr>
      </w:pPr>
      <w:r>
        <w:rPr>
          <w:i/>
          <w:szCs w:val="22"/>
        </w:rPr>
        <w:t>Szacharóz</w:t>
      </w:r>
    </w:p>
    <w:p w14:paraId="306274E3" w14:textId="1BD4FAA4" w:rsidR="009E6253" w:rsidRDefault="002C6541" w:rsidP="008218B0">
      <w:pPr>
        <w:keepNext/>
        <w:tabs>
          <w:tab w:val="clear" w:pos="567"/>
        </w:tabs>
        <w:autoSpaceDE w:val="0"/>
        <w:autoSpaceDN w:val="0"/>
        <w:adjustRightInd w:val="0"/>
        <w:spacing w:line="240" w:lineRule="auto"/>
      </w:pPr>
      <w:r>
        <w:t xml:space="preserve">A </w:t>
      </w:r>
      <w:r w:rsidR="00B104B5">
        <w:t>Neo Citran Max C-vitaminnal por belsőleges oldathoz</w:t>
      </w:r>
      <w:r>
        <w:t xml:space="preserve"> tasakonként 5210 mg szacharózt tartalmaz.</w:t>
      </w:r>
      <w:r>
        <w:rPr>
          <w:color w:val="000000"/>
          <w:szCs w:val="22"/>
        </w:rPr>
        <w:t xml:space="preserve"> Ezt cukorbetegségben szenvedő (diabétesz mellitus) </w:t>
      </w:r>
      <w:r w:rsidR="00004FCF">
        <w:rPr>
          <w:color w:val="000000"/>
          <w:szCs w:val="22"/>
        </w:rPr>
        <w:t xml:space="preserve">betegek </w:t>
      </w:r>
      <w:r>
        <w:rPr>
          <w:color w:val="000000"/>
          <w:szCs w:val="22"/>
        </w:rPr>
        <w:t xml:space="preserve">esetén figyelembe kell venni. </w:t>
      </w:r>
      <w:r>
        <w:t xml:space="preserve">A gyógyszer ritka örökletes fruktóz-intoleranciában, glükóz-galaktóz </w:t>
      </w:r>
      <w:r w:rsidR="00004FCF">
        <w:t>malabszorpcióban</w:t>
      </w:r>
      <w:r>
        <w:t xml:space="preserve">, vagy szacharóz-izomaltáz </w:t>
      </w:r>
      <w:r w:rsidR="008374A9">
        <w:t>hiányban a készítmény nem szedhető</w:t>
      </w:r>
      <w:r>
        <w:t>.</w:t>
      </w:r>
    </w:p>
    <w:p w14:paraId="4B8CAC1E" w14:textId="77777777" w:rsidR="00004FCF" w:rsidRPr="001E148C" w:rsidRDefault="00004FCF" w:rsidP="008218B0">
      <w:pPr>
        <w:keepNext/>
        <w:tabs>
          <w:tab w:val="clear" w:pos="567"/>
        </w:tabs>
        <w:autoSpaceDE w:val="0"/>
        <w:autoSpaceDN w:val="0"/>
        <w:adjustRightInd w:val="0"/>
        <w:spacing w:line="240" w:lineRule="auto"/>
        <w:rPr>
          <w:noProof/>
          <w:szCs w:val="22"/>
        </w:rPr>
      </w:pPr>
    </w:p>
    <w:p w14:paraId="4C2AF557" w14:textId="77777777" w:rsidR="009E6253" w:rsidRPr="00715D08" w:rsidRDefault="009E6253" w:rsidP="001704A4">
      <w:pPr>
        <w:tabs>
          <w:tab w:val="clear" w:pos="567"/>
        </w:tabs>
        <w:autoSpaceDE w:val="0"/>
        <w:autoSpaceDN w:val="0"/>
        <w:adjustRightInd w:val="0"/>
        <w:spacing w:line="240" w:lineRule="auto"/>
        <w:rPr>
          <w:i/>
          <w:szCs w:val="22"/>
        </w:rPr>
      </w:pPr>
      <w:r>
        <w:rPr>
          <w:i/>
          <w:szCs w:val="22"/>
        </w:rPr>
        <w:t>Nátrium</w:t>
      </w:r>
    </w:p>
    <w:p w14:paraId="2712F262" w14:textId="2126CF22" w:rsidR="009E6253" w:rsidRDefault="002C6541" w:rsidP="008218B0">
      <w:pPr>
        <w:tabs>
          <w:tab w:val="clear" w:pos="567"/>
        </w:tabs>
        <w:autoSpaceDE w:val="0"/>
        <w:autoSpaceDN w:val="0"/>
        <w:adjustRightInd w:val="0"/>
        <w:spacing w:line="240" w:lineRule="auto"/>
      </w:pPr>
      <w:r>
        <w:t xml:space="preserve">A </w:t>
      </w:r>
      <w:r w:rsidR="00B104B5">
        <w:t>Neo Citran Max C-vitaminnal por belsőleges oldathoz</w:t>
      </w:r>
      <w:r>
        <w:t xml:space="preserve"> tasakonként 118 mg nátriumot tartalmaz, ami a WHO által felnőttek számára ajánlott maximális napi 2 g nátriumbevitel 5,9%-ának felel meg.</w:t>
      </w:r>
    </w:p>
    <w:p w14:paraId="04BB7F6A" w14:textId="77777777" w:rsidR="00004FCF" w:rsidRPr="00F559AE" w:rsidRDefault="00004FCF" w:rsidP="008218B0">
      <w:pPr>
        <w:tabs>
          <w:tab w:val="clear" w:pos="567"/>
        </w:tabs>
        <w:autoSpaceDE w:val="0"/>
        <w:autoSpaceDN w:val="0"/>
        <w:adjustRightInd w:val="0"/>
        <w:spacing w:line="240" w:lineRule="auto"/>
        <w:rPr>
          <w:szCs w:val="22"/>
        </w:rPr>
      </w:pPr>
    </w:p>
    <w:p w14:paraId="1CE96309" w14:textId="77777777" w:rsidR="009E6253" w:rsidRPr="00715D08" w:rsidRDefault="009E6253" w:rsidP="001704A4">
      <w:pPr>
        <w:tabs>
          <w:tab w:val="clear" w:pos="567"/>
        </w:tabs>
        <w:autoSpaceDE w:val="0"/>
        <w:autoSpaceDN w:val="0"/>
        <w:adjustRightInd w:val="0"/>
        <w:spacing w:line="240" w:lineRule="auto"/>
        <w:rPr>
          <w:rFonts w:eastAsiaTheme="minorHAnsi"/>
          <w:i/>
          <w:color w:val="000000"/>
          <w:szCs w:val="22"/>
        </w:rPr>
      </w:pPr>
      <w:r>
        <w:rPr>
          <w:i/>
          <w:color w:val="000000"/>
          <w:szCs w:val="22"/>
        </w:rPr>
        <w:t>Azoszínezékek</w:t>
      </w:r>
    </w:p>
    <w:p w14:paraId="4089040C" w14:textId="7FD09609" w:rsidR="009E6253" w:rsidRDefault="002C6541" w:rsidP="008218B0">
      <w:pPr>
        <w:tabs>
          <w:tab w:val="clear" w:pos="567"/>
        </w:tabs>
        <w:spacing w:line="240" w:lineRule="auto"/>
        <w:rPr>
          <w:color w:val="000000"/>
          <w:szCs w:val="22"/>
        </w:rPr>
      </w:pPr>
      <w:r>
        <w:t xml:space="preserve">A </w:t>
      </w:r>
      <w:r w:rsidR="00B104B5">
        <w:t>Neo Citran Max C-vitaminnal por belsőleges oldathoz</w:t>
      </w:r>
      <w:r>
        <w:t xml:space="preserve"> tasakonként tartalmaz 0,1</w:t>
      </w:r>
      <w:r w:rsidR="008374A9">
        <w:t> </w:t>
      </w:r>
      <w:r>
        <w:t xml:space="preserve">mg </w:t>
      </w:r>
      <w:r w:rsidR="00C83D84">
        <w:t>S</w:t>
      </w:r>
      <w:r>
        <w:t xml:space="preserve">unset </w:t>
      </w:r>
      <w:r w:rsidR="00C83D84">
        <w:t>Y</w:t>
      </w:r>
      <w:r>
        <w:t xml:space="preserve">ellow és 3.91 mg </w:t>
      </w:r>
      <w:r w:rsidR="008374A9">
        <w:t>karmazsin</w:t>
      </w:r>
      <w:r>
        <w:t xml:space="preserve"> színezéket.</w:t>
      </w:r>
      <w:r>
        <w:rPr>
          <w:color w:val="000000"/>
          <w:szCs w:val="22"/>
        </w:rPr>
        <w:t xml:space="preserve"> Ezek allergiás reakciót válthatnak ki.</w:t>
      </w:r>
    </w:p>
    <w:p w14:paraId="153F8928" w14:textId="77777777" w:rsidR="00004FCF" w:rsidRPr="0040533D" w:rsidRDefault="00004FCF" w:rsidP="008218B0">
      <w:pPr>
        <w:tabs>
          <w:tab w:val="clear" w:pos="567"/>
        </w:tabs>
        <w:spacing w:line="240" w:lineRule="auto"/>
        <w:rPr>
          <w:noProof/>
          <w:szCs w:val="22"/>
        </w:rPr>
      </w:pPr>
    </w:p>
    <w:p w14:paraId="636D078A" w14:textId="77777777" w:rsidR="009E6253" w:rsidRPr="00715D08" w:rsidRDefault="009E6253" w:rsidP="001704A4">
      <w:pPr>
        <w:tabs>
          <w:tab w:val="clear" w:pos="567"/>
        </w:tabs>
        <w:autoSpaceDE w:val="0"/>
        <w:autoSpaceDN w:val="0"/>
        <w:adjustRightInd w:val="0"/>
        <w:spacing w:line="240" w:lineRule="auto"/>
        <w:rPr>
          <w:i/>
          <w:noProof/>
          <w:szCs w:val="22"/>
        </w:rPr>
      </w:pPr>
      <w:r>
        <w:rPr>
          <w:i/>
          <w:szCs w:val="22"/>
        </w:rPr>
        <w:t>Aszpartám</w:t>
      </w:r>
    </w:p>
    <w:p w14:paraId="101420C5" w14:textId="4D4969BC" w:rsidR="009E6253" w:rsidRDefault="002C6541" w:rsidP="008218B0">
      <w:pPr>
        <w:spacing w:line="240" w:lineRule="auto"/>
      </w:pPr>
      <w:r>
        <w:t xml:space="preserve">A </w:t>
      </w:r>
      <w:r w:rsidR="00B104B5">
        <w:t>Neo Citran Max C-vitaminnal por belsőleges oldathoz</w:t>
      </w:r>
      <w:r>
        <w:t xml:space="preserve"> tasakonként 80 mg aszpartámot tartalmaz. Az aszpartám a gyomor-bél</w:t>
      </w:r>
      <w:r w:rsidR="00A97960">
        <w:t xml:space="preserve"> </w:t>
      </w:r>
      <w:r>
        <w:t xml:space="preserve">rendszerben hidrolizálódik a szájon át történő bevétele esetén. Az egyik fő hidrolízistermék a fenilalanin, ezért fenilketonuriában (PKU) szenvedő személyek számára nem alkalmas. </w:t>
      </w:r>
    </w:p>
    <w:p w14:paraId="7B313734" w14:textId="77777777" w:rsidR="00F67F9B" w:rsidRDefault="00F67F9B" w:rsidP="00646227">
      <w:pPr>
        <w:spacing w:line="240" w:lineRule="auto"/>
      </w:pPr>
    </w:p>
    <w:p w14:paraId="6F39DEBC" w14:textId="77777777" w:rsidR="009E6253" w:rsidRDefault="009E6253">
      <w:pPr>
        <w:spacing w:line="240" w:lineRule="auto"/>
        <w:ind w:left="567" w:hanging="567"/>
        <w:outlineLvl w:val="0"/>
      </w:pPr>
      <w:r>
        <w:rPr>
          <w:b/>
          <w:bCs/>
        </w:rPr>
        <w:t>4.5</w:t>
      </w:r>
      <w:r>
        <w:tab/>
      </w:r>
      <w:r>
        <w:rPr>
          <w:b/>
          <w:bCs/>
        </w:rPr>
        <w:t>Más gyógyszerekkel való kölcsönhatás és az interakció egyéb formái</w:t>
      </w:r>
    </w:p>
    <w:p w14:paraId="1A22C2D8" w14:textId="77777777" w:rsidR="009E6253" w:rsidRDefault="009E6253">
      <w:pPr>
        <w:spacing w:line="240" w:lineRule="auto"/>
      </w:pPr>
    </w:p>
    <w:p w14:paraId="4299855A" w14:textId="77777777" w:rsidR="009E6253" w:rsidRDefault="009E6253">
      <w:pPr>
        <w:spacing w:line="240" w:lineRule="auto"/>
        <w:rPr>
          <w:b/>
        </w:rPr>
      </w:pPr>
      <w:r>
        <w:rPr>
          <w:b/>
        </w:rPr>
        <w:t>Paracetamol</w:t>
      </w:r>
    </w:p>
    <w:p w14:paraId="169D9FF8" w14:textId="77777777" w:rsidR="009E6253" w:rsidRDefault="009E6253">
      <w:pPr>
        <w:spacing w:line="240" w:lineRule="auto"/>
      </w:pPr>
      <w:r>
        <w:t>A paracetamolt az alábbi gyógyszerekkel kombinálva óvatosan kell alkalmazni, mivel kölcsönhatásokról számoltak be.</w:t>
      </w:r>
    </w:p>
    <w:p w14:paraId="380EB181" w14:textId="77777777" w:rsidR="009E6253" w:rsidRPr="00D8727C" w:rsidRDefault="009E6253">
      <w:pPr>
        <w:spacing w:line="240" w:lineRule="auto"/>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3"/>
        <w:gridCol w:w="6857"/>
      </w:tblGrid>
      <w:tr w:rsidR="009E6253" w14:paraId="759D3C46" w14:textId="77777777" w:rsidTr="6DDF68B1">
        <w:tc>
          <w:tcPr>
            <w:tcW w:w="1216" w:type="pct"/>
          </w:tcPr>
          <w:p w14:paraId="26BC757C" w14:textId="77777777" w:rsidR="009E6253" w:rsidRDefault="009E6253">
            <w:pPr>
              <w:spacing w:line="240" w:lineRule="auto"/>
            </w:pPr>
            <w:bookmarkStart w:id="31" w:name="_Hlk74585026"/>
            <w:r>
              <w:t>Warfarin és más kumarinok</w:t>
            </w:r>
          </w:p>
        </w:tc>
        <w:tc>
          <w:tcPr>
            <w:tcW w:w="3784" w:type="pct"/>
          </w:tcPr>
          <w:p w14:paraId="26F3E4CC" w14:textId="146A3DF2" w:rsidR="009E6253" w:rsidRDefault="009E6253">
            <w:pPr>
              <w:spacing w:line="240" w:lineRule="auto"/>
            </w:pPr>
            <w:r>
              <w:t>A paracetamol rendszeres használata fokozhatja a warfarin és más kumarinok véralvadásgátló hatását, ami fokozott vérzésveszélyt okozhat. Az esetenkénti alkalmazás nincs jelentős hatással a vérzési hajlamra. Az INR-értékeket fokozottan ellenőrizni kell a gyógyszer</w:t>
            </w:r>
            <w:r w:rsidR="00A97960">
              <w:t>-</w:t>
            </w:r>
            <w:r>
              <w:t>kombináció alkalmazásának időtartama alatt és annak abbahagyása után.</w:t>
            </w:r>
          </w:p>
        </w:tc>
      </w:tr>
      <w:tr w:rsidR="009E6253" w14:paraId="73E5D947" w14:textId="77777777" w:rsidTr="6DDF68B1">
        <w:tc>
          <w:tcPr>
            <w:tcW w:w="1216" w:type="pct"/>
          </w:tcPr>
          <w:p w14:paraId="2C1E454A" w14:textId="77777777" w:rsidR="009E6253" w:rsidRDefault="009E6253" w:rsidP="008218B0">
            <w:pPr>
              <w:spacing w:line="240" w:lineRule="auto"/>
            </w:pPr>
            <w:r>
              <w:t>Prokinetikus szerek</w:t>
            </w:r>
          </w:p>
        </w:tc>
        <w:tc>
          <w:tcPr>
            <w:tcW w:w="3784" w:type="pct"/>
          </w:tcPr>
          <w:p w14:paraId="2054E51A" w14:textId="77777777" w:rsidR="009E6253" w:rsidRDefault="009E6253" w:rsidP="00E0629E">
            <w:pPr>
              <w:spacing w:line="240" w:lineRule="auto"/>
            </w:pPr>
            <w:r>
              <w:t>A metoklopramid vagy a domperidon növelhetik a paracetamol felszívódási sebességét.</w:t>
            </w:r>
          </w:p>
        </w:tc>
      </w:tr>
      <w:tr w:rsidR="002B0526" w14:paraId="7E9463ED" w14:textId="77777777" w:rsidTr="6DDF68B1">
        <w:tc>
          <w:tcPr>
            <w:tcW w:w="1216" w:type="pct"/>
          </w:tcPr>
          <w:p w14:paraId="5120566C" w14:textId="78880208" w:rsidR="002B0526" w:rsidRDefault="002B0526" w:rsidP="008218B0">
            <w:pPr>
              <w:spacing w:line="240" w:lineRule="auto"/>
            </w:pPr>
            <w:r>
              <w:t>Kolesztiramin</w:t>
            </w:r>
          </w:p>
        </w:tc>
        <w:tc>
          <w:tcPr>
            <w:tcW w:w="3784" w:type="pct"/>
          </w:tcPr>
          <w:p w14:paraId="60A03EC1" w14:textId="748F9C48" w:rsidR="002B0526" w:rsidRPr="0029533F" w:rsidRDefault="002859ED" w:rsidP="00E0629E">
            <w:pPr>
              <w:spacing w:line="240" w:lineRule="auto"/>
              <w:rPr>
                <w:szCs w:val="22"/>
              </w:rPr>
            </w:pPr>
            <w:r>
              <w:t>A paracetamol felszívódási sebességét csökkentheti a kolesztiramin.</w:t>
            </w:r>
          </w:p>
        </w:tc>
      </w:tr>
      <w:tr w:rsidR="00E376B1" w14:paraId="12C26015" w14:textId="77777777" w:rsidTr="6DDF68B1">
        <w:tc>
          <w:tcPr>
            <w:tcW w:w="1216" w:type="pct"/>
          </w:tcPr>
          <w:p w14:paraId="1EEF6C1C" w14:textId="1CD0457F" w:rsidR="00E376B1" w:rsidRPr="00E376B1" w:rsidRDefault="00E376B1" w:rsidP="008218B0">
            <w:pPr>
              <w:spacing w:line="240" w:lineRule="auto"/>
            </w:pPr>
            <w:bookmarkStart w:id="32" w:name="_Hlk66284604"/>
            <w:r>
              <w:t>A máj metabolizmusát fokozó/ mikroszomális májenzimeket indukáló gyógyszerek</w:t>
            </w:r>
          </w:p>
        </w:tc>
        <w:tc>
          <w:tcPr>
            <w:tcW w:w="3784" w:type="pct"/>
          </w:tcPr>
          <w:p w14:paraId="62132013" w14:textId="7D06DA9F" w:rsidR="00E376B1" w:rsidRPr="00E376B1" w:rsidRDefault="00E376B1" w:rsidP="00E0629E">
            <w:pPr>
              <w:spacing w:line="240" w:lineRule="auto"/>
            </w:pPr>
            <w:r>
              <w:t>A paracetamol és a máj anyagcseréjét fokozó gyógyszerek, mint például egyes hipnotikumok vagy antiepileptikumok (pl. fenobarbitál, fenitoin, karbamazepin) és tuberkulózis elleni gyógyszerek (rifampicin és izoniazid) egyidejű alkalmazása még akkor is májkárosodáshoz vezethet, ha a betegek nem lépik túl az ajánlott paracetamol adagot.</w:t>
            </w:r>
          </w:p>
        </w:tc>
      </w:tr>
      <w:tr w:rsidR="00E376B1" w14:paraId="71393FA0" w14:textId="77777777" w:rsidTr="6DDF68B1">
        <w:tc>
          <w:tcPr>
            <w:tcW w:w="1216" w:type="pct"/>
          </w:tcPr>
          <w:p w14:paraId="76FC096A" w14:textId="288D922D" w:rsidR="00E376B1" w:rsidRPr="00C55068" w:rsidRDefault="00E376B1" w:rsidP="008218B0">
            <w:pPr>
              <w:spacing w:line="240" w:lineRule="auto"/>
            </w:pPr>
            <w:bookmarkStart w:id="33" w:name="_Hlk74588773"/>
            <w:bookmarkEnd w:id="32"/>
            <w:r>
              <w:t>Hepatoxikus anyagok</w:t>
            </w:r>
            <w:bookmarkEnd w:id="33"/>
          </w:p>
        </w:tc>
        <w:tc>
          <w:tcPr>
            <w:tcW w:w="3784" w:type="pct"/>
          </w:tcPr>
          <w:p w14:paraId="3E021700" w14:textId="667ECA18" w:rsidR="00E376B1" w:rsidRPr="00C55068" w:rsidRDefault="00E376B1" w:rsidP="00E0629E">
            <w:pPr>
              <w:spacing w:line="240" w:lineRule="auto"/>
            </w:pPr>
            <w:r>
              <w:t>A hepatotoxikus anyagok növelhetik a paracetamol felhalmozódásának valószínűségét és a túladagolás kockázatát.</w:t>
            </w:r>
          </w:p>
        </w:tc>
      </w:tr>
      <w:tr w:rsidR="00E376B1" w14:paraId="77CA05C8" w14:textId="77777777" w:rsidTr="6DDF68B1">
        <w:tc>
          <w:tcPr>
            <w:tcW w:w="1216" w:type="pct"/>
          </w:tcPr>
          <w:p w14:paraId="4634CF03" w14:textId="5BD947B8" w:rsidR="00E376B1" w:rsidRDefault="00E376B1" w:rsidP="008218B0">
            <w:pPr>
              <w:spacing w:line="240" w:lineRule="auto"/>
            </w:pPr>
            <w:r>
              <w:t xml:space="preserve">Szalicilamid </w:t>
            </w:r>
          </w:p>
        </w:tc>
        <w:tc>
          <w:tcPr>
            <w:tcW w:w="3784" w:type="pct"/>
          </w:tcPr>
          <w:p w14:paraId="72F68E9D" w14:textId="4AD72EED" w:rsidR="00E376B1" w:rsidRPr="0029533F" w:rsidRDefault="00E376B1" w:rsidP="00A97960">
            <w:pPr>
              <w:spacing w:line="240" w:lineRule="auto"/>
              <w:rPr>
                <w:szCs w:val="22"/>
              </w:rPr>
            </w:pPr>
            <w:r>
              <w:t xml:space="preserve">A szalicilamid elnyújtja a paracetamol </w:t>
            </w:r>
            <w:r w:rsidR="00A97960">
              <w:t>eliminációját</w:t>
            </w:r>
            <w:r>
              <w:t>.</w:t>
            </w:r>
          </w:p>
        </w:tc>
      </w:tr>
      <w:tr w:rsidR="00E376B1" w14:paraId="3CE97F9C" w14:textId="77777777" w:rsidTr="6DDF68B1">
        <w:tc>
          <w:tcPr>
            <w:tcW w:w="1216" w:type="pct"/>
          </w:tcPr>
          <w:p w14:paraId="66992BBA" w14:textId="20D62CB3" w:rsidR="00E376B1" w:rsidRDefault="00E376B1" w:rsidP="008218B0">
            <w:pPr>
              <w:spacing w:line="240" w:lineRule="auto"/>
            </w:pPr>
            <w:r>
              <w:t>Befolyásolja a laboratóriumi vizsgálatok eredményét</w:t>
            </w:r>
          </w:p>
        </w:tc>
        <w:tc>
          <w:tcPr>
            <w:tcW w:w="3784" w:type="pct"/>
          </w:tcPr>
          <w:p w14:paraId="1D2F5C02" w14:textId="123773E8" w:rsidR="00E376B1" w:rsidRDefault="00E376B1" w:rsidP="00E0629E">
            <w:pPr>
              <w:spacing w:line="240" w:lineRule="auto"/>
              <w:rPr>
                <w:szCs w:val="22"/>
              </w:rPr>
            </w:pPr>
            <w:r>
              <w:t>A paracetamol bizonyos laboratóriumi vizsgálatok esetén hamis eredményekhez vezethet (pl. vércukorszint-vizsgálat).</w:t>
            </w:r>
          </w:p>
        </w:tc>
      </w:tr>
      <w:tr w:rsidR="00D216E0" w14:paraId="6A56F2C6" w14:textId="77777777" w:rsidTr="6DDF68B1">
        <w:tc>
          <w:tcPr>
            <w:tcW w:w="1216" w:type="pct"/>
          </w:tcPr>
          <w:p w14:paraId="53888E79" w14:textId="2AFF1C96" w:rsidR="00D216E0" w:rsidRDefault="00D216E0" w:rsidP="008218B0">
            <w:pPr>
              <w:spacing w:line="240" w:lineRule="auto"/>
            </w:pPr>
            <w:r>
              <w:t>F</w:t>
            </w:r>
            <w:r w:rsidRPr="00D216E0">
              <w:t>lukloxacillin</w:t>
            </w:r>
          </w:p>
        </w:tc>
        <w:tc>
          <w:tcPr>
            <w:tcW w:w="3784" w:type="pct"/>
          </w:tcPr>
          <w:p w14:paraId="38CEA32E" w14:textId="1CF9E261" w:rsidR="00D216E0" w:rsidRDefault="00D216E0" w:rsidP="00E0629E">
            <w:pPr>
              <w:spacing w:line="240" w:lineRule="auto"/>
            </w:pPr>
            <w:r w:rsidRPr="00D216E0">
              <w:t>Elővigyázatossággal kell eljárni olyankor, amikor a paracetamolt flukloxacillinnel párhuzamosan alkalmazzák, mivel egyidejű alkalmazásukkor piroglutamát-acidózis miatt kialakuló emelkedett anionréssel járó metabolikus acidózis alakulhat ki, különösen olyan betegeknél, akiknél ennek kockázati tényezői fennállnak (lásd 4.4 pont)</w:t>
            </w:r>
          </w:p>
        </w:tc>
      </w:tr>
      <w:bookmarkEnd w:id="31"/>
    </w:tbl>
    <w:p w14:paraId="53CD79E5" w14:textId="77777777" w:rsidR="009E6253" w:rsidRDefault="009E6253" w:rsidP="008218B0">
      <w:pPr>
        <w:spacing w:line="240" w:lineRule="auto"/>
      </w:pPr>
    </w:p>
    <w:p w14:paraId="0CCA1ED6" w14:textId="77777777" w:rsidR="009E6253" w:rsidRDefault="009E6253" w:rsidP="008218B0">
      <w:pPr>
        <w:keepNext/>
        <w:spacing w:line="240" w:lineRule="auto"/>
        <w:rPr>
          <w:b/>
        </w:rPr>
      </w:pPr>
      <w:r>
        <w:rPr>
          <w:b/>
        </w:rPr>
        <w:t>Fenilefrin</w:t>
      </w:r>
    </w:p>
    <w:p w14:paraId="410DA6A6" w14:textId="77777777" w:rsidR="009E6253" w:rsidRDefault="009E6253" w:rsidP="00646227">
      <w:pPr>
        <w:keepNext/>
        <w:spacing w:line="240" w:lineRule="auto"/>
      </w:pPr>
      <w:r>
        <w:t>A fenilefrin az alábbi gyógyszerekkel kombinálva óvatosan kell alkalmazni, mivel kölcsönhatásokról számoltak be.</w:t>
      </w:r>
    </w:p>
    <w:p w14:paraId="43BEFCE8" w14:textId="77777777" w:rsidR="009E6253" w:rsidRDefault="009E6253">
      <w:pPr>
        <w:keepNext/>
        <w:spacing w:line="240" w:lineRule="auto"/>
        <w:rPr>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6358"/>
      </w:tblGrid>
      <w:tr w:rsidR="009E6253" w:rsidRPr="00406FC9" w14:paraId="6B0D4DE8" w14:textId="77777777" w:rsidTr="00190F18">
        <w:tc>
          <w:tcPr>
            <w:tcW w:w="1491" w:type="pct"/>
          </w:tcPr>
          <w:p w14:paraId="10F91884" w14:textId="3C3014E9" w:rsidR="009E6253" w:rsidRPr="00406FC9" w:rsidRDefault="009E6253">
            <w:pPr>
              <w:keepNext/>
              <w:spacing w:line="240" w:lineRule="auto"/>
              <w:rPr>
                <w:color w:val="000000"/>
              </w:rPr>
            </w:pPr>
            <w:r>
              <w:rPr>
                <w:color w:val="000000"/>
              </w:rPr>
              <w:t>Monoamin-oxidáz</w:t>
            </w:r>
            <w:r w:rsidR="00A97960">
              <w:rPr>
                <w:color w:val="000000"/>
              </w:rPr>
              <w:t>-</w:t>
            </w:r>
            <w:r>
              <w:rPr>
                <w:color w:val="000000"/>
              </w:rPr>
              <w:t>gátlók</w:t>
            </w:r>
          </w:p>
        </w:tc>
        <w:tc>
          <w:tcPr>
            <w:tcW w:w="3509" w:type="pct"/>
          </w:tcPr>
          <w:p w14:paraId="3F2E3753" w14:textId="1B9F0E2E" w:rsidR="009E6253" w:rsidRPr="00406FC9" w:rsidRDefault="009E6253">
            <w:pPr>
              <w:keepNext/>
              <w:spacing w:line="240" w:lineRule="auto"/>
              <w:rPr>
                <w:color w:val="000000"/>
              </w:rPr>
            </w:pPr>
            <w:r>
              <w:rPr>
                <w:color w:val="000000" w:themeColor="text1"/>
              </w:rPr>
              <w:t xml:space="preserve">Szimpatomimetikus aminok, például fenilefrin és monoamino-oxidáz-gátlók egyidejű alkalmazása a vérnyomás megemelkedéséhez vezethet. Az egyidejű alkalmazás ellenjavallt (lásd. 4.3 </w:t>
            </w:r>
            <w:r w:rsidR="00A97960">
              <w:rPr>
                <w:color w:val="000000" w:themeColor="text1"/>
              </w:rPr>
              <w:t>pont</w:t>
            </w:r>
            <w:r>
              <w:rPr>
                <w:color w:val="000000" w:themeColor="text1"/>
              </w:rPr>
              <w:t>).</w:t>
            </w:r>
          </w:p>
        </w:tc>
      </w:tr>
      <w:tr w:rsidR="009E6253" w:rsidRPr="00406FC9" w14:paraId="192C2CA3" w14:textId="77777777" w:rsidTr="00190F18">
        <w:tc>
          <w:tcPr>
            <w:tcW w:w="1491" w:type="pct"/>
          </w:tcPr>
          <w:p w14:paraId="7872A68D" w14:textId="77777777" w:rsidR="009E6253" w:rsidRPr="00406FC9" w:rsidRDefault="009E6253" w:rsidP="008218B0">
            <w:pPr>
              <w:keepNext/>
              <w:spacing w:line="240" w:lineRule="auto"/>
              <w:rPr>
                <w:color w:val="000000"/>
              </w:rPr>
            </w:pPr>
            <w:r>
              <w:rPr>
                <w:color w:val="000000"/>
              </w:rPr>
              <w:t>Szimpatomimetikus aminok</w:t>
            </w:r>
          </w:p>
        </w:tc>
        <w:tc>
          <w:tcPr>
            <w:tcW w:w="3509" w:type="pct"/>
          </w:tcPr>
          <w:p w14:paraId="616C775E" w14:textId="3FEFC4E4" w:rsidR="009E6253" w:rsidRPr="00406FC9" w:rsidRDefault="009E6253" w:rsidP="00A97960">
            <w:pPr>
              <w:keepNext/>
              <w:spacing w:line="240" w:lineRule="auto"/>
              <w:rPr>
                <w:color w:val="000000"/>
              </w:rPr>
            </w:pPr>
            <w:r>
              <w:rPr>
                <w:color w:val="000000"/>
              </w:rPr>
              <w:t xml:space="preserve">A fenilefrin és más szimpatomimetikus aminok egyidejű alkalmazása növelheti a szív-, és érrendszeri mellékhatások kockázatát. </w:t>
            </w:r>
            <w:r>
              <w:t xml:space="preserve">Az egyidejű alkalmazás ellenjavallt (lásd. 4.3 </w:t>
            </w:r>
            <w:r w:rsidR="00A97960">
              <w:t>pont</w:t>
            </w:r>
            <w:r>
              <w:t>).</w:t>
            </w:r>
          </w:p>
        </w:tc>
      </w:tr>
      <w:tr w:rsidR="009E6253" w:rsidRPr="00406FC9" w14:paraId="68B59F00" w14:textId="77777777" w:rsidTr="00190F18">
        <w:tc>
          <w:tcPr>
            <w:tcW w:w="1491" w:type="pct"/>
          </w:tcPr>
          <w:p w14:paraId="4EB93ABC" w14:textId="77777777" w:rsidR="009E6253" w:rsidRPr="00406FC9" w:rsidRDefault="009E6253" w:rsidP="008218B0">
            <w:pPr>
              <w:keepNext/>
              <w:spacing w:line="240" w:lineRule="auto"/>
              <w:rPr>
                <w:color w:val="000000"/>
              </w:rPr>
            </w:pPr>
            <w:r>
              <w:rPr>
                <w:color w:val="000000"/>
              </w:rPr>
              <w:t>Béta-blokkolók és egyéb vérnyomáscsökkentő szerek</w:t>
            </w:r>
          </w:p>
        </w:tc>
        <w:tc>
          <w:tcPr>
            <w:tcW w:w="3509" w:type="pct"/>
          </w:tcPr>
          <w:p w14:paraId="330F301D" w14:textId="6C6131EC" w:rsidR="009E6253" w:rsidRPr="00406FC9" w:rsidRDefault="009E6253" w:rsidP="00A97960">
            <w:pPr>
              <w:keepNext/>
              <w:spacing w:line="240" w:lineRule="auto"/>
              <w:rPr>
                <w:color w:val="000000"/>
              </w:rPr>
            </w:pPr>
            <w:r>
              <w:rPr>
                <w:color w:val="000000"/>
              </w:rPr>
              <w:t xml:space="preserve">A fenilefrin csökkentheti a béta-blokkolók és más vérnyomáscsökkentő gyógyszerek hatásosságát. Az egyidejű alkalmazás ellenjavallt (lásd. 4.3 </w:t>
            </w:r>
            <w:r w:rsidR="00A97960">
              <w:rPr>
                <w:color w:val="000000"/>
              </w:rPr>
              <w:t>pont</w:t>
            </w:r>
            <w:r>
              <w:rPr>
                <w:color w:val="000000"/>
              </w:rPr>
              <w:t>). Fokozódhat a magas vérnyomás és más szív- és érrendszeri mellékhatások kockázata.</w:t>
            </w:r>
          </w:p>
        </w:tc>
      </w:tr>
      <w:tr w:rsidR="009E6253" w:rsidRPr="00406FC9" w14:paraId="094A4E5B" w14:textId="77777777" w:rsidTr="00190F18">
        <w:tc>
          <w:tcPr>
            <w:tcW w:w="1491" w:type="pct"/>
          </w:tcPr>
          <w:p w14:paraId="1AA1B45E" w14:textId="67C5156E" w:rsidR="009E6253" w:rsidRPr="00406FC9" w:rsidRDefault="009E6253" w:rsidP="008218B0">
            <w:pPr>
              <w:keepNext/>
              <w:keepLines/>
              <w:spacing w:line="240" w:lineRule="auto"/>
              <w:rPr>
                <w:color w:val="000000"/>
              </w:rPr>
            </w:pPr>
            <w:r>
              <w:rPr>
                <w:color w:val="000000"/>
              </w:rPr>
              <w:t>Triciklus</w:t>
            </w:r>
            <w:r w:rsidR="002671BD">
              <w:rPr>
                <w:color w:val="000000"/>
              </w:rPr>
              <w:t>os</w:t>
            </w:r>
            <w:r>
              <w:rPr>
                <w:color w:val="000000"/>
              </w:rPr>
              <w:t xml:space="preserve"> antidepresszánsok (pl. amitriptilin)</w:t>
            </w:r>
          </w:p>
        </w:tc>
        <w:tc>
          <w:tcPr>
            <w:tcW w:w="3509" w:type="pct"/>
          </w:tcPr>
          <w:p w14:paraId="48914D2B" w14:textId="7875BCB0" w:rsidR="009E6253" w:rsidRPr="00406FC9" w:rsidRDefault="009E6253" w:rsidP="00A97960">
            <w:pPr>
              <w:keepNext/>
              <w:keepLines/>
              <w:spacing w:line="240" w:lineRule="auto"/>
              <w:rPr>
                <w:color w:val="000000"/>
              </w:rPr>
            </w:pPr>
            <w:r>
              <w:rPr>
                <w:color w:val="000000" w:themeColor="text1"/>
              </w:rPr>
              <w:t>A triciklus</w:t>
            </w:r>
            <w:r w:rsidR="002671BD">
              <w:rPr>
                <w:color w:val="000000" w:themeColor="text1"/>
              </w:rPr>
              <w:t>os</w:t>
            </w:r>
            <w:r>
              <w:rPr>
                <w:color w:val="000000" w:themeColor="text1"/>
              </w:rPr>
              <w:t xml:space="preserve"> antidepresszánsok növelhetik a fenilefrinhez társuló szív- és érrendszeri mellékhatások kockázatát. Az egyidejű alkalmazás ellenjavallt (lásd. 4.3 </w:t>
            </w:r>
            <w:r w:rsidR="00A97960">
              <w:rPr>
                <w:color w:val="000000" w:themeColor="text1"/>
              </w:rPr>
              <w:t>pont</w:t>
            </w:r>
            <w:r>
              <w:rPr>
                <w:color w:val="000000" w:themeColor="text1"/>
              </w:rPr>
              <w:t>).</w:t>
            </w:r>
          </w:p>
        </w:tc>
      </w:tr>
      <w:tr w:rsidR="009E6253" w:rsidRPr="00406FC9" w14:paraId="32B81CAC" w14:textId="77777777" w:rsidTr="00190F18">
        <w:tc>
          <w:tcPr>
            <w:tcW w:w="1491" w:type="pct"/>
          </w:tcPr>
          <w:p w14:paraId="02ACA379" w14:textId="77777777" w:rsidR="009E6253" w:rsidRPr="00406FC9" w:rsidRDefault="009E6253" w:rsidP="008218B0">
            <w:pPr>
              <w:keepNext/>
              <w:keepLines/>
              <w:spacing w:line="240" w:lineRule="auto"/>
              <w:rPr>
                <w:color w:val="000000"/>
              </w:rPr>
            </w:pPr>
            <w:r>
              <w:rPr>
                <w:color w:val="000000"/>
              </w:rPr>
              <w:t>Digoxin és szívglikozidok</w:t>
            </w:r>
          </w:p>
        </w:tc>
        <w:tc>
          <w:tcPr>
            <w:tcW w:w="3509" w:type="pct"/>
          </w:tcPr>
          <w:p w14:paraId="34080517" w14:textId="20CD44FB" w:rsidR="009E6253" w:rsidRPr="00406FC9" w:rsidRDefault="009E6253" w:rsidP="007401FF">
            <w:pPr>
              <w:keepNext/>
              <w:keepLines/>
              <w:spacing w:line="240" w:lineRule="auto"/>
              <w:rPr>
                <w:color w:val="000000"/>
              </w:rPr>
            </w:pPr>
            <w:r>
              <w:rPr>
                <w:color w:val="000000" w:themeColor="text1"/>
              </w:rPr>
              <w:t>A digoxin és a szívglikozidok egyidejű alkalmazása növeli a szívritmuszavar vagy a szívinfarktus kockázatát (lásd 4.4. pont).</w:t>
            </w:r>
          </w:p>
        </w:tc>
      </w:tr>
      <w:tr w:rsidR="009E6253" w:rsidRPr="00406FC9" w14:paraId="3A25A897" w14:textId="77777777" w:rsidTr="00190F18">
        <w:tc>
          <w:tcPr>
            <w:tcW w:w="1491" w:type="pct"/>
          </w:tcPr>
          <w:p w14:paraId="5C30D0BE" w14:textId="01AA3740" w:rsidR="009E6253" w:rsidRPr="00BE1B7F" w:rsidRDefault="009E6253" w:rsidP="002671BD">
            <w:pPr>
              <w:keepNext/>
              <w:keepLines/>
              <w:spacing w:line="240" w:lineRule="auto"/>
              <w:rPr>
                <w:color w:val="000000"/>
              </w:rPr>
            </w:pPr>
            <w:r>
              <w:rPr>
                <w:color w:val="000000"/>
              </w:rPr>
              <w:t>Ergotalkaloidok (ergotamin és metizergid)</w:t>
            </w:r>
          </w:p>
        </w:tc>
        <w:tc>
          <w:tcPr>
            <w:tcW w:w="3509" w:type="pct"/>
          </w:tcPr>
          <w:p w14:paraId="57C4F631" w14:textId="41307CC1" w:rsidR="009E6253" w:rsidRPr="00406FC9" w:rsidRDefault="009E6253" w:rsidP="00A97960">
            <w:pPr>
              <w:keepNext/>
              <w:keepLines/>
              <w:spacing w:line="240" w:lineRule="auto"/>
              <w:rPr>
                <w:color w:val="000000"/>
              </w:rPr>
            </w:pPr>
            <w:r>
              <w:rPr>
                <w:color w:val="000000"/>
              </w:rPr>
              <w:t>Az ergotalkaloidok egyidejű alkalmazása növeli az ergotalkaloidok által okozott mérgezés (ergotizmus) kockázatát (lásd 4.4. pont).</w:t>
            </w:r>
          </w:p>
        </w:tc>
      </w:tr>
    </w:tbl>
    <w:p w14:paraId="425DE368" w14:textId="77777777" w:rsidR="00E564F2" w:rsidRDefault="00E564F2" w:rsidP="008218B0">
      <w:pPr>
        <w:spacing w:line="240" w:lineRule="auto"/>
        <w:rPr>
          <w:i/>
        </w:rPr>
      </w:pPr>
    </w:p>
    <w:p w14:paraId="0952263C" w14:textId="77777777" w:rsidR="009E6253" w:rsidRDefault="009E6253" w:rsidP="00646227">
      <w:pPr>
        <w:spacing w:line="240" w:lineRule="auto"/>
        <w:ind w:left="567" w:hanging="567"/>
        <w:outlineLvl w:val="0"/>
      </w:pPr>
      <w:bookmarkStart w:id="34" w:name="_Hlk21678381"/>
      <w:r>
        <w:rPr>
          <w:b/>
        </w:rPr>
        <w:t>4.6</w:t>
      </w:r>
      <w:r>
        <w:rPr>
          <w:b/>
        </w:rPr>
        <w:tab/>
      </w:r>
      <w:bookmarkStart w:id="35" w:name="_Hlk22204320"/>
      <w:r>
        <w:rPr>
          <w:b/>
          <w:bCs/>
        </w:rPr>
        <w:t>Termékenység, terhesség és szoptatás</w:t>
      </w:r>
    </w:p>
    <w:bookmarkEnd w:id="34"/>
    <w:bookmarkEnd w:id="35"/>
    <w:p w14:paraId="0A35FAEE" w14:textId="77777777" w:rsidR="00E564F2" w:rsidRDefault="00E564F2">
      <w:pPr>
        <w:tabs>
          <w:tab w:val="clear" w:pos="567"/>
        </w:tabs>
        <w:spacing w:line="240" w:lineRule="auto"/>
        <w:rPr>
          <w:noProof/>
          <w:szCs w:val="22"/>
          <w:u w:val="single"/>
        </w:rPr>
      </w:pPr>
    </w:p>
    <w:p w14:paraId="6FBF611F" w14:textId="392486C5" w:rsidR="009E6253" w:rsidRDefault="009E6253">
      <w:pPr>
        <w:tabs>
          <w:tab w:val="clear" w:pos="567"/>
        </w:tabs>
        <w:spacing w:line="240" w:lineRule="auto"/>
        <w:rPr>
          <w:noProof/>
          <w:szCs w:val="22"/>
          <w:u w:val="single"/>
        </w:rPr>
      </w:pPr>
      <w:r>
        <w:rPr>
          <w:szCs w:val="22"/>
          <w:u w:val="single"/>
        </w:rPr>
        <w:t>Terhesség</w:t>
      </w:r>
    </w:p>
    <w:p w14:paraId="1BFDCF23" w14:textId="7C2EDDF0" w:rsidR="009E6253" w:rsidRDefault="002C6541" w:rsidP="001704A4">
      <w:pPr>
        <w:pStyle w:val="Text"/>
        <w:spacing w:before="0"/>
        <w:jc w:val="left"/>
        <w:rPr>
          <w:sz w:val="22"/>
          <w:szCs w:val="22"/>
        </w:rPr>
      </w:pPr>
      <w:r>
        <w:rPr>
          <w:sz w:val="22"/>
        </w:rPr>
        <w:t xml:space="preserve">A </w:t>
      </w:r>
      <w:r w:rsidR="00B104B5">
        <w:rPr>
          <w:sz w:val="22"/>
        </w:rPr>
        <w:t>Neo Citran Max C-vitaminnal por belsőleges oldathoz</w:t>
      </w:r>
      <w:r>
        <w:rPr>
          <w:sz w:val="22"/>
        </w:rPr>
        <w:t xml:space="preserve"> készítmény alkalmazása nem javasolt terhesség ideje alatt, kivéve, ha az anya számára biztosított vá</w:t>
      </w:r>
      <w:r w:rsidR="00E45323">
        <w:rPr>
          <w:sz w:val="22"/>
        </w:rPr>
        <w:t>rható előnyök meghaladják a mag</w:t>
      </w:r>
      <w:r>
        <w:rPr>
          <w:sz w:val="22"/>
        </w:rPr>
        <w:t xml:space="preserve">zatot érintő kockázatok mértékét. </w:t>
      </w:r>
      <w:r>
        <w:rPr>
          <w:sz w:val="22"/>
          <w:szCs w:val="22"/>
        </w:rPr>
        <w:t>A termék terhesség során orvosi felügyelet nélkül nem alkalmazható. A legalacsonyabb hatásos adagban, a lehető legrövidebb ideig történő alkalmazást kell választani.</w:t>
      </w:r>
    </w:p>
    <w:p w14:paraId="04B7CC5A" w14:textId="77777777" w:rsidR="00B3730B" w:rsidRDefault="00B3730B" w:rsidP="001704A4">
      <w:pPr>
        <w:pStyle w:val="Text"/>
        <w:spacing w:before="0"/>
        <w:jc w:val="left"/>
        <w:rPr>
          <w:sz w:val="22"/>
          <w:szCs w:val="22"/>
        </w:rPr>
      </w:pPr>
    </w:p>
    <w:p w14:paraId="73002257" w14:textId="77777777" w:rsidR="009E6253" w:rsidRPr="00847AFE" w:rsidRDefault="009E6253" w:rsidP="008218B0">
      <w:pPr>
        <w:tabs>
          <w:tab w:val="clear" w:pos="567"/>
        </w:tabs>
        <w:spacing w:line="240" w:lineRule="auto"/>
        <w:rPr>
          <w:noProof/>
          <w:szCs w:val="22"/>
        </w:rPr>
      </w:pPr>
      <w:r>
        <w:rPr>
          <w:i/>
          <w:iCs/>
          <w:szCs w:val="22"/>
        </w:rPr>
        <w:t>Paracetamol</w:t>
      </w:r>
    </w:p>
    <w:p w14:paraId="67325F63" w14:textId="2D053A9F" w:rsidR="009E6253" w:rsidRDefault="009E6253" w:rsidP="001704A4">
      <w:pPr>
        <w:tabs>
          <w:tab w:val="clear" w:pos="567"/>
        </w:tabs>
        <w:spacing w:line="240" w:lineRule="auto"/>
      </w:pPr>
      <w:r>
        <w:t>A terhes nőkre vonatkozó, nagy mennyiségű adat nem utal sem malformatiót előidéző, sem foetalis/neonatalis toxicitásra. A méhen belül paracetamol-expozícióban részesült gyermekek idegrendszeri fejlődésével foglalkozó epidemiológiai vizsgálatok eredményei nem egyértelműek. Amennyiben klinikailag szükséges, a paracetamol adható terhesség alatt, de a legalacsonyabb hatásos adagban, a lehető legrövidebb ideig és a lehetséges legkisebb gyakorisággal kell alkalmazni.</w:t>
      </w:r>
    </w:p>
    <w:p w14:paraId="6DE1C557" w14:textId="77777777" w:rsidR="00B3730B" w:rsidRDefault="00B3730B" w:rsidP="001704A4">
      <w:pPr>
        <w:tabs>
          <w:tab w:val="clear" w:pos="567"/>
        </w:tabs>
        <w:spacing w:line="240" w:lineRule="auto"/>
        <w:rPr>
          <w:noProof/>
          <w:szCs w:val="22"/>
        </w:rPr>
      </w:pPr>
    </w:p>
    <w:p w14:paraId="284B55DB" w14:textId="77777777" w:rsidR="009E6253" w:rsidRPr="00715D08" w:rsidRDefault="009E6253" w:rsidP="001704A4">
      <w:pPr>
        <w:tabs>
          <w:tab w:val="clear" w:pos="567"/>
        </w:tabs>
        <w:spacing w:line="240" w:lineRule="auto"/>
        <w:rPr>
          <w:noProof/>
          <w:szCs w:val="22"/>
        </w:rPr>
      </w:pPr>
      <w:r>
        <w:rPr>
          <w:i/>
          <w:iCs/>
          <w:szCs w:val="22"/>
        </w:rPr>
        <w:t>Fenilefrin</w:t>
      </w:r>
    </w:p>
    <w:p w14:paraId="3CAF56C8" w14:textId="62F1D58C" w:rsidR="00B3730B" w:rsidRDefault="009E6253" w:rsidP="001704A4">
      <w:pPr>
        <w:tabs>
          <w:tab w:val="clear" w:pos="567"/>
        </w:tabs>
        <w:spacing w:line="240" w:lineRule="auto"/>
      </w:pPr>
      <w:r>
        <w:t xml:space="preserve">A fenilefrin terhes nőknél történő alkalmazása tekintetében egyáltalán nem, vagy csak korlátozott mennyiségben áll rendelkezésre információ. Az állatkísérletek eredményei a reproduktív toxicitás tekintetében nem elegendők. (lásd 5.3 </w:t>
      </w:r>
      <w:r w:rsidR="00646227">
        <w:t>pont</w:t>
      </w:r>
      <w:r>
        <w:t>). A fenilefrin nem ajánlott terhesség alatt és fogamzásgátlást nem alkalmazó, fogamzóképes nőknél.</w:t>
      </w:r>
    </w:p>
    <w:p w14:paraId="6D296AAD" w14:textId="729A51B8" w:rsidR="009E6253" w:rsidRPr="00715D08" w:rsidRDefault="009E6253" w:rsidP="001704A4">
      <w:pPr>
        <w:tabs>
          <w:tab w:val="clear" w:pos="567"/>
        </w:tabs>
        <w:spacing w:line="240" w:lineRule="auto"/>
        <w:rPr>
          <w:szCs w:val="22"/>
        </w:rPr>
      </w:pPr>
    </w:p>
    <w:p w14:paraId="1E6EF42A" w14:textId="77777777" w:rsidR="009E6253" w:rsidRPr="00190F18" w:rsidRDefault="009E6253" w:rsidP="001704A4">
      <w:pPr>
        <w:tabs>
          <w:tab w:val="clear" w:pos="567"/>
        </w:tabs>
        <w:spacing w:line="240" w:lineRule="auto"/>
        <w:rPr>
          <w:b/>
          <w:i/>
          <w:iCs/>
          <w:noProof/>
          <w:szCs w:val="22"/>
        </w:rPr>
      </w:pPr>
      <w:r>
        <w:rPr>
          <w:i/>
          <w:iCs/>
          <w:szCs w:val="22"/>
        </w:rPr>
        <w:t>Aszkorbinsav</w:t>
      </w:r>
    </w:p>
    <w:p w14:paraId="2199AE5A" w14:textId="7C546823" w:rsidR="009E6253" w:rsidRDefault="009E6253" w:rsidP="001704A4">
      <w:pPr>
        <w:tabs>
          <w:tab w:val="clear" w:pos="567"/>
        </w:tabs>
        <w:spacing w:line="240" w:lineRule="auto"/>
      </w:pPr>
      <w:r>
        <w:t>Az aszkorbinsavra ajánlott legmagasabb tolerálható beviteli érték (UL) 1800 mg/nap (terhesség &lt;18 év) és 2000 mg/nap (terhesség &gt;18 év). Az UL a napi tápanyagbevitel maximális szintje, amely valószínűsíthetőleg nem jár egészségkárosító hatás kockázatával.</w:t>
      </w:r>
    </w:p>
    <w:p w14:paraId="4D2C0113" w14:textId="77777777" w:rsidR="00B3730B" w:rsidRPr="00E06850" w:rsidRDefault="00B3730B" w:rsidP="001704A4">
      <w:pPr>
        <w:tabs>
          <w:tab w:val="clear" w:pos="567"/>
        </w:tabs>
        <w:spacing w:line="240" w:lineRule="auto"/>
        <w:rPr>
          <w:noProof/>
          <w:szCs w:val="22"/>
        </w:rPr>
      </w:pPr>
    </w:p>
    <w:p w14:paraId="7F803B88" w14:textId="77777777" w:rsidR="009E6253" w:rsidRDefault="009E6253" w:rsidP="001704A4">
      <w:pPr>
        <w:keepNext/>
        <w:tabs>
          <w:tab w:val="clear" w:pos="567"/>
        </w:tabs>
        <w:spacing w:line="240" w:lineRule="auto"/>
        <w:rPr>
          <w:noProof/>
          <w:szCs w:val="22"/>
          <w:u w:val="single"/>
        </w:rPr>
      </w:pPr>
      <w:r>
        <w:rPr>
          <w:szCs w:val="22"/>
          <w:u w:val="single"/>
        </w:rPr>
        <w:t>Szoptatás</w:t>
      </w:r>
    </w:p>
    <w:p w14:paraId="7578D8B3" w14:textId="54F99086" w:rsidR="009E6253" w:rsidRDefault="002C6541" w:rsidP="001704A4">
      <w:pPr>
        <w:keepNext/>
        <w:tabs>
          <w:tab w:val="clear" w:pos="567"/>
        </w:tabs>
        <w:spacing w:line="240" w:lineRule="auto"/>
      </w:pPr>
      <w:r>
        <w:t xml:space="preserve">A </w:t>
      </w:r>
      <w:r w:rsidR="00B104B5">
        <w:t>Neo Citran Max C-vitaminnal por belsőleges oldathoz</w:t>
      </w:r>
      <w:r>
        <w:t xml:space="preserve"> készítmény alkalmazása nem javasolt szoptatás ideje alatt. Az alapján kell döntést hozni a szoptatás abbahagyásáról, vagy a </w:t>
      </w:r>
      <w:r w:rsidR="00B104B5">
        <w:t>Neo Citran Max C-vitaminnal por belsőleges oldathoz</w:t>
      </w:r>
      <w:r>
        <w:t xml:space="preserve"> készítménnyel történő kezelés befejezéséről/elkerüléséről, hogy mérlegelik a szoptatás előnyeit a gyermek számára, illetve a kezelés előnyeit a nő számára.</w:t>
      </w:r>
    </w:p>
    <w:p w14:paraId="51334752" w14:textId="77777777" w:rsidR="00422818" w:rsidRDefault="00422818" w:rsidP="001704A4">
      <w:pPr>
        <w:keepNext/>
        <w:tabs>
          <w:tab w:val="clear" w:pos="567"/>
        </w:tabs>
        <w:spacing w:line="240" w:lineRule="auto"/>
        <w:rPr>
          <w:noProof/>
          <w:szCs w:val="22"/>
        </w:rPr>
      </w:pPr>
    </w:p>
    <w:p w14:paraId="79CF0F7E" w14:textId="77777777" w:rsidR="009E6253" w:rsidRPr="00190F18" w:rsidRDefault="009E6253" w:rsidP="001704A4">
      <w:pPr>
        <w:tabs>
          <w:tab w:val="clear" w:pos="567"/>
        </w:tabs>
        <w:spacing w:line="240" w:lineRule="auto"/>
        <w:rPr>
          <w:i/>
          <w:iCs/>
          <w:noProof/>
          <w:szCs w:val="22"/>
        </w:rPr>
      </w:pPr>
      <w:r>
        <w:rPr>
          <w:i/>
          <w:iCs/>
          <w:szCs w:val="22"/>
        </w:rPr>
        <w:t>Paracetamol</w:t>
      </w:r>
    </w:p>
    <w:p w14:paraId="195F34D4" w14:textId="77777777" w:rsidR="00486CB4" w:rsidRDefault="009E6253" w:rsidP="001704A4">
      <w:pPr>
        <w:tabs>
          <w:tab w:val="clear" w:pos="567"/>
        </w:tabs>
        <w:spacing w:line="240" w:lineRule="auto"/>
      </w:pPr>
      <w:r>
        <w:t>A paracetamol kiválasztódik az anyatejbe, de az ajánlott adagolási mennyiség mellett nem klinikailag jelentős mennyiségben.</w:t>
      </w:r>
    </w:p>
    <w:p w14:paraId="62D2F826" w14:textId="052A4BEF" w:rsidR="009E6253" w:rsidRPr="00376A10" w:rsidRDefault="009E6253" w:rsidP="001704A4">
      <w:pPr>
        <w:tabs>
          <w:tab w:val="clear" w:pos="567"/>
        </w:tabs>
        <w:spacing w:line="240" w:lineRule="auto"/>
        <w:rPr>
          <w:noProof/>
          <w:szCs w:val="22"/>
        </w:rPr>
      </w:pPr>
    </w:p>
    <w:p w14:paraId="5286C6A2" w14:textId="77777777" w:rsidR="009E6253" w:rsidRPr="00190F18" w:rsidRDefault="009E6253" w:rsidP="001704A4">
      <w:pPr>
        <w:keepNext/>
        <w:tabs>
          <w:tab w:val="clear" w:pos="567"/>
        </w:tabs>
        <w:spacing w:line="240" w:lineRule="auto"/>
        <w:rPr>
          <w:i/>
          <w:iCs/>
          <w:noProof/>
          <w:szCs w:val="22"/>
        </w:rPr>
      </w:pPr>
      <w:r>
        <w:rPr>
          <w:i/>
          <w:iCs/>
          <w:szCs w:val="22"/>
        </w:rPr>
        <w:t>Fenilefrin</w:t>
      </w:r>
    </w:p>
    <w:p w14:paraId="177A0595" w14:textId="77777777" w:rsidR="00486CB4" w:rsidRDefault="006D63B4" w:rsidP="001704A4">
      <w:pPr>
        <w:tabs>
          <w:tab w:val="clear" w:pos="567"/>
        </w:tabs>
        <w:spacing w:line="240" w:lineRule="auto"/>
      </w:pPr>
      <w:r>
        <w:t>A fenilefrin kiválasztódhat az anyatejbe.</w:t>
      </w:r>
    </w:p>
    <w:p w14:paraId="16F2D1CB" w14:textId="42AFCED7" w:rsidR="006D63B4" w:rsidRDefault="006D63B4" w:rsidP="001704A4">
      <w:pPr>
        <w:tabs>
          <w:tab w:val="clear" w:pos="567"/>
        </w:tabs>
        <w:spacing w:line="240" w:lineRule="auto"/>
        <w:rPr>
          <w:noProof/>
        </w:rPr>
      </w:pPr>
    </w:p>
    <w:p w14:paraId="43DCA484" w14:textId="77777777" w:rsidR="009E6253" w:rsidRPr="00190F18" w:rsidRDefault="009E6253" w:rsidP="001704A4">
      <w:pPr>
        <w:keepNext/>
        <w:tabs>
          <w:tab w:val="clear" w:pos="567"/>
        </w:tabs>
        <w:spacing w:line="240" w:lineRule="auto"/>
        <w:rPr>
          <w:i/>
          <w:iCs/>
          <w:noProof/>
          <w:szCs w:val="22"/>
        </w:rPr>
      </w:pPr>
      <w:r>
        <w:rPr>
          <w:i/>
          <w:iCs/>
          <w:szCs w:val="22"/>
        </w:rPr>
        <w:t>Aszkorbinsav</w:t>
      </w:r>
    </w:p>
    <w:p w14:paraId="02A02CBB" w14:textId="3F34EC16" w:rsidR="009E6253" w:rsidRDefault="009E6253" w:rsidP="001704A4">
      <w:pPr>
        <w:keepNext/>
        <w:tabs>
          <w:tab w:val="clear" w:pos="567"/>
        </w:tabs>
        <w:spacing w:line="240" w:lineRule="auto"/>
      </w:pPr>
      <w:r>
        <w:t>Az aszkorbinsavra ajánlott legmagasabb tolerálható beviteli érték (UL) 1800 mg/nap (Szoptatás &lt;18 év) és 2000 mg/nap (Szoptatás &gt;18 év). Az UL a napi tápanyagbevitel maximális szintje, amely valószínűsíthetőleg nem jár egészségkárosító hatás kockázatával.</w:t>
      </w:r>
    </w:p>
    <w:p w14:paraId="6C51E25A" w14:textId="77777777" w:rsidR="00486CB4" w:rsidRDefault="00486CB4" w:rsidP="001704A4">
      <w:pPr>
        <w:keepNext/>
        <w:tabs>
          <w:tab w:val="clear" w:pos="567"/>
        </w:tabs>
        <w:spacing w:line="240" w:lineRule="auto"/>
        <w:rPr>
          <w:noProof/>
          <w:szCs w:val="22"/>
        </w:rPr>
      </w:pPr>
    </w:p>
    <w:p w14:paraId="6F6DC02A" w14:textId="77777777" w:rsidR="00E564F2" w:rsidRDefault="00E564F2" w:rsidP="001704A4">
      <w:pPr>
        <w:keepNext/>
        <w:tabs>
          <w:tab w:val="clear" w:pos="567"/>
        </w:tabs>
        <w:spacing w:line="240" w:lineRule="auto"/>
        <w:rPr>
          <w:noProof/>
          <w:u w:val="single"/>
        </w:rPr>
      </w:pPr>
      <w:r>
        <w:rPr>
          <w:u w:val="single"/>
        </w:rPr>
        <w:t>Termékenység</w:t>
      </w:r>
    </w:p>
    <w:p w14:paraId="6071FAC0" w14:textId="6D9EDEBA" w:rsidR="00E564F2" w:rsidRDefault="00E564F2" w:rsidP="001704A4">
      <w:pPr>
        <w:pStyle w:val="Text"/>
        <w:keepNext/>
        <w:spacing w:before="0"/>
        <w:jc w:val="left"/>
        <w:rPr>
          <w:rFonts w:eastAsia="Times New Roman"/>
          <w:noProof/>
          <w:sz w:val="22"/>
          <w:szCs w:val="22"/>
        </w:rPr>
      </w:pPr>
      <w:r>
        <w:rPr>
          <w:sz w:val="22"/>
          <w:szCs w:val="22"/>
        </w:rPr>
        <w:t xml:space="preserve">A készítmény termékenységre gyakorolt hatásait célzottan nem vizsgálták. A paracetamollal végzett preklinikai vizsgálatok a terápiásnak megfelelő dózisok alkalmazása esetén nem mutatnak különleges veszélyt a termékenységre nézve. A fenilefrinre vonatkozó állatkísérletek eredményei a reproduktív toxicitás tekintetében nem elegendők. (lásd 5.3 </w:t>
      </w:r>
      <w:r w:rsidR="00486CB4">
        <w:rPr>
          <w:sz w:val="22"/>
          <w:szCs w:val="22"/>
        </w:rPr>
        <w:t>pont</w:t>
      </w:r>
      <w:r>
        <w:rPr>
          <w:sz w:val="22"/>
          <w:szCs w:val="22"/>
        </w:rPr>
        <w:t xml:space="preserve">). </w:t>
      </w:r>
    </w:p>
    <w:p w14:paraId="55E0AE11" w14:textId="77777777" w:rsidR="009E6253" w:rsidRDefault="009E6253" w:rsidP="008218B0">
      <w:pPr>
        <w:spacing w:line="240" w:lineRule="auto"/>
        <w:ind w:left="567" w:hanging="567"/>
        <w:rPr>
          <w:b/>
        </w:rPr>
      </w:pPr>
    </w:p>
    <w:p w14:paraId="27829B7F" w14:textId="77777777" w:rsidR="009E6253" w:rsidRDefault="009E6253" w:rsidP="00646227">
      <w:pPr>
        <w:spacing w:line="240" w:lineRule="auto"/>
        <w:ind w:left="567" w:hanging="567"/>
        <w:outlineLvl w:val="0"/>
      </w:pPr>
      <w:r>
        <w:rPr>
          <w:b/>
        </w:rPr>
        <w:t>4.7</w:t>
      </w:r>
      <w:r>
        <w:rPr>
          <w:b/>
        </w:rPr>
        <w:tab/>
        <w:t>A készítmény hatásai a gépjárművezetéshez és a gépek kezeléséhez szükséges képességekre</w:t>
      </w:r>
    </w:p>
    <w:p w14:paraId="58940F08" w14:textId="77777777" w:rsidR="009E6253" w:rsidRDefault="009E6253">
      <w:pPr>
        <w:spacing w:line="240" w:lineRule="auto"/>
      </w:pPr>
    </w:p>
    <w:p w14:paraId="43119314" w14:textId="048F7369" w:rsidR="009E6253" w:rsidRPr="000C1913" w:rsidRDefault="002C6541">
      <w:pPr>
        <w:spacing w:line="240" w:lineRule="auto"/>
        <w:rPr>
          <w:i/>
        </w:rPr>
      </w:pPr>
      <w:r>
        <w:t xml:space="preserve">A </w:t>
      </w:r>
      <w:r w:rsidR="00B104B5">
        <w:t>Neo Citran Max C-vitaminnal por belsőleges oldathoz</w:t>
      </w:r>
      <w:r>
        <w:t xml:space="preserve"> készítmény minimálisan befolyásolja a gépjárművezetési és gépkezelési képességeket. Ha a betegnél szédülés jelentkezik, javasolni kell, hogy ne vezessen gépjárművet, illetve ne kezeljen gépeket.(lásd 4.8 </w:t>
      </w:r>
      <w:r w:rsidR="002F09AE">
        <w:t>pont</w:t>
      </w:r>
      <w:r>
        <w:t>).</w:t>
      </w:r>
    </w:p>
    <w:p w14:paraId="479AE160" w14:textId="77777777" w:rsidR="00FE1AE4" w:rsidRDefault="00FE1AE4">
      <w:pPr>
        <w:spacing w:line="240" w:lineRule="auto"/>
      </w:pPr>
    </w:p>
    <w:p w14:paraId="175994A2" w14:textId="184850AB" w:rsidR="009E6253" w:rsidRDefault="00FE1AE4">
      <w:pPr>
        <w:spacing w:line="240" w:lineRule="auto"/>
        <w:outlineLvl w:val="0"/>
        <w:rPr>
          <w:b/>
          <w:bCs/>
        </w:rPr>
      </w:pPr>
      <w:r>
        <w:rPr>
          <w:b/>
          <w:bCs/>
        </w:rPr>
        <w:t>4.8</w:t>
      </w:r>
      <w:r>
        <w:tab/>
      </w:r>
      <w:r>
        <w:rPr>
          <w:b/>
          <w:bCs/>
        </w:rPr>
        <w:t>Nemkívánatos hatások</w:t>
      </w:r>
    </w:p>
    <w:p w14:paraId="62A7C6A4" w14:textId="77777777" w:rsidR="009E6253" w:rsidRDefault="009E6253">
      <w:pPr>
        <w:spacing w:line="240" w:lineRule="auto"/>
      </w:pPr>
    </w:p>
    <w:p w14:paraId="597C7FD5" w14:textId="457BC2F2" w:rsidR="009E6253" w:rsidRDefault="009E6253">
      <w:pPr>
        <w:spacing w:line="240" w:lineRule="auto"/>
      </w:pPr>
      <w:r>
        <w:t xml:space="preserve">A gyakorisági kategóriák az alábbi megállapodás szerint kerülnek meghatározásra: nagyon gyakori (≥1/10), gyakori (≥1/100, &lt;1/10), nem gyakori (≥1/1000, &lt;1/100), ritka (≥1/10 000, &lt;1/1000), nagyon ritka (&lt;1/10 000), nem ismert (a </w:t>
      </w:r>
      <w:r w:rsidR="002F09AE">
        <w:t xml:space="preserve">gyakoriság a </w:t>
      </w:r>
      <w:r>
        <w:t>rendelkezésre álló adatokból nem állapítható meg).</w:t>
      </w:r>
    </w:p>
    <w:p w14:paraId="08197836" w14:textId="77777777" w:rsidR="00557C9D" w:rsidRDefault="00557C9D">
      <w:pPr>
        <w:spacing w:line="240" w:lineRule="auto"/>
      </w:pPr>
    </w:p>
    <w:p w14:paraId="0D7859C0" w14:textId="77777777" w:rsidR="009E6253" w:rsidRPr="00190F18" w:rsidRDefault="009E6253">
      <w:pPr>
        <w:spacing w:line="240" w:lineRule="auto"/>
        <w:rPr>
          <w:noProof/>
          <w:u w:val="single"/>
        </w:rPr>
      </w:pPr>
      <w:r>
        <w:rPr>
          <w:u w:val="single"/>
        </w:rPr>
        <w:t>Paracetamol</w:t>
      </w:r>
    </w:p>
    <w:p w14:paraId="5D17DF3C" w14:textId="5C895CB8" w:rsidR="009E6253" w:rsidRDefault="009E6253">
      <w:pPr>
        <w:spacing w:line="240" w:lineRule="auto"/>
      </w:pPr>
      <w:r>
        <w:t xml:space="preserve">A korábbi klinikai vizsgálati adatok a nemkívánatos eseményekre vonatkozóan egyrészt ritkák, másrészt korlátozott beteg-expozíción alapulnak. </w:t>
      </w:r>
    </w:p>
    <w:p w14:paraId="1CB6DF47" w14:textId="2EA077DE" w:rsidR="00E564F2" w:rsidRDefault="00E564F2">
      <w:pPr>
        <w:spacing w:line="240" w:lineRule="auto"/>
      </w:pPr>
    </w:p>
    <w:p w14:paraId="5D2347A7" w14:textId="2D80C0DD" w:rsidR="00E564F2" w:rsidRDefault="00E564F2">
      <w:pPr>
        <w:spacing w:line="240" w:lineRule="auto"/>
      </w:pPr>
      <w:r>
        <w:t>A forgalomba hozatal utáni terápiás/alkalmazási előírás szerinti alkalmazásra vonatkozó, kiterjedt tapasztalatok alapján jelentett és a készítménnyel összefüggőnek ítélt eseményeket az alábbi táblázat sorolja fel, MedDRA szervrendszerek szerint.</w:t>
      </w:r>
    </w:p>
    <w:p w14:paraId="487C2F98" w14:textId="77777777" w:rsidR="009E6253" w:rsidRDefault="009E6253">
      <w:pPr>
        <w:spacing w:line="240" w:lineRule="auto"/>
      </w:pPr>
    </w:p>
    <w:p w14:paraId="5F3AB0C2" w14:textId="5576FB20" w:rsidR="009E6253" w:rsidRDefault="009E6253">
      <w:pPr>
        <w:spacing w:line="240" w:lineRule="auto"/>
      </w:pPr>
      <w:r>
        <w:t>Mivel ezeket a reakciókat bizonytalan méretű populációból, önkéntes alapon jelentették, a reakciók gyakorisága nem ismert, de valószínűsíthetőleg nagyon ritka.</w:t>
      </w:r>
    </w:p>
    <w:p w14:paraId="699BFACF" w14:textId="77777777" w:rsidR="009E6253" w:rsidRPr="00715D08" w:rsidRDefault="009E6253">
      <w:pPr>
        <w:spacing w:line="240" w:lineRule="auto"/>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5"/>
        <w:gridCol w:w="6375"/>
      </w:tblGrid>
      <w:tr w:rsidR="009E6253" w:rsidRPr="00F35BFE" w14:paraId="4B6E53B5" w14:textId="77777777" w:rsidTr="00C55068">
        <w:tc>
          <w:tcPr>
            <w:tcW w:w="1482" w:type="pct"/>
          </w:tcPr>
          <w:p w14:paraId="1FF1CC77" w14:textId="77777777" w:rsidR="009E6253" w:rsidRPr="00715D08" w:rsidRDefault="009E6253" w:rsidP="001704A4">
            <w:pPr>
              <w:spacing w:line="240" w:lineRule="auto"/>
              <w:outlineLvl w:val="0"/>
              <w:rPr>
                <w:b/>
                <w:color w:val="000000"/>
              </w:rPr>
            </w:pPr>
            <w:r>
              <w:rPr>
                <w:b/>
                <w:color w:val="000000"/>
              </w:rPr>
              <w:t>Szerv/Szervrendszer</w:t>
            </w:r>
          </w:p>
        </w:tc>
        <w:tc>
          <w:tcPr>
            <w:tcW w:w="3518" w:type="pct"/>
          </w:tcPr>
          <w:p w14:paraId="1A3DAEF9" w14:textId="77777777" w:rsidR="009E6253" w:rsidRPr="00715D08" w:rsidRDefault="009E6253" w:rsidP="001704A4">
            <w:pPr>
              <w:spacing w:line="240" w:lineRule="auto"/>
              <w:outlineLvl w:val="0"/>
              <w:rPr>
                <w:b/>
                <w:color w:val="000000"/>
              </w:rPr>
            </w:pPr>
            <w:r>
              <w:rPr>
                <w:b/>
                <w:color w:val="000000"/>
              </w:rPr>
              <w:t>Nemkívánatos hatás</w:t>
            </w:r>
          </w:p>
        </w:tc>
      </w:tr>
      <w:tr w:rsidR="009E6253" w:rsidRPr="0071734C" w14:paraId="4F1FDB05" w14:textId="77777777" w:rsidTr="00C55068">
        <w:tc>
          <w:tcPr>
            <w:tcW w:w="1482" w:type="pct"/>
          </w:tcPr>
          <w:p w14:paraId="628E2B02" w14:textId="77777777" w:rsidR="009E6253" w:rsidRPr="009B580A" w:rsidRDefault="009E6253" w:rsidP="001704A4">
            <w:pPr>
              <w:spacing w:line="240" w:lineRule="auto"/>
              <w:outlineLvl w:val="0"/>
              <w:rPr>
                <w:color w:val="000000"/>
                <w:vertAlign w:val="superscript"/>
              </w:rPr>
            </w:pPr>
            <w:r>
              <w:rPr>
                <w:color w:val="000000"/>
              </w:rPr>
              <w:t>A vért és a nyirokrendszert érintő rendellenességek</w:t>
            </w:r>
          </w:p>
        </w:tc>
        <w:tc>
          <w:tcPr>
            <w:tcW w:w="3518" w:type="pct"/>
          </w:tcPr>
          <w:p w14:paraId="0314C6EB" w14:textId="77777777" w:rsidR="009E6253" w:rsidRPr="0071734C" w:rsidRDefault="009E6253" w:rsidP="001704A4">
            <w:pPr>
              <w:spacing w:line="240" w:lineRule="auto"/>
              <w:outlineLvl w:val="0"/>
              <w:rPr>
                <w:color w:val="000000"/>
              </w:rPr>
            </w:pPr>
            <w:r>
              <w:rPr>
                <w:color w:val="000000"/>
              </w:rPr>
              <w:t>Trombocitopénia</w:t>
            </w:r>
            <w:r>
              <w:rPr>
                <w:color w:val="000000"/>
                <w:vertAlign w:val="superscript"/>
              </w:rPr>
              <w:t>1</w:t>
            </w:r>
            <w:r>
              <w:rPr>
                <w:color w:val="000000"/>
              </w:rPr>
              <w:t>,</w:t>
            </w:r>
          </w:p>
        </w:tc>
      </w:tr>
      <w:tr w:rsidR="009E6253" w:rsidRPr="0071734C" w14:paraId="25AED470" w14:textId="77777777" w:rsidTr="00C55068">
        <w:tc>
          <w:tcPr>
            <w:tcW w:w="1482" w:type="pct"/>
          </w:tcPr>
          <w:p w14:paraId="14222AC2" w14:textId="77777777" w:rsidR="009E6253" w:rsidRPr="0071734C" w:rsidRDefault="009E6253" w:rsidP="001704A4">
            <w:pPr>
              <w:spacing w:line="240" w:lineRule="auto"/>
              <w:outlineLvl w:val="0"/>
              <w:rPr>
                <w:color w:val="000000"/>
              </w:rPr>
            </w:pPr>
            <w:r>
              <w:rPr>
                <w:color w:val="000000"/>
              </w:rPr>
              <w:t>Immunrendszeri rendellenességek</w:t>
            </w:r>
          </w:p>
        </w:tc>
        <w:tc>
          <w:tcPr>
            <w:tcW w:w="3518" w:type="pct"/>
          </w:tcPr>
          <w:p w14:paraId="7DCF1A15" w14:textId="77777777" w:rsidR="009E6253" w:rsidRDefault="009E6253" w:rsidP="001704A4">
            <w:pPr>
              <w:spacing w:line="240" w:lineRule="auto"/>
              <w:outlineLvl w:val="0"/>
              <w:rPr>
                <w:color w:val="000000"/>
              </w:rPr>
            </w:pPr>
            <w:r>
              <w:rPr>
                <w:color w:val="000000"/>
              </w:rPr>
              <w:t>Anafilaxia</w:t>
            </w:r>
          </w:p>
          <w:p w14:paraId="67DD08FE" w14:textId="19BC8736" w:rsidR="009E6253" w:rsidRPr="0071734C" w:rsidRDefault="009E6253" w:rsidP="001704A4">
            <w:pPr>
              <w:spacing w:line="240" w:lineRule="auto"/>
              <w:outlineLvl w:val="0"/>
              <w:rPr>
                <w:color w:val="000000"/>
              </w:rPr>
            </w:pPr>
            <w:r>
              <w:rPr>
                <w:color w:val="000000"/>
              </w:rPr>
              <w:t>A bőrt érintő túlérzékenységi reakciók, beleértve többek között a bőrkiütéseket, angioödémát</w:t>
            </w:r>
            <w:r>
              <w:rPr>
                <w:color w:val="000000"/>
                <w:vertAlign w:val="superscript"/>
              </w:rPr>
              <w:t>2</w:t>
            </w:r>
          </w:p>
        </w:tc>
      </w:tr>
      <w:tr w:rsidR="009E6253" w:rsidRPr="0071734C" w14:paraId="16E2B475" w14:textId="77777777" w:rsidTr="00C55068">
        <w:tc>
          <w:tcPr>
            <w:tcW w:w="1482" w:type="pct"/>
          </w:tcPr>
          <w:p w14:paraId="3F189033" w14:textId="0E4B2A43" w:rsidR="009E6253" w:rsidRPr="0071734C" w:rsidRDefault="009E6253" w:rsidP="001704A4">
            <w:pPr>
              <w:spacing w:line="240" w:lineRule="auto"/>
              <w:rPr>
                <w:color w:val="000000"/>
              </w:rPr>
            </w:pPr>
            <w:r>
              <w:rPr>
                <w:color w:val="000000"/>
              </w:rPr>
              <w:t xml:space="preserve">Légzőszervi, mellkasi és </w:t>
            </w:r>
            <w:r w:rsidR="00EF679F">
              <w:rPr>
                <w:color w:val="000000"/>
              </w:rPr>
              <w:t xml:space="preserve">mediastinalis </w:t>
            </w:r>
            <w:r>
              <w:rPr>
                <w:color w:val="000000"/>
              </w:rPr>
              <w:t>rendellenességek</w:t>
            </w:r>
          </w:p>
        </w:tc>
        <w:tc>
          <w:tcPr>
            <w:tcW w:w="3518" w:type="pct"/>
          </w:tcPr>
          <w:p w14:paraId="2C60C141" w14:textId="77777777" w:rsidR="009E6253" w:rsidRPr="0071734C" w:rsidRDefault="009E6253" w:rsidP="001704A4">
            <w:pPr>
              <w:spacing w:line="240" w:lineRule="auto"/>
              <w:outlineLvl w:val="0"/>
              <w:rPr>
                <w:color w:val="000000"/>
              </w:rPr>
            </w:pPr>
            <w:r>
              <w:rPr>
                <w:color w:val="000000"/>
              </w:rPr>
              <w:t>Bronchospasmus az acetilszalicilsavval és más NSAID-okkal szembeni túlérzékenységben szenvedő betegeknél</w:t>
            </w:r>
          </w:p>
        </w:tc>
      </w:tr>
      <w:tr w:rsidR="009E6253" w:rsidRPr="0071734C" w14:paraId="113161DE" w14:textId="77777777" w:rsidTr="00C55068">
        <w:trPr>
          <w:trHeight w:val="170"/>
        </w:trPr>
        <w:tc>
          <w:tcPr>
            <w:tcW w:w="1482" w:type="pct"/>
          </w:tcPr>
          <w:p w14:paraId="123197D1" w14:textId="77777777" w:rsidR="009E6253" w:rsidRPr="0071734C" w:rsidRDefault="009E6253" w:rsidP="001704A4">
            <w:pPr>
              <w:spacing w:line="240" w:lineRule="auto"/>
              <w:outlineLvl w:val="0"/>
              <w:rPr>
                <w:color w:val="000000"/>
              </w:rPr>
            </w:pPr>
            <w:r>
              <w:rPr>
                <w:color w:val="000000"/>
              </w:rPr>
              <w:t>Hepatobiliaris rendellenességek</w:t>
            </w:r>
          </w:p>
        </w:tc>
        <w:tc>
          <w:tcPr>
            <w:tcW w:w="3518" w:type="pct"/>
          </w:tcPr>
          <w:p w14:paraId="1399DFF4" w14:textId="2AE9746C" w:rsidR="009E6253" w:rsidRPr="0071734C" w:rsidRDefault="009E6253" w:rsidP="001704A4">
            <w:pPr>
              <w:spacing w:line="240" w:lineRule="auto"/>
              <w:outlineLvl w:val="0"/>
              <w:rPr>
                <w:color w:val="000000"/>
              </w:rPr>
            </w:pPr>
            <w:r>
              <w:rPr>
                <w:color w:val="000000"/>
              </w:rPr>
              <w:t>Májműködési zavarok (lásd 4.4 és 4.9 pontokat)</w:t>
            </w:r>
          </w:p>
        </w:tc>
      </w:tr>
      <w:tr w:rsidR="00A544C8" w:rsidRPr="0071734C" w14:paraId="4D30299A" w14:textId="77777777" w:rsidTr="00C55068">
        <w:trPr>
          <w:trHeight w:val="170"/>
        </w:trPr>
        <w:tc>
          <w:tcPr>
            <w:tcW w:w="1482" w:type="pct"/>
          </w:tcPr>
          <w:p w14:paraId="244867E7" w14:textId="1E6CA454" w:rsidR="00A544C8" w:rsidRDefault="00A544C8" w:rsidP="001704A4">
            <w:pPr>
              <w:spacing w:line="240" w:lineRule="auto"/>
              <w:outlineLvl w:val="0"/>
              <w:rPr>
                <w:color w:val="000000"/>
              </w:rPr>
            </w:pPr>
            <w:r w:rsidRPr="00A544C8">
              <w:rPr>
                <w:color w:val="000000"/>
              </w:rPr>
              <w:t>Anyagcsere- és táplálkozási betegségek és tünetek</w:t>
            </w:r>
          </w:p>
        </w:tc>
        <w:tc>
          <w:tcPr>
            <w:tcW w:w="3518" w:type="pct"/>
          </w:tcPr>
          <w:p w14:paraId="08C6C996" w14:textId="453B1FD4" w:rsidR="00A544C8" w:rsidRDefault="00A544C8" w:rsidP="001704A4">
            <w:pPr>
              <w:spacing w:line="240" w:lineRule="auto"/>
              <w:outlineLvl w:val="0"/>
              <w:rPr>
                <w:color w:val="000000"/>
              </w:rPr>
            </w:pPr>
            <w:r w:rsidRPr="00A544C8">
              <w:rPr>
                <w:color w:val="000000"/>
              </w:rPr>
              <w:t>Emelkedett anionréssel járó metabolikus acidózis</w:t>
            </w:r>
            <w:r w:rsidR="006E154A" w:rsidRPr="00233C03">
              <w:rPr>
                <w:color w:val="000000"/>
                <w:vertAlign w:val="superscript"/>
              </w:rPr>
              <w:t>3</w:t>
            </w:r>
          </w:p>
        </w:tc>
      </w:tr>
    </w:tbl>
    <w:p w14:paraId="2E844D67" w14:textId="77777777" w:rsidR="009E6253" w:rsidRPr="00190F18" w:rsidRDefault="009E6253" w:rsidP="008218B0">
      <w:pPr>
        <w:spacing w:line="240" w:lineRule="auto"/>
        <w:rPr>
          <w:noProof/>
        </w:rPr>
      </w:pPr>
      <w:r>
        <w:rPr>
          <w:vertAlign w:val="superscript"/>
        </w:rPr>
        <w:t xml:space="preserve">1 </w:t>
      </w:r>
      <w:r>
        <w:t>Ez nem feltétlenül áll okozati kapcsolatban a paracetamollal.</w:t>
      </w:r>
    </w:p>
    <w:p w14:paraId="249A3466" w14:textId="12AECDD2" w:rsidR="009E6253" w:rsidRDefault="009E6253" w:rsidP="00646227">
      <w:pPr>
        <w:spacing w:line="240" w:lineRule="auto"/>
      </w:pPr>
      <w:r>
        <w:rPr>
          <w:vertAlign w:val="superscript"/>
        </w:rPr>
        <w:t>2</w:t>
      </w:r>
      <w:r>
        <w:t xml:space="preserve"> Nagyon ritka esetekben súlyos bőrreakciókat jelentettek.</w:t>
      </w:r>
    </w:p>
    <w:p w14:paraId="3C7B4029" w14:textId="409A1EDF" w:rsidR="006E154A" w:rsidRPr="006E154A" w:rsidRDefault="006E154A" w:rsidP="00646227">
      <w:pPr>
        <w:spacing w:line="240" w:lineRule="auto"/>
        <w:rPr>
          <w:noProof/>
        </w:rPr>
      </w:pPr>
      <w:r w:rsidRPr="00233C03">
        <w:rPr>
          <w:vertAlign w:val="superscript"/>
        </w:rPr>
        <w:t>3</w:t>
      </w:r>
      <w:r>
        <w:t xml:space="preserve"> Gyakoriság: nem ismert </w:t>
      </w:r>
      <w:r w:rsidRPr="006E154A">
        <w:t>(a gyakoriság a rendelkezésre álló adatokból nem állapítható meg)</w:t>
      </w:r>
      <w:r>
        <w:t>.</w:t>
      </w:r>
    </w:p>
    <w:p w14:paraId="4AD8E793" w14:textId="77777777" w:rsidR="009E6253" w:rsidRDefault="009E6253">
      <w:pPr>
        <w:spacing w:line="240" w:lineRule="auto"/>
        <w:rPr>
          <w:noProof/>
        </w:rPr>
      </w:pPr>
    </w:p>
    <w:p w14:paraId="0DEE2477" w14:textId="77777777" w:rsidR="00A544C8" w:rsidRDefault="00A544C8" w:rsidP="00A544C8">
      <w:pPr>
        <w:spacing w:line="240" w:lineRule="auto"/>
        <w:rPr>
          <w:noProof/>
          <w:u w:val="single"/>
        </w:rPr>
      </w:pPr>
      <w:r w:rsidRPr="00233C03">
        <w:rPr>
          <w:noProof/>
          <w:u w:val="single"/>
        </w:rPr>
        <w:t>Néhány kiválasztott mellékhatás leírása</w:t>
      </w:r>
    </w:p>
    <w:p w14:paraId="33694E43" w14:textId="77777777" w:rsidR="00A544C8" w:rsidRPr="00233C03" w:rsidRDefault="00A544C8" w:rsidP="00A544C8">
      <w:pPr>
        <w:spacing w:line="240" w:lineRule="auto"/>
        <w:rPr>
          <w:noProof/>
          <w:u w:val="single"/>
        </w:rPr>
      </w:pPr>
    </w:p>
    <w:p w14:paraId="03F9A45A" w14:textId="77777777" w:rsidR="00A544C8" w:rsidRPr="00233C03" w:rsidRDefault="00A544C8" w:rsidP="00A544C8">
      <w:pPr>
        <w:spacing w:line="240" w:lineRule="auto"/>
        <w:rPr>
          <w:noProof/>
          <w:u w:val="single"/>
        </w:rPr>
      </w:pPr>
      <w:r w:rsidRPr="00233C03">
        <w:rPr>
          <w:noProof/>
          <w:u w:val="single"/>
        </w:rPr>
        <w:t>Emelkedett anionréssel járó metabolikus acidózis</w:t>
      </w:r>
    </w:p>
    <w:p w14:paraId="059495F1" w14:textId="1B22D03D" w:rsidR="00A544C8" w:rsidRDefault="00A544C8" w:rsidP="00A544C8">
      <w:pPr>
        <w:spacing w:line="240" w:lineRule="auto"/>
        <w:rPr>
          <w:noProof/>
        </w:rPr>
      </w:pPr>
      <w:r>
        <w:rPr>
          <w:noProof/>
        </w:rPr>
        <w:t>Piroglutamát-acidózis miatt kialakuló emelkedett anionréssel járó metabolikus acidózist figyeltek meg egyes olyan, paracetamolt alkalmazó betegek esetében, akiknél kockázati tényezők álltak fenn (lásd 4.4 pont). Ezeknél a betegeknél az alacsony glutationszint következtében piroglutamát-acidózis léphet fel.</w:t>
      </w:r>
    </w:p>
    <w:p w14:paraId="01CCE8C4" w14:textId="77777777" w:rsidR="00A544C8" w:rsidRPr="00190F18" w:rsidRDefault="00A544C8" w:rsidP="00A544C8">
      <w:pPr>
        <w:spacing w:line="240" w:lineRule="auto"/>
        <w:rPr>
          <w:noProof/>
        </w:rPr>
      </w:pPr>
    </w:p>
    <w:p w14:paraId="7E38C6EB" w14:textId="77777777" w:rsidR="009E6253" w:rsidRPr="00190F18" w:rsidRDefault="009E6253">
      <w:pPr>
        <w:spacing w:line="240" w:lineRule="auto"/>
        <w:rPr>
          <w:noProof/>
          <w:u w:val="single"/>
        </w:rPr>
      </w:pPr>
      <w:r>
        <w:rPr>
          <w:u w:val="single"/>
        </w:rPr>
        <w:t>Fenilefrin</w:t>
      </w:r>
    </w:p>
    <w:p w14:paraId="63342160" w14:textId="77777777" w:rsidR="009E6253" w:rsidRPr="004523D8" w:rsidRDefault="009E6253" w:rsidP="001704A4">
      <w:pPr>
        <w:pStyle w:val="Text"/>
        <w:spacing w:before="0"/>
        <w:jc w:val="left"/>
        <w:rPr>
          <w:color w:val="000000"/>
          <w:sz w:val="22"/>
        </w:rPr>
      </w:pPr>
      <w:r>
        <w:rPr>
          <w:color w:val="000000"/>
          <w:sz w:val="22"/>
        </w:rPr>
        <w:t>A fenilefrinnel végzett klinikai vizsgálatokból az alábbi mellékhatásokról számoltak be, ezért ezek a fenilefrinnel kapcsolatos gyakori mellékhatások lehetnek. A nemkívánatos hatások az alábbi felsorolás a MedDRA szervrendszerek szerint tartalmazza: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8"/>
        <w:gridCol w:w="6402"/>
      </w:tblGrid>
      <w:tr w:rsidR="009E6253" w:rsidRPr="0071734C" w14:paraId="6D025440" w14:textId="77777777" w:rsidTr="00273E4E">
        <w:trPr>
          <w:cantSplit/>
        </w:trPr>
        <w:tc>
          <w:tcPr>
            <w:tcW w:w="1467" w:type="pct"/>
          </w:tcPr>
          <w:p w14:paraId="01CC4A4A" w14:textId="77777777" w:rsidR="009E6253" w:rsidRPr="002E3596" w:rsidRDefault="009E6253" w:rsidP="001704A4">
            <w:pPr>
              <w:keepNext/>
              <w:spacing w:line="240" w:lineRule="auto"/>
              <w:outlineLvl w:val="0"/>
              <w:rPr>
                <w:b/>
                <w:color w:val="000000"/>
              </w:rPr>
            </w:pPr>
            <w:r>
              <w:rPr>
                <w:b/>
                <w:color w:val="000000"/>
              </w:rPr>
              <w:t>Szerv/Szervrendszer</w:t>
            </w:r>
          </w:p>
        </w:tc>
        <w:tc>
          <w:tcPr>
            <w:tcW w:w="3533" w:type="pct"/>
          </w:tcPr>
          <w:p w14:paraId="154AAE03" w14:textId="77777777" w:rsidR="009E6253" w:rsidRPr="002E3596" w:rsidRDefault="009E6253" w:rsidP="001704A4">
            <w:pPr>
              <w:keepNext/>
              <w:spacing w:line="240" w:lineRule="auto"/>
              <w:outlineLvl w:val="0"/>
              <w:rPr>
                <w:b/>
                <w:color w:val="000000"/>
              </w:rPr>
            </w:pPr>
            <w:r>
              <w:rPr>
                <w:b/>
                <w:color w:val="000000"/>
              </w:rPr>
              <w:t>Nemkívánatos hatás</w:t>
            </w:r>
          </w:p>
        </w:tc>
      </w:tr>
      <w:tr w:rsidR="009E6253" w:rsidRPr="0071734C" w14:paraId="376D481A" w14:textId="77777777" w:rsidTr="00273E4E">
        <w:trPr>
          <w:cantSplit/>
        </w:trPr>
        <w:tc>
          <w:tcPr>
            <w:tcW w:w="1467" w:type="pct"/>
          </w:tcPr>
          <w:p w14:paraId="0D66FDB6" w14:textId="77777777" w:rsidR="009E6253" w:rsidRPr="002E3596" w:rsidRDefault="009E6253" w:rsidP="001704A4">
            <w:pPr>
              <w:keepNext/>
              <w:spacing w:line="240" w:lineRule="auto"/>
              <w:outlineLvl w:val="0"/>
              <w:rPr>
                <w:color w:val="000000"/>
              </w:rPr>
            </w:pPr>
            <w:r>
              <w:rPr>
                <w:color w:val="000000"/>
              </w:rPr>
              <w:t>Pszichiátriai betegségek</w:t>
            </w:r>
          </w:p>
        </w:tc>
        <w:tc>
          <w:tcPr>
            <w:tcW w:w="3533" w:type="pct"/>
          </w:tcPr>
          <w:p w14:paraId="431FD64E" w14:textId="77777777" w:rsidR="009E6253" w:rsidRPr="002E3596" w:rsidRDefault="009E6253" w:rsidP="001704A4">
            <w:pPr>
              <w:keepNext/>
              <w:spacing w:line="240" w:lineRule="auto"/>
              <w:outlineLvl w:val="0"/>
              <w:rPr>
                <w:color w:val="000000"/>
              </w:rPr>
            </w:pPr>
            <w:r>
              <w:rPr>
                <w:color w:val="000000"/>
              </w:rPr>
              <w:t>Idegesség</w:t>
            </w:r>
          </w:p>
        </w:tc>
      </w:tr>
      <w:tr w:rsidR="009E6253" w:rsidRPr="0071734C" w14:paraId="617D7C46" w14:textId="77777777" w:rsidTr="00273E4E">
        <w:trPr>
          <w:cantSplit/>
        </w:trPr>
        <w:tc>
          <w:tcPr>
            <w:tcW w:w="1467" w:type="pct"/>
          </w:tcPr>
          <w:p w14:paraId="7673D825" w14:textId="77777777" w:rsidR="009E6253" w:rsidRPr="0071734C" w:rsidRDefault="009E6253" w:rsidP="001704A4">
            <w:pPr>
              <w:keepNext/>
              <w:spacing w:line="240" w:lineRule="auto"/>
              <w:outlineLvl w:val="0"/>
              <w:rPr>
                <w:color w:val="000000"/>
              </w:rPr>
            </w:pPr>
            <w:r>
              <w:rPr>
                <w:color w:val="000000"/>
              </w:rPr>
              <w:t>Idegrendszeri rendellenességek</w:t>
            </w:r>
          </w:p>
        </w:tc>
        <w:tc>
          <w:tcPr>
            <w:tcW w:w="3533" w:type="pct"/>
          </w:tcPr>
          <w:p w14:paraId="55380750" w14:textId="77777777" w:rsidR="009E6253" w:rsidRPr="0071734C" w:rsidRDefault="009E6253" w:rsidP="001704A4">
            <w:pPr>
              <w:keepNext/>
              <w:spacing w:line="240" w:lineRule="auto"/>
              <w:outlineLvl w:val="0"/>
              <w:rPr>
                <w:color w:val="000000"/>
              </w:rPr>
            </w:pPr>
            <w:r>
              <w:rPr>
                <w:color w:val="000000"/>
              </w:rPr>
              <w:t>Fejfájás, szédülés, álmatlanság</w:t>
            </w:r>
          </w:p>
        </w:tc>
      </w:tr>
      <w:tr w:rsidR="009E6253" w:rsidRPr="0071734C" w14:paraId="406FE47C" w14:textId="77777777" w:rsidTr="00273E4E">
        <w:trPr>
          <w:cantSplit/>
          <w:trHeight w:val="260"/>
        </w:trPr>
        <w:tc>
          <w:tcPr>
            <w:tcW w:w="1467" w:type="pct"/>
          </w:tcPr>
          <w:p w14:paraId="26157F12" w14:textId="77777777" w:rsidR="009E6253" w:rsidRPr="0071734C" w:rsidRDefault="009E6253" w:rsidP="001704A4">
            <w:pPr>
              <w:keepNext/>
              <w:spacing w:line="240" w:lineRule="auto"/>
              <w:outlineLvl w:val="0"/>
              <w:rPr>
                <w:color w:val="000000"/>
              </w:rPr>
            </w:pPr>
            <w:r>
              <w:rPr>
                <w:color w:val="000000"/>
              </w:rPr>
              <w:t>Szívbetegségek</w:t>
            </w:r>
          </w:p>
        </w:tc>
        <w:tc>
          <w:tcPr>
            <w:tcW w:w="3533" w:type="pct"/>
          </w:tcPr>
          <w:p w14:paraId="21B88FC3" w14:textId="77777777" w:rsidR="009E6253" w:rsidRPr="0071734C" w:rsidRDefault="009E6253" w:rsidP="001704A4">
            <w:pPr>
              <w:keepNext/>
              <w:spacing w:line="240" w:lineRule="auto"/>
              <w:outlineLvl w:val="0"/>
              <w:rPr>
                <w:color w:val="000000"/>
              </w:rPr>
            </w:pPr>
            <w:r>
              <w:rPr>
                <w:color w:val="000000"/>
              </w:rPr>
              <w:t>Megemelkedett vérnyomás</w:t>
            </w:r>
          </w:p>
        </w:tc>
      </w:tr>
      <w:tr w:rsidR="009E6253" w:rsidRPr="0071734C" w14:paraId="3E287E2C" w14:textId="77777777" w:rsidTr="00273E4E">
        <w:trPr>
          <w:cantSplit/>
        </w:trPr>
        <w:tc>
          <w:tcPr>
            <w:tcW w:w="1467" w:type="pct"/>
          </w:tcPr>
          <w:p w14:paraId="1F9D4F2D" w14:textId="77777777" w:rsidR="009E6253" w:rsidRPr="0071734C" w:rsidRDefault="009E6253" w:rsidP="001704A4">
            <w:pPr>
              <w:keepNext/>
              <w:spacing w:line="240" w:lineRule="auto"/>
              <w:outlineLvl w:val="0"/>
              <w:rPr>
                <w:color w:val="000000"/>
              </w:rPr>
            </w:pPr>
            <w:r>
              <w:rPr>
                <w:color w:val="000000"/>
              </w:rPr>
              <w:t>Emésztőrendszeri rendellenességek</w:t>
            </w:r>
          </w:p>
        </w:tc>
        <w:tc>
          <w:tcPr>
            <w:tcW w:w="3533" w:type="pct"/>
          </w:tcPr>
          <w:p w14:paraId="70F33AED" w14:textId="77777777" w:rsidR="009E6253" w:rsidRPr="0071734C" w:rsidRDefault="009E6253" w:rsidP="001704A4">
            <w:pPr>
              <w:keepNext/>
              <w:spacing w:line="240" w:lineRule="auto"/>
              <w:outlineLvl w:val="0"/>
              <w:rPr>
                <w:color w:val="000000"/>
              </w:rPr>
            </w:pPr>
            <w:r>
              <w:rPr>
                <w:color w:val="000000"/>
              </w:rPr>
              <w:t>Hányinger, hányás</w:t>
            </w:r>
          </w:p>
        </w:tc>
      </w:tr>
    </w:tbl>
    <w:p w14:paraId="327D435D" w14:textId="77777777" w:rsidR="009E6253" w:rsidRPr="00190F18" w:rsidRDefault="009E6253" w:rsidP="008218B0">
      <w:pPr>
        <w:spacing w:line="240" w:lineRule="auto"/>
        <w:rPr>
          <w:noProof/>
        </w:rPr>
      </w:pPr>
    </w:p>
    <w:p w14:paraId="0A8E1769" w14:textId="77777777" w:rsidR="009E6253" w:rsidRPr="00190F18" w:rsidRDefault="009E6253" w:rsidP="00646227">
      <w:pPr>
        <w:spacing w:line="240" w:lineRule="auto"/>
        <w:rPr>
          <w:noProof/>
        </w:rPr>
      </w:pPr>
      <w:r>
        <w:t>A forgalomba hozatal utáni alkalmazás során azonosított mellékhatásokat az alábbi felsorolás tartalmazza. Mivel ezeket a reakciókat bizonytalan méretű populációból, önkéntes alapon jelentették, a reakciók gyakorisága nem ismert, de valószínűsíthetőleg ritka, vagy nagyon ritka.</w:t>
      </w:r>
    </w:p>
    <w:p w14:paraId="0824DBB5" w14:textId="77777777" w:rsidR="009E6253" w:rsidRPr="0071734C" w:rsidRDefault="009E6253">
      <w:pPr>
        <w:spacing w:line="240" w:lineRule="auto"/>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7"/>
        <w:gridCol w:w="6443"/>
      </w:tblGrid>
      <w:tr w:rsidR="009E6253" w:rsidRPr="0071734C" w14:paraId="2235D6F0" w14:textId="77777777" w:rsidTr="5DF75B6E">
        <w:tc>
          <w:tcPr>
            <w:tcW w:w="1444" w:type="pct"/>
          </w:tcPr>
          <w:p w14:paraId="090D69F3" w14:textId="77777777" w:rsidR="009E6253" w:rsidRPr="0071734C" w:rsidRDefault="009E6253" w:rsidP="001704A4">
            <w:pPr>
              <w:spacing w:line="240" w:lineRule="auto"/>
              <w:outlineLvl w:val="0"/>
              <w:rPr>
                <w:color w:val="000000"/>
              </w:rPr>
            </w:pPr>
            <w:r>
              <w:rPr>
                <w:b/>
                <w:color w:val="000000"/>
              </w:rPr>
              <w:t>Szerv/Szervrendszer</w:t>
            </w:r>
          </w:p>
        </w:tc>
        <w:tc>
          <w:tcPr>
            <w:tcW w:w="3556" w:type="pct"/>
          </w:tcPr>
          <w:p w14:paraId="62A655C8" w14:textId="77777777" w:rsidR="009E6253" w:rsidRPr="0071734C" w:rsidRDefault="009E6253" w:rsidP="001704A4">
            <w:pPr>
              <w:spacing w:line="240" w:lineRule="auto"/>
              <w:outlineLvl w:val="0"/>
              <w:rPr>
                <w:color w:val="000000"/>
              </w:rPr>
            </w:pPr>
            <w:r>
              <w:rPr>
                <w:b/>
                <w:color w:val="000000"/>
              </w:rPr>
              <w:t>Nemkívánatos hatás</w:t>
            </w:r>
          </w:p>
        </w:tc>
      </w:tr>
      <w:tr w:rsidR="004D2F8A" w14:paraId="60811D6A" w14:textId="77777777" w:rsidTr="004D2F8A">
        <w:tc>
          <w:tcPr>
            <w:tcW w:w="1444" w:type="pct"/>
          </w:tcPr>
          <w:p w14:paraId="583A8749" w14:textId="15FB5DDD" w:rsidR="004D2F8A" w:rsidRDefault="004D2F8A" w:rsidP="001704A4">
            <w:pPr>
              <w:spacing w:line="240" w:lineRule="auto"/>
              <w:rPr>
                <w:color w:val="000000" w:themeColor="text1"/>
              </w:rPr>
            </w:pPr>
            <w:r>
              <w:rPr>
                <w:rStyle w:val="normaltextrun"/>
                <w:color w:val="000000"/>
                <w:szCs w:val="22"/>
              </w:rPr>
              <w:t>Immunrendszeri rendellenességek</w:t>
            </w:r>
            <w:r>
              <w:rPr>
                <w:rStyle w:val="eop"/>
                <w:color w:val="000000"/>
                <w:szCs w:val="22"/>
              </w:rPr>
              <w:t> </w:t>
            </w:r>
          </w:p>
        </w:tc>
        <w:tc>
          <w:tcPr>
            <w:tcW w:w="3556" w:type="pct"/>
          </w:tcPr>
          <w:p w14:paraId="07776450" w14:textId="74A10FC3" w:rsidR="004D2F8A" w:rsidRDefault="004D2F8A" w:rsidP="001704A4">
            <w:pPr>
              <w:spacing w:line="240" w:lineRule="auto"/>
              <w:rPr>
                <w:color w:val="000000" w:themeColor="text1"/>
              </w:rPr>
            </w:pPr>
            <w:r>
              <w:rPr>
                <w:rStyle w:val="normaltextrun"/>
                <w:color w:val="000000"/>
                <w:szCs w:val="22"/>
              </w:rPr>
              <w:t>Túlérzékenység, csalánkiütés, allergiás dermatitis</w:t>
            </w:r>
            <w:r>
              <w:rPr>
                <w:rStyle w:val="eop"/>
                <w:color w:val="000000"/>
                <w:szCs w:val="22"/>
              </w:rPr>
              <w:t> </w:t>
            </w:r>
          </w:p>
        </w:tc>
      </w:tr>
      <w:tr w:rsidR="009E6253" w:rsidRPr="0071734C" w14:paraId="732224FD" w14:textId="77777777" w:rsidTr="5DF75B6E">
        <w:tc>
          <w:tcPr>
            <w:tcW w:w="1444" w:type="pct"/>
          </w:tcPr>
          <w:p w14:paraId="068383A4" w14:textId="61E6AF13" w:rsidR="009E6253" w:rsidRPr="0071734C" w:rsidRDefault="009E6253" w:rsidP="001704A4">
            <w:pPr>
              <w:spacing w:line="240" w:lineRule="auto"/>
              <w:outlineLvl w:val="0"/>
              <w:rPr>
                <w:color w:val="000000"/>
              </w:rPr>
            </w:pPr>
            <w:r>
              <w:rPr>
                <w:color w:val="000000"/>
              </w:rPr>
              <w:t>Szemproblémák</w:t>
            </w:r>
          </w:p>
        </w:tc>
        <w:tc>
          <w:tcPr>
            <w:tcW w:w="3556" w:type="pct"/>
          </w:tcPr>
          <w:p w14:paraId="7E5DE4DE" w14:textId="69D75E77" w:rsidR="009E6253" w:rsidRPr="0071734C" w:rsidRDefault="009E6253" w:rsidP="001704A4">
            <w:pPr>
              <w:spacing w:line="240" w:lineRule="auto"/>
              <w:outlineLvl w:val="0"/>
              <w:rPr>
                <w:color w:val="000000"/>
              </w:rPr>
            </w:pPr>
            <w:r>
              <w:rPr>
                <w:color w:val="000000"/>
              </w:rPr>
              <w:t>Tág pupillák, akut zárt zugú glau</w:t>
            </w:r>
            <w:r w:rsidR="00EF679F">
              <w:rPr>
                <w:color w:val="000000"/>
              </w:rPr>
              <w:t>co</w:t>
            </w:r>
            <w:r>
              <w:rPr>
                <w:color w:val="000000"/>
              </w:rPr>
              <w:t>ma</w:t>
            </w:r>
            <w:r>
              <w:rPr>
                <w:color w:val="000000"/>
                <w:vertAlign w:val="superscript"/>
              </w:rPr>
              <w:t>1</w:t>
            </w:r>
            <w:r>
              <w:rPr>
                <w:color w:val="000000"/>
              </w:rPr>
              <w:t xml:space="preserve"> </w:t>
            </w:r>
          </w:p>
        </w:tc>
      </w:tr>
      <w:tr w:rsidR="009E6253" w:rsidRPr="0071734C" w14:paraId="7184128A" w14:textId="77777777" w:rsidTr="5DF75B6E">
        <w:tc>
          <w:tcPr>
            <w:tcW w:w="1444" w:type="pct"/>
          </w:tcPr>
          <w:p w14:paraId="7FF1DFFD" w14:textId="77777777" w:rsidR="009E6253" w:rsidRPr="0071734C" w:rsidRDefault="009E6253" w:rsidP="001704A4">
            <w:pPr>
              <w:spacing w:line="240" w:lineRule="auto"/>
              <w:outlineLvl w:val="0"/>
              <w:rPr>
                <w:color w:val="000000"/>
              </w:rPr>
            </w:pPr>
            <w:r>
              <w:rPr>
                <w:color w:val="000000"/>
              </w:rPr>
              <w:t>Szívbetegségek</w:t>
            </w:r>
          </w:p>
        </w:tc>
        <w:tc>
          <w:tcPr>
            <w:tcW w:w="3556" w:type="pct"/>
          </w:tcPr>
          <w:p w14:paraId="7D2AE444" w14:textId="39D76B3A" w:rsidR="009E6253" w:rsidRPr="0071734C" w:rsidRDefault="009E6253" w:rsidP="001704A4">
            <w:pPr>
              <w:spacing w:line="240" w:lineRule="auto"/>
              <w:outlineLvl w:val="0"/>
              <w:rPr>
                <w:color w:val="000000"/>
              </w:rPr>
            </w:pPr>
            <w:r>
              <w:rPr>
                <w:color w:val="000000"/>
              </w:rPr>
              <w:t>Ta</w:t>
            </w:r>
            <w:r w:rsidR="00EF679F">
              <w:rPr>
                <w:color w:val="000000"/>
              </w:rPr>
              <w:t>c</w:t>
            </w:r>
            <w:r>
              <w:rPr>
                <w:color w:val="000000"/>
              </w:rPr>
              <w:t>hi</w:t>
            </w:r>
            <w:r w:rsidR="00EF679F">
              <w:rPr>
                <w:color w:val="000000"/>
              </w:rPr>
              <w:t>c</w:t>
            </w:r>
            <w:r>
              <w:rPr>
                <w:color w:val="000000"/>
              </w:rPr>
              <w:t>ardia, palpit</w:t>
            </w:r>
            <w:r w:rsidR="00EF679F">
              <w:rPr>
                <w:color w:val="000000"/>
              </w:rPr>
              <w:t>at</w:t>
            </w:r>
            <w:r>
              <w:rPr>
                <w:color w:val="000000"/>
              </w:rPr>
              <w:t>i</w:t>
            </w:r>
            <w:r w:rsidR="00EF679F">
              <w:rPr>
                <w:color w:val="000000"/>
              </w:rPr>
              <w:t>o</w:t>
            </w:r>
          </w:p>
        </w:tc>
      </w:tr>
      <w:tr w:rsidR="009E6253" w:rsidRPr="0071734C" w14:paraId="4550097E" w14:textId="77777777" w:rsidTr="5DF75B6E">
        <w:tc>
          <w:tcPr>
            <w:tcW w:w="1444" w:type="pct"/>
          </w:tcPr>
          <w:p w14:paraId="64045F39" w14:textId="77777777" w:rsidR="009E6253" w:rsidRPr="0071734C" w:rsidRDefault="009E6253" w:rsidP="001704A4">
            <w:pPr>
              <w:spacing w:line="240" w:lineRule="auto"/>
              <w:outlineLvl w:val="0"/>
              <w:rPr>
                <w:color w:val="000000"/>
              </w:rPr>
            </w:pPr>
            <w:r>
              <w:rPr>
                <w:color w:val="000000"/>
              </w:rPr>
              <w:t>Bőr és subcutan rendellenességek</w:t>
            </w:r>
          </w:p>
        </w:tc>
        <w:tc>
          <w:tcPr>
            <w:tcW w:w="3556" w:type="pct"/>
          </w:tcPr>
          <w:p w14:paraId="16C60239" w14:textId="77777777" w:rsidR="009E6253" w:rsidRPr="0071734C" w:rsidRDefault="009E6253" w:rsidP="001704A4">
            <w:pPr>
              <w:spacing w:line="240" w:lineRule="auto"/>
              <w:outlineLvl w:val="0"/>
              <w:rPr>
                <w:color w:val="000000"/>
              </w:rPr>
            </w:pPr>
            <w:r>
              <w:rPr>
                <w:color w:val="000000"/>
              </w:rPr>
              <w:t>Kiütések</w:t>
            </w:r>
          </w:p>
        </w:tc>
      </w:tr>
      <w:tr w:rsidR="009E6253" w:rsidRPr="0071734C" w14:paraId="673B2B5B" w14:textId="77777777" w:rsidTr="5DF75B6E">
        <w:tc>
          <w:tcPr>
            <w:tcW w:w="1444" w:type="pct"/>
          </w:tcPr>
          <w:p w14:paraId="2A88F6E0" w14:textId="77777777" w:rsidR="009E6253" w:rsidRPr="0071734C" w:rsidRDefault="009E6253" w:rsidP="001704A4">
            <w:pPr>
              <w:spacing w:line="240" w:lineRule="auto"/>
              <w:outlineLvl w:val="0"/>
              <w:rPr>
                <w:color w:val="000000"/>
              </w:rPr>
            </w:pPr>
            <w:r>
              <w:rPr>
                <w:color w:val="000000"/>
              </w:rPr>
              <w:t>Vese és húgyúti rendellenességek</w:t>
            </w:r>
          </w:p>
        </w:tc>
        <w:tc>
          <w:tcPr>
            <w:tcW w:w="3556" w:type="pct"/>
          </w:tcPr>
          <w:p w14:paraId="6373A984" w14:textId="18395096" w:rsidR="009E6253" w:rsidRPr="0071734C" w:rsidRDefault="00EF679F" w:rsidP="001704A4">
            <w:pPr>
              <w:spacing w:line="240" w:lineRule="auto"/>
              <w:outlineLvl w:val="0"/>
              <w:rPr>
                <w:color w:val="000000"/>
              </w:rPr>
            </w:pPr>
            <w:r>
              <w:rPr>
                <w:color w:val="000000"/>
              </w:rPr>
              <w:t>Dysuria</w:t>
            </w:r>
            <w:r w:rsidR="009E6253">
              <w:rPr>
                <w:color w:val="000000"/>
              </w:rPr>
              <w:t>, vizelet-visszatartás</w:t>
            </w:r>
            <w:r w:rsidR="009E6253">
              <w:rPr>
                <w:color w:val="000000"/>
                <w:vertAlign w:val="superscript"/>
              </w:rPr>
              <w:t>2</w:t>
            </w:r>
            <w:r w:rsidR="009E6253">
              <w:rPr>
                <w:color w:val="000000"/>
              </w:rPr>
              <w:t xml:space="preserve"> </w:t>
            </w:r>
          </w:p>
        </w:tc>
      </w:tr>
    </w:tbl>
    <w:p w14:paraId="63FB2C4E" w14:textId="69D54D07" w:rsidR="009E6253" w:rsidRPr="00190F18" w:rsidRDefault="009E6253" w:rsidP="008218B0">
      <w:pPr>
        <w:spacing w:line="240" w:lineRule="auto"/>
        <w:rPr>
          <w:noProof/>
        </w:rPr>
      </w:pPr>
      <w:r>
        <w:rPr>
          <w:vertAlign w:val="superscript"/>
        </w:rPr>
        <w:t xml:space="preserve">1 </w:t>
      </w:r>
      <w:r>
        <w:t xml:space="preserve">legnagyobb valószínűséggel zárt zugú glaukómás személyeknél jelentkezik. (lásd 4.3 </w:t>
      </w:r>
      <w:r w:rsidR="002F09AE">
        <w:t>pont</w:t>
      </w:r>
      <w:r>
        <w:t>).</w:t>
      </w:r>
    </w:p>
    <w:p w14:paraId="35DF9BE8" w14:textId="36793ABA" w:rsidR="009E6253" w:rsidRPr="00190F18" w:rsidRDefault="009E6253" w:rsidP="00646227">
      <w:pPr>
        <w:spacing w:line="240" w:lineRule="auto"/>
        <w:rPr>
          <w:noProof/>
        </w:rPr>
      </w:pPr>
      <w:r>
        <w:rPr>
          <w:vertAlign w:val="superscript"/>
        </w:rPr>
        <w:t xml:space="preserve">2 </w:t>
      </w:r>
      <w:r>
        <w:t xml:space="preserve">legnagyobb valószínűséggel hólyagürítési zavarral, mint például prosztata hipertrófiával rendelkező személyeknél jelentkezik. </w:t>
      </w:r>
    </w:p>
    <w:p w14:paraId="5E6CD883" w14:textId="77777777" w:rsidR="009E6253" w:rsidRPr="00777769" w:rsidRDefault="009E6253">
      <w:pPr>
        <w:spacing w:line="240" w:lineRule="auto"/>
        <w:rPr>
          <w:szCs w:val="22"/>
          <w:u w:val="single"/>
        </w:rPr>
      </w:pPr>
    </w:p>
    <w:p w14:paraId="10BB1380" w14:textId="77777777" w:rsidR="009E6253" w:rsidRPr="00B3208E" w:rsidRDefault="009E6253">
      <w:pPr>
        <w:keepNext/>
        <w:autoSpaceDE w:val="0"/>
        <w:autoSpaceDN w:val="0"/>
        <w:adjustRightInd w:val="0"/>
        <w:spacing w:line="240" w:lineRule="auto"/>
        <w:rPr>
          <w:szCs w:val="22"/>
          <w:u w:val="single"/>
        </w:rPr>
      </w:pPr>
      <w:r>
        <w:rPr>
          <w:szCs w:val="22"/>
          <w:u w:val="single"/>
        </w:rPr>
        <w:t>Feltételezett mellékhatások bejelentése</w:t>
      </w:r>
    </w:p>
    <w:p w14:paraId="5B506EFF" w14:textId="77777777" w:rsidR="00EF679F" w:rsidRPr="00F06234" w:rsidRDefault="00EF679F" w:rsidP="00EF679F">
      <w:pPr>
        <w:spacing w:line="240" w:lineRule="auto"/>
      </w:pPr>
      <w:r w:rsidRPr="00F06234">
        <w:t xml:space="preserve">A gyógyszer engedélyezését követően lényeges a feltételezett mellékhatások bejelentése, mert ez fontos eszköze annak, hogy a gyógyszer előny/kockázat profilját folyamatosan figyelemmel lehessen kísérni. </w:t>
      </w:r>
    </w:p>
    <w:p w14:paraId="7CDBA1A4" w14:textId="54E97575" w:rsidR="00EF679F" w:rsidRDefault="00EF679F" w:rsidP="00EF679F">
      <w:pPr>
        <w:spacing w:line="240" w:lineRule="auto"/>
      </w:pPr>
      <w:r w:rsidRPr="00F06234">
        <w:t xml:space="preserve">Az egészségügyi szakembereket kérjük, hogy jelentsék be a feltételezett mellékhatásokat a hatóság részére az </w:t>
      </w:r>
      <w:hyperlink r:id="rId11" w:history="1">
        <w:r w:rsidRPr="00F06234">
          <w:rPr>
            <w:rStyle w:val="Hiperhivatkozs"/>
            <w:highlight w:val="lightGray"/>
          </w:rPr>
          <w:t>V. füg</w:t>
        </w:r>
        <w:bookmarkStart w:id="36" w:name="_Hlt352075914"/>
        <w:bookmarkStart w:id="37" w:name="_Hlt352075915"/>
        <w:r w:rsidRPr="00F06234">
          <w:rPr>
            <w:rStyle w:val="Hiperhivatkozs"/>
            <w:highlight w:val="lightGray"/>
          </w:rPr>
          <w:t>g</w:t>
        </w:r>
        <w:bookmarkEnd w:id="36"/>
        <w:bookmarkEnd w:id="37"/>
        <w:r w:rsidRPr="00F06234">
          <w:rPr>
            <w:rStyle w:val="Hiperhivatkozs"/>
            <w:highlight w:val="lightGray"/>
          </w:rPr>
          <w:t>elékben</w:t>
        </w:r>
      </w:hyperlink>
      <w:r w:rsidRPr="00F06234">
        <w:rPr>
          <w:highlight w:val="lightGray"/>
        </w:rPr>
        <w:t xml:space="preserve"> található elérhetőségek valamelyikén keresztül</w:t>
      </w:r>
      <w:r>
        <w:t>.</w:t>
      </w:r>
    </w:p>
    <w:p w14:paraId="5C38D887" w14:textId="77777777" w:rsidR="00E564F2" w:rsidRDefault="00E564F2" w:rsidP="00EF679F">
      <w:pPr>
        <w:spacing w:line="240" w:lineRule="auto"/>
        <w:rPr>
          <w:b/>
        </w:rPr>
      </w:pPr>
    </w:p>
    <w:p w14:paraId="0A913F4F" w14:textId="3012BA58" w:rsidR="009E6253" w:rsidRDefault="009E6253">
      <w:pPr>
        <w:spacing w:line="240" w:lineRule="auto"/>
        <w:ind w:left="567" w:hanging="567"/>
        <w:outlineLvl w:val="0"/>
        <w:rPr>
          <w:b/>
        </w:rPr>
      </w:pPr>
      <w:r>
        <w:rPr>
          <w:b/>
        </w:rPr>
        <w:t>4.9</w:t>
      </w:r>
      <w:r>
        <w:rPr>
          <w:b/>
        </w:rPr>
        <w:tab/>
        <w:t>Túladagolás</w:t>
      </w:r>
    </w:p>
    <w:p w14:paraId="59839763" w14:textId="77777777" w:rsidR="00D33400" w:rsidRPr="009D4474" w:rsidRDefault="00D33400">
      <w:pPr>
        <w:spacing w:line="240" w:lineRule="auto"/>
        <w:ind w:left="567" w:hanging="567"/>
        <w:outlineLvl w:val="0"/>
        <w:rPr>
          <w:b/>
        </w:rPr>
      </w:pPr>
    </w:p>
    <w:p w14:paraId="65ADDDF2" w14:textId="5FB1FEFC" w:rsidR="001704A4" w:rsidRDefault="001704A4" w:rsidP="001704A4">
      <w:pPr>
        <w:tabs>
          <w:tab w:val="clear" w:pos="567"/>
        </w:tabs>
        <w:spacing w:line="240" w:lineRule="auto"/>
      </w:pPr>
      <w:r>
        <w:t>Túladagolás vagy annak gyanúja esetén azonnal kérjen tanácsot a toxikológia központtól (Egészségügyi Toxikológiai Tájékoztató Szolgálat</w:t>
      </w:r>
      <w:r w:rsidR="00DF590E">
        <w:t xml:space="preserve"> </w:t>
      </w:r>
      <w:r w:rsidR="00DF590E" w:rsidRPr="00316C96">
        <w:t>+36 80 201</w:t>
      </w:r>
      <w:r w:rsidR="00DF590E">
        <w:t> </w:t>
      </w:r>
      <w:r w:rsidR="00DF590E" w:rsidRPr="00316C96">
        <w:t>199</w:t>
      </w:r>
      <w:r w:rsidR="00DF590E">
        <w:t>, ettsz@nnk.gov.hu</w:t>
      </w:r>
      <w:r>
        <w:t>), és irányítsa a beteget a legközelebbi sürgősségi orvosi központba kezelés céljából. Ennek még a túladagolás tünetei vagy jelei nélküli betegek esetében is meg kell történnie a késleltetett májkárosodás kockázata miatt.</w:t>
      </w:r>
    </w:p>
    <w:p w14:paraId="6055EE18" w14:textId="16F01494" w:rsidR="001704A4" w:rsidRDefault="001704A4" w:rsidP="001704A4">
      <w:pPr>
        <w:tabs>
          <w:tab w:val="clear" w:pos="567"/>
        </w:tabs>
        <w:spacing w:line="240" w:lineRule="auto"/>
      </w:pPr>
      <w:r>
        <w:t xml:space="preserve">Amennyiben nem áll rendelkezésre </w:t>
      </w:r>
      <w:r w:rsidR="00DF590E">
        <w:t>toxikológiai</w:t>
      </w:r>
      <w:r>
        <w:t xml:space="preserve"> központ, a beteget a legközelebbi sürgősségi orvosi </w:t>
      </w:r>
      <w:r w:rsidR="00DF590E">
        <w:t>osztályra</w:t>
      </w:r>
      <w:r>
        <w:t xml:space="preserve"> kell irányítani.</w:t>
      </w:r>
    </w:p>
    <w:p w14:paraId="443B09E3" w14:textId="77777777" w:rsidR="009E6253" w:rsidRDefault="009E6253">
      <w:pPr>
        <w:spacing w:line="240" w:lineRule="auto"/>
      </w:pPr>
    </w:p>
    <w:p w14:paraId="27F72C7C" w14:textId="77777777" w:rsidR="009E6253" w:rsidRPr="00B4670B" w:rsidRDefault="009E6253">
      <w:pPr>
        <w:tabs>
          <w:tab w:val="clear" w:pos="567"/>
        </w:tabs>
        <w:spacing w:line="240" w:lineRule="auto"/>
        <w:rPr>
          <w:noProof/>
          <w:szCs w:val="22"/>
          <w:u w:val="single"/>
        </w:rPr>
      </w:pPr>
      <w:r>
        <w:rPr>
          <w:szCs w:val="22"/>
          <w:u w:val="single"/>
        </w:rPr>
        <w:t>Paracetamol</w:t>
      </w:r>
    </w:p>
    <w:p w14:paraId="50725921" w14:textId="77777777" w:rsidR="009E6253" w:rsidRDefault="009E6253">
      <w:pPr>
        <w:tabs>
          <w:tab w:val="clear" w:pos="567"/>
        </w:tabs>
        <w:spacing w:line="240" w:lineRule="auto"/>
        <w:rPr>
          <w:noProof/>
          <w:szCs w:val="22"/>
        </w:rPr>
      </w:pPr>
      <w:bookmarkStart w:id="38" w:name="_Hlk21523389"/>
      <w:r>
        <w:t>A betegek egyidejűleg semmilyen más paracetamol-tartalmú készítményt NEM kaphatnak a túladagolás esetén fellépő súlyos májkárosodás kockázata miatt.</w:t>
      </w:r>
    </w:p>
    <w:bookmarkEnd w:id="38"/>
    <w:p w14:paraId="4DD216C9" w14:textId="77777777" w:rsidR="009E6253" w:rsidRDefault="009E6253">
      <w:pPr>
        <w:tabs>
          <w:tab w:val="clear" w:pos="567"/>
        </w:tabs>
        <w:spacing w:line="240" w:lineRule="auto"/>
        <w:rPr>
          <w:noProof/>
          <w:szCs w:val="22"/>
        </w:rPr>
      </w:pPr>
    </w:p>
    <w:p w14:paraId="0FC10805" w14:textId="2D01E574" w:rsidR="009E6253" w:rsidRPr="00B4670B" w:rsidRDefault="009E6253">
      <w:pPr>
        <w:tabs>
          <w:tab w:val="clear" w:pos="567"/>
        </w:tabs>
        <w:spacing w:line="240" w:lineRule="auto"/>
        <w:rPr>
          <w:noProof/>
          <w:szCs w:val="22"/>
        </w:rPr>
      </w:pPr>
      <w:r>
        <w:t>Tünetek és jelek</w:t>
      </w:r>
    </w:p>
    <w:p w14:paraId="7B5D69FA" w14:textId="76E38F4C" w:rsidR="009E6253" w:rsidRPr="00B4670B" w:rsidRDefault="009E6253">
      <w:pPr>
        <w:tabs>
          <w:tab w:val="clear" w:pos="567"/>
        </w:tabs>
        <w:spacing w:line="240" w:lineRule="auto"/>
        <w:rPr>
          <w:noProof/>
          <w:szCs w:val="22"/>
        </w:rPr>
      </w:pPr>
      <w:r>
        <w:t xml:space="preserve">A paracetamol túladagolásának tünetei az első 24 órában a sápadtság, a hányinger, a hányás és az étvágytalanság. A paracetamol túladagolását követő tapasztalatok azt mutatják, hogy a májkárosodás klinikai tünetei általában 24-48 óra elteltével jelentkeznek, és 4-6 nap után tetőznek. A hasi fájdalom lehet a májkárosodás első jele, amely 24–48 óráig általában nem szembetűnő, és a készítmény bevétele után akár 4–6 nap késéssel is jelentkezhet. A májkárosodás általában 72–96 órával a bevétel után éri el a maximumát. A glükózanyagcsere rendellenességei és metabolikus acidózis is előfordulhat. Súlyos mérgezés esetén a májelégtelenség enkefalopátiához, vérzéshez, hipoglikémiához, agyi ödémához és halálhoz vezethet. </w:t>
      </w:r>
    </w:p>
    <w:p w14:paraId="49B78492" w14:textId="77777777" w:rsidR="009E6253" w:rsidRDefault="009E6253">
      <w:pPr>
        <w:tabs>
          <w:tab w:val="clear" w:pos="567"/>
        </w:tabs>
        <w:spacing w:line="240" w:lineRule="auto"/>
        <w:rPr>
          <w:noProof/>
          <w:szCs w:val="22"/>
        </w:rPr>
      </w:pPr>
      <w:r>
        <w:t>A paracetamol javasolt adag feletti alkalmazása súlyos májkárosodást okozhat, ami májátültetést tehet szükségessé, vagy halálos kimenetelű lehet. Akut hasnyálmirigy-gyulladást figyeltek meg, általában májműködési zavarral és májtoxicitással.</w:t>
      </w:r>
    </w:p>
    <w:p w14:paraId="2065AC7C" w14:textId="77777777" w:rsidR="009E6253" w:rsidRDefault="009E6253">
      <w:pPr>
        <w:tabs>
          <w:tab w:val="clear" w:pos="567"/>
        </w:tabs>
        <w:spacing w:line="240" w:lineRule="auto"/>
        <w:rPr>
          <w:noProof/>
          <w:szCs w:val="22"/>
        </w:rPr>
      </w:pPr>
    </w:p>
    <w:p w14:paraId="7796C38C" w14:textId="77777777" w:rsidR="009E6253" w:rsidRDefault="009E6253">
      <w:pPr>
        <w:tabs>
          <w:tab w:val="clear" w:pos="567"/>
        </w:tabs>
        <w:spacing w:line="240" w:lineRule="auto"/>
        <w:rPr>
          <w:noProof/>
          <w:szCs w:val="22"/>
        </w:rPr>
      </w:pPr>
      <w:r>
        <w:t>Kezelés</w:t>
      </w:r>
    </w:p>
    <w:p w14:paraId="6DD8BC08" w14:textId="77777777" w:rsidR="009E6253" w:rsidRDefault="009E6253">
      <w:pPr>
        <w:tabs>
          <w:tab w:val="clear" w:pos="567"/>
        </w:tabs>
        <w:spacing w:line="240" w:lineRule="auto"/>
        <w:rPr>
          <w:noProof/>
          <w:szCs w:val="22"/>
        </w:rPr>
      </w:pPr>
      <w:r>
        <w:t>Túladagolás esetén azonnali orvosi kezelés szükséges, még akkor is, ha a túladagolás tünetei nem jelentkeznek. N-acetil-cisztein vagy metionin beadása lehet szükséges.</w:t>
      </w:r>
    </w:p>
    <w:p w14:paraId="2EB26795" w14:textId="77777777" w:rsidR="009E6253" w:rsidRDefault="009E6253">
      <w:pPr>
        <w:tabs>
          <w:tab w:val="clear" w:pos="567"/>
        </w:tabs>
        <w:spacing w:line="240" w:lineRule="auto"/>
        <w:rPr>
          <w:noProof/>
          <w:szCs w:val="22"/>
        </w:rPr>
      </w:pPr>
    </w:p>
    <w:p w14:paraId="0D3C8F88" w14:textId="77777777" w:rsidR="009E6253" w:rsidRDefault="009E6253">
      <w:pPr>
        <w:keepNext/>
        <w:tabs>
          <w:tab w:val="clear" w:pos="567"/>
        </w:tabs>
        <w:spacing w:line="240" w:lineRule="auto"/>
        <w:rPr>
          <w:szCs w:val="22"/>
          <w:u w:val="single"/>
        </w:rPr>
      </w:pPr>
      <w:r>
        <w:rPr>
          <w:szCs w:val="22"/>
          <w:u w:val="single"/>
        </w:rPr>
        <w:t>Fenilefrin</w:t>
      </w:r>
    </w:p>
    <w:p w14:paraId="4C3D06E3" w14:textId="77777777" w:rsidR="00B533C1" w:rsidRPr="00B4670B" w:rsidRDefault="00B533C1">
      <w:pPr>
        <w:keepNext/>
        <w:tabs>
          <w:tab w:val="clear" w:pos="567"/>
        </w:tabs>
        <w:spacing w:line="240" w:lineRule="auto"/>
        <w:rPr>
          <w:noProof/>
          <w:szCs w:val="22"/>
          <w:u w:val="single"/>
        </w:rPr>
      </w:pPr>
    </w:p>
    <w:p w14:paraId="675B040F" w14:textId="09B833FE" w:rsidR="009E6253" w:rsidRPr="00B4670B" w:rsidRDefault="009E6253">
      <w:pPr>
        <w:keepNext/>
        <w:tabs>
          <w:tab w:val="clear" w:pos="567"/>
        </w:tabs>
        <w:spacing w:line="240" w:lineRule="auto"/>
        <w:rPr>
          <w:noProof/>
          <w:szCs w:val="22"/>
        </w:rPr>
      </w:pPr>
      <w:r>
        <w:t>Tünetek és jelek</w:t>
      </w:r>
    </w:p>
    <w:p w14:paraId="29B7A15F" w14:textId="568466D7" w:rsidR="009E6253" w:rsidRPr="00B4670B" w:rsidRDefault="009E6253">
      <w:pPr>
        <w:keepNext/>
        <w:tabs>
          <w:tab w:val="clear" w:pos="567"/>
        </w:tabs>
        <w:spacing w:line="240" w:lineRule="auto"/>
        <w:rPr>
          <w:noProof/>
          <w:szCs w:val="22"/>
        </w:rPr>
      </w:pPr>
      <w:r>
        <w:t>A fenilefrin túladagolása valószínűleg a mellékhatásoknál felsoroltakhoz hasonló hatásokat eredményez. További tünetek lehetnek az ingerlékenység, nyugtalanság, magas vérnyomás és esetleg lassú szívverés. Súlyos esetekben zavartság, hallucinációk, görcsrohamok és ritmuszavarok léphetnek fel. A súlyos fenilefrin-toxicitáshoz szükséges mennyiség azonban nagyobb lenne, mint a paracetamollal összefüggő májtoxicitáshoz szükséges mennyiség.</w:t>
      </w:r>
    </w:p>
    <w:p w14:paraId="04B67EE6" w14:textId="77777777" w:rsidR="009E6253" w:rsidRDefault="009E6253">
      <w:pPr>
        <w:tabs>
          <w:tab w:val="clear" w:pos="567"/>
        </w:tabs>
        <w:spacing w:line="240" w:lineRule="auto"/>
        <w:rPr>
          <w:noProof/>
          <w:szCs w:val="22"/>
        </w:rPr>
      </w:pPr>
    </w:p>
    <w:p w14:paraId="682EF8AC" w14:textId="77777777" w:rsidR="009E6253" w:rsidRPr="00B4670B" w:rsidRDefault="009E6253">
      <w:pPr>
        <w:tabs>
          <w:tab w:val="clear" w:pos="567"/>
        </w:tabs>
        <w:spacing w:line="240" w:lineRule="auto"/>
        <w:rPr>
          <w:noProof/>
          <w:szCs w:val="22"/>
        </w:rPr>
      </w:pPr>
      <w:r>
        <w:t>Kezelés</w:t>
      </w:r>
    </w:p>
    <w:p w14:paraId="6D06C462" w14:textId="77777777" w:rsidR="009E6253" w:rsidRDefault="009E6253">
      <w:pPr>
        <w:tabs>
          <w:tab w:val="clear" w:pos="567"/>
        </w:tabs>
        <w:spacing w:line="240" w:lineRule="auto"/>
        <w:rPr>
          <w:noProof/>
          <w:szCs w:val="22"/>
        </w:rPr>
      </w:pPr>
      <w:r>
        <w:t>A kezelésnek klinikailag megfelelőnek kell lennie. Súlyos magasvérnyomást alfa-blokkoló gyógyszerrel, például fentolaminnal kell kezelni.</w:t>
      </w:r>
    </w:p>
    <w:p w14:paraId="37A8E501" w14:textId="77777777" w:rsidR="009E6253" w:rsidRPr="00B4670B" w:rsidRDefault="009E6253">
      <w:pPr>
        <w:tabs>
          <w:tab w:val="clear" w:pos="567"/>
        </w:tabs>
        <w:spacing w:line="240" w:lineRule="auto"/>
        <w:rPr>
          <w:noProof/>
          <w:szCs w:val="22"/>
        </w:rPr>
      </w:pPr>
    </w:p>
    <w:p w14:paraId="65662583" w14:textId="77777777" w:rsidR="009E6253" w:rsidRDefault="009E6253">
      <w:pPr>
        <w:keepNext/>
        <w:tabs>
          <w:tab w:val="clear" w:pos="567"/>
        </w:tabs>
        <w:spacing w:line="240" w:lineRule="auto"/>
        <w:rPr>
          <w:szCs w:val="22"/>
          <w:u w:val="single"/>
        </w:rPr>
      </w:pPr>
      <w:r>
        <w:rPr>
          <w:szCs w:val="22"/>
          <w:u w:val="single"/>
        </w:rPr>
        <w:t>Aszkorbinsav</w:t>
      </w:r>
    </w:p>
    <w:p w14:paraId="4DB1ABEC" w14:textId="77777777" w:rsidR="00B533C1" w:rsidRPr="00B4670B" w:rsidRDefault="00B533C1">
      <w:pPr>
        <w:keepNext/>
        <w:tabs>
          <w:tab w:val="clear" w:pos="567"/>
        </w:tabs>
        <w:spacing w:line="240" w:lineRule="auto"/>
        <w:rPr>
          <w:noProof/>
          <w:szCs w:val="22"/>
          <w:u w:val="single"/>
        </w:rPr>
      </w:pPr>
    </w:p>
    <w:p w14:paraId="1AB9FDBD" w14:textId="731AB80F" w:rsidR="009E6253" w:rsidRPr="00B4670B" w:rsidRDefault="009E6253">
      <w:pPr>
        <w:keepNext/>
        <w:tabs>
          <w:tab w:val="clear" w:pos="567"/>
        </w:tabs>
        <w:spacing w:line="240" w:lineRule="auto"/>
        <w:rPr>
          <w:noProof/>
          <w:szCs w:val="22"/>
        </w:rPr>
      </w:pPr>
      <w:r>
        <w:t>Tünetek és jelek</w:t>
      </w:r>
    </w:p>
    <w:p w14:paraId="6C480BC2" w14:textId="75B6F0CA" w:rsidR="009E6253" w:rsidRPr="00B4670B" w:rsidRDefault="009E6253">
      <w:pPr>
        <w:keepNext/>
        <w:tabs>
          <w:tab w:val="clear" w:pos="567"/>
        </w:tabs>
        <w:spacing w:line="240" w:lineRule="auto"/>
        <w:rPr>
          <w:noProof/>
          <w:szCs w:val="22"/>
        </w:rPr>
      </w:pPr>
      <w:r>
        <w:t>Az aszkorbinsav nagy dózisai (&gt;3000 mg) átmeneti ozmotikus hasmenést és gyomor-bél</w:t>
      </w:r>
      <w:r w:rsidR="003C1F47">
        <w:t xml:space="preserve"> </w:t>
      </w:r>
      <w:r>
        <w:t>rendszeri hatásokat, például hányingert és hasi diszkomfortérzést okozhatnak. Az aszkorbinsav túladagolásának hatásait a paracetamol túladagolás okozta súlyos májtoxicitás háttérbe szorítaná.</w:t>
      </w:r>
    </w:p>
    <w:p w14:paraId="22F7F1FC" w14:textId="4E153F94" w:rsidR="009E6253" w:rsidRDefault="009E6253">
      <w:pPr>
        <w:spacing w:line="240" w:lineRule="auto"/>
      </w:pPr>
    </w:p>
    <w:p w14:paraId="31B54B79" w14:textId="77777777" w:rsidR="000F7638" w:rsidRDefault="000F7638">
      <w:pPr>
        <w:spacing w:line="240" w:lineRule="auto"/>
      </w:pPr>
    </w:p>
    <w:p w14:paraId="1D0B2897" w14:textId="77777777" w:rsidR="009E6253" w:rsidRDefault="009E6253">
      <w:pPr>
        <w:spacing w:line="240" w:lineRule="auto"/>
        <w:ind w:left="567" w:hanging="567"/>
        <w:outlineLvl w:val="0"/>
      </w:pPr>
      <w:r>
        <w:rPr>
          <w:b/>
        </w:rPr>
        <w:t>5.</w:t>
      </w:r>
      <w:r>
        <w:rPr>
          <w:b/>
        </w:rPr>
        <w:tab/>
      </w:r>
      <w:bookmarkStart w:id="39" w:name="_Hlk22204373"/>
      <w:r>
        <w:rPr>
          <w:b/>
        </w:rPr>
        <w:t>FARMAKOLÓGIAI TULAJDONSÁGOK</w:t>
      </w:r>
      <w:bookmarkEnd w:id="39"/>
    </w:p>
    <w:p w14:paraId="5020ECBD" w14:textId="77777777" w:rsidR="009E6253" w:rsidRDefault="009E6253">
      <w:pPr>
        <w:spacing w:line="240" w:lineRule="auto"/>
        <w:rPr>
          <w:b/>
        </w:rPr>
      </w:pPr>
    </w:p>
    <w:p w14:paraId="1A26FE3B" w14:textId="5B6F2776" w:rsidR="009E6253" w:rsidRDefault="009E6253">
      <w:pPr>
        <w:spacing w:line="240" w:lineRule="auto"/>
        <w:ind w:left="567" w:hanging="567"/>
        <w:outlineLvl w:val="0"/>
      </w:pPr>
      <w:r>
        <w:rPr>
          <w:b/>
        </w:rPr>
        <w:t xml:space="preserve">5.1 </w:t>
      </w:r>
      <w:r>
        <w:tab/>
      </w:r>
      <w:r>
        <w:rPr>
          <w:b/>
        </w:rPr>
        <w:t>Farmakodinámiás tulajdonságok</w:t>
      </w:r>
    </w:p>
    <w:p w14:paraId="64F3E2AA" w14:textId="77777777" w:rsidR="009E6253" w:rsidRDefault="009E6253">
      <w:pPr>
        <w:spacing w:line="240" w:lineRule="auto"/>
      </w:pPr>
    </w:p>
    <w:p w14:paraId="7B4B8DAA" w14:textId="77777777" w:rsidR="009E6253" w:rsidRDefault="009E6253">
      <w:pPr>
        <w:spacing w:line="240" w:lineRule="auto"/>
      </w:pPr>
      <w:r>
        <w:t xml:space="preserve">Farmakoterápiás csoport: Egyéb fájdalom- és lázcsillapítók, paracetamol kombinációk, kivéve pszicholeptikumok. </w:t>
      </w:r>
    </w:p>
    <w:p w14:paraId="1C86A0E8" w14:textId="77777777" w:rsidR="009E6253" w:rsidRDefault="009E6253">
      <w:pPr>
        <w:spacing w:line="240" w:lineRule="auto"/>
        <w:rPr>
          <w:noProof/>
          <w:szCs w:val="22"/>
        </w:rPr>
      </w:pPr>
      <w:r>
        <w:t xml:space="preserve">ATC kód: </w:t>
      </w:r>
      <w:bookmarkStart w:id="40" w:name="_Hlk29548723"/>
      <w:r>
        <w:t xml:space="preserve">N02B E51 </w:t>
      </w:r>
    </w:p>
    <w:bookmarkEnd w:id="40"/>
    <w:p w14:paraId="73D7985B" w14:textId="77777777" w:rsidR="009E6253" w:rsidRDefault="009E6253">
      <w:pPr>
        <w:spacing w:line="240" w:lineRule="auto"/>
      </w:pPr>
    </w:p>
    <w:p w14:paraId="30FCBE1D" w14:textId="417B546B" w:rsidR="009E6253" w:rsidRDefault="009E6253">
      <w:pPr>
        <w:tabs>
          <w:tab w:val="clear" w:pos="567"/>
        </w:tabs>
        <w:autoSpaceDE w:val="0"/>
        <w:autoSpaceDN w:val="0"/>
        <w:adjustRightInd w:val="0"/>
        <w:spacing w:line="240" w:lineRule="auto"/>
        <w:rPr>
          <w:szCs w:val="22"/>
          <w:u w:val="single"/>
        </w:rPr>
      </w:pPr>
      <w:bookmarkStart w:id="41" w:name="_Hlk22283918"/>
      <w:r>
        <w:rPr>
          <w:szCs w:val="22"/>
          <w:u w:val="single"/>
        </w:rPr>
        <w:t>Hatás</w:t>
      </w:r>
      <w:r w:rsidR="00E87252">
        <w:rPr>
          <w:szCs w:val="22"/>
          <w:u w:val="single"/>
        </w:rPr>
        <w:t>mechanizmus</w:t>
      </w:r>
    </w:p>
    <w:p w14:paraId="6B163D78" w14:textId="33627672" w:rsidR="009E6253" w:rsidRPr="00B4670B" w:rsidRDefault="009E6253">
      <w:pPr>
        <w:tabs>
          <w:tab w:val="clear" w:pos="567"/>
        </w:tabs>
        <w:autoSpaceDE w:val="0"/>
        <w:autoSpaceDN w:val="0"/>
        <w:adjustRightInd w:val="0"/>
        <w:spacing w:line="240" w:lineRule="auto"/>
        <w:rPr>
          <w:szCs w:val="22"/>
        </w:rPr>
      </w:pPr>
      <w:r>
        <w:t>A paracetamol kettős hatású fájdalom-, és lázcsillapító. Az ismeretek szerint a hatásm</w:t>
      </w:r>
      <w:r w:rsidR="00E87252">
        <w:t>echanizmusa</w:t>
      </w:r>
      <w:r>
        <w:t xml:space="preserve"> magában foglalja a prosztaglandinok szintézisének gátlását, elsősorban a központi idegrendszerben.</w:t>
      </w:r>
    </w:p>
    <w:p w14:paraId="4F4103C1" w14:textId="77777777" w:rsidR="009E6253" w:rsidRDefault="009E6253">
      <w:pPr>
        <w:tabs>
          <w:tab w:val="clear" w:pos="567"/>
        </w:tabs>
        <w:autoSpaceDE w:val="0"/>
        <w:autoSpaceDN w:val="0"/>
        <w:adjustRightInd w:val="0"/>
        <w:spacing w:line="240" w:lineRule="auto"/>
        <w:rPr>
          <w:szCs w:val="22"/>
        </w:rPr>
      </w:pPr>
    </w:p>
    <w:p w14:paraId="0C39D0F8" w14:textId="77777777" w:rsidR="009E6253" w:rsidRPr="00B4670B" w:rsidRDefault="009E6253">
      <w:pPr>
        <w:tabs>
          <w:tab w:val="clear" w:pos="567"/>
        </w:tabs>
        <w:autoSpaceDE w:val="0"/>
        <w:autoSpaceDN w:val="0"/>
        <w:adjustRightInd w:val="0"/>
        <w:spacing w:line="240" w:lineRule="auto"/>
        <w:rPr>
          <w:szCs w:val="22"/>
        </w:rPr>
      </w:pPr>
      <w:r>
        <w:t xml:space="preserve">A fenilefrin-hidroklorid egy szimpatomimetikus szer, amely közvetlen hatását főleg adrenerg receptorokon fejti ki (elsősorban alfa-adrenerg folyamatok) így csökkentve az orrdugulást. </w:t>
      </w:r>
    </w:p>
    <w:p w14:paraId="21126302" w14:textId="77777777" w:rsidR="009E6253" w:rsidRDefault="009E6253">
      <w:pPr>
        <w:tabs>
          <w:tab w:val="clear" w:pos="567"/>
        </w:tabs>
        <w:autoSpaceDE w:val="0"/>
        <w:autoSpaceDN w:val="0"/>
        <w:adjustRightInd w:val="0"/>
        <w:spacing w:line="240" w:lineRule="auto"/>
        <w:rPr>
          <w:szCs w:val="22"/>
        </w:rPr>
      </w:pPr>
    </w:p>
    <w:p w14:paraId="596CFDF2" w14:textId="77777777" w:rsidR="009E6253" w:rsidRPr="00B4670B" w:rsidRDefault="009E6253">
      <w:pPr>
        <w:tabs>
          <w:tab w:val="clear" w:pos="567"/>
        </w:tabs>
        <w:autoSpaceDE w:val="0"/>
        <w:autoSpaceDN w:val="0"/>
        <w:adjustRightInd w:val="0"/>
        <w:spacing w:line="240" w:lineRule="auto"/>
        <w:rPr>
          <w:szCs w:val="22"/>
        </w:rPr>
      </w:pPr>
      <w:r>
        <w:t>Az aszkorbinsav egy elektrondonor (redukálószer vagy antioxidáns), és feltehetőleg minden biokémiai és molekuláris funkció ennek a működésnek tulajdonítható.</w:t>
      </w:r>
    </w:p>
    <w:bookmarkEnd w:id="41"/>
    <w:p w14:paraId="45570BEC" w14:textId="77777777" w:rsidR="009E6253" w:rsidRDefault="009E6253">
      <w:pPr>
        <w:tabs>
          <w:tab w:val="clear" w:pos="567"/>
        </w:tabs>
        <w:autoSpaceDE w:val="0"/>
        <w:autoSpaceDN w:val="0"/>
        <w:adjustRightInd w:val="0"/>
        <w:spacing w:line="240" w:lineRule="auto"/>
        <w:rPr>
          <w:szCs w:val="22"/>
          <w:u w:val="single"/>
        </w:rPr>
      </w:pPr>
    </w:p>
    <w:p w14:paraId="377142DD" w14:textId="77777777" w:rsidR="009E6253" w:rsidRDefault="009E6253">
      <w:pPr>
        <w:tabs>
          <w:tab w:val="clear" w:pos="567"/>
        </w:tabs>
        <w:autoSpaceDE w:val="0"/>
        <w:autoSpaceDN w:val="0"/>
        <w:adjustRightInd w:val="0"/>
        <w:spacing w:line="240" w:lineRule="auto"/>
        <w:rPr>
          <w:szCs w:val="22"/>
          <w:u w:val="single"/>
        </w:rPr>
      </w:pPr>
      <w:bookmarkStart w:id="42" w:name="_Hlk57011801"/>
      <w:r>
        <w:rPr>
          <w:szCs w:val="22"/>
          <w:u w:val="single"/>
        </w:rPr>
        <w:t>Farmakodinámiás hatások</w:t>
      </w:r>
    </w:p>
    <w:p w14:paraId="0F1EE1DE" w14:textId="77777777" w:rsidR="009E6253" w:rsidRPr="00B4670B" w:rsidRDefault="009E6253">
      <w:pPr>
        <w:tabs>
          <w:tab w:val="clear" w:pos="567"/>
        </w:tabs>
        <w:autoSpaceDE w:val="0"/>
        <w:autoSpaceDN w:val="0"/>
        <w:adjustRightInd w:val="0"/>
        <w:spacing w:line="240" w:lineRule="auto"/>
        <w:rPr>
          <w:szCs w:val="22"/>
        </w:rPr>
      </w:pPr>
      <w:r>
        <w:t>Paracetamol</w:t>
      </w:r>
    </w:p>
    <w:p w14:paraId="2ECBC35D" w14:textId="3E01A85B" w:rsidR="009E6253" w:rsidRPr="00B4670B" w:rsidRDefault="009E6253">
      <w:pPr>
        <w:tabs>
          <w:tab w:val="clear" w:pos="567"/>
        </w:tabs>
        <w:autoSpaceDE w:val="0"/>
        <w:autoSpaceDN w:val="0"/>
        <w:adjustRightInd w:val="0"/>
        <w:spacing w:line="240" w:lineRule="auto"/>
      </w:pPr>
      <w:r>
        <w:t xml:space="preserve">A perifériás prosztaglandin-gátlás hiánya olyan farmakológiai tulajdonságokat biztosít, mint a védő prosztaglandinok fenntartása a gyomor-bél traktuson belül. </w:t>
      </w:r>
    </w:p>
    <w:bookmarkEnd w:id="42"/>
    <w:p w14:paraId="5A1285B9" w14:textId="77777777" w:rsidR="009E6253" w:rsidRDefault="009E6253">
      <w:pPr>
        <w:tabs>
          <w:tab w:val="clear" w:pos="567"/>
        </w:tabs>
        <w:autoSpaceDE w:val="0"/>
        <w:autoSpaceDN w:val="0"/>
        <w:adjustRightInd w:val="0"/>
        <w:spacing w:line="240" w:lineRule="auto"/>
        <w:rPr>
          <w:szCs w:val="22"/>
        </w:rPr>
      </w:pPr>
    </w:p>
    <w:p w14:paraId="13A0FA3A" w14:textId="77777777" w:rsidR="009E6253" w:rsidRPr="00B4670B" w:rsidRDefault="009E6253">
      <w:pPr>
        <w:tabs>
          <w:tab w:val="clear" w:pos="567"/>
        </w:tabs>
        <w:autoSpaceDE w:val="0"/>
        <w:autoSpaceDN w:val="0"/>
        <w:adjustRightInd w:val="0"/>
        <w:spacing w:line="240" w:lineRule="auto"/>
        <w:rPr>
          <w:szCs w:val="22"/>
        </w:rPr>
      </w:pPr>
      <w:r>
        <w:t>Fenilefrin-hidroklorid</w:t>
      </w:r>
    </w:p>
    <w:p w14:paraId="21AC4BC1" w14:textId="77777777" w:rsidR="009E6253" w:rsidRPr="00B4670B" w:rsidRDefault="009E6253">
      <w:pPr>
        <w:tabs>
          <w:tab w:val="clear" w:pos="567"/>
        </w:tabs>
        <w:autoSpaceDE w:val="0"/>
        <w:autoSpaceDN w:val="0"/>
        <w:adjustRightInd w:val="0"/>
        <w:spacing w:line="240" w:lineRule="auto"/>
        <w:rPr>
          <w:szCs w:val="22"/>
        </w:rPr>
      </w:pPr>
      <w:r>
        <w:t>A fenilefrin-hidroklorid ismert orrdugulás enyhítő hatásáról is, az ödéma, és az orrnyálkahártya duzzanatát lelohasztó hatását a vérerek összehúzásával fejti ki.</w:t>
      </w:r>
    </w:p>
    <w:p w14:paraId="69E2E5EE" w14:textId="77777777" w:rsidR="009E6253" w:rsidRDefault="009E6253">
      <w:pPr>
        <w:tabs>
          <w:tab w:val="clear" w:pos="567"/>
        </w:tabs>
        <w:autoSpaceDE w:val="0"/>
        <w:autoSpaceDN w:val="0"/>
        <w:adjustRightInd w:val="0"/>
        <w:spacing w:line="240" w:lineRule="auto"/>
        <w:rPr>
          <w:szCs w:val="22"/>
        </w:rPr>
      </w:pPr>
    </w:p>
    <w:p w14:paraId="409BCBDB" w14:textId="77777777" w:rsidR="009E6253" w:rsidRPr="00B4670B" w:rsidRDefault="009E6253">
      <w:pPr>
        <w:keepNext/>
        <w:tabs>
          <w:tab w:val="clear" w:pos="567"/>
        </w:tabs>
        <w:autoSpaceDE w:val="0"/>
        <w:autoSpaceDN w:val="0"/>
        <w:adjustRightInd w:val="0"/>
        <w:spacing w:line="240" w:lineRule="auto"/>
        <w:rPr>
          <w:szCs w:val="22"/>
        </w:rPr>
      </w:pPr>
      <w:r>
        <w:t>Aszkorbinsav</w:t>
      </w:r>
    </w:p>
    <w:p w14:paraId="33E855B8" w14:textId="4D2E9102" w:rsidR="009E6253" w:rsidRDefault="009E6253">
      <w:pPr>
        <w:keepNext/>
        <w:spacing w:line="240" w:lineRule="auto"/>
      </w:pPr>
      <w:r>
        <w:t xml:space="preserve">Aszkorbinsav (C-vitamin) az emberi étrend elengedhetetlenül fontos része. Hozzájárul a C-vitamin étrenddel történő beviteléhez. Ez különösen fontos az akut vírusos fertőzések korai szakaszában, mint </w:t>
      </w:r>
      <w:r w:rsidR="00EC7617">
        <w:t xml:space="preserve">például </w:t>
      </w:r>
      <w:r>
        <w:t>a közönséges megfázás, mivel a C-vitamin</w:t>
      </w:r>
      <w:r w:rsidR="00E87252">
        <w:t>-</w:t>
      </w:r>
      <w:r>
        <w:t>tartalékok ilyenkor alacsonyan lehetnek, és étvágytalanság fordulhat elő.</w:t>
      </w:r>
    </w:p>
    <w:p w14:paraId="732D406B" w14:textId="77777777" w:rsidR="009E6253" w:rsidRDefault="009E6253">
      <w:pPr>
        <w:keepNext/>
        <w:spacing w:line="240" w:lineRule="auto"/>
        <w:ind w:left="567" w:hanging="567"/>
        <w:rPr>
          <w:b/>
        </w:rPr>
      </w:pPr>
    </w:p>
    <w:p w14:paraId="2A0D3B23" w14:textId="1C83B15E" w:rsidR="009E6253" w:rsidRDefault="009E6253">
      <w:pPr>
        <w:keepNext/>
        <w:spacing w:line="240" w:lineRule="auto"/>
        <w:ind w:left="567" w:hanging="567"/>
        <w:outlineLvl w:val="0"/>
        <w:rPr>
          <w:b/>
        </w:rPr>
      </w:pPr>
      <w:r>
        <w:rPr>
          <w:b/>
        </w:rPr>
        <w:t>5.2</w:t>
      </w:r>
      <w:r>
        <w:rPr>
          <w:b/>
        </w:rPr>
        <w:tab/>
        <w:t>Farmakokinetikai tulajdonságok</w:t>
      </w:r>
    </w:p>
    <w:p w14:paraId="58A287B4" w14:textId="77777777" w:rsidR="009E6253" w:rsidRDefault="009E6253">
      <w:pPr>
        <w:keepNext/>
        <w:spacing w:line="240" w:lineRule="auto"/>
        <w:ind w:left="567" w:hanging="567"/>
      </w:pPr>
    </w:p>
    <w:p w14:paraId="6E3CE3FF" w14:textId="77777777" w:rsidR="009E6253" w:rsidRPr="00375300" w:rsidRDefault="009E6253">
      <w:pPr>
        <w:keepNext/>
        <w:numPr>
          <w:ilvl w:val="12"/>
          <w:numId w:val="0"/>
        </w:numPr>
        <w:spacing w:line="240" w:lineRule="auto"/>
        <w:ind w:right="-2"/>
        <w:rPr>
          <w:b/>
          <w:iCs/>
          <w:noProof/>
          <w:szCs w:val="22"/>
        </w:rPr>
      </w:pPr>
      <w:r>
        <w:rPr>
          <w:b/>
          <w:iCs/>
          <w:szCs w:val="22"/>
        </w:rPr>
        <w:t>Paracetamol</w:t>
      </w:r>
    </w:p>
    <w:p w14:paraId="3103A526" w14:textId="77777777" w:rsidR="009E6253" w:rsidRPr="00375300" w:rsidRDefault="009E6253">
      <w:pPr>
        <w:keepNext/>
        <w:numPr>
          <w:ilvl w:val="12"/>
          <w:numId w:val="0"/>
        </w:numPr>
        <w:spacing w:line="240" w:lineRule="auto"/>
        <w:ind w:right="-2"/>
        <w:rPr>
          <w:iCs/>
          <w:noProof/>
          <w:szCs w:val="22"/>
          <w:u w:val="single"/>
        </w:rPr>
      </w:pPr>
      <w:r>
        <w:rPr>
          <w:iCs/>
          <w:szCs w:val="22"/>
          <w:u w:val="single"/>
        </w:rPr>
        <w:t>Felszívódás</w:t>
      </w:r>
    </w:p>
    <w:p w14:paraId="73E371DA" w14:textId="77777777" w:rsidR="009E6253" w:rsidRDefault="009E6253">
      <w:pPr>
        <w:keepNext/>
        <w:numPr>
          <w:ilvl w:val="12"/>
          <w:numId w:val="0"/>
        </w:numPr>
        <w:spacing w:line="240" w:lineRule="auto"/>
        <w:ind w:right="-2"/>
        <w:rPr>
          <w:iCs/>
          <w:noProof/>
          <w:szCs w:val="22"/>
          <w:u w:val="single"/>
        </w:rPr>
      </w:pPr>
      <w:r>
        <w:t>A paracetamol a szájon át történő adagolást követően gyorsan és szinte teljesen felszívódik a gyomor-bél traktusból, a plazma csúcskoncentrációjáig (C</w:t>
      </w:r>
      <w:r w:rsidRPr="00DF590E">
        <w:rPr>
          <w:vertAlign w:val="subscript"/>
        </w:rPr>
        <w:t>max</w:t>
      </w:r>
      <w:r>
        <w:t xml:space="preserve">) általában 10-60 perc telik el. </w:t>
      </w:r>
    </w:p>
    <w:p w14:paraId="7793AA3C" w14:textId="77777777" w:rsidR="009E6253" w:rsidRDefault="009E6253">
      <w:pPr>
        <w:numPr>
          <w:ilvl w:val="12"/>
          <w:numId w:val="0"/>
        </w:numPr>
        <w:spacing w:line="240" w:lineRule="auto"/>
        <w:ind w:right="-2"/>
        <w:rPr>
          <w:iCs/>
          <w:noProof/>
          <w:szCs w:val="22"/>
          <w:u w:val="single"/>
        </w:rPr>
      </w:pPr>
    </w:p>
    <w:p w14:paraId="76F6AB51" w14:textId="0333AB66" w:rsidR="009E6253" w:rsidRPr="00375300" w:rsidRDefault="004877F5">
      <w:pPr>
        <w:keepNext/>
        <w:numPr>
          <w:ilvl w:val="12"/>
          <w:numId w:val="0"/>
        </w:numPr>
        <w:spacing w:line="240" w:lineRule="auto"/>
        <w:rPr>
          <w:iCs/>
          <w:noProof/>
          <w:szCs w:val="22"/>
          <w:u w:val="single"/>
        </w:rPr>
      </w:pPr>
      <w:r>
        <w:rPr>
          <w:iCs/>
          <w:szCs w:val="22"/>
          <w:u w:val="single"/>
        </w:rPr>
        <w:t>Eloszlás</w:t>
      </w:r>
    </w:p>
    <w:p w14:paraId="70173570" w14:textId="77777777" w:rsidR="009E6253" w:rsidRPr="00375300" w:rsidRDefault="009E6253">
      <w:pPr>
        <w:keepNext/>
        <w:numPr>
          <w:ilvl w:val="12"/>
          <w:numId w:val="0"/>
        </w:numPr>
        <w:spacing w:line="240" w:lineRule="auto"/>
        <w:rPr>
          <w:iCs/>
          <w:noProof/>
          <w:szCs w:val="22"/>
        </w:rPr>
      </w:pPr>
      <w:r>
        <w:t>A paracetamol gyorsan és egyenletesen oszlik el a legtöbb szövetben és folyadékban, és eloszlási térfogata körülbelül 0,9 l/kg. A plazmafehérjékhez való kötődés terápiás koncentrációban minimális.</w:t>
      </w:r>
    </w:p>
    <w:p w14:paraId="456A02FF" w14:textId="77777777" w:rsidR="009E6253" w:rsidRDefault="009E6253">
      <w:pPr>
        <w:numPr>
          <w:ilvl w:val="12"/>
          <w:numId w:val="0"/>
        </w:numPr>
        <w:spacing w:line="240" w:lineRule="auto"/>
        <w:ind w:right="-2"/>
        <w:rPr>
          <w:iCs/>
          <w:noProof/>
          <w:szCs w:val="22"/>
        </w:rPr>
      </w:pPr>
    </w:p>
    <w:p w14:paraId="0F01CD7A" w14:textId="77777777" w:rsidR="009E6253" w:rsidRPr="00375300" w:rsidRDefault="009E6253">
      <w:pPr>
        <w:keepNext/>
        <w:numPr>
          <w:ilvl w:val="12"/>
          <w:numId w:val="0"/>
        </w:numPr>
        <w:spacing w:line="240" w:lineRule="auto"/>
        <w:rPr>
          <w:iCs/>
          <w:noProof/>
          <w:szCs w:val="22"/>
          <w:u w:val="single"/>
        </w:rPr>
      </w:pPr>
      <w:r>
        <w:rPr>
          <w:iCs/>
          <w:szCs w:val="22"/>
          <w:u w:val="single"/>
        </w:rPr>
        <w:t>Biotranszformáció</w:t>
      </w:r>
    </w:p>
    <w:p w14:paraId="533476D1" w14:textId="70431562" w:rsidR="009E6253" w:rsidRPr="00375300" w:rsidRDefault="009E6253">
      <w:pPr>
        <w:keepNext/>
        <w:numPr>
          <w:ilvl w:val="12"/>
          <w:numId w:val="0"/>
        </w:numPr>
        <w:spacing w:line="240" w:lineRule="auto"/>
        <w:rPr>
          <w:iCs/>
          <w:noProof/>
          <w:szCs w:val="22"/>
        </w:rPr>
      </w:pPr>
      <w:r>
        <w:t xml:space="preserve">A paracetamol a májban metabolizálódik, és a vizelettel választódik ki elsősorban glükuronid- és szulfátkonjugátumok formájában. </w:t>
      </w:r>
    </w:p>
    <w:p w14:paraId="1EBF244B" w14:textId="77777777" w:rsidR="009E6253" w:rsidRDefault="009E6253">
      <w:pPr>
        <w:numPr>
          <w:ilvl w:val="12"/>
          <w:numId w:val="0"/>
        </w:numPr>
        <w:spacing w:line="240" w:lineRule="auto"/>
        <w:ind w:right="-2"/>
        <w:rPr>
          <w:iCs/>
          <w:noProof/>
          <w:szCs w:val="22"/>
        </w:rPr>
      </w:pPr>
    </w:p>
    <w:p w14:paraId="25E00818" w14:textId="77777777" w:rsidR="009E6253" w:rsidRPr="00375300" w:rsidRDefault="009E6253">
      <w:pPr>
        <w:numPr>
          <w:ilvl w:val="12"/>
          <w:numId w:val="0"/>
        </w:numPr>
        <w:spacing w:line="240" w:lineRule="auto"/>
        <w:ind w:right="-2"/>
        <w:rPr>
          <w:iCs/>
          <w:noProof/>
          <w:szCs w:val="22"/>
          <w:u w:val="single"/>
        </w:rPr>
      </w:pPr>
      <w:r>
        <w:rPr>
          <w:iCs/>
          <w:szCs w:val="22"/>
          <w:u w:val="single"/>
        </w:rPr>
        <w:t>Elimináció</w:t>
      </w:r>
    </w:p>
    <w:p w14:paraId="62CD57CE" w14:textId="2DE7385C" w:rsidR="005524B9" w:rsidRDefault="009E6253">
      <w:pPr>
        <w:numPr>
          <w:ilvl w:val="12"/>
          <w:numId w:val="0"/>
        </w:numPr>
        <w:spacing w:line="240" w:lineRule="auto"/>
        <w:ind w:right="-2"/>
        <w:rPr>
          <w:iCs/>
          <w:noProof/>
          <w:szCs w:val="22"/>
        </w:rPr>
      </w:pPr>
      <w:r>
        <w:t>Nem módosított paracetamol formájában kevesebb mint 5% választódik ki. A plazma paracetamol átlagos felezési ideje egy terápiás adag után körülbelül 1-3 óra.</w:t>
      </w:r>
      <w:bookmarkStart w:id="43" w:name="_Hlk74239543"/>
    </w:p>
    <w:bookmarkEnd w:id="43"/>
    <w:p w14:paraId="7B9C7434" w14:textId="77777777" w:rsidR="009E6253" w:rsidRDefault="009E6253">
      <w:pPr>
        <w:spacing w:line="240" w:lineRule="auto"/>
        <w:rPr>
          <w:iCs/>
          <w:noProof/>
          <w:szCs w:val="22"/>
          <w:u w:val="single"/>
        </w:rPr>
      </w:pPr>
    </w:p>
    <w:p w14:paraId="3C22F457" w14:textId="77777777" w:rsidR="009E6253" w:rsidRPr="00375300" w:rsidRDefault="009E6253">
      <w:pPr>
        <w:spacing w:line="240" w:lineRule="auto"/>
        <w:rPr>
          <w:b/>
          <w:iCs/>
          <w:noProof/>
          <w:szCs w:val="22"/>
        </w:rPr>
      </w:pPr>
      <w:r>
        <w:rPr>
          <w:b/>
          <w:iCs/>
          <w:szCs w:val="22"/>
        </w:rPr>
        <w:t>Fenilefrin-hidroklorid</w:t>
      </w:r>
    </w:p>
    <w:p w14:paraId="2404746A" w14:textId="77777777" w:rsidR="009E6253" w:rsidRPr="00375300" w:rsidRDefault="009E6253">
      <w:pPr>
        <w:spacing w:line="240" w:lineRule="auto"/>
        <w:rPr>
          <w:iCs/>
          <w:noProof/>
          <w:szCs w:val="22"/>
          <w:u w:val="single"/>
        </w:rPr>
      </w:pPr>
      <w:r>
        <w:rPr>
          <w:iCs/>
          <w:szCs w:val="22"/>
          <w:u w:val="single"/>
        </w:rPr>
        <w:t>Felszívódás</w:t>
      </w:r>
    </w:p>
    <w:p w14:paraId="59F2D2EF" w14:textId="7B1AACCB" w:rsidR="009E6253" w:rsidRPr="00375300" w:rsidRDefault="009E6253">
      <w:pPr>
        <w:spacing w:line="240" w:lineRule="auto"/>
        <w:rPr>
          <w:iCs/>
          <w:noProof/>
          <w:szCs w:val="22"/>
        </w:rPr>
      </w:pPr>
      <w:r>
        <w:t>A fenilefrin-hidroklorid szabálytalanul szívódik fel a gyomor-bélrendszerből, a C</w:t>
      </w:r>
      <w:r w:rsidRPr="00DF590E">
        <w:rPr>
          <w:vertAlign w:val="subscript"/>
        </w:rPr>
        <w:t>max</w:t>
      </w:r>
      <w:r>
        <w:t xml:space="preserve"> körülbelül 45</w:t>
      </w:r>
      <w:r w:rsidR="004877F5">
        <w:t> </w:t>
      </w:r>
      <w:r>
        <w:t>perc és 2 óra között jelentkezik. A 10, 20 és 30 mg fenilefrin egyszeri szájon át</w:t>
      </w:r>
      <w:r w:rsidR="00232CFF">
        <w:t xml:space="preserve"> </w:t>
      </w:r>
      <w:r>
        <w:t>alkalmazott adagját követően a maximális és a teljes szisztémás expozíció aránytalanul nő, a C</w:t>
      </w:r>
      <w:r w:rsidRPr="00DF590E">
        <w:rPr>
          <w:vertAlign w:val="subscript"/>
        </w:rPr>
        <w:t>max</w:t>
      </w:r>
      <w:r>
        <w:t xml:space="preserve"> 1,35, 2,96 és 4,49</w:t>
      </w:r>
      <w:r w:rsidR="004877F5">
        <w:t> </w:t>
      </w:r>
      <w:r>
        <w:t>ng/ml.</w:t>
      </w:r>
    </w:p>
    <w:p w14:paraId="5392FF27" w14:textId="77777777" w:rsidR="009E6253" w:rsidRDefault="009E6253">
      <w:pPr>
        <w:spacing w:line="240" w:lineRule="auto"/>
        <w:rPr>
          <w:iCs/>
          <w:noProof/>
          <w:szCs w:val="22"/>
        </w:rPr>
      </w:pPr>
    </w:p>
    <w:p w14:paraId="49535D53" w14:textId="77777777" w:rsidR="009E6253" w:rsidRPr="00375300" w:rsidRDefault="009E6253">
      <w:pPr>
        <w:spacing w:line="240" w:lineRule="auto"/>
        <w:rPr>
          <w:iCs/>
          <w:noProof/>
          <w:szCs w:val="22"/>
          <w:u w:val="single"/>
        </w:rPr>
      </w:pPr>
      <w:r>
        <w:rPr>
          <w:iCs/>
          <w:szCs w:val="22"/>
          <w:u w:val="single"/>
        </w:rPr>
        <w:t>Eloszlás</w:t>
      </w:r>
    </w:p>
    <w:p w14:paraId="1E30110C" w14:textId="77777777" w:rsidR="009E6253" w:rsidRPr="00375300" w:rsidRDefault="009E6253">
      <w:pPr>
        <w:spacing w:line="240" w:lineRule="auto"/>
        <w:rPr>
          <w:iCs/>
          <w:noProof/>
          <w:szCs w:val="22"/>
        </w:rPr>
      </w:pPr>
      <w:r>
        <w:t>Nem állnak rendelkezésre ide vonatkozó adatok.</w:t>
      </w:r>
    </w:p>
    <w:p w14:paraId="350AAF4F" w14:textId="77777777" w:rsidR="009E6253" w:rsidRDefault="009E6253">
      <w:pPr>
        <w:spacing w:line="240" w:lineRule="auto"/>
        <w:rPr>
          <w:iCs/>
          <w:noProof/>
          <w:szCs w:val="22"/>
        </w:rPr>
      </w:pPr>
    </w:p>
    <w:p w14:paraId="75F43B25" w14:textId="77777777" w:rsidR="009E6253" w:rsidRPr="00375300" w:rsidRDefault="009E6253">
      <w:pPr>
        <w:numPr>
          <w:ilvl w:val="12"/>
          <w:numId w:val="0"/>
        </w:numPr>
        <w:spacing w:line="240" w:lineRule="auto"/>
        <w:ind w:right="-2"/>
        <w:rPr>
          <w:iCs/>
          <w:noProof/>
          <w:szCs w:val="22"/>
          <w:u w:val="single"/>
        </w:rPr>
      </w:pPr>
      <w:r>
        <w:rPr>
          <w:iCs/>
          <w:szCs w:val="22"/>
          <w:u w:val="single"/>
        </w:rPr>
        <w:t>Biotranszformáció</w:t>
      </w:r>
    </w:p>
    <w:p w14:paraId="358DE54A" w14:textId="4963EACC" w:rsidR="009E6253" w:rsidRDefault="00B129E6">
      <w:pPr>
        <w:spacing w:line="240" w:lineRule="auto"/>
        <w:rPr>
          <w:iCs/>
          <w:noProof/>
          <w:szCs w:val="22"/>
        </w:rPr>
      </w:pPr>
      <w:r>
        <w:t xml:space="preserve">A fenilefrin-hidroklorid a bélben és a májban a monoamino-oxidáz útján first-pass metabolizmuson megy keresztül; a szájon át beadott fenilefrin-hidroklorid biohasznosulása mindössze 38%-kal csökken. A fenilefrin-hidroklorid metabolizmusának fő útjai a szulfá konjugáció és a monoamin-oxidáz (MAO) általi oxidatív dezamináció. </w:t>
      </w:r>
    </w:p>
    <w:p w14:paraId="1FA222A0" w14:textId="77777777" w:rsidR="009E6253" w:rsidRDefault="009E6253">
      <w:pPr>
        <w:spacing w:line="240" w:lineRule="auto"/>
        <w:rPr>
          <w:iCs/>
          <w:noProof/>
          <w:szCs w:val="22"/>
          <w:u w:val="single"/>
        </w:rPr>
      </w:pPr>
    </w:p>
    <w:p w14:paraId="2A170654" w14:textId="77777777" w:rsidR="009E6253" w:rsidRPr="00375300" w:rsidRDefault="009E6253">
      <w:pPr>
        <w:spacing w:line="240" w:lineRule="auto"/>
        <w:rPr>
          <w:iCs/>
          <w:noProof/>
          <w:szCs w:val="22"/>
          <w:u w:val="single"/>
        </w:rPr>
      </w:pPr>
      <w:r>
        <w:rPr>
          <w:iCs/>
          <w:szCs w:val="22"/>
          <w:u w:val="single"/>
        </w:rPr>
        <w:t>Elimináció</w:t>
      </w:r>
    </w:p>
    <w:p w14:paraId="505A92D1" w14:textId="6347A961" w:rsidR="009E6253" w:rsidRPr="00375300" w:rsidRDefault="009E6253">
      <w:pPr>
        <w:spacing w:line="240" w:lineRule="auto"/>
        <w:rPr>
          <w:iCs/>
          <w:noProof/>
          <w:szCs w:val="22"/>
        </w:rPr>
      </w:pPr>
      <w:r>
        <w:t>A fenilefrin-hidroklorid szinte teljes egészében szulfátkonjugátum formájában ürül a vizelettel, és csak kis mennyiség választódik ki változatlan formában. A fenilefrin átlagos eliminációs felezési ideje (t</w:t>
      </w:r>
      <w:r>
        <w:rPr>
          <w:vertAlign w:val="subscript"/>
        </w:rPr>
        <w:t>1/2</w:t>
      </w:r>
      <w:r>
        <w:t xml:space="preserve">) szájon át </w:t>
      </w:r>
      <w:r w:rsidR="00232CFF">
        <w:t xml:space="preserve">történő </w:t>
      </w:r>
      <w:r>
        <w:t xml:space="preserve">alkalmazást követően körülbelül 2-3 óra. </w:t>
      </w:r>
    </w:p>
    <w:p w14:paraId="3DBF2EA6" w14:textId="77777777" w:rsidR="009E6253" w:rsidRPr="00375300" w:rsidRDefault="009E6253">
      <w:pPr>
        <w:spacing w:line="240" w:lineRule="auto"/>
        <w:rPr>
          <w:iCs/>
          <w:noProof/>
          <w:szCs w:val="22"/>
        </w:rPr>
      </w:pPr>
    </w:p>
    <w:p w14:paraId="6A6D5E29" w14:textId="77777777" w:rsidR="009E6253" w:rsidRPr="00375300" w:rsidRDefault="009E6253">
      <w:pPr>
        <w:keepNext/>
        <w:spacing w:line="240" w:lineRule="auto"/>
        <w:rPr>
          <w:b/>
          <w:iCs/>
          <w:noProof/>
          <w:szCs w:val="22"/>
        </w:rPr>
      </w:pPr>
      <w:r>
        <w:rPr>
          <w:b/>
          <w:iCs/>
          <w:szCs w:val="22"/>
        </w:rPr>
        <w:t>Aszkorbinsav</w:t>
      </w:r>
    </w:p>
    <w:p w14:paraId="00C22C28" w14:textId="77777777" w:rsidR="009E6253" w:rsidRPr="00375300" w:rsidRDefault="009E6253">
      <w:pPr>
        <w:keepNext/>
        <w:spacing w:line="240" w:lineRule="auto"/>
        <w:rPr>
          <w:iCs/>
          <w:noProof/>
          <w:szCs w:val="22"/>
          <w:u w:val="single"/>
        </w:rPr>
      </w:pPr>
      <w:r>
        <w:rPr>
          <w:iCs/>
          <w:szCs w:val="22"/>
          <w:u w:val="single"/>
        </w:rPr>
        <w:t>Felszívódás</w:t>
      </w:r>
    </w:p>
    <w:p w14:paraId="3424A52B" w14:textId="77777777" w:rsidR="009E6253" w:rsidRPr="00375300" w:rsidRDefault="009E6253">
      <w:pPr>
        <w:keepNext/>
        <w:spacing w:line="240" w:lineRule="auto"/>
        <w:rPr>
          <w:iCs/>
          <w:noProof/>
          <w:szCs w:val="22"/>
        </w:rPr>
      </w:pPr>
      <w:r>
        <w:t>Az aszkorbinsav az emésztőrendszerből gyorsan felszívódik. Az aszkorbinsav plazmakoncentrációja a bevitt adag növelésével emelkedik, amíg a napi 90-150 mg-os adagoknál el nem éri a platót.</w:t>
      </w:r>
    </w:p>
    <w:p w14:paraId="7CE123A8" w14:textId="77777777" w:rsidR="009E6253" w:rsidRDefault="009E6253">
      <w:pPr>
        <w:spacing w:line="240" w:lineRule="auto"/>
        <w:rPr>
          <w:iCs/>
          <w:noProof/>
          <w:szCs w:val="22"/>
        </w:rPr>
      </w:pPr>
    </w:p>
    <w:p w14:paraId="6421E2D8" w14:textId="4F39ECF1" w:rsidR="009E6253" w:rsidRPr="00375300" w:rsidRDefault="00232CFF">
      <w:pPr>
        <w:spacing w:line="240" w:lineRule="auto"/>
        <w:rPr>
          <w:iCs/>
          <w:noProof/>
          <w:szCs w:val="22"/>
          <w:u w:val="single"/>
        </w:rPr>
      </w:pPr>
      <w:r>
        <w:rPr>
          <w:iCs/>
          <w:szCs w:val="22"/>
          <w:u w:val="single"/>
        </w:rPr>
        <w:t>Eloszlás</w:t>
      </w:r>
    </w:p>
    <w:p w14:paraId="030875FA" w14:textId="77777777" w:rsidR="009E6253" w:rsidRPr="00375300" w:rsidRDefault="009E6253">
      <w:pPr>
        <w:spacing w:line="240" w:lineRule="auto"/>
        <w:rPr>
          <w:iCs/>
          <w:noProof/>
          <w:szCs w:val="22"/>
        </w:rPr>
      </w:pPr>
      <w:r>
        <w:t>Az aszkorbinsav a szervezetben nagymértékben szétterjed. Plazmafehérje kötődése 25%. Az egészséges szervezetben elraktározott aszkorbinsav mennyisége körülbelül 1,5 g-ot tesz ki, bár napi 200 mg feletti bevitel esetén ennél több is tárolódhat. A koncentráció magasabb a leukocitákban és a vérlemezkékben, mint az eritrocitákban és a plazmában. Hiányállapotokban a koncentráció a leukocitákban később és lassabban csökken, és ezt jobb indikátornak tekintik a hiányállapot értékelésére, mint a plazmában mért koncentrációt.</w:t>
      </w:r>
    </w:p>
    <w:p w14:paraId="76A2B4CF" w14:textId="77777777" w:rsidR="009E6253" w:rsidRDefault="009E6253">
      <w:pPr>
        <w:spacing w:line="240" w:lineRule="auto"/>
        <w:rPr>
          <w:iCs/>
          <w:noProof/>
          <w:szCs w:val="22"/>
        </w:rPr>
      </w:pPr>
    </w:p>
    <w:p w14:paraId="5AFF63DC" w14:textId="77777777" w:rsidR="009E6253" w:rsidRPr="00375300" w:rsidRDefault="009E6253">
      <w:pPr>
        <w:keepNext/>
        <w:numPr>
          <w:ilvl w:val="12"/>
          <w:numId w:val="0"/>
        </w:numPr>
        <w:spacing w:line="240" w:lineRule="auto"/>
        <w:ind w:right="-2"/>
        <w:rPr>
          <w:iCs/>
          <w:noProof/>
          <w:szCs w:val="22"/>
          <w:u w:val="single"/>
        </w:rPr>
      </w:pPr>
      <w:r>
        <w:rPr>
          <w:iCs/>
          <w:szCs w:val="22"/>
          <w:u w:val="single"/>
        </w:rPr>
        <w:t>Biotranszformáció</w:t>
      </w:r>
    </w:p>
    <w:p w14:paraId="12A6C6AA" w14:textId="77777777" w:rsidR="009E6253" w:rsidRDefault="009E6253">
      <w:pPr>
        <w:keepNext/>
        <w:spacing w:line="240" w:lineRule="auto"/>
        <w:rPr>
          <w:iCs/>
          <w:noProof/>
          <w:szCs w:val="22"/>
        </w:rPr>
      </w:pPr>
      <w:r>
        <w:t xml:space="preserve">Az aszkorbinsav reverzibilisen oxidálódik dehidroaszkorbinsavvá; egy része aszkorbát-2-szulfáttá, amely inaktív, és oxálsavvá metabolizálódik, amelyek a vizelettel ürülnek. </w:t>
      </w:r>
    </w:p>
    <w:p w14:paraId="23203623" w14:textId="77777777" w:rsidR="009E6253" w:rsidRDefault="009E6253">
      <w:pPr>
        <w:spacing w:line="240" w:lineRule="auto"/>
        <w:rPr>
          <w:iCs/>
          <w:noProof/>
          <w:szCs w:val="22"/>
          <w:u w:val="single"/>
        </w:rPr>
      </w:pPr>
    </w:p>
    <w:p w14:paraId="25C9900B" w14:textId="77777777" w:rsidR="009E6253" w:rsidRPr="00375300" w:rsidRDefault="009E6253">
      <w:pPr>
        <w:spacing w:line="240" w:lineRule="auto"/>
        <w:rPr>
          <w:iCs/>
          <w:noProof/>
          <w:szCs w:val="22"/>
          <w:u w:val="single"/>
        </w:rPr>
      </w:pPr>
      <w:r>
        <w:rPr>
          <w:iCs/>
          <w:szCs w:val="22"/>
          <w:u w:val="single"/>
        </w:rPr>
        <w:t>Elimináció</w:t>
      </w:r>
    </w:p>
    <w:p w14:paraId="40A7B9BB" w14:textId="7C43B94E" w:rsidR="009E6253" w:rsidRPr="00375300" w:rsidRDefault="009E6253">
      <w:pPr>
        <w:spacing w:line="240" w:lineRule="auto"/>
        <w:rPr>
          <w:iCs/>
          <w:noProof/>
          <w:szCs w:val="22"/>
        </w:rPr>
      </w:pPr>
      <w:r>
        <w:t>A szervezet által igényelt mennyiségen felüli aszkorbinsav</w:t>
      </w:r>
      <w:r w:rsidR="00232CFF">
        <w:t>-</w:t>
      </w:r>
      <w:r>
        <w:t>többlet az anyagcsere-folyamatok során a vizelettel távozik; ez általában napi 100 mg feletti bevitel esetén fordul elő.</w:t>
      </w:r>
    </w:p>
    <w:p w14:paraId="7D8D1C90" w14:textId="77777777" w:rsidR="009E6253" w:rsidRDefault="009E6253">
      <w:pPr>
        <w:spacing w:line="240" w:lineRule="auto"/>
        <w:rPr>
          <w:b/>
        </w:rPr>
      </w:pPr>
    </w:p>
    <w:p w14:paraId="298DB427" w14:textId="77777777" w:rsidR="009E6253" w:rsidRDefault="009E6253">
      <w:pPr>
        <w:spacing w:line="240" w:lineRule="auto"/>
        <w:ind w:left="567" w:hanging="567"/>
        <w:outlineLvl w:val="0"/>
      </w:pPr>
      <w:r>
        <w:rPr>
          <w:b/>
        </w:rPr>
        <w:t>5.3</w:t>
      </w:r>
      <w:r>
        <w:rPr>
          <w:b/>
        </w:rPr>
        <w:tab/>
        <w:t>A preklinikai biztonságossági vizsgálatok eredményei</w:t>
      </w:r>
    </w:p>
    <w:p w14:paraId="3C450F1D" w14:textId="77777777" w:rsidR="009E6253" w:rsidRDefault="009E6253">
      <w:pPr>
        <w:keepNext/>
        <w:spacing w:line="240" w:lineRule="auto"/>
      </w:pPr>
    </w:p>
    <w:p w14:paraId="4061A84C" w14:textId="77777777" w:rsidR="009E6253" w:rsidRDefault="009E6253">
      <w:pPr>
        <w:keepNext/>
        <w:spacing w:line="240" w:lineRule="auto"/>
      </w:pPr>
      <w:r>
        <w:t xml:space="preserve">A reprodukciót és a fejlődést érintő toxicitást értékelő, jelenleg elfogadott standardokat követő, hagyományos vizsgálatok nem állnak rendelkezésre paracetamolra vonatkozóan. </w:t>
      </w:r>
    </w:p>
    <w:p w14:paraId="7D824080" w14:textId="77777777" w:rsidR="009E6253" w:rsidRPr="00C3352D" w:rsidRDefault="009E6253">
      <w:pPr>
        <w:tabs>
          <w:tab w:val="clear" w:pos="567"/>
        </w:tabs>
        <w:autoSpaceDE w:val="0"/>
        <w:autoSpaceDN w:val="0"/>
        <w:adjustRightInd w:val="0"/>
        <w:spacing w:line="240" w:lineRule="auto"/>
      </w:pPr>
    </w:p>
    <w:p w14:paraId="08F166FD" w14:textId="77777777" w:rsidR="009E6253" w:rsidRPr="00C3352D" w:rsidRDefault="009E6253">
      <w:pPr>
        <w:tabs>
          <w:tab w:val="clear" w:pos="567"/>
        </w:tabs>
        <w:autoSpaceDE w:val="0"/>
        <w:autoSpaceDN w:val="0"/>
        <w:adjustRightInd w:val="0"/>
        <w:spacing w:line="240" w:lineRule="auto"/>
      </w:pPr>
      <w:r>
        <w:t>A fenilefrin lehetséges káros reprodukciós és fejlődési hatásairól korlátozott számú nem klinikai adat áll rendelkezésre. Vemhes nyulaknál 3 mg/nap (0,5 mg/kg/nap) fenilefrin szubkután adagolását követően (kb. 7,5-szer kevesebb, mint az emberi egyenértékű terápiás dózis) a vemhesség 22. napjától a szülésig a magzat korlátozott növekedéséről és koraszülésről számoltak be.</w:t>
      </w:r>
    </w:p>
    <w:p w14:paraId="5816C176" w14:textId="16397346" w:rsidR="009E6253" w:rsidRDefault="009E6253">
      <w:pPr>
        <w:spacing w:line="240" w:lineRule="auto"/>
        <w:rPr>
          <w:b/>
        </w:rPr>
      </w:pPr>
    </w:p>
    <w:p w14:paraId="3507FC67" w14:textId="77777777" w:rsidR="000F7638" w:rsidRDefault="000F7638">
      <w:pPr>
        <w:spacing w:line="240" w:lineRule="auto"/>
        <w:rPr>
          <w:b/>
        </w:rPr>
      </w:pPr>
    </w:p>
    <w:p w14:paraId="7C08C03A" w14:textId="77777777" w:rsidR="009E6253" w:rsidRDefault="009E6253">
      <w:pPr>
        <w:spacing w:line="240" w:lineRule="auto"/>
        <w:ind w:left="567" w:hanging="567"/>
        <w:outlineLvl w:val="0"/>
        <w:rPr>
          <w:b/>
        </w:rPr>
      </w:pPr>
      <w:r>
        <w:rPr>
          <w:b/>
        </w:rPr>
        <w:t>6.</w:t>
      </w:r>
      <w:r>
        <w:rPr>
          <w:b/>
        </w:rPr>
        <w:tab/>
        <w:t>GYÓGYSZERÉSZETI JELLEMZŐK</w:t>
      </w:r>
    </w:p>
    <w:p w14:paraId="76C374A4" w14:textId="77777777" w:rsidR="009E6253" w:rsidRDefault="009E6253">
      <w:pPr>
        <w:spacing w:line="240" w:lineRule="auto"/>
        <w:rPr>
          <w:b/>
        </w:rPr>
      </w:pPr>
    </w:p>
    <w:p w14:paraId="435EB648" w14:textId="77777777" w:rsidR="009E6253" w:rsidRDefault="009E6253">
      <w:pPr>
        <w:spacing w:line="240" w:lineRule="auto"/>
        <w:ind w:left="567" w:hanging="567"/>
        <w:outlineLvl w:val="0"/>
        <w:rPr>
          <w:b/>
        </w:rPr>
      </w:pPr>
      <w:r>
        <w:rPr>
          <w:b/>
        </w:rPr>
        <w:t>6.1</w:t>
      </w:r>
      <w:r>
        <w:rPr>
          <w:b/>
        </w:rPr>
        <w:tab/>
        <w:t>Segédanyagok felsorolása</w:t>
      </w:r>
    </w:p>
    <w:p w14:paraId="2383C7FE" w14:textId="77777777" w:rsidR="009E6253" w:rsidRDefault="009E6253">
      <w:pPr>
        <w:spacing w:line="240" w:lineRule="auto"/>
      </w:pPr>
    </w:p>
    <w:p w14:paraId="119C1AF7" w14:textId="77777777" w:rsidR="009E6253" w:rsidRPr="00AF3D12" w:rsidRDefault="009E6253">
      <w:pPr>
        <w:keepNext/>
        <w:spacing w:line="240" w:lineRule="auto"/>
      </w:pPr>
      <w:r>
        <w:t xml:space="preserve">Szacharóz </w:t>
      </w:r>
    </w:p>
    <w:p w14:paraId="2CC33858" w14:textId="77777777" w:rsidR="009E6253" w:rsidRPr="00AF3D12" w:rsidRDefault="009E6253">
      <w:pPr>
        <w:keepNext/>
        <w:spacing w:line="240" w:lineRule="auto"/>
      </w:pPr>
      <w:r>
        <w:t>Borkősav</w:t>
      </w:r>
    </w:p>
    <w:p w14:paraId="58554DCD" w14:textId="35C3E7D4" w:rsidR="009E6253" w:rsidRPr="00AF3D12" w:rsidRDefault="00FD483F">
      <w:pPr>
        <w:keepNext/>
        <w:spacing w:line="240" w:lineRule="auto"/>
      </w:pPr>
      <w:r>
        <w:t>Vízmentes n</w:t>
      </w:r>
      <w:r w:rsidR="009E6253">
        <w:t>átrium-citrát</w:t>
      </w:r>
    </w:p>
    <w:p w14:paraId="5B969666" w14:textId="508B3BE2" w:rsidR="009E6253" w:rsidRPr="00AF3D12" w:rsidRDefault="009E6253">
      <w:pPr>
        <w:keepNext/>
        <w:spacing w:line="240" w:lineRule="auto"/>
      </w:pPr>
      <w:r>
        <w:t>Aszpartám (E951)</w:t>
      </w:r>
    </w:p>
    <w:p w14:paraId="3B14BA98" w14:textId="016F25C1" w:rsidR="009E6253" w:rsidRPr="00140070" w:rsidRDefault="009E6253">
      <w:pPr>
        <w:keepNext/>
        <w:spacing w:line="240" w:lineRule="auto"/>
        <w:rPr>
          <w:vertAlign w:val="superscript"/>
        </w:rPr>
      </w:pPr>
      <w:r>
        <w:t>Erdei</w:t>
      </w:r>
      <w:r w:rsidR="0055043C">
        <w:t xml:space="preserve"> </w:t>
      </w:r>
      <w:r>
        <w:t>gyümölcs</w:t>
      </w:r>
      <w:r w:rsidR="00EC7617">
        <w:t xml:space="preserve"> aroma</w:t>
      </w:r>
      <w:r>
        <w:t>: 4-(p-hidroxifenil)</w:t>
      </w:r>
      <w:r w:rsidR="009E1EC8">
        <w:t>-</w:t>
      </w:r>
      <w:r>
        <w:t xml:space="preserve">2-butanon, ecetsav, vanillin, propionsav, </w:t>
      </w:r>
      <w:r w:rsidR="00EC7617">
        <w:t>L</w:t>
      </w:r>
      <w:r>
        <w:t xml:space="preserve">-mentol, </w:t>
      </w:r>
      <w:r w:rsidR="00EC7617">
        <w:t>D</w:t>
      </w:r>
      <w:r>
        <w:t>-limonén, menton, 4-karvomentol, csillagánizs illóolaj, bodzavirág</w:t>
      </w:r>
      <w:r w:rsidR="00EC7617">
        <w:t xml:space="preserve"> </w:t>
      </w:r>
      <w:r>
        <w:t xml:space="preserve">aroma, </w:t>
      </w:r>
      <w:r w:rsidR="00EC7617">
        <w:t xml:space="preserve">illatos ruta </w:t>
      </w:r>
      <w:r>
        <w:t xml:space="preserve">illóolaj, konyak olaj, szacharóz, maltodextrin, módosított keményítő </w:t>
      </w:r>
      <w:r w:rsidR="00232CFF">
        <w:t>(</w:t>
      </w:r>
      <w:r>
        <w:t>E1450</w:t>
      </w:r>
      <w:r w:rsidR="00232CFF">
        <w:t>)</w:t>
      </w:r>
      <w:r>
        <w:t xml:space="preserve">, napraforgóolaj és </w:t>
      </w:r>
      <w:r w:rsidR="009E1EC8">
        <w:t>k</w:t>
      </w:r>
      <w:r>
        <w:t>as</w:t>
      </w:r>
      <w:r w:rsidR="009E1EC8">
        <w:t>z</w:t>
      </w:r>
      <w:r>
        <w:t>t</w:t>
      </w:r>
      <w:r w:rsidR="009E1EC8">
        <w:t>ó</w:t>
      </w:r>
      <w:r>
        <w:t>reum kivonat.</w:t>
      </w:r>
    </w:p>
    <w:p w14:paraId="6BEC8D69" w14:textId="200808B9" w:rsidR="006B3069" w:rsidRDefault="00A43B8D">
      <w:pPr>
        <w:keepNext/>
        <w:spacing w:line="240" w:lineRule="auto"/>
      </w:pPr>
      <w:r>
        <w:t xml:space="preserve">Euroblend </w:t>
      </w:r>
      <w:r w:rsidR="001936E8">
        <w:t>fekete</w:t>
      </w:r>
      <w:r w:rsidR="00EC7617">
        <w:t>ribizli színezék</w:t>
      </w:r>
      <w:r>
        <w:t xml:space="preserve">, amely a következőket tartalmazza: </w:t>
      </w:r>
      <w:r w:rsidR="00B24363">
        <w:t xml:space="preserve">karmazsin </w:t>
      </w:r>
      <w:r w:rsidR="00232CFF">
        <w:t>(</w:t>
      </w:r>
      <w:r>
        <w:t>E122</w:t>
      </w:r>
      <w:r w:rsidR="00232CFF">
        <w:t>)</w:t>
      </w:r>
      <w:r>
        <w:t>, zöld</w:t>
      </w:r>
      <w:r w:rsidR="00232CFF">
        <w:t> </w:t>
      </w:r>
      <w:r>
        <w:t>S</w:t>
      </w:r>
      <w:r w:rsidR="00232CFF">
        <w:t> (</w:t>
      </w:r>
      <w:r>
        <w:t>E142</w:t>
      </w:r>
      <w:r w:rsidR="00232CFF">
        <w:t>)</w:t>
      </w:r>
      <w:r>
        <w:t xml:space="preserve">, </w:t>
      </w:r>
      <w:r w:rsidR="00C83D84">
        <w:t xml:space="preserve">Sunset Yellow </w:t>
      </w:r>
      <w:r w:rsidR="00232CFF">
        <w:t>(</w:t>
      </w:r>
      <w:r>
        <w:t>E110</w:t>
      </w:r>
      <w:r w:rsidR="00232CFF">
        <w:t>)</w:t>
      </w:r>
      <w:r>
        <w:t xml:space="preserve"> és nátrium-klorid.</w:t>
      </w:r>
    </w:p>
    <w:p w14:paraId="31D691A4" w14:textId="77777777" w:rsidR="009E6253" w:rsidRPr="00903775" w:rsidRDefault="009E6253">
      <w:pPr>
        <w:spacing w:line="240" w:lineRule="auto"/>
      </w:pPr>
    </w:p>
    <w:p w14:paraId="2F574397" w14:textId="77777777" w:rsidR="009E6253" w:rsidRDefault="009E6253">
      <w:pPr>
        <w:spacing w:line="240" w:lineRule="auto"/>
        <w:ind w:left="567" w:hanging="567"/>
        <w:outlineLvl w:val="0"/>
      </w:pPr>
      <w:r>
        <w:rPr>
          <w:b/>
        </w:rPr>
        <w:t>6.2</w:t>
      </w:r>
      <w:r>
        <w:rPr>
          <w:b/>
        </w:rPr>
        <w:tab/>
        <w:t>Inkompatibilitások</w:t>
      </w:r>
    </w:p>
    <w:p w14:paraId="41C8BBD1" w14:textId="77777777" w:rsidR="009E6253" w:rsidRPr="00E45323" w:rsidRDefault="009E6253">
      <w:pPr>
        <w:spacing w:line="240" w:lineRule="auto"/>
      </w:pPr>
    </w:p>
    <w:p w14:paraId="4CDA1119" w14:textId="77777777" w:rsidR="009E6253" w:rsidRDefault="009E6253">
      <w:pPr>
        <w:spacing w:line="240" w:lineRule="auto"/>
      </w:pPr>
      <w:r>
        <w:t>Nem értelmezhető.</w:t>
      </w:r>
    </w:p>
    <w:p w14:paraId="64CED38E" w14:textId="77777777" w:rsidR="009E6253" w:rsidRDefault="009E6253">
      <w:pPr>
        <w:spacing w:line="240" w:lineRule="auto"/>
      </w:pPr>
    </w:p>
    <w:p w14:paraId="6D96E8DE" w14:textId="7E31DC83" w:rsidR="009E6253" w:rsidRDefault="009E6253">
      <w:pPr>
        <w:spacing w:line="240" w:lineRule="auto"/>
        <w:ind w:left="567" w:hanging="567"/>
        <w:outlineLvl w:val="0"/>
      </w:pPr>
      <w:r>
        <w:rPr>
          <w:b/>
        </w:rPr>
        <w:t>6.3</w:t>
      </w:r>
      <w:r>
        <w:rPr>
          <w:b/>
        </w:rPr>
        <w:tab/>
        <w:t>Felhasználhatósági időtartam</w:t>
      </w:r>
    </w:p>
    <w:p w14:paraId="51707745" w14:textId="77777777" w:rsidR="009E6253" w:rsidRDefault="009E6253">
      <w:pPr>
        <w:spacing w:line="240" w:lineRule="auto"/>
      </w:pPr>
    </w:p>
    <w:p w14:paraId="629C7E30" w14:textId="71EFB225" w:rsidR="009E6253" w:rsidRDefault="00986A79">
      <w:pPr>
        <w:spacing w:line="240" w:lineRule="auto"/>
      </w:pPr>
      <w:r>
        <w:t>2 év</w:t>
      </w:r>
    </w:p>
    <w:p w14:paraId="28A1D566" w14:textId="77777777" w:rsidR="009E6253" w:rsidRDefault="009E6253">
      <w:pPr>
        <w:spacing w:line="240" w:lineRule="auto"/>
        <w:rPr>
          <w:b/>
        </w:rPr>
      </w:pPr>
    </w:p>
    <w:p w14:paraId="63847B5A" w14:textId="77777777" w:rsidR="009E6253" w:rsidRDefault="009E6253">
      <w:pPr>
        <w:spacing w:line="240" w:lineRule="auto"/>
        <w:ind w:left="567" w:hanging="567"/>
        <w:outlineLvl w:val="0"/>
        <w:rPr>
          <w:b/>
        </w:rPr>
      </w:pPr>
      <w:r>
        <w:rPr>
          <w:b/>
        </w:rPr>
        <w:t>6.4</w:t>
      </w:r>
      <w:r>
        <w:rPr>
          <w:b/>
        </w:rPr>
        <w:tab/>
        <w:t>Különleges tárolási előírások</w:t>
      </w:r>
    </w:p>
    <w:p w14:paraId="6C7D089B" w14:textId="77777777" w:rsidR="009E6253" w:rsidRDefault="009E6253">
      <w:pPr>
        <w:spacing w:line="240" w:lineRule="auto"/>
        <w:rPr>
          <w:i/>
          <w:iCs/>
        </w:rPr>
      </w:pPr>
    </w:p>
    <w:p w14:paraId="13C00524" w14:textId="77777777" w:rsidR="009E6253" w:rsidRDefault="009E6253">
      <w:pPr>
        <w:spacing w:line="240" w:lineRule="auto"/>
        <w:rPr>
          <w:noProof/>
        </w:rPr>
      </w:pPr>
      <w:r>
        <w:t>Legfeljebb 30 °C-on tárolandó.</w:t>
      </w:r>
    </w:p>
    <w:p w14:paraId="48920008" w14:textId="77777777" w:rsidR="009E6253" w:rsidRDefault="009E6253">
      <w:pPr>
        <w:numPr>
          <w:ilvl w:val="12"/>
          <w:numId w:val="0"/>
        </w:numPr>
        <w:tabs>
          <w:tab w:val="clear" w:pos="567"/>
        </w:tabs>
        <w:spacing w:line="240" w:lineRule="auto"/>
        <w:ind w:right="-2"/>
        <w:rPr>
          <w:noProof/>
        </w:rPr>
      </w:pPr>
      <w:r>
        <w:t>Ne használja ezt a gyógyszert, ha úgy látja, hogy a tasak sérült.</w:t>
      </w:r>
    </w:p>
    <w:p w14:paraId="24181776" w14:textId="77777777" w:rsidR="009E6253" w:rsidRDefault="009E6253">
      <w:pPr>
        <w:spacing w:line="240" w:lineRule="auto"/>
      </w:pPr>
    </w:p>
    <w:p w14:paraId="4B48DA91" w14:textId="0DA3D89E" w:rsidR="009E6253" w:rsidRDefault="00FE1AE4">
      <w:pPr>
        <w:keepNext/>
        <w:spacing w:line="240" w:lineRule="auto"/>
        <w:ind w:left="567" w:hanging="567"/>
        <w:outlineLvl w:val="0"/>
        <w:rPr>
          <w:b/>
        </w:rPr>
      </w:pPr>
      <w:r>
        <w:rPr>
          <w:b/>
        </w:rPr>
        <w:t>6.5</w:t>
      </w:r>
      <w:r>
        <w:rPr>
          <w:b/>
        </w:rPr>
        <w:tab/>
        <w:t>Csomagolás típusa és kiszerelése</w:t>
      </w:r>
    </w:p>
    <w:p w14:paraId="44F5B834" w14:textId="77777777" w:rsidR="009E6253" w:rsidRPr="00190F18" w:rsidRDefault="009E6253">
      <w:pPr>
        <w:keepNext/>
        <w:spacing w:line="240" w:lineRule="auto"/>
        <w:rPr>
          <w:b/>
        </w:rPr>
      </w:pPr>
    </w:p>
    <w:p w14:paraId="0AED6574" w14:textId="73383361" w:rsidR="009E6253" w:rsidRPr="00D36F8F" w:rsidRDefault="00EC7617">
      <w:pPr>
        <w:keepNext/>
        <w:spacing w:line="240" w:lineRule="auto"/>
      </w:pPr>
      <w:bookmarkStart w:id="44" w:name="_Hlk22283998"/>
      <w:bookmarkStart w:id="45" w:name="_Hlk22283965"/>
      <w:r>
        <w:t>7,6 g por p</w:t>
      </w:r>
      <w:r w:rsidR="009E6253">
        <w:t xml:space="preserve">apír/PE/alumínium/etilén-metakrilsav </w:t>
      </w:r>
      <w:r>
        <w:t xml:space="preserve">kopolimer </w:t>
      </w:r>
      <w:r w:rsidR="009E6253">
        <w:t>(EMAA) laminált tasak</w:t>
      </w:r>
      <w:r>
        <w:t xml:space="preserve">ba töltve, </w:t>
      </w:r>
      <w:r w:rsidR="009E6253">
        <w:t xml:space="preserve">dobozban. Egy tasak mérete 95 </w:t>
      </w:r>
      <w:r w:rsidR="00232CFF">
        <w:t>×</w:t>
      </w:r>
      <w:r w:rsidR="009E6253">
        <w:t xml:space="preserve"> 57 mm. A doboz 5 vagy 10 tasakot tartalmaz.</w:t>
      </w:r>
    </w:p>
    <w:bookmarkEnd w:id="44"/>
    <w:p w14:paraId="5059CCFC" w14:textId="77777777" w:rsidR="009E6253" w:rsidRDefault="009E6253">
      <w:pPr>
        <w:spacing w:line="240" w:lineRule="auto"/>
      </w:pPr>
    </w:p>
    <w:p w14:paraId="2019C214" w14:textId="620F9E99" w:rsidR="009E6253" w:rsidRDefault="00EC7617">
      <w:pPr>
        <w:spacing w:line="240" w:lineRule="auto"/>
      </w:pPr>
      <w:bookmarkStart w:id="46" w:name="_Hlk22284016"/>
      <w:r>
        <w:t>7,6 g por p</w:t>
      </w:r>
      <w:r w:rsidR="009E6253">
        <w:t xml:space="preserve">olietilén-tereftalát (PET)/polietilén/alumínium/etilén-metakrilsav </w:t>
      </w:r>
      <w:r>
        <w:t xml:space="preserve">kopolimer </w:t>
      </w:r>
      <w:r w:rsidR="009E6253">
        <w:t>(EMAA) gyermekbiztos laminált tasak</w:t>
      </w:r>
      <w:r>
        <w:t>ba töltve</w:t>
      </w:r>
      <w:r w:rsidR="009E6253">
        <w:t xml:space="preserve">, dobozban. Egy tasak mérete 95 </w:t>
      </w:r>
      <w:r w:rsidR="00232CFF">
        <w:t>×</w:t>
      </w:r>
      <w:r w:rsidR="009E6253">
        <w:t xml:space="preserve"> 57 mm. A doboz 5 vagy 10 tasakot tartalmaz. </w:t>
      </w:r>
    </w:p>
    <w:bookmarkEnd w:id="45"/>
    <w:bookmarkEnd w:id="46"/>
    <w:p w14:paraId="17374DA3" w14:textId="77777777" w:rsidR="002A4C4B" w:rsidRDefault="002A4C4B">
      <w:pPr>
        <w:spacing w:line="240" w:lineRule="auto"/>
      </w:pPr>
    </w:p>
    <w:p w14:paraId="3FAA2DEC" w14:textId="2021916C" w:rsidR="002A4C4B" w:rsidRDefault="00232CFF">
      <w:pPr>
        <w:spacing w:line="240" w:lineRule="auto"/>
      </w:pPr>
      <w:r>
        <w:t>Nem feltétlenül mindegyik kiszerelés kerül forgalomba</w:t>
      </w:r>
      <w:r w:rsidR="002A4C4B">
        <w:t>.</w:t>
      </w:r>
    </w:p>
    <w:p w14:paraId="7EB08A0D" w14:textId="77777777" w:rsidR="009E6253" w:rsidRPr="00AF3D12" w:rsidRDefault="009E6253">
      <w:pPr>
        <w:spacing w:line="240" w:lineRule="auto"/>
      </w:pPr>
    </w:p>
    <w:p w14:paraId="6BF19AE0" w14:textId="77777777" w:rsidR="009E6253" w:rsidRDefault="009E6253">
      <w:pPr>
        <w:spacing w:line="240" w:lineRule="auto"/>
        <w:ind w:left="567" w:hanging="567"/>
        <w:outlineLvl w:val="0"/>
      </w:pPr>
      <w:r>
        <w:rPr>
          <w:b/>
        </w:rPr>
        <w:t>6.6</w:t>
      </w:r>
      <w:r>
        <w:rPr>
          <w:b/>
        </w:rPr>
        <w:tab/>
        <w:t>A megsemmisítésre vonatkozó különleges óvintézkedések és egyéb, a készítmény kezelésével kapcsolatos információk</w:t>
      </w:r>
    </w:p>
    <w:p w14:paraId="2ECF84B4" w14:textId="77777777" w:rsidR="009E6253" w:rsidRPr="00026BF2" w:rsidRDefault="009E6253">
      <w:pPr>
        <w:spacing w:line="240" w:lineRule="auto"/>
        <w:rPr>
          <w:i/>
          <w:noProof/>
          <w:szCs w:val="22"/>
        </w:rPr>
      </w:pPr>
    </w:p>
    <w:p w14:paraId="00D92802" w14:textId="42D49362" w:rsidR="00557C9D" w:rsidRPr="003E5E9B" w:rsidRDefault="00557C9D" w:rsidP="00DF590E">
      <w:pPr>
        <w:widowControl w:val="0"/>
        <w:spacing w:line="240" w:lineRule="auto"/>
        <w:rPr>
          <w:color w:val="000000"/>
        </w:rPr>
      </w:pPr>
      <w:r>
        <w:rPr>
          <w:color w:val="000000"/>
        </w:rPr>
        <w:t xml:space="preserve">Bármilyen fel nem használt gyógyszerészeti termék, illetve hulladékanyag megsemmisítését a </w:t>
      </w:r>
      <w:r w:rsidR="00F4585A">
        <w:rPr>
          <w:color w:val="000000"/>
        </w:rPr>
        <w:t xml:space="preserve">gyógyszerekre vonatkozó </w:t>
      </w:r>
      <w:r>
        <w:rPr>
          <w:color w:val="000000"/>
        </w:rPr>
        <w:t xml:space="preserve">előírások szerint kell végrehajtani </w:t>
      </w:r>
    </w:p>
    <w:p w14:paraId="1F4F3EDF" w14:textId="3E2BB712" w:rsidR="00051E88" w:rsidRDefault="00051E88" w:rsidP="008218B0">
      <w:pPr>
        <w:spacing w:line="240" w:lineRule="auto"/>
      </w:pPr>
    </w:p>
    <w:p w14:paraId="5D0290E7" w14:textId="77777777" w:rsidR="00051E88" w:rsidRPr="0099256B" w:rsidRDefault="00051E88" w:rsidP="00051E88">
      <w:pPr>
        <w:rPr>
          <w:szCs w:val="22"/>
        </w:rPr>
      </w:pPr>
      <w:r w:rsidRPr="006E7DC4">
        <w:rPr>
          <w:b/>
          <w:szCs w:val="22"/>
          <w:lang w:eastAsia="ar-SA"/>
        </w:rPr>
        <w:t xml:space="preserve">Megjegyzés: </w:t>
      </w:r>
      <w:r w:rsidRPr="0099256B">
        <w:rPr>
          <w:szCs w:val="22"/>
        </w:rPr>
        <w:sym w:font="Wingdings" w:char="F058"/>
      </w:r>
      <w:r w:rsidRPr="0099256B">
        <w:rPr>
          <w:szCs w:val="22"/>
        </w:rPr>
        <w:t xml:space="preserve"> (egy kereszt)</w:t>
      </w:r>
    </w:p>
    <w:p w14:paraId="467DCC54" w14:textId="77777777" w:rsidR="00051E88" w:rsidRPr="0099256B" w:rsidRDefault="00051E88" w:rsidP="00051E88">
      <w:pPr>
        <w:keepNext/>
        <w:suppressAutoHyphens/>
        <w:outlineLvl w:val="2"/>
        <w:rPr>
          <w:b/>
          <w:bCs/>
          <w:szCs w:val="24"/>
          <w:lang w:eastAsia="ar-SA"/>
        </w:rPr>
      </w:pPr>
      <w:r w:rsidRPr="0099256B">
        <w:rPr>
          <w:b/>
          <w:bCs/>
          <w:szCs w:val="24"/>
          <w:lang w:eastAsia="ar-SA"/>
        </w:rPr>
        <w:t>Osztályozás: I. csoport</w:t>
      </w:r>
    </w:p>
    <w:p w14:paraId="63148742" w14:textId="77777777" w:rsidR="00051E88" w:rsidRPr="0099256B" w:rsidRDefault="00051E88" w:rsidP="00051E88">
      <w:pPr>
        <w:suppressAutoHyphens/>
        <w:rPr>
          <w:szCs w:val="24"/>
          <w:lang w:eastAsia="ar-SA"/>
        </w:rPr>
      </w:pPr>
      <w:r w:rsidRPr="0099256B">
        <w:rPr>
          <w:szCs w:val="24"/>
          <w:lang w:eastAsia="ar-SA"/>
        </w:rPr>
        <w:t>Orvosi rendelvény nélkül is kiadható gyógyszer (VN).</w:t>
      </w:r>
    </w:p>
    <w:p w14:paraId="2E1B0103" w14:textId="77777777" w:rsidR="00051E88" w:rsidRDefault="00051E88" w:rsidP="008218B0">
      <w:pPr>
        <w:spacing w:line="240" w:lineRule="auto"/>
      </w:pPr>
    </w:p>
    <w:p w14:paraId="5C348577" w14:textId="77777777" w:rsidR="009E6253" w:rsidRDefault="009E6253" w:rsidP="00646227">
      <w:pPr>
        <w:spacing w:line="240" w:lineRule="auto"/>
      </w:pPr>
    </w:p>
    <w:p w14:paraId="65F10F5A" w14:textId="77777777" w:rsidR="009E6253" w:rsidRDefault="009E6253" w:rsidP="003C1F47">
      <w:pPr>
        <w:spacing w:line="240" w:lineRule="auto"/>
        <w:ind w:left="567" w:hanging="567"/>
        <w:outlineLvl w:val="0"/>
      </w:pPr>
      <w:r>
        <w:rPr>
          <w:b/>
        </w:rPr>
        <w:t>7.</w:t>
      </w:r>
      <w:r>
        <w:rPr>
          <w:b/>
        </w:rPr>
        <w:tab/>
        <w:t>A FORGALOMBA HOZATALI ENGEDÉLY JOGOSULTJA</w:t>
      </w:r>
    </w:p>
    <w:p w14:paraId="6BE6E9D3" w14:textId="77777777" w:rsidR="009E6253" w:rsidRDefault="009E6253">
      <w:pPr>
        <w:spacing w:line="240" w:lineRule="auto"/>
      </w:pPr>
    </w:p>
    <w:p w14:paraId="2E4A5159" w14:textId="7E4740A7" w:rsidR="00DE349F" w:rsidRPr="002E7165" w:rsidRDefault="00D91151" w:rsidP="00DF590E">
      <w:pPr>
        <w:spacing w:line="240" w:lineRule="auto"/>
        <w:rPr>
          <w:szCs w:val="22"/>
        </w:rPr>
      </w:pPr>
      <w:r>
        <w:rPr>
          <w:szCs w:val="22"/>
        </w:rPr>
        <w:t xml:space="preserve">Haleon Hungary </w:t>
      </w:r>
      <w:r w:rsidR="00DE349F" w:rsidRPr="002E7165">
        <w:rPr>
          <w:szCs w:val="22"/>
        </w:rPr>
        <w:t>Kft.</w:t>
      </w:r>
    </w:p>
    <w:p w14:paraId="741F8365" w14:textId="77777777" w:rsidR="00DE349F" w:rsidRPr="002E7165" w:rsidRDefault="00DE349F" w:rsidP="00DF590E">
      <w:pPr>
        <w:spacing w:line="240" w:lineRule="auto"/>
        <w:rPr>
          <w:szCs w:val="22"/>
        </w:rPr>
      </w:pPr>
      <w:r w:rsidRPr="002E7165">
        <w:rPr>
          <w:szCs w:val="22"/>
        </w:rPr>
        <w:t>1124 Budapest</w:t>
      </w:r>
    </w:p>
    <w:p w14:paraId="78009F24" w14:textId="77777777" w:rsidR="00DE349F" w:rsidRPr="002E7165" w:rsidRDefault="00DE349F" w:rsidP="00DF590E">
      <w:pPr>
        <w:spacing w:line="240" w:lineRule="auto"/>
        <w:rPr>
          <w:szCs w:val="22"/>
        </w:rPr>
      </w:pPr>
      <w:r w:rsidRPr="002E7165">
        <w:rPr>
          <w:szCs w:val="22"/>
        </w:rPr>
        <w:t>Csörsz u. 43.</w:t>
      </w:r>
    </w:p>
    <w:p w14:paraId="4AE6262F" w14:textId="77777777" w:rsidR="00DE349F" w:rsidRPr="002E7165" w:rsidRDefault="00DE349F" w:rsidP="00DF590E">
      <w:pPr>
        <w:spacing w:line="240" w:lineRule="auto"/>
        <w:rPr>
          <w:szCs w:val="22"/>
        </w:rPr>
      </w:pPr>
      <w:r w:rsidRPr="002E7165">
        <w:rPr>
          <w:szCs w:val="22"/>
        </w:rPr>
        <w:t>Magyarország</w:t>
      </w:r>
    </w:p>
    <w:p w14:paraId="23963565" w14:textId="77777777" w:rsidR="009E6253" w:rsidRDefault="009E6253" w:rsidP="008218B0">
      <w:pPr>
        <w:spacing w:line="240" w:lineRule="auto"/>
      </w:pPr>
    </w:p>
    <w:p w14:paraId="548B1A8A" w14:textId="77777777" w:rsidR="009E6253" w:rsidRDefault="009E6253" w:rsidP="00646227">
      <w:pPr>
        <w:spacing w:line="240" w:lineRule="auto"/>
      </w:pPr>
    </w:p>
    <w:p w14:paraId="7785F878" w14:textId="77777777" w:rsidR="009E6253" w:rsidRDefault="009E6253" w:rsidP="003C1F47">
      <w:pPr>
        <w:spacing w:line="240" w:lineRule="auto"/>
        <w:ind w:left="567" w:hanging="567"/>
        <w:outlineLvl w:val="0"/>
        <w:rPr>
          <w:b/>
        </w:rPr>
      </w:pPr>
      <w:r>
        <w:rPr>
          <w:b/>
        </w:rPr>
        <w:t>8.</w:t>
      </w:r>
      <w:r>
        <w:rPr>
          <w:b/>
        </w:rPr>
        <w:tab/>
        <w:t xml:space="preserve">A FORGALOMBA HOZATALI ENGEDÉLY SZÁMA(I) </w:t>
      </w:r>
    </w:p>
    <w:p w14:paraId="699A19B7" w14:textId="77777777" w:rsidR="009E6253" w:rsidRDefault="009E6253">
      <w:pPr>
        <w:spacing w:line="240" w:lineRule="auto"/>
        <w:rPr>
          <w:i/>
        </w:rPr>
      </w:pPr>
    </w:p>
    <w:p w14:paraId="2D287942" w14:textId="77777777" w:rsidR="008E76CB" w:rsidRPr="008E76CB" w:rsidRDefault="008E76CB" w:rsidP="008E76CB">
      <w:pPr>
        <w:rPr>
          <w:szCs w:val="24"/>
        </w:rPr>
      </w:pPr>
      <w:r w:rsidRPr="008E76CB">
        <w:rPr>
          <w:szCs w:val="24"/>
        </w:rPr>
        <w:t>OGYI-T-23985/01     5x</w:t>
      </w:r>
      <w:r w:rsidRPr="008E76CB">
        <w:rPr>
          <w:spacing w:val="-3"/>
          <w:szCs w:val="24"/>
        </w:rPr>
        <w:t xml:space="preserve">7,6 g </w:t>
      </w:r>
      <w:r w:rsidRPr="008E76CB">
        <w:rPr>
          <w:szCs w:val="24"/>
        </w:rPr>
        <w:t>            papír/polietilén/etilén-metakrilsav kopolimer (EMAA) laminált tasak</w:t>
      </w:r>
    </w:p>
    <w:p w14:paraId="04C0A183" w14:textId="77777777" w:rsidR="008E76CB" w:rsidRPr="008E76CB" w:rsidRDefault="008E76CB" w:rsidP="008E76CB">
      <w:pPr>
        <w:rPr>
          <w:szCs w:val="24"/>
        </w:rPr>
      </w:pPr>
      <w:r w:rsidRPr="008E76CB">
        <w:rPr>
          <w:szCs w:val="24"/>
        </w:rPr>
        <w:t>OGYI-T-23985/02     5x</w:t>
      </w:r>
      <w:r w:rsidRPr="008E76CB">
        <w:rPr>
          <w:spacing w:val="-3"/>
          <w:szCs w:val="24"/>
        </w:rPr>
        <w:t xml:space="preserve">7,6 g </w:t>
      </w:r>
      <w:r w:rsidRPr="008E76CB">
        <w:rPr>
          <w:szCs w:val="24"/>
        </w:rPr>
        <w:t xml:space="preserve">            </w:t>
      </w:r>
      <w:r w:rsidRPr="008E76CB">
        <w:rPr>
          <w:spacing w:val="-3"/>
          <w:szCs w:val="24"/>
        </w:rPr>
        <w:t>polietilén-tereftalát (PET)/</w:t>
      </w:r>
      <w:r w:rsidRPr="008E76CB">
        <w:rPr>
          <w:szCs w:val="24"/>
        </w:rPr>
        <w:t>polietilén/alumínium/etilén-metakrilsav kopolimer (EMAA) gyermekbiztos laminált tasak</w:t>
      </w:r>
    </w:p>
    <w:p w14:paraId="6D00CB78" w14:textId="77777777" w:rsidR="008E76CB" w:rsidRPr="008E76CB" w:rsidRDefault="008E76CB" w:rsidP="008E76CB">
      <w:pPr>
        <w:rPr>
          <w:szCs w:val="24"/>
        </w:rPr>
      </w:pPr>
      <w:r w:rsidRPr="008E76CB">
        <w:rPr>
          <w:szCs w:val="24"/>
        </w:rPr>
        <w:t>OGYI-T-23985/03     10x</w:t>
      </w:r>
      <w:r w:rsidRPr="008E76CB">
        <w:rPr>
          <w:spacing w:val="-3"/>
          <w:szCs w:val="24"/>
        </w:rPr>
        <w:t>7,6 g</w:t>
      </w:r>
      <w:r w:rsidRPr="008E76CB">
        <w:rPr>
          <w:szCs w:val="24"/>
        </w:rPr>
        <w:t>          papír/polietilén/etilén-metakrilsav kopolimer (EMAA) laminált tasak</w:t>
      </w:r>
    </w:p>
    <w:p w14:paraId="528AB33A" w14:textId="77777777" w:rsidR="008E76CB" w:rsidRPr="008E76CB" w:rsidRDefault="008E76CB" w:rsidP="008E76CB">
      <w:pPr>
        <w:rPr>
          <w:szCs w:val="24"/>
        </w:rPr>
      </w:pPr>
      <w:r w:rsidRPr="008E76CB">
        <w:rPr>
          <w:szCs w:val="24"/>
        </w:rPr>
        <w:t>OGYI-T-23985/04     10x</w:t>
      </w:r>
      <w:r w:rsidRPr="008E76CB">
        <w:rPr>
          <w:spacing w:val="-3"/>
          <w:szCs w:val="24"/>
        </w:rPr>
        <w:t>7,6 g</w:t>
      </w:r>
      <w:r w:rsidRPr="008E76CB">
        <w:rPr>
          <w:szCs w:val="24"/>
        </w:rPr>
        <w:t xml:space="preserve">          </w:t>
      </w:r>
      <w:r w:rsidRPr="008E76CB">
        <w:rPr>
          <w:spacing w:val="-3"/>
          <w:szCs w:val="24"/>
        </w:rPr>
        <w:t>polietilén-tereftalát (PET)/</w:t>
      </w:r>
      <w:r w:rsidRPr="008E76CB">
        <w:rPr>
          <w:szCs w:val="24"/>
        </w:rPr>
        <w:t>polietilén/alumínium/etilén-metakrilsav kopolimer (EMAA) gyermekbiztos laminált tasak</w:t>
      </w:r>
    </w:p>
    <w:p w14:paraId="49602126" w14:textId="77777777" w:rsidR="009E6253" w:rsidRDefault="009E6253" w:rsidP="008218B0">
      <w:pPr>
        <w:spacing w:line="240" w:lineRule="auto"/>
      </w:pPr>
    </w:p>
    <w:p w14:paraId="07E49263" w14:textId="77777777" w:rsidR="009E6253" w:rsidRDefault="009E6253" w:rsidP="00646227">
      <w:pPr>
        <w:spacing w:line="240" w:lineRule="auto"/>
      </w:pPr>
    </w:p>
    <w:p w14:paraId="66D0A2CD" w14:textId="77777777" w:rsidR="009E6253" w:rsidRDefault="009E6253" w:rsidP="003C1F47">
      <w:pPr>
        <w:spacing w:line="240" w:lineRule="auto"/>
        <w:ind w:left="567" w:hanging="567"/>
        <w:outlineLvl w:val="0"/>
      </w:pPr>
      <w:r>
        <w:rPr>
          <w:b/>
        </w:rPr>
        <w:t>9.</w:t>
      </w:r>
      <w:r>
        <w:rPr>
          <w:b/>
        </w:rPr>
        <w:tab/>
      </w:r>
      <w:r>
        <w:rPr>
          <w:b/>
          <w:bCs/>
        </w:rPr>
        <w:t>A FORGALOMBA HOZATALI ENGEDÉLY ELSŐ KIADÁSÁNAK/ MEGÚJÍTÁSÁNAK DÁTUMA</w:t>
      </w:r>
    </w:p>
    <w:p w14:paraId="6D026D35" w14:textId="77777777" w:rsidR="009E6253" w:rsidRDefault="009E6253">
      <w:pPr>
        <w:spacing w:line="240" w:lineRule="auto"/>
        <w:rPr>
          <w:i/>
        </w:rPr>
      </w:pPr>
    </w:p>
    <w:p w14:paraId="41AF9E86" w14:textId="5AE30468" w:rsidR="002A4C4B" w:rsidRDefault="009E6253">
      <w:pPr>
        <w:tabs>
          <w:tab w:val="left" w:pos="5693"/>
        </w:tabs>
        <w:spacing w:line="240" w:lineRule="auto"/>
      </w:pPr>
      <w:r>
        <w:t>A forgalomba hozatali en</w:t>
      </w:r>
      <w:r w:rsidR="004B64B5">
        <w:t xml:space="preserve">gedély első kiadásának dátuma: </w:t>
      </w:r>
      <w:r w:rsidR="00164D4D">
        <w:t xml:space="preserve">2021 </w:t>
      </w:r>
      <w:r w:rsidR="008E76CB">
        <w:t>december 14.</w:t>
      </w:r>
    </w:p>
    <w:p w14:paraId="3CC85F8D" w14:textId="77777777" w:rsidR="00B533C1" w:rsidRDefault="00B533C1">
      <w:pPr>
        <w:tabs>
          <w:tab w:val="left" w:pos="5693"/>
        </w:tabs>
        <w:spacing w:line="240" w:lineRule="auto"/>
      </w:pPr>
    </w:p>
    <w:p w14:paraId="3AF3C72D" w14:textId="6250BBA2" w:rsidR="00B533C1" w:rsidRPr="00AC3058" w:rsidRDefault="00B533C1">
      <w:pPr>
        <w:tabs>
          <w:tab w:val="left" w:pos="5693"/>
        </w:tabs>
        <w:spacing w:line="240" w:lineRule="auto"/>
        <w:rPr>
          <w:iCs/>
          <w:noProof/>
          <w:szCs w:val="22"/>
        </w:rPr>
      </w:pPr>
      <w:r w:rsidRPr="00AC3058">
        <w:rPr>
          <w:iCs/>
          <w:noProof/>
          <w:szCs w:val="22"/>
        </w:rPr>
        <w:t>A forgalomba hozatali engedély legutóbbi megújításának dátuma:</w:t>
      </w:r>
      <w:r w:rsidR="00331953">
        <w:rPr>
          <w:iCs/>
          <w:noProof/>
          <w:szCs w:val="22"/>
        </w:rPr>
        <w:t xml:space="preserve"> 2026. augusztus 18.</w:t>
      </w:r>
    </w:p>
    <w:p w14:paraId="09615B57" w14:textId="77777777" w:rsidR="009E6253" w:rsidRPr="00B533C1" w:rsidRDefault="009E6253">
      <w:pPr>
        <w:spacing w:line="240" w:lineRule="auto"/>
        <w:rPr>
          <w:iCs/>
        </w:rPr>
      </w:pPr>
    </w:p>
    <w:p w14:paraId="76F9D837" w14:textId="77777777" w:rsidR="009E6253" w:rsidRDefault="009E6253">
      <w:pPr>
        <w:spacing w:line="240" w:lineRule="auto"/>
      </w:pPr>
    </w:p>
    <w:p w14:paraId="69E8BE59" w14:textId="77777777" w:rsidR="009E6253" w:rsidRDefault="009E6253">
      <w:pPr>
        <w:spacing w:line="240" w:lineRule="auto"/>
        <w:ind w:left="567" w:hanging="567"/>
        <w:outlineLvl w:val="0"/>
        <w:rPr>
          <w:b/>
        </w:rPr>
      </w:pPr>
      <w:r>
        <w:rPr>
          <w:b/>
        </w:rPr>
        <w:t>10.</w:t>
      </w:r>
      <w:r>
        <w:rPr>
          <w:b/>
        </w:rPr>
        <w:tab/>
        <w:t>A SZÖVEG ELLENŐRZÉSÉNEK DÁTUMA</w:t>
      </w:r>
    </w:p>
    <w:p w14:paraId="20DB4CA7" w14:textId="77777777" w:rsidR="009E6253" w:rsidRDefault="009E6253">
      <w:pPr>
        <w:spacing w:line="240" w:lineRule="auto"/>
      </w:pPr>
    </w:p>
    <w:p w14:paraId="5079A74A" w14:textId="3747CC80" w:rsidR="009E6253" w:rsidRDefault="000A15C7">
      <w:pPr>
        <w:spacing w:line="240" w:lineRule="auto"/>
        <w:rPr>
          <w:i/>
          <w:iCs/>
        </w:rPr>
      </w:pPr>
      <w:r>
        <w:t xml:space="preserve">2026. szeptember </w:t>
      </w:r>
      <w:r w:rsidR="00DC1732">
        <w:t>4</w:t>
      </w:r>
      <w:bookmarkStart w:id="47" w:name="_GoBack"/>
      <w:bookmarkEnd w:id="47"/>
      <w:r>
        <w:t>.</w:t>
      </w:r>
    </w:p>
    <w:sectPr w:rsidR="009E6253" w:rsidSect="009821FB">
      <w:headerReference w:type="default"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A9BC4" w14:textId="77777777" w:rsidR="00BD377A" w:rsidRDefault="00BD377A" w:rsidP="00316C96">
      <w:pPr>
        <w:spacing w:line="240" w:lineRule="auto"/>
      </w:pPr>
      <w:r>
        <w:separator/>
      </w:r>
    </w:p>
  </w:endnote>
  <w:endnote w:type="continuationSeparator" w:id="0">
    <w:p w14:paraId="50C58245" w14:textId="77777777" w:rsidR="00BD377A" w:rsidRDefault="00BD377A" w:rsidP="00316C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A5E4F" w14:textId="587D0CF6" w:rsidR="00316C96" w:rsidRPr="00316C96" w:rsidRDefault="00EC7617">
    <w:pPr>
      <w:pStyle w:val="llb"/>
      <w:rPr>
        <w:rFonts w:ascii="Times New Roman" w:hAnsi="Times New Roman"/>
        <w:sz w:val="18"/>
      </w:rPr>
    </w:pPr>
    <w:r w:rsidRPr="00EC7617">
      <w:rPr>
        <w:rFonts w:ascii="Times New Roman" w:hAnsi="Times New Roman"/>
        <w:sz w:val="18"/>
      </w:rPr>
      <w:t>NNGYK/ETGY/19350/2026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2FDED" w14:textId="77777777" w:rsidR="00BD377A" w:rsidRDefault="00BD377A" w:rsidP="00316C96">
      <w:pPr>
        <w:spacing w:line="240" w:lineRule="auto"/>
      </w:pPr>
      <w:r>
        <w:separator/>
      </w:r>
    </w:p>
  </w:footnote>
  <w:footnote w:type="continuationSeparator" w:id="0">
    <w:p w14:paraId="10604B80" w14:textId="77777777" w:rsidR="00BD377A" w:rsidRDefault="00BD377A" w:rsidP="00316C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0566563"/>
      <w:docPartObj>
        <w:docPartGallery w:val="Page Numbers (Top of Page)"/>
        <w:docPartUnique/>
      </w:docPartObj>
    </w:sdtPr>
    <w:sdtEndPr>
      <w:rPr>
        <w:rFonts w:ascii="Times New Roman" w:hAnsi="Times New Roman"/>
        <w:sz w:val="18"/>
        <w:szCs w:val="18"/>
      </w:rPr>
    </w:sdtEndPr>
    <w:sdtContent>
      <w:p w14:paraId="4BFE7295" w14:textId="2DCCBCF0" w:rsidR="009B7DD3" w:rsidRPr="002B5BDD" w:rsidRDefault="009B7DD3" w:rsidP="002B5BDD">
        <w:pPr>
          <w:pStyle w:val="lfej"/>
          <w:jc w:val="center"/>
          <w:rPr>
            <w:rFonts w:ascii="Times New Roman" w:hAnsi="Times New Roman"/>
            <w:sz w:val="18"/>
            <w:szCs w:val="18"/>
          </w:rPr>
        </w:pPr>
        <w:r w:rsidRPr="002B5BDD">
          <w:rPr>
            <w:rFonts w:ascii="Times New Roman" w:hAnsi="Times New Roman"/>
            <w:sz w:val="18"/>
            <w:szCs w:val="18"/>
          </w:rPr>
          <w:fldChar w:fldCharType="begin"/>
        </w:r>
        <w:r w:rsidRPr="002B5BDD">
          <w:rPr>
            <w:rFonts w:ascii="Times New Roman" w:hAnsi="Times New Roman"/>
            <w:sz w:val="18"/>
            <w:szCs w:val="18"/>
          </w:rPr>
          <w:instrText>PAGE   \* MERGEFORMAT</w:instrText>
        </w:r>
        <w:r w:rsidRPr="002B5BDD">
          <w:rPr>
            <w:rFonts w:ascii="Times New Roman" w:hAnsi="Times New Roman"/>
            <w:sz w:val="18"/>
            <w:szCs w:val="18"/>
          </w:rPr>
          <w:fldChar w:fldCharType="separate"/>
        </w:r>
        <w:r w:rsidR="00AC3058">
          <w:rPr>
            <w:rFonts w:ascii="Times New Roman" w:hAnsi="Times New Roman"/>
            <w:noProof/>
            <w:sz w:val="18"/>
            <w:szCs w:val="18"/>
          </w:rPr>
          <w:t>11</w:t>
        </w:r>
        <w:r w:rsidRPr="002B5BDD">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0245A1"/>
    <w:multiLevelType w:val="hybridMultilevel"/>
    <w:tmpl w:val="9FDA0AB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15:restartNumberingAfterBreak="0">
    <w:nsid w:val="01BD5EE0"/>
    <w:multiLevelType w:val="hybridMultilevel"/>
    <w:tmpl w:val="FCFAA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B5CCF"/>
    <w:multiLevelType w:val="hybridMultilevel"/>
    <w:tmpl w:val="9726064E"/>
    <w:lvl w:ilvl="0" w:tplc="FFFFFFFF">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6D779E"/>
    <w:multiLevelType w:val="hybridMultilevel"/>
    <w:tmpl w:val="38D81A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245EC1"/>
    <w:multiLevelType w:val="hybridMultilevel"/>
    <w:tmpl w:val="BE3E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190A44"/>
    <w:multiLevelType w:val="hybridMultilevel"/>
    <w:tmpl w:val="73806ECC"/>
    <w:lvl w:ilvl="0" w:tplc="9E0A7744">
      <w:start w:val="1"/>
      <w:numFmt w:val="bullet"/>
      <w:lvlText w:val=""/>
      <w:lvlJc w:val="left"/>
      <w:pPr>
        <w:tabs>
          <w:tab w:val="num" w:pos="357"/>
        </w:tabs>
        <w:ind w:left="357" w:hanging="357"/>
      </w:pPr>
      <w:rPr>
        <w:rFonts w:ascii="Symbol" w:hAnsi="Symbol" w:hint="default"/>
      </w:rPr>
    </w:lvl>
    <w:lvl w:ilvl="1" w:tplc="D8360910">
      <w:numFmt w:val="decimal"/>
      <w:lvlText w:val=""/>
      <w:lvlJc w:val="left"/>
    </w:lvl>
    <w:lvl w:ilvl="2" w:tplc="EBC45738">
      <w:numFmt w:val="decimal"/>
      <w:lvlText w:val=""/>
      <w:lvlJc w:val="left"/>
    </w:lvl>
    <w:lvl w:ilvl="3" w:tplc="5A480558">
      <w:numFmt w:val="decimal"/>
      <w:lvlText w:val=""/>
      <w:lvlJc w:val="left"/>
    </w:lvl>
    <w:lvl w:ilvl="4" w:tplc="6AEA1E5E">
      <w:numFmt w:val="decimal"/>
      <w:lvlText w:val=""/>
      <w:lvlJc w:val="left"/>
    </w:lvl>
    <w:lvl w:ilvl="5" w:tplc="6B04FC52">
      <w:numFmt w:val="decimal"/>
      <w:lvlText w:val=""/>
      <w:lvlJc w:val="left"/>
    </w:lvl>
    <w:lvl w:ilvl="6" w:tplc="9E244F14">
      <w:numFmt w:val="decimal"/>
      <w:lvlText w:val=""/>
      <w:lvlJc w:val="left"/>
    </w:lvl>
    <w:lvl w:ilvl="7" w:tplc="3CFE5080">
      <w:numFmt w:val="decimal"/>
      <w:lvlText w:val=""/>
      <w:lvlJc w:val="left"/>
    </w:lvl>
    <w:lvl w:ilvl="8" w:tplc="B680BD56">
      <w:numFmt w:val="decimal"/>
      <w:lvlText w:val=""/>
      <w:lvlJc w:val="left"/>
    </w:lvl>
  </w:abstractNum>
  <w:abstractNum w:abstractNumId="7" w15:restartNumberingAfterBreak="0">
    <w:nsid w:val="09CD2CE1"/>
    <w:multiLevelType w:val="multilevel"/>
    <w:tmpl w:val="CEA410A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0D6D3265"/>
    <w:multiLevelType w:val="hybridMultilevel"/>
    <w:tmpl w:val="D36A29B4"/>
    <w:lvl w:ilvl="0" w:tplc="6AB65BAE">
      <w:start w:val="1"/>
      <w:numFmt w:val="bullet"/>
      <w:lvlText w:val=""/>
      <w:lvlJc w:val="left"/>
      <w:pPr>
        <w:tabs>
          <w:tab w:val="num" w:pos="357"/>
        </w:tabs>
        <w:ind w:left="357" w:hanging="357"/>
      </w:pPr>
      <w:rPr>
        <w:rFonts w:ascii="Symbol" w:hAnsi="Symbol" w:hint="default"/>
      </w:rPr>
    </w:lvl>
    <w:lvl w:ilvl="1" w:tplc="9C5278AE">
      <w:numFmt w:val="decimal"/>
      <w:lvlText w:val=""/>
      <w:lvlJc w:val="left"/>
    </w:lvl>
    <w:lvl w:ilvl="2" w:tplc="18A4997A">
      <w:numFmt w:val="decimal"/>
      <w:lvlText w:val=""/>
      <w:lvlJc w:val="left"/>
    </w:lvl>
    <w:lvl w:ilvl="3" w:tplc="5C942322">
      <w:numFmt w:val="decimal"/>
      <w:lvlText w:val=""/>
      <w:lvlJc w:val="left"/>
    </w:lvl>
    <w:lvl w:ilvl="4" w:tplc="36E69F76">
      <w:numFmt w:val="decimal"/>
      <w:lvlText w:val=""/>
      <w:lvlJc w:val="left"/>
    </w:lvl>
    <w:lvl w:ilvl="5" w:tplc="E3AA9B52">
      <w:numFmt w:val="decimal"/>
      <w:lvlText w:val=""/>
      <w:lvlJc w:val="left"/>
    </w:lvl>
    <w:lvl w:ilvl="6" w:tplc="31AE4E36">
      <w:numFmt w:val="decimal"/>
      <w:lvlText w:val=""/>
      <w:lvlJc w:val="left"/>
    </w:lvl>
    <w:lvl w:ilvl="7" w:tplc="C1FC7B2E">
      <w:numFmt w:val="decimal"/>
      <w:lvlText w:val=""/>
      <w:lvlJc w:val="left"/>
    </w:lvl>
    <w:lvl w:ilvl="8" w:tplc="0AACD210">
      <w:numFmt w:val="decimal"/>
      <w:lvlText w:val=""/>
      <w:lvlJc w:val="left"/>
    </w:lvl>
  </w:abstractNum>
  <w:abstractNum w:abstractNumId="9" w15:restartNumberingAfterBreak="0">
    <w:nsid w:val="15E65B04"/>
    <w:multiLevelType w:val="hybridMultilevel"/>
    <w:tmpl w:val="C394BC02"/>
    <w:lvl w:ilvl="0" w:tplc="FFFFFFFF">
      <w:start w:val="1"/>
      <w:numFmt w:val="bullet"/>
      <w:lvlText w:val="-"/>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1C0C46"/>
    <w:multiLevelType w:val="hybridMultilevel"/>
    <w:tmpl w:val="A440A546"/>
    <w:lvl w:ilvl="0" w:tplc="6B4CAA42">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9B68EA"/>
    <w:multiLevelType w:val="hybridMultilevel"/>
    <w:tmpl w:val="9C46B510"/>
    <w:lvl w:ilvl="0" w:tplc="6B4CAA42">
      <w:numFmt w:val="bullet"/>
      <w:lvlText w:val="-"/>
      <w:lvlJc w:val="left"/>
      <w:pPr>
        <w:ind w:left="720" w:hanging="360"/>
      </w:pPr>
      <w:rPr>
        <w:rFonts w:ascii="Times New Roman" w:eastAsia="MS Mincho"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0E0C82"/>
    <w:multiLevelType w:val="hybridMultilevel"/>
    <w:tmpl w:val="330C9DE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2E44D6"/>
    <w:multiLevelType w:val="hybridMultilevel"/>
    <w:tmpl w:val="200E4190"/>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4" w15:restartNumberingAfterBreak="0">
    <w:nsid w:val="202B3A5E"/>
    <w:multiLevelType w:val="multilevel"/>
    <w:tmpl w:val="226E5FFC"/>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1BE2D50"/>
    <w:multiLevelType w:val="hybridMultilevel"/>
    <w:tmpl w:val="08F4E9E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2AA37A64"/>
    <w:multiLevelType w:val="hybridMultilevel"/>
    <w:tmpl w:val="3A564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1031026"/>
    <w:multiLevelType w:val="hybridMultilevel"/>
    <w:tmpl w:val="D6541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357D05"/>
    <w:multiLevelType w:val="hybridMultilevel"/>
    <w:tmpl w:val="F66E77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8E30D3"/>
    <w:multiLevelType w:val="multilevel"/>
    <w:tmpl w:val="E188BA4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8E73894"/>
    <w:multiLevelType w:val="hybridMultilevel"/>
    <w:tmpl w:val="7A38428C"/>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22" w15:restartNumberingAfterBreak="0">
    <w:nsid w:val="3F847C82"/>
    <w:multiLevelType w:val="hybridMultilevel"/>
    <w:tmpl w:val="94785F5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3" w15:restartNumberingAfterBreak="0">
    <w:nsid w:val="41825075"/>
    <w:multiLevelType w:val="hybridMultilevel"/>
    <w:tmpl w:val="AE78CD26"/>
    <w:lvl w:ilvl="0" w:tplc="FFFFFFFF">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1ED5BEE"/>
    <w:multiLevelType w:val="hybridMultilevel"/>
    <w:tmpl w:val="09EE2E0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5" w15:restartNumberingAfterBreak="0">
    <w:nsid w:val="43BB0F73"/>
    <w:multiLevelType w:val="hybridMultilevel"/>
    <w:tmpl w:val="B7F2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A12239"/>
    <w:multiLevelType w:val="hybridMultilevel"/>
    <w:tmpl w:val="17FC755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4F8C0228"/>
    <w:multiLevelType w:val="hybridMultilevel"/>
    <w:tmpl w:val="AA62DDB6"/>
    <w:lvl w:ilvl="0" w:tplc="FFFFFFFF">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7A4369"/>
    <w:multiLevelType w:val="hybridMultilevel"/>
    <w:tmpl w:val="7AD00048"/>
    <w:lvl w:ilvl="0" w:tplc="6B4CAA42">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C4A4502"/>
    <w:multiLevelType w:val="hybridMultilevel"/>
    <w:tmpl w:val="28A0D470"/>
    <w:lvl w:ilvl="0" w:tplc="6B4CAA42">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700703"/>
    <w:multiLevelType w:val="hybridMultilevel"/>
    <w:tmpl w:val="2F8A12EE"/>
    <w:lvl w:ilvl="0" w:tplc="21C2952A">
      <w:start w:val="1"/>
      <w:numFmt w:val="bullet"/>
      <w:lvlText w:val=""/>
      <w:lvlJc w:val="left"/>
      <w:pPr>
        <w:tabs>
          <w:tab w:val="num" w:pos="357"/>
        </w:tabs>
        <w:ind w:left="357" w:hanging="357"/>
      </w:pPr>
      <w:rPr>
        <w:rFonts w:ascii="Symbol" w:hAnsi="Symbol" w:hint="default"/>
      </w:rPr>
    </w:lvl>
    <w:lvl w:ilvl="1" w:tplc="F3E4F994">
      <w:numFmt w:val="decimal"/>
      <w:lvlText w:val=""/>
      <w:lvlJc w:val="left"/>
    </w:lvl>
    <w:lvl w:ilvl="2" w:tplc="6BB2F62A">
      <w:numFmt w:val="decimal"/>
      <w:lvlText w:val=""/>
      <w:lvlJc w:val="left"/>
    </w:lvl>
    <w:lvl w:ilvl="3" w:tplc="4544B6B0">
      <w:numFmt w:val="decimal"/>
      <w:lvlText w:val=""/>
      <w:lvlJc w:val="left"/>
    </w:lvl>
    <w:lvl w:ilvl="4" w:tplc="35B6EFCE">
      <w:numFmt w:val="decimal"/>
      <w:lvlText w:val=""/>
      <w:lvlJc w:val="left"/>
    </w:lvl>
    <w:lvl w:ilvl="5" w:tplc="5D48E834">
      <w:numFmt w:val="decimal"/>
      <w:lvlText w:val=""/>
      <w:lvlJc w:val="left"/>
    </w:lvl>
    <w:lvl w:ilvl="6" w:tplc="AFF03D4C">
      <w:numFmt w:val="decimal"/>
      <w:lvlText w:val=""/>
      <w:lvlJc w:val="left"/>
    </w:lvl>
    <w:lvl w:ilvl="7" w:tplc="0E5A031E">
      <w:numFmt w:val="decimal"/>
      <w:lvlText w:val=""/>
      <w:lvlJc w:val="left"/>
    </w:lvl>
    <w:lvl w:ilvl="8" w:tplc="E604E1B2">
      <w:numFmt w:val="decimal"/>
      <w:lvlText w:val=""/>
      <w:lvlJc w:val="left"/>
    </w:lvl>
  </w:abstractNum>
  <w:abstractNum w:abstractNumId="32" w15:restartNumberingAfterBreak="0">
    <w:nsid w:val="630030BA"/>
    <w:multiLevelType w:val="hybridMultilevel"/>
    <w:tmpl w:val="271E1B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247730"/>
    <w:multiLevelType w:val="hybridMultilevel"/>
    <w:tmpl w:val="6096C72A"/>
    <w:lvl w:ilvl="0" w:tplc="6FAEBF82">
      <w:start w:val="5"/>
      <w:numFmt w:val="decimal"/>
      <w:lvlText w:val="%1."/>
      <w:lvlJc w:val="left"/>
      <w:pPr>
        <w:tabs>
          <w:tab w:val="num" w:pos="570"/>
        </w:tabs>
        <w:ind w:left="570" w:hanging="570"/>
      </w:pPr>
      <w:rPr>
        <w:rFonts w:hint="default"/>
      </w:rPr>
    </w:lvl>
    <w:lvl w:ilvl="1" w:tplc="587CDDAA">
      <w:numFmt w:val="decimal"/>
      <w:lvlText w:val=""/>
      <w:lvlJc w:val="left"/>
    </w:lvl>
    <w:lvl w:ilvl="2" w:tplc="66CE5B6E">
      <w:numFmt w:val="decimal"/>
      <w:lvlText w:val=""/>
      <w:lvlJc w:val="left"/>
    </w:lvl>
    <w:lvl w:ilvl="3" w:tplc="1A126918">
      <w:numFmt w:val="decimal"/>
      <w:lvlText w:val=""/>
      <w:lvlJc w:val="left"/>
    </w:lvl>
    <w:lvl w:ilvl="4" w:tplc="38B61EC4">
      <w:numFmt w:val="decimal"/>
      <w:lvlText w:val=""/>
      <w:lvlJc w:val="left"/>
    </w:lvl>
    <w:lvl w:ilvl="5" w:tplc="B39E68FA">
      <w:numFmt w:val="decimal"/>
      <w:lvlText w:val=""/>
      <w:lvlJc w:val="left"/>
    </w:lvl>
    <w:lvl w:ilvl="6" w:tplc="CE8E9D34">
      <w:numFmt w:val="decimal"/>
      <w:lvlText w:val=""/>
      <w:lvlJc w:val="left"/>
    </w:lvl>
    <w:lvl w:ilvl="7" w:tplc="42BEF38E">
      <w:numFmt w:val="decimal"/>
      <w:lvlText w:val=""/>
      <w:lvlJc w:val="left"/>
    </w:lvl>
    <w:lvl w:ilvl="8" w:tplc="1F7A0F24">
      <w:numFmt w:val="decimal"/>
      <w:lvlText w:val=""/>
      <w:lvlJc w:val="left"/>
    </w:lvl>
  </w:abstractNum>
  <w:abstractNum w:abstractNumId="34" w15:restartNumberingAfterBreak="0">
    <w:nsid w:val="6B014835"/>
    <w:multiLevelType w:val="multilevel"/>
    <w:tmpl w:val="F5AA0DBC"/>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710B1341"/>
    <w:multiLevelType w:val="hybridMultilevel"/>
    <w:tmpl w:val="AB5EA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252589"/>
    <w:multiLevelType w:val="hybridMultilevel"/>
    <w:tmpl w:val="488C8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33"/>
  </w:num>
  <w:num w:numId="3">
    <w:abstractNumId w:val="34"/>
  </w:num>
  <w:num w:numId="4">
    <w:abstractNumId w:val="20"/>
  </w:num>
  <w:num w:numId="5">
    <w:abstractNumId w:val="29"/>
  </w:num>
  <w:num w:numId="6">
    <w:abstractNumId w:val="17"/>
  </w:num>
  <w:num w:numId="7">
    <w:abstractNumId w:val="14"/>
  </w:num>
  <w:num w:numId="8">
    <w:abstractNumId w:val="18"/>
  </w:num>
  <w:num w:numId="9">
    <w:abstractNumId w:val="2"/>
  </w:num>
  <w:num w:numId="10">
    <w:abstractNumId w:val="19"/>
  </w:num>
  <w:num w:numId="11">
    <w:abstractNumId w:val="16"/>
  </w:num>
  <w:num w:numId="12">
    <w:abstractNumId w:val="25"/>
  </w:num>
  <w:num w:numId="13">
    <w:abstractNumId w:val="31"/>
  </w:num>
  <w:num w:numId="14">
    <w:abstractNumId w:val="28"/>
  </w:num>
  <w:num w:numId="15">
    <w:abstractNumId w:val="30"/>
  </w:num>
  <w:num w:numId="16">
    <w:abstractNumId w:val="11"/>
  </w:num>
  <w:num w:numId="17">
    <w:abstractNumId w:val="10"/>
  </w:num>
  <w:num w:numId="18">
    <w:abstractNumId w:val="35"/>
  </w:num>
  <w:num w:numId="19">
    <w:abstractNumId w:val="21"/>
  </w:num>
  <w:num w:numId="20">
    <w:abstractNumId w:val="4"/>
  </w:num>
  <w:num w:numId="21">
    <w:abstractNumId w:val="36"/>
  </w:num>
  <w:num w:numId="22">
    <w:abstractNumId w:val="5"/>
  </w:num>
  <w:num w:numId="23">
    <w:abstractNumId w:val="32"/>
  </w:num>
  <w:num w:numId="24">
    <w:abstractNumId w:val="9"/>
  </w:num>
  <w:num w:numId="25">
    <w:abstractNumId w:val="27"/>
  </w:num>
  <w:num w:numId="26">
    <w:abstractNumId w:val="23"/>
  </w:num>
  <w:num w:numId="27">
    <w:abstractNumId w:val="12"/>
  </w:num>
  <w:num w:numId="28">
    <w:abstractNumId w:val="3"/>
  </w:num>
  <w:num w:numId="29">
    <w:abstractNumId w:val="26"/>
  </w:num>
  <w:num w:numId="30">
    <w:abstractNumId w:val="23"/>
  </w:num>
  <w:num w:numId="31">
    <w:abstractNumId w:val="13"/>
  </w:num>
  <w:num w:numId="32">
    <w:abstractNumId w:val="6"/>
  </w:num>
  <w:num w:numId="33">
    <w:abstractNumId w:val="8"/>
  </w:num>
  <w:num w:numId="34">
    <w:abstractNumId w:val="15"/>
  </w:num>
  <w:num w:numId="35">
    <w:abstractNumId w:val="22"/>
  </w:num>
  <w:num w:numId="36">
    <w:abstractNumId w:val="24"/>
  </w:num>
  <w:num w:numId="37">
    <w:abstractNumId w:val="1"/>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D57"/>
    <w:rsid w:val="000000BB"/>
    <w:rsid w:val="000011E5"/>
    <w:rsid w:val="00002F2A"/>
    <w:rsid w:val="00003C6C"/>
    <w:rsid w:val="0000410E"/>
    <w:rsid w:val="00004FCF"/>
    <w:rsid w:val="00006D8F"/>
    <w:rsid w:val="00012153"/>
    <w:rsid w:val="00012C7C"/>
    <w:rsid w:val="00012DF1"/>
    <w:rsid w:val="00012FC9"/>
    <w:rsid w:val="00017D21"/>
    <w:rsid w:val="000201AD"/>
    <w:rsid w:val="00020545"/>
    <w:rsid w:val="00020AC8"/>
    <w:rsid w:val="00021631"/>
    <w:rsid w:val="000235A8"/>
    <w:rsid w:val="00023721"/>
    <w:rsid w:val="00025F17"/>
    <w:rsid w:val="00025F54"/>
    <w:rsid w:val="000330FD"/>
    <w:rsid w:val="00033217"/>
    <w:rsid w:val="0003378A"/>
    <w:rsid w:val="00040E13"/>
    <w:rsid w:val="00042F4E"/>
    <w:rsid w:val="00044794"/>
    <w:rsid w:val="00044A55"/>
    <w:rsid w:val="00044FF5"/>
    <w:rsid w:val="000462CA"/>
    <w:rsid w:val="00051E88"/>
    <w:rsid w:val="0005484F"/>
    <w:rsid w:val="00062BC6"/>
    <w:rsid w:val="000639FF"/>
    <w:rsid w:val="00066156"/>
    <w:rsid w:val="000663D6"/>
    <w:rsid w:val="00067B1F"/>
    <w:rsid w:val="000711B1"/>
    <w:rsid w:val="0007130C"/>
    <w:rsid w:val="00071E15"/>
    <w:rsid w:val="00076FE5"/>
    <w:rsid w:val="00085591"/>
    <w:rsid w:val="00085DBA"/>
    <w:rsid w:val="000864CA"/>
    <w:rsid w:val="000866CE"/>
    <w:rsid w:val="00087D96"/>
    <w:rsid w:val="00092B3D"/>
    <w:rsid w:val="00093DDE"/>
    <w:rsid w:val="0009422E"/>
    <w:rsid w:val="00097A7B"/>
    <w:rsid w:val="000A0AF8"/>
    <w:rsid w:val="000A15C7"/>
    <w:rsid w:val="000A1CA6"/>
    <w:rsid w:val="000A58D4"/>
    <w:rsid w:val="000B1315"/>
    <w:rsid w:val="000B4C87"/>
    <w:rsid w:val="000B6F6C"/>
    <w:rsid w:val="000C1EAF"/>
    <w:rsid w:val="000C26BD"/>
    <w:rsid w:val="000C33DB"/>
    <w:rsid w:val="000C543C"/>
    <w:rsid w:val="000C68F7"/>
    <w:rsid w:val="000D17EC"/>
    <w:rsid w:val="000D3283"/>
    <w:rsid w:val="000D6A69"/>
    <w:rsid w:val="000E2C6C"/>
    <w:rsid w:val="000E7086"/>
    <w:rsid w:val="000E708C"/>
    <w:rsid w:val="000E7109"/>
    <w:rsid w:val="000E7968"/>
    <w:rsid w:val="000F0EFC"/>
    <w:rsid w:val="000F4B1E"/>
    <w:rsid w:val="000F5497"/>
    <w:rsid w:val="000F7638"/>
    <w:rsid w:val="000F7F12"/>
    <w:rsid w:val="001063CA"/>
    <w:rsid w:val="00106B73"/>
    <w:rsid w:val="00107F15"/>
    <w:rsid w:val="00112440"/>
    <w:rsid w:val="00126CC2"/>
    <w:rsid w:val="0012714D"/>
    <w:rsid w:val="00130087"/>
    <w:rsid w:val="00130E55"/>
    <w:rsid w:val="00135B9A"/>
    <w:rsid w:val="00135EA8"/>
    <w:rsid w:val="0013603F"/>
    <w:rsid w:val="001413EA"/>
    <w:rsid w:val="001418FA"/>
    <w:rsid w:val="00142D39"/>
    <w:rsid w:val="00143645"/>
    <w:rsid w:val="001448F5"/>
    <w:rsid w:val="00145844"/>
    <w:rsid w:val="00146E06"/>
    <w:rsid w:val="00153BF4"/>
    <w:rsid w:val="00154339"/>
    <w:rsid w:val="00154B53"/>
    <w:rsid w:val="001560E2"/>
    <w:rsid w:val="001563BA"/>
    <w:rsid w:val="001614AA"/>
    <w:rsid w:val="001618B4"/>
    <w:rsid w:val="001622DF"/>
    <w:rsid w:val="00162B61"/>
    <w:rsid w:val="00164D4D"/>
    <w:rsid w:val="00166080"/>
    <w:rsid w:val="001664E9"/>
    <w:rsid w:val="001704A4"/>
    <w:rsid w:val="0017072D"/>
    <w:rsid w:val="00171292"/>
    <w:rsid w:val="00177AA0"/>
    <w:rsid w:val="00182F35"/>
    <w:rsid w:val="00185E09"/>
    <w:rsid w:val="0018648E"/>
    <w:rsid w:val="00186983"/>
    <w:rsid w:val="001907E9"/>
    <w:rsid w:val="00190814"/>
    <w:rsid w:val="00190F18"/>
    <w:rsid w:val="001936E8"/>
    <w:rsid w:val="00195D47"/>
    <w:rsid w:val="001A1A00"/>
    <w:rsid w:val="001A2234"/>
    <w:rsid w:val="001A4123"/>
    <w:rsid w:val="001A465C"/>
    <w:rsid w:val="001B0AC4"/>
    <w:rsid w:val="001B3DA0"/>
    <w:rsid w:val="001C1A15"/>
    <w:rsid w:val="001C4952"/>
    <w:rsid w:val="001C571A"/>
    <w:rsid w:val="001C5DC6"/>
    <w:rsid w:val="001D46E2"/>
    <w:rsid w:val="001D5CDA"/>
    <w:rsid w:val="001E5AD3"/>
    <w:rsid w:val="001E5E92"/>
    <w:rsid w:val="001E6743"/>
    <w:rsid w:val="001E6992"/>
    <w:rsid w:val="0020142F"/>
    <w:rsid w:val="00201CFE"/>
    <w:rsid w:val="0020310A"/>
    <w:rsid w:val="00203CD3"/>
    <w:rsid w:val="00205AC9"/>
    <w:rsid w:val="00206A1D"/>
    <w:rsid w:val="00206EC3"/>
    <w:rsid w:val="0021471C"/>
    <w:rsid w:val="002153EC"/>
    <w:rsid w:val="002154E6"/>
    <w:rsid w:val="0022128E"/>
    <w:rsid w:val="0022358B"/>
    <w:rsid w:val="00225AC2"/>
    <w:rsid w:val="0022743E"/>
    <w:rsid w:val="00232CFF"/>
    <w:rsid w:val="00233C03"/>
    <w:rsid w:val="00233F04"/>
    <w:rsid w:val="002350F7"/>
    <w:rsid w:val="00235EBD"/>
    <w:rsid w:val="00244EDA"/>
    <w:rsid w:val="00245A16"/>
    <w:rsid w:val="00247B84"/>
    <w:rsid w:val="00250006"/>
    <w:rsid w:val="00250EF9"/>
    <w:rsid w:val="002522AF"/>
    <w:rsid w:val="00255D56"/>
    <w:rsid w:val="00255EC3"/>
    <w:rsid w:val="00260D22"/>
    <w:rsid w:val="002621A9"/>
    <w:rsid w:val="0026244A"/>
    <w:rsid w:val="00262F3E"/>
    <w:rsid w:val="002671BD"/>
    <w:rsid w:val="00273567"/>
    <w:rsid w:val="00273E4E"/>
    <w:rsid w:val="00276C4D"/>
    <w:rsid w:val="002815F5"/>
    <w:rsid w:val="002841C2"/>
    <w:rsid w:val="002859ED"/>
    <w:rsid w:val="00285CB0"/>
    <w:rsid w:val="00285FFB"/>
    <w:rsid w:val="00286011"/>
    <w:rsid w:val="00287628"/>
    <w:rsid w:val="00290517"/>
    <w:rsid w:val="00295187"/>
    <w:rsid w:val="002A114C"/>
    <w:rsid w:val="002A2AE2"/>
    <w:rsid w:val="002A317F"/>
    <w:rsid w:val="002A4C4B"/>
    <w:rsid w:val="002B0526"/>
    <w:rsid w:val="002B31EB"/>
    <w:rsid w:val="002B3C48"/>
    <w:rsid w:val="002B3FC7"/>
    <w:rsid w:val="002B4624"/>
    <w:rsid w:val="002B5BDD"/>
    <w:rsid w:val="002B61FA"/>
    <w:rsid w:val="002B655C"/>
    <w:rsid w:val="002B6940"/>
    <w:rsid w:val="002C074A"/>
    <w:rsid w:val="002C5574"/>
    <w:rsid w:val="002C6541"/>
    <w:rsid w:val="002C7571"/>
    <w:rsid w:val="002D761B"/>
    <w:rsid w:val="002E182B"/>
    <w:rsid w:val="002E30A5"/>
    <w:rsid w:val="002E4E5E"/>
    <w:rsid w:val="002F07E5"/>
    <w:rsid w:val="002F09AE"/>
    <w:rsid w:val="002F0A86"/>
    <w:rsid w:val="002F17C3"/>
    <w:rsid w:val="002F5B59"/>
    <w:rsid w:val="002F62A4"/>
    <w:rsid w:val="002F6C63"/>
    <w:rsid w:val="00303ADF"/>
    <w:rsid w:val="00307224"/>
    <w:rsid w:val="00316159"/>
    <w:rsid w:val="00316C96"/>
    <w:rsid w:val="003172E2"/>
    <w:rsid w:val="00322A0B"/>
    <w:rsid w:val="00323F29"/>
    <w:rsid w:val="00325177"/>
    <w:rsid w:val="00330257"/>
    <w:rsid w:val="003305E0"/>
    <w:rsid w:val="003311D1"/>
    <w:rsid w:val="00331953"/>
    <w:rsid w:val="00336E7B"/>
    <w:rsid w:val="003403F3"/>
    <w:rsid w:val="00341956"/>
    <w:rsid w:val="0034592C"/>
    <w:rsid w:val="00346A8E"/>
    <w:rsid w:val="00347053"/>
    <w:rsid w:val="00351118"/>
    <w:rsid w:val="00353654"/>
    <w:rsid w:val="00355C52"/>
    <w:rsid w:val="0035656B"/>
    <w:rsid w:val="00362B2A"/>
    <w:rsid w:val="00364084"/>
    <w:rsid w:val="003746C5"/>
    <w:rsid w:val="00375D1D"/>
    <w:rsid w:val="003766D7"/>
    <w:rsid w:val="00380000"/>
    <w:rsid w:val="00380F4D"/>
    <w:rsid w:val="0038172B"/>
    <w:rsid w:val="00383464"/>
    <w:rsid w:val="00384153"/>
    <w:rsid w:val="003905CF"/>
    <w:rsid w:val="00391785"/>
    <w:rsid w:val="003917DE"/>
    <w:rsid w:val="00391949"/>
    <w:rsid w:val="00393EA0"/>
    <w:rsid w:val="00395587"/>
    <w:rsid w:val="003A0771"/>
    <w:rsid w:val="003A14B3"/>
    <w:rsid w:val="003A18E1"/>
    <w:rsid w:val="003A3C45"/>
    <w:rsid w:val="003A4D80"/>
    <w:rsid w:val="003B1984"/>
    <w:rsid w:val="003B4303"/>
    <w:rsid w:val="003B66D7"/>
    <w:rsid w:val="003C176B"/>
    <w:rsid w:val="003C1F47"/>
    <w:rsid w:val="003C3C4B"/>
    <w:rsid w:val="003C401A"/>
    <w:rsid w:val="003C454D"/>
    <w:rsid w:val="003C4F9F"/>
    <w:rsid w:val="003C762D"/>
    <w:rsid w:val="003D49F8"/>
    <w:rsid w:val="003D7B3D"/>
    <w:rsid w:val="003E7D0C"/>
    <w:rsid w:val="00400A41"/>
    <w:rsid w:val="00401374"/>
    <w:rsid w:val="00402313"/>
    <w:rsid w:val="004034E5"/>
    <w:rsid w:val="0040610C"/>
    <w:rsid w:val="0040652D"/>
    <w:rsid w:val="00422656"/>
    <w:rsid w:val="00422818"/>
    <w:rsid w:val="00426421"/>
    <w:rsid w:val="00430F88"/>
    <w:rsid w:val="00434B08"/>
    <w:rsid w:val="00440D93"/>
    <w:rsid w:val="00442869"/>
    <w:rsid w:val="00445E2F"/>
    <w:rsid w:val="00447920"/>
    <w:rsid w:val="00451BF6"/>
    <w:rsid w:val="00451C9E"/>
    <w:rsid w:val="0045644F"/>
    <w:rsid w:val="004615A4"/>
    <w:rsid w:val="00464779"/>
    <w:rsid w:val="00472668"/>
    <w:rsid w:val="0048010C"/>
    <w:rsid w:val="0048259D"/>
    <w:rsid w:val="004838B9"/>
    <w:rsid w:val="00484FE7"/>
    <w:rsid w:val="00486CB4"/>
    <w:rsid w:val="004876A4"/>
    <w:rsid w:val="004877F5"/>
    <w:rsid w:val="00491874"/>
    <w:rsid w:val="00495E7C"/>
    <w:rsid w:val="00496159"/>
    <w:rsid w:val="00497419"/>
    <w:rsid w:val="004A0274"/>
    <w:rsid w:val="004A6E4D"/>
    <w:rsid w:val="004A7076"/>
    <w:rsid w:val="004B0BAC"/>
    <w:rsid w:val="004B1163"/>
    <w:rsid w:val="004B321A"/>
    <w:rsid w:val="004B52A9"/>
    <w:rsid w:val="004B5E6F"/>
    <w:rsid w:val="004B64B5"/>
    <w:rsid w:val="004B68CB"/>
    <w:rsid w:val="004C2E80"/>
    <w:rsid w:val="004C2EDE"/>
    <w:rsid w:val="004C52B8"/>
    <w:rsid w:val="004C6CE8"/>
    <w:rsid w:val="004D23A5"/>
    <w:rsid w:val="004D2F8A"/>
    <w:rsid w:val="004D6BBA"/>
    <w:rsid w:val="004E18C3"/>
    <w:rsid w:val="004F2AAA"/>
    <w:rsid w:val="004F2C26"/>
    <w:rsid w:val="004F712F"/>
    <w:rsid w:val="004F79D6"/>
    <w:rsid w:val="005016BC"/>
    <w:rsid w:val="00501CF6"/>
    <w:rsid w:val="005039BC"/>
    <w:rsid w:val="00506724"/>
    <w:rsid w:val="00515ED3"/>
    <w:rsid w:val="0051637D"/>
    <w:rsid w:val="005219BC"/>
    <w:rsid w:val="00522460"/>
    <w:rsid w:val="0052539A"/>
    <w:rsid w:val="00530360"/>
    <w:rsid w:val="005309EF"/>
    <w:rsid w:val="00532F23"/>
    <w:rsid w:val="00533AC5"/>
    <w:rsid w:val="0053566A"/>
    <w:rsid w:val="0053650A"/>
    <w:rsid w:val="00536FD3"/>
    <w:rsid w:val="00541240"/>
    <w:rsid w:val="0054202F"/>
    <w:rsid w:val="00545958"/>
    <w:rsid w:val="00545C8D"/>
    <w:rsid w:val="00546E8F"/>
    <w:rsid w:val="0055043C"/>
    <w:rsid w:val="00551820"/>
    <w:rsid w:val="00551848"/>
    <w:rsid w:val="00551D33"/>
    <w:rsid w:val="005524B9"/>
    <w:rsid w:val="00552994"/>
    <w:rsid w:val="00556380"/>
    <w:rsid w:val="00557C9D"/>
    <w:rsid w:val="005608FF"/>
    <w:rsid w:val="00564E28"/>
    <w:rsid w:val="00566697"/>
    <w:rsid w:val="0056773E"/>
    <w:rsid w:val="00576AAC"/>
    <w:rsid w:val="00582C4D"/>
    <w:rsid w:val="00593C60"/>
    <w:rsid w:val="0059478F"/>
    <w:rsid w:val="00596B12"/>
    <w:rsid w:val="005A4283"/>
    <w:rsid w:val="005A5AF0"/>
    <w:rsid w:val="005A702A"/>
    <w:rsid w:val="005B02F3"/>
    <w:rsid w:val="005B6595"/>
    <w:rsid w:val="005C02C5"/>
    <w:rsid w:val="005C1246"/>
    <w:rsid w:val="005C7E96"/>
    <w:rsid w:val="005D1DA6"/>
    <w:rsid w:val="005D27A7"/>
    <w:rsid w:val="005E6229"/>
    <w:rsid w:val="006007F8"/>
    <w:rsid w:val="0060089F"/>
    <w:rsid w:val="006024C2"/>
    <w:rsid w:val="006038EF"/>
    <w:rsid w:val="00605319"/>
    <w:rsid w:val="00606127"/>
    <w:rsid w:val="00606D69"/>
    <w:rsid w:val="00612478"/>
    <w:rsid w:val="00612479"/>
    <w:rsid w:val="00615982"/>
    <w:rsid w:val="00616C9D"/>
    <w:rsid w:val="006170E0"/>
    <w:rsid w:val="006206C1"/>
    <w:rsid w:val="00623609"/>
    <w:rsid w:val="00631495"/>
    <w:rsid w:val="00633DC1"/>
    <w:rsid w:val="00634908"/>
    <w:rsid w:val="0063639D"/>
    <w:rsid w:val="006452D1"/>
    <w:rsid w:val="00646227"/>
    <w:rsid w:val="00647788"/>
    <w:rsid w:val="00650AB1"/>
    <w:rsid w:val="006577E0"/>
    <w:rsid w:val="00666C8F"/>
    <w:rsid w:val="00671215"/>
    <w:rsid w:val="00675383"/>
    <w:rsid w:val="00677D8E"/>
    <w:rsid w:val="00680439"/>
    <w:rsid w:val="00680465"/>
    <w:rsid w:val="00682A06"/>
    <w:rsid w:val="00683C69"/>
    <w:rsid w:val="006953E9"/>
    <w:rsid w:val="00695B68"/>
    <w:rsid w:val="0069795B"/>
    <w:rsid w:val="006A1672"/>
    <w:rsid w:val="006A1F89"/>
    <w:rsid w:val="006A304E"/>
    <w:rsid w:val="006A3A28"/>
    <w:rsid w:val="006A462E"/>
    <w:rsid w:val="006A5D0A"/>
    <w:rsid w:val="006A5E32"/>
    <w:rsid w:val="006A66CF"/>
    <w:rsid w:val="006B3069"/>
    <w:rsid w:val="006B5821"/>
    <w:rsid w:val="006B6255"/>
    <w:rsid w:val="006B6729"/>
    <w:rsid w:val="006C0461"/>
    <w:rsid w:val="006C3B4C"/>
    <w:rsid w:val="006C5E40"/>
    <w:rsid w:val="006C6E2E"/>
    <w:rsid w:val="006C7F45"/>
    <w:rsid w:val="006C7F82"/>
    <w:rsid w:val="006D128E"/>
    <w:rsid w:val="006D1CF2"/>
    <w:rsid w:val="006D4292"/>
    <w:rsid w:val="006D481E"/>
    <w:rsid w:val="006D4E04"/>
    <w:rsid w:val="006D5ACA"/>
    <w:rsid w:val="006D63B4"/>
    <w:rsid w:val="006E154A"/>
    <w:rsid w:val="006E3B39"/>
    <w:rsid w:val="006F074F"/>
    <w:rsid w:val="006F19AE"/>
    <w:rsid w:val="006F2F63"/>
    <w:rsid w:val="007027A2"/>
    <w:rsid w:val="00706E2B"/>
    <w:rsid w:val="00711067"/>
    <w:rsid w:val="0071429D"/>
    <w:rsid w:val="007213DD"/>
    <w:rsid w:val="00721A2D"/>
    <w:rsid w:val="00721F5B"/>
    <w:rsid w:val="00731D4C"/>
    <w:rsid w:val="00736FF6"/>
    <w:rsid w:val="007401FF"/>
    <w:rsid w:val="007421F9"/>
    <w:rsid w:val="0074736A"/>
    <w:rsid w:val="007515A3"/>
    <w:rsid w:val="00760605"/>
    <w:rsid w:val="0076095C"/>
    <w:rsid w:val="007639A8"/>
    <w:rsid w:val="00765547"/>
    <w:rsid w:val="00767833"/>
    <w:rsid w:val="0077000D"/>
    <w:rsid w:val="00772E12"/>
    <w:rsid w:val="00775CD3"/>
    <w:rsid w:val="00780F01"/>
    <w:rsid w:val="00784895"/>
    <w:rsid w:val="00785973"/>
    <w:rsid w:val="007867D5"/>
    <w:rsid w:val="00786CB8"/>
    <w:rsid w:val="00790EDC"/>
    <w:rsid w:val="0079293D"/>
    <w:rsid w:val="00792CE3"/>
    <w:rsid w:val="00795E95"/>
    <w:rsid w:val="007A0869"/>
    <w:rsid w:val="007A0889"/>
    <w:rsid w:val="007A4226"/>
    <w:rsid w:val="007A671E"/>
    <w:rsid w:val="007A7C54"/>
    <w:rsid w:val="007B025C"/>
    <w:rsid w:val="007B0E17"/>
    <w:rsid w:val="007B1163"/>
    <w:rsid w:val="007B1605"/>
    <w:rsid w:val="007B63E1"/>
    <w:rsid w:val="007C0B4D"/>
    <w:rsid w:val="007C1651"/>
    <w:rsid w:val="007C6955"/>
    <w:rsid w:val="007C7068"/>
    <w:rsid w:val="007D2421"/>
    <w:rsid w:val="007D4115"/>
    <w:rsid w:val="007D418F"/>
    <w:rsid w:val="007D4E12"/>
    <w:rsid w:val="007E0AAF"/>
    <w:rsid w:val="007E100F"/>
    <w:rsid w:val="007E224E"/>
    <w:rsid w:val="007E30BD"/>
    <w:rsid w:val="007E4280"/>
    <w:rsid w:val="007E57B3"/>
    <w:rsid w:val="007E7764"/>
    <w:rsid w:val="007E79CB"/>
    <w:rsid w:val="007F2F03"/>
    <w:rsid w:val="007F54A2"/>
    <w:rsid w:val="00802089"/>
    <w:rsid w:val="00807DCB"/>
    <w:rsid w:val="00811FC4"/>
    <w:rsid w:val="0081373B"/>
    <w:rsid w:val="00813A14"/>
    <w:rsid w:val="00815D72"/>
    <w:rsid w:val="00816F01"/>
    <w:rsid w:val="00820A5F"/>
    <w:rsid w:val="008218B0"/>
    <w:rsid w:val="0082212B"/>
    <w:rsid w:val="00822619"/>
    <w:rsid w:val="008246D0"/>
    <w:rsid w:val="00824A96"/>
    <w:rsid w:val="00824F20"/>
    <w:rsid w:val="0082759C"/>
    <w:rsid w:val="00831811"/>
    <w:rsid w:val="008350FA"/>
    <w:rsid w:val="00835917"/>
    <w:rsid w:val="008372AE"/>
    <w:rsid w:val="008374A9"/>
    <w:rsid w:val="0084158A"/>
    <w:rsid w:val="008459D9"/>
    <w:rsid w:val="008479E5"/>
    <w:rsid w:val="00852428"/>
    <w:rsid w:val="00857025"/>
    <w:rsid w:val="008579E3"/>
    <w:rsid w:val="00860291"/>
    <w:rsid w:val="00861818"/>
    <w:rsid w:val="00862F0E"/>
    <w:rsid w:val="00862F21"/>
    <w:rsid w:val="00863F1F"/>
    <w:rsid w:val="008678CE"/>
    <w:rsid w:val="00874B85"/>
    <w:rsid w:val="008827BB"/>
    <w:rsid w:val="00883B6C"/>
    <w:rsid w:val="008854FA"/>
    <w:rsid w:val="008869CE"/>
    <w:rsid w:val="0088728F"/>
    <w:rsid w:val="00887E51"/>
    <w:rsid w:val="008901FD"/>
    <w:rsid w:val="008907C3"/>
    <w:rsid w:val="00891DEA"/>
    <w:rsid w:val="00892354"/>
    <w:rsid w:val="0089560E"/>
    <w:rsid w:val="00896F0F"/>
    <w:rsid w:val="0089786E"/>
    <w:rsid w:val="008A7357"/>
    <w:rsid w:val="008A79C1"/>
    <w:rsid w:val="008B0445"/>
    <w:rsid w:val="008B1F57"/>
    <w:rsid w:val="008B41DE"/>
    <w:rsid w:val="008B55D3"/>
    <w:rsid w:val="008C199D"/>
    <w:rsid w:val="008C34AE"/>
    <w:rsid w:val="008C4633"/>
    <w:rsid w:val="008C747F"/>
    <w:rsid w:val="008D0B19"/>
    <w:rsid w:val="008D0EA7"/>
    <w:rsid w:val="008D2128"/>
    <w:rsid w:val="008D36CD"/>
    <w:rsid w:val="008D58BE"/>
    <w:rsid w:val="008D61B0"/>
    <w:rsid w:val="008E000D"/>
    <w:rsid w:val="008E76CB"/>
    <w:rsid w:val="008F3069"/>
    <w:rsid w:val="008F431C"/>
    <w:rsid w:val="008F6D1D"/>
    <w:rsid w:val="00900254"/>
    <w:rsid w:val="00903775"/>
    <w:rsid w:val="00907ABF"/>
    <w:rsid w:val="0092005E"/>
    <w:rsid w:val="00936E3C"/>
    <w:rsid w:val="009378A9"/>
    <w:rsid w:val="0094099E"/>
    <w:rsid w:val="00941B3F"/>
    <w:rsid w:val="00942C75"/>
    <w:rsid w:val="009436CF"/>
    <w:rsid w:val="009530DC"/>
    <w:rsid w:val="00955867"/>
    <w:rsid w:val="00956BAA"/>
    <w:rsid w:val="00957634"/>
    <w:rsid w:val="009601C6"/>
    <w:rsid w:val="00965793"/>
    <w:rsid w:val="0097290B"/>
    <w:rsid w:val="00973676"/>
    <w:rsid w:val="00974B8F"/>
    <w:rsid w:val="009753DF"/>
    <w:rsid w:val="00975A5D"/>
    <w:rsid w:val="009821FB"/>
    <w:rsid w:val="009825D9"/>
    <w:rsid w:val="009866A5"/>
    <w:rsid w:val="00986A79"/>
    <w:rsid w:val="0099176B"/>
    <w:rsid w:val="009A1960"/>
    <w:rsid w:val="009A364E"/>
    <w:rsid w:val="009A5152"/>
    <w:rsid w:val="009A5A49"/>
    <w:rsid w:val="009A74CB"/>
    <w:rsid w:val="009B2561"/>
    <w:rsid w:val="009B4C9D"/>
    <w:rsid w:val="009B730E"/>
    <w:rsid w:val="009B7DD3"/>
    <w:rsid w:val="009C1332"/>
    <w:rsid w:val="009C24D9"/>
    <w:rsid w:val="009C399E"/>
    <w:rsid w:val="009C44FA"/>
    <w:rsid w:val="009D0CCA"/>
    <w:rsid w:val="009D1080"/>
    <w:rsid w:val="009D4474"/>
    <w:rsid w:val="009E0774"/>
    <w:rsid w:val="009E1EC8"/>
    <w:rsid w:val="009E2704"/>
    <w:rsid w:val="009E2930"/>
    <w:rsid w:val="009E36A0"/>
    <w:rsid w:val="009E6253"/>
    <w:rsid w:val="009F2CAB"/>
    <w:rsid w:val="009F37E0"/>
    <w:rsid w:val="00A000BD"/>
    <w:rsid w:val="00A0107D"/>
    <w:rsid w:val="00A02C0E"/>
    <w:rsid w:val="00A04372"/>
    <w:rsid w:val="00A07A6C"/>
    <w:rsid w:val="00A123EF"/>
    <w:rsid w:val="00A12DE0"/>
    <w:rsid w:val="00A15023"/>
    <w:rsid w:val="00A17640"/>
    <w:rsid w:val="00A20917"/>
    <w:rsid w:val="00A215C3"/>
    <w:rsid w:val="00A22BD0"/>
    <w:rsid w:val="00A23DAA"/>
    <w:rsid w:val="00A25120"/>
    <w:rsid w:val="00A26555"/>
    <w:rsid w:val="00A3043A"/>
    <w:rsid w:val="00A32192"/>
    <w:rsid w:val="00A43B8D"/>
    <w:rsid w:val="00A43EAC"/>
    <w:rsid w:val="00A4458D"/>
    <w:rsid w:val="00A51259"/>
    <w:rsid w:val="00A53BB0"/>
    <w:rsid w:val="00A544C8"/>
    <w:rsid w:val="00A54C21"/>
    <w:rsid w:val="00A55159"/>
    <w:rsid w:val="00A60A1D"/>
    <w:rsid w:val="00A64FE5"/>
    <w:rsid w:val="00A675D9"/>
    <w:rsid w:val="00A70DC5"/>
    <w:rsid w:val="00A721C8"/>
    <w:rsid w:val="00A728E8"/>
    <w:rsid w:val="00A740E6"/>
    <w:rsid w:val="00A74FBB"/>
    <w:rsid w:val="00A811EF"/>
    <w:rsid w:val="00A83013"/>
    <w:rsid w:val="00A910CA"/>
    <w:rsid w:val="00A95A0D"/>
    <w:rsid w:val="00A96D26"/>
    <w:rsid w:val="00A9794F"/>
    <w:rsid w:val="00A97960"/>
    <w:rsid w:val="00A97E78"/>
    <w:rsid w:val="00A97F41"/>
    <w:rsid w:val="00AA0886"/>
    <w:rsid w:val="00AA40B6"/>
    <w:rsid w:val="00AA4CE7"/>
    <w:rsid w:val="00AB054C"/>
    <w:rsid w:val="00AB6070"/>
    <w:rsid w:val="00AC09D1"/>
    <w:rsid w:val="00AC1956"/>
    <w:rsid w:val="00AC2F5F"/>
    <w:rsid w:val="00AC3058"/>
    <w:rsid w:val="00AC51E4"/>
    <w:rsid w:val="00AD0029"/>
    <w:rsid w:val="00AD17B4"/>
    <w:rsid w:val="00AD3B60"/>
    <w:rsid w:val="00AD4A2A"/>
    <w:rsid w:val="00AD6326"/>
    <w:rsid w:val="00AD7F89"/>
    <w:rsid w:val="00AE13F8"/>
    <w:rsid w:val="00AE5890"/>
    <w:rsid w:val="00AE6BF1"/>
    <w:rsid w:val="00AF022B"/>
    <w:rsid w:val="00AF1268"/>
    <w:rsid w:val="00AF3631"/>
    <w:rsid w:val="00AF4813"/>
    <w:rsid w:val="00AF7284"/>
    <w:rsid w:val="00B01458"/>
    <w:rsid w:val="00B05484"/>
    <w:rsid w:val="00B065A6"/>
    <w:rsid w:val="00B10223"/>
    <w:rsid w:val="00B104B5"/>
    <w:rsid w:val="00B1106D"/>
    <w:rsid w:val="00B121AA"/>
    <w:rsid w:val="00B12419"/>
    <w:rsid w:val="00B129E6"/>
    <w:rsid w:val="00B143AE"/>
    <w:rsid w:val="00B15416"/>
    <w:rsid w:val="00B16D57"/>
    <w:rsid w:val="00B23066"/>
    <w:rsid w:val="00B24363"/>
    <w:rsid w:val="00B24CEB"/>
    <w:rsid w:val="00B2530F"/>
    <w:rsid w:val="00B27EC7"/>
    <w:rsid w:val="00B30F19"/>
    <w:rsid w:val="00B31477"/>
    <w:rsid w:val="00B31CAE"/>
    <w:rsid w:val="00B32287"/>
    <w:rsid w:val="00B32A54"/>
    <w:rsid w:val="00B3730B"/>
    <w:rsid w:val="00B40D06"/>
    <w:rsid w:val="00B418AF"/>
    <w:rsid w:val="00B42890"/>
    <w:rsid w:val="00B42A3C"/>
    <w:rsid w:val="00B42A83"/>
    <w:rsid w:val="00B51AD5"/>
    <w:rsid w:val="00B525B1"/>
    <w:rsid w:val="00B528D5"/>
    <w:rsid w:val="00B533C1"/>
    <w:rsid w:val="00B53D5E"/>
    <w:rsid w:val="00B55B74"/>
    <w:rsid w:val="00B56CA3"/>
    <w:rsid w:val="00B57D60"/>
    <w:rsid w:val="00B65849"/>
    <w:rsid w:val="00B67CE6"/>
    <w:rsid w:val="00B73F41"/>
    <w:rsid w:val="00B7719A"/>
    <w:rsid w:val="00B77D27"/>
    <w:rsid w:val="00B8000D"/>
    <w:rsid w:val="00B804FB"/>
    <w:rsid w:val="00B818AD"/>
    <w:rsid w:val="00B829B3"/>
    <w:rsid w:val="00B84510"/>
    <w:rsid w:val="00B854D7"/>
    <w:rsid w:val="00B91011"/>
    <w:rsid w:val="00B927DA"/>
    <w:rsid w:val="00B931E2"/>
    <w:rsid w:val="00B97C3F"/>
    <w:rsid w:val="00BA1B0E"/>
    <w:rsid w:val="00BA2A18"/>
    <w:rsid w:val="00BA34B4"/>
    <w:rsid w:val="00BA587C"/>
    <w:rsid w:val="00BA6513"/>
    <w:rsid w:val="00BA7206"/>
    <w:rsid w:val="00BB28EB"/>
    <w:rsid w:val="00BB5EFB"/>
    <w:rsid w:val="00BB748F"/>
    <w:rsid w:val="00BC18DD"/>
    <w:rsid w:val="00BC18F4"/>
    <w:rsid w:val="00BC4B1A"/>
    <w:rsid w:val="00BD12DC"/>
    <w:rsid w:val="00BD2857"/>
    <w:rsid w:val="00BD377A"/>
    <w:rsid w:val="00BD385A"/>
    <w:rsid w:val="00BD701B"/>
    <w:rsid w:val="00BD7637"/>
    <w:rsid w:val="00BD76EA"/>
    <w:rsid w:val="00BD788A"/>
    <w:rsid w:val="00BE1B7F"/>
    <w:rsid w:val="00BE2A56"/>
    <w:rsid w:val="00BF188D"/>
    <w:rsid w:val="00BF7815"/>
    <w:rsid w:val="00C00E6E"/>
    <w:rsid w:val="00C059F9"/>
    <w:rsid w:val="00C069F0"/>
    <w:rsid w:val="00C10D80"/>
    <w:rsid w:val="00C111F6"/>
    <w:rsid w:val="00C1256C"/>
    <w:rsid w:val="00C13696"/>
    <w:rsid w:val="00C15232"/>
    <w:rsid w:val="00C27FE1"/>
    <w:rsid w:val="00C306AD"/>
    <w:rsid w:val="00C3331E"/>
    <w:rsid w:val="00C3376D"/>
    <w:rsid w:val="00C33A39"/>
    <w:rsid w:val="00C33B2A"/>
    <w:rsid w:val="00C35D1B"/>
    <w:rsid w:val="00C36038"/>
    <w:rsid w:val="00C36B9E"/>
    <w:rsid w:val="00C405C8"/>
    <w:rsid w:val="00C43D9C"/>
    <w:rsid w:val="00C441F0"/>
    <w:rsid w:val="00C44BFA"/>
    <w:rsid w:val="00C450B3"/>
    <w:rsid w:val="00C50774"/>
    <w:rsid w:val="00C55068"/>
    <w:rsid w:val="00C55286"/>
    <w:rsid w:val="00C55DFD"/>
    <w:rsid w:val="00C56701"/>
    <w:rsid w:val="00C56E2D"/>
    <w:rsid w:val="00C571AB"/>
    <w:rsid w:val="00C60F1A"/>
    <w:rsid w:val="00C61F41"/>
    <w:rsid w:val="00C645F2"/>
    <w:rsid w:val="00C71ACA"/>
    <w:rsid w:val="00C779F3"/>
    <w:rsid w:val="00C779FF"/>
    <w:rsid w:val="00C77D61"/>
    <w:rsid w:val="00C83364"/>
    <w:rsid w:val="00C83D84"/>
    <w:rsid w:val="00C86A0C"/>
    <w:rsid w:val="00C86C19"/>
    <w:rsid w:val="00C87C31"/>
    <w:rsid w:val="00C9437D"/>
    <w:rsid w:val="00C95E28"/>
    <w:rsid w:val="00C97ABA"/>
    <w:rsid w:val="00C97D00"/>
    <w:rsid w:val="00CA07B1"/>
    <w:rsid w:val="00CA2386"/>
    <w:rsid w:val="00CA4187"/>
    <w:rsid w:val="00CB067C"/>
    <w:rsid w:val="00CB1ADE"/>
    <w:rsid w:val="00CB3512"/>
    <w:rsid w:val="00CB6F12"/>
    <w:rsid w:val="00CB730D"/>
    <w:rsid w:val="00CB760C"/>
    <w:rsid w:val="00CC5195"/>
    <w:rsid w:val="00CC7947"/>
    <w:rsid w:val="00CD0B7E"/>
    <w:rsid w:val="00CD727A"/>
    <w:rsid w:val="00CE1C4B"/>
    <w:rsid w:val="00CE3AB9"/>
    <w:rsid w:val="00CF18BD"/>
    <w:rsid w:val="00CF6940"/>
    <w:rsid w:val="00D032C6"/>
    <w:rsid w:val="00D04188"/>
    <w:rsid w:val="00D04C13"/>
    <w:rsid w:val="00D10C25"/>
    <w:rsid w:val="00D1119F"/>
    <w:rsid w:val="00D11E85"/>
    <w:rsid w:val="00D11F3B"/>
    <w:rsid w:val="00D12AC2"/>
    <w:rsid w:val="00D20AAA"/>
    <w:rsid w:val="00D216E0"/>
    <w:rsid w:val="00D2344A"/>
    <w:rsid w:val="00D2745F"/>
    <w:rsid w:val="00D31A33"/>
    <w:rsid w:val="00D33400"/>
    <w:rsid w:val="00D34F21"/>
    <w:rsid w:val="00D35724"/>
    <w:rsid w:val="00D36E41"/>
    <w:rsid w:val="00D36F8F"/>
    <w:rsid w:val="00D44129"/>
    <w:rsid w:val="00D450A9"/>
    <w:rsid w:val="00D454F2"/>
    <w:rsid w:val="00D47D4D"/>
    <w:rsid w:val="00D50675"/>
    <w:rsid w:val="00D50861"/>
    <w:rsid w:val="00D55A94"/>
    <w:rsid w:val="00D610E7"/>
    <w:rsid w:val="00D643BB"/>
    <w:rsid w:val="00D66088"/>
    <w:rsid w:val="00D70637"/>
    <w:rsid w:val="00D70776"/>
    <w:rsid w:val="00D70C29"/>
    <w:rsid w:val="00D72019"/>
    <w:rsid w:val="00D72E67"/>
    <w:rsid w:val="00D75A3F"/>
    <w:rsid w:val="00D80C83"/>
    <w:rsid w:val="00D81FD0"/>
    <w:rsid w:val="00D90D73"/>
    <w:rsid w:val="00D91151"/>
    <w:rsid w:val="00D91D82"/>
    <w:rsid w:val="00D928F6"/>
    <w:rsid w:val="00D92BFE"/>
    <w:rsid w:val="00D97A95"/>
    <w:rsid w:val="00D97C33"/>
    <w:rsid w:val="00DA54C9"/>
    <w:rsid w:val="00DA5AC5"/>
    <w:rsid w:val="00DA5BE4"/>
    <w:rsid w:val="00DA6DB2"/>
    <w:rsid w:val="00DA7980"/>
    <w:rsid w:val="00DB21E7"/>
    <w:rsid w:val="00DB2F05"/>
    <w:rsid w:val="00DB6D41"/>
    <w:rsid w:val="00DB7C1F"/>
    <w:rsid w:val="00DC1732"/>
    <w:rsid w:val="00DD05CF"/>
    <w:rsid w:val="00DD0805"/>
    <w:rsid w:val="00DD2719"/>
    <w:rsid w:val="00DD2A7C"/>
    <w:rsid w:val="00DD3C28"/>
    <w:rsid w:val="00DD45A3"/>
    <w:rsid w:val="00DD5D25"/>
    <w:rsid w:val="00DD76E5"/>
    <w:rsid w:val="00DD78FE"/>
    <w:rsid w:val="00DE002D"/>
    <w:rsid w:val="00DE18AD"/>
    <w:rsid w:val="00DE18B8"/>
    <w:rsid w:val="00DE1AD8"/>
    <w:rsid w:val="00DE1B46"/>
    <w:rsid w:val="00DE2C93"/>
    <w:rsid w:val="00DE349F"/>
    <w:rsid w:val="00DE3D7E"/>
    <w:rsid w:val="00DE61C3"/>
    <w:rsid w:val="00DF2D4A"/>
    <w:rsid w:val="00DF444E"/>
    <w:rsid w:val="00DF590E"/>
    <w:rsid w:val="00DF69C1"/>
    <w:rsid w:val="00DF6A61"/>
    <w:rsid w:val="00E02C32"/>
    <w:rsid w:val="00E0330D"/>
    <w:rsid w:val="00E03F67"/>
    <w:rsid w:val="00E04B10"/>
    <w:rsid w:val="00E04E3D"/>
    <w:rsid w:val="00E04E8A"/>
    <w:rsid w:val="00E0629E"/>
    <w:rsid w:val="00E06E3C"/>
    <w:rsid w:val="00E0730E"/>
    <w:rsid w:val="00E11BD2"/>
    <w:rsid w:val="00E147CD"/>
    <w:rsid w:val="00E1575E"/>
    <w:rsid w:val="00E15FD2"/>
    <w:rsid w:val="00E17E7F"/>
    <w:rsid w:val="00E22329"/>
    <w:rsid w:val="00E22687"/>
    <w:rsid w:val="00E23463"/>
    <w:rsid w:val="00E25FDF"/>
    <w:rsid w:val="00E31600"/>
    <w:rsid w:val="00E32483"/>
    <w:rsid w:val="00E34770"/>
    <w:rsid w:val="00E376B1"/>
    <w:rsid w:val="00E37F56"/>
    <w:rsid w:val="00E44CD8"/>
    <w:rsid w:val="00E45323"/>
    <w:rsid w:val="00E51289"/>
    <w:rsid w:val="00E51FBE"/>
    <w:rsid w:val="00E564F2"/>
    <w:rsid w:val="00E5659E"/>
    <w:rsid w:val="00E57186"/>
    <w:rsid w:val="00E61AC2"/>
    <w:rsid w:val="00E6536B"/>
    <w:rsid w:val="00E7098B"/>
    <w:rsid w:val="00E721DE"/>
    <w:rsid w:val="00E74E17"/>
    <w:rsid w:val="00E764DC"/>
    <w:rsid w:val="00E801B8"/>
    <w:rsid w:val="00E80F02"/>
    <w:rsid w:val="00E82634"/>
    <w:rsid w:val="00E83DD6"/>
    <w:rsid w:val="00E84285"/>
    <w:rsid w:val="00E84C80"/>
    <w:rsid w:val="00E85F42"/>
    <w:rsid w:val="00E87252"/>
    <w:rsid w:val="00E87511"/>
    <w:rsid w:val="00E9054F"/>
    <w:rsid w:val="00E90841"/>
    <w:rsid w:val="00E910AA"/>
    <w:rsid w:val="00E933C9"/>
    <w:rsid w:val="00E95A36"/>
    <w:rsid w:val="00E95ED5"/>
    <w:rsid w:val="00E96842"/>
    <w:rsid w:val="00E977BF"/>
    <w:rsid w:val="00E97D4F"/>
    <w:rsid w:val="00EA79A0"/>
    <w:rsid w:val="00EA7DB8"/>
    <w:rsid w:val="00EB74F0"/>
    <w:rsid w:val="00EB77C7"/>
    <w:rsid w:val="00EC0F47"/>
    <w:rsid w:val="00EC3A35"/>
    <w:rsid w:val="00EC7617"/>
    <w:rsid w:val="00ED38F3"/>
    <w:rsid w:val="00ED6F85"/>
    <w:rsid w:val="00EE003A"/>
    <w:rsid w:val="00EE44B9"/>
    <w:rsid w:val="00EE5840"/>
    <w:rsid w:val="00EE6282"/>
    <w:rsid w:val="00EF553E"/>
    <w:rsid w:val="00EF679F"/>
    <w:rsid w:val="00EF6EC8"/>
    <w:rsid w:val="00EF740C"/>
    <w:rsid w:val="00F010D3"/>
    <w:rsid w:val="00F01FE7"/>
    <w:rsid w:val="00F020EA"/>
    <w:rsid w:val="00F068F9"/>
    <w:rsid w:val="00F14141"/>
    <w:rsid w:val="00F15407"/>
    <w:rsid w:val="00F163BF"/>
    <w:rsid w:val="00F16519"/>
    <w:rsid w:val="00F172F5"/>
    <w:rsid w:val="00F200EF"/>
    <w:rsid w:val="00F2047F"/>
    <w:rsid w:val="00F23F6F"/>
    <w:rsid w:val="00F26717"/>
    <w:rsid w:val="00F311C7"/>
    <w:rsid w:val="00F31499"/>
    <w:rsid w:val="00F40860"/>
    <w:rsid w:val="00F40F52"/>
    <w:rsid w:val="00F41BC5"/>
    <w:rsid w:val="00F420F3"/>
    <w:rsid w:val="00F43E63"/>
    <w:rsid w:val="00F4585A"/>
    <w:rsid w:val="00F45D57"/>
    <w:rsid w:val="00F511CD"/>
    <w:rsid w:val="00F51B69"/>
    <w:rsid w:val="00F555C4"/>
    <w:rsid w:val="00F6052D"/>
    <w:rsid w:val="00F61472"/>
    <w:rsid w:val="00F61639"/>
    <w:rsid w:val="00F624B7"/>
    <w:rsid w:val="00F62DDE"/>
    <w:rsid w:val="00F636E9"/>
    <w:rsid w:val="00F66DD0"/>
    <w:rsid w:val="00F66DED"/>
    <w:rsid w:val="00F67F9B"/>
    <w:rsid w:val="00F73245"/>
    <w:rsid w:val="00F75BCB"/>
    <w:rsid w:val="00F76C7F"/>
    <w:rsid w:val="00F77477"/>
    <w:rsid w:val="00F7777A"/>
    <w:rsid w:val="00F82548"/>
    <w:rsid w:val="00F83E5C"/>
    <w:rsid w:val="00F8677A"/>
    <w:rsid w:val="00F909B9"/>
    <w:rsid w:val="00F90D4E"/>
    <w:rsid w:val="00F92312"/>
    <w:rsid w:val="00F93007"/>
    <w:rsid w:val="00F943F3"/>
    <w:rsid w:val="00F95C9E"/>
    <w:rsid w:val="00F960D4"/>
    <w:rsid w:val="00FA0CC7"/>
    <w:rsid w:val="00FA49B5"/>
    <w:rsid w:val="00FA73ED"/>
    <w:rsid w:val="00FA75D1"/>
    <w:rsid w:val="00FB2B80"/>
    <w:rsid w:val="00FB2D51"/>
    <w:rsid w:val="00FB41B7"/>
    <w:rsid w:val="00FB45FD"/>
    <w:rsid w:val="00FB57B3"/>
    <w:rsid w:val="00FB682B"/>
    <w:rsid w:val="00FB771E"/>
    <w:rsid w:val="00FC082B"/>
    <w:rsid w:val="00FC13B0"/>
    <w:rsid w:val="00FC404E"/>
    <w:rsid w:val="00FC46AC"/>
    <w:rsid w:val="00FC498E"/>
    <w:rsid w:val="00FD483F"/>
    <w:rsid w:val="00FE1AE4"/>
    <w:rsid w:val="00FE3A02"/>
    <w:rsid w:val="00FE4688"/>
    <w:rsid w:val="00FE648B"/>
    <w:rsid w:val="00FF144B"/>
    <w:rsid w:val="04F50998"/>
    <w:rsid w:val="09D601F9"/>
    <w:rsid w:val="0C57A40D"/>
    <w:rsid w:val="0CAB1256"/>
    <w:rsid w:val="0E85E559"/>
    <w:rsid w:val="13E3445A"/>
    <w:rsid w:val="142E2785"/>
    <w:rsid w:val="1565AABF"/>
    <w:rsid w:val="16A1DEC4"/>
    <w:rsid w:val="1825C31E"/>
    <w:rsid w:val="1B8D9B56"/>
    <w:rsid w:val="1C0CC94A"/>
    <w:rsid w:val="1D141438"/>
    <w:rsid w:val="1ED6ECD4"/>
    <w:rsid w:val="1F227082"/>
    <w:rsid w:val="21F65CFC"/>
    <w:rsid w:val="254B8C27"/>
    <w:rsid w:val="28BB5CD1"/>
    <w:rsid w:val="29BDAD33"/>
    <w:rsid w:val="2AF43155"/>
    <w:rsid w:val="2B502041"/>
    <w:rsid w:val="2BF2FD93"/>
    <w:rsid w:val="2F0312C7"/>
    <w:rsid w:val="2F2A9E55"/>
    <w:rsid w:val="2F775EC7"/>
    <w:rsid w:val="30A3A234"/>
    <w:rsid w:val="32B5C43E"/>
    <w:rsid w:val="332287AC"/>
    <w:rsid w:val="36BE50EC"/>
    <w:rsid w:val="38ED2594"/>
    <w:rsid w:val="3CBB4A45"/>
    <w:rsid w:val="3D7417E4"/>
    <w:rsid w:val="3F82742E"/>
    <w:rsid w:val="409AAFA5"/>
    <w:rsid w:val="410742E1"/>
    <w:rsid w:val="45CD9B84"/>
    <w:rsid w:val="4630C7A8"/>
    <w:rsid w:val="488A7740"/>
    <w:rsid w:val="488ACE51"/>
    <w:rsid w:val="4B545085"/>
    <w:rsid w:val="4D3DB87B"/>
    <w:rsid w:val="4E298DE8"/>
    <w:rsid w:val="4F385692"/>
    <w:rsid w:val="4F5A941B"/>
    <w:rsid w:val="4F98A4F7"/>
    <w:rsid w:val="50151751"/>
    <w:rsid w:val="50267734"/>
    <w:rsid w:val="5215901C"/>
    <w:rsid w:val="56CB7264"/>
    <w:rsid w:val="572862C0"/>
    <w:rsid w:val="59AE74F7"/>
    <w:rsid w:val="5A1862F1"/>
    <w:rsid w:val="5A206412"/>
    <w:rsid w:val="5A9D1246"/>
    <w:rsid w:val="5BE2AB86"/>
    <w:rsid w:val="5DAC0ACC"/>
    <w:rsid w:val="5DF75B6E"/>
    <w:rsid w:val="60C62DEB"/>
    <w:rsid w:val="63ECC5AC"/>
    <w:rsid w:val="63EDBD6B"/>
    <w:rsid w:val="68415754"/>
    <w:rsid w:val="68F545C4"/>
    <w:rsid w:val="6B33CF51"/>
    <w:rsid w:val="6B387D7D"/>
    <w:rsid w:val="6D6C7DBA"/>
    <w:rsid w:val="6DDF68B1"/>
    <w:rsid w:val="6E430B6E"/>
    <w:rsid w:val="6FFFB890"/>
    <w:rsid w:val="7090553B"/>
    <w:rsid w:val="70D751E7"/>
    <w:rsid w:val="7335C5BB"/>
    <w:rsid w:val="73B03E2F"/>
    <w:rsid w:val="7477F0F1"/>
    <w:rsid w:val="75CF8D85"/>
    <w:rsid w:val="7688FD15"/>
    <w:rsid w:val="77480113"/>
    <w:rsid w:val="797D0741"/>
    <w:rsid w:val="7A75985B"/>
    <w:rsid w:val="7BAD987E"/>
    <w:rsid w:val="7DB2B101"/>
    <w:rsid w:val="7DEF284D"/>
    <w:rsid w:val="7FEA21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C34A7"/>
  <w15:chartTrackingRefBased/>
  <w15:docId w15:val="{272C4BDB-2668-4CC0-86DF-05C0BFCDD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45D57"/>
    <w:pPr>
      <w:tabs>
        <w:tab w:val="left" w:pos="567"/>
      </w:tabs>
      <w:spacing w:after="0" w:line="260" w:lineRule="exact"/>
    </w:pPr>
    <w:rPr>
      <w:rFonts w:ascii="Times New Roman" w:eastAsia="Times New Roman" w:hAnsi="Times New Roman" w:cs="Times New Roman"/>
      <w:szCs w:val="20"/>
    </w:rPr>
  </w:style>
  <w:style w:type="paragraph" w:styleId="Cmsor1">
    <w:name w:val="heading 1"/>
    <w:basedOn w:val="Norml"/>
    <w:next w:val="Norml"/>
    <w:link w:val="Cmsor1Char"/>
    <w:qFormat/>
    <w:rsid w:val="00F45D57"/>
    <w:pPr>
      <w:spacing w:before="240" w:after="120"/>
      <w:ind w:left="357" w:hanging="357"/>
      <w:outlineLvl w:val="0"/>
    </w:pPr>
    <w:rPr>
      <w:b/>
      <w:caps/>
      <w:sz w:val="26"/>
    </w:rPr>
  </w:style>
  <w:style w:type="paragraph" w:styleId="Cmsor2">
    <w:name w:val="heading 2"/>
    <w:basedOn w:val="Norml"/>
    <w:next w:val="Norml"/>
    <w:link w:val="Cmsor2Char"/>
    <w:qFormat/>
    <w:rsid w:val="00F45D57"/>
    <w:pPr>
      <w:keepNext/>
      <w:spacing w:before="240" w:after="60"/>
      <w:outlineLvl w:val="1"/>
    </w:pPr>
    <w:rPr>
      <w:rFonts w:ascii="Helvetica" w:hAnsi="Helvetica"/>
      <w:b/>
      <w:i/>
      <w:sz w:val="24"/>
    </w:rPr>
  </w:style>
  <w:style w:type="paragraph" w:styleId="Cmsor3">
    <w:name w:val="heading 3"/>
    <w:basedOn w:val="Norml"/>
    <w:next w:val="Norml"/>
    <w:link w:val="Cmsor3Char"/>
    <w:qFormat/>
    <w:rsid w:val="00F45D57"/>
    <w:pPr>
      <w:keepNext/>
      <w:keepLines/>
      <w:spacing w:before="120" w:after="80"/>
      <w:outlineLvl w:val="2"/>
    </w:pPr>
    <w:rPr>
      <w:b/>
      <w:kern w:val="28"/>
      <w:sz w:val="24"/>
    </w:rPr>
  </w:style>
  <w:style w:type="paragraph" w:styleId="Cmsor4">
    <w:name w:val="heading 4"/>
    <w:basedOn w:val="Norml"/>
    <w:next w:val="Norml"/>
    <w:link w:val="Cmsor4Char"/>
    <w:qFormat/>
    <w:rsid w:val="00F45D57"/>
    <w:pPr>
      <w:keepNext/>
      <w:jc w:val="both"/>
      <w:outlineLvl w:val="3"/>
    </w:pPr>
    <w:rPr>
      <w:b/>
      <w:noProof/>
    </w:rPr>
  </w:style>
  <w:style w:type="paragraph" w:styleId="Cmsor5">
    <w:name w:val="heading 5"/>
    <w:basedOn w:val="Norml"/>
    <w:next w:val="Norml"/>
    <w:link w:val="Cmsor5Char"/>
    <w:qFormat/>
    <w:rsid w:val="00F45D57"/>
    <w:pPr>
      <w:keepNext/>
      <w:jc w:val="both"/>
      <w:outlineLvl w:val="4"/>
    </w:pPr>
    <w:rPr>
      <w:noProof/>
    </w:rPr>
  </w:style>
  <w:style w:type="paragraph" w:styleId="Cmsor6">
    <w:name w:val="heading 6"/>
    <w:basedOn w:val="Norml"/>
    <w:next w:val="Norml"/>
    <w:link w:val="Cmsor6Char"/>
    <w:qFormat/>
    <w:rsid w:val="00F45D57"/>
    <w:pPr>
      <w:keepNext/>
      <w:tabs>
        <w:tab w:val="left" w:pos="-720"/>
        <w:tab w:val="left" w:pos="4536"/>
      </w:tabs>
      <w:suppressAutoHyphens/>
      <w:outlineLvl w:val="5"/>
    </w:pPr>
    <w:rPr>
      <w:i/>
    </w:rPr>
  </w:style>
  <w:style w:type="paragraph" w:styleId="Cmsor7">
    <w:name w:val="heading 7"/>
    <w:basedOn w:val="Norml"/>
    <w:next w:val="Norml"/>
    <w:link w:val="Cmsor7Char"/>
    <w:qFormat/>
    <w:rsid w:val="00F45D57"/>
    <w:pPr>
      <w:keepNext/>
      <w:tabs>
        <w:tab w:val="left" w:pos="-720"/>
        <w:tab w:val="left" w:pos="4536"/>
      </w:tabs>
      <w:suppressAutoHyphens/>
      <w:jc w:val="both"/>
      <w:outlineLvl w:val="6"/>
    </w:pPr>
    <w:rPr>
      <w:i/>
    </w:rPr>
  </w:style>
  <w:style w:type="paragraph" w:styleId="Cmsor8">
    <w:name w:val="heading 8"/>
    <w:basedOn w:val="Norml"/>
    <w:next w:val="Norml"/>
    <w:link w:val="Cmsor8Char"/>
    <w:qFormat/>
    <w:rsid w:val="00F45D57"/>
    <w:pPr>
      <w:keepNext/>
      <w:ind w:left="567" w:hanging="567"/>
      <w:jc w:val="both"/>
      <w:outlineLvl w:val="7"/>
    </w:pPr>
    <w:rPr>
      <w:b/>
      <w:i/>
    </w:rPr>
  </w:style>
  <w:style w:type="paragraph" w:styleId="Cmsor9">
    <w:name w:val="heading 9"/>
    <w:basedOn w:val="Norml"/>
    <w:next w:val="Norml"/>
    <w:link w:val="Cmsor9Char"/>
    <w:qFormat/>
    <w:rsid w:val="00F45D57"/>
    <w:pPr>
      <w:keepNext/>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semiHidden/>
    <w:unhideWhenUsed/>
    <w:rsid w:val="00322A0B"/>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322A0B"/>
    <w:rPr>
      <w:rFonts w:ascii="Segoe UI" w:hAnsi="Segoe UI" w:cs="Segoe UI"/>
      <w:sz w:val="18"/>
      <w:szCs w:val="18"/>
    </w:rPr>
  </w:style>
  <w:style w:type="character" w:customStyle="1" w:styleId="Cmsor1Char">
    <w:name w:val="Címsor 1 Char"/>
    <w:basedOn w:val="Bekezdsalapbettpusa"/>
    <w:link w:val="Cmsor1"/>
    <w:rsid w:val="00F45D57"/>
    <w:rPr>
      <w:rFonts w:ascii="Times New Roman" w:eastAsia="Times New Roman" w:hAnsi="Times New Roman" w:cs="Times New Roman"/>
      <w:b/>
      <w:caps/>
      <w:sz w:val="26"/>
      <w:szCs w:val="20"/>
      <w:lang w:val="hu-HU"/>
    </w:rPr>
  </w:style>
  <w:style w:type="character" w:customStyle="1" w:styleId="Cmsor2Char">
    <w:name w:val="Címsor 2 Char"/>
    <w:basedOn w:val="Bekezdsalapbettpusa"/>
    <w:link w:val="Cmsor2"/>
    <w:rsid w:val="00F45D57"/>
    <w:rPr>
      <w:rFonts w:ascii="Helvetica" w:eastAsia="Times New Roman" w:hAnsi="Helvetica" w:cs="Times New Roman"/>
      <w:b/>
      <w:i/>
      <w:sz w:val="24"/>
      <w:szCs w:val="20"/>
    </w:rPr>
  </w:style>
  <w:style w:type="character" w:customStyle="1" w:styleId="Cmsor3Char">
    <w:name w:val="Címsor 3 Char"/>
    <w:basedOn w:val="Bekezdsalapbettpusa"/>
    <w:link w:val="Cmsor3"/>
    <w:rsid w:val="00F45D57"/>
    <w:rPr>
      <w:rFonts w:ascii="Times New Roman" w:eastAsia="Times New Roman" w:hAnsi="Times New Roman" w:cs="Times New Roman"/>
      <w:b/>
      <w:kern w:val="28"/>
      <w:sz w:val="24"/>
      <w:szCs w:val="20"/>
      <w:lang w:val="hu-HU"/>
    </w:rPr>
  </w:style>
  <w:style w:type="character" w:customStyle="1" w:styleId="Cmsor4Char">
    <w:name w:val="Címsor 4 Char"/>
    <w:basedOn w:val="Bekezdsalapbettpusa"/>
    <w:link w:val="Cmsor4"/>
    <w:rsid w:val="00F45D57"/>
    <w:rPr>
      <w:rFonts w:ascii="Times New Roman" w:eastAsia="Times New Roman" w:hAnsi="Times New Roman" w:cs="Times New Roman"/>
      <w:b/>
      <w:noProof/>
      <w:szCs w:val="20"/>
    </w:rPr>
  </w:style>
  <w:style w:type="character" w:customStyle="1" w:styleId="Cmsor5Char">
    <w:name w:val="Címsor 5 Char"/>
    <w:basedOn w:val="Bekezdsalapbettpusa"/>
    <w:link w:val="Cmsor5"/>
    <w:rsid w:val="00F45D57"/>
    <w:rPr>
      <w:rFonts w:ascii="Times New Roman" w:eastAsia="Times New Roman" w:hAnsi="Times New Roman" w:cs="Times New Roman"/>
      <w:noProof/>
      <w:szCs w:val="20"/>
    </w:rPr>
  </w:style>
  <w:style w:type="character" w:customStyle="1" w:styleId="Cmsor6Char">
    <w:name w:val="Címsor 6 Char"/>
    <w:basedOn w:val="Bekezdsalapbettpusa"/>
    <w:link w:val="Cmsor6"/>
    <w:rsid w:val="00F45D57"/>
    <w:rPr>
      <w:rFonts w:ascii="Times New Roman" w:eastAsia="Times New Roman" w:hAnsi="Times New Roman" w:cs="Times New Roman"/>
      <w:i/>
      <w:szCs w:val="20"/>
    </w:rPr>
  </w:style>
  <w:style w:type="character" w:customStyle="1" w:styleId="Cmsor7Char">
    <w:name w:val="Címsor 7 Char"/>
    <w:basedOn w:val="Bekezdsalapbettpusa"/>
    <w:link w:val="Cmsor7"/>
    <w:rsid w:val="00F45D57"/>
    <w:rPr>
      <w:rFonts w:ascii="Times New Roman" w:eastAsia="Times New Roman" w:hAnsi="Times New Roman" w:cs="Times New Roman"/>
      <w:i/>
      <w:szCs w:val="20"/>
    </w:rPr>
  </w:style>
  <w:style w:type="character" w:customStyle="1" w:styleId="Cmsor8Char">
    <w:name w:val="Címsor 8 Char"/>
    <w:basedOn w:val="Bekezdsalapbettpusa"/>
    <w:link w:val="Cmsor8"/>
    <w:rsid w:val="00F45D57"/>
    <w:rPr>
      <w:rFonts w:ascii="Times New Roman" w:eastAsia="Times New Roman" w:hAnsi="Times New Roman" w:cs="Times New Roman"/>
      <w:b/>
      <w:i/>
      <w:szCs w:val="20"/>
    </w:rPr>
  </w:style>
  <w:style w:type="character" w:customStyle="1" w:styleId="Cmsor9Char">
    <w:name w:val="Címsor 9 Char"/>
    <w:basedOn w:val="Bekezdsalapbettpusa"/>
    <w:link w:val="Cmsor9"/>
    <w:rsid w:val="00F45D57"/>
    <w:rPr>
      <w:rFonts w:ascii="Times New Roman" w:eastAsia="Times New Roman" w:hAnsi="Times New Roman" w:cs="Times New Roman"/>
      <w:b/>
      <w:i/>
      <w:szCs w:val="20"/>
    </w:rPr>
  </w:style>
  <w:style w:type="paragraph" w:styleId="lfej">
    <w:name w:val="header"/>
    <w:basedOn w:val="Norml"/>
    <w:link w:val="lfejChar"/>
    <w:uiPriority w:val="99"/>
    <w:rsid w:val="00F45D57"/>
    <w:pPr>
      <w:tabs>
        <w:tab w:val="center" w:pos="4153"/>
        <w:tab w:val="right" w:pos="8306"/>
      </w:tabs>
      <w:spacing w:line="240" w:lineRule="auto"/>
    </w:pPr>
    <w:rPr>
      <w:rFonts w:ascii="Helvetica" w:hAnsi="Helvetica"/>
      <w:sz w:val="20"/>
    </w:rPr>
  </w:style>
  <w:style w:type="character" w:customStyle="1" w:styleId="lfejChar">
    <w:name w:val="Élőfej Char"/>
    <w:basedOn w:val="Bekezdsalapbettpusa"/>
    <w:link w:val="lfej"/>
    <w:uiPriority w:val="99"/>
    <w:rsid w:val="00F45D57"/>
    <w:rPr>
      <w:rFonts w:ascii="Helvetica" w:eastAsia="Times New Roman" w:hAnsi="Helvetica" w:cs="Times New Roman"/>
      <w:sz w:val="20"/>
      <w:szCs w:val="20"/>
    </w:rPr>
  </w:style>
  <w:style w:type="paragraph" w:styleId="llb">
    <w:name w:val="footer"/>
    <w:basedOn w:val="Norml"/>
    <w:link w:val="llbChar"/>
    <w:rsid w:val="00F45D57"/>
    <w:pPr>
      <w:tabs>
        <w:tab w:val="center" w:pos="4536"/>
        <w:tab w:val="center" w:pos="8930"/>
      </w:tabs>
      <w:spacing w:line="240" w:lineRule="auto"/>
    </w:pPr>
    <w:rPr>
      <w:rFonts w:ascii="Helvetica" w:hAnsi="Helvetica"/>
      <w:sz w:val="16"/>
    </w:rPr>
  </w:style>
  <w:style w:type="character" w:customStyle="1" w:styleId="llbChar">
    <w:name w:val="Élőláb Char"/>
    <w:basedOn w:val="Bekezdsalapbettpusa"/>
    <w:link w:val="llb"/>
    <w:rsid w:val="00F45D57"/>
    <w:rPr>
      <w:rFonts w:ascii="Helvetica" w:eastAsia="Times New Roman" w:hAnsi="Helvetica" w:cs="Times New Roman"/>
      <w:sz w:val="16"/>
      <w:szCs w:val="20"/>
    </w:rPr>
  </w:style>
  <w:style w:type="character" w:styleId="Oldalszm">
    <w:name w:val="page number"/>
    <w:basedOn w:val="Bekezdsalapbettpusa"/>
    <w:rsid w:val="00F45D57"/>
  </w:style>
  <w:style w:type="paragraph" w:styleId="Szvegtrzsbehzssal">
    <w:name w:val="Body Text Indent"/>
    <w:basedOn w:val="Norml"/>
    <w:link w:val="SzvegtrzsbehzssalChar"/>
    <w:rsid w:val="00F45D57"/>
    <w:pPr>
      <w:tabs>
        <w:tab w:val="clear" w:pos="567"/>
      </w:tabs>
      <w:autoSpaceDE w:val="0"/>
      <w:autoSpaceDN w:val="0"/>
      <w:adjustRightInd w:val="0"/>
      <w:spacing w:line="240" w:lineRule="auto"/>
      <w:ind w:left="720"/>
      <w:jc w:val="both"/>
    </w:pPr>
    <w:rPr>
      <w:szCs w:val="22"/>
      <w:lang w:eastAsia="en-GB"/>
    </w:rPr>
  </w:style>
  <w:style w:type="character" w:customStyle="1" w:styleId="SzvegtrzsbehzssalChar">
    <w:name w:val="Szövegtörzs behúzással Char"/>
    <w:basedOn w:val="Bekezdsalapbettpusa"/>
    <w:link w:val="Szvegtrzsbehzssal"/>
    <w:rsid w:val="00F45D57"/>
    <w:rPr>
      <w:rFonts w:ascii="Times New Roman" w:eastAsia="Times New Roman" w:hAnsi="Times New Roman" w:cs="Times New Roman"/>
      <w:lang w:eastAsia="en-GB"/>
    </w:rPr>
  </w:style>
  <w:style w:type="paragraph" w:styleId="Szvegtrzs3">
    <w:name w:val="Body Text 3"/>
    <w:basedOn w:val="Norml"/>
    <w:link w:val="Szvegtrzs3Char"/>
    <w:rsid w:val="00F45D57"/>
    <w:pPr>
      <w:tabs>
        <w:tab w:val="clear" w:pos="567"/>
      </w:tabs>
      <w:autoSpaceDE w:val="0"/>
      <w:autoSpaceDN w:val="0"/>
      <w:adjustRightInd w:val="0"/>
      <w:spacing w:line="240" w:lineRule="auto"/>
      <w:jc w:val="both"/>
    </w:pPr>
    <w:rPr>
      <w:color w:val="0000FF"/>
      <w:szCs w:val="22"/>
      <w:lang w:eastAsia="en-GB"/>
    </w:rPr>
  </w:style>
  <w:style w:type="character" w:customStyle="1" w:styleId="Szvegtrzs3Char">
    <w:name w:val="Szövegtörzs 3 Char"/>
    <w:basedOn w:val="Bekezdsalapbettpusa"/>
    <w:link w:val="Szvegtrzs3"/>
    <w:rsid w:val="00F45D57"/>
    <w:rPr>
      <w:rFonts w:ascii="Times New Roman" w:eastAsia="Times New Roman" w:hAnsi="Times New Roman" w:cs="Times New Roman"/>
      <w:color w:val="0000FF"/>
      <w:lang w:eastAsia="en-GB"/>
    </w:rPr>
  </w:style>
  <w:style w:type="paragraph" w:styleId="Szvegtrzsbehzssal2">
    <w:name w:val="Body Text Indent 2"/>
    <w:basedOn w:val="Norml"/>
    <w:link w:val="Szvegtrzsbehzssal2Char"/>
    <w:rsid w:val="00F45D57"/>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rPr>
  </w:style>
  <w:style w:type="character" w:customStyle="1" w:styleId="Szvegtrzsbehzssal2Char">
    <w:name w:val="Szövegtörzs behúzással 2 Char"/>
    <w:basedOn w:val="Bekezdsalapbettpusa"/>
    <w:link w:val="Szvegtrzsbehzssal2"/>
    <w:rsid w:val="00F45D57"/>
    <w:rPr>
      <w:rFonts w:ascii="Times New Roman" w:eastAsia="Times New Roman" w:hAnsi="Times New Roman" w:cs="Times New Roman"/>
      <w:b/>
      <w:bCs/>
      <w:color w:val="0000FF"/>
    </w:rPr>
  </w:style>
  <w:style w:type="paragraph" w:styleId="Szvegtrzs">
    <w:name w:val="Body Text"/>
    <w:basedOn w:val="Norml"/>
    <w:link w:val="SzvegtrzsChar"/>
    <w:rsid w:val="00F45D57"/>
    <w:pPr>
      <w:tabs>
        <w:tab w:val="clear" w:pos="567"/>
      </w:tabs>
      <w:spacing w:line="240" w:lineRule="auto"/>
    </w:pPr>
    <w:rPr>
      <w:i/>
      <w:color w:val="008000"/>
    </w:rPr>
  </w:style>
  <w:style w:type="character" w:customStyle="1" w:styleId="SzvegtrzsChar">
    <w:name w:val="Szövegtörzs Char"/>
    <w:basedOn w:val="Bekezdsalapbettpusa"/>
    <w:link w:val="Szvegtrzs"/>
    <w:rsid w:val="00F45D57"/>
    <w:rPr>
      <w:rFonts w:ascii="Times New Roman" w:eastAsia="Times New Roman" w:hAnsi="Times New Roman" w:cs="Times New Roman"/>
      <w:i/>
      <w:color w:val="008000"/>
      <w:szCs w:val="20"/>
    </w:rPr>
  </w:style>
  <w:style w:type="paragraph" w:styleId="Szvegtrzs2">
    <w:name w:val="Body Text 2"/>
    <w:basedOn w:val="Norml"/>
    <w:link w:val="Szvegtrzs2Char"/>
    <w:rsid w:val="00F45D57"/>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rPr>
  </w:style>
  <w:style w:type="character" w:customStyle="1" w:styleId="Szvegtrzs2Char">
    <w:name w:val="Szövegtörzs 2 Char"/>
    <w:basedOn w:val="Bekezdsalapbettpusa"/>
    <w:link w:val="Szvegtrzs2"/>
    <w:rsid w:val="00F45D57"/>
    <w:rPr>
      <w:rFonts w:ascii="Times New Roman" w:eastAsia="Times New Roman" w:hAnsi="Times New Roman" w:cs="Times New Roman"/>
      <w:b/>
      <w:bCs/>
      <w:color w:val="0000FF"/>
      <w:u w:val="single"/>
    </w:rPr>
  </w:style>
  <w:style w:type="character" w:styleId="Jegyzethivatkozs">
    <w:name w:val="annotation reference"/>
    <w:semiHidden/>
    <w:rsid w:val="00F45D57"/>
    <w:rPr>
      <w:sz w:val="16"/>
      <w:szCs w:val="16"/>
    </w:rPr>
  </w:style>
  <w:style w:type="paragraph" w:styleId="Jegyzetszveg">
    <w:name w:val="annotation text"/>
    <w:basedOn w:val="Norml"/>
    <w:link w:val="JegyzetszvegChar"/>
    <w:uiPriority w:val="99"/>
    <w:semiHidden/>
    <w:rsid w:val="00F45D57"/>
    <w:rPr>
      <w:sz w:val="20"/>
    </w:rPr>
  </w:style>
  <w:style w:type="character" w:customStyle="1" w:styleId="JegyzetszvegChar">
    <w:name w:val="Jegyzetszöveg Char"/>
    <w:basedOn w:val="Bekezdsalapbettpusa"/>
    <w:link w:val="Jegyzetszveg"/>
    <w:uiPriority w:val="99"/>
    <w:semiHidden/>
    <w:rsid w:val="00F45D57"/>
    <w:rPr>
      <w:rFonts w:ascii="Times New Roman" w:eastAsia="Times New Roman" w:hAnsi="Times New Roman" w:cs="Times New Roman"/>
      <w:sz w:val="20"/>
      <w:szCs w:val="20"/>
    </w:rPr>
  </w:style>
  <w:style w:type="paragraph" w:customStyle="1" w:styleId="EMEAEnBodyText">
    <w:name w:val="EMEA En Body Text"/>
    <w:basedOn w:val="Norml"/>
    <w:rsid w:val="00F45D57"/>
    <w:pPr>
      <w:tabs>
        <w:tab w:val="clear" w:pos="567"/>
      </w:tabs>
      <w:spacing w:before="120" w:after="120" w:line="240" w:lineRule="auto"/>
      <w:jc w:val="both"/>
    </w:pPr>
  </w:style>
  <w:style w:type="paragraph" w:styleId="Dokumentumtrkp">
    <w:name w:val="Document Map"/>
    <w:basedOn w:val="Norml"/>
    <w:link w:val="DokumentumtrkpChar"/>
    <w:semiHidden/>
    <w:rsid w:val="00F45D57"/>
    <w:pPr>
      <w:shd w:val="clear" w:color="auto" w:fill="000080"/>
    </w:pPr>
    <w:rPr>
      <w:rFonts w:ascii="Tahoma" w:hAnsi="Tahoma" w:cs="Tahoma"/>
    </w:rPr>
  </w:style>
  <w:style w:type="character" w:customStyle="1" w:styleId="DokumentumtrkpChar">
    <w:name w:val="Dokumentumtérkép Char"/>
    <w:basedOn w:val="Bekezdsalapbettpusa"/>
    <w:link w:val="Dokumentumtrkp"/>
    <w:semiHidden/>
    <w:rsid w:val="00F45D57"/>
    <w:rPr>
      <w:rFonts w:ascii="Tahoma" w:eastAsia="Times New Roman" w:hAnsi="Tahoma" w:cs="Tahoma"/>
      <w:szCs w:val="20"/>
      <w:shd w:val="clear" w:color="auto" w:fill="000080"/>
    </w:rPr>
  </w:style>
  <w:style w:type="character" w:styleId="Hiperhivatkozs">
    <w:name w:val="Hyperlink"/>
    <w:rsid w:val="00F45D57"/>
    <w:rPr>
      <w:color w:val="0000FF"/>
      <w:u w:val="single"/>
    </w:rPr>
  </w:style>
  <w:style w:type="paragraph" w:customStyle="1" w:styleId="AHeader1">
    <w:name w:val="AHeader 1"/>
    <w:basedOn w:val="Norml"/>
    <w:rsid w:val="00F45D57"/>
    <w:pPr>
      <w:numPr>
        <w:numId w:val="7"/>
      </w:numPr>
      <w:tabs>
        <w:tab w:val="clear" w:pos="567"/>
      </w:tabs>
      <w:spacing w:after="120" w:line="240" w:lineRule="auto"/>
    </w:pPr>
    <w:rPr>
      <w:rFonts w:ascii="Arial" w:hAnsi="Arial" w:cs="Arial"/>
      <w:b/>
      <w:bCs/>
      <w:sz w:val="24"/>
    </w:rPr>
  </w:style>
  <w:style w:type="paragraph" w:customStyle="1" w:styleId="AHeader2">
    <w:name w:val="AHeader 2"/>
    <w:basedOn w:val="AHeader1"/>
    <w:rsid w:val="00F45D57"/>
    <w:pPr>
      <w:numPr>
        <w:ilvl w:val="1"/>
      </w:numPr>
      <w:tabs>
        <w:tab w:val="clear" w:pos="709"/>
        <w:tab w:val="num" w:pos="360"/>
      </w:tabs>
    </w:pPr>
    <w:rPr>
      <w:sz w:val="22"/>
    </w:rPr>
  </w:style>
  <w:style w:type="paragraph" w:customStyle="1" w:styleId="AHeader3">
    <w:name w:val="AHeader 3"/>
    <w:basedOn w:val="AHeader2"/>
    <w:rsid w:val="00F45D57"/>
    <w:pPr>
      <w:numPr>
        <w:ilvl w:val="2"/>
      </w:numPr>
      <w:tabs>
        <w:tab w:val="clear" w:pos="1276"/>
        <w:tab w:val="num" w:pos="360"/>
      </w:tabs>
    </w:pPr>
  </w:style>
  <w:style w:type="paragraph" w:customStyle="1" w:styleId="AHeader2abc">
    <w:name w:val="AHeader 2 abc"/>
    <w:basedOn w:val="AHeader3"/>
    <w:rsid w:val="00F45D57"/>
    <w:pPr>
      <w:numPr>
        <w:ilvl w:val="3"/>
      </w:numPr>
      <w:tabs>
        <w:tab w:val="clear" w:pos="1276"/>
        <w:tab w:val="num" w:pos="360"/>
      </w:tabs>
      <w:jc w:val="both"/>
    </w:pPr>
    <w:rPr>
      <w:b w:val="0"/>
      <w:bCs w:val="0"/>
    </w:rPr>
  </w:style>
  <w:style w:type="paragraph" w:customStyle="1" w:styleId="AHeader3abc">
    <w:name w:val="AHeader 3 abc"/>
    <w:basedOn w:val="AHeader2abc"/>
    <w:rsid w:val="00F45D57"/>
    <w:pPr>
      <w:numPr>
        <w:ilvl w:val="4"/>
      </w:numPr>
      <w:tabs>
        <w:tab w:val="clear" w:pos="1701"/>
        <w:tab w:val="num" w:pos="360"/>
      </w:tabs>
    </w:pPr>
  </w:style>
  <w:style w:type="paragraph" w:styleId="Szvegtrzsbehzssal3">
    <w:name w:val="Body Text Indent 3"/>
    <w:basedOn w:val="Norml"/>
    <w:link w:val="Szvegtrzsbehzssal3Char"/>
    <w:rsid w:val="00F45D57"/>
    <w:pPr>
      <w:tabs>
        <w:tab w:val="left" w:pos="1134"/>
      </w:tabs>
      <w:autoSpaceDE w:val="0"/>
      <w:autoSpaceDN w:val="0"/>
      <w:adjustRightInd w:val="0"/>
      <w:ind w:left="633"/>
      <w:jc w:val="both"/>
    </w:pPr>
    <w:rPr>
      <w:szCs w:val="21"/>
    </w:rPr>
  </w:style>
  <w:style w:type="character" w:customStyle="1" w:styleId="Szvegtrzsbehzssal3Char">
    <w:name w:val="Szövegtörzs behúzással 3 Char"/>
    <w:basedOn w:val="Bekezdsalapbettpusa"/>
    <w:link w:val="Szvegtrzsbehzssal3"/>
    <w:rsid w:val="00F45D57"/>
    <w:rPr>
      <w:rFonts w:ascii="Times New Roman" w:eastAsia="Times New Roman" w:hAnsi="Times New Roman" w:cs="Times New Roman"/>
      <w:szCs w:val="21"/>
    </w:rPr>
  </w:style>
  <w:style w:type="character" w:styleId="Mrltotthiperhivatkozs">
    <w:name w:val="FollowedHyperlink"/>
    <w:rsid w:val="00F45D57"/>
    <w:rPr>
      <w:color w:val="800080"/>
      <w:u w:val="single"/>
    </w:rPr>
  </w:style>
  <w:style w:type="paragraph" w:customStyle="1" w:styleId="Default">
    <w:name w:val="Default"/>
    <w:rsid w:val="00F45D57"/>
    <w:pPr>
      <w:autoSpaceDE w:val="0"/>
      <w:autoSpaceDN w:val="0"/>
      <w:adjustRightInd w:val="0"/>
      <w:spacing w:after="0" w:line="240" w:lineRule="auto"/>
    </w:pPr>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semiHidden/>
    <w:rsid w:val="00F45D57"/>
    <w:rPr>
      <w:b/>
      <w:bCs/>
    </w:rPr>
  </w:style>
  <w:style w:type="character" w:customStyle="1" w:styleId="MegjegyzstrgyaChar">
    <w:name w:val="Megjegyzés tárgya Char"/>
    <w:basedOn w:val="JegyzetszvegChar"/>
    <w:link w:val="Megjegyzstrgya"/>
    <w:semiHidden/>
    <w:rsid w:val="00F45D57"/>
    <w:rPr>
      <w:rFonts w:ascii="Times New Roman" w:eastAsia="Times New Roman" w:hAnsi="Times New Roman" w:cs="Times New Roman"/>
      <w:b/>
      <w:bCs/>
      <w:sz w:val="20"/>
      <w:szCs w:val="20"/>
    </w:rPr>
  </w:style>
  <w:style w:type="paragraph" w:customStyle="1" w:styleId="BodytextAgency">
    <w:name w:val="Body text (Agency)"/>
    <w:basedOn w:val="Norml"/>
    <w:link w:val="BodytextAgencyChar"/>
    <w:rsid w:val="00F45D57"/>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F45D57"/>
    <w:rPr>
      <w:rFonts w:ascii="Verdana" w:eastAsia="Verdana" w:hAnsi="Verdana" w:cs="Verdana"/>
      <w:sz w:val="18"/>
      <w:szCs w:val="18"/>
      <w:lang w:eastAsia="en-GB"/>
    </w:rPr>
  </w:style>
  <w:style w:type="table" w:styleId="Rcsostblzat">
    <w:name w:val="Table Grid"/>
    <w:basedOn w:val="Normltblzat"/>
    <w:rsid w:val="00F45D5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aliases w:val="Graphic,Graphic Char Char Char,Graphic Char Char Char Char Char Char Char,Graphic Char Char Char Char Char Char Char Char Char Char Char Char Char,Graphic Char Char Char Char Char Char Char Char,Graphic + Centered,Graphic Char Char Char Char,Text3"/>
    <w:basedOn w:val="Norml"/>
    <w:link w:val="TextChar"/>
    <w:qFormat/>
    <w:rsid w:val="00F45D57"/>
    <w:pPr>
      <w:tabs>
        <w:tab w:val="clear" w:pos="567"/>
      </w:tabs>
      <w:spacing w:before="120" w:line="240" w:lineRule="auto"/>
      <w:jc w:val="both"/>
    </w:pPr>
    <w:rPr>
      <w:rFonts w:eastAsia="MS Mincho"/>
      <w:sz w:val="24"/>
      <w:lang w:eastAsia="zh-CN"/>
    </w:rPr>
  </w:style>
  <w:style w:type="character" w:customStyle="1" w:styleId="TextChar">
    <w:name w:val="Text Char"/>
    <w:link w:val="Text"/>
    <w:rsid w:val="00F45D57"/>
    <w:rPr>
      <w:rFonts w:ascii="Times New Roman" w:eastAsia="MS Mincho" w:hAnsi="Times New Roman" w:cs="Times New Roman"/>
      <w:sz w:val="24"/>
      <w:szCs w:val="20"/>
      <w:lang w:val="hu-HU" w:eastAsia="zh-CN"/>
    </w:rPr>
  </w:style>
  <w:style w:type="paragraph" w:customStyle="1" w:styleId="Listlevel1">
    <w:name w:val="List level 1"/>
    <w:basedOn w:val="Norml"/>
    <w:link w:val="Listlevel1Char"/>
    <w:rsid w:val="00F45D57"/>
    <w:pPr>
      <w:tabs>
        <w:tab w:val="clear" w:pos="567"/>
      </w:tabs>
      <w:spacing w:line="240" w:lineRule="auto"/>
      <w:ind w:left="425" w:hanging="425"/>
    </w:pPr>
    <w:rPr>
      <w:rFonts w:eastAsia="MS Mincho"/>
      <w:sz w:val="24"/>
      <w:lang w:eastAsia="zh-CN"/>
    </w:rPr>
  </w:style>
  <w:style w:type="character" w:customStyle="1" w:styleId="Listlevel1Char">
    <w:name w:val="List level 1 Char"/>
    <w:link w:val="Listlevel1"/>
    <w:rsid w:val="00F45D57"/>
    <w:rPr>
      <w:rFonts w:ascii="Times New Roman" w:eastAsia="MS Mincho" w:hAnsi="Times New Roman" w:cs="Times New Roman"/>
      <w:sz w:val="24"/>
      <w:szCs w:val="20"/>
      <w:lang w:val="hu-HU" w:eastAsia="zh-CN"/>
    </w:rPr>
  </w:style>
  <w:style w:type="paragraph" w:styleId="Vltozat">
    <w:name w:val="Revision"/>
    <w:hidden/>
    <w:uiPriority w:val="99"/>
    <w:semiHidden/>
    <w:rsid w:val="00F45D57"/>
    <w:pPr>
      <w:spacing w:after="0" w:line="240" w:lineRule="auto"/>
    </w:pPr>
    <w:rPr>
      <w:rFonts w:ascii="Times New Roman" w:eastAsia="Times New Roman" w:hAnsi="Times New Roman" w:cs="Times New Roman"/>
      <w:szCs w:val="20"/>
    </w:rPr>
  </w:style>
  <w:style w:type="paragraph" w:customStyle="1" w:styleId="Nottoc-headings">
    <w:name w:val="Not toc-headings"/>
    <w:basedOn w:val="Norml"/>
    <w:next w:val="Text"/>
    <w:link w:val="Nottoc-headingsChar"/>
    <w:rsid w:val="00F45D57"/>
    <w:pPr>
      <w:keepNext/>
      <w:keepLines/>
      <w:tabs>
        <w:tab w:val="clear" w:pos="567"/>
      </w:tabs>
      <w:spacing w:before="240" w:after="60" w:line="240" w:lineRule="auto"/>
    </w:pPr>
    <w:rPr>
      <w:rFonts w:ascii="Arial" w:eastAsia="MS Gothic" w:hAnsi="Arial"/>
      <w:b/>
      <w:sz w:val="24"/>
      <w:szCs w:val="24"/>
      <w:lang w:eastAsia="ja-JP"/>
    </w:rPr>
  </w:style>
  <w:style w:type="character" w:customStyle="1" w:styleId="Nottoc-headingsChar">
    <w:name w:val="Not toc-headings Char"/>
    <w:link w:val="Nottoc-headings"/>
    <w:rsid w:val="00F45D57"/>
    <w:rPr>
      <w:rFonts w:ascii="Arial" w:eastAsia="MS Gothic" w:hAnsi="Arial" w:cs="Times New Roman"/>
      <w:b/>
      <w:sz w:val="24"/>
      <w:szCs w:val="24"/>
      <w:lang w:val="hu-HU" w:eastAsia="ja-JP"/>
    </w:rPr>
  </w:style>
  <w:style w:type="paragraph" w:styleId="Listaszerbekezds">
    <w:name w:val="List Paragraph"/>
    <w:basedOn w:val="Norml"/>
    <w:uiPriority w:val="34"/>
    <w:qFormat/>
    <w:rsid w:val="00F45D57"/>
    <w:pPr>
      <w:ind w:left="720"/>
      <w:contextualSpacing/>
    </w:pPr>
  </w:style>
  <w:style w:type="character" w:customStyle="1" w:styleId="author">
    <w:name w:val="author"/>
    <w:rsid w:val="00F45D57"/>
  </w:style>
  <w:style w:type="character" w:customStyle="1" w:styleId="ref-title">
    <w:name w:val="ref-title"/>
    <w:rsid w:val="00F45D57"/>
  </w:style>
  <w:style w:type="character" w:customStyle="1" w:styleId="year">
    <w:name w:val="year"/>
    <w:rsid w:val="00F45D57"/>
  </w:style>
  <w:style w:type="character" w:customStyle="1" w:styleId="pages">
    <w:name w:val="pages"/>
    <w:rsid w:val="00F45D57"/>
  </w:style>
  <w:style w:type="character" w:customStyle="1" w:styleId="TextChar1">
    <w:name w:val="Text Char1"/>
    <w:aliases w:val="Graphic Char,Graphic + Centered Char Char,Graphic + Left:  0&quot; Char,Hanging:  0.5&quot; + Left:  0&quot; Char,Hanging:  0.5&quot; Char,Graphhic Char,Text3 Char Char Char Char1,Graphic Char Char Char11 Char,Graphic Char Char Char12 Char,Text3 Char1"/>
    <w:rsid w:val="00815D72"/>
    <w:rPr>
      <w:rFonts w:eastAsia="MS Mincho"/>
      <w:sz w:val="24"/>
      <w:lang w:eastAsia="zh-CN"/>
    </w:rPr>
  </w:style>
  <w:style w:type="character" w:customStyle="1" w:styleId="normaltextrun">
    <w:name w:val="normaltextrun"/>
    <w:basedOn w:val="Bekezdsalapbettpusa"/>
    <w:rsid w:val="00D50675"/>
  </w:style>
  <w:style w:type="character" w:customStyle="1" w:styleId="eop">
    <w:name w:val="eop"/>
    <w:basedOn w:val="Bekezdsalapbettpusa"/>
    <w:rsid w:val="00D50675"/>
  </w:style>
  <w:style w:type="character" w:customStyle="1" w:styleId="Mention1">
    <w:name w:val="Mention1"/>
    <w:basedOn w:val="Bekezdsalapbettpusa"/>
    <w:uiPriority w:val="99"/>
    <w:unhideWhenUsed/>
    <w:rsid w:val="00AF022B"/>
    <w:rPr>
      <w:color w:val="2B579A"/>
      <w:shd w:val="clear" w:color="auto" w:fill="E6E6E6"/>
    </w:rPr>
  </w:style>
  <w:style w:type="paragraph" w:styleId="NormlWeb">
    <w:name w:val="Normal (Web)"/>
    <w:basedOn w:val="Norml"/>
    <w:uiPriority w:val="99"/>
    <w:semiHidden/>
    <w:unhideWhenUsed/>
    <w:rsid w:val="005524B9"/>
    <w:pPr>
      <w:tabs>
        <w:tab w:val="clear" w:pos="567"/>
      </w:tabs>
      <w:spacing w:after="143" w:line="240" w:lineRule="auto"/>
    </w:pPr>
    <w:rPr>
      <w:sz w:val="24"/>
      <w:szCs w:val="24"/>
      <w:lang w:eastAsia="en-GB"/>
    </w:rPr>
  </w:style>
  <w:style w:type="paragraph" w:customStyle="1" w:styleId="Comment">
    <w:name w:val="Comment"/>
    <w:basedOn w:val="Norml"/>
    <w:next w:val="Text"/>
    <w:link w:val="CommentChar"/>
    <w:rsid w:val="00631495"/>
    <w:pPr>
      <w:tabs>
        <w:tab w:val="clear" w:pos="567"/>
      </w:tabs>
      <w:spacing w:before="120" w:line="240" w:lineRule="auto"/>
      <w:jc w:val="both"/>
    </w:pPr>
    <w:rPr>
      <w:rFonts w:eastAsia="MS Mincho"/>
      <w:i/>
      <w:color w:val="BF30B5"/>
      <w:sz w:val="24"/>
      <w:szCs w:val="24"/>
      <w:lang w:eastAsia="zh-CN"/>
    </w:rPr>
  </w:style>
  <w:style w:type="character" w:customStyle="1" w:styleId="CommentChar">
    <w:name w:val="Comment Char"/>
    <w:link w:val="Comment"/>
    <w:rsid w:val="00631495"/>
    <w:rPr>
      <w:rFonts w:ascii="Times New Roman" w:eastAsia="MS Mincho" w:hAnsi="Times New Roman" w:cs="Times New Roman"/>
      <w:i/>
      <w:color w:val="BF30B5"/>
      <w:sz w:val="24"/>
      <w:szCs w:val="24"/>
      <w:lang w:val="hu-H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1321">
      <w:bodyDiv w:val="1"/>
      <w:marLeft w:val="0"/>
      <w:marRight w:val="0"/>
      <w:marTop w:val="0"/>
      <w:marBottom w:val="0"/>
      <w:divBdr>
        <w:top w:val="none" w:sz="0" w:space="0" w:color="auto"/>
        <w:left w:val="none" w:sz="0" w:space="0" w:color="auto"/>
        <w:bottom w:val="none" w:sz="0" w:space="0" w:color="auto"/>
        <w:right w:val="none" w:sz="0" w:space="0" w:color="auto"/>
      </w:divBdr>
    </w:div>
    <w:div w:id="84888991">
      <w:bodyDiv w:val="1"/>
      <w:marLeft w:val="0"/>
      <w:marRight w:val="0"/>
      <w:marTop w:val="0"/>
      <w:marBottom w:val="0"/>
      <w:divBdr>
        <w:top w:val="none" w:sz="0" w:space="0" w:color="auto"/>
        <w:left w:val="none" w:sz="0" w:space="0" w:color="auto"/>
        <w:bottom w:val="none" w:sz="0" w:space="0" w:color="auto"/>
        <w:right w:val="none" w:sz="0" w:space="0" w:color="auto"/>
      </w:divBdr>
    </w:div>
    <w:div w:id="100691004">
      <w:bodyDiv w:val="1"/>
      <w:marLeft w:val="0"/>
      <w:marRight w:val="0"/>
      <w:marTop w:val="0"/>
      <w:marBottom w:val="0"/>
      <w:divBdr>
        <w:top w:val="none" w:sz="0" w:space="0" w:color="auto"/>
        <w:left w:val="none" w:sz="0" w:space="0" w:color="auto"/>
        <w:bottom w:val="none" w:sz="0" w:space="0" w:color="auto"/>
        <w:right w:val="none" w:sz="0" w:space="0" w:color="auto"/>
      </w:divBdr>
    </w:div>
    <w:div w:id="105778785">
      <w:bodyDiv w:val="1"/>
      <w:marLeft w:val="0"/>
      <w:marRight w:val="0"/>
      <w:marTop w:val="0"/>
      <w:marBottom w:val="0"/>
      <w:divBdr>
        <w:top w:val="none" w:sz="0" w:space="0" w:color="auto"/>
        <w:left w:val="none" w:sz="0" w:space="0" w:color="auto"/>
        <w:bottom w:val="none" w:sz="0" w:space="0" w:color="auto"/>
        <w:right w:val="none" w:sz="0" w:space="0" w:color="auto"/>
      </w:divBdr>
    </w:div>
    <w:div w:id="331184955">
      <w:bodyDiv w:val="1"/>
      <w:marLeft w:val="0"/>
      <w:marRight w:val="0"/>
      <w:marTop w:val="0"/>
      <w:marBottom w:val="0"/>
      <w:divBdr>
        <w:top w:val="none" w:sz="0" w:space="0" w:color="auto"/>
        <w:left w:val="none" w:sz="0" w:space="0" w:color="auto"/>
        <w:bottom w:val="none" w:sz="0" w:space="0" w:color="auto"/>
        <w:right w:val="none" w:sz="0" w:space="0" w:color="auto"/>
      </w:divBdr>
    </w:div>
    <w:div w:id="342753442">
      <w:bodyDiv w:val="1"/>
      <w:marLeft w:val="0"/>
      <w:marRight w:val="0"/>
      <w:marTop w:val="0"/>
      <w:marBottom w:val="0"/>
      <w:divBdr>
        <w:top w:val="none" w:sz="0" w:space="0" w:color="auto"/>
        <w:left w:val="none" w:sz="0" w:space="0" w:color="auto"/>
        <w:bottom w:val="none" w:sz="0" w:space="0" w:color="auto"/>
        <w:right w:val="none" w:sz="0" w:space="0" w:color="auto"/>
      </w:divBdr>
    </w:div>
    <w:div w:id="380831934">
      <w:bodyDiv w:val="1"/>
      <w:marLeft w:val="0"/>
      <w:marRight w:val="0"/>
      <w:marTop w:val="0"/>
      <w:marBottom w:val="0"/>
      <w:divBdr>
        <w:top w:val="none" w:sz="0" w:space="0" w:color="auto"/>
        <w:left w:val="none" w:sz="0" w:space="0" w:color="auto"/>
        <w:bottom w:val="none" w:sz="0" w:space="0" w:color="auto"/>
        <w:right w:val="none" w:sz="0" w:space="0" w:color="auto"/>
      </w:divBdr>
    </w:div>
    <w:div w:id="541138428">
      <w:bodyDiv w:val="1"/>
      <w:marLeft w:val="0"/>
      <w:marRight w:val="0"/>
      <w:marTop w:val="0"/>
      <w:marBottom w:val="0"/>
      <w:divBdr>
        <w:top w:val="none" w:sz="0" w:space="0" w:color="auto"/>
        <w:left w:val="none" w:sz="0" w:space="0" w:color="auto"/>
        <w:bottom w:val="none" w:sz="0" w:space="0" w:color="auto"/>
        <w:right w:val="none" w:sz="0" w:space="0" w:color="auto"/>
      </w:divBdr>
    </w:div>
    <w:div w:id="607351985">
      <w:bodyDiv w:val="1"/>
      <w:marLeft w:val="0"/>
      <w:marRight w:val="0"/>
      <w:marTop w:val="0"/>
      <w:marBottom w:val="0"/>
      <w:divBdr>
        <w:top w:val="none" w:sz="0" w:space="0" w:color="auto"/>
        <w:left w:val="none" w:sz="0" w:space="0" w:color="auto"/>
        <w:bottom w:val="none" w:sz="0" w:space="0" w:color="auto"/>
        <w:right w:val="none" w:sz="0" w:space="0" w:color="auto"/>
      </w:divBdr>
      <w:divsChild>
        <w:div w:id="837617065">
          <w:marLeft w:val="0"/>
          <w:marRight w:val="0"/>
          <w:marTop w:val="0"/>
          <w:marBottom w:val="0"/>
          <w:divBdr>
            <w:top w:val="none" w:sz="0" w:space="0" w:color="auto"/>
            <w:left w:val="none" w:sz="0" w:space="0" w:color="auto"/>
            <w:bottom w:val="none" w:sz="0" w:space="0" w:color="auto"/>
            <w:right w:val="none" w:sz="0" w:space="0" w:color="auto"/>
          </w:divBdr>
        </w:div>
      </w:divsChild>
    </w:div>
    <w:div w:id="738870256">
      <w:bodyDiv w:val="1"/>
      <w:marLeft w:val="0"/>
      <w:marRight w:val="0"/>
      <w:marTop w:val="0"/>
      <w:marBottom w:val="0"/>
      <w:divBdr>
        <w:top w:val="none" w:sz="0" w:space="0" w:color="auto"/>
        <w:left w:val="none" w:sz="0" w:space="0" w:color="auto"/>
        <w:bottom w:val="none" w:sz="0" w:space="0" w:color="auto"/>
        <w:right w:val="none" w:sz="0" w:space="0" w:color="auto"/>
      </w:divBdr>
    </w:div>
    <w:div w:id="793985692">
      <w:bodyDiv w:val="1"/>
      <w:marLeft w:val="0"/>
      <w:marRight w:val="0"/>
      <w:marTop w:val="0"/>
      <w:marBottom w:val="0"/>
      <w:divBdr>
        <w:top w:val="none" w:sz="0" w:space="0" w:color="auto"/>
        <w:left w:val="none" w:sz="0" w:space="0" w:color="auto"/>
        <w:bottom w:val="none" w:sz="0" w:space="0" w:color="auto"/>
        <w:right w:val="none" w:sz="0" w:space="0" w:color="auto"/>
      </w:divBdr>
    </w:div>
    <w:div w:id="796607741">
      <w:bodyDiv w:val="1"/>
      <w:marLeft w:val="0"/>
      <w:marRight w:val="0"/>
      <w:marTop w:val="0"/>
      <w:marBottom w:val="0"/>
      <w:divBdr>
        <w:top w:val="none" w:sz="0" w:space="0" w:color="auto"/>
        <w:left w:val="none" w:sz="0" w:space="0" w:color="auto"/>
        <w:bottom w:val="none" w:sz="0" w:space="0" w:color="auto"/>
        <w:right w:val="none" w:sz="0" w:space="0" w:color="auto"/>
      </w:divBdr>
    </w:div>
    <w:div w:id="843470584">
      <w:bodyDiv w:val="1"/>
      <w:marLeft w:val="0"/>
      <w:marRight w:val="0"/>
      <w:marTop w:val="0"/>
      <w:marBottom w:val="0"/>
      <w:divBdr>
        <w:top w:val="none" w:sz="0" w:space="0" w:color="auto"/>
        <w:left w:val="none" w:sz="0" w:space="0" w:color="auto"/>
        <w:bottom w:val="none" w:sz="0" w:space="0" w:color="auto"/>
        <w:right w:val="none" w:sz="0" w:space="0" w:color="auto"/>
      </w:divBdr>
    </w:div>
    <w:div w:id="885990245">
      <w:bodyDiv w:val="1"/>
      <w:marLeft w:val="0"/>
      <w:marRight w:val="0"/>
      <w:marTop w:val="0"/>
      <w:marBottom w:val="0"/>
      <w:divBdr>
        <w:top w:val="none" w:sz="0" w:space="0" w:color="auto"/>
        <w:left w:val="none" w:sz="0" w:space="0" w:color="auto"/>
        <w:bottom w:val="none" w:sz="0" w:space="0" w:color="auto"/>
        <w:right w:val="none" w:sz="0" w:space="0" w:color="auto"/>
      </w:divBdr>
    </w:div>
    <w:div w:id="956066639">
      <w:bodyDiv w:val="1"/>
      <w:marLeft w:val="0"/>
      <w:marRight w:val="0"/>
      <w:marTop w:val="0"/>
      <w:marBottom w:val="0"/>
      <w:divBdr>
        <w:top w:val="none" w:sz="0" w:space="0" w:color="auto"/>
        <w:left w:val="none" w:sz="0" w:space="0" w:color="auto"/>
        <w:bottom w:val="none" w:sz="0" w:space="0" w:color="auto"/>
        <w:right w:val="none" w:sz="0" w:space="0" w:color="auto"/>
      </w:divBdr>
    </w:div>
    <w:div w:id="963386024">
      <w:bodyDiv w:val="1"/>
      <w:marLeft w:val="0"/>
      <w:marRight w:val="0"/>
      <w:marTop w:val="0"/>
      <w:marBottom w:val="0"/>
      <w:divBdr>
        <w:top w:val="none" w:sz="0" w:space="0" w:color="auto"/>
        <w:left w:val="none" w:sz="0" w:space="0" w:color="auto"/>
        <w:bottom w:val="none" w:sz="0" w:space="0" w:color="auto"/>
        <w:right w:val="none" w:sz="0" w:space="0" w:color="auto"/>
      </w:divBdr>
      <w:divsChild>
        <w:div w:id="269167517">
          <w:marLeft w:val="0"/>
          <w:marRight w:val="0"/>
          <w:marTop w:val="0"/>
          <w:marBottom w:val="0"/>
          <w:divBdr>
            <w:top w:val="none" w:sz="0" w:space="0" w:color="auto"/>
            <w:left w:val="none" w:sz="0" w:space="0" w:color="auto"/>
            <w:bottom w:val="none" w:sz="0" w:space="0" w:color="auto"/>
            <w:right w:val="none" w:sz="0" w:space="0" w:color="auto"/>
          </w:divBdr>
          <w:divsChild>
            <w:div w:id="1023752470">
              <w:marLeft w:val="-225"/>
              <w:marRight w:val="-225"/>
              <w:marTop w:val="0"/>
              <w:marBottom w:val="0"/>
              <w:divBdr>
                <w:top w:val="none" w:sz="0" w:space="0" w:color="auto"/>
                <w:left w:val="none" w:sz="0" w:space="0" w:color="auto"/>
                <w:bottom w:val="none" w:sz="0" w:space="0" w:color="auto"/>
                <w:right w:val="none" w:sz="0" w:space="0" w:color="auto"/>
              </w:divBdr>
              <w:divsChild>
                <w:div w:id="1140028145">
                  <w:marLeft w:val="0"/>
                  <w:marRight w:val="0"/>
                  <w:marTop w:val="0"/>
                  <w:marBottom w:val="0"/>
                  <w:divBdr>
                    <w:top w:val="none" w:sz="0" w:space="0" w:color="auto"/>
                    <w:left w:val="none" w:sz="0" w:space="0" w:color="auto"/>
                    <w:bottom w:val="none" w:sz="0" w:space="0" w:color="auto"/>
                    <w:right w:val="none" w:sz="0" w:space="0" w:color="auto"/>
                  </w:divBdr>
                  <w:divsChild>
                    <w:div w:id="473182183">
                      <w:marLeft w:val="0"/>
                      <w:marRight w:val="0"/>
                      <w:marTop w:val="0"/>
                      <w:marBottom w:val="0"/>
                      <w:divBdr>
                        <w:top w:val="none" w:sz="0" w:space="0" w:color="auto"/>
                        <w:left w:val="none" w:sz="0" w:space="0" w:color="auto"/>
                        <w:bottom w:val="none" w:sz="0" w:space="0" w:color="auto"/>
                        <w:right w:val="none" w:sz="0" w:space="0" w:color="auto"/>
                      </w:divBdr>
                      <w:divsChild>
                        <w:div w:id="113015127">
                          <w:marLeft w:val="0"/>
                          <w:marRight w:val="0"/>
                          <w:marTop w:val="0"/>
                          <w:marBottom w:val="0"/>
                          <w:divBdr>
                            <w:top w:val="none" w:sz="0" w:space="0" w:color="auto"/>
                            <w:left w:val="none" w:sz="0" w:space="0" w:color="auto"/>
                            <w:bottom w:val="none" w:sz="0" w:space="0" w:color="auto"/>
                            <w:right w:val="none" w:sz="0" w:space="0" w:color="auto"/>
                          </w:divBdr>
                          <w:divsChild>
                            <w:div w:id="734014504">
                              <w:marLeft w:val="0"/>
                              <w:marRight w:val="0"/>
                              <w:marTop w:val="0"/>
                              <w:marBottom w:val="0"/>
                              <w:divBdr>
                                <w:top w:val="none" w:sz="0" w:space="0" w:color="auto"/>
                                <w:left w:val="none" w:sz="0" w:space="0" w:color="auto"/>
                                <w:bottom w:val="none" w:sz="0" w:space="0" w:color="auto"/>
                                <w:right w:val="none" w:sz="0" w:space="0" w:color="auto"/>
                              </w:divBdr>
                              <w:divsChild>
                                <w:div w:id="721517621">
                                  <w:marLeft w:val="0"/>
                                  <w:marRight w:val="0"/>
                                  <w:marTop w:val="0"/>
                                  <w:marBottom w:val="0"/>
                                  <w:divBdr>
                                    <w:top w:val="none" w:sz="0" w:space="0" w:color="auto"/>
                                    <w:left w:val="none" w:sz="0" w:space="0" w:color="auto"/>
                                    <w:bottom w:val="none" w:sz="0" w:space="0" w:color="auto"/>
                                    <w:right w:val="none" w:sz="0" w:space="0" w:color="auto"/>
                                  </w:divBdr>
                                  <w:divsChild>
                                    <w:div w:id="207180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401749">
      <w:bodyDiv w:val="1"/>
      <w:marLeft w:val="0"/>
      <w:marRight w:val="0"/>
      <w:marTop w:val="0"/>
      <w:marBottom w:val="0"/>
      <w:divBdr>
        <w:top w:val="none" w:sz="0" w:space="0" w:color="auto"/>
        <w:left w:val="none" w:sz="0" w:space="0" w:color="auto"/>
        <w:bottom w:val="none" w:sz="0" w:space="0" w:color="auto"/>
        <w:right w:val="none" w:sz="0" w:space="0" w:color="auto"/>
      </w:divBdr>
    </w:div>
    <w:div w:id="1009675728">
      <w:bodyDiv w:val="1"/>
      <w:marLeft w:val="0"/>
      <w:marRight w:val="0"/>
      <w:marTop w:val="0"/>
      <w:marBottom w:val="0"/>
      <w:divBdr>
        <w:top w:val="none" w:sz="0" w:space="0" w:color="auto"/>
        <w:left w:val="none" w:sz="0" w:space="0" w:color="auto"/>
        <w:bottom w:val="none" w:sz="0" w:space="0" w:color="auto"/>
        <w:right w:val="none" w:sz="0" w:space="0" w:color="auto"/>
      </w:divBdr>
    </w:div>
    <w:div w:id="1107042798">
      <w:bodyDiv w:val="1"/>
      <w:marLeft w:val="0"/>
      <w:marRight w:val="0"/>
      <w:marTop w:val="0"/>
      <w:marBottom w:val="0"/>
      <w:divBdr>
        <w:top w:val="none" w:sz="0" w:space="0" w:color="auto"/>
        <w:left w:val="none" w:sz="0" w:space="0" w:color="auto"/>
        <w:bottom w:val="none" w:sz="0" w:space="0" w:color="auto"/>
        <w:right w:val="none" w:sz="0" w:space="0" w:color="auto"/>
      </w:divBdr>
    </w:div>
    <w:div w:id="1167019554">
      <w:bodyDiv w:val="1"/>
      <w:marLeft w:val="0"/>
      <w:marRight w:val="0"/>
      <w:marTop w:val="0"/>
      <w:marBottom w:val="0"/>
      <w:divBdr>
        <w:top w:val="none" w:sz="0" w:space="0" w:color="auto"/>
        <w:left w:val="none" w:sz="0" w:space="0" w:color="auto"/>
        <w:bottom w:val="none" w:sz="0" w:space="0" w:color="auto"/>
        <w:right w:val="none" w:sz="0" w:space="0" w:color="auto"/>
      </w:divBdr>
    </w:div>
    <w:div w:id="1245147215">
      <w:bodyDiv w:val="1"/>
      <w:marLeft w:val="0"/>
      <w:marRight w:val="0"/>
      <w:marTop w:val="0"/>
      <w:marBottom w:val="0"/>
      <w:divBdr>
        <w:top w:val="none" w:sz="0" w:space="0" w:color="auto"/>
        <w:left w:val="none" w:sz="0" w:space="0" w:color="auto"/>
        <w:bottom w:val="none" w:sz="0" w:space="0" w:color="auto"/>
        <w:right w:val="none" w:sz="0" w:space="0" w:color="auto"/>
      </w:divBdr>
    </w:div>
    <w:div w:id="1423910475">
      <w:bodyDiv w:val="1"/>
      <w:marLeft w:val="0"/>
      <w:marRight w:val="0"/>
      <w:marTop w:val="0"/>
      <w:marBottom w:val="0"/>
      <w:divBdr>
        <w:top w:val="none" w:sz="0" w:space="0" w:color="auto"/>
        <w:left w:val="none" w:sz="0" w:space="0" w:color="auto"/>
        <w:bottom w:val="none" w:sz="0" w:space="0" w:color="auto"/>
        <w:right w:val="none" w:sz="0" w:space="0" w:color="auto"/>
      </w:divBdr>
    </w:div>
    <w:div w:id="1424687213">
      <w:bodyDiv w:val="1"/>
      <w:marLeft w:val="0"/>
      <w:marRight w:val="0"/>
      <w:marTop w:val="0"/>
      <w:marBottom w:val="0"/>
      <w:divBdr>
        <w:top w:val="none" w:sz="0" w:space="0" w:color="auto"/>
        <w:left w:val="none" w:sz="0" w:space="0" w:color="auto"/>
        <w:bottom w:val="none" w:sz="0" w:space="0" w:color="auto"/>
        <w:right w:val="none" w:sz="0" w:space="0" w:color="auto"/>
      </w:divBdr>
    </w:div>
    <w:div w:id="1583296018">
      <w:bodyDiv w:val="1"/>
      <w:marLeft w:val="0"/>
      <w:marRight w:val="0"/>
      <w:marTop w:val="0"/>
      <w:marBottom w:val="0"/>
      <w:divBdr>
        <w:top w:val="none" w:sz="0" w:space="0" w:color="auto"/>
        <w:left w:val="none" w:sz="0" w:space="0" w:color="auto"/>
        <w:bottom w:val="none" w:sz="0" w:space="0" w:color="auto"/>
        <w:right w:val="none" w:sz="0" w:space="0" w:color="auto"/>
      </w:divBdr>
    </w:div>
    <w:div w:id="1631857071">
      <w:bodyDiv w:val="1"/>
      <w:marLeft w:val="0"/>
      <w:marRight w:val="0"/>
      <w:marTop w:val="0"/>
      <w:marBottom w:val="0"/>
      <w:divBdr>
        <w:top w:val="none" w:sz="0" w:space="0" w:color="auto"/>
        <w:left w:val="none" w:sz="0" w:space="0" w:color="auto"/>
        <w:bottom w:val="none" w:sz="0" w:space="0" w:color="auto"/>
        <w:right w:val="none" w:sz="0" w:space="0" w:color="auto"/>
      </w:divBdr>
    </w:div>
    <w:div w:id="1637293494">
      <w:bodyDiv w:val="1"/>
      <w:marLeft w:val="0"/>
      <w:marRight w:val="0"/>
      <w:marTop w:val="0"/>
      <w:marBottom w:val="0"/>
      <w:divBdr>
        <w:top w:val="none" w:sz="0" w:space="0" w:color="auto"/>
        <w:left w:val="none" w:sz="0" w:space="0" w:color="auto"/>
        <w:bottom w:val="none" w:sz="0" w:space="0" w:color="auto"/>
        <w:right w:val="none" w:sz="0" w:space="0" w:color="auto"/>
      </w:divBdr>
    </w:div>
    <w:div w:id="1637299676">
      <w:bodyDiv w:val="1"/>
      <w:marLeft w:val="0"/>
      <w:marRight w:val="0"/>
      <w:marTop w:val="0"/>
      <w:marBottom w:val="0"/>
      <w:divBdr>
        <w:top w:val="none" w:sz="0" w:space="0" w:color="auto"/>
        <w:left w:val="none" w:sz="0" w:space="0" w:color="auto"/>
        <w:bottom w:val="none" w:sz="0" w:space="0" w:color="auto"/>
        <w:right w:val="none" w:sz="0" w:space="0" w:color="auto"/>
      </w:divBdr>
    </w:div>
    <w:div w:id="1678926974">
      <w:bodyDiv w:val="1"/>
      <w:marLeft w:val="0"/>
      <w:marRight w:val="0"/>
      <w:marTop w:val="0"/>
      <w:marBottom w:val="0"/>
      <w:divBdr>
        <w:top w:val="none" w:sz="0" w:space="0" w:color="auto"/>
        <w:left w:val="none" w:sz="0" w:space="0" w:color="auto"/>
        <w:bottom w:val="none" w:sz="0" w:space="0" w:color="auto"/>
        <w:right w:val="none" w:sz="0" w:space="0" w:color="auto"/>
      </w:divBdr>
    </w:div>
    <w:div w:id="1682852767">
      <w:bodyDiv w:val="1"/>
      <w:marLeft w:val="0"/>
      <w:marRight w:val="0"/>
      <w:marTop w:val="0"/>
      <w:marBottom w:val="0"/>
      <w:divBdr>
        <w:top w:val="none" w:sz="0" w:space="0" w:color="auto"/>
        <w:left w:val="none" w:sz="0" w:space="0" w:color="auto"/>
        <w:bottom w:val="none" w:sz="0" w:space="0" w:color="auto"/>
        <w:right w:val="none" w:sz="0" w:space="0" w:color="auto"/>
      </w:divBdr>
    </w:div>
    <w:div w:id="1767726011">
      <w:bodyDiv w:val="1"/>
      <w:marLeft w:val="0"/>
      <w:marRight w:val="0"/>
      <w:marTop w:val="0"/>
      <w:marBottom w:val="0"/>
      <w:divBdr>
        <w:top w:val="none" w:sz="0" w:space="0" w:color="auto"/>
        <w:left w:val="none" w:sz="0" w:space="0" w:color="auto"/>
        <w:bottom w:val="none" w:sz="0" w:space="0" w:color="auto"/>
        <w:right w:val="none" w:sz="0" w:space="0" w:color="auto"/>
      </w:divBdr>
      <w:divsChild>
        <w:div w:id="1310943329">
          <w:marLeft w:val="0"/>
          <w:marRight w:val="0"/>
          <w:marTop w:val="0"/>
          <w:marBottom w:val="0"/>
          <w:divBdr>
            <w:top w:val="none" w:sz="0" w:space="0" w:color="auto"/>
            <w:left w:val="none" w:sz="0" w:space="0" w:color="auto"/>
            <w:bottom w:val="none" w:sz="0" w:space="0" w:color="auto"/>
            <w:right w:val="none" w:sz="0" w:space="0" w:color="auto"/>
          </w:divBdr>
        </w:div>
      </w:divsChild>
    </w:div>
    <w:div w:id="1793284058">
      <w:bodyDiv w:val="1"/>
      <w:marLeft w:val="0"/>
      <w:marRight w:val="0"/>
      <w:marTop w:val="0"/>
      <w:marBottom w:val="0"/>
      <w:divBdr>
        <w:top w:val="none" w:sz="0" w:space="0" w:color="auto"/>
        <w:left w:val="none" w:sz="0" w:space="0" w:color="auto"/>
        <w:bottom w:val="none" w:sz="0" w:space="0" w:color="auto"/>
        <w:right w:val="none" w:sz="0" w:space="0" w:color="auto"/>
      </w:divBdr>
    </w:div>
    <w:div w:id="1832287445">
      <w:bodyDiv w:val="1"/>
      <w:marLeft w:val="0"/>
      <w:marRight w:val="0"/>
      <w:marTop w:val="0"/>
      <w:marBottom w:val="0"/>
      <w:divBdr>
        <w:top w:val="none" w:sz="0" w:space="0" w:color="auto"/>
        <w:left w:val="none" w:sz="0" w:space="0" w:color="auto"/>
        <w:bottom w:val="none" w:sz="0" w:space="0" w:color="auto"/>
        <w:right w:val="none" w:sz="0" w:space="0" w:color="auto"/>
      </w:divBdr>
    </w:div>
    <w:div w:id="1891726962">
      <w:bodyDiv w:val="1"/>
      <w:marLeft w:val="0"/>
      <w:marRight w:val="0"/>
      <w:marTop w:val="0"/>
      <w:marBottom w:val="0"/>
      <w:divBdr>
        <w:top w:val="none" w:sz="0" w:space="0" w:color="auto"/>
        <w:left w:val="none" w:sz="0" w:space="0" w:color="auto"/>
        <w:bottom w:val="none" w:sz="0" w:space="0" w:color="auto"/>
        <w:right w:val="none" w:sz="0" w:space="0" w:color="auto"/>
      </w:divBdr>
    </w:div>
    <w:div w:id="206983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49036FA82A9F42B1748B84A0A5C291" ma:contentTypeVersion="13" ma:contentTypeDescription="Create a new document." ma:contentTypeScope="" ma:versionID="c4b8b7637061f4ae21a5184c8270c7f5">
  <xsd:schema xmlns:xsd="http://www.w3.org/2001/XMLSchema" xmlns:xs="http://www.w3.org/2001/XMLSchema" xmlns:p="http://schemas.microsoft.com/office/2006/metadata/properties" xmlns:ns3="a074f96f-9a81-42d6-a038-0f1e045ca7f7" xmlns:ns4="c57aed3c-1fed-4240-b3f0-7c1c5d2d4341" targetNamespace="http://schemas.microsoft.com/office/2006/metadata/properties" ma:root="true" ma:fieldsID="7dfd34c39c5756be5304693e404b1378" ns3:_="" ns4:_="">
    <xsd:import namespace="a074f96f-9a81-42d6-a038-0f1e045ca7f7"/>
    <xsd:import namespace="c57aed3c-1fed-4240-b3f0-7c1c5d2d434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4f96f-9a81-42d6-a038-0f1e045ca7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7aed3c-1fed-4240-b3f0-7c1c5d2d434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F87D7-CABE-4138-A2C2-7071AF205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4f96f-9a81-42d6-a038-0f1e045ca7f7"/>
    <ds:schemaRef ds:uri="c57aed3c-1fed-4240-b3f0-7c1c5d2d4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B6339-1BA5-44C2-BE22-A158FF09609F}">
  <ds:schemaRefs>
    <ds:schemaRef ds:uri="http://schemas.microsoft.com/sharepoint/v3/contenttype/forms"/>
  </ds:schemaRefs>
</ds:datastoreItem>
</file>

<file path=customXml/itemProps3.xml><?xml version="1.0" encoding="utf-8"?>
<ds:datastoreItem xmlns:ds="http://schemas.openxmlformats.org/officeDocument/2006/customXml" ds:itemID="{97C9CD92-1E77-43C5-A628-F774FDBB1A50}">
  <ds:schemaRefs>
    <ds:schemaRef ds:uri="http://schemas.microsoft.com/office/infopath/2007/PartnerControls"/>
    <ds:schemaRef ds:uri="http://schemas.openxmlformats.org/package/2006/metadata/core-properties"/>
    <ds:schemaRef ds:uri="http://purl.org/dc/terms/"/>
    <ds:schemaRef ds:uri="http://www.w3.org/XML/1998/namespace"/>
    <ds:schemaRef ds:uri="http://purl.org/dc/elements/1.1/"/>
    <ds:schemaRef ds:uri="http://purl.org/dc/dcmitype/"/>
    <ds:schemaRef ds:uri="http://schemas.microsoft.com/office/2006/documentManagement/types"/>
    <ds:schemaRef ds:uri="a074f96f-9a81-42d6-a038-0f1e045ca7f7"/>
    <ds:schemaRef ds:uri="c57aed3c-1fed-4240-b3f0-7c1c5d2d4341"/>
    <ds:schemaRef ds:uri="http://schemas.microsoft.com/office/2006/metadata/properties"/>
  </ds:schemaRefs>
</ds:datastoreItem>
</file>

<file path=customXml/itemProps4.xml><?xml version="1.0" encoding="utf-8"?>
<ds:datastoreItem xmlns:ds="http://schemas.openxmlformats.org/officeDocument/2006/customXml" ds:itemID="{6D20E1F9-6311-488D-9E95-45AE9A619921}">
  <ds:schemaRefs>
    <ds:schemaRef ds:uri="http://schemas.openxmlformats.org/officeDocument/2006/bibliography"/>
  </ds:schemaRefs>
</ds:datastoreItem>
</file>

<file path=docMetadata/LabelInfo.xml><?xml version="1.0" encoding="utf-8"?>
<clbl:labelList xmlns:clbl="http://schemas.microsoft.com/office/2020/mipLabelMetadata">
  <clbl:label id="{c6b8addf-0b3b-488d-8eca-906be3ac452f}" enabled="1" method="Standard" siteId="{d1e23d19-ded6-4d66-850c-0d4f35bf2edc}"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3492</Words>
  <Characters>24098</Characters>
  <Application>Microsoft Office Word</Application>
  <DocSecurity>0</DocSecurity>
  <Lines>200</Lines>
  <Paragraphs>55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27535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Turcu</dc:creator>
  <cp:keywords/>
  <dc:description/>
  <cp:lastModifiedBy>HU_OGYI_50.1</cp:lastModifiedBy>
  <cp:revision>2</cp:revision>
  <cp:lastPrinted>2021-06-21T21:05:00Z</cp:lastPrinted>
  <dcterms:created xsi:type="dcterms:W3CDTF">2026-09-10T06:03:00Z</dcterms:created>
  <dcterms:modified xsi:type="dcterms:W3CDTF">2026-09-10T06:03:00Z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0x0101006049036FA82A9F42B1748B84A0A5C291</vt:lpwstr>
  </property>
  <property fmtid="{D5CDD505-2E9C-101B-9397-08002B2CF9AE}" pid="3" name="MSIP_Label_c6b8addf-0b3b-488d-8eca-906be3ac452f_Enabled">
    <vt:lpwstr>true</vt:lpwstr>
  </property>
  <property fmtid="{D5CDD505-2E9C-101B-9397-08002B2CF9AE}" pid="4" name="MSIP_Label_c6b8addf-0b3b-488d-8eca-906be3ac452f_SetDate">
    <vt:lpwstr>2024-12-04T16:17:29Z</vt:lpwstr>
  </property>
  <property fmtid="{D5CDD505-2E9C-101B-9397-08002B2CF9AE}" pid="5" name="MSIP_Label_c6b8addf-0b3b-488d-8eca-906be3ac452f_Method">
    <vt:lpwstr>Standard</vt:lpwstr>
  </property>
  <property fmtid="{D5CDD505-2E9C-101B-9397-08002B2CF9AE}" pid="6" name="MSIP_Label_c6b8addf-0b3b-488d-8eca-906be3ac452f_Name">
    <vt:lpwstr>Internal Use</vt:lpwstr>
  </property>
  <property fmtid="{D5CDD505-2E9C-101B-9397-08002B2CF9AE}" pid="7" name="MSIP_Label_c6b8addf-0b3b-488d-8eca-906be3ac452f_SiteId">
    <vt:lpwstr>d1e23d19-ded6-4d66-850c-0d4f35bf2edc</vt:lpwstr>
  </property>
  <property fmtid="{D5CDD505-2E9C-101B-9397-08002B2CF9AE}" pid="8" name="MSIP_Label_c6b8addf-0b3b-488d-8eca-906be3ac452f_ActionId">
    <vt:lpwstr>072d9857-6c41-40f8-9cd9-f2dc08f97b94</vt:lpwstr>
  </property>
  <property fmtid="{D5CDD505-2E9C-101B-9397-08002B2CF9AE}" pid="9" name="MSIP_Label_c6b8addf-0b3b-488d-8eca-906be3ac452f_ContentBits">
    <vt:lpwstr>0</vt:lpwstr>
  </property>
</Properties>
</file>