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CE84BF" w14:textId="77777777" w:rsidR="005B70EC" w:rsidRPr="002D7626" w:rsidRDefault="005B70EC" w:rsidP="0046151C">
      <w:pPr>
        <w:rPr>
          <w:rFonts w:ascii="Times New Roman" w:hAnsi="Times New Roman"/>
          <w:b/>
          <w:color w:val="auto"/>
          <w:sz w:val="22"/>
          <w:szCs w:val="22"/>
          <w:lang w:val="en-GB"/>
        </w:rPr>
      </w:pPr>
    </w:p>
    <w:p w14:paraId="5B8BDA84" w14:textId="77777777" w:rsidR="0037295D" w:rsidRPr="002D7626" w:rsidRDefault="009B29BB" w:rsidP="0046151C">
      <w:pPr>
        <w:tabs>
          <w:tab w:val="left" w:pos="540"/>
        </w:tabs>
        <w:rPr>
          <w:rFonts w:ascii="Times New Roman" w:hAnsi="Times New Roman"/>
          <w:b/>
          <w:caps/>
          <w:color w:val="auto"/>
          <w:sz w:val="22"/>
          <w:szCs w:val="22"/>
        </w:rPr>
      </w:pPr>
      <w:r>
        <w:rPr>
          <w:rFonts w:ascii="Times New Roman" w:hAnsi="Times New Roman"/>
          <w:b/>
          <w:caps/>
          <w:color w:val="auto"/>
          <w:sz w:val="22"/>
        </w:rPr>
        <w:t>1.</w:t>
      </w:r>
      <w:r>
        <w:rPr>
          <w:rFonts w:ascii="Times New Roman" w:hAnsi="Times New Roman"/>
          <w:b/>
          <w:caps/>
          <w:color w:val="auto"/>
          <w:sz w:val="22"/>
        </w:rPr>
        <w:tab/>
      </w:r>
      <w:r>
        <w:rPr>
          <w:rFonts w:ascii="Times New Roman" w:hAnsi="Times New Roman"/>
          <w:b/>
          <w:sz w:val="22"/>
        </w:rPr>
        <w:t>A GYÓGYSZER NEVE</w:t>
      </w:r>
    </w:p>
    <w:p w14:paraId="1F4AD6B7" w14:textId="77777777" w:rsidR="009B29BB" w:rsidRPr="002D7626" w:rsidRDefault="009B29BB" w:rsidP="0046151C">
      <w:pPr>
        <w:rPr>
          <w:rFonts w:ascii="Times New Roman" w:hAnsi="Times New Roman"/>
          <w:b/>
          <w:color w:val="auto"/>
          <w:sz w:val="22"/>
          <w:szCs w:val="22"/>
          <w:lang w:val="en-GB"/>
        </w:rPr>
      </w:pPr>
    </w:p>
    <w:p w14:paraId="6E20D7FE" w14:textId="0A5EADA4" w:rsidR="00E102E2" w:rsidRPr="001916DA" w:rsidRDefault="00A02957" w:rsidP="004E19C6">
      <w:pPr>
        <w:rPr>
          <w:rFonts w:ascii="Times New Roman" w:hAnsi="Times New Roman"/>
          <w:b/>
          <w:color w:val="auto"/>
          <w:sz w:val="22"/>
          <w:szCs w:val="22"/>
        </w:rPr>
      </w:pPr>
      <w:r>
        <w:rPr>
          <w:rFonts w:ascii="Times New Roman" w:hAnsi="Times New Roman"/>
          <w:color w:val="auto"/>
          <w:sz w:val="22"/>
        </w:rPr>
        <w:t>Cyclophosphamide Accord 500 mg</w:t>
      </w:r>
      <w:r>
        <w:rPr>
          <w:rFonts w:ascii="Times New Roman" w:hAnsi="Times New Roman"/>
          <w:b/>
          <w:color w:val="auto"/>
          <w:sz w:val="22"/>
        </w:rPr>
        <w:t xml:space="preserve"> </w:t>
      </w:r>
      <w:r>
        <w:rPr>
          <w:rFonts w:ascii="Times New Roman" w:hAnsi="Times New Roman"/>
          <w:color w:val="auto"/>
          <w:sz w:val="22"/>
        </w:rPr>
        <w:t>p</w:t>
      </w:r>
      <w:r>
        <w:rPr>
          <w:rFonts w:ascii="Times New Roman" w:hAnsi="Times New Roman"/>
          <w:sz w:val="22"/>
          <w:shd w:val="clear" w:color="auto" w:fill="FFFFFF"/>
        </w:rPr>
        <w:t>or oldatos injekcióhoz/infúzióhoz</w:t>
      </w:r>
    </w:p>
    <w:p w14:paraId="7D0B2E78" w14:textId="556E5CE5" w:rsidR="00E102E2" w:rsidRPr="001916DA" w:rsidRDefault="00A02957" w:rsidP="004E19C6">
      <w:pPr>
        <w:rPr>
          <w:rFonts w:ascii="Times New Roman" w:hAnsi="Times New Roman"/>
          <w:b/>
          <w:color w:val="auto"/>
          <w:sz w:val="22"/>
          <w:szCs w:val="22"/>
        </w:rPr>
      </w:pPr>
      <w:r>
        <w:rPr>
          <w:rFonts w:ascii="Times New Roman" w:hAnsi="Times New Roman"/>
          <w:color w:val="auto"/>
          <w:sz w:val="22"/>
        </w:rPr>
        <w:t>Cyclophosphamide Accord 1000 mg</w:t>
      </w:r>
      <w:r>
        <w:rPr>
          <w:rFonts w:ascii="Times New Roman" w:hAnsi="Times New Roman"/>
          <w:b/>
          <w:color w:val="auto"/>
          <w:sz w:val="22"/>
        </w:rPr>
        <w:t xml:space="preserve"> </w:t>
      </w:r>
      <w:r>
        <w:rPr>
          <w:rFonts w:ascii="Times New Roman" w:hAnsi="Times New Roman"/>
          <w:color w:val="auto"/>
          <w:sz w:val="22"/>
        </w:rPr>
        <w:t>p</w:t>
      </w:r>
      <w:r>
        <w:rPr>
          <w:rFonts w:ascii="Times New Roman" w:hAnsi="Times New Roman"/>
          <w:sz w:val="22"/>
          <w:shd w:val="clear" w:color="auto" w:fill="FFFFFF"/>
        </w:rPr>
        <w:t>or oldatos injekcióhoz/infúzióhoz</w:t>
      </w:r>
    </w:p>
    <w:p w14:paraId="4FBC2D3C" w14:textId="0FE0A3A3" w:rsidR="00EF26CE" w:rsidRPr="001916DA" w:rsidRDefault="00EF26CE" w:rsidP="004E19C6">
      <w:pPr>
        <w:rPr>
          <w:rFonts w:ascii="Times New Roman" w:hAnsi="Times New Roman"/>
          <w:color w:val="auto"/>
          <w:sz w:val="22"/>
          <w:szCs w:val="22"/>
          <w:lang w:val="en-GB"/>
        </w:rPr>
      </w:pPr>
    </w:p>
    <w:p w14:paraId="05C76EBA" w14:textId="77777777" w:rsidR="005B70EC" w:rsidRPr="001916DA" w:rsidRDefault="005B70EC" w:rsidP="004E19C6">
      <w:pPr>
        <w:rPr>
          <w:rFonts w:ascii="Times New Roman" w:hAnsi="Times New Roman"/>
          <w:color w:val="auto"/>
          <w:sz w:val="22"/>
          <w:szCs w:val="22"/>
          <w:lang w:val="en-GB"/>
        </w:rPr>
      </w:pPr>
    </w:p>
    <w:p w14:paraId="4BE54427" w14:textId="77777777" w:rsidR="0037295D" w:rsidRPr="001916DA" w:rsidRDefault="003D65B5" w:rsidP="004E19C6">
      <w:pPr>
        <w:numPr>
          <w:ilvl w:val="0"/>
          <w:numId w:val="18"/>
        </w:numPr>
        <w:tabs>
          <w:tab w:val="clear" w:pos="360"/>
          <w:tab w:val="num" w:pos="540"/>
        </w:tabs>
        <w:ind w:left="540" w:hanging="540"/>
        <w:rPr>
          <w:rFonts w:ascii="Times New Roman" w:hAnsi="Times New Roman"/>
          <w:b/>
          <w:caps/>
          <w:color w:val="auto"/>
          <w:sz w:val="22"/>
          <w:szCs w:val="22"/>
        </w:rPr>
      </w:pPr>
      <w:r>
        <w:rPr>
          <w:rFonts w:ascii="Times New Roman" w:hAnsi="Times New Roman"/>
          <w:b/>
          <w:sz w:val="22"/>
        </w:rPr>
        <w:t>MINŐSÉGI ÉS MENNYISÉGI ÖSSZETÉTEL</w:t>
      </w:r>
    </w:p>
    <w:p w14:paraId="357468C8" w14:textId="77777777" w:rsidR="0037295D" w:rsidRPr="001916DA" w:rsidRDefault="0037295D" w:rsidP="004E19C6">
      <w:pPr>
        <w:rPr>
          <w:rFonts w:ascii="Times New Roman" w:hAnsi="Times New Roman"/>
          <w:b/>
          <w:color w:val="auto"/>
          <w:sz w:val="22"/>
          <w:szCs w:val="22"/>
          <w:lang w:val="en-GB"/>
        </w:rPr>
      </w:pPr>
    </w:p>
    <w:p w14:paraId="14A08E09" w14:textId="439CF68C" w:rsidR="0068070E" w:rsidRDefault="00FB1107" w:rsidP="004E19C6">
      <w:pPr>
        <w:rPr>
          <w:rFonts w:ascii="Times New Roman" w:hAnsi="Times New Roman"/>
          <w:color w:val="auto"/>
          <w:sz w:val="22"/>
        </w:rPr>
      </w:pPr>
      <w:r w:rsidRPr="00C5225D">
        <w:rPr>
          <w:rFonts w:ascii="Times New Roman" w:hAnsi="Times New Roman"/>
          <w:i/>
          <w:color w:val="auto"/>
          <w:sz w:val="22"/>
          <w:u w:val="single"/>
        </w:rPr>
        <w:t>Cyclophosphamide Accord</w:t>
      </w:r>
      <w:r w:rsidRPr="00C5225D">
        <w:rPr>
          <w:rFonts w:ascii="Times New Roman" w:hAnsi="Times New Roman"/>
          <w:i/>
          <w:caps/>
          <w:color w:val="auto"/>
          <w:sz w:val="22"/>
          <w:u w:val="single"/>
        </w:rPr>
        <w:t xml:space="preserve"> </w:t>
      </w:r>
      <w:r w:rsidRPr="00C5225D">
        <w:rPr>
          <w:rFonts w:ascii="Times New Roman" w:hAnsi="Times New Roman"/>
          <w:i/>
          <w:color w:val="auto"/>
          <w:sz w:val="22"/>
          <w:u w:val="single"/>
        </w:rPr>
        <w:t>500 mg por oldatos injekcióhoz/infúzióhoz</w:t>
      </w:r>
      <w:r>
        <w:rPr>
          <w:rFonts w:ascii="Times New Roman" w:hAnsi="Times New Roman"/>
          <w:caps/>
          <w:color w:val="auto"/>
          <w:sz w:val="22"/>
        </w:rPr>
        <w:t xml:space="preserve"> </w:t>
      </w:r>
    </w:p>
    <w:p w14:paraId="5A5ABC46" w14:textId="7DD04E2E" w:rsidR="00FB1107" w:rsidRPr="001916DA" w:rsidRDefault="0068070E" w:rsidP="004E19C6">
      <w:pPr>
        <w:rPr>
          <w:rFonts w:ascii="Times New Roman" w:hAnsi="Times New Roman"/>
          <w:color w:val="auto"/>
          <w:sz w:val="22"/>
          <w:szCs w:val="22"/>
        </w:rPr>
      </w:pPr>
      <w:r>
        <w:rPr>
          <w:rFonts w:ascii="Times New Roman" w:hAnsi="Times New Roman"/>
          <w:color w:val="auto"/>
          <w:sz w:val="22"/>
        </w:rPr>
        <w:t xml:space="preserve">500 mg ciklofoszfamidot (534,5 mg ciklofoszfamid-monohidrát formájában) </w:t>
      </w:r>
      <w:r w:rsidR="00FB1107">
        <w:rPr>
          <w:rFonts w:ascii="Times New Roman" w:hAnsi="Times New Roman"/>
          <w:color w:val="auto"/>
          <w:sz w:val="22"/>
        </w:rPr>
        <w:t>tartalmaz injekciós üvegenként</w:t>
      </w:r>
      <w:r>
        <w:rPr>
          <w:rFonts w:ascii="Times New Roman" w:hAnsi="Times New Roman"/>
          <w:color w:val="auto"/>
          <w:sz w:val="22"/>
        </w:rPr>
        <w:t>.</w:t>
      </w:r>
    </w:p>
    <w:p w14:paraId="601920B5" w14:textId="77777777" w:rsidR="00AB79B2" w:rsidRPr="001916DA" w:rsidRDefault="00AB79B2" w:rsidP="004E19C6">
      <w:pPr>
        <w:rPr>
          <w:rFonts w:ascii="Times New Roman" w:hAnsi="Times New Roman"/>
          <w:color w:val="auto"/>
          <w:sz w:val="22"/>
          <w:szCs w:val="22"/>
          <w:lang w:val="en-GB"/>
        </w:rPr>
      </w:pPr>
    </w:p>
    <w:p w14:paraId="002649D2" w14:textId="3B542A21" w:rsidR="0068070E" w:rsidRDefault="00AB79B2" w:rsidP="004E19C6">
      <w:pPr>
        <w:rPr>
          <w:rFonts w:ascii="Times New Roman" w:hAnsi="Times New Roman"/>
          <w:color w:val="auto"/>
          <w:sz w:val="22"/>
        </w:rPr>
      </w:pPr>
      <w:r w:rsidRPr="00C5225D">
        <w:rPr>
          <w:rFonts w:ascii="Times New Roman" w:hAnsi="Times New Roman"/>
          <w:i/>
          <w:color w:val="auto"/>
          <w:sz w:val="22"/>
          <w:u w:val="single"/>
        </w:rPr>
        <w:t>Cyclophosphamide Accord 1000 mg por oldatos injekcióhoz/infúzióhoz</w:t>
      </w:r>
      <w:r>
        <w:rPr>
          <w:rFonts w:ascii="Times New Roman" w:hAnsi="Times New Roman"/>
          <w:caps/>
          <w:color w:val="auto"/>
          <w:sz w:val="22"/>
        </w:rPr>
        <w:t xml:space="preserve"> </w:t>
      </w:r>
    </w:p>
    <w:p w14:paraId="3A2F3D2E" w14:textId="77777777" w:rsidR="0068070E" w:rsidRDefault="0068070E" w:rsidP="0046151C">
      <w:pPr>
        <w:rPr>
          <w:rFonts w:ascii="Times New Roman" w:hAnsi="Times New Roman"/>
          <w:color w:val="auto"/>
          <w:sz w:val="22"/>
        </w:rPr>
      </w:pPr>
      <w:r>
        <w:rPr>
          <w:rFonts w:ascii="Times New Roman" w:hAnsi="Times New Roman"/>
          <w:color w:val="auto"/>
          <w:sz w:val="22"/>
        </w:rPr>
        <w:t>1000 </w:t>
      </w:r>
      <w:r w:rsidRPr="0068070E">
        <w:rPr>
          <w:rFonts w:ascii="Times New Roman" w:hAnsi="Times New Roman"/>
          <w:color w:val="auto"/>
          <w:sz w:val="22"/>
        </w:rPr>
        <w:t>mg ciklofoszfamidot</w:t>
      </w:r>
      <w:r>
        <w:rPr>
          <w:rFonts w:ascii="Times New Roman" w:hAnsi="Times New Roman"/>
          <w:color w:val="auto"/>
          <w:sz w:val="22"/>
        </w:rPr>
        <w:t xml:space="preserve"> (1069,0 </w:t>
      </w:r>
      <w:r w:rsidRPr="0068070E">
        <w:rPr>
          <w:rFonts w:ascii="Times New Roman" w:hAnsi="Times New Roman"/>
          <w:color w:val="auto"/>
          <w:sz w:val="22"/>
        </w:rPr>
        <w:t>mg ciklofoszfamid-monohidrát formájában)</w:t>
      </w:r>
      <w:r>
        <w:rPr>
          <w:rFonts w:ascii="Times New Roman" w:hAnsi="Times New Roman"/>
          <w:color w:val="auto"/>
          <w:sz w:val="22"/>
        </w:rPr>
        <w:t xml:space="preserve"> tartalmaz</w:t>
      </w:r>
      <w:r w:rsidRPr="0068070E">
        <w:rPr>
          <w:rFonts w:ascii="Times New Roman" w:hAnsi="Times New Roman"/>
          <w:color w:val="auto"/>
          <w:sz w:val="22"/>
        </w:rPr>
        <w:t xml:space="preserve"> injekciós üvegenként.</w:t>
      </w:r>
    </w:p>
    <w:p w14:paraId="7FBF3D57" w14:textId="77777777" w:rsidR="00161BC7" w:rsidRPr="001916DA" w:rsidRDefault="00161BC7" w:rsidP="0046151C">
      <w:pPr>
        <w:rPr>
          <w:rFonts w:ascii="Times New Roman" w:hAnsi="Times New Roman"/>
          <w:sz w:val="22"/>
          <w:szCs w:val="22"/>
          <w:lang w:val="en-GB"/>
        </w:rPr>
      </w:pPr>
    </w:p>
    <w:p w14:paraId="3F34CEEF" w14:textId="2C799AF6" w:rsidR="007D5594" w:rsidRPr="001916DA" w:rsidRDefault="007D5594" w:rsidP="004E19C6">
      <w:pPr>
        <w:rPr>
          <w:rFonts w:ascii="Times New Roman" w:hAnsi="Times New Roman"/>
          <w:sz w:val="22"/>
          <w:szCs w:val="22"/>
          <w:shd w:val="clear" w:color="auto" w:fill="FFFFFF"/>
        </w:rPr>
      </w:pPr>
      <w:r>
        <w:rPr>
          <w:rFonts w:ascii="Times New Roman" w:hAnsi="Times New Roman"/>
          <w:sz w:val="22"/>
          <w:shd w:val="clear" w:color="auto" w:fill="FFFFFF"/>
        </w:rPr>
        <w:t>Feloldás utáni hatáserősség: 20 mg ciklofoszfamid (vízmentes)/ml oldat (a feloldási térfogatokat lásd a 6.6 pontban).</w:t>
      </w:r>
    </w:p>
    <w:p w14:paraId="02EC7353" w14:textId="77777777" w:rsidR="007D5594" w:rsidRPr="001916DA" w:rsidRDefault="007D5594" w:rsidP="004E19C6">
      <w:pPr>
        <w:rPr>
          <w:rFonts w:ascii="Times New Roman" w:hAnsi="Times New Roman"/>
          <w:sz w:val="22"/>
          <w:szCs w:val="22"/>
          <w:shd w:val="clear" w:color="auto" w:fill="FFFFFF"/>
          <w:lang w:val="en-GB"/>
        </w:rPr>
      </w:pPr>
    </w:p>
    <w:p w14:paraId="66A1301C" w14:textId="67F37C17" w:rsidR="00106C36" w:rsidRPr="001916DA" w:rsidRDefault="003D65B5" w:rsidP="004E19C6">
      <w:pPr>
        <w:rPr>
          <w:rFonts w:ascii="Times New Roman" w:hAnsi="Times New Roman"/>
          <w:sz w:val="22"/>
          <w:szCs w:val="22"/>
        </w:rPr>
      </w:pPr>
      <w:r>
        <w:rPr>
          <w:rFonts w:ascii="Times New Roman" w:hAnsi="Times New Roman"/>
          <w:sz w:val="22"/>
          <w:shd w:val="clear" w:color="auto" w:fill="FFFFFF"/>
        </w:rPr>
        <w:t>A segédanyagok teljes listáját lásd a 6.1 pontban.</w:t>
      </w:r>
    </w:p>
    <w:p w14:paraId="58D3673A" w14:textId="5F376EA4" w:rsidR="005B70EC" w:rsidRPr="001916DA" w:rsidRDefault="005B70EC" w:rsidP="004E19C6">
      <w:pPr>
        <w:rPr>
          <w:rFonts w:ascii="Times New Roman" w:hAnsi="Times New Roman"/>
          <w:color w:val="auto"/>
          <w:sz w:val="22"/>
          <w:szCs w:val="22"/>
        </w:rPr>
      </w:pPr>
    </w:p>
    <w:p w14:paraId="5E754035" w14:textId="6C9C6B48" w:rsidR="0037295D" w:rsidRPr="001916DA" w:rsidRDefault="0037295D" w:rsidP="004E19C6">
      <w:pPr>
        <w:rPr>
          <w:rFonts w:ascii="Times New Roman" w:hAnsi="Times New Roman"/>
          <w:color w:val="auto"/>
          <w:sz w:val="22"/>
          <w:szCs w:val="22"/>
        </w:rPr>
      </w:pPr>
    </w:p>
    <w:p w14:paraId="532D143C" w14:textId="77777777" w:rsidR="0037295D" w:rsidRPr="001916DA" w:rsidRDefault="0079520C" w:rsidP="004E19C6">
      <w:pPr>
        <w:numPr>
          <w:ilvl w:val="0"/>
          <w:numId w:val="18"/>
        </w:numPr>
        <w:tabs>
          <w:tab w:val="clear" w:pos="360"/>
        </w:tabs>
        <w:ind w:left="540" w:hanging="540"/>
        <w:rPr>
          <w:rFonts w:ascii="Times New Roman" w:hAnsi="Times New Roman"/>
          <w:b/>
          <w:caps/>
          <w:color w:val="auto"/>
          <w:sz w:val="22"/>
          <w:szCs w:val="22"/>
        </w:rPr>
      </w:pPr>
      <w:r>
        <w:rPr>
          <w:rFonts w:ascii="Times New Roman" w:hAnsi="Times New Roman"/>
          <w:b/>
          <w:sz w:val="22"/>
        </w:rPr>
        <w:t>GYÓGYSZERFORMA</w:t>
      </w:r>
      <w:r>
        <w:rPr>
          <w:rFonts w:ascii="Times New Roman" w:hAnsi="Times New Roman"/>
          <w:b/>
          <w:caps/>
          <w:color w:val="auto"/>
          <w:sz w:val="22"/>
        </w:rPr>
        <w:t xml:space="preserve"> </w:t>
      </w:r>
    </w:p>
    <w:p w14:paraId="036E199E" w14:textId="77777777" w:rsidR="0037295D" w:rsidRPr="001916DA" w:rsidRDefault="0037295D" w:rsidP="004E19C6">
      <w:pPr>
        <w:rPr>
          <w:rFonts w:ascii="Times New Roman" w:hAnsi="Times New Roman"/>
          <w:b/>
          <w:color w:val="auto"/>
          <w:sz w:val="22"/>
          <w:szCs w:val="22"/>
          <w:lang w:val="en-GB"/>
        </w:rPr>
      </w:pPr>
    </w:p>
    <w:p w14:paraId="7DDF6BCE" w14:textId="2ECF932C" w:rsidR="0037295D" w:rsidRPr="001916DA" w:rsidRDefault="00C42C8E" w:rsidP="004E19C6">
      <w:pPr>
        <w:rPr>
          <w:rFonts w:ascii="Times New Roman" w:hAnsi="Times New Roman"/>
          <w:color w:val="auto"/>
          <w:sz w:val="22"/>
          <w:szCs w:val="22"/>
        </w:rPr>
      </w:pPr>
      <w:r>
        <w:rPr>
          <w:rFonts w:ascii="Times New Roman" w:hAnsi="Times New Roman"/>
          <w:color w:val="auto"/>
          <w:sz w:val="22"/>
        </w:rPr>
        <w:t>Por oldatos injekcióhoz/infúzióhoz</w:t>
      </w:r>
    </w:p>
    <w:p w14:paraId="4A9BE5D4" w14:textId="77777777" w:rsidR="005B70EC" w:rsidRPr="001916DA" w:rsidRDefault="005B70EC" w:rsidP="004E19C6">
      <w:pPr>
        <w:rPr>
          <w:rFonts w:ascii="Times New Roman" w:hAnsi="Times New Roman"/>
          <w:color w:val="auto"/>
          <w:sz w:val="22"/>
          <w:szCs w:val="22"/>
          <w:lang w:val="en-GB"/>
        </w:rPr>
      </w:pPr>
    </w:p>
    <w:p w14:paraId="4EEF9928" w14:textId="4DE7A46E" w:rsidR="005B70EC" w:rsidRPr="001916DA" w:rsidRDefault="005B70EC" w:rsidP="004E19C6">
      <w:pPr>
        <w:rPr>
          <w:rFonts w:ascii="Times New Roman" w:hAnsi="Times New Roman"/>
          <w:color w:val="auto"/>
          <w:sz w:val="22"/>
          <w:szCs w:val="22"/>
        </w:rPr>
      </w:pPr>
      <w:r>
        <w:rPr>
          <w:rFonts w:ascii="Times New Roman" w:hAnsi="Times New Roman"/>
          <w:color w:val="auto"/>
          <w:sz w:val="22"/>
        </w:rPr>
        <w:t>Fehér, liofilizált por vagy porpogácsa.</w:t>
      </w:r>
    </w:p>
    <w:p w14:paraId="4501BF1E" w14:textId="77777777" w:rsidR="00A36F36" w:rsidRPr="001916DA" w:rsidRDefault="00A36F36" w:rsidP="004E19C6">
      <w:pPr>
        <w:rPr>
          <w:rFonts w:ascii="Times New Roman" w:hAnsi="Times New Roman"/>
          <w:color w:val="auto"/>
          <w:sz w:val="22"/>
          <w:szCs w:val="22"/>
          <w:lang w:val="en-GB"/>
        </w:rPr>
      </w:pPr>
    </w:p>
    <w:p w14:paraId="59CCD5FF" w14:textId="77777777" w:rsidR="005B70EC" w:rsidRPr="001916DA" w:rsidRDefault="005B70EC" w:rsidP="004E19C6">
      <w:pPr>
        <w:rPr>
          <w:rFonts w:ascii="Times New Roman" w:hAnsi="Times New Roman"/>
          <w:color w:val="auto"/>
          <w:sz w:val="22"/>
          <w:szCs w:val="22"/>
          <w:lang w:val="en-GB"/>
        </w:rPr>
      </w:pPr>
    </w:p>
    <w:p w14:paraId="4E6798F7" w14:textId="77777777" w:rsidR="0037295D" w:rsidRPr="001916DA" w:rsidRDefault="0079520C" w:rsidP="004E19C6">
      <w:pPr>
        <w:numPr>
          <w:ilvl w:val="0"/>
          <w:numId w:val="18"/>
        </w:numPr>
        <w:tabs>
          <w:tab w:val="clear" w:pos="360"/>
        </w:tabs>
        <w:ind w:left="540" w:hanging="540"/>
        <w:rPr>
          <w:rFonts w:ascii="Times New Roman" w:hAnsi="Times New Roman"/>
          <w:b/>
          <w:color w:val="auto"/>
          <w:sz w:val="22"/>
          <w:szCs w:val="22"/>
        </w:rPr>
      </w:pPr>
      <w:r>
        <w:rPr>
          <w:rFonts w:ascii="Times New Roman" w:hAnsi="Times New Roman"/>
          <w:b/>
          <w:sz w:val="22"/>
        </w:rPr>
        <w:t>KLINIKAI JELLEMZŐK</w:t>
      </w:r>
    </w:p>
    <w:p w14:paraId="776424B4" w14:textId="77777777" w:rsidR="0037295D" w:rsidRPr="001916DA" w:rsidRDefault="0037295D" w:rsidP="004E19C6">
      <w:pPr>
        <w:rPr>
          <w:rFonts w:ascii="Times New Roman" w:hAnsi="Times New Roman"/>
          <w:b/>
          <w:color w:val="auto"/>
          <w:sz w:val="22"/>
          <w:szCs w:val="22"/>
          <w:lang w:val="en-GB"/>
        </w:rPr>
      </w:pPr>
    </w:p>
    <w:p w14:paraId="57E0F996" w14:textId="77777777" w:rsidR="0037295D" w:rsidRPr="001916DA" w:rsidRDefault="00EF26CE" w:rsidP="004E19C6">
      <w:pPr>
        <w:tabs>
          <w:tab w:val="left" w:pos="540"/>
        </w:tabs>
        <w:rPr>
          <w:rFonts w:ascii="Times New Roman" w:hAnsi="Times New Roman"/>
          <w:color w:val="auto"/>
          <w:sz w:val="22"/>
          <w:szCs w:val="22"/>
        </w:rPr>
      </w:pPr>
      <w:r>
        <w:rPr>
          <w:rFonts w:ascii="Times New Roman" w:hAnsi="Times New Roman"/>
          <w:b/>
          <w:color w:val="auto"/>
          <w:sz w:val="22"/>
        </w:rPr>
        <w:t>4.1</w:t>
      </w:r>
      <w:r>
        <w:rPr>
          <w:rFonts w:ascii="Times New Roman" w:hAnsi="Times New Roman"/>
          <w:b/>
          <w:color w:val="auto"/>
          <w:sz w:val="22"/>
        </w:rPr>
        <w:tab/>
      </w:r>
      <w:r>
        <w:rPr>
          <w:rFonts w:ascii="Times New Roman" w:hAnsi="Times New Roman"/>
          <w:b/>
          <w:sz w:val="22"/>
        </w:rPr>
        <w:t>Terápiás javallatok</w:t>
      </w:r>
    </w:p>
    <w:p w14:paraId="6CD3D46B" w14:textId="77777777" w:rsidR="0037295D" w:rsidRPr="001916DA" w:rsidRDefault="0037295D" w:rsidP="004E19C6">
      <w:pPr>
        <w:rPr>
          <w:rFonts w:ascii="Times New Roman" w:hAnsi="Times New Roman"/>
          <w:color w:val="auto"/>
          <w:sz w:val="22"/>
          <w:szCs w:val="22"/>
          <w:lang w:val="en-GB"/>
        </w:rPr>
      </w:pPr>
    </w:p>
    <w:p w14:paraId="0FAD8C7F" w14:textId="693984DD" w:rsidR="00E052EE" w:rsidRPr="001916DA" w:rsidRDefault="0079520C" w:rsidP="004E19C6">
      <w:pPr>
        <w:rPr>
          <w:rFonts w:ascii="Times New Roman" w:hAnsi="Times New Roman"/>
          <w:color w:val="auto"/>
          <w:sz w:val="22"/>
          <w:szCs w:val="22"/>
          <w:u w:val="single"/>
        </w:rPr>
      </w:pPr>
      <w:r>
        <w:rPr>
          <w:rFonts w:ascii="Times New Roman" w:hAnsi="Times New Roman"/>
          <w:color w:val="auto"/>
          <w:sz w:val="22"/>
        </w:rPr>
        <w:t>A ciklofoszfamidot indikációtól függően monoterápiaként vagy más kemoterápiás szerekkel kombinálva alkalmazzák. A Cyclophosphamide Accord az alábbi állapotok kezelésére javallt:</w:t>
      </w:r>
    </w:p>
    <w:p w14:paraId="4EFB5540" w14:textId="47CCA3F7" w:rsidR="007F02C2" w:rsidRDefault="007F02C2" w:rsidP="00C611C5">
      <w:pPr>
        <w:numPr>
          <w:ilvl w:val="0"/>
          <w:numId w:val="19"/>
        </w:numPr>
        <w:ind w:firstLine="0"/>
        <w:rPr>
          <w:rFonts w:ascii="Times New Roman" w:hAnsi="Times New Roman"/>
          <w:color w:val="auto"/>
          <w:sz w:val="22"/>
          <w:szCs w:val="22"/>
        </w:rPr>
      </w:pPr>
      <w:r>
        <w:rPr>
          <w:rFonts w:ascii="Times New Roman" w:hAnsi="Times New Roman"/>
          <w:color w:val="auto"/>
          <w:sz w:val="22"/>
        </w:rPr>
        <w:t>Krónikus lymphoid</w:t>
      </w:r>
      <w:r w:rsidR="0068070E">
        <w:rPr>
          <w:rFonts w:ascii="Times New Roman" w:hAnsi="Times New Roman"/>
          <w:color w:val="auto"/>
          <w:sz w:val="22"/>
        </w:rPr>
        <w:t xml:space="preserve"> </w:t>
      </w:r>
      <w:r>
        <w:rPr>
          <w:rFonts w:ascii="Times New Roman" w:hAnsi="Times New Roman"/>
          <w:color w:val="auto"/>
          <w:sz w:val="22"/>
        </w:rPr>
        <w:t>leukémia (Chronic Lymphotic Leukemia: CLL)</w:t>
      </w:r>
    </w:p>
    <w:p w14:paraId="72578958" w14:textId="559F2561" w:rsidR="00FC3ECA" w:rsidRDefault="007F02C2" w:rsidP="00C611C5">
      <w:pPr>
        <w:numPr>
          <w:ilvl w:val="0"/>
          <w:numId w:val="19"/>
        </w:numPr>
        <w:tabs>
          <w:tab w:val="clear" w:pos="720"/>
          <w:tab w:val="num" w:pos="0"/>
        </w:tabs>
        <w:ind w:firstLine="0"/>
        <w:rPr>
          <w:rFonts w:ascii="Times New Roman" w:hAnsi="Times New Roman"/>
          <w:color w:val="auto"/>
          <w:sz w:val="22"/>
          <w:szCs w:val="22"/>
        </w:rPr>
      </w:pPr>
      <w:r>
        <w:rPr>
          <w:rFonts w:ascii="Times New Roman" w:hAnsi="Times New Roman"/>
          <w:color w:val="auto"/>
          <w:sz w:val="22"/>
        </w:rPr>
        <w:t>Akut lymphoid leukémia (Acute Lymphocytic Leukemia: ALL)</w:t>
      </w:r>
    </w:p>
    <w:p w14:paraId="2DE6367D" w14:textId="55FF5B30" w:rsidR="0037295D" w:rsidRDefault="00E052EE" w:rsidP="00C5225D">
      <w:pPr>
        <w:numPr>
          <w:ilvl w:val="0"/>
          <w:numId w:val="19"/>
        </w:numPr>
        <w:tabs>
          <w:tab w:val="clear" w:pos="720"/>
          <w:tab w:val="num" w:pos="1418"/>
        </w:tabs>
        <w:ind w:left="1418" w:hanging="709"/>
        <w:rPr>
          <w:rFonts w:ascii="Times New Roman" w:hAnsi="Times New Roman"/>
          <w:color w:val="auto"/>
          <w:sz w:val="22"/>
          <w:szCs w:val="22"/>
        </w:rPr>
      </w:pPr>
      <w:r>
        <w:rPr>
          <w:rFonts w:ascii="Times New Roman" w:hAnsi="Times New Roman"/>
          <w:color w:val="auto"/>
          <w:sz w:val="22"/>
        </w:rPr>
        <w:t>Kondicionálásként csontvelő-transzplantációhoz akut lymphoid leukémia, krónikus és akut myeloid leukémia kezelése érdekében, teljes testet érintő sugárkezeléssel vagy buszulfánnal együtt alkalmazva.</w:t>
      </w:r>
    </w:p>
    <w:p w14:paraId="6766BF76" w14:textId="314F5F8B" w:rsidR="00516BD4" w:rsidRDefault="00516BD4" w:rsidP="00C611C5">
      <w:pPr>
        <w:numPr>
          <w:ilvl w:val="0"/>
          <w:numId w:val="19"/>
        </w:numPr>
        <w:ind w:left="1418" w:hanging="709"/>
        <w:rPr>
          <w:rFonts w:ascii="Times New Roman" w:hAnsi="Times New Roman"/>
          <w:color w:val="auto"/>
          <w:sz w:val="22"/>
          <w:szCs w:val="22"/>
        </w:rPr>
      </w:pPr>
      <w:r>
        <w:rPr>
          <w:rFonts w:ascii="Times New Roman" w:hAnsi="Times New Roman"/>
          <w:color w:val="auto"/>
          <w:sz w:val="22"/>
        </w:rPr>
        <w:t>Hodgkin-kór, non-Hodgkin lymphoma és myeloma multiplex.</w:t>
      </w:r>
    </w:p>
    <w:p w14:paraId="76385C8A" w14:textId="726789D9" w:rsidR="00D25617" w:rsidRDefault="00D25617" w:rsidP="00C611C5">
      <w:pPr>
        <w:numPr>
          <w:ilvl w:val="0"/>
          <w:numId w:val="19"/>
        </w:numPr>
        <w:ind w:left="1418" w:hanging="709"/>
        <w:rPr>
          <w:rFonts w:ascii="Times New Roman" w:hAnsi="Times New Roman"/>
          <w:color w:val="auto"/>
          <w:sz w:val="22"/>
          <w:szCs w:val="22"/>
        </w:rPr>
      </w:pPr>
      <w:r>
        <w:rPr>
          <w:rFonts w:ascii="Times New Roman" w:hAnsi="Times New Roman"/>
          <w:color w:val="auto"/>
          <w:sz w:val="22"/>
        </w:rPr>
        <w:t>Áttétes ov</w:t>
      </w:r>
      <w:r w:rsidR="007644FD">
        <w:rPr>
          <w:rFonts w:ascii="Times New Roman" w:hAnsi="Times New Roman"/>
          <w:color w:val="auto"/>
          <w:sz w:val="22"/>
        </w:rPr>
        <w:t>á</w:t>
      </w:r>
      <w:r>
        <w:rPr>
          <w:rFonts w:ascii="Times New Roman" w:hAnsi="Times New Roman"/>
          <w:color w:val="auto"/>
          <w:sz w:val="22"/>
        </w:rPr>
        <w:t>rium- és emlő</w:t>
      </w:r>
      <w:r w:rsidR="007644FD">
        <w:rPr>
          <w:rFonts w:ascii="Times New Roman" w:hAnsi="Times New Roman"/>
          <w:color w:val="auto"/>
          <w:sz w:val="22"/>
        </w:rPr>
        <w:t>karcinóma.</w:t>
      </w:r>
    </w:p>
    <w:p w14:paraId="5898FC9A" w14:textId="092045B1" w:rsidR="00516BD4" w:rsidRDefault="00516BD4" w:rsidP="00C611C5">
      <w:pPr>
        <w:numPr>
          <w:ilvl w:val="0"/>
          <w:numId w:val="19"/>
        </w:numPr>
        <w:ind w:left="1418" w:hanging="709"/>
        <w:rPr>
          <w:rFonts w:ascii="Times New Roman" w:hAnsi="Times New Roman"/>
          <w:color w:val="auto"/>
          <w:sz w:val="22"/>
          <w:szCs w:val="22"/>
        </w:rPr>
      </w:pPr>
      <w:r>
        <w:rPr>
          <w:rFonts w:ascii="Times New Roman" w:hAnsi="Times New Roman"/>
          <w:color w:val="auto"/>
          <w:sz w:val="22"/>
        </w:rPr>
        <w:t>Emlő</w:t>
      </w:r>
      <w:r w:rsidR="007644FD">
        <w:rPr>
          <w:rFonts w:ascii="Times New Roman" w:hAnsi="Times New Roman"/>
          <w:color w:val="auto"/>
          <w:sz w:val="22"/>
        </w:rPr>
        <w:t>karcinóma</w:t>
      </w:r>
      <w:r>
        <w:rPr>
          <w:rFonts w:ascii="Times New Roman" w:hAnsi="Times New Roman"/>
          <w:color w:val="auto"/>
          <w:sz w:val="22"/>
        </w:rPr>
        <w:t xml:space="preserve"> adjuváns kezelése</w:t>
      </w:r>
      <w:r w:rsidR="007644FD">
        <w:rPr>
          <w:rFonts w:ascii="Times New Roman" w:hAnsi="Times New Roman"/>
          <w:color w:val="auto"/>
          <w:sz w:val="22"/>
        </w:rPr>
        <w:t>.</w:t>
      </w:r>
    </w:p>
    <w:p w14:paraId="29BA6A8D" w14:textId="449D3527" w:rsidR="00516BD4" w:rsidRPr="00685A0A" w:rsidRDefault="00516BD4" w:rsidP="00C611C5">
      <w:pPr>
        <w:numPr>
          <w:ilvl w:val="0"/>
          <w:numId w:val="19"/>
        </w:numPr>
        <w:tabs>
          <w:tab w:val="clear" w:pos="720"/>
          <w:tab w:val="num" w:pos="0"/>
        </w:tabs>
        <w:ind w:firstLine="0"/>
        <w:rPr>
          <w:rFonts w:ascii="Times New Roman" w:hAnsi="Times New Roman"/>
          <w:color w:val="auto"/>
          <w:sz w:val="22"/>
          <w:szCs w:val="22"/>
        </w:rPr>
      </w:pPr>
      <w:r>
        <w:rPr>
          <w:rFonts w:ascii="Times New Roman" w:hAnsi="Times New Roman"/>
          <w:color w:val="auto"/>
          <w:sz w:val="22"/>
        </w:rPr>
        <w:t>Ewing</w:t>
      </w:r>
      <w:r w:rsidR="007644FD">
        <w:rPr>
          <w:rFonts w:ascii="Times New Roman" w:hAnsi="Times New Roman"/>
          <w:color w:val="auto"/>
          <w:sz w:val="22"/>
        </w:rPr>
        <w:t>-szarkóma.</w:t>
      </w:r>
    </w:p>
    <w:p w14:paraId="74FD051F" w14:textId="5E0CF3E8" w:rsidR="00516BD4" w:rsidRDefault="00516BD4" w:rsidP="00C611C5">
      <w:pPr>
        <w:numPr>
          <w:ilvl w:val="0"/>
          <w:numId w:val="19"/>
        </w:numPr>
        <w:ind w:left="1418" w:hanging="709"/>
        <w:rPr>
          <w:rFonts w:ascii="Times New Roman" w:hAnsi="Times New Roman"/>
          <w:color w:val="auto"/>
          <w:sz w:val="22"/>
          <w:szCs w:val="22"/>
        </w:rPr>
      </w:pPr>
      <w:r>
        <w:rPr>
          <w:rFonts w:ascii="Times New Roman" w:hAnsi="Times New Roman"/>
          <w:color w:val="auto"/>
          <w:sz w:val="22"/>
        </w:rPr>
        <w:t>Kissejtes tüdő</w:t>
      </w:r>
      <w:r w:rsidR="007644FD">
        <w:rPr>
          <w:rFonts w:ascii="Times New Roman" w:hAnsi="Times New Roman"/>
          <w:color w:val="auto"/>
          <w:sz w:val="22"/>
        </w:rPr>
        <w:t>karcinóma.</w:t>
      </w:r>
    </w:p>
    <w:p w14:paraId="6F967976" w14:textId="102CA89B" w:rsidR="00516BD4" w:rsidRDefault="00FF5AF7" w:rsidP="00C611C5">
      <w:pPr>
        <w:numPr>
          <w:ilvl w:val="0"/>
          <w:numId w:val="19"/>
        </w:numPr>
        <w:tabs>
          <w:tab w:val="clear" w:pos="720"/>
          <w:tab w:val="num" w:pos="1418"/>
        </w:tabs>
        <w:ind w:left="1418" w:hanging="709"/>
        <w:rPr>
          <w:rFonts w:ascii="Times New Roman" w:hAnsi="Times New Roman"/>
          <w:color w:val="auto"/>
          <w:sz w:val="22"/>
          <w:szCs w:val="22"/>
        </w:rPr>
      </w:pPr>
      <w:r>
        <w:rPr>
          <w:rFonts w:ascii="Times New Roman" w:hAnsi="Times New Roman"/>
          <w:color w:val="auto"/>
          <w:sz w:val="22"/>
        </w:rPr>
        <w:t>Előrehaladott vagy áttétes neuroblas</w:t>
      </w:r>
      <w:r w:rsidR="007644FD">
        <w:rPr>
          <w:rFonts w:ascii="Times New Roman" w:hAnsi="Times New Roman"/>
          <w:color w:val="auto"/>
          <w:sz w:val="22"/>
        </w:rPr>
        <w:t>z</w:t>
      </w:r>
      <w:r>
        <w:rPr>
          <w:rFonts w:ascii="Times New Roman" w:hAnsi="Times New Roman"/>
          <w:color w:val="auto"/>
          <w:sz w:val="22"/>
        </w:rPr>
        <w:t>toma</w:t>
      </w:r>
      <w:r w:rsidR="002F60AD">
        <w:rPr>
          <w:rFonts w:ascii="Times New Roman" w:hAnsi="Times New Roman"/>
          <w:color w:val="auto"/>
          <w:sz w:val="22"/>
        </w:rPr>
        <w:t>.</w:t>
      </w:r>
    </w:p>
    <w:p w14:paraId="7F0DB3D5" w14:textId="48D04EC7" w:rsidR="00516BD4" w:rsidRPr="00FC3ECA" w:rsidRDefault="00516BD4" w:rsidP="00C611C5">
      <w:pPr>
        <w:numPr>
          <w:ilvl w:val="0"/>
          <w:numId w:val="19"/>
        </w:numPr>
        <w:tabs>
          <w:tab w:val="clear" w:pos="720"/>
          <w:tab w:val="num" w:pos="1418"/>
        </w:tabs>
        <w:ind w:left="1418" w:hanging="709"/>
        <w:rPr>
          <w:rFonts w:ascii="Times New Roman" w:hAnsi="Times New Roman"/>
          <w:color w:val="auto"/>
          <w:sz w:val="22"/>
          <w:szCs w:val="22"/>
        </w:rPr>
      </w:pPr>
      <w:r>
        <w:rPr>
          <w:rFonts w:ascii="Times New Roman" w:hAnsi="Times New Roman"/>
          <w:color w:val="auto"/>
          <w:sz w:val="22"/>
        </w:rPr>
        <w:t>Életveszélyes autoimmun betegségek: a lupus nephritis súlyos progresszív formái és Wegener-granulomatosis.</w:t>
      </w:r>
    </w:p>
    <w:p w14:paraId="12C2DDC1" w14:textId="74C4E79C" w:rsidR="0037295D" w:rsidRPr="001916DA" w:rsidRDefault="0037295D" w:rsidP="004E19C6">
      <w:pPr>
        <w:rPr>
          <w:rFonts w:ascii="Times New Roman" w:hAnsi="Times New Roman"/>
          <w:color w:val="auto"/>
          <w:sz w:val="22"/>
          <w:szCs w:val="22"/>
          <w:u w:val="single"/>
          <w:lang w:val="en-GB"/>
        </w:rPr>
      </w:pPr>
    </w:p>
    <w:p w14:paraId="58C1DDA6" w14:textId="77777777" w:rsidR="0037295D" w:rsidRPr="001916DA" w:rsidRDefault="00EF26CE" w:rsidP="004E19C6">
      <w:pPr>
        <w:tabs>
          <w:tab w:val="left" w:pos="540"/>
        </w:tabs>
        <w:rPr>
          <w:rFonts w:ascii="Times New Roman" w:hAnsi="Times New Roman"/>
          <w:color w:val="auto"/>
          <w:sz w:val="22"/>
          <w:szCs w:val="22"/>
        </w:rPr>
      </w:pPr>
      <w:r>
        <w:rPr>
          <w:rFonts w:ascii="Times New Roman" w:hAnsi="Times New Roman"/>
          <w:b/>
          <w:color w:val="auto"/>
          <w:sz w:val="22"/>
        </w:rPr>
        <w:t>4.2</w:t>
      </w:r>
      <w:r>
        <w:rPr>
          <w:rFonts w:ascii="Times New Roman" w:hAnsi="Times New Roman"/>
          <w:b/>
          <w:color w:val="auto"/>
          <w:sz w:val="22"/>
        </w:rPr>
        <w:tab/>
        <w:t>Adagolás és alkalmazás</w:t>
      </w:r>
    </w:p>
    <w:p w14:paraId="20610D69" w14:textId="77777777" w:rsidR="00CD412A" w:rsidRPr="001916DA" w:rsidRDefault="00CD412A" w:rsidP="004E19C6">
      <w:pPr>
        <w:rPr>
          <w:rFonts w:ascii="Times New Roman" w:hAnsi="Times New Roman"/>
          <w:b/>
          <w:i/>
          <w:color w:val="auto"/>
          <w:sz w:val="22"/>
          <w:szCs w:val="22"/>
          <w:lang w:val="en-GB"/>
        </w:rPr>
      </w:pPr>
    </w:p>
    <w:p w14:paraId="769C00F1" w14:textId="7F7699C1" w:rsidR="00CD412A" w:rsidRPr="001916DA" w:rsidRDefault="00A02957" w:rsidP="005E3CA1">
      <w:pPr>
        <w:rPr>
          <w:rFonts w:ascii="Times New Roman" w:hAnsi="Times New Roman"/>
          <w:color w:val="auto"/>
          <w:sz w:val="22"/>
          <w:szCs w:val="22"/>
        </w:rPr>
      </w:pPr>
      <w:r>
        <w:rPr>
          <w:rFonts w:ascii="Times New Roman" w:hAnsi="Times New Roman"/>
          <w:color w:val="auto"/>
          <w:sz w:val="22"/>
        </w:rPr>
        <w:t>Cyclophosphamide Accord</w:t>
      </w:r>
      <w:r w:rsidR="001A7E06">
        <w:rPr>
          <w:rFonts w:ascii="Times New Roman" w:hAnsi="Times New Roman"/>
          <w:color w:val="auto"/>
          <w:sz w:val="22"/>
        </w:rPr>
        <w:t>-dal</w:t>
      </w:r>
      <w:r>
        <w:rPr>
          <w:rFonts w:ascii="Times New Roman" w:hAnsi="Times New Roman"/>
          <w:b/>
          <w:color w:val="auto"/>
          <w:sz w:val="22"/>
        </w:rPr>
        <w:t xml:space="preserve"> </w:t>
      </w:r>
      <w:r w:rsidR="001A7E06" w:rsidRPr="00C5225D">
        <w:rPr>
          <w:rFonts w:ascii="Times New Roman" w:hAnsi="Times New Roman"/>
          <w:color w:val="auto"/>
          <w:sz w:val="22"/>
        </w:rPr>
        <w:t>történ</w:t>
      </w:r>
      <w:r w:rsidR="001A7E06" w:rsidRPr="00C5225D">
        <w:rPr>
          <w:rFonts w:ascii="Times New Roman" w:hAnsi="Times New Roman" w:hint="eastAsia"/>
          <w:color w:val="auto"/>
          <w:sz w:val="22"/>
        </w:rPr>
        <w:t>ő</w:t>
      </w:r>
      <w:r w:rsidR="001A7E06" w:rsidRPr="00C5225D">
        <w:rPr>
          <w:rFonts w:ascii="Times New Roman" w:hAnsi="Times New Roman"/>
          <w:color w:val="auto"/>
          <w:sz w:val="22"/>
        </w:rPr>
        <w:t xml:space="preserve"> kezelést</w:t>
      </w:r>
      <w:r w:rsidR="001A7E06" w:rsidRPr="001A7E06">
        <w:rPr>
          <w:rFonts w:ascii="Times New Roman" w:hAnsi="Times New Roman"/>
          <w:b/>
          <w:color w:val="auto"/>
          <w:sz w:val="22"/>
        </w:rPr>
        <w:t xml:space="preserve"> </w:t>
      </w:r>
      <w:r>
        <w:rPr>
          <w:rFonts w:ascii="Times New Roman" w:hAnsi="Times New Roman"/>
          <w:sz w:val="22"/>
          <w:shd w:val="clear" w:color="auto" w:fill="FFFFFF"/>
        </w:rPr>
        <w:t>kizárólag daganatellenes kemoterápiában tapasztalt klinikai szakember alkalmazhat</w:t>
      </w:r>
      <w:r w:rsidR="001A7E06">
        <w:rPr>
          <w:rFonts w:ascii="Times New Roman" w:hAnsi="Times New Roman"/>
          <w:color w:val="auto"/>
          <w:sz w:val="22"/>
        </w:rPr>
        <w:t>.</w:t>
      </w:r>
    </w:p>
    <w:p w14:paraId="096D9754" w14:textId="77777777" w:rsidR="00F93EDD" w:rsidRPr="001916DA" w:rsidRDefault="00F93EDD" w:rsidP="005E3CA1">
      <w:pPr>
        <w:rPr>
          <w:rFonts w:ascii="Times New Roman" w:hAnsi="Times New Roman"/>
          <w:color w:val="auto"/>
          <w:sz w:val="22"/>
          <w:szCs w:val="22"/>
          <w:lang w:val="en-GB"/>
        </w:rPr>
      </w:pPr>
    </w:p>
    <w:p w14:paraId="44E7B3BE" w14:textId="03F588BD" w:rsidR="00847BAA" w:rsidRPr="001916DA" w:rsidRDefault="00847BAA" w:rsidP="00847BAA">
      <w:pPr>
        <w:rPr>
          <w:rFonts w:ascii="Times New Roman" w:hAnsi="Times New Roman"/>
          <w:sz w:val="22"/>
          <w:szCs w:val="22"/>
          <w:shd w:val="clear" w:color="auto" w:fill="FFFFFF"/>
        </w:rPr>
      </w:pPr>
      <w:r>
        <w:rPr>
          <w:rFonts w:ascii="Times New Roman" w:hAnsi="Times New Roman"/>
          <w:color w:val="auto"/>
          <w:sz w:val="22"/>
        </w:rPr>
        <w:lastRenderedPageBreak/>
        <w:t>A Cyclophosphamide Accord</w:t>
      </w:r>
      <w:r w:rsidR="001A7E06">
        <w:rPr>
          <w:rFonts w:ascii="Times New Roman" w:hAnsi="Times New Roman"/>
          <w:b/>
          <w:color w:val="auto"/>
          <w:sz w:val="22"/>
        </w:rPr>
        <w:t>-</w:t>
      </w:r>
      <w:r>
        <w:rPr>
          <w:rFonts w:ascii="Times New Roman" w:hAnsi="Times New Roman"/>
          <w:sz w:val="22"/>
          <w:shd w:val="clear" w:color="auto" w:fill="FFFFFF"/>
        </w:rPr>
        <w:t>kezelés kizárólag olyan helyen folytatható, ahol biztosított a klinikai, a biokémiai és a hematológiai paraméterek rendszeres monitorozása az alkalmazás előtt, alatt és után. A kezelést onkológus szakorvosnak kell felügyelnie.</w:t>
      </w:r>
    </w:p>
    <w:p w14:paraId="01A8F9BD" w14:textId="77777777" w:rsidR="0022088A" w:rsidRPr="001916DA" w:rsidRDefault="0022088A" w:rsidP="009A0EFD">
      <w:pPr>
        <w:rPr>
          <w:rFonts w:ascii="Times New Roman" w:hAnsi="Times New Roman"/>
          <w:b/>
          <w:color w:val="auto"/>
          <w:sz w:val="22"/>
          <w:szCs w:val="22"/>
          <w:lang w:val="en-GB"/>
        </w:rPr>
      </w:pPr>
    </w:p>
    <w:p w14:paraId="2C463530" w14:textId="77777777" w:rsidR="009A0EFD" w:rsidRPr="00C611C5" w:rsidRDefault="009A0EFD" w:rsidP="009A0EFD">
      <w:pPr>
        <w:rPr>
          <w:rFonts w:ascii="Times New Roman" w:hAnsi="Times New Roman"/>
          <w:b/>
          <w:color w:val="auto"/>
          <w:sz w:val="22"/>
          <w:szCs w:val="22"/>
          <w:u w:val="single"/>
        </w:rPr>
      </w:pPr>
      <w:r>
        <w:rPr>
          <w:rFonts w:ascii="Times New Roman" w:hAnsi="Times New Roman"/>
          <w:b/>
          <w:color w:val="auto"/>
          <w:sz w:val="22"/>
          <w:u w:val="single"/>
        </w:rPr>
        <w:t>Adagolás</w:t>
      </w:r>
    </w:p>
    <w:p w14:paraId="0A5C200A" w14:textId="5F70F347" w:rsidR="009D3BE9" w:rsidRPr="001916DA" w:rsidRDefault="00491C1D" w:rsidP="009D3BE9">
      <w:pPr>
        <w:rPr>
          <w:rFonts w:ascii="Times New Roman" w:hAnsi="Times New Roman"/>
          <w:color w:val="auto"/>
          <w:sz w:val="22"/>
          <w:szCs w:val="22"/>
        </w:rPr>
      </w:pPr>
      <w:r>
        <w:rPr>
          <w:rFonts w:ascii="Times New Roman" w:hAnsi="Times New Roman"/>
          <w:color w:val="auto"/>
          <w:sz w:val="22"/>
        </w:rPr>
        <w:t>Az adagolást egyénre szabottan kell megállapítani.</w:t>
      </w:r>
      <w:r w:rsidR="00810BFE">
        <w:rPr>
          <w:rFonts w:ascii="Times New Roman" w:hAnsi="Times New Roman"/>
          <w:color w:val="auto"/>
          <w:sz w:val="22"/>
        </w:rPr>
        <w:t xml:space="preserve"> </w:t>
      </w:r>
      <w:r>
        <w:rPr>
          <w:rFonts w:ascii="Times New Roman" w:hAnsi="Times New Roman"/>
          <w:sz w:val="22"/>
          <w:shd w:val="clear" w:color="auto" w:fill="FFFFFF"/>
        </w:rPr>
        <w:t>A dózisok és a kezelés időtartama és/vagy a kezelési ciklusok hossza</w:t>
      </w:r>
      <w:r w:rsidR="001A7E06">
        <w:rPr>
          <w:rFonts w:ascii="Times New Roman" w:hAnsi="Times New Roman"/>
          <w:sz w:val="22"/>
          <w:shd w:val="clear" w:color="auto" w:fill="FFFFFF"/>
        </w:rPr>
        <w:t xml:space="preserve"> és száma</w:t>
      </w:r>
      <w:r>
        <w:rPr>
          <w:rFonts w:ascii="Times New Roman" w:hAnsi="Times New Roman"/>
          <w:sz w:val="22"/>
          <w:shd w:val="clear" w:color="auto" w:fill="FFFFFF"/>
        </w:rPr>
        <w:t xml:space="preserve"> a terápiás indikációtól, a kombinációs kezelési protokolltól, a beteg általános állapotától és szervfunkcióitól, valamint a laboratóriumi ellenőrzések (különösen a vérkép-monitorozás) eredményeitől függenek.</w:t>
      </w:r>
    </w:p>
    <w:p w14:paraId="0B45E518" w14:textId="77777777" w:rsidR="009D3BE9" w:rsidRPr="001916DA" w:rsidRDefault="009D3BE9" w:rsidP="005E3CA1">
      <w:pPr>
        <w:rPr>
          <w:rFonts w:ascii="Times New Roman" w:hAnsi="Times New Roman"/>
          <w:color w:val="auto"/>
          <w:sz w:val="22"/>
          <w:szCs w:val="22"/>
          <w:lang w:val="en-GB"/>
        </w:rPr>
      </w:pPr>
    </w:p>
    <w:p w14:paraId="67D1338E" w14:textId="0F188C2E" w:rsidR="0056534F" w:rsidRPr="001916DA" w:rsidRDefault="0056534F" w:rsidP="0056534F">
      <w:pPr>
        <w:rPr>
          <w:rFonts w:ascii="Times New Roman" w:hAnsi="Times New Roman"/>
          <w:sz w:val="22"/>
          <w:szCs w:val="22"/>
          <w:shd w:val="clear" w:color="auto" w:fill="FFFFFF"/>
        </w:rPr>
      </w:pPr>
      <w:r>
        <w:rPr>
          <w:rFonts w:ascii="Times New Roman" w:hAnsi="Times New Roman"/>
          <w:sz w:val="22"/>
          <w:shd w:val="clear" w:color="auto" w:fill="FFFFFF"/>
        </w:rPr>
        <w:t>Hasonló toxicitásprofillal rendelkező citosztatikumokkal való kombinálás esetén dóziscsökkentés, ill. a kezelési szünetek meghosszabbítása válhat szükségessé.</w:t>
      </w:r>
    </w:p>
    <w:p w14:paraId="7F89E55D" w14:textId="77777777" w:rsidR="0089524F" w:rsidRPr="001916DA" w:rsidRDefault="0089524F" w:rsidP="0056534F">
      <w:pPr>
        <w:rPr>
          <w:rFonts w:ascii="Times New Roman" w:hAnsi="Times New Roman"/>
          <w:sz w:val="22"/>
          <w:szCs w:val="22"/>
          <w:shd w:val="clear" w:color="auto" w:fill="FFFFFF"/>
          <w:lang w:val="en-GB"/>
        </w:rPr>
      </w:pPr>
    </w:p>
    <w:p w14:paraId="7739C6DE" w14:textId="523F387B" w:rsidR="0089524F" w:rsidRPr="001916DA" w:rsidRDefault="0089524F" w:rsidP="0089524F">
      <w:pPr>
        <w:rPr>
          <w:rFonts w:ascii="Times New Roman" w:hAnsi="Times New Roman"/>
          <w:sz w:val="22"/>
          <w:szCs w:val="22"/>
          <w:shd w:val="clear" w:color="auto" w:fill="FFFFFF"/>
        </w:rPr>
      </w:pPr>
      <w:r>
        <w:rPr>
          <w:rFonts w:ascii="Times New Roman" w:hAnsi="Times New Roman"/>
          <w:sz w:val="22"/>
          <w:shd w:val="clear" w:color="auto" w:fill="FFFFFF"/>
        </w:rPr>
        <w:t>Hematopoiesist stimuláló gyógyszerek (kolóniastimuláló faktorok és erythropoesis-stimuláló készítmények) alkalmazása megfontolható a myelosuppressióval kapcsolatos szövődmények kockázatának csökkentése és/vagy a szükséges dózis beadásának megkönnyítése érdekében.</w:t>
      </w:r>
    </w:p>
    <w:p w14:paraId="5197EBC1" w14:textId="77777777" w:rsidR="002F7E35" w:rsidRPr="001916DA" w:rsidRDefault="002F7E35" w:rsidP="0089524F">
      <w:pPr>
        <w:rPr>
          <w:rFonts w:ascii="Times New Roman" w:hAnsi="Times New Roman"/>
          <w:sz w:val="22"/>
          <w:szCs w:val="22"/>
          <w:shd w:val="clear" w:color="auto" w:fill="FFFFFF"/>
          <w:lang w:val="en-GB"/>
        </w:rPr>
      </w:pPr>
    </w:p>
    <w:p w14:paraId="4C3C38BC" w14:textId="7F6DF5BA" w:rsidR="002F7E35" w:rsidRPr="001916DA" w:rsidRDefault="00C24177" w:rsidP="0089524F">
      <w:pPr>
        <w:rPr>
          <w:rFonts w:ascii="Times New Roman" w:hAnsi="Times New Roman"/>
          <w:color w:val="auto"/>
          <w:sz w:val="22"/>
          <w:szCs w:val="22"/>
        </w:rPr>
      </w:pPr>
      <w:r>
        <w:rPr>
          <w:rFonts w:ascii="Times New Roman" w:hAnsi="Times New Roman"/>
          <w:color w:val="auto"/>
          <w:sz w:val="22"/>
        </w:rPr>
        <w:t>Az alkalmazás előtt, alatt vagy közvetlenül utána megfelelő mennyiségű folyadékot kell fogyasztani vagy infúzióval a szervezetbe juttatni a vizeletürítés fokozására, hogy csökkenjen a vizeletelvezető rendszer toxikus károsodásának kockázata. Emiatt a Cyclophosphamide Accord</w:t>
      </w:r>
      <w:r w:rsidR="00F12151">
        <w:rPr>
          <w:rFonts w:ascii="Times New Roman" w:hAnsi="Times New Roman"/>
          <w:color w:val="auto"/>
          <w:sz w:val="22"/>
        </w:rPr>
        <w:t>-</w:t>
      </w:r>
      <w:r>
        <w:rPr>
          <w:rFonts w:ascii="Times New Roman" w:hAnsi="Times New Roman"/>
          <w:color w:val="auto"/>
          <w:sz w:val="22"/>
        </w:rPr>
        <w:t>ot reggel kell beadni. Lásd 4.4 pont.</w:t>
      </w:r>
    </w:p>
    <w:p w14:paraId="5BEBD93F" w14:textId="77777777" w:rsidR="00722411" w:rsidRPr="001916DA" w:rsidRDefault="00722411" w:rsidP="0089524F">
      <w:pPr>
        <w:rPr>
          <w:rFonts w:ascii="Times New Roman" w:hAnsi="Times New Roman"/>
          <w:color w:val="auto"/>
          <w:sz w:val="22"/>
          <w:szCs w:val="22"/>
          <w:lang w:val="en-GB"/>
        </w:rPr>
      </w:pPr>
    </w:p>
    <w:p w14:paraId="60081751" w14:textId="77777777" w:rsidR="00722411" w:rsidRPr="00C611C5" w:rsidRDefault="00722411" w:rsidP="00722411">
      <w:pPr>
        <w:rPr>
          <w:rFonts w:ascii="Times New Roman" w:hAnsi="Times New Roman"/>
          <w:b/>
          <w:color w:val="auto"/>
          <w:sz w:val="22"/>
          <w:szCs w:val="22"/>
        </w:rPr>
      </w:pPr>
      <w:r>
        <w:rPr>
          <w:rFonts w:ascii="Times New Roman" w:hAnsi="Times New Roman"/>
          <w:b/>
          <w:color w:val="auto"/>
          <w:sz w:val="22"/>
        </w:rPr>
        <w:t>Az orvos felelőssége dönteni a ciklofoszfamid alkalmazásáról a hatályos kezelési irányelvek szerint.</w:t>
      </w:r>
    </w:p>
    <w:p w14:paraId="2BA7AF05" w14:textId="77777777" w:rsidR="00064BB2" w:rsidRPr="001916DA" w:rsidRDefault="00064BB2" w:rsidP="00722411">
      <w:pPr>
        <w:rPr>
          <w:rFonts w:ascii="Times New Roman" w:hAnsi="Times New Roman"/>
          <w:color w:val="auto"/>
          <w:sz w:val="22"/>
          <w:szCs w:val="22"/>
          <w:lang w:val="en-GB"/>
        </w:rPr>
      </w:pPr>
    </w:p>
    <w:p w14:paraId="01FA2B1E" w14:textId="1919BC6C" w:rsidR="00722411" w:rsidRDefault="00722411" w:rsidP="00722411">
      <w:pPr>
        <w:rPr>
          <w:rFonts w:ascii="Times New Roman" w:hAnsi="Times New Roman"/>
          <w:color w:val="auto"/>
          <w:sz w:val="22"/>
        </w:rPr>
      </w:pPr>
      <w:r>
        <w:rPr>
          <w:rFonts w:ascii="Times New Roman" w:hAnsi="Times New Roman"/>
          <w:color w:val="auto"/>
          <w:sz w:val="22"/>
        </w:rPr>
        <w:t>Az alábbi dózisok általános irányelveknek tekinthetők:</w:t>
      </w:r>
    </w:p>
    <w:p w14:paraId="0B5E2D97" w14:textId="77777777" w:rsidR="00F12151" w:rsidRPr="001916DA" w:rsidRDefault="00F12151" w:rsidP="00722411">
      <w:pPr>
        <w:rPr>
          <w:rFonts w:ascii="Times New Roman" w:hAnsi="Times New Roman"/>
          <w:color w:val="auto"/>
          <w:sz w:val="22"/>
          <w:szCs w:val="22"/>
        </w:rPr>
      </w:pPr>
    </w:p>
    <w:p w14:paraId="31EB506B" w14:textId="77777777" w:rsidR="00722411" w:rsidRPr="00C611C5" w:rsidRDefault="00722411" w:rsidP="005E3CA1">
      <w:pPr>
        <w:rPr>
          <w:rFonts w:ascii="Times New Roman" w:hAnsi="Times New Roman"/>
          <w:i/>
          <w:color w:val="auto"/>
          <w:sz w:val="22"/>
          <w:szCs w:val="22"/>
          <w:u w:val="single"/>
        </w:rPr>
      </w:pPr>
      <w:r>
        <w:rPr>
          <w:rFonts w:ascii="Times New Roman" w:hAnsi="Times New Roman"/>
          <w:i/>
          <w:color w:val="auto"/>
          <w:sz w:val="22"/>
          <w:u w:val="single"/>
        </w:rPr>
        <w:t>Hematológiai és szolid tumorok</w:t>
      </w:r>
    </w:p>
    <w:p w14:paraId="6B21DB5D" w14:textId="3BC688A5" w:rsidR="00EF485F" w:rsidRPr="00C611C5" w:rsidRDefault="00EF485F" w:rsidP="00C611C5">
      <w:pPr>
        <w:pStyle w:val="Listaszerbekezds"/>
        <w:numPr>
          <w:ilvl w:val="0"/>
          <w:numId w:val="38"/>
        </w:numPr>
        <w:rPr>
          <w:rFonts w:ascii="Times New Roman" w:hAnsi="Times New Roman"/>
          <w:color w:val="auto"/>
          <w:sz w:val="22"/>
          <w:szCs w:val="22"/>
        </w:rPr>
      </w:pPr>
      <w:r>
        <w:rPr>
          <w:rFonts w:ascii="Times New Roman" w:hAnsi="Times New Roman"/>
          <w:color w:val="auto"/>
          <w:sz w:val="22"/>
        </w:rPr>
        <w:t>Mindennapos kezelés esetén:</w:t>
      </w:r>
    </w:p>
    <w:p w14:paraId="0EB7CFC9" w14:textId="40F3A20F" w:rsidR="00EF485F" w:rsidRPr="00C611C5" w:rsidRDefault="00EF485F" w:rsidP="00C611C5">
      <w:pPr>
        <w:ind w:left="360"/>
        <w:rPr>
          <w:rFonts w:ascii="Times New Roman" w:hAnsi="Times New Roman"/>
          <w:color w:val="auto"/>
          <w:sz w:val="22"/>
          <w:szCs w:val="22"/>
        </w:rPr>
      </w:pPr>
      <w:r>
        <w:rPr>
          <w:rFonts w:ascii="Times New Roman" w:hAnsi="Times New Roman"/>
          <w:color w:val="auto"/>
          <w:sz w:val="22"/>
        </w:rPr>
        <w:t>3–6 mg/testtömeg kg (= 120–240 mg/testfelszín m</w:t>
      </w:r>
      <w:r>
        <w:rPr>
          <w:rFonts w:ascii="Times New Roman" w:hAnsi="Times New Roman"/>
          <w:color w:val="auto"/>
          <w:sz w:val="22"/>
          <w:vertAlign w:val="superscript"/>
        </w:rPr>
        <w:t>2</w:t>
      </w:r>
      <w:r>
        <w:rPr>
          <w:rFonts w:ascii="Times New Roman" w:hAnsi="Times New Roman"/>
          <w:color w:val="auto"/>
          <w:sz w:val="22"/>
        </w:rPr>
        <w:t>), intravénás injekció formájában</w:t>
      </w:r>
      <w:r w:rsidR="00F12151">
        <w:rPr>
          <w:rFonts w:ascii="Times New Roman" w:hAnsi="Times New Roman"/>
          <w:color w:val="auto"/>
          <w:sz w:val="22"/>
        </w:rPr>
        <w:t>.</w:t>
      </w:r>
    </w:p>
    <w:p w14:paraId="4EE4AECE" w14:textId="7D8B6571" w:rsidR="00513C11" w:rsidRPr="00C611C5" w:rsidRDefault="00F12151" w:rsidP="00C611C5">
      <w:pPr>
        <w:pStyle w:val="Listaszerbekezds"/>
        <w:numPr>
          <w:ilvl w:val="0"/>
          <w:numId w:val="38"/>
        </w:numPr>
        <w:rPr>
          <w:rFonts w:ascii="Times New Roman" w:hAnsi="Times New Roman"/>
          <w:color w:val="auto"/>
          <w:sz w:val="22"/>
          <w:szCs w:val="22"/>
        </w:rPr>
      </w:pPr>
      <w:r>
        <w:rPr>
          <w:rFonts w:ascii="Times New Roman" w:hAnsi="Times New Roman"/>
          <w:color w:val="auto"/>
          <w:sz w:val="22"/>
        </w:rPr>
        <w:t xml:space="preserve">Időszakos </w:t>
      </w:r>
      <w:r w:rsidR="00EF485F">
        <w:rPr>
          <w:rFonts w:ascii="Times New Roman" w:hAnsi="Times New Roman"/>
          <w:color w:val="auto"/>
          <w:sz w:val="22"/>
        </w:rPr>
        <w:t>kezelés esetén:</w:t>
      </w:r>
    </w:p>
    <w:p w14:paraId="3CAAFE87" w14:textId="02437212" w:rsidR="00EF485F" w:rsidRPr="00C611C5" w:rsidRDefault="00EF485F" w:rsidP="00C611C5">
      <w:pPr>
        <w:ind w:left="360"/>
        <w:rPr>
          <w:rFonts w:ascii="Times New Roman" w:hAnsi="Times New Roman"/>
          <w:color w:val="auto"/>
          <w:sz w:val="22"/>
          <w:szCs w:val="22"/>
        </w:rPr>
      </w:pPr>
      <w:r>
        <w:rPr>
          <w:rFonts w:ascii="Times New Roman" w:hAnsi="Times New Roman"/>
          <w:color w:val="auto"/>
          <w:sz w:val="22"/>
        </w:rPr>
        <w:t>10–15 mg/testtömeg kg (= 400–600 mg/testfelszín m</w:t>
      </w:r>
      <w:r>
        <w:rPr>
          <w:rFonts w:ascii="Times New Roman" w:hAnsi="Times New Roman"/>
          <w:color w:val="auto"/>
          <w:sz w:val="22"/>
          <w:vertAlign w:val="superscript"/>
        </w:rPr>
        <w:t>2</w:t>
      </w:r>
      <w:r>
        <w:rPr>
          <w:rFonts w:ascii="Times New Roman" w:hAnsi="Times New Roman"/>
          <w:color w:val="auto"/>
          <w:sz w:val="22"/>
        </w:rPr>
        <w:t>), intravénás injekció formájában, 2-5 napos terápiamentes időszakokkal</w:t>
      </w:r>
      <w:r w:rsidR="00F12151">
        <w:rPr>
          <w:rFonts w:ascii="Times New Roman" w:hAnsi="Times New Roman"/>
          <w:color w:val="auto"/>
          <w:sz w:val="22"/>
        </w:rPr>
        <w:t>.</w:t>
      </w:r>
    </w:p>
    <w:p w14:paraId="1D054514" w14:textId="67BF9563" w:rsidR="00D77953" w:rsidRPr="00C611C5" w:rsidRDefault="00EF485F" w:rsidP="00C611C5">
      <w:pPr>
        <w:pStyle w:val="Listaszerbekezds"/>
        <w:numPr>
          <w:ilvl w:val="0"/>
          <w:numId w:val="38"/>
        </w:numPr>
        <w:rPr>
          <w:rFonts w:ascii="Times New Roman" w:hAnsi="Times New Roman"/>
          <w:color w:val="auto"/>
          <w:sz w:val="22"/>
          <w:szCs w:val="22"/>
        </w:rPr>
      </w:pPr>
      <w:r>
        <w:rPr>
          <w:rFonts w:ascii="Times New Roman" w:hAnsi="Times New Roman"/>
          <w:color w:val="auto"/>
          <w:sz w:val="22"/>
        </w:rPr>
        <w:t xml:space="preserve">Nagy dózisú, </w:t>
      </w:r>
      <w:r w:rsidR="00F12151">
        <w:rPr>
          <w:rFonts w:ascii="Times New Roman" w:hAnsi="Times New Roman"/>
          <w:color w:val="auto"/>
          <w:sz w:val="22"/>
        </w:rPr>
        <w:t xml:space="preserve">időszakos </w:t>
      </w:r>
      <w:r>
        <w:rPr>
          <w:rFonts w:ascii="Times New Roman" w:hAnsi="Times New Roman"/>
          <w:color w:val="auto"/>
          <w:sz w:val="22"/>
        </w:rPr>
        <w:t>kezelés esetén:</w:t>
      </w:r>
    </w:p>
    <w:p w14:paraId="06F356D7" w14:textId="7F685DC7" w:rsidR="00EF485F" w:rsidRPr="00C611C5" w:rsidRDefault="00EF485F" w:rsidP="00C611C5">
      <w:pPr>
        <w:ind w:left="360"/>
        <w:rPr>
          <w:rFonts w:ascii="Times New Roman" w:hAnsi="Times New Roman"/>
          <w:color w:val="auto"/>
          <w:sz w:val="22"/>
          <w:szCs w:val="22"/>
        </w:rPr>
      </w:pPr>
      <w:r>
        <w:rPr>
          <w:rFonts w:ascii="Times New Roman" w:hAnsi="Times New Roman"/>
          <w:color w:val="auto"/>
          <w:sz w:val="22"/>
        </w:rPr>
        <w:t>20–40 mg/testtömeg kg (= 800–1600 mg/testfelszín m</w:t>
      </w:r>
      <w:r>
        <w:rPr>
          <w:rFonts w:ascii="Times New Roman" w:hAnsi="Times New Roman"/>
          <w:color w:val="auto"/>
          <w:sz w:val="22"/>
          <w:vertAlign w:val="superscript"/>
        </w:rPr>
        <w:t>2</w:t>
      </w:r>
      <w:r>
        <w:rPr>
          <w:rFonts w:ascii="Times New Roman" w:hAnsi="Times New Roman"/>
          <w:color w:val="auto"/>
          <w:sz w:val="22"/>
        </w:rPr>
        <w:t>), intravénás injekció formájában, 21-28 napos terápiamentes időszakokkal.</w:t>
      </w:r>
    </w:p>
    <w:p w14:paraId="475E7B95" w14:textId="77777777" w:rsidR="00EF485F" w:rsidRPr="001916DA" w:rsidRDefault="00EF485F" w:rsidP="005E3CA1">
      <w:pPr>
        <w:rPr>
          <w:rFonts w:ascii="Times New Roman" w:hAnsi="Times New Roman"/>
          <w:color w:val="auto"/>
          <w:sz w:val="22"/>
          <w:szCs w:val="22"/>
          <w:u w:val="single"/>
          <w:lang w:val="en-GB"/>
        </w:rPr>
      </w:pPr>
    </w:p>
    <w:p w14:paraId="157AC5AD" w14:textId="77777777" w:rsidR="007C1364" w:rsidRPr="00C611C5" w:rsidRDefault="007C1364" w:rsidP="005E3CA1">
      <w:pPr>
        <w:rPr>
          <w:rFonts w:ascii="Times New Roman" w:hAnsi="Times New Roman"/>
          <w:i/>
          <w:iCs/>
          <w:sz w:val="22"/>
          <w:szCs w:val="22"/>
          <w:u w:val="single"/>
        </w:rPr>
      </w:pPr>
      <w:r>
        <w:rPr>
          <w:rFonts w:ascii="Times New Roman" w:hAnsi="Times New Roman"/>
          <w:i/>
          <w:sz w:val="22"/>
          <w:u w:val="single"/>
        </w:rPr>
        <w:t xml:space="preserve">Csontvelő-transzplantáció előkészítéseként </w:t>
      </w:r>
    </w:p>
    <w:p w14:paraId="447FCFD2" w14:textId="76548FFD" w:rsidR="007C1364" w:rsidRPr="001916DA" w:rsidRDefault="007C1364" w:rsidP="005E3CA1">
      <w:pPr>
        <w:rPr>
          <w:rFonts w:ascii="Times New Roman" w:hAnsi="Times New Roman"/>
          <w:iCs/>
          <w:sz w:val="22"/>
          <w:szCs w:val="22"/>
        </w:rPr>
      </w:pPr>
      <w:r>
        <w:rPr>
          <w:rFonts w:ascii="Times New Roman" w:hAnsi="Times New Roman"/>
          <w:sz w:val="22"/>
        </w:rPr>
        <w:t>2 napig 60 mg/testtömeg kg vagy 4 napig 50 mg/testtömeg kg intravénás injekció formájában.</w:t>
      </w:r>
    </w:p>
    <w:p w14:paraId="5E05A631" w14:textId="480EF85C" w:rsidR="004438E5" w:rsidRPr="001916DA" w:rsidRDefault="004438E5" w:rsidP="005E3CA1">
      <w:pPr>
        <w:rPr>
          <w:rFonts w:ascii="Times New Roman" w:hAnsi="Times New Roman"/>
          <w:iCs/>
          <w:sz w:val="22"/>
          <w:szCs w:val="22"/>
        </w:rPr>
      </w:pPr>
      <w:r>
        <w:rPr>
          <w:rFonts w:ascii="Times New Roman" w:hAnsi="Times New Roman"/>
          <w:sz w:val="22"/>
        </w:rPr>
        <w:t>Buszulfán és ciklofoszfamid (Bu/Cy) kezelési séma alkalmazása esetén az első dózis ciklofoszfamidot legalább 24 órával az utolsó buszulfán dózis után kell beadni (lásd 4.4 és 4.5 pont).</w:t>
      </w:r>
    </w:p>
    <w:p w14:paraId="015ACCA6" w14:textId="77777777" w:rsidR="004438E5" w:rsidRPr="00C611C5" w:rsidRDefault="004438E5" w:rsidP="005E3CA1">
      <w:pPr>
        <w:rPr>
          <w:rFonts w:ascii="Times New Roman" w:hAnsi="Times New Roman"/>
          <w:iCs/>
          <w:sz w:val="22"/>
          <w:szCs w:val="22"/>
        </w:rPr>
      </w:pPr>
    </w:p>
    <w:p w14:paraId="38A0F674" w14:textId="77777777" w:rsidR="004438E5" w:rsidRPr="00C611C5" w:rsidRDefault="004438E5" w:rsidP="004438E5">
      <w:pPr>
        <w:pStyle w:val="Default"/>
        <w:rPr>
          <w:sz w:val="22"/>
          <w:szCs w:val="22"/>
          <w:u w:val="single"/>
        </w:rPr>
      </w:pPr>
      <w:r>
        <w:rPr>
          <w:i/>
          <w:sz w:val="22"/>
          <w:u w:val="single"/>
        </w:rPr>
        <w:t xml:space="preserve">Autoimmun betegségek </w:t>
      </w:r>
    </w:p>
    <w:p w14:paraId="464E369C" w14:textId="77777777" w:rsidR="004438E5" w:rsidRPr="00C611C5" w:rsidRDefault="004438E5" w:rsidP="004438E5">
      <w:pPr>
        <w:rPr>
          <w:rFonts w:ascii="Times New Roman" w:hAnsi="Times New Roman"/>
          <w:sz w:val="22"/>
          <w:szCs w:val="22"/>
        </w:rPr>
      </w:pPr>
      <w:r>
        <w:rPr>
          <w:rFonts w:ascii="Times New Roman" w:hAnsi="Times New Roman"/>
          <w:sz w:val="22"/>
        </w:rPr>
        <w:t>Havonta 500–1000 mg/testfelszín m</w:t>
      </w:r>
      <w:r>
        <w:rPr>
          <w:rFonts w:ascii="Times New Roman" w:hAnsi="Times New Roman"/>
          <w:sz w:val="22"/>
          <w:vertAlign w:val="superscript"/>
        </w:rPr>
        <w:t>2</w:t>
      </w:r>
      <w:r>
        <w:rPr>
          <w:rFonts w:ascii="Times New Roman" w:hAnsi="Times New Roman"/>
          <w:sz w:val="22"/>
        </w:rPr>
        <w:t xml:space="preserve">. </w:t>
      </w:r>
    </w:p>
    <w:p w14:paraId="10AAE81B" w14:textId="77777777" w:rsidR="004438E5" w:rsidRPr="00C611C5" w:rsidRDefault="004438E5" w:rsidP="004438E5">
      <w:pPr>
        <w:rPr>
          <w:rFonts w:ascii="Times New Roman" w:hAnsi="Times New Roman"/>
          <w:sz w:val="22"/>
          <w:szCs w:val="22"/>
        </w:rPr>
      </w:pPr>
    </w:p>
    <w:p w14:paraId="59BFE2E2" w14:textId="77777777" w:rsidR="004B5DA3" w:rsidRPr="00C611C5" w:rsidRDefault="004B5DA3" w:rsidP="004B5DA3">
      <w:pPr>
        <w:rPr>
          <w:rFonts w:ascii="Times New Roman" w:hAnsi="Times New Roman"/>
          <w:i/>
          <w:color w:val="auto"/>
          <w:sz w:val="22"/>
          <w:szCs w:val="22"/>
          <w:u w:val="single"/>
        </w:rPr>
      </w:pPr>
      <w:r>
        <w:rPr>
          <w:rFonts w:ascii="Times New Roman" w:hAnsi="Times New Roman"/>
          <w:i/>
          <w:color w:val="auto"/>
          <w:sz w:val="22"/>
          <w:u w:val="single"/>
        </w:rPr>
        <w:t xml:space="preserve">Májkárosodásban szenvedő betegek </w:t>
      </w:r>
    </w:p>
    <w:p w14:paraId="2D0BF73D" w14:textId="735EEEAA" w:rsidR="004B5DA3" w:rsidRPr="001916DA" w:rsidRDefault="004B5DA3" w:rsidP="004B5DA3">
      <w:pPr>
        <w:rPr>
          <w:rFonts w:ascii="Times New Roman" w:hAnsi="Times New Roman"/>
          <w:color w:val="auto"/>
          <w:sz w:val="22"/>
          <w:szCs w:val="22"/>
        </w:rPr>
      </w:pPr>
      <w:r>
        <w:rPr>
          <w:rFonts w:ascii="Times New Roman" w:hAnsi="Times New Roman"/>
          <w:color w:val="auto"/>
          <w:sz w:val="22"/>
        </w:rPr>
        <w:t xml:space="preserve">Súlyos májkárosodás esetén csökkenhet a ciklofoszfamid aktiválódásának mértéke. Ennek kapcsán a Cyclophosphamide Accord-kezelés hatásossága módosulhat, amelyet figyelembe kell venni az adagolás meghatározása és a gyógyszerre adott </w:t>
      </w:r>
      <w:r w:rsidR="00E50641">
        <w:rPr>
          <w:rFonts w:ascii="Times New Roman" w:hAnsi="Times New Roman"/>
          <w:color w:val="auto"/>
          <w:sz w:val="22"/>
        </w:rPr>
        <w:t xml:space="preserve">terápiás </w:t>
      </w:r>
      <w:r>
        <w:rPr>
          <w:rFonts w:ascii="Times New Roman" w:hAnsi="Times New Roman"/>
          <w:color w:val="auto"/>
          <w:sz w:val="22"/>
        </w:rPr>
        <w:t>válasz értékelése során (</w:t>
      </w:r>
      <w:r w:rsidR="00E50641">
        <w:rPr>
          <w:rFonts w:ascii="Times New Roman" w:hAnsi="Times New Roman"/>
          <w:color w:val="auto"/>
          <w:sz w:val="22"/>
        </w:rPr>
        <w:t>l</w:t>
      </w:r>
      <w:r>
        <w:rPr>
          <w:rFonts w:ascii="Times New Roman" w:hAnsi="Times New Roman"/>
          <w:color w:val="auto"/>
          <w:sz w:val="22"/>
        </w:rPr>
        <w:t>ásd 4.4 pont)</w:t>
      </w:r>
      <w:r w:rsidR="00E50641">
        <w:rPr>
          <w:rFonts w:ascii="Times New Roman" w:hAnsi="Times New Roman"/>
          <w:color w:val="auto"/>
          <w:sz w:val="22"/>
        </w:rPr>
        <w:t>.</w:t>
      </w:r>
    </w:p>
    <w:p w14:paraId="40DB3E19" w14:textId="77777777" w:rsidR="000D5DC9" w:rsidRPr="001916DA" w:rsidRDefault="000D5DC9" w:rsidP="004B5DA3">
      <w:pPr>
        <w:rPr>
          <w:rFonts w:ascii="Times New Roman" w:hAnsi="Times New Roman"/>
          <w:color w:val="auto"/>
          <w:sz w:val="22"/>
          <w:szCs w:val="22"/>
          <w:lang w:val="en-GB"/>
        </w:rPr>
      </w:pPr>
    </w:p>
    <w:p w14:paraId="7171D840" w14:textId="07EB4150" w:rsidR="000D5DC9" w:rsidRPr="001916DA" w:rsidRDefault="000D5DC9" w:rsidP="004B5DA3">
      <w:pPr>
        <w:rPr>
          <w:rFonts w:ascii="Times New Roman" w:hAnsi="Times New Roman"/>
          <w:color w:val="auto"/>
          <w:sz w:val="22"/>
          <w:szCs w:val="22"/>
        </w:rPr>
      </w:pPr>
      <w:r>
        <w:rPr>
          <w:rFonts w:ascii="Times New Roman" w:hAnsi="Times New Roman"/>
          <w:color w:val="auto"/>
          <w:sz w:val="22"/>
        </w:rPr>
        <w:t>Súlyos májkárosodás fennállásakor csökkenteni kell a dózist. Azoknál a betegeknél, akiknél a szérum bilirubinkoncentrációja 3,1–5 mg/100 ml (0,053–0,086 mmol/l) értéktartományban van, 25%-os dóziscsökkentés javasolt.</w:t>
      </w:r>
    </w:p>
    <w:p w14:paraId="15888F42" w14:textId="77777777" w:rsidR="003076C2" w:rsidRPr="001916DA" w:rsidRDefault="003076C2" w:rsidP="004B5DA3">
      <w:pPr>
        <w:rPr>
          <w:rFonts w:ascii="Times New Roman" w:hAnsi="Times New Roman"/>
          <w:color w:val="auto"/>
          <w:sz w:val="22"/>
          <w:szCs w:val="22"/>
          <w:lang w:val="en-GB"/>
        </w:rPr>
      </w:pPr>
    </w:p>
    <w:p w14:paraId="1CD3D588" w14:textId="77777777" w:rsidR="003076C2" w:rsidRPr="00C611C5" w:rsidRDefault="003076C2" w:rsidP="003076C2">
      <w:pPr>
        <w:rPr>
          <w:rFonts w:ascii="Times New Roman" w:hAnsi="Times New Roman"/>
          <w:i/>
          <w:color w:val="auto"/>
          <w:sz w:val="22"/>
          <w:szCs w:val="22"/>
          <w:u w:val="single"/>
        </w:rPr>
      </w:pPr>
      <w:r>
        <w:rPr>
          <w:rFonts w:ascii="Times New Roman" w:hAnsi="Times New Roman"/>
          <w:i/>
          <w:color w:val="auto"/>
          <w:sz w:val="22"/>
          <w:u w:val="single"/>
        </w:rPr>
        <w:t>Vesekárosodásban szenvedő betegek</w:t>
      </w:r>
    </w:p>
    <w:p w14:paraId="0719AE09" w14:textId="7AE7D010" w:rsidR="003076C2" w:rsidRPr="001916DA" w:rsidRDefault="003076C2" w:rsidP="003076C2">
      <w:pPr>
        <w:rPr>
          <w:rFonts w:ascii="Times New Roman" w:hAnsi="Times New Roman"/>
          <w:color w:val="auto"/>
          <w:sz w:val="22"/>
          <w:szCs w:val="22"/>
        </w:rPr>
      </w:pPr>
      <w:r>
        <w:rPr>
          <w:rFonts w:ascii="Times New Roman" w:hAnsi="Times New Roman"/>
          <w:color w:val="auto"/>
          <w:sz w:val="22"/>
        </w:rPr>
        <w:t xml:space="preserve">Vesekárosodásban, főként súlyos vesekárosodásban szenvedő betegek esetében, a vesén keresztül történő csökkent kiválasztás miatt emelkedhet a ciklofoszfamid és metabolitjainak plazmaszintje. Ez a toxicitás fokozódását eredményezheti, amit az ilyen betegek esetében figyelembe kell venni az adagolás </w:t>
      </w:r>
      <w:r>
        <w:rPr>
          <w:rFonts w:ascii="Times New Roman" w:hAnsi="Times New Roman"/>
          <w:color w:val="auto"/>
          <w:sz w:val="22"/>
        </w:rPr>
        <w:lastRenderedPageBreak/>
        <w:t>meghatározásakor (</w:t>
      </w:r>
      <w:r w:rsidR="00257281">
        <w:rPr>
          <w:rFonts w:ascii="Times New Roman" w:hAnsi="Times New Roman"/>
          <w:color w:val="auto"/>
          <w:sz w:val="22"/>
        </w:rPr>
        <w:t>l</w:t>
      </w:r>
      <w:r>
        <w:rPr>
          <w:rFonts w:ascii="Times New Roman" w:hAnsi="Times New Roman"/>
          <w:color w:val="auto"/>
          <w:sz w:val="22"/>
        </w:rPr>
        <w:t>ásd 4.4 pont)</w:t>
      </w:r>
      <w:r w:rsidR="00257281">
        <w:rPr>
          <w:rFonts w:ascii="Times New Roman" w:hAnsi="Times New Roman"/>
          <w:color w:val="auto"/>
          <w:sz w:val="22"/>
        </w:rPr>
        <w:t>.</w:t>
      </w:r>
      <w:r>
        <w:rPr>
          <w:rFonts w:ascii="Times New Roman" w:hAnsi="Times New Roman"/>
          <w:color w:val="auto"/>
          <w:sz w:val="22"/>
        </w:rPr>
        <w:t xml:space="preserve"> 10 ml/perc alatti glomerulusfiltráció értéknél 50%-os dóziscsökkentés javasolt. </w:t>
      </w:r>
    </w:p>
    <w:p w14:paraId="61B69385" w14:textId="77777777" w:rsidR="003076C2" w:rsidRPr="001916DA" w:rsidRDefault="003076C2" w:rsidP="003076C2">
      <w:pPr>
        <w:rPr>
          <w:rFonts w:ascii="Times New Roman" w:hAnsi="Times New Roman"/>
          <w:color w:val="auto"/>
          <w:sz w:val="22"/>
          <w:szCs w:val="22"/>
          <w:lang w:val="en-GB"/>
        </w:rPr>
      </w:pPr>
    </w:p>
    <w:p w14:paraId="7681769A" w14:textId="123346CA" w:rsidR="00F51429" w:rsidRPr="001916DA" w:rsidRDefault="00F51429" w:rsidP="00F51429">
      <w:pPr>
        <w:rPr>
          <w:rFonts w:ascii="Times New Roman" w:hAnsi="Times New Roman"/>
          <w:color w:val="auto"/>
          <w:sz w:val="22"/>
          <w:szCs w:val="22"/>
        </w:rPr>
      </w:pPr>
      <w:r>
        <w:rPr>
          <w:rFonts w:ascii="Times New Roman" w:hAnsi="Times New Roman"/>
          <w:color w:val="auto"/>
          <w:sz w:val="22"/>
        </w:rPr>
        <w:t>A ciklofoszfamid és metabolitjai dializálhatók, bár a clearance tekintetében lehetnek különbségek az alkalmazott dializáló rendszertől függően. Dialízisre szoruló betegeknél megfelelő időtartamú szünet beiktatása mérlegelendő a dialízis és a Cyclophosphamide Accord beadása között. Lásd 4.4 pont.</w:t>
      </w:r>
    </w:p>
    <w:p w14:paraId="5FAFD752" w14:textId="77777777" w:rsidR="00F51429" w:rsidRPr="001916DA" w:rsidRDefault="00F51429" w:rsidP="00F51429">
      <w:pPr>
        <w:rPr>
          <w:rFonts w:ascii="Times New Roman" w:hAnsi="Times New Roman"/>
          <w:color w:val="auto"/>
          <w:sz w:val="22"/>
          <w:szCs w:val="22"/>
          <w:lang w:val="en-GB"/>
        </w:rPr>
      </w:pPr>
    </w:p>
    <w:p w14:paraId="77E45BD9" w14:textId="77777777" w:rsidR="00F51429" w:rsidRPr="00C611C5" w:rsidRDefault="00F51429" w:rsidP="00F51429">
      <w:pPr>
        <w:rPr>
          <w:rFonts w:ascii="Times New Roman" w:hAnsi="Times New Roman"/>
          <w:i/>
          <w:color w:val="auto"/>
          <w:sz w:val="22"/>
          <w:szCs w:val="22"/>
          <w:u w:val="single"/>
        </w:rPr>
      </w:pPr>
      <w:r>
        <w:rPr>
          <w:rFonts w:ascii="Times New Roman" w:hAnsi="Times New Roman"/>
          <w:i/>
          <w:color w:val="auto"/>
          <w:sz w:val="22"/>
          <w:u w:val="single"/>
        </w:rPr>
        <w:t>Idősek</w:t>
      </w:r>
    </w:p>
    <w:p w14:paraId="0EA485BA" w14:textId="4D5FE54E" w:rsidR="00F51429" w:rsidRPr="001916DA" w:rsidRDefault="00F51429" w:rsidP="00F51429">
      <w:pPr>
        <w:rPr>
          <w:rFonts w:ascii="Times New Roman" w:hAnsi="Times New Roman"/>
          <w:color w:val="auto"/>
          <w:sz w:val="22"/>
          <w:szCs w:val="22"/>
        </w:rPr>
      </w:pPr>
      <w:r>
        <w:rPr>
          <w:rFonts w:ascii="Times New Roman" w:hAnsi="Times New Roman"/>
          <w:color w:val="auto"/>
          <w:sz w:val="22"/>
        </w:rPr>
        <w:t>Időseknél a toxicitás monitorozása és a dózismódosítás szükségességének megítélése során figyelembe kell venni a máj, a vese, a szív és egyéb szervfunkciók károsodását, az esetleges kísérő betegségeket és egyéb gyógyszerek szedését, amelyek ebben a populációban nagyobb gyakorisággal fordulnak elő.</w:t>
      </w:r>
    </w:p>
    <w:p w14:paraId="58AAE7A4" w14:textId="77777777" w:rsidR="00F51429" w:rsidRPr="001916DA" w:rsidRDefault="00F51429" w:rsidP="00F51429">
      <w:pPr>
        <w:rPr>
          <w:rFonts w:ascii="Times New Roman" w:hAnsi="Times New Roman"/>
          <w:color w:val="auto"/>
          <w:sz w:val="22"/>
          <w:szCs w:val="22"/>
          <w:lang w:val="en-GB"/>
        </w:rPr>
      </w:pPr>
    </w:p>
    <w:p w14:paraId="2F856BD3" w14:textId="77777777" w:rsidR="00F51429" w:rsidRPr="00C611C5" w:rsidRDefault="00F51429" w:rsidP="00F51429">
      <w:pPr>
        <w:rPr>
          <w:rFonts w:ascii="Times New Roman" w:hAnsi="Times New Roman"/>
          <w:i/>
          <w:color w:val="auto"/>
          <w:sz w:val="22"/>
          <w:szCs w:val="22"/>
          <w:u w:val="single"/>
        </w:rPr>
      </w:pPr>
      <w:r>
        <w:rPr>
          <w:rFonts w:ascii="Times New Roman" w:hAnsi="Times New Roman"/>
          <w:i/>
          <w:color w:val="auto"/>
          <w:sz w:val="22"/>
          <w:u w:val="single"/>
        </w:rPr>
        <w:t>Gyermekek és serdülők</w:t>
      </w:r>
    </w:p>
    <w:p w14:paraId="2E45374D" w14:textId="4785B2D6" w:rsidR="004B5DA3" w:rsidRPr="001916DA" w:rsidRDefault="002530E4" w:rsidP="00F51429">
      <w:pPr>
        <w:rPr>
          <w:rFonts w:ascii="Times New Roman" w:hAnsi="Times New Roman"/>
          <w:color w:val="auto"/>
          <w:sz w:val="22"/>
          <w:szCs w:val="22"/>
        </w:rPr>
      </w:pPr>
      <w:r>
        <w:rPr>
          <w:rFonts w:ascii="Times New Roman" w:hAnsi="Times New Roman"/>
          <w:color w:val="auto"/>
          <w:sz w:val="22"/>
        </w:rPr>
        <w:t>A ciklofoszfamidot alkalmazzák gyermekeknél. A ciklofoszfamid biztonságossági profilja gyermekeknél és serdülőknél a felnőttekéhez hasonló.</w:t>
      </w:r>
    </w:p>
    <w:p w14:paraId="3A84CB06" w14:textId="77777777" w:rsidR="00FD677C" w:rsidRPr="001916DA" w:rsidRDefault="00FD677C" w:rsidP="00F51429">
      <w:pPr>
        <w:rPr>
          <w:rFonts w:ascii="Times New Roman" w:hAnsi="Times New Roman"/>
          <w:color w:val="auto"/>
          <w:sz w:val="22"/>
          <w:szCs w:val="22"/>
          <w:lang w:val="en-GB"/>
        </w:rPr>
      </w:pPr>
    </w:p>
    <w:p w14:paraId="00EFF19C" w14:textId="0C658522" w:rsidR="00940E1C" w:rsidRPr="00C5225D" w:rsidRDefault="00FD677C" w:rsidP="00FD677C">
      <w:pPr>
        <w:rPr>
          <w:rFonts w:ascii="Times New Roman" w:hAnsi="Times New Roman"/>
          <w:i/>
          <w:sz w:val="22"/>
          <w:szCs w:val="22"/>
          <w:u w:val="single"/>
          <w:shd w:val="clear" w:color="auto" w:fill="FFFFFF"/>
        </w:rPr>
      </w:pPr>
      <w:r w:rsidRPr="00C5225D">
        <w:rPr>
          <w:rFonts w:ascii="Times New Roman" w:hAnsi="Times New Roman"/>
          <w:i/>
          <w:sz w:val="22"/>
          <w:u w:val="single"/>
        </w:rPr>
        <w:t xml:space="preserve">Dózismódosítására vonatkozó ajánlások </w:t>
      </w:r>
      <w:r w:rsidRPr="00C5225D">
        <w:rPr>
          <w:rFonts w:ascii="Times New Roman" w:hAnsi="Times New Roman"/>
          <w:i/>
          <w:sz w:val="22"/>
          <w:u w:val="single"/>
          <w:shd w:val="clear" w:color="auto" w:fill="FFFFFF"/>
        </w:rPr>
        <w:t>myelosuppressio</w:t>
      </w:r>
      <w:r w:rsidRPr="00C5225D">
        <w:rPr>
          <w:rFonts w:ascii="Times New Roman" w:hAnsi="Times New Roman"/>
          <w:i/>
          <w:sz w:val="22"/>
          <w:u w:val="single"/>
        </w:rPr>
        <w:t xml:space="preserve"> esetén</w:t>
      </w:r>
    </w:p>
    <w:p w14:paraId="64D67733" w14:textId="77777777" w:rsidR="00940E1C" w:rsidRPr="00C611C5" w:rsidRDefault="00940E1C" w:rsidP="00940E1C">
      <w:pPr>
        <w:rPr>
          <w:rFonts w:ascii="Times New Roman" w:hAnsi="Times New Roman"/>
          <w:sz w:val="22"/>
          <w:szCs w:val="22"/>
        </w:rPr>
      </w:pPr>
      <w:r>
        <w:rPr>
          <w:rFonts w:ascii="Times New Roman" w:hAnsi="Times New Roman"/>
          <w:sz w:val="22"/>
        </w:rPr>
        <w:t>Ciklofoszfamid-kezelés alatt rendszeresen ellenőrizni kell a leukocita- és a trombocitaszámot. Egyértelműen myelosuppressiora utaló jelek fellépésekor, amennyiben szükséges, ajánlott a dózis módosítása.</w:t>
      </w:r>
    </w:p>
    <w:p w14:paraId="68758E18" w14:textId="12A7BB78" w:rsidR="00FD677C" w:rsidRPr="00C611C5" w:rsidRDefault="00940E1C" w:rsidP="00940E1C">
      <w:pPr>
        <w:rPr>
          <w:rFonts w:ascii="Times New Roman" w:hAnsi="Times New Roman"/>
          <w:sz w:val="22"/>
          <w:szCs w:val="22"/>
        </w:rPr>
      </w:pPr>
      <w:r>
        <w:rPr>
          <w:rFonts w:ascii="Times New Roman" w:hAnsi="Times New Roman"/>
          <w:sz w:val="22"/>
        </w:rPr>
        <w:t xml:space="preserve">Lásd az alábbi táblázatot. Rendszeresen ellenőrizni kell a vizeletüledéket is, hogy vannak-e benne eritrociták. </w:t>
      </w:r>
    </w:p>
    <w:p w14:paraId="00D91274" w14:textId="77777777" w:rsidR="00FD677C" w:rsidRPr="001916DA" w:rsidRDefault="00FD677C" w:rsidP="00FD677C">
      <w:pPr>
        <w:rPr>
          <w:rFonts w:ascii="Times New Roman" w:hAnsi="Times New Roman"/>
          <w:i/>
          <w:sz w:val="22"/>
          <w:szCs w:val="22"/>
          <w:u w:val="single"/>
          <w:lang w:val="en-GB"/>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0"/>
        <w:gridCol w:w="2831"/>
        <w:gridCol w:w="4002"/>
      </w:tblGrid>
      <w:tr w:rsidR="00FD677C" w:rsidRPr="001916DA" w14:paraId="51FE1D43" w14:textId="77777777" w:rsidTr="00C611C5">
        <w:tc>
          <w:tcPr>
            <w:tcW w:w="1416" w:type="pct"/>
          </w:tcPr>
          <w:p w14:paraId="22A5968D" w14:textId="3AB88C76" w:rsidR="00FD677C" w:rsidRPr="001916DA" w:rsidRDefault="00FD677C" w:rsidP="00516BD4">
            <w:pPr>
              <w:rPr>
                <w:rFonts w:ascii="Times New Roman" w:hAnsi="Times New Roman"/>
                <w:b/>
                <w:bCs/>
                <w:sz w:val="22"/>
                <w:szCs w:val="22"/>
              </w:rPr>
            </w:pPr>
            <w:r>
              <w:rPr>
                <w:rFonts w:ascii="Times New Roman" w:hAnsi="Times New Roman"/>
                <w:b/>
                <w:sz w:val="22"/>
                <w:shd w:val="clear" w:color="auto" w:fill="FFFFFF"/>
              </w:rPr>
              <w:t>Leukocitaszám</w:t>
            </w:r>
            <w:r>
              <w:rPr>
                <w:rFonts w:ascii="Times New Roman" w:hAnsi="Times New Roman"/>
                <w:b/>
                <w:sz w:val="22"/>
              </w:rPr>
              <w:t>/</w:t>
            </w:r>
            <w:r w:rsidR="007B756E">
              <w:rPr>
                <w:rFonts w:ascii="Times New Roman" w:hAnsi="Times New Roman"/>
                <w:b/>
                <w:sz w:val="22"/>
              </w:rPr>
              <w:t>mikroliter</w:t>
            </w:r>
          </w:p>
        </w:tc>
        <w:tc>
          <w:tcPr>
            <w:tcW w:w="1344" w:type="pct"/>
          </w:tcPr>
          <w:p w14:paraId="458D71B8" w14:textId="4A1637EB" w:rsidR="00FD677C" w:rsidRPr="001916DA" w:rsidRDefault="00FD677C" w:rsidP="00516BD4">
            <w:pPr>
              <w:rPr>
                <w:rFonts w:ascii="Times New Roman" w:hAnsi="Times New Roman"/>
                <w:b/>
                <w:bCs/>
                <w:sz w:val="22"/>
                <w:szCs w:val="22"/>
              </w:rPr>
            </w:pPr>
            <w:r>
              <w:rPr>
                <w:rFonts w:ascii="Times New Roman" w:hAnsi="Times New Roman"/>
                <w:b/>
                <w:sz w:val="22"/>
                <w:shd w:val="clear" w:color="auto" w:fill="FFFFFF"/>
              </w:rPr>
              <w:t>Vérlemezkeszám</w:t>
            </w:r>
            <w:r>
              <w:rPr>
                <w:rFonts w:ascii="Times New Roman" w:hAnsi="Times New Roman"/>
                <w:b/>
                <w:sz w:val="22"/>
              </w:rPr>
              <w:t>/</w:t>
            </w:r>
            <w:r w:rsidR="007B756E">
              <w:rPr>
                <w:rFonts w:ascii="Times New Roman" w:hAnsi="Times New Roman"/>
                <w:b/>
                <w:sz w:val="22"/>
              </w:rPr>
              <w:t>mikroliter</w:t>
            </w:r>
          </w:p>
        </w:tc>
        <w:tc>
          <w:tcPr>
            <w:tcW w:w="2240" w:type="pct"/>
          </w:tcPr>
          <w:p w14:paraId="5E5084A9" w14:textId="2A26005B" w:rsidR="00FD677C" w:rsidRPr="001916DA" w:rsidRDefault="00FD677C" w:rsidP="00516BD4">
            <w:pPr>
              <w:tabs>
                <w:tab w:val="left" w:pos="1183"/>
              </w:tabs>
              <w:ind w:right="363"/>
              <w:rPr>
                <w:rFonts w:ascii="Times New Roman" w:hAnsi="Times New Roman"/>
                <w:b/>
                <w:bCs/>
                <w:sz w:val="22"/>
                <w:szCs w:val="22"/>
              </w:rPr>
            </w:pPr>
            <w:r>
              <w:rPr>
                <w:rFonts w:ascii="Times New Roman" w:hAnsi="Times New Roman"/>
                <w:b/>
                <w:sz w:val="22"/>
              </w:rPr>
              <w:t>Adagolás</w:t>
            </w:r>
          </w:p>
        </w:tc>
      </w:tr>
      <w:tr w:rsidR="00FD677C" w:rsidRPr="001916DA" w14:paraId="565FFE33" w14:textId="77777777" w:rsidTr="00C611C5">
        <w:tc>
          <w:tcPr>
            <w:tcW w:w="1416" w:type="pct"/>
          </w:tcPr>
          <w:p w14:paraId="1CB57353" w14:textId="516C199F" w:rsidR="00FD677C" w:rsidRPr="001916DA" w:rsidRDefault="007B756E" w:rsidP="00516BD4">
            <w:pPr>
              <w:rPr>
                <w:rFonts w:ascii="Times New Roman" w:hAnsi="Times New Roman"/>
                <w:sz w:val="22"/>
                <w:szCs w:val="22"/>
              </w:rPr>
            </w:pPr>
            <w:r>
              <w:rPr>
                <w:rFonts w:ascii="Times New Roman" w:hAnsi="Times New Roman"/>
                <w:sz w:val="22"/>
              </w:rPr>
              <w:t xml:space="preserve">több mint </w:t>
            </w:r>
            <w:r w:rsidR="00FD677C">
              <w:rPr>
                <w:rFonts w:ascii="Times New Roman" w:hAnsi="Times New Roman"/>
                <w:sz w:val="22"/>
              </w:rPr>
              <w:t>4000</w:t>
            </w:r>
          </w:p>
        </w:tc>
        <w:tc>
          <w:tcPr>
            <w:tcW w:w="1344" w:type="pct"/>
          </w:tcPr>
          <w:p w14:paraId="781604C6" w14:textId="3B1FCE24" w:rsidR="00FD677C" w:rsidRPr="001916DA" w:rsidRDefault="007B756E" w:rsidP="00516BD4">
            <w:pPr>
              <w:rPr>
                <w:rFonts w:ascii="Times New Roman" w:hAnsi="Times New Roman"/>
                <w:sz w:val="22"/>
                <w:szCs w:val="22"/>
              </w:rPr>
            </w:pPr>
            <w:r>
              <w:rPr>
                <w:rFonts w:ascii="Times New Roman" w:hAnsi="Times New Roman"/>
                <w:sz w:val="22"/>
              </w:rPr>
              <w:t xml:space="preserve">több mint </w:t>
            </w:r>
            <w:r w:rsidR="00FD677C">
              <w:rPr>
                <w:rFonts w:ascii="Times New Roman" w:hAnsi="Times New Roman"/>
                <w:sz w:val="22"/>
              </w:rPr>
              <w:t>100 000</w:t>
            </w:r>
          </w:p>
        </w:tc>
        <w:tc>
          <w:tcPr>
            <w:tcW w:w="2240" w:type="pct"/>
          </w:tcPr>
          <w:p w14:paraId="7FC22706" w14:textId="77777777" w:rsidR="00FD677C" w:rsidRPr="001916DA" w:rsidRDefault="00FD677C" w:rsidP="00516BD4">
            <w:pPr>
              <w:rPr>
                <w:rFonts w:ascii="Times New Roman" w:hAnsi="Times New Roman"/>
                <w:sz w:val="22"/>
                <w:szCs w:val="22"/>
              </w:rPr>
            </w:pPr>
            <w:r>
              <w:rPr>
                <w:rFonts w:ascii="Times New Roman" w:hAnsi="Times New Roman"/>
                <w:sz w:val="22"/>
                <w:shd w:val="clear" w:color="auto" w:fill="FFFFFF"/>
              </w:rPr>
              <w:t>a tervezett dózis</w:t>
            </w:r>
            <w:r>
              <w:rPr>
                <w:rFonts w:ascii="Times New Roman" w:hAnsi="Times New Roman"/>
                <w:sz w:val="22"/>
              </w:rPr>
              <w:t xml:space="preserve"> 100%-a</w:t>
            </w:r>
          </w:p>
        </w:tc>
      </w:tr>
      <w:tr w:rsidR="00FD677C" w:rsidRPr="001916DA" w14:paraId="3B75DF72" w14:textId="77777777" w:rsidTr="00C611C5">
        <w:tc>
          <w:tcPr>
            <w:tcW w:w="1416" w:type="pct"/>
          </w:tcPr>
          <w:p w14:paraId="3BA7CF75" w14:textId="2DB124EC" w:rsidR="00FD677C" w:rsidRPr="001916DA" w:rsidRDefault="00940E1C">
            <w:pPr>
              <w:rPr>
                <w:rFonts w:ascii="Times New Roman" w:hAnsi="Times New Roman"/>
                <w:sz w:val="22"/>
                <w:szCs w:val="22"/>
              </w:rPr>
            </w:pPr>
            <w:r>
              <w:rPr>
                <w:rFonts w:ascii="Times New Roman" w:hAnsi="Times New Roman"/>
                <w:sz w:val="22"/>
              </w:rPr>
              <w:t>2500–4000</w:t>
            </w:r>
          </w:p>
        </w:tc>
        <w:tc>
          <w:tcPr>
            <w:tcW w:w="1344" w:type="pct"/>
          </w:tcPr>
          <w:p w14:paraId="2FCE88AE" w14:textId="7FE234B7" w:rsidR="00FD677C" w:rsidRPr="001916DA" w:rsidRDefault="00940E1C">
            <w:pPr>
              <w:rPr>
                <w:rFonts w:ascii="Times New Roman" w:hAnsi="Times New Roman"/>
                <w:sz w:val="22"/>
                <w:szCs w:val="22"/>
              </w:rPr>
            </w:pPr>
            <w:r>
              <w:rPr>
                <w:rFonts w:ascii="Times New Roman" w:hAnsi="Times New Roman"/>
                <w:sz w:val="22"/>
              </w:rPr>
              <w:t>50 000–100 000</w:t>
            </w:r>
          </w:p>
        </w:tc>
        <w:tc>
          <w:tcPr>
            <w:tcW w:w="2240" w:type="pct"/>
          </w:tcPr>
          <w:p w14:paraId="215E5880" w14:textId="77777777" w:rsidR="00FD677C" w:rsidRPr="001916DA" w:rsidRDefault="00FD677C" w:rsidP="00516BD4">
            <w:pPr>
              <w:rPr>
                <w:rFonts w:ascii="Times New Roman" w:hAnsi="Times New Roman"/>
                <w:sz w:val="22"/>
                <w:szCs w:val="22"/>
              </w:rPr>
            </w:pPr>
            <w:r>
              <w:rPr>
                <w:rFonts w:ascii="Times New Roman" w:hAnsi="Times New Roman"/>
                <w:sz w:val="22"/>
                <w:shd w:val="clear" w:color="auto" w:fill="FFFFFF"/>
              </w:rPr>
              <w:t>a tervezett dózis</w:t>
            </w:r>
            <w:r>
              <w:rPr>
                <w:rFonts w:ascii="Times New Roman" w:hAnsi="Times New Roman"/>
                <w:sz w:val="22"/>
              </w:rPr>
              <w:t xml:space="preserve"> 50%-a</w:t>
            </w:r>
          </w:p>
        </w:tc>
      </w:tr>
      <w:tr w:rsidR="00FD677C" w:rsidRPr="001916DA" w14:paraId="265C43D0" w14:textId="77777777" w:rsidTr="00C611C5">
        <w:tc>
          <w:tcPr>
            <w:tcW w:w="1416" w:type="pct"/>
          </w:tcPr>
          <w:p w14:paraId="3409F40D" w14:textId="4E340BB3" w:rsidR="00FD677C" w:rsidRPr="001916DA" w:rsidRDefault="007B756E" w:rsidP="00516BD4">
            <w:pPr>
              <w:rPr>
                <w:rFonts w:ascii="Times New Roman" w:hAnsi="Times New Roman"/>
                <w:sz w:val="22"/>
                <w:szCs w:val="22"/>
              </w:rPr>
            </w:pPr>
            <w:r>
              <w:rPr>
                <w:rFonts w:ascii="Times New Roman" w:hAnsi="Times New Roman"/>
                <w:sz w:val="22"/>
              </w:rPr>
              <w:t xml:space="preserve">kevesebb mint </w:t>
            </w:r>
            <w:r w:rsidR="00FD677C">
              <w:rPr>
                <w:rFonts w:ascii="Times New Roman" w:hAnsi="Times New Roman"/>
                <w:sz w:val="22"/>
              </w:rPr>
              <w:t>2500</w:t>
            </w:r>
          </w:p>
        </w:tc>
        <w:tc>
          <w:tcPr>
            <w:tcW w:w="1344" w:type="pct"/>
          </w:tcPr>
          <w:p w14:paraId="7CE4762E" w14:textId="3DB1BCF3" w:rsidR="00FD677C" w:rsidRPr="001916DA" w:rsidRDefault="007B756E" w:rsidP="00516BD4">
            <w:pPr>
              <w:rPr>
                <w:rFonts w:ascii="Times New Roman" w:hAnsi="Times New Roman"/>
                <w:sz w:val="22"/>
                <w:szCs w:val="22"/>
              </w:rPr>
            </w:pPr>
            <w:r>
              <w:rPr>
                <w:rFonts w:ascii="Times New Roman" w:hAnsi="Times New Roman"/>
                <w:sz w:val="22"/>
              </w:rPr>
              <w:t xml:space="preserve">kevesebb mint </w:t>
            </w:r>
            <w:r w:rsidR="00FD677C">
              <w:rPr>
                <w:rFonts w:ascii="Times New Roman" w:hAnsi="Times New Roman"/>
                <w:sz w:val="22"/>
              </w:rPr>
              <w:t>50 000</w:t>
            </w:r>
          </w:p>
        </w:tc>
        <w:tc>
          <w:tcPr>
            <w:tcW w:w="2240" w:type="pct"/>
          </w:tcPr>
          <w:p w14:paraId="6396AC48" w14:textId="68FCBD5F" w:rsidR="00FD677C" w:rsidRPr="001916DA" w:rsidRDefault="00FD677C">
            <w:pPr>
              <w:rPr>
                <w:rFonts w:ascii="Times New Roman" w:hAnsi="Times New Roman"/>
                <w:sz w:val="22"/>
                <w:szCs w:val="22"/>
              </w:rPr>
            </w:pPr>
            <w:r>
              <w:rPr>
                <w:rFonts w:ascii="Times New Roman" w:hAnsi="Times New Roman"/>
                <w:sz w:val="22"/>
                <w:shd w:val="clear" w:color="auto" w:fill="FFFFFF"/>
              </w:rPr>
              <w:t>Kihagyni az értékek normalizálódásáig vagy egyénenként dönteni</w:t>
            </w:r>
            <w:r w:rsidR="00257281">
              <w:rPr>
                <w:rFonts w:ascii="Times New Roman" w:hAnsi="Times New Roman"/>
                <w:sz w:val="22"/>
                <w:shd w:val="clear" w:color="auto" w:fill="FFFFFF"/>
              </w:rPr>
              <w:t>.</w:t>
            </w:r>
          </w:p>
        </w:tc>
      </w:tr>
    </w:tbl>
    <w:p w14:paraId="136D7030" w14:textId="77777777" w:rsidR="00FD677C" w:rsidRPr="001916DA" w:rsidRDefault="00FD677C" w:rsidP="00F51429">
      <w:pPr>
        <w:rPr>
          <w:rFonts w:ascii="Times New Roman" w:hAnsi="Times New Roman"/>
          <w:color w:val="auto"/>
          <w:sz w:val="22"/>
          <w:szCs w:val="22"/>
          <w:lang w:val="en-GB"/>
        </w:rPr>
      </w:pPr>
    </w:p>
    <w:p w14:paraId="28BFEA93" w14:textId="77777777" w:rsidR="00A8013E" w:rsidRPr="00C611C5" w:rsidRDefault="00A8013E" w:rsidP="004B5DA3">
      <w:pPr>
        <w:rPr>
          <w:rFonts w:ascii="Times New Roman" w:hAnsi="Times New Roman"/>
          <w:sz w:val="22"/>
          <w:szCs w:val="22"/>
        </w:rPr>
      </w:pPr>
      <w:r>
        <w:rPr>
          <w:rFonts w:ascii="Times New Roman" w:hAnsi="Times New Roman"/>
          <w:sz w:val="22"/>
        </w:rPr>
        <w:t xml:space="preserve">Kombinációs terápia alkalmazása esetén további dóziscsökkentés megfontolására lehet szükség. </w:t>
      </w:r>
    </w:p>
    <w:p w14:paraId="6625EF63" w14:textId="77777777" w:rsidR="00A8013E" w:rsidRPr="00C611C5" w:rsidRDefault="00A8013E" w:rsidP="004B5DA3">
      <w:pPr>
        <w:rPr>
          <w:rFonts w:ascii="Times New Roman" w:hAnsi="Times New Roman"/>
          <w:sz w:val="22"/>
          <w:szCs w:val="22"/>
        </w:rPr>
      </w:pPr>
    </w:p>
    <w:p w14:paraId="1E28F59B" w14:textId="77777777" w:rsidR="001D56B5" w:rsidRPr="00C611C5" w:rsidRDefault="001D56B5" w:rsidP="001D56B5">
      <w:pPr>
        <w:rPr>
          <w:rFonts w:ascii="Times New Roman" w:hAnsi="Times New Roman"/>
          <w:b/>
          <w:sz w:val="22"/>
          <w:szCs w:val="22"/>
          <w:u w:val="single"/>
        </w:rPr>
      </w:pPr>
      <w:r>
        <w:rPr>
          <w:rFonts w:ascii="Times New Roman" w:hAnsi="Times New Roman"/>
          <w:b/>
          <w:sz w:val="22"/>
          <w:u w:val="single"/>
        </w:rPr>
        <w:t>Az alkalmazás módja</w:t>
      </w:r>
    </w:p>
    <w:p w14:paraId="3D1FD413" w14:textId="77777777" w:rsidR="0063355F" w:rsidRDefault="0063355F" w:rsidP="001D56B5">
      <w:pPr>
        <w:rPr>
          <w:rFonts w:ascii="Times New Roman" w:hAnsi="Times New Roman"/>
          <w:sz w:val="22"/>
          <w:szCs w:val="22"/>
        </w:rPr>
      </w:pPr>
    </w:p>
    <w:p w14:paraId="2462FF6C" w14:textId="7479AA02" w:rsidR="001D56B5" w:rsidRPr="00C611C5" w:rsidRDefault="001D56B5" w:rsidP="001D56B5">
      <w:pPr>
        <w:rPr>
          <w:rFonts w:ascii="Times New Roman" w:hAnsi="Times New Roman"/>
          <w:sz w:val="22"/>
          <w:szCs w:val="22"/>
        </w:rPr>
      </w:pPr>
      <w:r>
        <w:rPr>
          <w:rFonts w:ascii="Times New Roman" w:hAnsi="Times New Roman"/>
          <w:sz w:val="22"/>
        </w:rPr>
        <w:t>A ciklofoszfamid mindaddig inert, amíg a májban található enzimek nem aktiválják. Ennek ellenére – mint minden citotoxikus szer esetében – javasolt, hogy a feloldást megfelelően képzett személyzet végezze, az erre kijelölt helyen.</w:t>
      </w:r>
    </w:p>
    <w:p w14:paraId="04ED89FC" w14:textId="77777777" w:rsidR="001D56B5" w:rsidRPr="00C611C5" w:rsidRDefault="001D56B5" w:rsidP="001D56B5">
      <w:pPr>
        <w:rPr>
          <w:rFonts w:ascii="Times New Roman" w:hAnsi="Times New Roman"/>
          <w:sz w:val="22"/>
          <w:szCs w:val="22"/>
        </w:rPr>
      </w:pPr>
    </w:p>
    <w:p w14:paraId="10ED612E" w14:textId="400403BE" w:rsidR="00B21264" w:rsidRPr="00C611C5" w:rsidRDefault="00B21264" w:rsidP="001D56B5">
      <w:pPr>
        <w:rPr>
          <w:rFonts w:ascii="Times New Roman" w:hAnsi="Times New Roman"/>
          <w:sz w:val="22"/>
          <w:szCs w:val="22"/>
          <w:u w:val="single"/>
        </w:rPr>
      </w:pPr>
      <w:r>
        <w:rPr>
          <w:rFonts w:ascii="Times New Roman" w:hAnsi="Times New Roman"/>
          <w:sz w:val="22"/>
          <w:u w:val="single"/>
        </w:rPr>
        <w:t>Óvintézkedés a készítménnyel való munka vagy annak beadása előtt</w:t>
      </w:r>
    </w:p>
    <w:p w14:paraId="00754808" w14:textId="7D11882D" w:rsidR="001D56B5" w:rsidRDefault="001D56B5" w:rsidP="001D56B5">
      <w:pPr>
        <w:rPr>
          <w:rFonts w:ascii="Times New Roman" w:hAnsi="Times New Roman"/>
          <w:sz w:val="22"/>
          <w:szCs w:val="22"/>
        </w:rPr>
      </w:pPr>
      <w:r>
        <w:rPr>
          <w:rFonts w:ascii="Times New Roman" w:hAnsi="Times New Roman"/>
          <w:sz w:val="22"/>
        </w:rPr>
        <w:t>A készítményt kezelő személy viseljen védőkesztyűt. Óvatosan kell eljárni, nehogy az anyag a szembe fröccsenjen. Az anyaggal nem dolgozhat terhes vagy szoptató nő.</w:t>
      </w:r>
    </w:p>
    <w:p w14:paraId="0D9A2DDB" w14:textId="77777777" w:rsidR="00843813" w:rsidRDefault="00843813" w:rsidP="001D56B5">
      <w:pPr>
        <w:rPr>
          <w:rFonts w:ascii="Times New Roman" w:hAnsi="Times New Roman"/>
          <w:sz w:val="22"/>
          <w:szCs w:val="22"/>
        </w:rPr>
      </w:pPr>
    </w:p>
    <w:p w14:paraId="234A9FB0" w14:textId="77777777" w:rsidR="0056012A" w:rsidRPr="00216EDA" w:rsidRDefault="0056012A" w:rsidP="0056012A">
      <w:pPr>
        <w:rPr>
          <w:rFonts w:ascii="Times New Roman" w:hAnsi="Times New Roman"/>
          <w:sz w:val="22"/>
          <w:szCs w:val="22"/>
          <w:u w:val="single"/>
        </w:rPr>
      </w:pPr>
      <w:r>
        <w:rPr>
          <w:rFonts w:ascii="Times New Roman" w:hAnsi="Times New Roman"/>
          <w:sz w:val="22"/>
          <w:u w:val="single"/>
        </w:rPr>
        <w:t xml:space="preserve">Intravénás alkalmazás </w:t>
      </w:r>
    </w:p>
    <w:p w14:paraId="750F9B97" w14:textId="77777777" w:rsidR="0056012A" w:rsidRDefault="0056012A" w:rsidP="001D56B5">
      <w:pPr>
        <w:rPr>
          <w:rFonts w:ascii="Times New Roman" w:hAnsi="Times New Roman"/>
          <w:sz w:val="22"/>
          <w:szCs w:val="22"/>
        </w:rPr>
      </w:pPr>
    </w:p>
    <w:p w14:paraId="6EDDECA5" w14:textId="43A0C961" w:rsidR="00843813" w:rsidRPr="00C611C5" w:rsidRDefault="00843813" w:rsidP="001D56B5">
      <w:pPr>
        <w:rPr>
          <w:rFonts w:ascii="Times New Roman" w:hAnsi="Times New Roman"/>
          <w:sz w:val="22"/>
          <w:szCs w:val="22"/>
        </w:rPr>
      </w:pPr>
      <w:r>
        <w:rPr>
          <w:rFonts w:ascii="Times New Roman" w:hAnsi="Times New Roman"/>
          <w:sz w:val="22"/>
        </w:rPr>
        <w:t>A Cyclophosphamide Accord feloldásához választandó oldószer a tervezett alkalmazási módtól függ.</w:t>
      </w:r>
    </w:p>
    <w:p w14:paraId="6E817A8A" w14:textId="77777777" w:rsidR="001D56B5" w:rsidRPr="00C611C5" w:rsidRDefault="001D56B5" w:rsidP="001D56B5">
      <w:pPr>
        <w:rPr>
          <w:rFonts w:ascii="Times New Roman" w:hAnsi="Times New Roman"/>
          <w:sz w:val="22"/>
          <w:szCs w:val="22"/>
        </w:rPr>
      </w:pPr>
    </w:p>
    <w:p w14:paraId="7675DD1E" w14:textId="77777777" w:rsidR="002B2EF7" w:rsidRPr="00C611C5" w:rsidRDefault="002B2EF7" w:rsidP="004B5DA3">
      <w:pPr>
        <w:rPr>
          <w:rFonts w:ascii="Times New Roman" w:hAnsi="Times New Roman"/>
          <w:i/>
          <w:color w:val="auto"/>
          <w:sz w:val="22"/>
          <w:szCs w:val="22"/>
        </w:rPr>
      </w:pPr>
      <w:r>
        <w:rPr>
          <w:rFonts w:ascii="Times New Roman" w:hAnsi="Times New Roman"/>
          <w:i/>
          <w:color w:val="auto"/>
          <w:sz w:val="22"/>
        </w:rPr>
        <w:t>Infúzió:</w:t>
      </w:r>
    </w:p>
    <w:p w14:paraId="4BC238F3" w14:textId="77777777" w:rsidR="0056012A" w:rsidRDefault="0056012A" w:rsidP="0056012A">
      <w:pPr>
        <w:rPr>
          <w:rFonts w:ascii="Times New Roman" w:hAnsi="Times New Roman"/>
          <w:sz w:val="22"/>
          <w:szCs w:val="22"/>
        </w:rPr>
      </w:pPr>
      <w:r>
        <w:rPr>
          <w:rFonts w:ascii="Times New Roman" w:hAnsi="Times New Roman"/>
          <w:sz w:val="22"/>
        </w:rPr>
        <w:t>Az intravénás alkalmazás lehetőleg infúzió formájában történjen.</w:t>
      </w:r>
    </w:p>
    <w:p w14:paraId="135691C5" w14:textId="0EAAE872" w:rsidR="00804CD4" w:rsidRDefault="00804CD4" w:rsidP="004B5DA3">
      <w:pPr>
        <w:rPr>
          <w:rFonts w:ascii="Times New Roman" w:hAnsi="Times New Roman"/>
          <w:color w:val="auto"/>
          <w:sz w:val="22"/>
          <w:szCs w:val="22"/>
        </w:rPr>
      </w:pPr>
      <w:r>
        <w:rPr>
          <w:rFonts w:ascii="Times New Roman" w:hAnsi="Times New Roman"/>
          <w:color w:val="auto"/>
          <w:sz w:val="22"/>
        </w:rPr>
        <w:t>Ha az oldatot iv. infúzióban alkalmazzák, akkor a Cyclophosphamide Accord</w:t>
      </w:r>
      <w:r w:rsidR="002B5618">
        <w:rPr>
          <w:rFonts w:ascii="Times New Roman" w:hAnsi="Times New Roman"/>
          <w:color w:val="auto"/>
          <w:sz w:val="22"/>
        </w:rPr>
        <w:t>-</w:t>
      </w:r>
      <w:r>
        <w:rPr>
          <w:rFonts w:ascii="Times New Roman" w:hAnsi="Times New Roman"/>
          <w:color w:val="auto"/>
          <w:sz w:val="22"/>
        </w:rPr>
        <w:t xml:space="preserve">ot steril, injekcióhoz való vízzel vagy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steril nátrium-klorid oldattal kell feloldani.</w:t>
      </w:r>
    </w:p>
    <w:p w14:paraId="15974E15" w14:textId="77777777" w:rsidR="0006155A" w:rsidRDefault="0006155A" w:rsidP="004B5DA3">
      <w:pPr>
        <w:rPr>
          <w:rFonts w:ascii="Times New Roman" w:hAnsi="Times New Roman"/>
          <w:color w:val="auto"/>
          <w:sz w:val="22"/>
          <w:szCs w:val="22"/>
          <w:lang w:val="en-GB"/>
        </w:rPr>
      </w:pPr>
    </w:p>
    <w:p w14:paraId="689B280F" w14:textId="4AB624BC" w:rsidR="0006155A" w:rsidRPr="00F80A0B" w:rsidRDefault="0006155A" w:rsidP="004B5DA3">
      <w:pPr>
        <w:rPr>
          <w:rFonts w:ascii="Times New Roman" w:hAnsi="Times New Roman"/>
          <w:color w:val="auto"/>
          <w:sz w:val="22"/>
          <w:szCs w:val="22"/>
        </w:rPr>
      </w:pPr>
      <w:r>
        <w:rPr>
          <w:rFonts w:ascii="Times New Roman" w:hAnsi="Times New Roman"/>
          <w:color w:val="auto"/>
          <w:sz w:val="22"/>
        </w:rPr>
        <w:t>A feloldott Cyclophosphamid Accord</w:t>
      </w:r>
      <w:r w:rsidR="002B5618">
        <w:rPr>
          <w:rFonts w:ascii="Times New Roman" w:hAnsi="Times New Roman"/>
          <w:color w:val="auto"/>
          <w:sz w:val="22"/>
        </w:rPr>
        <w:t>-</w:t>
      </w:r>
      <w:r>
        <w:rPr>
          <w:rFonts w:ascii="Times New Roman" w:hAnsi="Times New Roman"/>
          <w:color w:val="auto"/>
          <w:sz w:val="22"/>
        </w:rPr>
        <w:t xml:space="preserve">ot az infúzió beadása előtt tovább kell hígítani </w:t>
      </w:r>
      <w:r w:rsidR="00841D6B">
        <w:rPr>
          <w:rFonts w:ascii="Times New Roman" w:hAnsi="Times New Roman"/>
          <w:color w:val="auto"/>
          <w:sz w:val="22"/>
        </w:rPr>
        <w:t>50 mg/ml-es (</w:t>
      </w:r>
      <w:r>
        <w:rPr>
          <w:rFonts w:ascii="Times New Roman" w:hAnsi="Times New Roman"/>
          <w:color w:val="auto"/>
          <w:sz w:val="22"/>
        </w:rPr>
        <w:t>5%-os</w:t>
      </w:r>
      <w:r w:rsidR="00841D6B">
        <w:rPr>
          <w:rFonts w:ascii="Times New Roman" w:hAnsi="Times New Roman"/>
          <w:color w:val="auto"/>
          <w:sz w:val="22"/>
        </w:rPr>
        <w:t>)</w:t>
      </w:r>
      <w:r>
        <w:rPr>
          <w:rFonts w:ascii="Times New Roman" w:hAnsi="Times New Roman"/>
          <w:color w:val="auto"/>
          <w:sz w:val="22"/>
        </w:rPr>
        <w:t xml:space="preserve"> dextróz vagy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xml:space="preserve"> nátrium-klorid oldattal.</w:t>
      </w:r>
    </w:p>
    <w:p w14:paraId="1126FDD4" w14:textId="77777777" w:rsidR="00804CD4" w:rsidRPr="00F80A0B" w:rsidRDefault="00804CD4" w:rsidP="004B5DA3">
      <w:pPr>
        <w:rPr>
          <w:rFonts w:ascii="Times New Roman" w:hAnsi="Times New Roman"/>
          <w:color w:val="auto"/>
          <w:sz w:val="22"/>
          <w:szCs w:val="22"/>
          <w:lang w:val="en-GB"/>
        </w:rPr>
      </w:pPr>
    </w:p>
    <w:p w14:paraId="00CAE110" w14:textId="0228DE03" w:rsidR="00F80A0B" w:rsidRPr="00F80A0B" w:rsidRDefault="00F80A0B" w:rsidP="004B5DA3">
      <w:pPr>
        <w:rPr>
          <w:rFonts w:ascii="Times New Roman" w:hAnsi="Times New Roman"/>
          <w:color w:val="auto"/>
          <w:sz w:val="22"/>
          <w:szCs w:val="22"/>
          <w:highlight w:val="yellow"/>
        </w:rPr>
      </w:pPr>
      <w:r>
        <w:rPr>
          <w:rFonts w:ascii="Times New Roman" w:hAnsi="Times New Roman"/>
          <w:i/>
          <w:sz w:val="22"/>
        </w:rPr>
        <w:t>Közvetlen injekció:</w:t>
      </w:r>
    </w:p>
    <w:p w14:paraId="73C3D44F" w14:textId="24A2A7DF" w:rsidR="00F80A0B" w:rsidRPr="00F80A0B" w:rsidRDefault="00F80A0B" w:rsidP="00F80A0B">
      <w:pPr>
        <w:rPr>
          <w:rFonts w:ascii="Times New Roman" w:hAnsi="Times New Roman"/>
          <w:color w:val="auto"/>
          <w:sz w:val="22"/>
          <w:szCs w:val="22"/>
        </w:rPr>
      </w:pPr>
      <w:r>
        <w:rPr>
          <w:rFonts w:ascii="Times New Roman" w:hAnsi="Times New Roman"/>
          <w:color w:val="auto"/>
          <w:sz w:val="22"/>
        </w:rPr>
        <w:t>Ha az oldatot közvetlen injekcióként alkalmazzák, akkor a Cyclophosphamide Accord</w:t>
      </w:r>
      <w:r w:rsidR="002B5618">
        <w:rPr>
          <w:rFonts w:ascii="Times New Roman" w:hAnsi="Times New Roman"/>
          <w:color w:val="auto"/>
          <w:sz w:val="22"/>
        </w:rPr>
        <w:t>-</w:t>
      </w:r>
      <w:r>
        <w:rPr>
          <w:rFonts w:ascii="Times New Roman" w:hAnsi="Times New Roman"/>
          <w:color w:val="auto"/>
          <w:sz w:val="22"/>
        </w:rPr>
        <w:t xml:space="preserve">ot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xml:space="preserve">, steril nátrium-klorid oldattal kell feloldani. Kérjük, vegye figyelembe, hogy bolus injekcióként kizárólag a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xml:space="preserve"> steril nátrium-klorid oldatban feloldott Cyclophosphamide Accord alkalmazható.</w:t>
      </w:r>
    </w:p>
    <w:p w14:paraId="2B2CBF40" w14:textId="77777777" w:rsidR="00F80A0B" w:rsidRPr="00F80A0B" w:rsidRDefault="00F80A0B" w:rsidP="00F80A0B">
      <w:pPr>
        <w:rPr>
          <w:rFonts w:ascii="Times New Roman" w:hAnsi="Times New Roman"/>
          <w:color w:val="auto"/>
          <w:sz w:val="22"/>
          <w:szCs w:val="22"/>
          <w:lang w:val="en-GB"/>
        </w:rPr>
      </w:pPr>
    </w:p>
    <w:p w14:paraId="3AB4DD13" w14:textId="65547E30" w:rsidR="00F80A0B" w:rsidRDefault="00F80A0B" w:rsidP="00F80A0B">
      <w:pPr>
        <w:rPr>
          <w:rFonts w:ascii="Times New Roman" w:hAnsi="Times New Roman"/>
          <w:b/>
          <w:color w:val="auto"/>
          <w:sz w:val="22"/>
        </w:rPr>
      </w:pPr>
      <w:r>
        <w:rPr>
          <w:rFonts w:ascii="Times New Roman" w:hAnsi="Times New Roman"/>
          <w:b/>
          <w:color w:val="auto"/>
          <w:sz w:val="22"/>
        </w:rPr>
        <w:t>A vízben oldott Cyclophosphamide Accord hipotóniás, így nem adható be közvetlen injekció formájában.</w:t>
      </w:r>
    </w:p>
    <w:p w14:paraId="7579E6EE" w14:textId="77777777" w:rsidR="002B5618" w:rsidRPr="00C611C5" w:rsidRDefault="002B5618" w:rsidP="00F80A0B">
      <w:pPr>
        <w:rPr>
          <w:rFonts w:ascii="Times New Roman" w:hAnsi="Times New Roman"/>
          <w:b/>
          <w:color w:val="auto"/>
          <w:sz w:val="22"/>
          <w:szCs w:val="22"/>
        </w:rPr>
      </w:pPr>
    </w:p>
    <w:p w14:paraId="08CE1868" w14:textId="72D0DD79" w:rsidR="00804CD4" w:rsidRPr="00F80A0B" w:rsidRDefault="00F80A0B" w:rsidP="00F80A0B">
      <w:pPr>
        <w:rPr>
          <w:rFonts w:ascii="Times New Roman" w:hAnsi="Times New Roman"/>
          <w:color w:val="auto"/>
          <w:sz w:val="22"/>
          <w:szCs w:val="22"/>
          <w:highlight w:val="yellow"/>
        </w:rPr>
      </w:pPr>
      <w:r>
        <w:rPr>
          <w:rFonts w:ascii="Times New Roman" w:hAnsi="Times New Roman"/>
          <w:color w:val="auto"/>
          <w:sz w:val="22"/>
        </w:rPr>
        <w:t>A feloldásra és hígításra vonatkozó részletes útmutatót lásd a 6.6 pontban.</w:t>
      </w:r>
    </w:p>
    <w:p w14:paraId="658B103E" w14:textId="77777777" w:rsidR="00804CD4" w:rsidRPr="00F80A0B" w:rsidRDefault="00804CD4" w:rsidP="004B5DA3">
      <w:pPr>
        <w:rPr>
          <w:rFonts w:ascii="Times New Roman" w:hAnsi="Times New Roman"/>
          <w:color w:val="auto"/>
          <w:sz w:val="22"/>
          <w:szCs w:val="22"/>
          <w:highlight w:val="yellow"/>
          <w:lang w:val="en-GB"/>
        </w:rPr>
      </w:pPr>
    </w:p>
    <w:p w14:paraId="11D9FAEF" w14:textId="77777777" w:rsidR="0063355F" w:rsidRDefault="0063355F" w:rsidP="0063355F">
      <w:pPr>
        <w:rPr>
          <w:rFonts w:ascii="Times New Roman" w:hAnsi="Times New Roman"/>
          <w:sz w:val="22"/>
          <w:szCs w:val="22"/>
        </w:rPr>
      </w:pPr>
      <w:r>
        <w:rPr>
          <w:rFonts w:ascii="Times New Roman" w:hAnsi="Times New Roman"/>
          <w:sz w:val="22"/>
        </w:rPr>
        <w:t>A láthatólag a beadás sebességétől függően fellépő mellékhatások (például arcduzzanat, fejfájás, orrdugulás, a fejbőr égő érzése) előfordulásának csökkentése érdekében a ciklofoszfamid-injekciót vagy -infúziót nagyon lassan kell beadni. Az infúzióbeadás (30-120 perc közötti) időtartamának meghatározásakor figyelembe kell venni az infundálandó vivőfolyadék mennyiségét és típusát.</w:t>
      </w:r>
    </w:p>
    <w:p w14:paraId="727C61E9" w14:textId="77777777" w:rsidR="0063355F" w:rsidRPr="00654369" w:rsidRDefault="0063355F" w:rsidP="0063355F">
      <w:pPr>
        <w:rPr>
          <w:rFonts w:ascii="Times New Roman" w:hAnsi="Times New Roman"/>
          <w:sz w:val="22"/>
          <w:szCs w:val="22"/>
        </w:rPr>
      </w:pPr>
    </w:p>
    <w:p w14:paraId="28C5259A" w14:textId="77777777" w:rsidR="0063355F" w:rsidRDefault="0063355F" w:rsidP="0063355F">
      <w:pPr>
        <w:rPr>
          <w:rFonts w:ascii="Times New Roman" w:hAnsi="Times New Roman"/>
          <w:sz w:val="22"/>
          <w:szCs w:val="22"/>
        </w:rPr>
      </w:pPr>
      <w:r>
        <w:rPr>
          <w:rFonts w:ascii="Times New Roman" w:hAnsi="Times New Roman"/>
          <w:sz w:val="22"/>
        </w:rPr>
        <w:t>Intravénás alkalmazás előtt a port teljesen fel kell oldani.</w:t>
      </w:r>
    </w:p>
    <w:p w14:paraId="2E404576" w14:textId="77777777" w:rsidR="0063355F" w:rsidRPr="00654369" w:rsidRDefault="0063355F" w:rsidP="0063355F">
      <w:pPr>
        <w:rPr>
          <w:rFonts w:ascii="Times New Roman" w:hAnsi="Times New Roman"/>
          <w:sz w:val="22"/>
          <w:szCs w:val="22"/>
        </w:rPr>
      </w:pPr>
    </w:p>
    <w:p w14:paraId="72B58267" w14:textId="77777777" w:rsidR="0063355F" w:rsidRDefault="0063355F" w:rsidP="0063355F">
      <w:pPr>
        <w:rPr>
          <w:rFonts w:ascii="Times New Roman" w:hAnsi="Times New Roman"/>
          <w:sz w:val="22"/>
          <w:szCs w:val="22"/>
        </w:rPr>
      </w:pPr>
      <w:r>
        <w:rPr>
          <w:rFonts w:ascii="Times New Roman" w:hAnsi="Times New Roman"/>
          <w:sz w:val="22"/>
        </w:rPr>
        <w:t>Amennyiben az oldat és a tartály jellege lehetővé teszi, az intravénásan alkalmazandó készítmények esetében beadás előtt vizuálisan ellenőrizni kell, hogy az oldat nem tartalmaz-e lebegő részecskéket vagy nem színeződött-e el.</w:t>
      </w:r>
    </w:p>
    <w:p w14:paraId="5DAFCE99" w14:textId="77777777" w:rsidR="00654369" w:rsidRDefault="00654369" w:rsidP="004B5DA3">
      <w:pPr>
        <w:rPr>
          <w:rFonts w:ascii="Times New Roman" w:hAnsi="Times New Roman"/>
          <w:sz w:val="22"/>
          <w:szCs w:val="22"/>
        </w:rPr>
      </w:pPr>
    </w:p>
    <w:p w14:paraId="57CF1A2D" w14:textId="77777777" w:rsidR="00C42656" w:rsidRPr="001916DA" w:rsidRDefault="00C42656" w:rsidP="0046151C">
      <w:pPr>
        <w:rPr>
          <w:rFonts w:ascii="Times New Roman" w:hAnsi="Times New Roman"/>
          <w:color w:val="auto"/>
          <w:sz w:val="22"/>
          <w:szCs w:val="22"/>
          <w:lang w:val="en-GB"/>
        </w:rPr>
      </w:pPr>
    </w:p>
    <w:p w14:paraId="3F2C0ED5" w14:textId="77777777" w:rsidR="0037295D" w:rsidRPr="001916DA" w:rsidRDefault="00AE5DF9" w:rsidP="004E19C6">
      <w:pPr>
        <w:tabs>
          <w:tab w:val="left" w:pos="540"/>
        </w:tabs>
        <w:rPr>
          <w:rFonts w:ascii="Times New Roman" w:hAnsi="Times New Roman"/>
          <w:color w:val="auto"/>
          <w:sz w:val="22"/>
          <w:szCs w:val="22"/>
        </w:rPr>
      </w:pPr>
      <w:r>
        <w:rPr>
          <w:rFonts w:ascii="Times New Roman" w:hAnsi="Times New Roman"/>
          <w:b/>
          <w:color w:val="auto"/>
          <w:sz w:val="22"/>
        </w:rPr>
        <w:t>4.3</w:t>
      </w:r>
      <w:r>
        <w:rPr>
          <w:rFonts w:ascii="Times New Roman" w:hAnsi="Times New Roman"/>
          <w:b/>
          <w:color w:val="auto"/>
          <w:sz w:val="22"/>
        </w:rPr>
        <w:tab/>
      </w:r>
      <w:r>
        <w:rPr>
          <w:rFonts w:ascii="Times New Roman" w:hAnsi="Times New Roman"/>
          <w:b/>
          <w:sz w:val="22"/>
          <w:shd w:val="clear" w:color="auto" w:fill="FFFFFF"/>
        </w:rPr>
        <w:t>Ellenjavallatok</w:t>
      </w:r>
    </w:p>
    <w:p w14:paraId="1841DD18" w14:textId="77777777" w:rsidR="0037295D" w:rsidRPr="001916DA" w:rsidRDefault="0037295D" w:rsidP="004E19C6">
      <w:pPr>
        <w:rPr>
          <w:rFonts w:ascii="Times New Roman" w:hAnsi="Times New Roman"/>
          <w:color w:val="auto"/>
          <w:sz w:val="22"/>
          <w:szCs w:val="22"/>
          <w:lang w:val="en-GB"/>
        </w:rPr>
      </w:pPr>
    </w:p>
    <w:p w14:paraId="31CBA1C9" w14:textId="7BD3CF8C" w:rsidR="0037295D" w:rsidRPr="001916DA" w:rsidRDefault="00A02957" w:rsidP="004E19C6">
      <w:pPr>
        <w:rPr>
          <w:rFonts w:ascii="Times New Roman" w:hAnsi="Times New Roman"/>
          <w:color w:val="auto"/>
          <w:sz w:val="22"/>
          <w:szCs w:val="22"/>
        </w:rPr>
      </w:pPr>
      <w:r>
        <w:rPr>
          <w:rFonts w:ascii="Times New Roman" w:hAnsi="Times New Roman"/>
          <w:color w:val="auto"/>
          <w:sz w:val="22"/>
        </w:rPr>
        <w:t>A Cyclophosphamide Accord</w:t>
      </w:r>
      <w:r>
        <w:rPr>
          <w:rFonts w:ascii="Times New Roman" w:hAnsi="Times New Roman"/>
          <w:b/>
          <w:color w:val="auto"/>
          <w:sz w:val="22"/>
        </w:rPr>
        <w:t xml:space="preserve"> </w:t>
      </w:r>
      <w:r w:rsidR="000B5A46">
        <w:rPr>
          <w:rFonts w:ascii="Times New Roman" w:hAnsi="Times New Roman"/>
          <w:color w:val="auto"/>
          <w:sz w:val="22"/>
        </w:rPr>
        <w:t>ellenjavallt</w:t>
      </w:r>
      <w:r>
        <w:rPr>
          <w:rFonts w:ascii="Times New Roman" w:hAnsi="Times New Roman"/>
          <w:color w:val="auto"/>
          <w:sz w:val="22"/>
        </w:rPr>
        <w:t xml:space="preserve"> azokn</w:t>
      </w:r>
      <w:r w:rsidR="000B5A46">
        <w:rPr>
          <w:rFonts w:ascii="Times New Roman" w:hAnsi="Times New Roman"/>
          <w:color w:val="auto"/>
          <w:sz w:val="22"/>
        </w:rPr>
        <w:t>ál</w:t>
      </w:r>
      <w:r>
        <w:rPr>
          <w:rFonts w:ascii="Times New Roman" w:hAnsi="Times New Roman"/>
          <w:color w:val="auto"/>
          <w:sz w:val="22"/>
        </w:rPr>
        <w:t xml:space="preserve"> a betegekn</w:t>
      </w:r>
      <w:r w:rsidR="000B5A46">
        <w:rPr>
          <w:rFonts w:ascii="Times New Roman" w:hAnsi="Times New Roman"/>
          <w:color w:val="auto"/>
          <w:sz w:val="22"/>
        </w:rPr>
        <w:t>él</w:t>
      </w:r>
      <w:r>
        <w:rPr>
          <w:rFonts w:ascii="Times New Roman" w:hAnsi="Times New Roman"/>
          <w:color w:val="auto"/>
          <w:sz w:val="22"/>
        </w:rPr>
        <w:t xml:space="preserve">, akiknél az alábbiak fennállnak: </w:t>
      </w:r>
    </w:p>
    <w:p w14:paraId="6C0A5B1B" w14:textId="77777777" w:rsidR="00A81DFC" w:rsidRPr="001916DA" w:rsidRDefault="00A81DFC" w:rsidP="004E19C6">
      <w:pPr>
        <w:rPr>
          <w:rFonts w:ascii="Times New Roman" w:hAnsi="Times New Roman"/>
          <w:color w:val="auto"/>
          <w:sz w:val="22"/>
          <w:szCs w:val="22"/>
          <w:lang w:val="en-GB"/>
        </w:rPr>
      </w:pPr>
    </w:p>
    <w:p w14:paraId="645618C3" w14:textId="77777777" w:rsidR="00A81DFC" w:rsidRPr="001916DA"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a ciklofoszfamiddal, annak metabolitjaival</w:t>
      </w:r>
      <w:r>
        <w:rPr>
          <w:rFonts w:ascii="Times New Roman" w:hAnsi="Times New Roman"/>
          <w:color w:val="auto"/>
          <w:sz w:val="22"/>
        </w:rPr>
        <w:t xml:space="preserve"> vagy a készítmény 6.1 pontban felsorolt bármely segédanyagával szembeni túlérzékenység;</w:t>
      </w:r>
    </w:p>
    <w:p w14:paraId="5600D7B7" w14:textId="77777777" w:rsidR="00A81DFC" w:rsidRPr="001916DA"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akut fertőzések</w:t>
      </w:r>
      <w:r>
        <w:rPr>
          <w:rFonts w:ascii="Times New Roman" w:hAnsi="Times New Roman"/>
          <w:color w:val="auto"/>
          <w:sz w:val="22"/>
        </w:rPr>
        <w:t>;</w:t>
      </w:r>
    </w:p>
    <w:p w14:paraId="79607060" w14:textId="3D931779" w:rsidR="00A81DFC" w:rsidRPr="001916DA"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csontvelő-aplasia vagy csontvelőfunkció-csökkenés a kezelés előtt</w:t>
      </w:r>
      <w:r>
        <w:rPr>
          <w:rFonts w:ascii="Times New Roman" w:hAnsi="Times New Roman"/>
          <w:color w:val="auto"/>
          <w:sz w:val="22"/>
        </w:rPr>
        <w:t xml:space="preserve">; </w:t>
      </w:r>
    </w:p>
    <w:p w14:paraId="03C41E78" w14:textId="77777777" w:rsidR="00A81DFC" w:rsidRPr="001916DA"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húgyúti fertőzés</w:t>
      </w:r>
      <w:r>
        <w:rPr>
          <w:rFonts w:ascii="Times New Roman" w:hAnsi="Times New Roman"/>
          <w:color w:val="auto"/>
          <w:sz w:val="22"/>
        </w:rPr>
        <w:t>;</w:t>
      </w:r>
    </w:p>
    <w:p w14:paraId="15D1A45C" w14:textId="77777777" w:rsidR="00A81DFC" w:rsidRPr="001916DA"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akut urothelialis toxicitás citotoxikus kemoterápia vagy sugárterápia nyomán</w:t>
      </w:r>
      <w:r>
        <w:rPr>
          <w:rFonts w:ascii="Times New Roman" w:hAnsi="Times New Roman"/>
          <w:color w:val="auto"/>
          <w:sz w:val="22"/>
        </w:rPr>
        <w:t xml:space="preserve">; </w:t>
      </w:r>
    </w:p>
    <w:p w14:paraId="269B0AD5" w14:textId="77777777" w:rsidR="00A81DFC" w:rsidRDefault="00205ADC" w:rsidP="004E19C6">
      <w:pPr>
        <w:numPr>
          <w:ilvl w:val="0"/>
          <w:numId w:val="10"/>
        </w:numPr>
        <w:ind w:firstLine="0"/>
        <w:rPr>
          <w:rFonts w:ascii="Times New Roman" w:hAnsi="Times New Roman"/>
          <w:color w:val="auto"/>
          <w:sz w:val="22"/>
          <w:szCs w:val="22"/>
        </w:rPr>
      </w:pPr>
      <w:r>
        <w:rPr>
          <w:rFonts w:ascii="Times New Roman" w:hAnsi="Times New Roman"/>
          <w:sz w:val="22"/>
          <w:shd w:val="clear" w:color="auto" w:fill="FFFFFF"/>
        </w:rPr>
        <w:t>húgyúti elzáródás</w:t>
      </w:r>
      <w:r>
        <w:rPr>
          <w:rFonts w:ascii="Times New Roman" w:hAnsi="Times New Roman"/>
          <w:color w:val="auto"/>
          <w:sz w:val="22"/>
        </w:rPr>
        <w:t>;</w:t>
      </w:r>
    </w:p>
    <w:p w14:paraId="035111E3" w14:textId="1927E434" w:rsidR="009D5198" w:rsidRPr="001916DA" w:rsidRDefault="009D5198" w:rsidP="004E19C6">
      <w:pPr>
        <w:numPr>
          <w:ilvl w:val="0"/>
          <w:numId w:val="10"/>
        </w:numPr>
        <w:ind w:firstLine="0"/>
        <w:rPr>
          <w:rFonts w:ascii="Times New Roman" w:hAnsi="Times New Roman"/>
          <w:color w:val="auto"/>
          <w:sz w:val="22"/>
          <w:szCs w:val="22"/>
        </w:rPr>
      </w:pPr>
      <w:r>
        <w:rPr>
          <w:rFonts w:ascii="Times New Roman" w:hAnsi="Times New Roman"/>
          <w:color w:val="auto"/>
          <w:sz w:val="22"/>
        </w:rPr>
        <w:t>szoptatás (lásd 4.6 pont).</w:t>
      </w:r>
    </w:p>
    <w:p w14:paraId="24FB43B4" w14:textId="77777777" w:rsidR="00AD0728" w:rsidRPr="001916DA" w:rsidRDefault="00AD0728" w:rsidP="004E19C6">
      <w:pPr>
        <w:rPr>
          <w:rFonts w:ascii="Times New Roman" w:hAnsi="Times New Roman"/>
          <w:color w:val="auto"/>
          <w:sz w:val="22"/>
          <w:szCs w:val="22"/>
          <w:lang w:val="en-GB"/>
        </w:rPr>
      </w:pPr>
    </w:p>
    <w:p w14:paraId="77BC0235" w14:textId="30EBFD78" w:rsidR="00C43911" w:rsidRPr="001916DA" w:rsidRDefault="00A02957" w:rsidP="0046151C">
      <w:pPr>
        <w:rPr>
          <w:rFonts w:ascii="Times New Roman" w:hAnsi="Times New Roman"/>
          <w:color w:val="auto"/>
          <w:sz w:val="22"/>
          <w:szCs w:val="22"/>
        </w:rPr>
      </w:pPr>
      <w:r>
        <w:rPr>
          <w:rFonts w:ascii="Times New Roman" w:hAnsi="Times New Roman"/>
          <w:color w:val="auto"/>
          <w:sz w:val="22"/>
        </w:rPr>
        <w:t>A Cyclophosphamide Accord</w:t>
      </w:r>
      <w:r>
        <w:rPr>
          <w:rFonts w:ascii="Times New Roman" w:hAnsi="Times New Roman"/>
          <w:b/>
          <w:color w:val="auto"/>
          <w:sz w:val="22"/>
        </w:rPr>
        <w:t xml:space="preserve"> </w:t>
      </w:r>
      <w:r>
        <w:rPr>
          <w:rFonts w:ascii="Times New Roman" w:hAnsi="Times New Roman"/>
          <w:sz w:val="22"/>
          <w:shd w:val="clear" w:color="auto" w:fill="FFFFFF"/>
        </w:rPr>
        <w:t>nem használható nem malignus betegség kezelésére, kivéve az immunszuppressziót életveszélyes helyzetekben.</w:t>
      </w:r>
    </w:p>
    <w:p w14:paraId="0F957F96" w14:textId="77777777" w:rsidR="00AD0728" w:rsidRPr="001916DA" w:rsidRDefault="00AD0728" w:rsidP="004E19C6">
      <w:pPr>
        <w:rPr>
          <w:rFonts w:ascii="Times New Roman" w:hAnsi="Times New Roman"/>
          <w:color w:val="auto"/>
          <w:sz w:val="22"/>
          <w:szCs w:val="22"/>
          <w:lang w:val="en-GB"/>
        </w:rPr>
      </w:pPr>
    </w:p>
    <w:p w14:paraId="754C5682" w14:textId="77777777" w:rsidR="0037295D" w:rsidRPr="001916DA" w:rsidRDefault="00EF26CE" w:rsidP="004E19C6">
      <w:pPr>
        <w:tabs>
          <w:tab w:val="left" w:pos="540"/>
        </w:tabs>
        <w:rPr>
          <w:rFonts w:ascii="Times New Roman" w:hAnsi="Times New Roman"/>
          <w:color w:val="auto"/>
          <w:sz w:val="22"/>
          <w:szCs w:val="22"/>
        </w:rPr>
      </w:pPr>
      <w:r>
        <w:rPr>
          <w:rFonts w:ascii="Times New Roman" w:hAnsi="Times New Roman"/>
          <w:b/>
          <w:color w:val="auto"/>
          <w:sz w:val="22"/>
        </w:rPr>
        <w:t>4.4</w:t>
      </w:r>
      <w:r>
        <w:rPr>
          <w:rFonts w:ascii="Times New Roman" w:hAnsi="Times New Roman"/>
          <w:b/>
          <w:color w:val="auto"/>
          <w:sz w:val="22"/>
        </w:rPr>
        <w:tab/>
      </w:r>
      <w:r>
        <w:rPr>
          <w:rFonts w:ascii="Times New Roman" w:hAnsi="Times New Roman"/>
          <w:b/>
          <w:sz w:val="22"/>
          <w:shd w:val="clear" w:color="auto" w:fill="FFFFFF"/>
        </w:rPr>
        <w:t>Különleges figyelmeztetések és az alkalmazással kapcsolatos óvintézkedések</w:t>
      </w:r>
    </w:p>
    <w:p w14:paraId="0C9FC233" w14:textId="77777777" w:rsidR="0037295D" w:rsidRPr="001916DA" w:rsidRDefault="0037295D" w:rsidP="004E19C6">
      <w:pPr>
        <w:rPr>
          <w:rFonts w:ascii="Times New Roman" w:hAnsi="Times New Roman"/>
          <w:color w:val="auto"/>
          <w:sz w:val="22"/>
          <w:szCs w:val="22"/>
          <w:lang w:val="en-GB"/>
        </w:rPr>
      </w:pPr>
    </w:p>
    <w:p w14:paraId="2E2FF4E5" w14:textId="77777777" w:rsidR="00C46C01" w:rsidRDefault="00C46C01" w:rsidP="005E3CA1">
      <w:pPr>
        <w:rPr>
          <w:rFonts w:ascii="Times New Roman" w:hAnsi="Times New Roman"/>
          <w:b/>
          <w:color w:val="auto"/>
          <w:sz w:val="22"/>
          <w:szCs w:val="22"/>
        </w:rPr>
      </w:pPr>
      <w:r>
        <w:rPr>
          <w:rFonts w:ascii="Times New Roman" w:hAnsi="Times New Roman"/>
          <w:b/>
          <w:color w:val="auto"/>
          <w:sz w:val="22"/>
        </w:rPr>
        <w:t>FIGYELMEZTETÉSEK</w:t>
      </w:r>
    </w:p>
    <w:p w14:paraId="317741ED" w14:textId="77777777" w:rsidR="00C46C01" w:rsidRPr="00C611C5" w:rsidRDefault="00C46C01" w:rsidP="005E3CA1">
      <w:pPr>
        <w:rPr>
          <w:rFonts w:ascii="Times New Roman" w:hAnsi="Times New Roman"/>
          <w:b/>
          <w:color w:val="auto"/>
          <w:sz w:val="22"/>
          <w:szCs w:val="22"/>
          <w:lang w:val="en-GB"/>
        </w:rPr>
      </w:pPr>
    </w:p>
    <w:p w14:paraId="33F6EA5D" w14:textId="00A52BD3" w:rsidR="00D70B2B" w:rsidRPr="009E31E1" w:rsidRDefault="00A53727" w:rsidP="00D70B2B">
      <w:pPr>
        <w:rPr>
          <w:rFonts w:ascii="Times New Roman" w:hAnsi="Times New Roman"/>
          <w:color w:val="auto"/>
          <w:sz w:val="22"/>
          <w:szCs w:val="22"/>
        </w:rPr>
      </w:pPr>
      <w:r>
        <w:rPr>
          <w:rFonts w:ascii="Times New Roman" w:hAnsi="Times New Roman"/>
          <w:sz w:val="22"/>
          <w:u w:val="single"/>
          <w:shd w:val="clear" w:color="auto" w:fill="FFFFFF"/>
        </w:rPr>
        <w:t>Anafilaxiás reakciók, interakció egyéb alkiláló szerekkel</w:t>
      </w:r>
      <w:r>
        <w:rPr>
          <w:rFonts w:ascii="Times New Roman" w:hAnsi="Times New Roman"/>
          <w:color w:val="auto"/>
          <w:sz w:val="22"/>
          <w:u w:val="single"/>
        </w:rPr>
        <w:t>.</w:t>
      </w:r>
      <w:r>
        <w:rPr>
          <w:rFonts w:ascii="Times New Roman" w:hAnsi="Times New Roman"/>
          <w:color w:val="auto"/>
          <w:sz w:val="22"/>
        </w:rPr>
        <w:t xml:space="preserve"> A ciklofoszfamid-kezeléssel kapcsolatban beszámoltak anafilaxiás reakciók jelentkezéséről, amelyek egyes esetekben fatális kimenetelűek voltak. Lehetséges interakciót észleltek egyéb alkiláló szerekkel.</w:t>
      </w:r>
    </w:p>
    <w:p w14:paraId="1741D03F" w14:textId="77777777" w:rsidR="00A53727" w:rsidRDefault="00A53727" w:rsidP="005E3CA1">
      <w:pPr>
        <w:rPr>
          <w:rFonts w:ascii="Times New Roman" w:hAnsi="Times New Roman"/>
          <w:color w:val="auto"/>
          <w:sz w:val="22"/>
          <w:szCs w:val="22"/>
          <w:lang w:val="en-GB"/>
        </w:rPr>
      </w:pPr>
    </w:p>
    <w:p w14:paraId="5DB47279" w14:textId="77777777" w:rsidR="004045EE" w:rsidRPr="001916DA" w:rsidRDefault="006F7BC6" w:rsidP="004E19C6">
      <w:pPr>
        <w:rPr>
          <w:rFonts w:ascii="Times New Roman" w:hAnsi="Times New Roman"/>
          <w:color w:val="auto"/>
          <w:sz w:val="22"/>
          <w:szCs w:val="22"/>
          <w:u w:val="single"/>
        </w:rPr>
      </w:pPr>
      <w:r>
        <w:rPr>
          <w:rFonts w:ascii="Times New Roman" w:hAnsi="Times New Roman"/>
          <w:sz w:val="22"/>
          <w:u w:val="single"/>
          <w:shd w:val="clear" w:color="auto" w:fill="FFFFFF"/>
        </w:rPr>
        <w:t>Myelosuppressio, immunszuppresszió, fertőzések</w:t>
      </w:r>
    </w:p>
    <w:p w14:paraId="6CB75622" w14:textId="0495B4CA" w:rsidR="00676A5D" w:rsidRDefault="006F7BC6" w:rsidP="00C611C5">
      <w:pPr>
        <w:rPr>
          <w:rFonts w:ascii="Times New Roman" w:hAnsi="Times New Roman"/>
          <w:color w:val="auto"/>
          <w:sz w:val="22"/>
          <w:szCs w:val="22"/>
        </w:rPr>
      </w:pPr>
      <w:r>
        <w:rPr>
          <w:rFonts w:ascii="Times New Roman" w:hAnsi="Times New Roman"/>
          <w:sz w:val="22"/>
          <w:shd w:val="clear" w:color="auto" w:fill="FFFFFF"/>
        </w:rPr>
        <w:t xml:space="preserve">A </w:t>
      </w:r>
      <w:r>
        <w:rPr>
          <w:rFonts w:ascii="Times New Roman" w:hAnsi="Times New Roman"/>
          <w:color w:val="auto"/>
          <w:sz w:val="22"/>
        </w:rPr>
        <w:t>ciklofoszfamid-kezelés</w:t>
      </w:r>
      <w:r>
        <w:rPr>
          <w:rFonts w:ascii="Times New Roman" w:hAnsi="Times New Roman"/>
          <w:b/>
          <w:color w:val="auto"/>
          <w:sz w:val="22"/>
        </w:rPr>
        <w:t xml:space="preserve"> </w:t>
      </w:r>
      <w:r>
        <w:rPr>
          <w:rFonts w:ascii="Times New Roman" w:hAnsi="Times New Roman"/>
          <w:sz w:val="22"/>
          <w:shd w:val="clear" w:color="auto" w:fill="FFFFFF"/>
        </w:rPr>
        <w:t>myelosuppressiot okozhat (anaemiát, leukopeniát, neutropeniát és thrombocytopeniát)</w:t>
      </w:r>
      <w:r>
        <w:rPr>
          <w:rFonts w:ascii="Times New Roman" w:hAnsi="Times New Roman"/>
          <w:color w:val="auto"/>
          <w:sz w:val="22"/>
        </w:rPr>
        <w:t xml:space="preserve"> és </w:t>
      </w:r>
      <w:r>
        <w:rPr>
          <w:rFonts w:ascii="Times New Roman" w:hAnsi="Times New Roman"/>
          <w:sz w:val="22"/>
          <w:shd w:val="clear" w:color="auto" w:fill="FFFFFF"/>
        </w:rPr>
        <w:t>jelentős mértékben gyengítheti a szervezet immunreakcióit</w:t>
      </w:r>
      <w:r>
        <w:rPr>
          <w:rFonts w:ascii="Times New Roman" w:hAnsi="Times New Roman"/>
          <w:color w:val="auto"/>
          <w:sz w:val="22"/>
        </w:rPr>
        <w:t xml:space="preserve">, ami súlyos, egyes esetekben fatális kimenetelű fertőzések, sepsis és septicus shock fellépéséhez vezethet. </w:t>
      </w:r>
      <w:r>
        <w:rPr>
          <w:rFonts w:ascii="Times New Roman" w:hAnsi="Times New Roman"/>
          <w:sz w:val="22"/>
          <w:shd w:val="clear" w:color="auto" w:fill="FFFFFF"/>
        </w:rPr>
        <w:t xml:space="preserve">A </w:t>
      </w:r>
      <w:r>
        <w:rPr>
          <w:rFonts w:ascii="Times New Roman" w:hAnsi="Times New Roman"/>
          <w:color w:val="auto"/>
          <w:sz w:val="22"/>
        </w:rPr>
        <w:t>ciklofoszfamid</w:t>
      </w:r>
      <w:r>
        <w:rPr>
          <w:rFonts w:ascii="Times New Roman" w:hAnsi="Times New Roman"/>
          <w:b/>
          <w:color w:val="auto"/>
          <w:sz w:val="22"/>
        </w:rPr>
        <w:t xml:space="preserve"> </w:t>
      </w:r>
      <w:r>
        <w:rPr>
          <w:rFonts w:ascii="Times New Roman" w:hAnsi="Times New Roman"/>
          <w:sz w:val="22"/>
          <w:shd w:val="clear" w:color="auto" w:fill="FFFFFF"/>
        </w:rPr>
        <w:t>alkalmazása kapcsán fellépő infekciók között előfordultak pneumoniák, valamint egyéb, baktériumok, gombák, vírusok, protozoonok és paraziták által okozott fertőzések</w:t>
      </w:r>
      <w:r>
        <w:rPr>
          <w:rFonts w:ascii="Times New Roman" w:hAnsi="Times New Roman"/>
          <w:color w:val="auto"/>
          <w:sz w:val="22"/>
        </w:rPr>
        <w:t xml:space="preserve">. </w:t>
      </w:r>
    </w:p>
    <w:p w14:paraId="383E9FE5" w14:textId="77777777" w:rsidR="00453419" w:rsidRPr="001916DA" w:rsidRDefault="00453419" w:rsidP="00C611C5">
      <w:pPr>
        <w:rPr>
          <w:rFonts w:ascii="Times New Roman" w:hAnsi="Times New Roman"/>
          <w:color w:val="auto"/>
          <w:sz w:val="22"/>
          <w:szCs w:val="22"/>
          <w:lang w:val="en-GB"/>
        </w:rPr>
      </w:pPr>
    </w:p>
    <w:p w14:paraId="50703D4D" w14:textId="77777777" w:rsidR="0020245A" w:rsidRDefault="00D36816" w:rsidP="00C611C5">
      <w:pPr>
        <w:rPr>
          <w:rFonts w:ascii="Times New Roman" w:hAnsi="Times New Roman"/>
          <w:color w:val="auto"/>
          <w:sz w:val="22"/>
          <w:szCs w:val="22"/>
        </w:rPr>
      </w:pPr>
      <w:r>
        <w:rPr>
          <w:rFonts w:ascii="Times New Roman" w:hAnsi="Times New Roman"/>
          <w:sz w:val="22"/>
          <w:shd w:val="clear" w:color="auto" w:fill="FFFFFF"/>
        </w:rPr>
        <w:t>Látens fertőzések aktívvá válhatnak</w:t>
      </w:r>
      <w:r>
        <w:rPr>
          <w:rFonts w:ascii="Times New Roman" w:hAnsi="Times New Roman"/>
          <w:color w:val="auto"/>
          <w:sz w:val="22"/>
        </w:rPr>
        <w:t xml:space="preserve">. </w:t>
      </w:r>
      <w:r>
        <w:rPr>
          <w:rFonts w:ascii="Times New Roman" w:hAnsi="Times New Roman"/>
          <w:sz w:val="22"/>
          <w:shd w:val="clear" w:color="auto" w:fill="FFFFFF"/>
        </w:rPr>
        <w:t>Különféle bakteriális, gombás, virális, protozoonok és paraziták okozta infekciók reaktiválódásáról számoltak be</w:t>
      </w:r>
      <w:r>
        <w:rPr>
          <w:rFonts w:ascii="Times New Roman" w:hAnsi="Times New Roman"/>
          <w:color w:val="auto"/>
          <w:sz w:val="22"/>
        </w:rPr>
        <w:t xml:space="preserve">. </w:t>
      </w:r>
    </w:p>
    <w:p w14:paraId="5588D5AE" w14:textId="77777777" w:rsidR="00453419" w:rsidRPr="001916DA" w:rsidRDefault="00453419" w:rsidP="00C611C5">
      <w:pPr>
        <w:rPr>
          <w:rFonts w:ascii="Times New Roman" w:hAnsi="Times New Roman"/>
          <w:color w:val="auto"/>
          <w:sz w:val="22"/>
          <w:szCs w:val="22"/>
          <w:lang w:val="en-GB"/>
        </w:rPr>
      </w:pPr>
    </w:p>
    <w:p w14:paraId="3480F76D" w14:textId="7317A092" w:rsidR="00194588" w:rsidRDefault="0020245A" w:rsidP="00C611C5">
      <w:pPr>
        <w:rPr>
          <w:rFonts w:ascii="Times New Roman" w:hAnsi="Times New Roman"/>
          <w:color w:val="auto"/>
          <w:sz w:val="22"/>
          <w:szCs w:val="22"/>
        </w:rPr>
      </w:pPr>
      <w:r>
        <w:rPr>
          <w:rFonts w:ascii="Times New Roman" w:hAnsi="Times New Roman"/>
          <w:color w:val="auto"/>
          <w:sz w:val="22"/>
        </w:rPr>
        <w:t xml:space="preserve">A ciklofoszfamid-kezelés során fellépő fertőzéseket, a neutropeniás lázat beleértve, az előírt módon kell kezelni. </w:t>
      </w:r>
      <w:r>
        <w:rPr>
          <w:rFonts w:ascii="Times New Roman" w:hAnsi="Times New Roman"/>
          <w:sz w:val="22"/>
          <w:shd w:val="clear" w:color="auto" w:fill="FFFFFF"/>
        </w:rPr>
        <w:t>Neutropenia bizonyos eseteiben – a kezelőorvos egyéni elbírálása alapján – antimikrobiális profilaxis alkalmazható</w:t>
      </w:r>
      <w:r>
        <w:rPr>
          <w:rFonts w:ascii="Times New Roman" w:hAnsi="Times New Roman"/>
          <w:color w:val="auto"/>
          <w:sz w:val="22"/>
        </w:rPr>
        <w:t xml:space="preserve">. </w:t>
      </w:r>
      <w:r>
        <w:rPr>
          <w:rFonts w:ascii="Times New Roman" w:hAnsi="Times New Roman"/>
          <w:sz w:val="22"/>
          <w:shd w:val="clear" w:color="auto" w:fill="FFFFFF"/>
        </w:rPr>
        <w:t>Lázas neutropenia kialakulása esetén antibiotikum és/vagy antimikotikum alkalmazandó.</w:t>
      </w:r>
      <w:r>
        <w:rPr>
          <w:rFonts w:ascii="Times New Roman" w:hAnsi="Times New Roman"/>
          <w:color w:val="auto"/>
          <w:sz w:val="22"/>
        </w:rPr>
        <w:t xml:space="preserve"> </w:t>
      </w:r>
      <w:r>
        <w:rPr>
          <w:rFonts w:ascii="Times New Roman" w:hAnsi="Times New Roman"/>
          <w:sz w:val="22"/>
          <w:shd w:val="clear" w:color="auto" w:fill="FFFFFF"/>
        </w:rPr>
        <w:t xml:space="preserve">Elővigyázatosság szükséges, amikor a </w:t>
      </w:r>
      <w:r>
        <w:rPr>
          <w:rFonts w:ascii="Times New Roman" w:hAnsi="Times New Roman"/>
          <w:color w:val="auto"/>
          <w:sz w:val="22"/>
        </w:rPr>
        <w:t>ciklofoszfamid</w:t>
      </w:r>
      <w:r>
        <w:rPr>
          <w:rFonts w:ascii="Times New Roman" w:hAnsi="Times New Roman"/>
          <w:b/>
          <w:color w:val="auto"/>
          <w:sz w:val="22"/>
        </w:rPr>
        <w:t xml:space="preserve"> </w:t>
      </w:r>
      <w:r>
        <w:rPr>
          <w:rFonts w:ascii="Times New Roman" w:hAnsi="Times New Roman"/>
          <w:sz w:val="22"/>
          <w:shd w:val="clear" w:color="auto" w:fill="FFFFFF"/>
        </w:rPr>
        <w:t xml:space="preserve">egyidejű alkalmazásának hasznosságát mérlegelik súlyos </w:t>
      </w:r>
      <w:r>
        <w:rPr>
          <w:rFonts w:ascii="Times New Roman" w:hAnsi="Times New Roman"/>
          <w:i/>
          <w:sz w:val="22"/>
          <w:shd w:val="clear" w:color="auto" w:fill="FFFFFF"/>
        </w:rPr>
        <w:t>funkcionális csontvelő-károsodásban</w:t>
      </w:r>
      <w:r>
        <w:rPr>
          <w:rFonts w:ascii="Times New Roman" w:hAnsi="Times New Roman"/>
          <w:sz w:val="22"/>
          <w:shd w:val="clear" w:color="auto" w:fill="FFFFFF"/>
        </w:rPr>
        <w:t xml:space="preserve"> szenvedő vagy erősen immunszupprimált állapotú betegeknek</w:t>
      </w:r>
      <w:r>
        <w:rPr>
          <w:rFonts w:ascii="Times New Roman" w:hAnsi="Times New Roman"/>
          <w:color w:val="auto"/>
          <w:sz w:val="22"/>
        </w:rPr>
        <w:t>.</w:t>
      </w:r>
    </w:p>
    <w:p w14:paraId="71A78804" w14:textId="77777777" w:rsidR="00453419" w:rsidRPr="001916DA" w:rsidRDefault="00453419" w:rsidP="00C611C5">
      <w:pPr>
        <w:rPr>
          <w:rFonts w:ascii="Times New Roman" w:hAnsi="Times New Roman"/>
          <w:color w:val="auto"/>
          <w:sz w:val="22"/>
          <w:szCs w:val="22"/>
          <w:lang w:val="en-GB"/>
        </w:rPr>
      </w:pPr>
    </w:p>
    <w:p w14:paraId="211474D1" w14:textId="0B1C5014" w:rsidR="006731E4" w:rsidRDefault="00453419" w:rsidP="00453419">
      <w:pPr>
        <w:rPr>
          <w:rFonts w:ascii="Times New Roman" w:hAnsi="Times New Roman"/>
          <w:sz w:val="22"/>
          <w:szCs w:val="22"/>
          <w:shd w:val="clear" w:color="auto" w:fill="FFFFFF"/>
        </w:rPr>
      </w:pPr>
      <w:r>
        <w:rPr>
          <w:rFonts w:ascii="Times New Roman" w:hAnsi="Times New Roman"/>
          <w:sz w:val="22"/>
          <w:shd w:val="clear" w:color="auto" w:fill="FFFFFF"/>
        </w:rPr>
        <w:t>A kezelés alatt minden beteget szoros hematológiai monitorozás alatt kell tartani. A hematológiai paramétereket minden egyes beadás előtt és a kezelés alatt rendszeresen ellenőrizni kell. Gyakoribb monitorozásra lehet szükség, ha a leukocitaszám 3000 sejt/mikroliter (sejt/mm³) alá csökken. Myelosuppressio fellépése esetén dóziscsökkentés ajánlott (lásd 4.2 pont).</w:t>
      </w:r>
    </w:p>
    <w:p w14:paraId="11FD6754" w14:textId="77777777" w:rsidR="00FB5661" w:rsidRDefault="00FB5661" w:rsidP="00C611C5">
      <w:pPr>
        <w:rPr>
          <w:rFonts w:ascii="Times New Roman" w:hAnsi="Times New Roman"/>
          <w:sz w:val="22"/>
          <w:szCs w:val="22"/>
          <w:shd w:val="clear" w:color="auto" w:fill="FFFFFF"/>
          <w:lang w:val="en-GB"/>
        </w:rPr>
      </w:pPr>
    </w:p>
    <w:p w14:paraId="0CF31CA6" w14:textId="659ED32F" w:rsidR="00FB5661" w:rsidRDefault="00D36816" w:rsidP="00C611C5">
      <w:pPr>
        <w:rPr>
          <w:rFonts w:ascii="Times New Roman" w:hAnsi="Times New Roman"/>
          <w:color w:val="auto"/>
          <w:sz w:val="22"/>
          <w:szCs w:val="22"/>
        </w:rPr>
      </w:pPr>
      <w:r>
        <w:rPr>
          <w:rFonts w:ascii="Times New Roman" w:hAnsi="Times New Roman"/>
          <w:sz w:val="22"/>
          <w:shd w:val="clear" w:color="auto" w:fill="FFFFFF"/>
        </w:rPr>
        <w:t xml:space="preserve">Hacsak nem feltétlenül indokolt, a </w:t>
      </w:r>
      <w:r>
        <w:rPr>
          <w:rFonts w:ascii="Times New Roman" w:hAnsi="Times New Roman"/>
          <w:color w:val="auto"/>
          <w:sz w:val="22"/>
        </w:rPr>
        <w:t>ciklofoszfamid</w:t>
      </w:r>
      <w:r>
        <w:rPr>
          <w:rFonts w:ascii="Times New Roman" w:hAnsi="Times New Roman"/>
          <w:b/>
          <w:color w:val="auto"/>
          <w:sz w:val="22"/>
        </w:rPr>
        <w:t xml:space="preserve"> </w:t>
      </w:r>
      <w:r>
        <w:rPr>
          <w:rFonts w:ascii="Times New Roman" w:hAnsi="Times New Roman"/>
          <w:sz w:val="22"/>
          <w:shd w:val="clear" w:color="auto" w:fill="FFFFFF"/>
        </w:rPr>
        <w:t>olyan betegnek nem adható, akinél a fehérvérsejtszám 2500 sejt/mikroliter (sejt/</w:t>
      </w:r>
      <w:r>
        <w:rPr>
          <w:rFonts w:ascii="Times New Roman" w:hAnsi="Times New Roman"/>
          <w:color w:val="auto"/>
          <w:sz w:val="22"/>
        </w:rPr>
        <w:t>mm</w:t>
      </w:r>
      <w:r>
        <w:rPr>
          <w:rFonts w:ascii="Times New Roman" w:hAnsi="Times New Roman"/>
          <w:color w:val="auto"/>
          <w:sz w:val="22"/>
          <w:vertAlign w:val="superscript"/>
        </w:rPr>
        <w:t>3</w:t>
      </w:r>
      <w:r>
        <w:rPr>
          <w:rFonts w:ascii="Times New Roman" w:hAnsi="Times New Roman"/>
          <w:sz w:val="22"/>
          <w:shd w:val="clear" w:color="auto" w:fill="FFFFFF"/>
        </w:rPr>
        <w:t>) és/vagy a vérlemezke szám 50 000 sejt/mikroliter (sejt/</w:t>
      </w:r>
      <w:r>
        <w:rPr>
          <w:rFonts w:ascii="Times New Roman" w:hAnsi="Times New Roman"/>
          <w:color w:val="auto"/>
          <w:sz w:val="22"/>
        </w:rPr>
        <w:t>mm</w:t>
      </w:r>
      <w:r>
        <w:rPr>
          <w:rFonts w:ascii="Times New Roman" w:hAnsi="Times New Roman"/>
          <w:color w:val="auto"/>
          <w:sz w:val="22"/>
          <w:vertAlign w:val="superscript"/>
        </w:rPr>
        <w:t>3</w:t>
      </w:r>
      <w:r>
        <w:rPr>
          <w:rFonts w:ascii="Times New Roman" w:hAnsi="Times New Roman"/>
          <w:color w:val="auto"/>
          <w:sz w:val="22"/>
        </w:rPr>
        <w:t>) érték alatt van.</w:t>
      </w:r>
    </w:p>
    <w:p w14:paraId="68D01689" w14:textId="77777777" w:rsidR="00FB5661" w:rsidRDefault="00FB5661" w:rsidP="00C611C5">
      <w:pPr>
        <w:rPr>
          <w:rFonts w:ascii="Times New Roman" w:hAnsi="Times New Roman"/>
          <w:color w:val="auto"/>
          <w:sz w:val="22"/>
          <w:szCs w:val="22"/>
          <w:lang w:val="en-GB"/>
        </w:rPr>
      </w:pPr>
    </w:p>
    <w:p w14:paraId="53369ED8" w14:textId="5D32B44F" w:rsidR="00FB5661" w:rsidRDefault="00FB5661" w:rsidP="00C611C5">
      <w:pPr>
        <w:rPr>
          <w:rFonts w:ascii="Times New Roman" w:hAnsi="Times New Roman"/>
          <w:color w:val="auto"/>
          <w:sz w:val="22"/>
          <w:szCs w:val="22"/>
        </w:rPr>
      </w:pPr>
      <w:r>
        <w:rPr>
          <w:rFonts w:ascii="Times New Roman" w:hAnsi="Times New Roman"/>
          <w:color w:val="auto"/>
          <w:sz w:val="22"/>
        </w:rPr>
        <w:t>A perifériásvérsejt- és a trombocitaszám csökkenésének intenzitása, valamint a regenerálódáshoz szükséges időtartam a ciklofoszfamid dózisának növelésével arányosan nőhet.</w:t>
      </w:r>
    </w:p>
    <w:p w14:paraId="7D3C2A57" w14:textId="77777777" w:rsidR="00FB5661" w:rsidRDefault="00FB5661" w:rsidP="00C611C5">
      <w:pPr>
        <w:rPr>
          <w:rFonts w:ascii="Times New Roman" w:hAnsi="Times New Roman"/>
          <w:color w:val="auto"/>
          <w:sz w:val="22"/>
          <w:szCs w:val="22"/>
          <w:lang w:val="en-GB"/>
        </w:rPr>
      </w:pPr>
    </w:p>
    <w:p w14:paraId="246C4642" w14:textId="77777777" w:rsidR="00FB5661" w:rsidRPr="001916DA" w:rsidRDefault="00FB5661" w:rsidP="00FB5661">
      <w:pPr>
        <w:rPr>
          <w:rFonts w:ascii="Times New Roman" w:hAnsi="Times New Roman"/>
          <w:color w:val="auto"/>
          <w:sz w:val="22"/>
          <w:szCs w:val="22"/>
        </w:rPr>
      </w:pPr>
      <w:r>
        <w:rPr>
          <w:rFonts w:ascii="Times New Roman" w:hAnsi="Times New Roman"/>
          <w:sz w:val="22"/>
          <w:shd w:val="clear" w:color="auto" w:fill="FFFFFF"/>
        </w:rPr>
        <w:t>A leukocitaszám és a trombocitaszám csökkenésének mélypontja rendszerint a kezelés 1. és 2. hetének folyamán következik be. A csontvelő viszonylag gyorsan regenerálódik, és a perifériás vérsejtek száma rendszerint körülbelül 20 nap elteltével normalizálódik</w:t>
      </w:r>
      <w:r>
        <w:rPr>
          <w:rFonts w:ascii="Times New Roman" w:hAnsi="Times New Roman"/>
          <w:color w:val="auto"/>
          <w:sz w:val="22"/>
        </w:rPr>
        <w:t>.</w:t>
      </w:r>
    </w:p>
    <w:p w14:paraId="4A4A6E0A" w14:textId="77777777" w:rsidR="00FB5661" w:rsidRPr="001916DA" w:rsidRDefault="00FB5661" w:rsidP="00C611C5">
      <w:pPr>
        <w:rPr>
          <w:rFonts w:ascii="Times New Roman" w:hAnsi="Times New Roman"/>
          <w:color w:val="auto"/>
          <w:sz w:val="22"/>
          <w:szCs w:val="22"/>
          <w:lang w:val="en-GB"/>
        </w:rPr>
      </w:pPr>
    </w:p>
    <w:p w14:paraId="7DF90E47" w14:textId="5F74561C" w:rsidR="002330DF" w:rsidRPr="001916DA" w:rsidRDefault="005E3CA1" w:rsidP="00C611C5">
      <w:pPr>
        <w:rPr>
          <w:rFonts w:ascii="Times New Roman" w:hAnsi="Times New Roman"/>
          <w:color w:val="auto"/>
          <w:sz w:val="22"/>
          <w:szCs w:val="22"/>
        </w:rPr>
      </w:pPr>
      <w:r>
        <w:rPr>
          <w:rFonts w:ascii="Times New Roman" w:hAnsi="Times New Roman"/>
          <w:color w:val="auto"/>
          <w:sz w:val="22"/>
        </w:rPr>
        <w:t>Azoknál a betegeknél, akiknél súlyos fertőzés lép fel, nem javasolt a ciklofoszfamid</w:t>
      </w:r>
      <w:r>
        <w:rPr>
          <w:rFonts w:ascii="Times New Roman" w:hAnsi="Times New Roman"/>
          <w:b/>
          <w:color w:val="auto"/>
          <w:sz w:val="22"/>
        </w:rPr>
        <w:t xml:space="preserve"> </w:t>
      </w:r>
      <w:r>
        <w:rPr>
          <w:rFonts w:ascii="Times New Roman" w:hAnsi="Times New Roman"/>
          <w:sz w:val="22"/>
          <w:shd w:val="clear" w:color="auto" w:fill="FFFFFF"/>
        </w:rPr>
        <w:t>adása, illetve ajánlott a kezelés megszakítása vagy a dózis csökkentése</w:t>
      </w:r>
      <w:r>
        <w:rPr>
          <w:rFonts w:ascii="Times New Roman" w:hAnsi="Times New Roman"/>
          <w:color w:val="auto"/>
          <w:sz w:val="22"/>
        </w:rPr>
        <w:t xml:space="preserve">. </w:t>
      </w:r>
    </w:p>
    <w:p w14:paraId="56A5A504" w14:textId="7578D109" w:rsidR="002330DF" w:rsidRPr="001916DA" w:rsidRDefault="002330DF" w:rsidP="00C611C5">
      <w:pPr>
        <w:rPr>
          <w:rFonts w:ascii="Times New Roman" w:hAnsi="Times New Roman"/>
          <w:color w:val="auto"/>
          <w:sz w:val="22"/>
          <w:szCs w:val="22"/>
          <w:lang w:val="en-GB"/>
        </w:rPr>
      </w:pPr>
    </w:p>
    <w:p w14:paraId="5B84E793" w14:textId="77777777" w:rsidR="0020245A" w:rsidRPr="001916DA" w:rsidRDefault="00CB58FE" w:rsidP="00C611C5">
      <w:pPr>
        <w:rPr>
          <w:rFonts w:ascii="Times New Roman" w:hAnsi="Times New Roman"/>
          <w:color w:val="auto"/>
          <w:sz w:val="22"/>
          <w:szCs w:val="22"/>
        </w:rPr>
      </w:pPr>
      <w:r>
        <w:rPr>
          <w:rFonts w:ascii="Times New Roman" w:hAnsi="Times New Roman"/>
          <w:sz w:val="22"/>
          <w:shd w:val="clear" w:color="auto" w:fill="FFFFFF"/>
        </w:rPr>
        <w:t>Súlyos myelosuppressio különösen azoknál a betegeknél várható, akiket megelőzően és/vagy párhuzamosan kemoterápiás és/vagy sugárterápiás kezelésben részesítettek</w:t>
      </w:r>
      <w:r>
        <w:rPr>
          <w:rFonts w:ascii="Times New Roman" w:hAnsi="Times New Roman"/>
          <w:color w:val="auto"/>
          <w:sz w:val="22"/>
        </w:rPr>
        <w:t>.</w:t>
      </w:r>
    </w:p>
    <w:p w14:paraId="485079E2" w14:textId="77777777" w:rsidR="00E21307" w:rsidRPr="001916DA" w:rsidRDefault="00E21307" w:rsidP="0046151C">
      <w:pPr>
        <w:rPr>
          <w:rFonts w:ascii="Times New Roman" w:hAnsi="Times New Roman"/>
          <w:color w:val="auto"/>
          <w:sz w:val="22"/>
          <w:szCs w:val="22"/>
          <w:lang w:val="en-GB"/>
        </w:rPr>
      </w:pPr>
    </w:p>
    <w:p w14:paraId="52609DE1" w14:textId="77777777" w:rsidR="00E21307" w:rsidRPr="001916DA" w:rsidRDefault="00867B78" w:rsidP="005E3CA1">
      <w:pPr>
        <w:rPr>
          <w:rFonts w:ascii="Times New Roman" w:hAnsi="Times New Roman"/>
          <w:color w:val="auto"/>
          <w:sz w:val="22"/>
          <w:szCs w:val="22"/>
          <w:u w:val="single"/>
        </w:rPr>
      </w:pPr>
      <w:r>
        <w:rPr>
          <w:rFonts w:ascii="Times New Roman" w:hAnsi="Times New Roman"/>
          <w:sz w:val="22"/>
          <w:u w:val="single"/>
          <w:shd w:val="clear" w:color="auto" w:fill="FFFFFF"/>
        </w:rPr>
        <w:t>Húgyúti- és vesetoxicitás</w:t>
      </w:r>
    </w:p>
    <w:p w14:paraId="5F95A537" w14:textId="4D171138" w:rsidR="00E21307" w:rsidRPr="00C611C5" w:rsidRDefault="008F7A1B" w:rsidP="00C611C5">
      <w:pPr>
        <w:rPr>
          <w:rFonts w:ascii="Times New Roman" w:hAnsi="Times New Roman"/>
          <w:color w:val="auto"/>
          <w:sz w:val="22"/>
          <w:szCs w:val="22"/>
        </w:rPr>
      </w:pPr>
      <w:r>
        <w:rPr>
          <w:rFonts w:ascii="Times New Roman" w:hAnsi="Times New Roman"/>
          <w:sz w:val="22"/>
          <w:shd w:val="clear" w:color="auto" w:fill="FFFFFF"/>
        </w:rPr>
        <w:t xml:space="preserve">A </w:t>
      </w:r>
      <w:r>
        <w:rPr>
          <w:rFonts w:ascii="Times New Roman" w:hAnsi="Times New Roman"/>
          <w:color w:val="auto"/>
          <w:sz w:val="22"/>
        </w:rPr>
        <w:t>ciklofoszfamid-terápiával</w:t>
      </w:r>
      <w:r>
        <w:rPr>
          <w:rFonts w:ascii="Times New Roman" w:hAnsi="Times New Roman"/>
          <w:sz w:val="22"/>
          <w:shd w:val="clear" w:color="auto" w:fill="FFFFFF"/>
        </w:rPr>
        <w:t xml:space="preserve"> összefüggésben haemorrhagiás cystitis, pyelitis, ureteritis és hematuria előfordulásáról számoltak be. Fennáll a húgyhólyagfekély/hólyagnekrózis, fibrózis/zsugorodás, valamint másodlagos daganatok kialakulásának kockázata is. </w:t>
      </w:r>
    </w:p>
    <w:p w14:paraId="136DF6A2" w14:textId="640BC595" w:rsidR="00551972" w:rsidRDefault="00867B78" w:rsidP="00C611C5">
      <w:pPr>
        <w:rPr>
          <w:rFonts w:ascii="Times New Roman" w:hAnsi="Times New Roman"/>
          <w:color w:val="auto"/>
          <w:sz w:val="22"/>
          <w:szCs w:val="22"/>
        </w:rPr>
      </w:pPr>
      <w:r>
        <w:rPr>
          <w:rFonts w:ascii="Times New Roman" w:hAnsi="Times New Roman"/>
          <w:sz w:val="22"/>
          <w:shd w:val="clear" w:color="auto" w:fill="FFFFFF"/>
        </w:rPr>
        <w:t>Az urotoxicitás a kezelés megszakítását indokolhatja</w:t>
      </w:r>
      <w:r>
        <w:rPr>
          <w:rFonts w:ascii="Times New Roman" w:hAnsi="Times New Roman"/>
          <w:color w:val="auto"/>
          <w:sz w:val="22"/>
        </w:rPr>
        <w:t>. Fatális kimenetelű urotoxikus szövődményekről is beszámoltak.</w:t>
      </w:r>
      <w:r>
        <w:rPr>
          <w:rFonts w:ascii="Times New Roman" w:hAnsi="Times New Roman"/>
          <w:sz w:val="22"/>
          <w:shd w:val="clear" w:color="auto" w:fill="FFFFFF"/>
        </w:rPr>
        <w:t xml:space="preserve"> A ciklofoszfamid rövid vagy hosszú távú alkalmazása során is előfordulhat urotoxicitás. Ciklofoszfamid egyszeri dózisait követően haemorrhagiás cystitis kialakulásáról számoltak be. Fibrózis, vérzés vagy másodlagos daganat kialakulása cystectomiát tehet szükségessé</w:t>
      </w:r>
      <w:r>
        <w:rPr>
          <w:rFonts w:ascii="Times New Roman" w:hAnsi="Times New Roman"/>
          <w:color w:val="auto"/>
          <w:sz w:val="22"/>
        </w:rPr>
        <w:t xml:space="preserve">. Korábbi vagy a ciklofoszfamid-kezeléssel egyidőben végzett sugárterápia vagy buszulfán-kezelés fokozhatja a ciklofoszfamid által kiváltott haemorrhagiás cystitis kockázatát. </w:t>
      </w:r>
      <w:r>
        <w:rPr>
          <w:rFonts w:ascii="Times New Roman" w:hAnsi="Times New Roman"/>
          <w:sz w:val="22"/>
          <w:shd w:val="clear" w:color="auto" w:fill="FFFFFF"/>
        </w:rPr>
        <w:t>A cystitis kezdetben rendszerint bakteriális. A későbbiekben szekunder bakteriális kolonizáció következhet be</w:t>
      </w:r>
      <w:r>
        <w:rPr>
          <w:rFonts w:ascii="Times New Roman" w:hAnsi="Times New Roman"/>
          <w:color w:val="auto"/>
          <w:sz w:val="22"/>
        </w:rPr>
        <w:t>.</w:t>
      </w:r>
    </w:p>
    <w:p w14:paraId="5C32D4F8" w14:textId="77777777" w:rsidR="00A45D2D" w:rsidRPr="00C611C5" w:rsidRDefault="00A45D2D" w:rsidP="00C611C5">
      <w:pPr>
        <w:rPr>
          <w:rFonts w:ascii="Times New Roman" w:hAnsi="Times New Roman"/>
          <w:color w:val="auto"/>
          <w:sz w:val="22"/>
          <w:szCs w:val="22"/>
          <w:lang w:val="en-GB"/>
        </w:rPr>
      </w:pPr>
    </w:p>
    <w:p w14:paraId="728952CB" w14:textId="1642A305" w:rsidR="00551972" w:rsidRDefault="00953A16" w:rsidP="00C611C5">
      <w:pPr>
        <w:rPr>
          <w:rFonts w:ascii="Times New Roman" w:hAnsi="Times New Roman"/>
          <w:color w:val="auto"/>
          <w:sz w:val="22"/>
          <w:szCs w:val="22"/>
        </w:rPr>
      </w:pPr>
      <w:r>
        <w:rPr>
          <w:rFonts w:ascii="Times New Roman" w:hAnsi="Times New Roman"/>
          <w:sz w:val="22"/>
          <w:shd w:val="clear" w:color="auto" w:fill="FFFFFF"/>
        </w:rPr>
        <w:t>A kezelést megelőzően ki kell zárni, ill. meg kell szüntetni minden húgyúti obstrukciót</w:t>
      </w:r>
      <w:r>
        <w:rPr>
          <w:rFonts w:ascii="Times New Roman" w:hAnsi="Times New Roman"/>
          <w:color w:val="auto"/>
          <w:sz w:val="22"/>
        </w:rPr>
        <w:t xml:space="preserve">. Lásd 4.3 pont. </w:t>
      </w:r>
      <w:r>
        <w:rPr>
          <w:rFonts w:ascii="Times New Roman" w:hAnsi="Times New Roman"/>
          <w:sz w:val="22"/>
          <w:shd w:val="clear" w:color="auto" w:fill="FFFFFF"/>
        </w:rPr>
        <w:t>Az eritrociták megjelenésének, illetve az uro- és nefrotoxicitás egyéb jeleinek észlelése céljából a vizeletüledéket folyamatosan ellenőrizni kell</w:t>
      </w:r>
      <w:r>
        <w:rPr>
          <w:rFonts w:ascii="Times New Roman" w:hAnsi="Times New Roman"/>
          <w:color w:val="auto"/>
          <w:sz w:val="22"/>
        </w:rPr>
        <w:t>. Megfelelő meszna-terápia és/vagy erős hidratálás forszírozott diurézis mellett jelentősen csökkentheti a húgyhólyag toxikus károsodásának gyakoriságát és súlyosságát. Fontos gondoskodni arról, hogy a beteg rendszeres időközönként ürítse a hólyagját. A hematuria a ciklofoszfamid-kezelés abbahagyása után néhány nappal általában megszűnik, de tartósan is fennállhat.</w:t>
      </w:r>
      <w:r w:rsidR="009848EB">
        <w:rPr>
          <w:rFonts w:ascii="Times New Roman" w:hAnsi="Times New Roman"/>
          <w:color w:val="auto"/>
          <w:sz w:val="22"/>
        </w:rPr>
        <w:t xml:space="preserve"> </w:t>
      </w:r>
      <w:r>
        <w:rPr>
          <w:rFonts w:ascii="Times New Roman" w:hAnsi="Times New Roman"/>
          <w:color w:val="auto"/>
          <w:sz w:val="22"/>
        </w:rPr>
        <w:t>Súlyos haemorrhagiás cystitis esetében rendszerint a ciklofoszfamid-terápia megszakítására van szükség.</w:t>
      </w:r>
    </w:p>
    <w:p w14:paraId="199214F1" w14:textId="77777777" w:rsidR="00A45D2D" w:rsidRDefault="00A45D2D" w:rsidP="00C611C5">
      <w:pPr>
        <w:rPr>
          <w:rFonts w:ascii="Times New Roman" w:hAnsi="Times New Roman"/>
          <w:color w:val="auto"/>
          <w:sz w:val="22"/>
          <w:szCs w:val="22"/>
          <w:lang w:val="en-GB"/>
        </w:rPr>
      </w:pPr>
    </w:p>
    <w:p w14:paraId="2DC78650" w14:textId="5A9FE198" w:rsidR="00F70613" w:rsidRDefault="00A45D2D" w:rsidP="00C611C5">
      <w:pPr>
        <w:rPr>
          <w:rFonts w:ascii="Times New Roman" w:hAnsi="Times New Roman"/>
          <w:color w:val="auto"/>
          <w:sz w:val="22"/>
          <w:szCs w:val="22"/>
        </w:rPr>
      </w:pPr>
      <w:r>
        <w:rPr>
          <w:rFonts w:ascii="Times New Roman" w:hAnsi="Times New Roman"/>
          <w:color w:val="auto"/>
          <w:sz w:val="22"/>
        </w:rPr>
        <w:t xml:space="preserve">A ciklofoszfamid alkalmazása </w:t>
      </w:r>
      <w:r>
        <w:rPr>
          <w:rFonts w:ascii="Times New Roman" w:hAnsi="Times New Roman"/>
          <w:sz w:val="22"/>
          <w:shd w:val="clear" w:color="auto" w:fill="FFFFFF"/>
        </w:rPr>
        <w:t>kapcsán nefrotoxikus hatásokról, többek között tubularis necrosis kialakulásáról is beszámoltak</w:t>
      </w:r>
      <w:r>
        <w:rPr>
          <w:rFonts w:ascii="Times New Roman" w:hAnsi="Times New Roman"/>
          <w:color w:val="auto"/>
          <w:sz w:val="22"/>
        </w:rPr>
        <w:t>.</w:t>
      </w:r>
    </w:p>
    <w:p w14:paraId="11692D8C" w14:textId="77777777" w:rsidR="00A45D2D" w:rsidRPr="00C611C5" w:rsidRDefault="00A45D2D" w:rsidP="00C611C5">
      <w:pPr>
        <w:rPr>
          <w:rFonts w:ascii="Times New Roman" w:hAnsi="Times New Roman"/>
          <w:color w:val="auto"/>
          <w:sz w:val="22"/>
          <w:szCs w:val="22"/>
          <w:u w:val="single"/>
          <w:lang w:val="en-GB"/>
        </w:rPr>
      </w:pPr>
    </w:p>
    <w:p w14:paraId="5A786A73" w14:textId="523EE4B1" w:rsidR="00F70613" w:rsidRPr="00C611C5" w:rsidRDefault="00494A28" w:rsidP="00C611C5">
      <w:pPr>
        <w:rPr>
          <w:rFonts w:ascii="Times New Roman" w:hAnsi="Times New Roman"/>
          <w:color w:val="auto"/>
          <w:sz w:val="22"/>
          <w:szCs w:val="22"/>
          <w:u w:val="single"/>
        </w:rPr>
      </w:pPr>
      <w:r>
        <w:rPr>
          <w:rFonts w:ascii="Times New Roman" w:hAnsi="Times New Roman"/>
          <w:sz w:val="22"/>
          <w:shd w:val="clear" w:color="auto" w:fill="FFFFFF"/>
        </w:rPr>
        <w:t>Ciklofoszfamid-kezelés hatására hyponatremia is felléphet egész szervezetre kiterjedő vízvisszatartással, akut vízmérgezéssel, valamint az SIADH-ra hasonlító tünetegyüttessel. (SIADH: Syndrome of Inappropriate Secretion of Antidiuretic Hormone/az antidiuretikus hormon túlzott szekréciójával járó tünetegyüttes.) Fatális kimenetelű esetekről is beszámoltak.</w:t>
      </w:r>
      <w:r>
        <w:rPr>
          <w:rFonts w:ascii="Times New Roman" w:hAnsi="Times New Roman"/>
          <w:color w:val="auto"/>
          <w:sz w:val="22"/>
        </w:rPr>
        <w:t xml:space="preserve">  </w:t>
      </w:r>
    </w:p>
    <w:p w14:paraId="5898B13E" w14:textId="77777777" w:rsidR="00C62A73" w:rsidRPr="001916DA" w:rsidRDefault="00C62A73" w:rsidP="0046151C">
      <w:pPr>
        <w:rPr>
          <w:rFonts w:ascii="Times New Roman" w:hAnsi="Times New Roman"/>
          <w:color w:val="auto"/>
          <w:sz w:val="22"/>
          <w:szCs w:val="22"/>
          <w:lang w:val="en-GB"/>
        </w:rPr>
      </w:pPr>
    </w:p>
    <w:p w14:paraId="74D46DD7" w14:textId="77777777" w:rsidR="00C62A73" w:rsidRPr="001916DA" w:rsidRDefault="00050A5B" w:rsidP="005E3CA1">
      <w:pPr>
        <w:rPr>
          <w:rFonts w:ascii="Times New Roman" w:hAnsi="Times New Roman"/>
          <w:color w:val="auto"/>
          <w:sz w:val="22"/>
          <w:szCs w:val="22"/>
          <w:u w:val="single"/>
        </w:rPr>
      </w:pPr>
      <w:r>
        <w:rPr>
          <w:rFonts w:ascii="Times New Roman" w:hAnsi="Times New Roman"/>
          <w:sz w:val="22"/>
          <w:u w:val="single"/>
          <w:shd w:val="clear" w:color="auto" w:fill="FFFFFF"/>
        </w:rPr>
        <w:t>Kardiotoxicitás; a készítmény alkalmazása szívbetegek esetében</w:t>
      </w:r>
    </w:p>
    <w:p w14:paraId="70E74C5A" w14:textId="6E3B1912" w:rsidR="00207E8B" w:rsidRDefault="00050A5B" w:rsidP="00C611C5">
      <w:pPr>
        <w:rPr>
          <w:rFonts w:ascii="Times New Roman" w:hAnsi="Times New Roman"/>
          <w:sz w:val="22"/>
          <w:szCs w:val="22"/>
          <w:shd w:val="clear" w:color="auto" w:fill="FFFFFF"/>
        </w:rPr>
      </w:pPr>
      <w:r>
        <w:rPr>
          <w:rFonts w:ascii="Times New Roman" w:hAnsi="Times New Roman"/>
          <w:sz w:val="22"/>
          <w:shd w:val="clear" w:color="auto" w:fill="FFFFFF"/>
        </w:rPr>
        <w:t xml:space="preserve">A </w:t>
      </w:r>
      <w:r>
        <w:rPr>
          <w:rFonts w:ascii="Times New Roman" w:hAnsi="Times New Roman"/>
          <w:color w:val="auto"/>
          <w:sz w:val="22"/>
        </w:rPr>
        <w:t>ciklofoszfamid</w:t>
      </w:r>
      <w:r>
        <w:rPr>
          <w:rFonts w:ascii="Times New Roman" w:hAnsi="Times New Roman"/>
          <w:sz w:val="22"/>
          <w:shd w:val="clear" w:color="auto" w:fill="FFFFFF"/>
        </w:rPr>
        <w:t xml:space="preserve"> alkalmazásával kapcsolatban myocarditis és myopericarditis, illetve ezeket kísérő pericardialis folyadékgyülem és szívtamponád is előfordult, ami súlyos, egyes esetekben fatális kimenetelű pangásos szívelégtelenség kialakulásához vezetett. A szövettani vizsgálat elsődlegesen haemorrhagiás myocarditist igazolt. Haemopericardium alakult ki másodlagosan, a haemorrhagiás myocarditis és a myocardialis nekrózis következményeként. Kis dózisú </w:t>
      </w:r>
      <w:r>
        <w:rPr>
          <w:rFonts w:ascii="Times New Roman" w:hAnsi="Times New Roman"/>
          <w:color w:val="auto"/>
          <w:sz w:val="22"/>
        </w:rPr>
        <w:t>ciklofoszfamid (20 mg/testtömeg kg) egyszeri beadását követően akut kardiális toxikus tünetek megjelenését észlelték</w:t>
      </w:r>
      <w:r>
        <w:rPr>
          <w:rFonts w:ascii="Times New Roman" w:hAnsi="Times New Roman"/>
          <w:sz w:val="22"/>
          <w:shd w:val="clear" w:color="auto" w:fill="FFFFFF"/>
        </w:rPr>
        <w:t>.</w:t>
      </w:r>
    </w:p>
    <w:p w14:paraId="478B40C2" w14:textId="74691C31" w:rsidR="0016455F" w:rsidRPr="00C611C5" w:rsidRDefault="00050A5B" w:rsidP="00C611C5">
      <w:pPr>
        <w:rPr>
          <w:rFonts w:ascii="Times New Roman" w:hAnsi="Times New Roman"/>
          <w:sz w:val="22"/>
          <w:szCs w:val="22"/>
          <w:shd w:val="clear" w:color="auto" w:fill="FFFFFF"/>
        </w:rPr>
      </w:pPr>
      <w:r>
        <w:rPr>
          <w:rFonts w:ascii="Times New Roman" w:hAnsi="Times New Roman"/>
          <w:sz w:val="22"/>
          <w:shd w:val="clear" w:color="auto" w:fill="FFFFFF"/>
        </w:rPr>
        <w:t xml:space="preserve"> </w:t>
      </w:r>
    </w:p>
    <w:p w14:paraId="4440262C" w14:textId="20B0340C" w:rsidR="00050A5B" w:rsidRDefault="00050A5B" w:rsidP="00C611C5">
      <w:pPr>
        <w:rPr>
          <w:rFonts w:ascii="Times New Roman" w:hAnsi="Times New Roman"/>
          <w:sz w:val="22"/>
          <w:szCs w:val="22"/>
          <w:shd w:val="clear" w:color="auto" w:fill="FFFFFF"/>
        </w:rPr>
      </w:pPr>
      <w:r>
        <w:rPr>
          <w:rFonts w:ascii="Times New Roman" w:hAnsi="Times New Roman"/>
          <w:sz w:val="22"/>
          <w:shd w:val="clear" w:color="auto" w:fill="FFFFFF"/>
        </w:rPr>
        <w:t xml:space="preserve">Ciklofoszfamidot is tartalmazó kezelési protokollok alkalmazását követően supraventricularis arrhythmiák (beleértve a pitvarfibrillációt és a fluttert), valamint kamrai ritmuszavarok (köztük ventricularis tachyarrhythmiával társuló, súlyos fokú QT-megnyúlás) eseteiről is beszámoltak olyan betegeknél, akiknél vagy fennálltak, vagy nem álltak fenn egyéb kardiotoxikus tünetek. </w:t>
      </w:r>
    </w:p>
    <w:p w14:paraId="0D0BFB49" w14:textId="77777777" w:rsidR="00A72820" w:rsidRPr="00C611C5" w:rsidRDefault="00A72820" w:rsidP="00C611C5">
      <w:pPr>
        <w:rPr>
          <w:rFonts w:ascii="Times New Roman" w:hAnsi="Times New Roman"/>
          <w:color w:val="auto"/>
          <w:sz w:val="22"/>
          <w:szCs w:val="22"/>
          <w:lang w:val="en-GB"/>
        </w:rPr>
      </w:pPr>
    </w:p>
    <w:p w14:paraId="6C053BB3" w14:textId="22C98268" w:rsidR="005013F6" w:rsidRDefault="00050A5B" w:rsidP="00C611C5">
      <w:pPr>
        <w:rPr>
          <w:rFonts w:ascii="Times New Roman" w:hAnsi="Times New Roman"/>
          <w:color w:val="auto"/>
          <w:sz w:val="22"/>
          <w:szCs w:val="22"/>
        </w:rPr>
      </w:pPr>
      <w:r>
        <w:rPr>
          <w:rFonts w:ascii="Times New Roman" w:hAnsi="Times New Roman"/>
          <w:sz w:val="22"/>
          <w:shd w:val="clear" w:color="auto" w:fill="FFFFFF"/>
        </w:rPr>
        <w:t xml:space="preserve">A </w:t>
      </w:r>
      <w:r>
        <w:rPr>
          <w:rFonts w:ascii="Times New Roman" w:hAnsi="Times New Roman"/>
          <w:color w:val="auto"/>
          <w:sz w:val="22"/>
        </w:rPr>
        <w:t xml:space="preserve">ciklofoszfamid </w:t>
      </w:r>
      <w:r>
        <w:rPr>
          <w:rFonts w:ascii="Times New Roman" w:hAnsi="Times New Roman"/>
          <w:sz w:val="22"/>
          <w:shd w:val="clear" w:color="auto" w:fill="FFFFFF"/>
        </w:rPr>
        <w:t>kardiotoxicitásának kockázata fokozódhat például nagy dózisú ciklofoszfamid-kezelést követően idős betegeknél, valamint olyan betegeknél, akik korábban szívtájéki besugárzásban részesültek, illetve a ciklofoszfamid-terápiát megelőzően vagy azzal egyidejűleg kardiotoxikus készítményeket kaptak, illetve kapnak. Lásd 4.5 pont</w:t>
      </w:r>
      <w:r>
        <w:rPr>
          <w:rFonts w:ascii="Times New Roman" w:hAnsi="Times New Roman"/>
          <w:color w:val="auto"/>
          <w:sz w:val="22"/>
        </w:rPr>
        <w:t>.</w:t>
      </w:r>
    </w:p>
    <w:p w14:paraId="550C7EA3" w14:textId="77777777" w:rsidR="009D68E1" w:rsidRPr="00C611C5" w:rsidRDefault="009D68E1" w:rsidP="00C611C5">
      <w:pPr>
        <w:rPr>
          <w:rFonts w:ascii="Times New Roman" w:hAnsi="Times New Roman"/>
          <w:color w:val="auto"/>
          <w:sz w:val="22"/>
          <w:szCs w:val="22"/>
          <w:lang w:val="en-GB"/>
        </w:rPr>
      </w:pPr>
    </w:p>
    <w:p w14:paraId="1FD03A70" w14:textId="77777777" w:rsidR="005013F6" w:rsidRPr="00C611C5" w:rsidRDefault="00050A5B" w:rsidP="00C611C5">
      <w:pPr>
        <w:rPr>
          <w:rFonts w:ascii="Times New Roman" w:hAnsi="Times New Roman"/>
          <w:color w:val="auto"/>
          <w:sz w:val="22"/>
          <w:szCs w:val="22"/>
        </w:rPr>
      </w:pPr>
      <w:r>
        <w:rPr>
          <w:rFonts w:ascii="Times New Roman" w:hAnsi="Times New Roman"/>
          <w:sz w:val="22"/>
          <w:shd w:val="clear" w:color="auto" w:fill="FFFFFF"/>
        </w:rPr>
        <w:t>A készítmény különös óvatossággal alkalmazható olyan betegek esetében, akiknél fokozott a kardiotoxicitás kockázata, illetve akiknek már fennálló szívbetegségük van</w:t>
      </w:r>
      <w:r>
        <w:rPr>
          <w:rFonts w:ascii="Times New Roman" w:hAnsi="Times New Roman"/>
          <w:color w:val="auto"/>
          <w:sz w:val="22"/>
        </w:rPr>
        <w:t>.</w:t>
      </w:r>
    </w:p>
    <w:p w14:paraId="125EB0A2" w14:textId="77777777" w:rsidR="00B14269" w:rsidRPr="001916DA" w:rsidRDefault="00B14269" w:rsidP="0046151C">
      <w:pPr>
        <w:ind w:left="360"/>
        <w:rPr>
          <w:rFonts w:ascii="Times New Roman" w:hAnsi="Times New Roman"/>
          <w:color w:val="auto"/>
          <w:sz w:val="22"/>
          <w:szCs w:val="22"/>
          <w:lang w:val="en-GB"/>
        </w:rPr>
      </w:pPr>
    </w:p>
    <w:p w14:paraId="55AAF770" w14:textId="77777777" w:rsidR="005013F6" w:rsidRPr="001916DA" w:rsidRDefault="00526246" w:rsidP="005E3CA1">
      <w:pPr>
        <w:rPr>
          <w:rFonts w:ascii="Times New Roman" w:hAnsi="Times New Roman"/>
          <w:color w:val="auto"/>
          <w:sz w:val="22"/>
          <w:szCs w:val="22"/>
          <w:u w:val="single"/>
        </w:rPr>
      </w:pPr>
      <w:r>
        <w:rPr>
          <w:rFonts w:ascii="Times New Roman" w:hAnsi="Times New Roman"/>
          <w:sz w:val="22"/>
          <w:u w:val="single"/>
          <w:shd w:val="clear" w:color="auto" w:fill="FFFFFF"/>
        </w:rPr>
        <w:t>Pulmonalis toxicitás</w:t>
      </w:r>
    </w:p>
    <w:p w14:paraId="3198A2DA" w14:textId="1574B23D" w:rsidR="002008B9" w:rsidRPr="00C611C5" w:rsidRDefault="00526246" w:rsidP="00C611C5">
      <w:pPr>
        <w:rPr>
          <w:rFonts w:ascii="Times New Roman" w:hAnsi="Times New Roman"/>
          <w:color w:val="auto"/>
          <w:sz w:val="22"/>
          <w:szCs w:val="22"/>
          <w:u w:val="single"/>
        </w:rPr>
      </w:pPr>
      <w:r>
        <w:rPr>
          <w:rFonts w:ascii="Times New Roman" w:hAnsi="Times New Roman"/>
          <w:sz w:val="22"/>
          <w:shd w:val="clear" w:color="auto" w:fill="FFFFFF"/>
        </w:rPr>
        <w:t>Ciklofoszfamid alkalmazását követően pneumonitis és pulmonalis fibrózis kialakulásáról is beszámoltak.</w:t>
      </w:r>
      <w:r w:rsidR="009848EB">
        <w:rPr>
          <w:rFonts w:ascii="Times New Roman" w:hAnsi="Times New Roman"/>
          <w:sz w:val="22"/>
          <w:shd w:val="clear" w:color="auto" w:fill="FFFFFF"/>
        </w:rPr>
        <w:t xml:space="preserve"> </w:t>
      </w:r>
      <w:r>
        <w:rPr>
          <w:rFonts w:ascii="Times New Roman" w:hAnsi="Times New Roman"/>
          <w:sz w:val="22"/>
          <w:shd w:val="clear" w:color="auto" w:fill="FFFFFF"/>
        </w:rPr>
        <w:t>A pulmonaris vénák elzáródásával járó betegséget, valamint a pulmonalis toxicitás egyéb formáit is jelentették</w:t>
      </w:r>
      <w:r>
        <w:rPr>
          <w:rFonts w:ascii="Times New Roman" w:hAnsi="Times New Roman"/>
          <w:color w:val="auto"/>
          <w:sz w:val="22"/>
        </w:rPr>
        <w:t xml:space="preserve">. </w:t>
      </w:r>
      <w:r>
        <w:rPr>
          <w:rFonts w:ascii="Times New Roman" w:hAnsi="Times New Roman"/>
          <w:sz w:val="22"/>
          <w:shd w:val="clear" w:color="auto" w:fill="FFFFFF"/>
        </w:rPr>
        <w:t>Légzési elégtelenséghez vezető pulmonalis toxicitás kialakulásáról is beszámoltak</w:t>
      </w:r>
      <w:r>
        <w:rPr>
          <w:rFonts w:ascii="Times New Roman" w:hAnsi="Times New Roman"/>
          <w:color w:val="auto"/>
          <w:sz w:val="22"/>
        </w:rPr>
        <w:t xml:space="preserve">. </w:t>
      </w:r>
      <w:r>
        <w:rPr>
          <w:rFonts w:ascii="Times New Roman" w:hAnsi="Times New Roman"/>
          <w:sz w:val="22"/>
          <w:shd w:val="clear" w:color="auto" w:fill="FFFFFF"/>
        </w:rPr>
        <w:t xml:space="preserve">Noha a </w:t>
      </w:r>
      <w:r>
        <w:rPr>
          <w:rFonts w:ascii="Times New Roman" w:hAnsi="Times New Roman"/>
          <w:color w:val="auto"/>
          <w:sz w:val="22"/>
        </w:rPr>
        <w:t>ciklofoszfamid</w:t>
      </w:r>
      <w:r>
        <w:rPr>
          <w:rFonts w:ascii="Times New Roman" w:hAnsi="Times New Roman"/>
          <w:sz w:val="22"/>
          <w:shd w:val="clear" w:color="auto" w:fill="FFFFFF"/>
        </w:rPr>
        <w:t xml:space="preserve"> által indukált pulmonalis toxicitás előfordulási gyakorisága viszonylag alacsony, az érintett betegek esetében a prognózis rossz</w:t>
      </w:r>
      <w:r>
        <w:rPr>
          <w:rFonts w:ascii="Times New Roman" w:hAnsi="Times New Roman"/>
          <w:color w:val="auto"/>
          <w:sz w:val="22"/>
        </w:rPr>
        <w:t xml:space="preserve">. </w:t>
      </w:r>
      <w:r>
        <w:rPr>
          <w:rFonts w:ascii="Times New Roman" w:hAnsi="Times New Roman"/>
          <w:sz w:val="22"/>
          <w:shd w:val="clear" w:color="auto" w:fill="FFFFFF"/>
        </w:rPr>
        <w:t xml:space="preserve">Úgy tűnik, hogy a pneumonitis kései (a </w:t>
      </w:r>
      <w:r>
        <w:rPr>
          <w:rFonts w:ascii="Times New Roman" w:hAnsi="Times New Roman"/>
          <w:color w:val="auto"/>
          <w:sz w:val="22"/>
        </w:rPr>
        <w:t>ciklofoszfamid-kezelés</w:t>
      </w:r>
      <w:r>
        <w:rPr>
          <w:rFonts w:ascii="Times New Roman" w:hAnsi="Times New Roman"/>
          <w:sz w:val="22"/>
          <w:shd w:val="clear" w:color="auto" w:fill="FFFFFF"/>
        </w:rPr>
        <w:t xml:space="preserve"> megkezdésétől számított 6 hónapon túli) fellépése különösen magas halálozási aránnyal társul</w:t>
      </w:r>
      <w:r>
        <w:rPr>
          <w:rFonts w:ascii="Times New Roman" w:hAnsi="Times New Roman"/>
          <w:color w:val="auto"/>
          <w:sz w:val="22"/>
        </w:rPr>
        <w:t xml:space="preserve">. </w:t>
      </w:r>
      <w:r>
        <w:rPr>
          <w:rFonts w:ascii="Times New Roman" w:hAnsi="Times New Roman"/>
          <w:sz w:val="22"/>
          <w:shd w:val="clear" w:color="auto" w:fill="FFFFFF"/>
        </w:rPr>
        <w:t xml:space="preserve">Pneumonitis évekkel a </w:t>
      </w:r>
      <w:r>
        <w:rPr>
          <w:rFonts w:ascii="Times New Roman" w:hAnsi="Times New Roman"/>
          <w:color w:val="auto"/>
          <w:sz w:val="22"/>
        </w:rPr>
        <w:t xml:space="preserve">ciklofoszfamid-terápiát követően is kialakulhat. </w:t>
      </w:r>
      <w:r>
        <w:rPr>
          <w:rFonts w:ascii="Times New Roman" w:hAnsi="Times New Roman"/>
          <w:sz w:val="22"/>
          <w:shd w:val="clear" w:color="auto" w:fill="FFFFFF"/>
        </w:rPr>
        <w:t>Akut pulmonalis toxicitás fellépéséről</w:t>
      </w:r>
      <w:r>
        <w:rPr>
          <w:rFonts w:ascii="Times New Roman" w:hAnsi="Times New Roman"/>
          <w:color w:val="auto"/>
          <w:sz w:val="22"/>
        </w:rPr>
        <w:t xml:space="preserve"> ciklofoszfamid egyszeri dózisának adását követően is beszámoltak.</w:t>
      </w:r>
    </w:p>
    <w:p w14:paraId="47AC5166" w14:textId="77777777" w:rsidR="002008B9" w:rsidRPr="001916DA" w:rsidRDefault="002008B9" w:rsidP="005E3CA1">
      <w:pPr>
        <w:rPr>
          <w:rFonts w:ascii="Times New Roman" w:hAnsi="Times New Roman"/>
          <w:color w:val="auto"/>
          <w:sz w:val="22"/>
          <w:szCs w:val="22"/>
          <w:lang w:val="en-GB"/>
        </w:rPr>
      </w:pPr>
    </w:p>
    <w:p w14:paraId="38BB857B" w14:textId="07CE2D17" w:rsidR="002008B9" w:rsidRPr="001916DA" w:rsidRDefault="0071206A" w:rsidP="005E3CA1">
      <w:pPr>
        <w:rPr>
          <w:rFonts w:ascii="Times New Roman" w:hAnsi="Times New Roman"/>
          <w:color w:val="auto"/>
          <w:sz w:val="22"/>
          <w:szCs w:val="22"/>
          <w:u w:val="single"/>
        </w:rPr>
      </w:pPr>
      <w:r>
        <w:rPr>
          <w:rFonts w:ascii="Times New Roman" w:hAnsi="Times New Roman"/>
          <w:sz w:val="22"/>
          <w:u w:val="single"/>
          <w:shd w:val="clear" w:color="auto" w:fill="FFFFFF"/>
        </w:rPr>
        <w:t xml:space="preserve">Másodlagos </w:t>
      </w:r>
      <w:r w:rsidR="000B5A46">
        <w:rPr>
          <w:rFonts w:ascii="Times New Roman" w:hAnsi="Times New Roman"/>
          <w:sz w:val="22"/>
          <w:u w:val="single"/>
          <w:shd w:val="clear" w:color="auto" w:fill="FFFFFF"/>
        </w:rPr>
        <w:t>tumorok</w:t>
      </w:r>
    </w:p>
    <w:p w14:paraId="0CFC87D8" w14:textId="59BCEF76" w:rsidR="0071206A" w:rsidRPr="00C611C5" w:rsidRDefault="0071206A" w:rsidP="00C611C5">
      <w:pPr>
        <w:rPr>
          <w:rFonts w:ascii="Times New Roman" w:hAnsi="Times New Roman"/>
          <w:color w:val="auto"/>
          <w:sz w:val="22"/>
          <w:szCs w:val="22"/>
          <w:u w:val="single"/>
        </w:rPr>
      </w:pPr>
      <w:r>
        <w:rPr>
          <w:rFonts w:ascii="Times New Roman" w:hAnsi="Times New Roman"/>
          <w:sz w:val="22"/>
          <w:shd w:val="clear" w:color="auto" w:fill="FFFFFF"/>
        </w:rPr>
        <w:t xml:space="preserve">Mint minden citotoxikus kezelés, úgy a </w:t>
      </w:r>
      <w:r>
        <w:rPr>
          <w:rFonts w:ascii="Times New Roman" w:hAnsi="Times New Roman"/>
          <w:color w:val="auto"/>
          <w:sz w:val="22"/>
        </w:rPr>
        <w:t>ciklofoszfamid-terápia</w:t>
      </w:r>
      <w:r>
        <w:rPr>
          <w:rFonts w:ascii="Times New Roman" w:hAnsi="Times New Roman"/>
          <w:sz w:val="22"/>
          <w:shd w:val="clear" w:color="auto" w:fill="FFFFFF"/>
        </w:rPr>
        <w:t xml:space="preserve"> is a másodlagos daganatok, ill. azt megelőző állapotok következményes kialakulásának kockázatával társul.</w:t>
      </w:r>
      <w:r>
        <w:rPr>
          <w:rFonts w:ascii="Times New Roman" w:hAnsi="Times New Roman"/>
          <w:color w:val="auto"/>
          <w:sz w:val="22"/>
        </w:rPr>
        <w:t xml:space="preserve"> </w:t>
      </w:r>
    </w:p>
    <w:p w14:paraId="4EF419DF" w14:textId="081FB8F3" w:rsidR="009936CE" w:rsidRPr="00C611C5" w:rsidRDefault="0071206A" w:rsidP="00C611C5">
      <w:pPr>
        <w:rPr>
          <w:rFonts w:ascii="Times New Roman" w:hAnsi="Times New Roman"/>
          <w:color w:val="auto"/>
          <w:sz w:val="22"/>
          <w:szCs w:val="22"/>
          <w:u w:val="single"/>
        </w:rPr>
      </w:pPr>
      <w:r>
        <w:rPr>
          <w:rFonts w:ascii="Times New Roman" w:hAnsi="Times New Roman"/>
          <w:sz w:val="22"/>
          <w:shd w:val="clear" w:color="auto" w:fill="FFFFFF"/>
        </w:rPr>
        <w:t xml:space="preserve">Fokozott a húgyúti carcinomák kialakulásának és a myelodysplasiás elváltozások okozta akut leukémia kockázata. A </w:t>
      </w:r>
      <w:r>
        <w:rPr>
          <w:rFonts w:ascii="Times New Roman" w:hAnsi="Times New Roman"/>
          <w:color w:val="auto"/>
          <w:sz w:val="22"/>
        </w:rPr>
        <w:t>ciklofoszfamid-terápiát</w:t>
      </w:r>
      <w:r>
        <w:rPr>
          <w:rFonts w:ascii="Times New Roman" w:hAnsi="Times New Roman"/>
          <w:sz w:val="22"/>
          <w:shd w:val="clear" w:color="auto" w:fill="FFFFFF"/>
        </w:rPr>
        <w:t xml:space="preserve"> vagy a </w:t>
      </w:r>
      <w:r>
        <w:rPr>
          <w:rFonts w:ascii="Times New Roman" w:hAnsi="Times New Roman"/>
          <w:color w:val="auto"/>
          <w:sz w:val="22"/>
        </w:rPr>
        <w:t>ciklofoszfamidot</w:t>
      </w:r>
      <w:r>
        <w:rPr>
          <w:rFonts w:ascii="Times New Roman" w:hAnsi="Times New Roman"/>
          <w:b/>
          <w:color w:val="auto"/>
          <w:sz w:val="22"/>
        </w:rPr>
        <w:t xml:space="preserve"> </w:t>
      </w:r>
      <w:r>
        <w:rPr>
          <w:rFonts w:ascii="Times New Roman" w:hAnsi="Times New Roman"/>
          <w:sz w:val="22"/>
          <w:shd w:val="clear" w:color="auto" w:fill="FFFFFF"/>
        </w:rPr>
        <w:t>is tartalmazó kezeléseket követően egyéb rosszindulatú kórképek, így lymphomák, pajzsmirigyrák és sarcomák kialakulásáról is beszámoltak</w:t>
      </w:r>
      <w:r>
        <w:rPr>
          <w:rFonts w:ascii="Times New Roman" w:hAnsi="Times New Roman"/>
          <w:color w:val="auto"/>
          <w:sz w:val="22"/>
        </w:rPr>
        <w:t>.</w:t>
      </w:r>
    </w:p>
    <w:p w14:paraId="059166E4" w14:textId="042E04E1" w:rsidR="009936CE" w:rsidRPr="00C611C5" w:rsidRDefault="0071206A" w:rsidP="00C611C5">
      <w:pPr>
        <w:rPr>
          <w:rFonts w:ascii="Times New Roman" w:hAnsi="Times New Roman"/>
          <w:color w:val="auto"/>
          <w:sz w:val="22"/>
          <w:szCs w:val="22"/>
          <w:u w:val="single"/>
        </w:rPr>
      </w:pPr>
      <w:r>
        <w:rPr>
          <w:rFonts w:ascii="Times New Roman" w:hAnsi="Times New Roman"/>
          <w:sz w:val="22"/>
          <w:shd w:val="clear" w:color="auto" w:fill="FFFFFF"/>
        </w:rPr>
        <w:t xml:space="preserve">Egyes esetekben a másodlagos daganatok évekkel a </w:t>
      </w:r>
      <w:r>
        <w:rPr>
          <w:rFonts w:ascii="Times New Roman" w:hAnsi="Times New Roman"/>
          <w:color w:val="auto"/>
          <w:sz w:val="22"/>
        </w:rPr>
        <w:t>ciklofoszfamid-kezelés</w:t>
      </w:r>
      <w:r>
        <w:rPr>
          <w:rFonts w:ascii="Times New Roman" w:hAnsi="Times New Roman"/>
          <w:sz w:val="22"/>
          <w:shd w:val="clear" w:color="auto" w:fill="FFFFFF"/>
        </w:rPr>
        <w:t xml:space="preserve"> abbahagyása után alakultak ki. In utero expozíciót követően is beszámoltak malignitásokról.</w:t>
      </w:r>
      <w:r>
        <w:rPr>
          <w:rFonts w:ascii="Times New Roman" w:hAnsi="Times New Roman"/>
          <w:color w:val="auto"/>
          <w:sz w:val="22"/>
        </w:rPr>
        <w:t xml:space="preserve"> A húgyhólyagrák kockázata jelentősen csökkenthető a haemorrhagiás cystitis kialakulásának megakadályozásával.</w:t>
      </w:r>
    </w:p>
    <w:p w14:paraId="3624FB5E" w14:textId="77777777" w:rsidR="009936CE" w:rsidRPr="001916DA" w:rsidRDefault="009936CE" w:rsidP="0046151C">
      <w:pPr>
        <w:rPr>
          <w:rFonts w:ascii="Times New Roman" w:hAnsi="Times New Roman"/>
          <w:color w:val="auto"/>
          <w:sz w:val="22"/>
          <w:szCs w:val="22"/>
          <w:lang w:val="en-GB"/>
        </w:rPr>
      </w:pPr>
    </w:p>
    <w:p w14:paraId="43CC0403" w14:textId="77777777" w:rsidR="002008B9" w:rsidRPr="001916DA" w:rsidRDefault="0071206A" w:rsidP="005E3CA1">
      <w:pPr>
        <w:rPr>
          <w:rFonts w:ascii="Times New Roman" w:hAnsi="Times New Roman"/>
          <w:color w:val="auto"/>
          <w:sz w:val="22"/>
          <w:szCs w:val="22"/>
          <w:u w:val="single"/>
        </w:rPr>
      </w:pPr>
      <w:r>
        <w:rPr>
          <w:rFonts w:ascii="Times New Roman" w:hAnsi="Times New Roman"/>
          <w:sz w:val="22"/>
          <w:u w:val="single"/>
          <w:shd w:val="clear" w:color="auto" w:fill="FFFFFF"/>
        </w:rPr>
        <w:t>Venoocclusiv májbetegség</w:t>
      </w:r>
      <w:r>
        <w:rPr>
          <w:rFonts w:ascii="Times New Roman" w:hAnsi="Times New Roman"/>
          <w:color w:val="auto"/>
          <w:sz w:val="22"/>
          <w:u w:val="single"/>
        </w:rPr>
        <w:t xml:space="preserve"> (VOLD)</w:t>
      </w:r>
    </w:p>
    <w:p w14:paraId="04C2D025" w14:textId="4E4D7D06" w:rsidR="006652CD" w:rsidRPr="001916DA" w:rsidRDefault="002E6414" w:rsidP="00C611C5">
      <w:pPr>
        <w:rPr>
          <w:rFonts w:ascii="Times New Roman" w:hAnsi="Times New Roman"/>
          <w:color w:val="auto"/>
          <w:sz w:val="22"/>
          <w:szCs w:val="22"/>
        </w:rPr>
      </w:pPr>
      <w:r>
        <w:rPr>
          <w:rFonts w:ascii="Times New Roman" w:hAnsi="Times New Roman"/>
          <w:sz w:val="22"/>
          <w:shd w:val="clear" w:color="auto" w:fill="FFFFFF"/>
        </w:rPr>
        <w:t>Ciklofoszfamid-kezelésben részesülő betegek esetében venoocclusiv májbetegség (Veno-Occlusive Liver Disease: VOLD) kialakulásáról is beszámoltak.</w:t>
      </w:r>
    </w:p>
    <w:p w14:paraId="6495B58B" w14:textId="403B77BB" w:rsidR="009936CE" w:rsidRDefault="00AD096D" w:rsidP="00C611C5">
      <w:pPr>
        <w:rPr>
          <w:rFonts w:ascii="Times New Roman" w:hAnsi="Times New Roman"/>
          <w:sz w:val="22"/>
          <w:szCs w:val="22"/>
          <w:shd w:val="clear" w:color="auto" w:fill="FFFFFF"/>
        </w:rPr>
      </w:pPr>
      <w:r>
        <w:rPr>
          <w:rFonts w:ascii="Times New Roman" w:hAnsi="Times New Roman"/>
          <w:color w:val="auto"/>
          <w:sz w:val="22"/>
        </w:rPr>
        <w:t xml:space="preserve">Úgy tűnik, VOLD esetében a legjelentősebb tényező a </w:t>
      </w:r>
      <w:r>
        <w:rPr>
          <w:rFonts w:ascii="Times New Roman" w:hAnsi="Times New Roman"/>
          <w:sz w:val="22"/>
          <w:shd w:val="clear" w:color="auto" w:fill="FFFFFF"/>
        </w:rPr>
        <w:t xml:space="preserve">csontvelő-transzplantáció előkészítéseként alkalmazott citoreduktív kezelést, melynek során a </w:t>
      </w:r>
      <w:r>
        <w:rPr>
          <w:rFonts w:ascii="Times New Roman" w:hAnsi="Times New Roman"/>
          <w:color w:val="auto"/>
          <w:sz w:val="22"/>
        </w:rPr>
        <w:t>ciklofoszfamidot</w:t>
      </w:r>
      <w:r>
        <w:rPr>
          <w:rFonts w:ascii="Times New Roman" w:hAnsi="Times New Roman"/>
          <w:b/>
          <w:color w:val="auto"/>
          <w:sz w:val="22"/>
        </w:rPr>
        <w:t xml:space="preserve"> </w:t>
      </w:r>
      <w:r>
        <w:rPr>
          <w:rFonts w:ascii="Times New Roman" w:hAnsi="Times New Roman"/>
          <w:sz w:val="22"/>
          <w:shd w:val="clear" w:color="auto" w:fill="FFFFFF"/>
        </w:rPr>
        <w:t>teljestest-besugárzással, buszulfánnal vagy egyéb gyógyszerekkel kombinációban alkalmazzák</w:t>
      </w:r>
      <w:r>
        <w:rPr>
          <w:rFonts w:ascii="Times New Roman" w:hAnsi="Times New Roman"/>
          <w:color w:val="auto"/>
          <w:sz w:val="22"/>
        </w:rPr>
        <w:t xml:space="preserve"> (lásd 4.5 pont). </w:t>
      </w:r>
      <w:r>
        <w:rPr>
          <w:rFonts w:ascii="Times New Roman" w:hAnsi="Times New Roman"/>
          <w:sz w:val="22"/>
          <w:shd w:val="clear" w:color="auto" w:fill="FFFFFF"/>
        </w:rPr>
        <w:t>Citoreduktív terápiát követően a klinikai tünetegyüttes jellemzően 1-2 héttel a transzplantáció után alakul ki, és hirtelen súlygyarapodás, fájdalommal járó hepatomegalia, ascites és hyperbilirubinaemia/icterus jellemzi</w:t>
      </w:r>
      <w:r>
        <w:rPr>
          <w:rFonts w:ascii="Times New Roman" w:hAnsi="Times New Roman"/>
          <w:color w:val="auto"/>
          <w:sz w:val="22"/>
        </w:rPr>
        <w:t xml:space="preserve">. </w:t>
      </w:r>
      <w:r>
        <w:rPr>
          <w:rFonts w:ascii="Times New Roman" w:hAnsi="Times New Roman"/>
          <w:sz w:val="22"/>
          <w:shd w:val="clear" w:color="auto" w:fill="FFFFFF"/>
        </w:rPr>
        <w:t xml:space="preserve">Ugyanakkor a VOLD fokozatos kialakulásáról is beszámoltak olyan betegeknél, akik hosszú távon, alacsony, immunszuppresszív dózisokban kapták a </w:t>
      </w:r>
      <w:r>
        <w:rPr>
          <w:rFonts w:ascii="Times New Roman" w:hAnsi="Times New Roman"/>
          <w:color w:val="auto"/>
          <w:sz w:val="22"/>
        </w:rPr>
        <w:t>ciklofoszfamidot</w:t>
      </w:r>
      <w:r>
        <w:rPr>
          <w:rFonts w:ascii="Times New Roman" w:hAnsi="Times New Roman"/>
          <w:sz w:val="22"/>
          <w:shd w:val="clear" w:color="auto" w:fill="FFFFFF"/>
        </w:rPr>
        <w:t>.</w:t>
      </w:r>
    </w:p>
    <w:p w14:paraId="78CC28D9" w14:textId="77777777" w:rsidR="00C9211A" w:rsidRPr="001916DA" w:rsidRDefault="00C9211A" w:rsidP="00C611C5">
      <w:pPr>
        <w:rPr>
          <w:rFonts w:ascii="Times New Roman" w:hAnsi="Times New Roman"/>
          <w:color w:val="auto"/>
          <w:sz w:val="22"/>
          <w:szCs w:val="22"/>
          <w:lang w:val="en-GB"/>
        </w:rPr>
      </w:pPr>
    </w:p>
    <w:p w14:paraId="4FAABBCC" w14:textId="108E9F8D" w:rsidR="00694C3C" w:rsidRPr="001916DA" w:rsidRDefault="002644AA" w:rsidP="00C611C5">
      <w:pPr>
        <w:rPr>
          <w:rFonts w:ascii="Times New Roman" w:hAnsi="Times New Roman"/>
          <w:color w:val="auto"/>
          <w:sz w:val="22"/>
          <w:szCs w:val="22"/>
        </w:rPr>
      </w:pPr>
      <w:r>
        <w:rPr>
          <w:rFonts w:ascii="Times New Roman" w:hAnsi="Times New Roman"/>
          <w:sz w:val="22"/>
          <w:shd w:val="clear" w:color="auto" w:fill="FFFFFF"/>
        </w:rPr>
        <w:t>A VOLD szövődményeként hepatorenalis szindróma vagy többszervi elégtelenség is felléphet</w:t>
      </w:r>
      <w:r>
        <w:rPr>
          <w:rFonts w:ascii="Times New Roman" w:hAnsi="Times New Roman"/>
          <w:color w:val="auto"/>
          <w:sz w:val="22"/>
        </w:rPr>
        <w:t xml:space="preserve">. </w:t>
      </w:r>
      <w:r>
        <w:rPr>
          <w:rFonts w:ascii="Times New Roman" w:hAnsi="Times New Roman"/>
          <w:sz w:val="22"/>
          <w:shd w:val="clear" w:color="auto" w:fill="FFFFFF"/>
        </w:rPr>
        <w:t xml:space="preserve">A </w:t>
      </w:r>
      <w:r>
        <w:rPr>
          <w:rFonts w:ascii="Times New Roman" w:hAnsi="Times New Roman"/>
          <w:color w:val="auto"/>
          <w:sz w:val="22"/>
        </w:rPr>
        <w:t>ciklofoszfamid</w:t>
      </w:r>
      <w:r>
        <w:rPr>
          <w:rFonts w:ascii="Times New Roman" w:hAnsi="Times New Roman"/>
          <w:sz w:val="22"/>
          <w:shd w:val="clear" w:color="auto" w:fill="FFFFFF"/>
        </w:rPr>
        <w:t xml:space="preserve"> által indukált VOLD fatális kimenetelű eseteit is jelentették</w:t>
      </w:r>
      <w:r>
        <w:rPr>
          <w:rFonts w:ascii="Times New Roman" w:hAnsi="Times New Roman"/>
          <w:color w:val="auto"/>
          <w:sz w:val="22"/>
        </w:rPr>
        <w:t xml:space="preserve">. </w:t>
      </w:r>
      <w:r>
        <w:rPr>
          <w:rFonts w:ascii="Times New Roman" w:hAnsi="Times New Roman"/>
          <w:sz w:val="22"/>
          <w:shd w:val="clear" w:color="auto" w:fill="FFFFFF"/>
        </w:rPr>
        <w:t>A VOLD kialakulásának rizikófaktorai között szerepel</w:t>
      </w:r>
      <w:r>
        <w:rPr>
          <w:rFonts w:ascii="Times New Roman" w:hAnsi="Times New Roman"/>
          <w:color w:val="auto"/>
          <w:sz w:val="22"/>
        </w:rPr>
        <w:t xml:space="preserve"> a már korábban is fennálló májműködési zavar, </w:t>
      </w:r>
      <w:r>
        <w:rPr>
          <w:rFonts w:ascii="Times New Roman" w:hAnsi="Times New Roman"/>
          <w:sz w:val="22"/>
          <w:shd w:val="clear" w:color="auto" w:fill="FFFFFF"/>
        </w:rPr>
        <w:t>a hasi terület korábbi besugárzása, valamint az alacsony teljesítménypontszám.</w:t>
      </w:r>
      <w:r>
        <w:rPr>
          <w:rFonts w:ascii="Times New Roman" w:hAnsi="Times New Roman"/>
          <w:color w:val="auto"/>
          <w:sz w:val="22"/>
        </w:rPr>
        <w:t xml:space="preserve"> A megfigyelések szerint a VOLD előfordulása csökken, ha a buszulfán utolsó beadása és a ciklofoszfamid első alkalmazása között legalább 24 órás szünetet tartanak (lásd 4.2 és 4.5 pont).</w:t>
      </w:r>
    </w:p>
    <w:p w14:paraId="75B7230F" w14:textId="77777777" w:rsidR="00185567" w:rsidRPr="001916DA" w:rsidRDefault="00185567" w:rsidP="0046151C">
      <w:pPr>
        <w:rPr>
          <w:rFonts w:ascii="Times New Roman" w:hAnsi="Times New Roman"/>
          <w:color w:val="auto"/>
          <w:sz w:val="22"/>
          <w:szCs w:val="22"/>
          <w:highlight w:val="yellow"/>
          <w:lang w:val="en-GB"/>
        </w:rPr>
      </w:pPr>
    </w:p>
    <w:p w14:paraId="0DC8FD8C" w14:textId="77777777" w:rsidR="00185567" w:rsidRPr="001916DA" w:rsidRDefault="001A35B1" w:rsidP="004E19C6">
      <w:pPr>
        <w:rPr>
          <w:rFonts w:ascii="Times New Roman" w:hAnsi="Times New Roman"/>
          <w:color w:val="auto"/>
          <w:sz w:val="22"/>
          <w:szCs w:val="22"/>
          <w:u w:val="single"/>
        </w:rPr>
      </w:pPr>
      <w:r>
        <w:rPr>
          <w:rFonts w:ascii="Times New Roman" w:hAnsi="Times New Roman"/>
          <w:sz w:val="22"/>
          <w:u w:val="single"/>
          <w:shd w:val="clear" w:color="auto" w:fill="FFFFFF"/>
        </w:rPr>
        <w:t>Genotoxicitás</w:t>
      </w:r>
    </w:p>
    <w:p w14:paraId="72B3AA84" w14:textId="4A8B8BDC" w:rsidR="00185567" w:rsidRDefault="008970A9" w:rsidP="00C611C5">
      <w:pPr>
        <w:rPr>
          <w:rFonts w:ascii="Times New Roman" w:hAnsi="Times New Roman"/>
          <w:sz w:val="22"/>
          <w:szCs w:val="22"/>
          <w:shd w:val="clear" w:color="auto" w:fill="FFFFFF"/>
        </w:rPr>
      </w:pPr>
      <w:r>
        <w:rPr>
          <w:rFonts w:ascii="Times New Roman" w:hAnsi="Times New Roman"/>
          <w:sz w:val="22"/>
          <w:shd w:val="clear" w:color="auto" w:fill="FFFFFF"/>
        </w:rPr>
        <w:t>A ciklofoszfamid genotoxikus és mutagén, mind a szomatikus sejtekre, mind a hím és a női ivarsejtekre nézve. Ezért ciklofoszfamid-kezelés alatt a nőknek nem szabad teherbe esniük, illetve a férfiaknak gyermeket nemzeniük.</w:t>
      </w:r>
    </w:p>
    <w:p w14:paraId="4969C81A" w14:textId="7A2E5FF0" w:rsidR="00303D4F" w:rsidRPr="001916DA" w:rsidRDefault="00303D4F" w:rsidP="00C611C5">
      <w:pPr>
        <w:rPr>
          <w:rFonts w:ascii="Times New Roman" w:hAnsi="Times New Roman"/>
          <w:sz w:val="22"/>
          <w:szCs w:val="22"/>
          <w:shd w:val="clear" w:color="auto" w:fill="FFFFFF"/>
          <w:lang w:val="en-GB"/>
        </w:rPr>
      </w:pPr>
    </w:p>
    <w:p w14:paraId="4E889CE7" w14:textId="77777777" w:rsidR="00303D4F" w:rsidRDefault="00303D4F" w:rsidP="00C611C5">
      <w:pPr>
        <w:rPr>
          <w:rFonts w:ascii="Times New Roman" w:hAnsi="Times New Roman"/>
          <w:sz w:val="22"/>
          <w:szCs w:val="22"/>
          <w:shd w:val="clear" w:color="auto" w:fill="FFFFFF"/>
        </w:rPr>
      </w:pPr>
      <w:r>
        <w:rPr>
          <w:rFonts w:ascii="Times New Roman" w:hAnsi="Times New Roman"/>
          <w:sz w:val="22"/>
          <w:shd w:val="clear" w:color="auto" w:fill="FFFFFF"/>
        </w:rPr>
        <w:t>A nőknek nem szabad teherbe esniük a kezelés alatt és a terápia abbahagyása után 12 hónapig.</w:t>
      </w:r>
    </w:p>
    <w:p w14:paraId="71A16ECE" w14:textId="69F83BA8" w:rsidR="00185567" w:rsidRDefault="00CF4EE5" w:rsidP="00C611C5">
      <w:pPr>
        <w:rPr>
          <w:rFonts w:ascii="Times New Roman" w:hAnsi="Times New Roman"/>
          <w:sz w:val="22"/>
          <w:szCs w:val="22"/>
          <w:shd w:val="clear" w:color="auto" w:fill="FFFFFF"/>
        </w:rPr>
      </w:pPr>
      <w:r>
        <w:rPr>
          <w:rFonts w:ascii="Times New Roman" w:hAnsi="Times New Roman"/>
          <w:sz w:val="22"/>
          <w:shd w:val="clear" w:color="auto" w:fill="FFFFFF"/>
        </w:rPr>
        <w:t>A férfiaknak nem szabad gyermeket nemzeniük a terápia abbahagyása után 6 hónapig.</w:t>
      </w:r>
    </w:p>
    <w:p w14:paraId="731591E4" w14:textId="77777777" w:rsidR="00303D4F" w:rsidRPr="001916DA" w:rsidRDefault="00303D4F" w:rsidP="00C611C5">
      <w:pPr>
        <w:rPr>
          <w:rFonts w:ascii="Times New Roman" w:hAnsi="Times New Roman"/>
          <w:sz w:val="22"/>
          <w:szCs w:val="22"/>
          <w:shd w:val="clear" w:color="auto" w:fill="FFFFFF"/>
          <w:lang w:val="en-GB"/>
        </w:rPr>
      </w:pPr>
    </w:p>
    <w:p w14:paraId="72225400" w14:textId="0A8574B2" w:rsidR="00185567" w:rsidRPr="001916DA" w:rsidRDefault="00CF4EE5" w:rsidP="00C611C5">
      <w:pPr>
        <w:rPr>
          <w:rFonts w:ascii="Times New Roman" w:hAnsi="Times New Roman"/>
          <w:sz w:val="22"/>
          <w:szCs w:val="22"/>
          <w:shd w:val="clear" w:color="auto" w:fill="FFFFFF"/>
        </w:rPr>
      </w:pPr>
      <w:r>
        <w:rPr>
          <w:rFonts w:ascii="Times New Roman" w:hAnsi="Times New Roman"/>
          <w:sz w:val="22"/>
          <w:shd w:val="clear" w:color="auto" w:fill="FFFFFF"/>
        </w:rPr>
        <w:t>Állatkísérletek szerint a follikuláris fejlődési fázisban az oociták ciklofoszfamid-expozíciója a beágyazódások arányának csökkenéséhez és az életképes vemhességek megváltozásához, valamint a fejlődési rendellenességek kockázatának növekedéséhez vezethet. Ezt a hatást figyelembe kell venni a ciklofoszfamid-terápia abbahagyását követő gyermekvállalási szándék vagy terhesség esetén. A follikuláris fejlődés időtartama emberben nem ismert, de 12 hónapnál hosszabb is lehet. Szexuálisan aktív férfiaknak és nőknek hatékony fogamzásgátlást kell alkalmazniuk a fenti időszakok alatt (lásd 4.6 pont).</w:t>
      </w:r>
    </w:p>
    <w:p w14:paraId="29FD8806" w14:textId="77777777" w:rsidR="00C62A73" w:rsidRPr="001916DA" w:rsidRDefault="00C62A73" w:rsidP="005E3CA1">
      <w:pPr>
        <w:rPr>
          <w:rFonts w:ascii="Times New Roman" w:hAnsi="Times New Roman"/>
          <w:color w:val="auto"/>
          <w:sz w:val="22"/>
          <w:szCs w:val="22"/>
          <w:lang w:val="en-GB"/>
        </w:rPr>
      </w:pPr>
    </w:p>
    <w:p w14:paraId="7E582A1D" w14:textId="3CDA8A0F" w:rsidR="00A16A8A" w:rsidRPr="001916DA" w:rsidRDefault="00094FD2" w:rsidP="005E3CA1">
      <w:pPr>
        <w:rPr>
          <w:rFonts w:ascii="Times New Roman" w:hAnsi="Times New Roman"/>
          <w:color w:val="auto"/>
          <w:sz w:val="22"/>
          <w:szCs w:val="22"/>
          <w:u w:val="single"/>
        </w:rPr>
      </w:pPr>
      <w:r>
        <w:rPr>
          <w:rFonts w:ascii="Times New Roman" w:hAnsi="Times New Roman"/>
          <w:color w:val="auto"/>
          <w:sz w:val="22"/>
          <w:u w:val="single"/>
        </w:rPr>
        <w:t>Termékenység</w:t>
      </w:r>
    </w:p>
    <w:p w14:paraId="175495DF" w14:textId="38E68336" w:rsidR="006344DB" w:rsidRPr="00C611C5" w:rsidRDefault="00E10884" w:rsidP="00C611C5">
      <w:pPr>
        <w:rPr>
          <w:rFonts w:ascii="Times New Roman" w:hAnsi="Times New Roman"/>
          <w:color w:val="auto"/>
          <w:sz w:val="22"/>
          <w:szCs w:val="22"/>
        </w:rPr>
      </w:pPr>
      <w:r>
        <w:rPr>
          <w:rFonts w:ascii="Times New Roman" w:hAnsi="Times New Roman"/>
          <w:color w:val="auto"/>
          <w:sz w:val="22"/>
        </w:rPr>
        <w:t xml:space="preserve">A ciklofoszfamid </w:t>
      </w:r>
      <w:r>
        <w:rPr>
          <w:rFonts w:ascii="Times New Roman" w:hAnsi="Times New Roman"/>
          <w:sz w:val="22"/>
          <w:shd w:val="clear" w:color="auto" w:fill="FFFFFF"/>
        </w:rPr>
        <w:t>megzavarja az oogenesist és a spermatogenesist</w:t>
      </w:r>
      <w:r>
        <w:rPr>
          <w:rFonts w:ascii="Times New Roman" w:hAnsi="Times New Roman"/>
          <w:color w:val="auto"/>
          <w:sz w:val="22"/>
        </w:rPr>
        <w:t xml:space="preserve">. </w:t>
      </w:r>
      <w:r>
        <w:rPr>
          <w:rFonts w:ascii="Times New Roman" w:hAnsi="Times New Roman"/>
          <w:sz w:val="22"/>
          <w:shd w:val="clear" w:color="auto" w:fill="FFFFFF"/>
        </w:rPr>
        <w:t>Mindkét nemben sterilitást okozhat</w:t>
      </w:r>
      <w:r>
        <w:rPr>
          <w:rFonts w:ascii="Times New Roman" w:hAnsi="Times New Roman"/>
          <w:color w:val="auto"/>
          <w:sz w:val="22"/>
        </w:rPr>
        <w:t>.</w:t>
      </w:r>
      <w:r w:rsidR="009848EB">
        <w:rPr>
          <w:rFonts w:ascii="Times New Roman" w:hAnsi="Times New Roman"/>
          <w:color w:val="auto"/>
          <w:sz w:val="22"/>
        </w:rPr>
        <w:t xml:space="preserve"> </w:t>
      </w:r>
      <w:r>
        <w:rPr>
          <w:rFonts w:ascii="Times New Roman" w:hAnsi="Times New Roman"/>
          <w:color w:val="auto"/>
          <w:sz w:val="22"/>
        </w:rPr>
        <w:t>A ciklofoszfamid-kezelésben részesülő férfiakat a kezelés megkezdése előtt tájékoztatni kell a sperma megőrzésének lehetőségéről (lásd 4.6 pont).</w:t>
      </w:r>
    </w:p>
    <w:p w14:paraId="4FAB5FE4" w14:textId="77777777" w:rsidR="00787513" w:rsidRDefault="00787513" w:rsidP="005E3CA1">
      <w:pPr>
        <w:rPr>
          <w:rFonts w:ascii="Times New Roman" w:hAnsi="Times New Roman"/>
          <w:color w:val="auto"/>
          <w:sz w:val="22"/>
          <w:szCs w:val="22"/>
          <w:lang w:val="en-GB"/>
        </w:rPr>
      </w:pPr>
    </w:p>
    <w:p w14:paraId="567E634D" w14:textId="0BA48F52" w:rsidR="006A3186" w:rsidRPr="001916DA" w:rsidRDefault="006A3186" w:rsidP="006A3186">
      <w:pPr>
        <w:rPr>
          <w:rFonts w:ascii="Times New Roman" w:hAnsi="Times New Roman"/>
          <w:color w:val="auto"/>
          <w:sz w:val="22"/>
          <w:szCs w:val="22"/>
          <w:u w:val="single"/>
        </w:rPr>
      </w:pPr>
      <w:r>
        <w:rPr>
          <w:rFonts w:ascii="Times New Roman" w:hAnsi="Times New Roman"/>
          <w:sz w:val="22"/>
          <w:u w:val="single"/>
          <w:shd w:val="clear" w:color="auto" w:fill="FFFFFF"/>
        </w:rPr>
        <w:t>Sebgyógyulási zavarok</w:t>
      </w:r>
    </w:p>
    <w:p w14:paraId="49B4581D" w14:textId="77777777" w:rsidR="006A3186" w:rsidRPr="001916DA" w:rsidRDefault="006A3186" w:rsidP="006A3186">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 xml:space="preserve">A ciklofoszfamid gátolhatja a normál sebgyógyulást. </w:t>
      </w:r>
    </w:p>
    <w:p w14:paraId="00FF2015" w14:textId="77777777" w:rsidR="006A3186" w:rsidRPr="001916DA" w:rsidRDefault="006A3186" w:rsidP="005E3CA1">
      <w:pPr>
        <w:rPr>
          <w:rFonts w:ascii="Times New Roman" w:hAnsi="Times New Roman"/>
          <w:color w:val="auto"/>
          <w:sz w:val="22"/>
          <w:szCs w:val="22"/>
          <w:lang w:val="en-GB"/>
        </w:rPr>
      </w:pPr>
    </w:p>
    <w:p w14:paraId="19A24D68" w14:textId="2D0D9BEB" w:rsidR="00CA5479" w:rsidRPr="001916DA" w:rsidRDefault="00845633" w:rsidP="004E19C6">
      <w:pPr>
        <w:rPr>
          <w:rFonts w:ascii="Times New Roman" w:hAnsi="Times New Roman"/>
          <w:b/>
          <w:color w:val="auto"/>
          <w:sz w:val="22"/>
          <w:szCs w:val="22"/>
        </w:rPr>
      </w:pPr>
      <w:r>
        <w:rPr>
          <w:rFonts w:ascii="Times New Roman" w:hAnsi="Times New Roman"/>
          <w:b/>
          <w:color w:val="auto"/>
          <w:sz w:val="22"/>
        </w:rPr>
        <w:t>ÓVINTÉZKEDÉSEK</w:t>
      </w:r>
    </w:p>
    <w:p w14:paraId="028043E9" w14:textId="77777777" w:rsidR="00CA5479" w:rsidRPr="001916DA" w:rsidRDefault="00CA5479" w:rsidP="004E19C6">
      <w:pPr>
        <w:rPr>
          <w:rFonts w:ascii="Times New Roman" w:hAnsi="Times New Roman"/>
          <w:color w:val="auto"/>
          <w:sz w:val="22"/>
          <w:szCs w:val="22"/>
          <w:lang w:val="en-GB"/>
        </w:rPr>
      </w:pPr>
    </w:p>
    <w:p w14:paraId="0DB9ECCE" w14:textId="77777777" w:rsidR="00CA5479" w:rsidRPr="001916DA" w:rsidRDefault="00AD468B" w:rsidP="004E19C6">
      <w:pPr>
        <w:rPr>
          <w:rFonts w:ascii="Times New Roman" w:hAnsi="Times New Roman"/>
          <w:color w:val="auto"/>
          <w:sz w:val="22"/>
          <w:szCs w:val="22"/>
          <w:u w:val="single"/>
        </w:rPr>
      </w:pPr>
      <w:r>
        <w:rPr>
          <w:rFonts w:ascii="Times New Roman" w:hAnsi="Times New Roman"/>
          <w:sz w:val="22"/>
          <w:u w:val="single"/>
          <w:shd w:val="clear" w:color="auto" w:fill="FFFFFF"/>
        </w:rPr>
        <w:t>Alopecia</w:t>
      </w:r>
    </w:p>
    <w:p w14:paraId="7437EEFE" w14:textId="3B7A2ACA" w:rsidR="00634755" w:rsidRPr="00C611C5" w:rsidRDefault="00AD468B" w:rsidP="00C611C5">
      <w:pPr>
        <w:rPr>
          <w:rFonts w:ascii="Times New Roman" w:hAnsi="Times New Roman"/>
          <w:color w:val="auto"/>
          <w:sz w:val="22"/>
          <w:szCs w:val="22"/>
        </w:rPr>
      </w:pPr>
      <w:r>
        <w:rPr>
          <w:rFonts w:ascii="Times New Roman" w:hAnsi="Times New Roman"/>
          <w:color w:val="auto"/>
          <w:sz w:val="22"/>
        </w:rPr>
        <w:t>A készítmény alkalmazásával kapcsolatban alopeciáról számoltak be, amelynek az előfordulása növekvő dózisoknál gyakoribb. Az alopecia kopaszsághoz vezethet. A haj és a szőrzet a kezelés befejezése után vagy akár a folyamatos kezelés során várhatóan újra kinő, de szerkezete vagy színe megváltozhat.</w:t>
      </w:r>
    </w:p>
    <w:p w14:paraId="20D8807C" w14:textId="77777777" w:rsidR="00634755" w:rsidRPr="001916DA" w:rsidRDefault="00634755" w:rsidP="005E3CA1">
      <w:pPr>
        <w:rPr>
          <w:rFonts w:ascii="Times New Roman" w:hAnsi="Times New Roman"/>
          <w:color w:val="auto"/>
          <w:sz w:val="22"/>
          <w:szCs w:val="22"/>
          <w:lang w:val="en-GB"/>
        </w:rPr>
      </w:pPr>
    </w:p>
    <w:p w14:paraId="2CC5D26A" w14:textId="77777777" w:rsidR="00634755" w:rsidRPr="001916DA" w:rsidRDefault="00C77548" w:rsidP="005E3CA1">
      <w:pPr>
        <w:rPr>
          <w:rFonts w:ascii="Times New Roman" w:hAnsi="Times New Roman"/>
          <w:color w:val="auto"/>
          <w:sz w:val="22"/>
          <w:szCs w:val="22"/>
          <w:u w:val="single"/>
        </w:rPr>
      </w:pPr>
      <w:r>
        <w:rPr>
          <w:rFonts w:ascii="Times New Roman" w:hAnsi="Times New Roman"/>
          <w:color w:val="auto"/>
          <w:sz w:val="22"/>
          <w:u w:val="single"/>
        </w:rPr>
        <w:t xml:space="preserve">Hányinger és hányás </w:t>
      </w:r>
    </w:p>
    <w:p w14:paraId="7C7E30FB" w14:textId="1A607838" w:rsidR="00F41B29" w:rsidRPr="00C611C5" w:rsidRDefault="00005F36" w:rsidP="00C611C5">
      <w:pPr>
        <w:rPr>
          <w:rFonts w:ascii="Times New Roman" w:hAnsi="Times New Roman"/>
          <w:color w:val="auto"/>
          <w:sz w:val="22"/>
          <w:szCs w:val="22"/>
        </w:rPr>
      </w:pPr>
      <w:r>
        <w:rPr>
          <w:rFonts w:ascii="Times New Roman" w:hAnsi="Times New Roman"/>
          <w:color w:val="auto"/>
          <w:sz w:val="22"/>
        </w:rPr>
        <w:t>A ciklofoszfamid alkalmazása hányingert és hányást okozhat. Figyelembe kell venni az antiemetikumok alkalmazására vonatkozó, érvényes irányelveket a hányás megelőzésére és enyhítésére tett intézkedések során. Az alkoholfogyasztás növelheti a ciklofoszfamid által kiváltott hányingert és hányást.</w:t>
      </w:r>
    </w:p>
    <w:p w14:paraId="1029FACF" w14:textId="77777777" w:rsidR="00F41B29" w:rsidRPr="001916DA" w:rsidRDefault="00F41B29" w:rsidP="005E3CA1">
      <w:pPr>
        <w:rPr>
          <w:rFonts w:ascii="Times New Roman" w:hAnsi="Times New Roman"/>
          <w:color w:val="auto"/>
          <w:sz w:val="22"/>
          <w:szCs w:val="22"/>
          <w:lang w:val="en-GB"/>
        </w:rPr>
      </w:pPr>
    </w:p>
    <w:p w14:paraId="358780C9" w14:textId="77777777" w:rsidR="00F41B29" w:rsidRPr="001916DA" w:rsidRDefault="00206465" w:rsidP="005E3CA1">
      <w:pPr>
        <w:rPr>
          <w:rFonts w:ascii="Times New Roman" w:hAnsi="Times New Roman"/>
          <w:color w:val="auto"/>
          <w:sz w:val="22"/>
          <w:szCs w:val="22"/>
          <w:u w:val="single"/>
        </w:rPr>
      </w:pPr>
      <w:r>
        <w:rPr>
          <w:rFonts w:ascii="Times New Roman" w:hAnsi="Times New Roman"/>
          <w:sz w:val="22"/>
          <w:u w:val="single"/>
          <w:shd w:val="clear" w:color="auto" w:fill="FFFFFF"/>
        </w:rPr>
        <w:t>Stomatitis</w:t>
      </w:r>
    </w:p>
    <w:p w14:paraId="6A668E23" w14:textId="01F0B0A6" w:rsidR="007D21C1" w:rsidRPr="00C611C5" w:rsidRDefault="00206465" w:rsidP="00C611C5">
      <w:pPr>
        <w:rPr>
          <w:rFonts w:ascii="Times New Roman" w:hAnsi="Times New Roman"/>
          <w:color w:val="auto"/>
          <w:sz w:val="22"/>
          <w:szCs w:val="22"/>
        </w:rPr>
      </w:pPr>
      <w:r>
        <w:rPr>
          <w:rFonts w:ascii="Times New Roman" w:hAnsi="Times New Roman"/>
          <w:color w:val="auto"/>
          <w:sz w:val="22"/>
        </w:rPr>
        <w:t>A ciklofoszfamid-terápia stomatitis (orális mucositis) kialakulásához vezethet. Figyelembe kell venni a stomatitis megelőzésére és enyhítésére vonatkozó, érvényes irányelveket.</w:t>
      </w:r>
    </w:p>
    <w:p w14:paraId="7B67BE36" w14:textId="77777777" w:rsidR="007D21C1" w:rsidRPr="001916DA" w:rsidRDefault="007D21C1" w:rsidP="005E3CA1">
      <w:pPr>
        <w:rPr>
          <w:rFonts w:ascii="Times New Roman" w:hAnsi="Times New Roman"/>
          <w:color w:val="auto"/>
          <w:sz w:val="22"/>
          <w:szCs w:val="22"/>
          <w:u w:val="single"/>
          <w:lang w:val="en-GB"/>
        </w:rPr>
      </w:pPr>
    </w:p>
    <w:p w14:paraId="55F9143A" w14:textId="12512F8F" w:rsidR="007D21C1" w:rsidRPr="001916DA" w:rsidRDefault="00A91B96" w:rsidP="005E3CA1">
      <w:pPr>
        <w:rPr>
          <w:rFonts w:ascii="Times New Roman" w:hAnsi="Times New Roman"/>
          <w:color w:val="auto"/>
          <w:sz w:val="22"/>
          <w:szCs w:val="22"/>
          <w:u w:val="single"/>
        </w:rPr>
      </w:pPr>
      <w:r>
        <w:rPr>
          <w:rFonts w:ascii="Times New Roman" w:hAnsi="Times New Roman"/>
          <w:color w:val="auto"/>
          <w:sz w:val="22"/>
          <w:u w:val="single"/>
        </w:rPr>
        <w:t>Paravénás beadás</w:t>
      </w:r>
    </w:p>
    <w:p w14:paraId="4F89E397" w14:textId="4F9A43ED" w:rsidR="00206465" w:rsidRPr="00C611C5" w:rsidRDefault="00206465" w:rsidP="00C611C5">
      <w:pPr>
        <w:rPr>
          <w:rFonts w:ascii="Times New Roman" w:hAnsi="Times New Roman"/>
          <w:color w:val="auto"/>
          <w:sz w:val="22"/>
          <w:szCs w:val="22"/>
        </w:rPr>
      </w:pPr>
      <w:r>
        <w:rPr>
          <w:rFonts w:ascii="Times New Roman" w:hAnsi="Times New Roman"/>
          <w:color w:val="auto"/>
          <w:sz w:val="22"/>
        </w:rPr>
        <w:t xml:space="preserve">A ciklofoszfamid citosztatikus hatását aktivációja után fejti ki, ami főleg a májban történik. Ennek következtében kicsi annak a valószínűsége, hogy véletlen paravénás beadás következtében szövetkárosodás alakuljon ki. </w:t>
      </w:r>
    </w:p>
    <w:p w14:paraId="77ECEE9F" w14:textId="6C2CB486" w:rsidR="00E93945" w:rsidRPr="00C611C5" w:rsidRDefault="00206465" w:rsidP="00C611C5">
      <w:pPr>
        <w:rPr>
          <w:rFonts w:ascii="Times New Roman" w:hAnsi="Times New Roman"/>
          <w:color w:val="auto"/>
          <w:sz w:val="22"/>
          <w:szCs w:val="22"/>
        </w:rPr>
      </w:pPr>
      <w:r>
        <w:rPr>
          <w:rFonts w:ascii="Times New Roman" w:hAnsi="Times New Roman"/>
          <w:color w:val="auto"/>
          <w:sz w:val="22"/>
        </w:rPr>
        <w:t>Ha a ciklofoszfamid véletlen paravénás alkalmazással kerül be a beteg szervezetébe, az infúziót azonnal le kell állítani, az extravaszkuláris ciklofoszfamid-oldatot a kanül segítségével le kell szívni, és az egyéb megfelelő intézkedéseket meg kell tenni. Ezután az érintett területet fiziológiás sóoldattal át kell öblíteni és a kart vagy a lábat pihentetni kell.</w:t>
      </w:r>
    </w:p>
    <w:p w14:paraId="578B30A3" w14:textId="77777777" w:rsidR="00E93945" w:rsidRPr="001916DA" w:rsidRDefault="00E93945" w:rsidP="005E3CA1">
      <w:pPr>
        <w:rPr>
          <w:rFonts w:ascii="Times New Roman" w:hAnsi="Times New Roman"/>
          <w:color w:val="auto"/>
          <w:sz w:val="22"/>
          <w:szCs w:val="22"/>
          <w:u w:val="single"/>
          <w:lang w:val="en-GB"/>
        </w:rPr>
      </w:pPr>
    </w:p>
    <w:p w14:paraId="11D5C631" w14:textId="4219DA50" w:rsidR="00CA5479" w:rsidRPr="001916DA" w:rsidRDefault="00206465" w:rsidP="005E3CA1">
      <w:pPr>
        <w:rPr>
          <w:rFonts w:ascii="Times New Roman" w:hAnsi="Times New Roman"/>
          <w:color w:val="auto"/>
          <w:sz w:val="22"/>
          <w:szCs w:val="22"/>
          <w:u w:val="single"/>
        </w:rPr>
      </w:pPr>
      <w:r>
        <w:rPr>
          <w:rFonts w:ascii="Times New Roman" w:hAnsi="Times New Roman"/>
          <w:sz w:val="22"/>
          <w:u w:val="single"/>
          <w:shd w:val="clear" w:color="auto" w:fill="FFFFFF"/>
        </w:rPr>
        <w:t>Alkalmazás vesekárosodás esetén</w:t>
      </w:r>
    </w:p>
    <w:p w14:paraId="51210BA2" w14:textId="77777777" w:rsidR="00206465" w:rsidRPr="001916DA" w:rsidRDefault="00206465" w:rsidP="005E3CA1">
      <w:pPr>
        <w:rPr>
          <w:rFonts w:ascii="Times New Roman" w:hAnsi="Times New Roman"/>
          <w:sz w:val="22"/>
          <w:szCs w:val="22"/>
          <w:shd w:val="clear" w:color="auto" w:fill="FFFFFF"/>
        </w:rPr>
      </w:pPr>
      <w:r>
        <w:rPr>
          <w:rFonts w:ascii="Times New Roman" w:hAnsi="Times New Roman"/>
          <w:sz w:val="22"/>
          <w:shd w:val="clear" w:color="auto" w:fill="FFFFFF"/>
        </w:rPr>
        <w:t>Vesekárosodásban, főként súlyos vesekárosodásban szenvedő betegek esetében, a vesén keresztül történő csökkent kiválasztás miatt emelkedhet a ciklofoszfamid és metabolitjainak plazmaszintje. Ez a toxicitás fokozódását eredményezheti, amit az ilyen betegek esetében figyelembe kell venni az adagolás meghatározásakor. Lásd 4.2. pont.</w:t>
      </w:r>
    </w:p>
    <w:p w14:paraId="7BC82AC7" w14:textId="77777777" w:rsidR="00206465" w:rsidRPr="001916DA" w:rsidRDefault="00206465" w:rsidP="005E3CA1">
      <w:pPr>
        <w:rPr>
          <w:rFonts w:ascii="Times New Roman" w:hAnsi="Times New Roman"/>
          <w:sz w:val="22"/>
          <w:szCs w:val="22"/>
          <w:shd w:val="clear" w:color="auto" w:fill="FFFFFF"/>
          <w:lang w:val="en-GB"/>
        </w:rPr>
      </w:pPr>
    </w:p>
    <w:p w14:paraId="491E07D5" w14:textId="77777777" w:rsidR="00206465" w:rsidRPr="001916DA" w:rsidRDefault="00206465" w:rsidP="005E3CA1">
      <w:pPr>
        <w:rPr>
          <w:rFonts w:ascii="Times New Roman" w:hAnsi="Times New Roman"/>
          <w:sz w:val="22"/>
          <w:szCs w:val="22"/>
          <w:u w:val="single"/>
          <w:shd w:val="clear" w:color="auto" w:fill="FFFFFF"/>
        </w:rPr>
      </w:pPr>
      <w:r>
        <w:rPr>
          <w:rFonts w:ascii="Times New Roman" w:hAnsi="Times New Roman"/>
          <w:sz w:val="22"/>
          <w:u w:val="single"/>
          <w:shd w:val="clear" w:color="auto" w:fill="FFFFFF"/>
        </w:rPr>
        <w:t>Alkalmazás májkárosodás esetén</w:t>
      </w:r>
    </w:p>
    <w:p w14:paraId="201F53D1" w14:textId="7A0D630E" w:rsidR="00D30C31" w:rsidRPr="001916DA" w:rsidRDefault="00206465" w:rsidP="005E3CA1">
      <w:pPr>
        <w:rPr>
          <w:rFonts w:ascii="Times New Roman" w:hAnsi="Times New Roman"/>
          <w:color w:val="auto"/>
          <w:sz w:val="22"/>
          <w:szCs w:val="22"/>
        </w:rPr>
      </w:pPr>
      <w:r>
        <w:rPr>
          <w:rFonts w:ascii="Times New Roman" w:hAnsi="Times New Roman"/>
          <w:sz w:val="22"/>
          <w:shd w:val="clear" w:color="auto" w:fill="FFFFFF"/>
        </w:rPr>
        <w:t>Súlyos májkárosodás gátolhatja a ciklofoszfamid aktiválódását</w:t>
      </w:r>
      <w:r>
        <w:rPr>
          <w:rFonts w:ascii="Times New Roman" w:hAnsi="Times New Roman"/>
          <w:color w:val="auto"/>
          <w:sz w:val="22"/>
        </w:rPr>
        <w:t xml:space="preserve">. </w:t>
      </w:r>
      <w:r>
        <w:rPr>
          <w:rFonts w:ascii="Times New Roman" w:hAnsi="Times New Roman"/>
          <w:sz w:val="22"/>
          <w:shd w:val="clear" w:color="auto" w:fill="FFFFFF"/>
        </w:rPr>
        <w:t>Ennek kapcsán a Cyclophosphamide Accord-kezelés hatásossága módosulhat, amelyet figyelembe kell venni az adagolás meghatározása és a gyógyszerre adott válasz értékelése során.</w:t>
      </w:r>
      <w:r w:rsidR="009848EB">
        <w:rPr>
          <w:rFonts w:ascii="Times New Roman" w:hAnsi="Times New Roman"/>
          <w:sz w:val="22"/>
          <w:shd w:val="clear" w:color="auto" w:fill="FFFFFF"/>
        </w:rPr>
        <w:t xml:space="preserve"> </w:t>
      </w:r>
      <w:r>
        <w:rPr>
          <w:rFonts w:ascii="Times New Roman" w:hAnsi="Times New Roman"/>
          <w:sz w:val="22"/>
          <w:shd w:val="clear" w:color="auto" w:fill="FFFFFF"/>
        </w:rPr>
        <w:t xml:space="preserve">Lásd 4.2. pont. A ciklofoszfamid porfirogén </w:t>
      </w:r>
      <w:r w:rsidRPr="009351AF">
        <w:rPr>
          <w:rFonts w:ascii="Times New Roman" w:hAnsi="Times New Roman"/>
          <w:sz w:val="22"/>
          <w:shd w:val="clear" w:color="auto" w:fill="FFFFFF"/>
        </w:rPr>
        <w:t>hatás</w:t>
      </w:r>
      <w:r w:rsidR="003832BD" w:rsidRPr="009351AF">
        <w:rPr>
          <w:rFonts w:ascii="Times New Roman" w:hAnsi="Times New Roman"/>
          <w:sz w:val="22"/>
          <w:shd w:val="clear" w:color="auto" w:fill="FFFFFF"/>
        </w:rPr>
        <w:t>a miatt</w:t>
      </w:r>
      <w:r>
        <w:rPr>
          <w:rFonts w:ascii="Times New Roman" w:hAnsi="Times New Roman"/>
          <w:sz w:val="22"/>
          <w:shd w:val="clear" w:color="auto" w:fill="FFFFFF"/>
        </w:rPr>
        <w:t xml:space="preserve"> az akut porphyriában szenvedő betegek elővigyázatossággal kezelendők.</w:t>
      </w:r>
    </w:p>
    <w:p w14:paraId="6CDF3FCE" w14:textId="77777777" w:rsidR="00D30C31" w:rsidRPr="001916DA" w:rsidRDefault="00D30C31" w:rsidP="005E3CA1">
      <w:pPr>
        <w:rPr>
          <w:rFonts w:ascii="Times New Roman" w:hAnsi="Times New Roman"/>
          <w:color w:val="auto"/>
          <w:sz w:val="22"/>
          <w:szCs w:val="22"/>
          <w:lang w:val="en-GB"/>
        </w:rPr>
      </w:pPr>
    </w:p>
    <w:p w14:paraId="4B9FBB98" w14:textId="77777777" w:rsidR="00D30C31" w:rsidRPr="001916DA" w:rsidRDefault="00206465" w:rsidP="005E3CA1">
      <w:pPr>
        <w:rPr>
          <w:rFonts w:ascii="Times New Roman" w:hAnsi="Times New Roman"/>
          <w:color w:val="auto"/>
          <w:sz w:val="22"/>
          <w:szCs w:val="22"/>
          <w:u w:val="single"/>
        </w:rPr>
      </w:pPr>
      <w:r>
        <w:rPr>
          <w:rFonts w:ascii="Times New Roman" w:hAnsi="Times New Roman"/>
          <w:sz w:val="22"/>
          <w:u w:val="single"/>
          <w:shd w:val="clear" w:color="auto" w:fill="FFFFFF"/>
        </w:rPr>
        <w:t>Alkalmazás adrenalektomizált betegeknél</w:t>
      </w:r>
    </w:p>
    <w:p w14:paraId="49EC9680" w14:textId="574897A1" w:rsidR="00206465" w:rsidRDefault="00206465" w:rsidP="005E3CA1">
      <w:pPr>
        <w:rPr>
          <w:rFonts w:ascii="Times New Roman" w:hAnsi="Times New Roman"/>
          <w:sz w:val="22"/>
          <w:szCs w:val="22"/>
          <w:shd w:val="clear" w:color="auto" w:fill="FFFFFF"/>
        </w:rPr>
      </w:pPr>
      <w:r>
        <w:rPr>
          <w:rFonts w:ascii="Times New Roman" w:hAnsi="Times New Roman"/>
          <w:sz w:val="22"/>
          <w:shd w:val="clear" w:color="auto" w:fill="FFFFFF"/>
        </w:rPr>
        <w:t xml:space="preserve">Mellékvese-elégtelenségben szenvedő betegeknél szükség lehet a kortikoidpótló dózis emelésére a citosztatikus kezelés toxicitása által kiváltott stressz esetén, beleértve a </w:t>
      </w:r>
      <w:r>
        <w:rPr>
          <w:rFonts w:ascii="Times New Roman" w:hAnsi="Times New Roman"/>
          <w:color w:val="auto"/>
          <w:sz w:val="22"/>
        </w:rPr>
        <w:t>ciklofoszfamiddal végzett kezelést is</w:t>
      </w:r>
      <w:r>
        <w:rPr>
          <w:rFonts w:ascii="Times New Roman" w:hAnsi="Times New Roman"/>
          <w:sz w:val="22"/>
          <w:shd w:val="clear" w:color="auto" w:fill="FFFFFF"/>
        </w:rPr>
        <w:t>.</w:t>
      </w:r>
    </w:p>
    <w:p w14:paraId="532F9950" w14:textId="77777777" w:rsidR="004205CA" w:rsidRDefault="004205CA" w:rsidP="005E3CA1">
      <w:pPr>
        <w:rPr>
          <w:rFonts w:ascii="Times New Roman" w:hAnsi="Times New Roman"/>
          <w:sz w:val="22"/>
          <w:szCs w:val="22"/>
          <w:shd w:val="clear" w:color="auto" w:fill="FFFFFF"/>
          <w:lang w:val="en-GB"/>
        </w:rPr>
      </w:pPr>
    </w:p>
    <w:p w14:paraId="5C287F04" w14:textId="77777777" w:rsidR="004205CA" w:rsidRPr="00C611C5" w:rsidRDefault="004205CA" w:rsidP="004205CA">
      <w:pPr>
        <w:rPr>
          <w:rFonts w:ascii="Times New Roman" w:hAnsi="Times New Roman"/>
          <w:color w:val="auto"/>
          <w:sz w:val="22"/>
          <w:szCs w:val="22"/>
          <w:u w:val="single"/>
        </w:rPr>
      </w:pPr>
      <w:r>
        <w:rPr>
          <w:rFonts w:ascii="Times New Roman" w:hAnsi="Times New Roman"/>
          <w:color w:val="auto"/>
          <w:sz w:val="22"/>
          <w:u w:val="single"/>
        </w:rPr>
        <w:t>Alkalmazása diabetes mellitusban szenvedő betegeknél</w:t>
      </w:r>
    </w:p>
    <w:p w14:paraId="64196B86" w14:textId="189DA07C" w:rsidR="004205CA" w:rsidRDefault="004205CA" w:rsidP="004205CA">
      <w:pPr>
        <w:rPr>
          <w:rFonts w:ascii="Times New Roman" w:hAnsi="Times New Roman"/>
          <w:color w:val="auto"/>
          <w:sz w:val="22"/>
          <w:szCs w:val="22"/>
        </w:rPr>
      </w:pPr>
      <w:r>
        <w:rPr>
          <w:rFonts w:ascii="Times New Roman" w:hAnsi="Times New Roman"/>
          <w:color w:val="auto"/>
          <w:sz w:val="22"/>
        </w:rPr>
        <w:t>Az elővigyázatosság diabetes mellitusos betegek kezelésénél is javasolt, mivel a ciklofoszfamid kölcsönhatásba léphet az inzulinnal és más hipoglikémiás szerekkel (lásd még a 4.5 pontot).</w:t>
      </w:r>
    </w:p>
    <w:p w14:paraId="72227B54" w14:textId="77777777" w:rsidR="004205CA" w:rsidRDefault="004205CA" w:rsidP="004205CA">
      <w:pPr>
        <w:rPr>
          <w:rFonts w:ascii="Times New Roman" w:hAnsi="Times New Roman"/>
          <w:color w:val="auto"/>
          <w:sz w:val="22"/>
          <w:szCs w:val="22"/>
          <w:lang w:val="en-GB"/>
        </w:rPr>
      </w:pPr>
    </w:p>
    <w:p w14:paraId="3F5A20A9" w14:textId="77777777" w:rsidR="004205CA" w:rsidRPr="00C611C5" w:rsidRDefault="004205CA" w:rsidP="004205CA">
      <w:pPr>
        <w:rPr>
          <w:rFonts w:ascii="Times New Roman" w:hAnsi="Times New Roman"/>
          <w:color w:val="auto"/>
          <w:sz w:val="22"/>
          <w:szCs w:val="22"/>
          <w:u w:val="single"/>
        </w:rPr>
      </w:pPr>
      <w:r>
        <w:rPr>
          <w:rFonts w:ascii="Times New Roman" w:hAnsi="Times New Roman"/>
          <w:color w:val="auto"/>
          <w:sz w:val="22"/>
          <w:u w:val="single"/>
        </w:rPr>
        <w:t>Alkalmazása a közelmúltban műtött betegeknél</w:t>
      </w:r>
    </w:p>
    <w:p w14:paraId="2FE22DE4" w14:textId="7FA3DB9E" w:rsidR="004205CA" w:rsidRPr="001916DA" w:rsidRDefault="004205CA" w:rsidP="004205CA">
      <w:pPr>
        <w:rPr>
          <w:rFonts w:ascii="Times New Roman" w:hAnsi="Times New Roman"/>
          <w:color w:val="auto"/>
          <w:sz w:val="22"/>
          <w:szCs w:val="22"/>
        </w:rPr>
      </w:pPr>
      <w:r>
        <w:rPr>
          <w:rFonts w:ascii="Times New Roman" w:hAnsi="Times New Roman"/>
          <w:color w:val="auto"/>
          <w:sz w:val="22"/>
        </w:rPr>
        <w:t>A citosztatikumokra általánosságban – így a ciklofoszfamidra is – fennáll, hogy nem alkalmazhatók olyan betegeknél, akik kevesebb mint 10 nappal korábban műtéten estek át.</w:t>
      </w:r>
    </w:p>
    <w:p w14:paraId="14569601" w14:textId="77777777" w:rsidR="00E93945" w:rsidRPr="001916DA" w:rsidRDefault="00E93945" w:rsidP="005E3CA1">
      <w:pPr>
        <w:rPr>
          <w:rFonts w:ascii="Times New Roman" w:hAnsi="Times New Roman"/>
          <w:color w:val="auto"/>
          <w:sz w:val="22"/>
          <w:szCs w:val="22"/>
          <w:lang w:val="en-GB"/>
        </w:rPr>
      </w:pPr>
    </w:p>
    <w:p w14:paraId="58C54E3F" w14:textId="77777777" w:rsidR="0037295D" w:rsidRPr="001916DA" w:rsidRDefault="00EF26CE" w:rsidP="005E3CA1">
      <w:pPr>
        <w:tabs>
          <w:tab w:val="left" w:pos="540"/>
        </w:tabs>
        <w:rPr>
          <w:rFonts w:ascii="Times New Roman" w:hAnsi="Times New Roman"/>
          <w:b/>
          <w:color w:val="auto"/>
          <w:sz w:val="22"/>
          <w:szCs w:val="22"/>
        </w:rPr>
      </w:pPr>
      <w:r>
        <w:rPr>
          <w:rFonts w:ascii="Times New Roman" w:hAnsi="Times New Roman"/>
          <w:b/>
          <w:color w:val="auto"/>
          <w:sz w:val="22"/>
        </w:rPr>
        <w:t>4.5</w:t>
      </w:r>
      <w:r>
        <w:rPr>
          <w:rFonts w:ascii="Times New Roman" w:hAnsi="Times New Roman"/>
          <w:b/>
          <w:color w:val="auto"/>
          <w:sz w:val="22"/>
        </w:rPr>
        <w:tab/>
      </w:r>
      <w:r>
        <w:rPr>
          <w:rFonts w:ascii="Times New Roman" w:hAnsi="Times New Roman"/>
          <w:b/>
          <w:sz w:val="22"/>
          <w:shd w:val="clear" w:color="auto" w:fill="FFFFFF"/>
        </w:rPr>
        <w:t>Gyógyszerkölcsönhatások és egyéb interakciók</w:t>
      </w:r>
    </w:p>
    <w:p w14:paraId="2457B555" w14:textId="77777777" w:rsidR="00981652" w:rsidRPr="001916DA" w:rsidRDefault="00981652" w:rsidP="005E3CA1">
      <w:pPr>
        <w:rPr>
          <w:rFonts w:ascii="Times New Roman" w:hAnsi="Times New Roman"/>
          <w:b/>
          <w:color w:val="auto"/>
          <w:sz w:val="22"/>
          <w:szCs w:val="22"/>
          <w:lang w:val="en-GB"/>
        </w:rPr>
      </w:pPr>
    </w:p>
    <w:p w14:paraId="35BA2D3B" w14:textId="77777777" w:rsidR="00AF59F7" w:rsidRPr="00C611C5" w:rsidRDefault="00AF59F7" w:rsidP="005E3CA1">
      <w:pPr>
        <w:rPr>
          <w:rFonts w:ascii="Times New Roman" w:hAnsi="Times New Roman"/>
          <w:sz w:val="22"/>
          <w:szCs w:val="22"/>
        </w:rPr>
      </w:pPr>
      <w:r>
        <w:rPr>
          <w:rFonts w:ascii="Times New Roman" w:hAnsi="Times New Roman"/>
          <w:sz w:val="22"/>
        </w:rPr>
        <w:t xml:space="preserve">A ciklofoszfamid inaktív, de a májban két aktív metabolittá metabolizálódik, főleg a CYP2A6, 2B6, 2C9, 2C19 és 3A4 izoenzimek segítségével. </w:t>
      </w:r>
    </w:p>
    <w:p w14:paraId="5E9F5CDE" w14:textId="77777777" w:rsidR="00AF59F7" w:rsidRDefault="00AF59F7" w:rsidP="005E3CA1">
      <w:pPr>
        <w:rPr>
          <w:sz w:val="22"/>
          <w:szCs w:val="22"/>
        </w:rPr>
      </w:pPr>
    </w:p>
    <w:p w14:paraId="1F8C2053" w14:textId="37D57BEE" w:rsidR="0081489A" w:rsidRDefault="00C9357F" w:rsidP="005E3CA1">
      <w:pPr>
        <w:rPr>
          <w:rFonts w:ascii="Times New Roman" w:hAnsi="Times New Roman"/>
          <w:sz w:val="22"/>
          <w:szCs w:val="22"/>
          <w:shd w:val="clear" w:color="auto" w:fill="FFFFFF"/>
        </w:rPr>
      </w:pPr>
      <w:r>
        <w:rPr>
          <w:rFonts w:ascii="Times New Roman" w:hAnsi="Times New Roman"/>
          <w:sz w:val="22"/>
          <w:shd w:val="clear" w:color="auto" w:fill="FFFFFF"/>
        </w:rPr>
        <w:t xml:space="preserve">Olyan egyéb szerek vagy kezelések ciklofoszfamid-terápiával tervezett egyidejű vagy a terápiát követő alkalmazása esetén, amelyek farmakodinámiás vagy farmakokinetikai kölcsönhatások révén fokozhatják a toxikus hatások valószínűségét vagy súlyosságát, egyénenként, alaposan mérlegelni kell a várható előny/kockázat arányt. </w:t>
      </w:r>
    </w:p>
    <w:p w14:paraId="499ECC52" w14:textId="77777777" w:rsidR="0081489A" w:rsidRDefault="0081489A" w:rsidP="005E3CA1">
      <w:pPr>
        <w:rPr>
          <w:rFonts w:ascii="Times New Roman" w:hAnsi="Times New Roman"/>
          <w:sz w:val="22"/>
          <w:szCs w:val="22"/>
          <w:shd w:val="clear" w:color="auto" w:fill="FFFFFF"/>
          <w:lang w:val="en-GB"/>
        </w:rPr>
      </w:pPr>
    </w:p>
    <w:p w14:paraId="53D44DAD" w14:textId="5DC0D456" w:rsidR="00C9357F" w:rsidRPr="001916DA" w:rsidRDefault="00185DD0" w:rsidP="005E3CA1">
      <w:pPr>
        <w:rPr>
          <w:rFonts w:ascii="Times New Roman" w:hAnsi="Times New Roman"/>
          <w:sz w:val="22"/>
          <w:szCs w:val="22"/>
          <w:shd w:val="clear" w:color="auto" w:fill="FFFFFF"/>
        </w:rPr>
      </w:pPr>
      <w:r>
        <w:rPr>
          <w:rFonts w:ascii="Times New Roman" w:hAnsi="Times New Roman"/>
          <w:sz w:val="22"/>
          <w:shd w:val="clear" w:color="auto" w:fill="FFFFFF"/>
        </w:rPr>
        <w:t>Az ilyen típusú kombinált kezelésben részesülő betegeket szoros megfigyelés alatt kell tartani annak érdekében, hogy a toxicitás tüneteinek megjelenése esetén időben közbe lehessen lépni. A ciklofoszfamiddal és annak aktivációját gátló szerekkel kezelt betegeknél ellenőrizni kell, hogy nem csökken-e a terápiás hatékonyság, és szükség esetén módosítani kell az adagot.</w:t>
      </w:r>
    </w:p>
    <w:p w14:paraId="12B4D0D9" w14:textId="77777777" w:rsidR="00C9357F" w:rsidRPr="001916DA" w:rsidRDefault="00C9357F" w:rsidP="005E3CA1">
      <w:pPr>
        <w:rPr>
          <w:rFonts w:ascii="Times New Roman" w:hAnsi="Times New Roman"/>
          <w:color w:val="auto"/>
          <w:sz w:val="22"/>
          <w:szCs w:val="22"/>
          <w:lang w:val="en-GB"/>
        </w:rPr>
      </w:pPr>
    </w:p>
    <w:p w14:paraId="3DBCD6FF" w14:textId="77777777" w:rsidR="002232A5" w:rsidRPr="001916DA" w:rsidRDefault="00032288" w:rsidP="0046151C">
      <w:pPr>
        <w:rPr>
          <w:rFonts w:ascii="Times New Roman" w:hAnsi="Times New Roman"/>
          <w:color w:val="auto"/>
          <w:sz w:val="22"/>
          <w:szCs w:val="22"/>
          <w:u w:val="single"/>
        </w:rPr>
      </w:pPr>
      <w:r>
        <w:rPr>
          <w:rFonts w:ascii="Times New Roman" w:hAnsi="Times New Roman"/>
          <w:sz w:val="22"/>
          <w:u w:val="single"/>
          <w:shd w:val="clear" w:color="auto" w:fill="FFFFFF"/>
        </w:rPr>
        <w:t>A ciklofoszfamid és metabolitjainak farmakokinetikáját befolyásoló kölcsönhatások</w:t>
      </w:r>
    </w:p>
    <w:p w14:paraId="1090B707" w14:textId="39EBAEA7" w:rsidR="002232A5" w:rsidRPr="001916DA" w:rsidRDefault="007C17FE" w:rsidP="004E19C6">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 ciklofoszfamid csökkent aktivációja módosíthatja a ciklofoszfamid-kezelés hatékonyságát. A ciklofoszfamid aktivációját akadályozó anyagok az alábbiak:</w:t>
      </w:r>
    </w:p>
    <w:p w14:paraId="1ACA3879" w14:textId="069A9F2D" w:rsidR="00C648D8" w:rsidRPr="001916DA" w:rsidRDefault="00E42B78" w:rsidP="004E19C6">
      <w:pPr>
        <w:pStyle w:val="Listaszerbekezds"/>
        <w:numPr>
          <w:ilvl w:val="1"/>
          <w:numId w:val="34"/>
        </w:numPr>
        <w:rPr>
          <w:rFonts w:ascii="Times New Roman" w:hAnsi="Times New Roman"/>
          <w:color w:val="auto"/>
          <w:sz w:val="22"/>
          <w:szCs w:val="22"/>
        </w:rPr>
      </w:pPr>
      <w:r>
        <w:rPr>
          <w:rFonts w:ascii="Times New Roman" w:hAnsi="Times New Roman"/>
          <w:color w:val="auto"/>
          <w:sz w:val="22"/>
        </w:rPr>
        <w:t>aprepitant,</w:t>
      </w:r>
    </w:p>
    <w:p w14:paraId="5AE544E2" w14:textId="77777777" w:rsidR="00C648D8" w:rsidRPr="001916DA" w:rsidRDefault="00E42B78" w:rsidP="004E19C6">
      <w:pPr>
        <w:pStyle w:val="Listaszerbekezds"/>
        <w:numPr>
          <w:ilvl w:val="1"/>
          <w:numId w:val="34"/>
        </w:numPr>
        <w:rPr>
          <w:rFonts w:ascii="Times New Roman" w:hAnsi="Times New Roman"/>
          <w:color w:val="auto"/>
          <w:sz w:val="22"/>
          <w:szCs w:val="22"/>
        </w:rPr>
      </w:pPr>
      <w:r>
        <w:rPr>
          <w:rFonts w:ascii="Times New Roman" w:hAnsi="Times New Roman"/>
          <w:color w:val="auto"/>
          <w:sz w:val="22"/>
        </w:rPr>
        <w:t>bupropion,</w:t>
      </w:r>
    </w:p>
    <w:p w14:paraId="28908485" w14:textId="54308EEC" w:rsidR="00C648D8" w:rsidRPr="001916DA" w:rsidRDefault="00E42B78" w:rsidP="003225B9">
      <w:pPr>
        <w:pStyle w:val="Listaszerbekezds"/>
        <w:numPr>
          <w:ilvl w:val="1"/>
          <w:numId w:val="34"/>
        </w:numPr>
        <w:rPr>
          <w:rFonts w:ascii="Times New Roman" w:hAnsi="Times New Roman"/>
          <w:color w:val="auto"/>
          <w:sz w:val="22"/>
          <w:szCs w:val="22"/>
        </w:rPr>
      </w:pPr>
      <w:r>
        <w:rPr>
          <w:rFonts w:ascii="Times New Roman" w:hAnsi="Times New Roman"/>
          <w:color w:val="auto"/>
          <w:sz w:val="22"/>
        </w:rPr>
        <w:t>buszulfán: a ciklofoszfamid csökkent eliminációját és megnyúlt eliminációs felezési időt jelentettek olyan betegeknél, akik nagy dózisú buszulfán után kevesebb mint 24 órán belül nagy dózisú ciklofoszfamidot kaptak. Venoocclusiv májbetegség és mucositis gyakoribb előfordulását jelentették egyidejű alkalmazás esetén (lásd 4.2 és 4.4 pont).</w:t>
      </w:r>
    </w:p>
    <w:p w14:paraId="4B38A3CE" w14:textId="1F144D1F" w:rsidR="00C648D8" w:rsidRPr="001916DA" w:rsidRDefault="007C17FE" w:rsidP="004E19C6">
      <w:pPr>
        <w:pStyle w:val="Listaszerbekezds"/>
        <w:numPr>
          <w:ilvl w:val="1"/>
          <w:numId w:val="34"/>
        </w:numPr>
        <w:rPr>
          <w:rFonts w:ascii="Times New Roman" w:hAnsi="Times New Roman"/>
          <w:color w:val="auto"/>
          <w:sz w:val="22"/>
          <w:szCs w:val="22"/>
        </w:rPr>
      </w:pPr>
      <w:r>
        <w:rPr>
          <w:rFonts w:ascii="Times New Roman" w:hAnsi="Times New Roman"/>
          <w:color w:val="auto"/>
          <w:sz w:val="22"/>
        </w:rPr>
        <w:t>ciprofloxacin: ciprofloxacin alkalmazását követően beszámoltak az alapbetegség regressziójáról olyan esetekben, amelyekben a ciprofloxacint a ciklofoszfamid előtt alkalmazták (a csontvelő-transzplantációt megelőző állapot korrigálására);</w:t>
      </w:r>
    </w:p>
    <w:p w14:paraId="56F0E63C" w14:textId="77777777" w:rsidR="001500EE" w:rsidRPr="001916DA" w:rsidRDefault="007C17FE" w:rsidP="004E19C6">
      <w:pPr>
        <w:pStyle w:val="Listaszerbekezds"/>
        <w:numPr>
          <w:ilvl w:val="1"/>
          <w:numId w:val="34"/>
        </w:numPr>
        <w:rPr>
          <w:rFonts w:ascii="Times New Roman" w:hAnsi="Times New Roman"/>
          <w:color w:val="auto"/>
          <w:sz w:val="22"/>
          <w:szCs w:val="22"/>
        </w:rPr>
      </w:pPr>
      <w:r>
        <w:rPr>
          <w:rFonts w:ascii="Times New Roman" w:hAnsi="Times New Roman"/>
          <w:color w:val="auto"/>
          <w:sz w:val="22"/>
        </w:rPr>
        <w:t>kloramfenikol,</w:t>
      </w:r>
    </w:p>
    <w:p w14:paraId="665E567B" w14:textId="63DD03C0" w:rsidR="001500EE" w:rsidRPr="003225B9" w:rsidRDefault="003225B9">
      <w:pPr>
        <w:pStyle w:val="Listaszerbekezds"/>
        <w:numPr>
          <w:ilvl w:val="1"/>
          <w:numId w:val="34"/>
        </w:numPr>
        <w:rPr>
          <w:rFonts w:ascii="Times New Roman" w:hAnsi="Times New Roman"/>
          <w:color w:val="auto"/>
          <w:sz w:val="22"/>
          <w:szCs w:val="22"/>
        </w:rPr>
      </w:pPr>
      <w:r>
        <w:rPr>
          <w:rFonts w:ascii="Times New Roman" w:hAnsi="Times New Roman"/>
          <w:color w:val="auto"/>
          <w:sz w:val="22"/>
        </w:rPr>
        <w:t>azol típusú antimikotikumok (flukonazol, itrakonazol): Az azol típusú gombaellenes szerekről ismert, hogy gátolják a citokróm P450 enzimek működését. Itrakonazol és ciklofoszfamid kombinációban történő alkalmazása esetén a ciklofoszfamid toxikus bomlástermékeinek megnövekedett mennyiségéről számoltak be.</w:t>
      </w:r>
    </w:p>
    <w:p w14:paraId="20C2D3F0" w14:textId="4000A2C6" w:rsidR="003225B9" w:rsidRDefault="003225B9" w:rsidP="003225B9">
      <w:pPr>
        <w:pStyle w:val="Listaszerbekezds"/>
        <w:numPr>
          <w:ilvl w:val="1"/>
          <w:numId w:val="34"/>
        </w:numPr>
        <w:rPr>
          <w:rFonts w:ascii="Times New Roman" w:hAnsi="Times New Roman"/>
          <w:color w:val="auto"/>
          <w:sz w:val="22"/>
          <w:szCs w:val="22"/>
        </w:rPr>
      </w:pPr>
      <w:r>
        <w:rPr>
          <w:rFonts w:ascii="Times New Roman" w:hAnsi="Times New Roman"/>
          <w:color w:val="auto"/>
          <w:sz w:val="22"/>
        </w:rPr>
        <w:t>CYP2B6 és CYP3A4 inhibitorok (nevirapin, rit</w:t>
      </w:r>
      <w:r w:rsidR="009848EB">
        <w:rPr>
          <w:rFonts w:ascii="Times New Roman" w:hAnsi="Times New Roman"/>
          <w:color w:val="auto"/>
          <w:sz w:val="22"/>
        </w:rPr>
        <w:t>o</w:t>
      </w:r>
      <w:r>
        <w:rPr>
          <w:rFonts w:ascii="Times New Roman" w:hAnsi="Times New Roman"/>
          <w:color w:val="auto"/>
          <w:sz w:val="22"/>
        </w:rPr>
        <w:t>n</w:t>
      </w:r>
      <w:r w:rsidR="009848EB">
        <w:rPr>
          <w:rFonts w:ascii="Times New Roman" w:hAnsi="Times New Roman"/>
          <w:color w:val="auto"/>
          <w:sz w:val="22"/>
        </w:rPr>
        <w:t>a</w:t>
      </w:r>
      <w:r>
        <w:rPr>
          <w:rFonts w:ascii="Times New Roman" w:hAnsi="Times New Roman"/>
          <w:color w:val="auto"/>
          <w:sz w:val="22"/>
        </w:rPr>
        <w:t>vir): együttes alkalmazásuk csökkentheti a ciklofoszfamid hatásosságát</w:t>
      </w:r>
    </w:p>
    <w:p w14:paraId="4C289881" w14:textId="6D4969B6" w:rsidR="001500EE" w:rsidRPr="001916DA" w:rsidRDefault="00141409" w:rsidP="003225B9">
      <w:pPr>
        <w:pStyle w:val="Listaszerbekezds"/>
        <w:numPr>
          <w:ilvl w:val="1"/>
          <w:numId w:val="34"/>
        </w:numPr>
        <w:rPr>
          <w:rFonts w:ascii="Times New Roman" w:hAnsi="Times New Roman"/>
          <w:color w:val="auto"/>
          <w:sz w:val="22"/>
          <w:szCs w:val="22"/>
        </w:rPr>
      </w:pPr>
      <w:r>
        <w:rPr>
          <w:rFonts w:ascii="Times New Roman" w:hAnsi="Times New Roman"/>
          <w:color w:val="auto"/>
          <w:sz w:val="22"/>
        </w:rPr>
        <w:t>prasugrel,</w:t>
      </w:r>
    </w:p>
    <w:p w14:paraId="4C6F7550" w14:textId="269C9D34" w:rsidR="001500EE" w:rsidRPr="001916DA" w:rsidRDefault="00141409" w:rsidP="003225B9">
      <w:pPr>
        <w:pStyle w:val="Listaszerbekezds"/>
        <w:numPr>
          <w:ilvl w:val="1"/>
          <w:numId w:val="34"/>
        </w:numPr>
        <w:rPr>
          <w:rFonts w:ascii="Times New Roman" w:hAnsi="Times New Roman"/>
          <w:color w:val="auto"/>
          <w:sz w:val="22"/>
          <w:szCs w:val="22"/>
        </w:rPr>
      </w:pPr>
      <w:r>
        <w:rPr>
          <w:rFonts w:ascii="Times New Roman" w:hAnsi="Times New Roman"/>
          <w:color w:val="auto"/>
          <w:sz w:val="22"/>
        </w:rPr>
        <w:t xml:space="preserve">szulfonamidok, pl. szulfadiazin, szulfametoxazol és szulfapiridin </w:t>
      </w:r>
    </w:p>
    <w:p w14:paraId="6AF45FD7" w14:textId="43B779DC" w:rsidR="001500EE" w:rsidRDefault="00141409" w:rsidP="004E19C6">
      <w:pPr>
        <w:pStyle w:val="Listaszerbekezds"/>
        <w:numPr>
          <w:ilvl w:val="1"/>
          <w:numId w:val="34"/>
        </w:numPr>
        <w:rPr>
          <w:rFonts w:ascii="Times New Roman" w:hAnsi="Times New Roman"/>
          <w:color w:val="auto"/>
          <w:sz w:val="22"/>
          <w:szCs w:val="22"/>
        </w:rPr>
      </w:pPr>
      <w:r>
        <w:rPr>
          <w:rFonts w:ascii="Times New Roman" w:hAnsi="Times New Roman"/>
          <w:color w:val="auto"/>
          <w:sz w:val="22"/>
        </w:rPr>
        <w:t>tiotepa: nagy dózisú kemoterápia részeként alkalmazott tiotepa jelentősen gátolta a ciklofoszfamid bioaktivációját, ha a tiotepát 1 órával a ciklofoszfamid előtt alkalmazták.</w:t>
      </w:r>
    </w:p>
    <w:p w14:paraId="7DDC33C1" w14:textId="0726C313" w:rsidR="00133445" w:rsidRDefault="00133445" w:rsidP="00133445">
      <w:pPr>
        <w:pStyle w:val="Listaszerbekezds"/>
        <w:numPr>
          <w:ilvl w:val="1"/>
          <w:numId w:val="34"/>
        </w:numPr>
        <w:rPr>
          <w:rFonts w:ascii="Times New Roman" w:hAnsi="Times New Roman"/>
          <w:color w:val="auto"/>
          <w:sz w:val="22"/>
          <w:szCs w:val="22"/>
        </w:rPr>
      </w:pPr>
      <w:r>
        <w:rPr>
          <w:rFonts w:ascii="Times New Roman" w:hAnsi="Times New Roman"/>
          <w:color w:val="auto"/>
          <w:sz w:val="22"/>
        </w:rPr>
        <w:t>ondanszetron: nagy dózisú ciklofoszfamid és ondanszetron között farmakokinetikai kölcsönhatásról számoltak be, ami csökkent ciklofoszfamid AUC-értéket eredményezett.</w:t>
      </w:r>
    </w:p>
    <w:p w14:paraId="751672CF" w14:textId="1887E8C2" w:rsidR="00133445" w:rsidRPr="001916DA" w:rsidRDefault="00133445" w:rsidP="00133445">
      <w:pPr>
        <w:pStyle w:val="Listaszerbekezds"/>
        <w:numPr>
          <w:ilvl w:val="1"/>
          <w:numId w:val="34"/>
        </w:numPr>
        <w:rPr>
          <w:rFonts w:ascii="Times New Roman" w:hAnsi="Times New Roman"/>
          <w:color w:val="auto"/>
          <w:sz w:val="22"/>
          <w:szCs w:val="22"/>
        </w:rPr>
      </w:pPr>
      <w:r>
        <w:rPr>
          <w:rFonts w:ascii="Times New Roman" w:hAnsi="Times New Roman"/>
          <w:color w:val="auto"/>
          <w:sz w:val="22"/>
        </w:rPr>
        <w:t>grépfrút (gyümölcs és gyümölcslé), rifampicin, közönséges orbáncfű: CYP3A4-inhibitorokkal vagy -induktorokkal történő együttes alkalmazás csökkentheti a ciklofoszfamid hatásosságát vagy növelheti a toxicitását.</w:t>
      </w:r>
    </w:p>
    <w:p w14:paraId="3C0DBCE2" w14:textId="77777777" w:rsidR="001500EE" w:rsidRPr="001916DA" w:rsidRDefault="001500EE" w:rsidP="004E19C6">
      <w:pPr>
        <w:jc w:val="both"/>
        <w:rPr>
          <w:rFonts w:ascii="Times New Roman" w:hAnsi="Times New Roman"/>
          <w:color w:val="auto"/>
          <w:sz w:val="22"/>
          <w:szCs w:val="22"/>
          <w:lang w:val="en-GB"/>
        </w:rPr>
      </w:pPr>
    </w:p>
    <w:p w14:paraId="7613F4A7" w14:textId="7A693031" w:rsidR="001500EE" w:rsidRPr="001916DA" w:rsidRDefault="00141409" w:rsidP="009C5AEE">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 citotoxikus metabolitok koncentrációjának növekedését okozhatják az alábbiak:</w:t>
      </w:r>
    </w:p>
    <w:p w14:paraId="769DA09A" w14:textId="306ACD19" w:rsidR="001500EE" w:rsidRDefault="00F3594C"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allopurinol: csontvelő-szuppresszió növekedését jelentették.</w:t>
      </w:r>
    </w:p>
    <w:p w14:paraId="3B706FBD" w14:textId="15836FE8" w:rsidR="00087072" w:rsidRPr="001916DA" w:rsidRDefault="00087072"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azatioprin: hepatotoxicitás megnövekedett veszélye (májnekrózis)</w:t>
      </w:r>
    </w:p>
    <w:p w14:paraId="1827308E" w14:textId="77777777" w:rsidR="001500EE" w:rsidRPr="001916DA" w:rsidRDefault="0014140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klorálhidrát,</w:t>
      </w:r>
    </w:p>
    <w:p w14:paraId="327E6DC3" w14:textId="77777777" w:rsidR="001500EE" w:rsidRPr="001916DA" w:rsidRDefault="0014140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cimetidin,</w:t>
      </w:r>
    </w:p>
    <w:p w14:paraId="374591D4" w14:textId="77777777" w:rsidR="0005132E" w:rsidRPr="001916DA" w:rsidRDefault="0014140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diszulfirám,</w:t>
      </w:r>
    </w:p>
    <w:p w14:paraId="02F85081" w14:textId="77777777" w:rsidR="0005132E" w:rsidRPr="001916DA" w:rsidRDefault="0014140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gliceraldehid,</w:t>
      </w:r>
    </w:p>
    <w:p w14:paraId="0B351A37" w14:textId="1A97E3E3" w:rsidR="00854C62" w:rsidRPr="001916DA" w:rsidRDefault="0014140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humán hepatikus és extrahepatikus mikroszomális enziminduktorok (pl. citokróm P450 enzimek): a hepatikus és az extrahepatikus mikroszomális enzimindukció lehetőségét figyelembe kell venni olyan szerekkel történő előzetes vagy egyidejű kezelés esetén, amelyekről ismert, hogy fokozzák az említett enzimek aktivitását, mint például a rifampicin, a fenobarbitál, a karbamazepin, a fenitoin, a közönséges orbáncfű, a benzodiazepinek és a kortikoszteroidok;</w:t>
      </w:r>
    </w:p>
    <w:p w14:paraId="0F3B700D" w14:textId="6143593A" w:rsidR="00854C62" w:rsidRDefault="00141409" w:rsidP="001174D9">
      <w:pPr>
        <w:pStyle w:val="Listaszerbekezds"/>
        <w:numPr>
          <w:ilvl w:val="1"/>
          <w:numId w:val="34"/>
        </w:numPr>
        <w:rPr>
          <w:rFonts w:ascii="Times New Roman" w:hAnsi="Times New Roman"/>
          <w:color w:val="auto"/>
          <w:sz w:val="22"/>
          <w:szCs w:val="22"/>
        </w:rPr>
      </w:pPr>
      <w:r>
        <w:rPr>
          <w:rFonts w:ascii="Times New Roman" w:hAnsi="Times New Roman"/>
          <w:color w:val="auto"/>
          <w:sz w:val="22"/>
        </w:rPr>
        <w:t>proteáz-inhibitorok: a proteáz-inhibitorok egyidejű adása növelheti a citotoxikus metabolitok koncentrációját. A proteázinhibitor-alapú kezelési protokollok alkalmazása gyakrabban okozott fertőzéseket és neutropeniát azoknál a betegeknél, akik ciklofoszfamidot, doxorubicint és etopozidot (CDE-kezelést) kaptak, mint azoknál, akiket NNRTI-alapú protokoll alapján kezeltek. A ciklofoszfamid (CDE) és a szakvinavir kombinációban történő alkalmazásánál megnövekedett mucositis előfordulásról számoltak be.</w:t>
      </w:r>
    </w:p>
    <w:p w14:paraId="6458C68D" w14:textId="3CC5F6A0" w:rsidR="00E6147B" w:rsidRPr="001916DA" w:rsidRDefault="00E6147B" w:rsidP="001174D9">
      <w:pPr>
        <w:pStyle w:val="Listaszerbekezds"/>
        <w:numPr>
          <w:ilvl w:val="1"/>
          <w:numId w:val="34"/>
        </w:numPr>
        <w:rPr>
          <w:rFonts w:ascii="Times New Roman" w:hAnsi="Times New Roman"/>
          <w:color w:val="auto"/>
          <w:sz w:val="22"/>
          <w:szCs w:val="22"/>
        </w:rPr>
      </w:pPr>
      <w:r>
        <w:rPr>
          <w:rFonts w:ascii="Times New Roman" w:hAnsi="Times New Roman"/>
          <w:color w:val="auto"/>
          <w:sz w:val="22"/>
        </w:rPr>
        <w:t>Dabrafenib</w:t>
      </w:r>
    </w:p>
    <w:p w14:paraId="2169AB7B" w14:textId="77777777" w:rsidR="003E6C7F" w:rsidRPr="001916DA" w:rsidRDefault="003E6C7F" w:rsidP="004E19C6">
      <w:pPr>
        <w:ind w:left="360"/>
        <w:jc w:val="both"/>
        <w:rPr>
          <w:rFonts w:ascii="Times New Roman" w:hAnsi="Times New Roman"/>
          <w:sz w:val="22"/>
          <w:szCs w:val="22"/>
          <w:lang w:val="en-GB"/>
        </w:rPr>
      </w:pPr>
    </w:p>
    <w:p w14:paraId="5F1A1190" w14:textId="2CD91B7E" w:rsidR="00CD0654" w:rsidRDefault="001E746A" w:rsidP="004E19C6">
      <w:pPr>
        <w:jc w:val="both"/>
        <w:rPr>
          <w:rFonts w:ascii="Times New Roman" w:hAnsi="Times New Roman"/>
          <w:b/>
          <w:color w:val="auto"/>
          <w:sz w:val="22"/>
          <w:szCs w:val="22"/>
        </w:rPr>
      </w:pPr>
      <w:r>
        <w:rPr>
          <w:rFonts w:ascii="Times New Roman" w:hAnsi="Times New Roman"/>
          <w:sz w:val="22"/>
          <w:u w:val="single"/>
          <w:shd w:val="clear" w:color="auto" w:fill="FFFFFF"/>
        </w:rPr>
        <w:t>Farmakodinámiás kölcsönhatások és a ciklofoszfamid alkalmazását befolyásoló, ismeretlen mechanizmusú kölcsönhatások</w:t>
      </w:r>
      <w:r>
        <w:rPr>
          <w:rFonts w:ascii="Times New Roman" w:hAnsi="Times New Roman"/>
          <w:b/>
          <w:color w:val="auto"/>
          <w:sz w:val="22"/>
        </w:rPr>
        <w:t xml:space="preserve">  </w:t>
      </w:r>
    </w:p>
    <w:p w14:paraId="6338CB68" w14:textId="5067F3FB" w:rsidR="003E6C7F" w:rsidRPr="001916DA" w:rsidRDefault="005E3CA1" w:rsidP="004E19C6">
      <w:pPr>
        <w:jc w:val="both"/>
        <w:rPr>
          <w:rFonts w:ascii="Times New Roman" w:hAnsi="Times New Roman"/>
          <w:sz w:val="22"/>
          <w:szCs w:val="22"/>
        </w:rPr>
      </w:pPr>
      <w:r>
        <w:rPr>
          <w:rFonts w:ascii="Times New Roman" w:hAnsi="Times New Roman"/>
          <w:color w:val="auto"/>
          <w:sz w:val="22"/>
        </w:rPr>
        <w:t>A ciklofoszfamid és egyéb, hasonló toxikus hatásokkal rendelkező gyógyszerek egyidejű vagy egymást követő alkalmazása kombinált (fokozott) toxikus hatásokat okozhat.</w:t>
      </w:r>
    </w:p>
    <w:p w14:paraId="14E04B52" w14:textId="77777777" w:rsidR="00F91B40" w:rsidRPr="001916DA" w:rsidRDefault="00F91B40" w:rsidP="004E19C6">
      <w:pPr>
        <w:jc w:val="both"/>
        <w:rPr>
          <w:rFonts w:ascii="Times New Roman" w:hAnsi="Times New Roman"/>
          <w:sz w:val="22"/>
          <w:szCs w:val="22"/>
          <w:lang w:val="en-GB"/>
        </w:rPr>
      </w:pPr>
    </w:p>
    <w:p w14:paraId="7BB649E6" w14:textId="4C4B9B69" w:rsidR="003E6C7F" w:rsidRPr="001916DA" w:rsidRDefault="00BC6D95" w:rsidP="009C5AEE">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Megnövekedett hematotoxicitás és/vagy immunszuppresszió alakulhat ki a ciklofoszfamid és például az alábbi szerek kombinált hatása következtében:</w:t>
      </w:r>
    </w:p>
    <w:p w14:paraId="1B3DF6D7" w14:textId="77777777" w:rsidR="003E6C7F" w:rsidRPr="001916DA" w:rsidRDefault="003E6C7F"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ACE-gátlók: az ACE-gátlók leukopénia kialakulásához vezethetnek;</w:t>
      </w:r>
    </w:p>
    <w:p w14:paraId="33335A5E" w14:textId="3F07CD75" w:rsidR="00604458" w:rsidRPr="001916DA" w:rsidRDefault="00155370"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natalizumab;</w:t>
      </w:r>
    </w:p>
    <w:p w14:paraId="541E8DD5" w14:textId="2B566310" w:rsidR="00604458" w:rsidRPr="001916DA" w:rsidRDefault="00B00C49"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paklitaxel: a ciklofoszfamid paklitaxel-infúziót követő alkalmazása kapcsán fokozott hematotoxicitásról számoltak be;</w:t>
      </w:r>
    </w:p>
    <w:p w14:paraId="3333FB5F" w14:textId="5C48299C" w:rsidR="00604458" w:rsidRPr="001916DA" w:rsidRDefault="00925F0A"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tiazid diuretikumok (pl. hidroklorotiazid): csontvelő-szupresszió előfordulásának növekedéséről számoltak be.</w:t>
      </w:r>
    </w:p>
    <w:p w14:paraId="6C3F40ED" w14:textId="29CA16A7" w:rsidR="00604458" w:rsidRDefault="00925F0A"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zidovudin</w:t>
      </w:r>
    </w:p>
    <w:p w14:paraId="5370EABC" w14:textId="2DE9FED9" w:rsidR="007205D5" w:rsidRPr="001916DA" w:rsidRDefault="007205D5"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klozapin</w:t>
      </w:r>
    </w:p>
    <w:p w14:paraId="51AAC6FF" w14:textId="77777777" w:rsidR="00604458" w:rsidRPr="001916DA" w:rsidRDefault="00604458" w:rsidP="0046151C">
      <w:pPr>
        <w:rPr>
          <w:rFonts w:ascii="Times New Roman" w:hAnsi="Times New Roman"/>
          <w:sz w:val="22"/>
          <w:szCs w:val="22"/>
          <w:lang w:val="en-GB"/>
        </w:rPr>
      </w:pPr>
    </w:p>
    <w:p w14:paraId="1FA10B11" w14:textId="7F15408C" w:rsidR="00604458" w:rsidRPr="001916DA" w:rsidRDefault="00BC6D95"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Megnövekedett kardiotoxicitás alakulhat ki a ciklofoszfamid és például az alábbi szerek kombinált hatása következtében:</w:t>
      </w:r>
    </w:p>
    <w:p w14:paraId="00324A45" w14:textId="77777777" w:rsidR="00604458" w:rsidRDefault="00AC5EDB"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antraciklinek;</w:t>
      </w:r>
    </w:p>
    <w:p w14:paraId="5737209B" w14:textId="78EABCFD" w:rsidR="00EF0001" w:rsidRPr="001916DA" w:rsidRDefault="00EF0001"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mitomicin</w:t>
      </w:r>
    </w:p>
    <w:p w14:paraId="2457EA4C" w14:textId="77777777" w:rsidR="00604458" w:rsidRPr="001916DA" w:rsidRDefault="005B15D1"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citarabin;</w:t>
      </w:r>
    </w:p>
    <w:p w14:paraId="5BC4260C" w14:textId="77777777" w:rsidR="00604458" w:rsidRPr="001916DA" w:rsidRDefault="005B15D1"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pentosztatin;</w:t>
      </w:r>
    </w:p>
    <w:p w14:paraId="0EF48AAE" w14:textId="6F6F6E9C" w:rsidR="00604458" w:rsidRPr="001916DA" w:rsidRDefault="00BC25C8"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szívtájéki besugárzás vagy a teljes test besugárzása nagy ciklofoszfamid dózisok mellett;</w:t>
      </w:r>
    </w:p>
    <w:p w14:paraId="5678F366" w14:textId="77777777" w:rsidR="00604458" w:rsidRPr="001916DA" w:rsidRDefault="00BC25C8"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trasztuzumab.</w:t>
      </w:r>
    </w:p>
    <w:p w14:paraId="791E871D" w14:textId="77777777" w:rsidR="00604458" w:rsidRPr="001916DA" w:rsidRDefault="00604458" w:rsidP="004E19C6">
      <w:pPr>
        <w:rPr>
          <w:rFonts w:ascii="Times New Roman" w:hAnsi="Times New Roman"/>
          <w:sz w:val="22"/>
          <w:szCs w:val="22"/>
          <w:lang w:val="en-GB"/>
        </w:rPr>
      </w:pPr>
    </w:p>
    <w:p w14:paraId="2332556E" w14:textId="39118C90" w:rsidR="00604458" w:rsidRPr="001916DA" w:rsidRDefault="00CA08C5"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Megnövekedett pulmonalis toxicitás alakulhat ki a ciklofoszfamid és például az alábbi szerek kombinált hatása következtében:</w:t>
      </w:r>
    </w:p>
    <w:p w14:paraId="5D041408" w14:textId="77777777" w:rsidR="00604458" w:rsidRPr="001916DA" w:rsidRDefault="00FB4936" w:rsidP="005E3CA1">
      <w:pPr>
        <w:pStyle w:val="Listaszerbekezds"/>
        <w:numPr>
          <w:ilvl w:val="1"/>
          <w:numId w:val="34"/>
        </w:numPr>
        <w:rPr>
          <w:rFonts w:ascii="Times New Roman" w:hAnsi="Times New Roman"/>
          <w:color w:val="auto"/>
          <w:sz w:val="22"/>
          <w:szCs w:val="22"/>
        </w:rPr>
      </w:pPr>
      <w:r>
        <w:rPr>
          <w:rFonts w:ascii="Times New Roman" w:hAnsi="Times New Roman"/>
          <w:color w:val="auto"/>
          <w:sz w:val="22"/>
        </w:rPr>
        <w:t>amiodaron;</w:t>
      </w:r>
    </w:p>
    <w:p w14:paraId="00816428" w14:textId="714A4BA6" w:rsidR="00AB35F7" w:rsidRPr="001916DA" w:rsidRDefault="00AB35F7" w:rsidP="005E3CA1">
      <w:pPr>
        <w:pStyle w:val="Listaszerbekezds"/>
        <w:numPr>
          <w:ilvl w:val="1"/>
          <w:numId w:val="34"/>
        </w:numPr>
        <w:rPr>
          <w:rFonts w:ascii="Times New Roman" w:hAnsi="Times New Roman"/>
          <w:color w:val="auto"/>
          <w:sz w:val="22"/>
          <w:szCs w:val="22"/>
        </w:rPr>
      </w:pPr>
      <w:r>
        <w:rPr>
          <w:rFonts w:ascii="Times New Roman" w:hAnsi="Times New Roman"/>
          <w:color w:val="auto"/>
          <w:sz w:val="22"/>
        </w:rPr>
        <w:t>G-CSF, GM-CSF (granulocita kolóniastimuláló faktor, granulocita-makrofág kolóniastimuláló faktor): jelentések alapján feltételezhető a pulmonalis toxicitás kockázatának növekedése olyan betegek esetében, akik a citotoxikus kemoterápia részeként ciklofoszfamidot, valamint G-CSF-et vagy GM-CSF-et kaptak.</w:t>
      </w:r>
    </w:p>
    <w:p w14:paraId="7EEBFF8F" w14:textId="77777777" w:rsidR="00AB35F7" w:rsidRPr="001916DA" w:rsidRDefault="00AB35F7" w:rsidP="0046151C">
      <w:pPr>
        <w:rPr>
          <w:rFonts w:ascii="Times New Roman" w:hAnsi="Times New Roman"/>
          <w:sz w:val="22"/>
          <w:szCs w:val="22"/>
          <w:lang w:val="en-GB"/>
        </w:rPr>
      </w:pPr>
    </w:p>
    <w:p w14:paraId="3EB81786" w14:textId="5BED32C3" w:rsidR="00AB35F7" w:rsidRPr="001916DA" w:rsidRDefault="00F250B4"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Megnövekedett nefrotoxicitás alakulhat ki a ciklofoszfamid és például az alábbi szerek kombinált hatása következtében:</w:t>
      </w:r>
    </w:p>
    <w:p w14:paraId="376B3763" w14:textId="77777777" w:rsidR="00AB35F7" w:rsidRPr="001916DA" w:rsidRDefault="00F64537" w:rsidP="009C5AEE">
      <w:pPr>
        <w:pStyle w:val="Listaszerbekezds"/>
        <w:numPr>
          <w:ilvl w:val="1"/>
          <w:numId w:val="34"/>
        </w:numPr>
        <w:rPr>
          <w:rFonts w:ascii="Times New Roman" w:hAnsi="Times New Roman"/>
          <w:color w:val="auto"/>
          <w:sz w:val="22"/>
          <w:szCs w:val="22"/>
        </w:rPr>
      </w:pPr>
      <w:r>
        <w:rPr>
          <w:rFonts w:ascii="Times New Roman" w:hAnsi="Times New Roman"/>
          <w:color w:val="auto"/>
          <w:sz w:val="22"/>
        </w:rPr>
        <w:t>amfotericin B;</w:t>
      </w:r>
    </w:p>
    <w:p w14:paraId="2738A449" w14:textId="77777777" w:rsidR="00AB35F7" w:rsidRDefault="00FB4936" w:rsidP="005E3CA1">
      <w:pPr>
        <w:pStyle w:val="Listaszerbekezds"/>
        <w:numPr>
          <w:ilvl w:val="1"/>
          <w:numId w:val="34"/>
        </w:numPr>
        <w:rPr>
          <w:rFonts w:ascii="Times New Roman" w:hAnsi="Times New Roman"/>
          <w:color w:val="auto"/>
          <w:sz w:val="22"/>
          <w:szCs w:val="22"/>
        </w:rPr>
      </w:pPr>
      <w:r>
        <w:rPr>
          <w:rFonts w:ascii="Times New Roman" w:hAnsi="Times New Roman"/>
          <w:color w:val="auto"/>
          <w:sz w:val="22"/>
        </w:rPr>
        <w:t>indometacin: indometacinnal végzett egyidejű kezelés kapcsán akut vízmérgezés fellépéséről számoltak be.</w:t>
      </w:r>
    </w:p>
    <w:p w14:paraId="12433387" w14:textId="77777777" w:rsidR="001D7184" w:rsidRPr="001916DA" w:rsidRDefault="001D7184" w:rsidP="00C611C5">
      <w:pPr>
        <w:pStyle w:val="Listaszerbekezds"/>
        <w:ind w:left="1800"/>
        <w:rPr>
          <w:rFonts w:ascii="Times New Roman" w:hAnsi="Times New Roman"/>
          <w:color w:val="auto"/>
          <w:sz w:val="22"/>
          <w:szCs w:val="22"/>
          <w:lang w:val="en-GB"/>
        </w:rPr>
      </w:pPr>
    </w:p>
    <w:p w14:paraId="0A6232D2" w14:textId="77777777" w:rsidR="00691081" w:rsidRPr="001916DA" w:rsidRDefault="00691081" w:rsidP="004E19C6">
      <w:pPr>
        <w:rPr>
          <w:rFonts w:ascii="Times New Roman" w:hAnsi="Times New Roman"/>
          <w:sz w:val="22"/>
          <w:szCs w:val="22"/>
          <w:lang w:val="en-GB"/>
        </w:rPr>
      </w:pPr>
    </w:p>
    <w:p w14:paraId="74444E32" w14:textId="77777777" w:rsidR="00691081" w:rsidRPr="001916DA" w:rsidRDefault="00836F04" w:rsidP="005E3CA1">
      <w:pPr>
        <w:rPr>
          <w:rFonts w:ascii="Times New Roman" w:hAnsi="Times New Roman"/>
          <w:sz w:val="22"/>
          <w:szCs w:val="22"/>
          <w:u w:val="single"/>
        </w:rPr>
      </w:pPr>
      <w:r>
        <w:rPr>
          <w:rFonts w:ascii="Times New Roman" w:hAnsi="Times New Roman"/>
          <w:sz w:val="22"/>
          <w:u w:val="single"/>
        </w:rPr>
        <w:t>Egyéb kölcsönhatások</w:t>
      </w:r>
    </w:p>
    <w:p w14:paraId="7B78BEEF" w14:textId="77777777" w:rsidR="00691081" w:rsidRPr="001916DA" w:rsidRDefault="00836F04"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Alkohol</w:t>
      </w:r>
    </w:p>
    <w:p w14:paraId="6241D0E1" w14:textId="54E78D59" w:rsidR="000A1FFB" w:rsidRPr="001916DA" w:rsidRDefault="000A1FFB" w:rsidP="005E3CA1">
      <w:pPr>
        <w:pStyle w:val="Listaszerbekezds"/>
        <w:rPr>
          <w:rFonts w:ascii="Times New Roman" w:hAnsi="Times New Roman"/>
          <w:color w:val="auto"/>
          <w:sz w:val="22"/>
          <w:szCs w:val="22"/>
        </w:rPr>
      </w:pPr>
      <w:r>
        <w:rPr>
          <w:rFonts w:ascii="Times New Roman" w:hAnsi="Times New Roman"/>
          <w:color w:val="auto"/>
          <w:sz w:val="22"/>
        </w:rPr>
        <w:t xml:space="preserve">Daganatos állatoknál csökkent daganatellenes aktivitást figyeltek meg etanol (alkohol) fogyasztása és egyidejű, alacsony dózisú per os ciklofoszfamid-gyógyszerezés esetén. </w:t>
      </w:r>
    </w:p>
    <w:p w14:paraId="11F743E6" w14:textId="54B4292E" w:rsidR="000A1FFB" w:rsidRPr="001916DA" w:rsidRDefault="000A1FFB" w:rsidP="005E3CA1">
      <w:pPr>
        <w:pStyle w:val="Listaszerbekezds"/>
        <w:rPr>
          <w:rFonts w:ascii="Times New Roman" w:hAnsi="Times New Roman"/>
          <w:color w:val="auto"/>
          <w:sz w:val="22"/>
          <w:szCs w:val="22"/>
        </w:rPr>
      </w:pPr>
      <w:r>
        <w:rPr>
          <w:rFonts w:ascii="Times New Roman" w:hAnsi="Times New Roman"/>
          <w:color w:val="auto"/>
          <w:sz w:val="22"/>
        </w:rPr>
        <w:t>Egyes betegekben az alkohol fokozhatja a ciklofoszfamid által kiváltott hányingert és hányást.</w:t>
      </w:r>
    </w:p>
    <w:p w14:paraId="55F48135" w14:textId="77777777" w:rsidR="00691081" w:rsidRPr="001916DA" w:rsidRDefault="00691081" w:rsidP="005E3CA1">
      <w:pPr>
        <w:pStyle w:val="Listaszerbekezds"/>
        <w:rPr>
          <w:rFonts w:ascii="Times New Roman" w:hAnsi="Times New Roman"/>
          <w:color w:val="auto"/>
          <w:sz w:val="22"/>
          <w:szCs w:val="22"/>
          <w:lang w:val="en-GB"/>
        </w:rPr>
      </w:pPr>
    </w:p>
    <w:p w14:paraId="200DA001" w14:textId="77777777" w:rsidR="00691081" w:rsidRPr="001916DA" w:rsidRDefault="00691081"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Etanercept</w:t>
      </w:r>
    </w:p>
    <w:p w14:paraId="45C0005C" w14:textId="1E9CA3ED" w:rsidR="00691081" w:rsidRPr="001916DA" w:rsidRDefault="00707DCE" w:rsidP="005E3CA1">
      <w:pPr>
        <w:pStyle w:val="Listaszerbekezds"/>
        <w:rPr>
          <w:rFonts w:ascii="Times New Roman" w:hAnsi="Times New Roman"/>
          <w:color w:val="auto"/>
          <w:sz w:val="22"/>
          <w:szCs w:val="22"/>
        </w:rPr>
      </w:pPr>
      <w:r>
        <w:rPr>
          <w:rFonts w:ascii="Times New Roman" w:hAnsi="Times New Roman"/>
          <w:color w:val="auto"/>
          <w:sz w:val="22"/>
        </w:rPr>
        <w:t>Wegener-granulomatosisban szenvedő betegeknél a hagyományos, ciklofoszfamidot is tartalmazó kezelés etanercepttel történő kiegészítésénél a nem bőr eredetű szolid rosszindulatú tumorok nagyobb előfordulási gyakoriságát észlelték.</w:t>
      </w:r>
    </w:p>
    <w:p w14:paraId="71DA9386" w14:textId="77777777" w:rsidR="005B7995" w:rsidRPr="001916DA" w:rsidRDefault="005B7995" w:rsidP="005E3CA1">
      <w:pPr>
        <w:pStyle w:val="Listaszerbekezds"/>
        <w:rPr>
          <w:rFonts w:ascii="Times New Roman" w:hAnsi="Times New Roman"/>
          <w:color w:val="auto"/>
          <w:sz w:val="22"/>
          <w:szCs w:val="22"/>
          <w:lang w:val="en-GB"/>
        </w:rPr>
      </w:pPr>
    </w:p>
    <w:p w14:paraId="695A6E2B" w14:textId="77777777" w:rsidR="005B7995" w:rsidRPr="001916DA" w:rsidRDefault="005B7995"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Metronidazol</w:t>
      </w:r>
    </w:p>
    <w:p w14:paraId="4D415671" w14:textId="7A49893F" w:rsidR="005B7995" w:rsidRPr="001916DA" w:rsidRDefault="003E618C" w:rsidP="005E3CA1">
      <w:pPr>
        <w:pStyle w:val="Listaszerbekezds"/>
        <w:rPr>
          <w:rFonts w:ascii="Times New Roman" w:hAnsi="Times New Roman"/>
          <w:color w:val="auto"/>
          <w:sz w:val="22"/>
          <w:szCs w:val="22"/>
        </w:rPr>
      </w:pPr>
      <w:r>
        <w:rPr>
          <w:rFonts w:ascii="Times New Roman" w:hAnsi="Times New Roman"/>
          <w:color w:val="auto"/>
          <w:sz w:val="22"/>
        </w:rPr>
        <w:t>Egy egyidejű ciklofoszfamid- és metronidazol-kezelésben részesülő betegnél akut encephalopathia jelentkezését észlelték. Az ok-okozati összefüggés nem tisztázott.</w:t>
      </w:r>
    </w:p>
    <w:p w14:paraId="5E9DF954" w14:textId="72232108" w:rsidR="003E618C" w:rsidRPr="001916DA" w:rsidRDefault="003E618C" w:rsidP="005E3CA1">
      <w:pPr>
        <w:pStyle w:val="Listaszerbekezds"/>
        <w:rPr>
          <w:rFonts w:ascii="Times New Roman" w:hAnsi="Times New Roman"/>
          <w:color w:val="auto"/>
          <w:sz w:val="22"/>
          <w:szCs w:val="22"/>
        </w:rPr>
      </w:pPr>
      <w:r>
        <w:rPr>
          <w:rFonts w:ascii="Times New Roman" w:hAnsi="Times New Roman"/>
          <w:color w:val="auto"/>
          <w:sz w:val="22"/>
        </w:rPr>
        <w:t>Állatkísérletekben a ciklofoszfamidnak metronidazollal való kombinációja a ciklofoszfamid fokozott toxicitását eredményezte.</w:t>
      </w:r>
    </w:p>
    <w:p w14:paraId="6B516BAD" w14:textId="77777777" w:rsidR="00EC54BD" w:rsidRPr="001916DA" w:rsidRDefault="00EC54BD" w:rsidP="005E3CA1">
      <w:pPr>
        <w:pStyle w:val="Listaszerbekezds"/>
        <w:rPr>
          <w:rFonts w:ascii="Times New Roman" w:hAnsi="Times New Roman"/>
          <w:color w:val="auto"/>
          <w:sz w:val="22"/>
          <w:szCs w:val="22"/>
          <w:lang w:val="en-GB"/>
        </w:rPr>
      </w:pPr>
    </w:p>
    <w:p w14:paraId="2D9CC95B" w14:textId="77777777" w:rsidR="00EC54BD" w:rsidRPr="001916DA" w:rsidRDefault="00EC54BD"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Tamoxifen</w:t>
      </w:r>
    </w:p>
    <w:p w14:paraId="72E5651F" w14:textId="77777777" w:rsidR="00EC54BD" w:rsidRPr="001916DA" w:rsidRDefault="00C84F99" w:rsidP="005E3CA1">
      <w:pPr>
        <w:pStyle w:val="Listaszerbekezds"/>
        <w:rPr>
          <w:rFonts w:ascii="Times New Roman" w:hAnsi="Times New Roman"/>
          <w:color w:val="auto"/>
          <w:sz w:val="22"/>
          <w:szCs w:val="22"/>
        </w:rPr>
      </w:pPr>
      <w:r>
        <w:rPr>
          <w:rFonts w:ascii="Times New Roman" w:hAnsi="Times New Roman"/>
          <w:color w:val="auto"/>
          <w:sz w:val="22"/>
        </w:rPr>
        <w:t>A tamoxifen és a kemoterápia egyidejű alkalmazása fokozhatja a thromboemboliás szövődmények kockázatát.</w:t>
      </w:r>
    </w:p>
    <w:p w14:paraId="656557E3" w14:textId="77777777" w:rsidR="00EC54BD" w:rsidRPr="001916DA" w:rsidRDefault="00EC54BD" w:rsidP="005E3CA1">
      <w:pPr>
        <w:rPr>
          <w:rFonts w:ascii="Times New Roman" w:hAnsi="Times New Roman"/>
          <w:sz w:val="22"/>
          <w:szCs w:val="22"/>
          <w:lang w:val="en-GB"/>
        </w:rPr>
      </w:pPr>
    </w:p>
    <w:p w14:paraId="7BE98297" w14:textId="77777777" w:rsidR="00EC54BD" w:rsidRPr="001916DA" w:rsidRDefault="00C84F99" w:rsidP="005E3CA1">
      <w:pPr>
        <w:rPr>
          <w:rFonts w:ascii="Times New Roman" w:hAnsi="Times New Roman"/>
          <w:sz w:val="22"/>
          <w:szCs w:val="22"/>
          <w:u w:val="single"/>
        </w:rPr>
      </w:pPr>
      <w:r>
        <w:rPr>
          <w:rFonts w:ascii="Times New Roman" w:hAnsi="Times New Roman"/>
          <w:sz w:val="22"/>
          <w:u w:val="single"/>
          <w:shd w:val="clear" w:color="auto" w:fill="FFFFFF"/>
        </w:rPr>
        <w:t>Egyéb gyógyszerek farmakokinetikáját és/vagy hatását befolyásoló interakciók</w:t>
      </w:r>
    </w:p>
    <w:p w14:paraId="4843E6F9" w14:textId="77777777" w:rsidR="00EC54BD" w:rsidRPr="001916DA" w:rsidRDefault="00EC54BD" w:rsidP="005E3CA1">
      <w:pPr>
        <w:rPr>
          <w:rFonts w:ascii="Times New Roman" w:hAnsi="Times New Roman"/>
          <w:sz w:val="22"/>
          <w:szCs w:val="22"/>
          <w:u w:val="single"/>
          <w:lang w:val="en-GB"/>
        </w:rPr>
      </w:pPr>
    </w:p>
    <w:p w14:paraId="7000ABB5" w14:textId="77777777" w:rsidR="00C84F99" w:rsidRPr="001916DA" w:rsidRDefault="00C84F99"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Bupropion</w:t>
      </w:r>
    </w:p>
    <w:p w14:paraId="64C82302" w14:textId="5226783B" w:rsidR="00EC54BD" w:rsidRPr="001916DA" w:rsidRDefault="00C84F99" w:rsidP="005E3CA1">
      <w:pPr>
        <w:pStyle w:val="Listaszerbekezds"/>
        <w:rPr>
          <w:rFonts w:ascii="Times New Roman" w:hAnsi="Times New Roman"/>
          <w:color w:val="auto"/>
          <w:sz w:val="22"/>
          <w:szCs w:val="22"/>
        </w:rPr>
      </w:pPr>
      <w:r>
        <w:rPr>
          <w:rFonts w:ascii="Times New Roman" w:hAnsi="Times New Roman"/>
          <w:color w:val="auto"/>
          <w:sz w:val="22"/>
        </w:rPr>
        <w:t>A ciklofoszfamid CYP2B6 által végzett lebontása gátolhatja a bupropion metabolizmusát.</w:t>
      </w:r>
    </w:p>
    <w:p w14:paraId="6CF3DF10" w14:textId="77777777" w:rsidR="00EC54BD" w:rsidRPr="001916DA" w:rsidRDefault="00EC54BD" w:rsidP="00907D49">
      <w:pPr>
        <w:pStyle w:val="Listaszerbekezds"/>
        <w:rPr>
          <w:rFonts w:ascii="Times New Roman" w:hAnsi="Times New Roman"/>
          <w:color w:val="auto"/>
          <w:sz w:val="22"/>
          <w:szCs w:val="22"/>
          <w:lang w:val="en-GB"/>
        </w:rPr>
      </w:pPr>
    </w:p>
    <w:p w14:paraId="62C152C2" w14:textId="77777777" w:rsidR="00EC54BD" w:rsidRPr="001916DA" w:rsidRDefault="00C84F99"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Kumarin</w:t>
      </w:r>
    </w:p>
    <w:p w14:paraId="2D90D6B0" w14:textId="48B72684" w:rsidR="00EC54BD" w:rsidRPr="001916DA" w:rsidRDefault="00C84F99" w:rsidP="005E3CA1">
      <w:pPr>
        <w:pStyle w:val="Listaszerbekezds"/>
        <w:rPr>
          <w:rFonts w:ascii="Times New Roman" w:hAnsi="Times New Roman"/>
          <w:color w:val="auto"/>
          <w:sz w:val="22"/>
          <w:szCs w:val="22"/>
        </w:rPr>
      </w:pPr>
      <w:r>
        <w:rPr>
          <w:rFonts w:ascii="Times New Roman" w:hAnsi="Times New Roman"/>
          <w:color w:val="auto"/>
          <w:sz w:val="22"/>
        </w:rPr>
        <w:t>Warfarin és ciklofoszfamid együttes alkalmazása kapcsán a warfarin hatásának fokozódását és csökkenését egyaránt észlelték.</w:t>
      </w:r>
    </w:p>
    <w:p w14:paraId="2888DB3B" w14:textId="77777777" w:rsidR="00EC54BD" w:rsidRPr="001916DA" w:rsidRDefault="00EC54BD" w:rsidP="005E3CA1">
      <w:pPr>
        <w:pStyle w:val="Listaszerbekezds"/>
        <w:rPr>
          <w:rFonts w:ascii="Times New Roman" w:hAnsi="Times New Roman"/>
          <w:color w:val="auto"/>
          <w:sz w:val="22"/>
          <w:szCs w:val="22"/>
          <w:lang w:val="en-GB"/>
        </w:rPr>
      </w:pPr>
    </w:p>
    <w:p w14:paraId="254F303D" w14:textId="77777777" w:rsidR="00EC54BD" w:rsidRPr="001916DA" w:rsidRDefault="008E3EB5"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Ciklosporin</w:t>
      </w:r>
    </w:p>
    <w:p w14:paraId="69FA6AC6" w14:textId="4E183C11" w:rsidR="00AB4494" w:rsidRPr="001916DA" w:rsidRDefault="00AB4494" w:rsidP="005E3CA1">
      <w:pPr>
        <w:pStyle w:val="Listaszerbekezds"/>
        <w:rPr>
          <w:rFonts w:ascii="Times New Roman" w:hAnsi="Times New Roman"/>
          <w:color w:val="auto"/>
          <w:sz w:val="22"/>
          <w:szCs w:val="22"/>
        </w:rPr>
      </w:pPr>
      <w:r>
        <w:rPr>
          <w:rFonts w:ascii="Times New Roman" w:hAnsi="Times New Roman"/>
          <w:color w:val="auto"/>
          <w:sz w:val="22"/>
        </w:rPr>
        <w:t>Azon betegek esetében, akik egyidejűleg ciklosporint és ciklofoszfamidot kaptak, a ciklosporin-szint alacsonyabb volt, mint a csak ciklosporinnal kezelt betegek esetében. Ez a kölcsönhatás stimulálhatja a transzplantátum és a gazdaszervezet összeférhetetlenség (graft-versus-host disease: GVHD) kialakulását.</w:t>
      </w:r>
    </w:p>
    <w:p w14:paraId="7AD72192" w14:textId="77777777" w:rsidR="00EC54BD" w:rsidRPr="001916DA" w:rsidRDefault="00EC54BD" w:rsidP="005E3CA1">
      <w:pPr>
        <w:pStyle w:val="Listaszerbekezds"/>
        <w:rPr>
          <w:rFonts w:ascii="Times New Roman" w:hAnsi="Times New Roman"/>
          <w:color w:val="auto"/>
          <w:sz w:val="22"/>
          <w:szCs w:val="22"/>
          <w:lang w:val="en-GB"/>
        </w:rPr>
      </w:pPr>
    </w:p>
    <w:p w14:paraId="2A2FE8E2" w14:textId="77777777" w:rsidR="00691081" w:rsidRPr="001916DA" w:rsidRDefault="00AB4494"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Depolarizáló izomrelaxánsok</w:t>
      </w:r>
    </w:p>
    <w:p w14:paraId="0B05EFE9" w14:textId="28DF54AA" w:rsidR="007C6F1D" w:rsidRPr="001916DA" w:rsidRDefault="00F1186D" w:rsidP="005E3CA1">
      <w:pPr>
        <w:pStyle w:val="Listaszerbekezds"/>
        <w:rPr>
          <w:rFonts w:ascii="Times New Roman" w:hAnsi="Times New Roman"/>
          <w:color w:val="auto"/>
          <w:sz w:val="22"/>
          <w:szCs w:val="22"/>
        </w:rPr>
      </w:pPr>
      <w:r>
        <w:rPr>
          <w:rFonts w:ascii="Times New Roman" w:hAnsi="Times New Roman"/>
          <w:color w:val="auto"/>
          <w:sz w:val="22"/>
        </w:rPr>
        <w:t>A ciklofoszfamiddal végzett kezelés a kolinészteráz-aktivitás kifejezett és tartós gátlását idézi elő. Depolarizáló izomrelaxánsokkal (pl. szukcinilkolin, szuxametónium) való együttes alkalmazásnál a pszeudokolinészteráz koncentrációjának csökkenése miatt hosszabb apnoe léphet fel. Az altatóorvost feltétlenül tájékoztatni kell arról, ha egy beteg az általános érzéstelenítés előtti 10 napban ciklofoszfamidot kapott.</w:t>
      </w:r>
    </w:p>
    <w:p w14:paraId="7DD16DE5" w14:textId="77777777" w:rsidR="007C6F1D" w:rsidRPr="001916DA" w:rsidRDefault="007C6F1D" w:rsidP="005E3CA1">
      <w:pPr>
        <w:pStyle w:val="Listaszerbekezds"/>
        <w:rPr>
          <w:rFonts w:ascii="Times New Roman" w:hAnsi="Times New Roman"/>
          <w:color w:val="auto"/>
          <w:sz w:val="22"/>
          <w:szCs w:val="22"/>
          <w:lang w:val="en-GB"/>
        </w:rPr>
      </w:pPr>
    </w:p>
    <w:p w14:paraId="5E8BA122" w14:textId="73714BAF" w:rsidR="00251438" w:rsidRDefault="00327466"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Digoxin, β-acetildi</w:t>
      </w:r>
      <w:r w:rsidRPr="009351AF">
        <w:rPr>
          <w:rFonts w:ascii="Times New Roman" w:hAnsi="Times New Roman"/>
          <w:color w:val="auto"/>
          <w:sz w:val="22"/>
        </w:rPr>
        <w:t>goxin</w:t>
      </w:r>
      <w:r>
        <w:rPr>
          <w:rFonts w:ascii="Times New Roman" w:hAnsi="Times New Roman"/>
          <w:color w:val="auto"/>
          <w:sz w:val="22"/>
        </w:rPr>
        <w:t xml:space="preserve"> </w:t>
      </w:r>
    </w:p>
    <w:p w14:paraId="6671E97E" w14:textId="4946A237" w:rsidR="007C6F1D" w:rsidRPr="001916DA" w:rsidRDefault="005F564F" w:rsidP="00C611C5">
      <w:pPr>
        <w:pStyle w:val="Listaszerbekezds"/>
        <w:rPr>
          <w:rFonts w:ascii="Times New Roman" w:hAnsi="Times New Roman"/>
          <w:color w:val="auto"/>
          <w:sz w:val="22"/>
          <w:szCs w:val="22"/>
        </w:rPr>
      </w:pPr>
      <w:r>
        <w:rPr>
          <w:rFonts w:ascii="Times New Roman" w:hAnsi="Times New Roman"/>
          <w:color w:val="auto"/>
          <w:sz w:val="22"/>
        </w:rPr>
        <w:t>Beszámoltak arról, hogy a citotoxikus kezelés gátolta a digoxin és a β-acetildigoxin tabletták felszívódását.</w:t>
      </w:r>
    </w:p>
    <w:p w14:paraId="3B1777FE" w14:textId="77777777" w:rsidR="00327466" w:rsidRPr="001916DA" w:rsidRDefault="00327466" w:rsidP="005E3CA1">
      <w:pPr>
        <w:pStyle w:val="Listaszerbekezds"/>
        <w:rPr>
          <w:rFonts w:ascii="Times New Roman" w:hAnsi="Times New Roman"/>
          <w:color w:val="auto"/>
          <w:sz w:val="22"/>
          <w:szCs w:val="22"/>
          <w:lang w:val="en-GB"/>
        </w:rPr>
      </w:pPr>
    </w:p>
    <w:p w14:paraId="0E63105C" w14:textId="77777777" w:rsidR="003E6C7F" w:rsidRPr="001916DA" w:rsidRDefault="00327466"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Vakcinák</w:t>
      </w:r>
    </w:p>
    <w:p w14:paraId="09775F09" w14:textId="58D25224" w:rsidR="0037295D" w:rsidRPr="001916DA" w:rsidRDefault="00846B64" w:rsidP="005E3CA1">
      <w:pPr>
        <w:pStyle w:val="Listaszerbekezds"/>
        <w:rPr>
          <w:rFonts w:ascii="Times New Roman" w:hAnsi="Times New Roman"/>
          <w:color w:val="auto"/>
          <w:sz w:val="22"/>
          <w:szCs w:val="22"/>
        </w:rPr>
      </w:pPr>
      <w:r>
        <w:rPr>
          <w:rFonts w:ascii="Times New Roman" w:hAnsi="Times New Roman"/>
          <w:color w:val="auto"/>
          <w:sz w:val="22"/>
        </w:rPr>
        <w:t>A ciklofoszfamid immunszuppresszív hatása miatt vakcináció esetén számítani kell a csökkent immunválaszra. Élő vírussal történő vakcináció esetén a vakcina fertőzést indukálhat.</w:t>
      </w:r>
    </w:p>
    <w:p w14:paraId="438585EE" w14:textId="77777777" w:rsidR="00327466" w:rsidRPr="001916DA" w:rsidRDefault="00327466" w:rsidP="005E3CA1">
      <w:pPr>
        <w:pStyle w:val="Listaszerbekezds"/>
        <w:rPr>
          <w:rFonts w:ascii="Times New Roman" w:hAnsi="Times New Roman"/>
          <w:color w:val="auto"/>
          <w:sz w:val="22"/>
          <w:szCs w:val="22"/>
          <w:lang w:val="en-GB"/>
        </w:rPr>
      </w:pPr>
    </w:p>
    <w:p w14:paraId="746FD4FF" w14:textId="77777777" w:rsidR="00327466" w:rsidRPr="001916DA" w:rsidRDefault="00327466"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Verapamil</w:t>
      </w:r>
    </w:p>
    <w:p w14:paraId="014B3D2A" w14:textId="35C9F8CA" w:rsidR="00327466" w:rsidRDefault="00846B64" w:rsidP="005E3CA1">
      <w:pPr>
        <w:pStyle w:val="Listaszerbekezds"/>
        <w:rPr>
          <w:rFonts w:ascii="Times New Roman" w:hAnsi="Times New Roman"/>
          <w:color w:val="auto"/>
          <w:sz w:val="22"/>
          <w:szCs w:val="22"/>
        </w:rPr>
      </w:pPr>
      <w:r>
        <w:rPr>
          <w:rFonts w:ascii="Times New Roman" w:hAnsi="Times New Roman"/>
          <w:color w:val="auto"/>
          <w:sz w:val="22"/>
        </w:rPr>
        <w:t>Beszámoltak arról, hogy a citotoxikus kezelés gátolta a per os alkalmazott verapamil felszívódását a bélből.</w:t>
      </w:r>
    </w:p>
    <w:p w14:paraId="7DEA5B53" w14:textId="77777777" w:rsidR="00DA2423" w:rsidRDefault="00DA2423" w:rsidP="005E3CA1">
      <w:pPr>
        <w:pStyle w:val="Listaszerbekezds"/>
        <w:rPr>
          <w:rFonts w:ascii="Times New Roman" w:hAnsi="Times New Roman"/>
          <w:color w:val="auto"/>
          <w:sz w:val="22"/>
          <w:szCs w:val="22"/>
          <w:lang w:val="en-GB"/>
        </w:rPr>
      </w:pPr>
    </w:p>
    <w:p w14:paraId="22BE7B89" w14:textId="154AA1E7" w:rsidR="00DA2423" w:rsidRDefault="00DA2423" w:rsidP="00C611C5">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Szulfonilurea származékok</w:t>
      </w:r>
    </w:p>
    <w:p w14:paraId="0095FE55" w14:textId="6B31D609" w:rsidR="00DA2423" w:rsidRPr="001916DA" w:rsidRDefault="00DA2423" w:rsidP="005E3CA1">
      <w:pPr>
        <w:pStyle w:val="Listaszerbekezds"/>
        <w:rPr>
          <w:rFonts w:ascii="Times New Roman" w:hAnsi="Times New Roman"/>
          <w:color w:val="auto"/>
          <w:sz w:val="22"/>
          <w:szCs w:val="22"/>
        </w:rPr>
      </w:pPr>
      <w:r>
        <w:rPr>
          <w:rFonts w:ascii="Times New Roman" w:hAnsi="Times New Roman"/>
          <w:color w:val="auto"/>
          <w:sz w:val="22"/>
        </w:rPr>
        <w:t>Ciklofoszfamid és szulfonilurea származékok együttes alkalmazása esetén csökkenhet a vércukorszint.</w:t>
      </w:r>
    </w:p>
    <w:p w14:paraId="3E7637EB" w14:textId="77777777" w:rsidR="00EC2EEE" w:rsidRPr="001916DA" w:rsidRDefault="00EC2EEE" w:rsidP="0046151C">
      <w:pPr>
        <w:rPr>
          <w:rFonts w:ascii="Times New Roman" w:hAnsi="Times New Roman"/>
          <w:sz w:val="22"/>
          <w:szCs w:val="22"/>
          <w:lang w:val="en-GB"/>
        </w:rPr>
      </w:pPr>
    </w:p>
    <w:p w14:paraId="584C0D09" w14:textId="77777777" w:rsidR="0037295D" w:rsidRPr="001916DA" w:rsidRDefault="00EF26CE" w:rsidP="004E19C6">
      <w:pPr>
        <w:tabs>
          <w:tab w:val="left" w:pos="540"/>
        </w:tabs>
        <w:rPr>
          <w:rFonts w:ascii="Times New Roman" w:hAnsi="Times New Roman"/>
          <w:b/>
          <w:color w:val="auto"/>
          <w:sz w:val="22"/>
          <w:szCs w:val="22"/>
        </w:rPr>
      </w:pPr>
      <w:r>
        <w:rPr>
          <w:rFonts w:ascii="Times New Roman" w:hAnsi="Times New Roman"/>
          <w:b/>
          <w:color w:val="auto"/>
          <w:sz w:val="22"/>
        </w:rPr>
        <w:t>4.6</w:t>
      </w:r>
      <w:r>
        <w:rPr>
          <w:rFonts w:ascii="Times New Roman" w:hAnsi="Times New Roman"/>
          <w:b/>
          <w:color w:val="auto"/>
          <w:sz w:val="22"/>
        </w:rPr>
        <w:tab/>
      </w:r>
      <w:r>
        <w:rPr>
          <w:rFonts w:ascii="Times New Roman" w:hAnsi="Times New Roman"/>
          <w:b/>
          <w:sz w:val="22"/>
          <w:shd w:val="clear" w:color="auto" w:fill="FFFFFF"/>
        </w:rPr>
        <w:t>Termékenység, terhesség és szoptatás</w:t>
      </w:r>
    </w:p>
    <w:p w14:paraId="789CEF54" w14:textId="77777777" w:rsidR="004E3C35" w:rsidRPr="00866CDA" w:rsidRDefault="004E3C35" w:rsidP="004E19C6">
      <w:pPr>
        <w:rPr>
          <w:rFonts w:ascii="Times New Roman" w:hAnsi="Times New Roman"/>
          <w:b/>
          <w:color w:val="auto"/>
          <w:sz w:val="22"/>
          <w:szCs w:val="22"/>
          <w:lang w:val="en-GB"/>
        </w:rPr>
      </w:pPr>
    </w:p>
    <w:p w14:paraId="18AEE79C" w14:textId="2C4A79ED" w:rsidR="00397DBD" w:rsidRPr="00866CDA" w:rsidRDefault="00397DBD" w:rsidP="004E19C6">
      <w:pPr>
        <w:rPr>
          <w:rFonts w:ascii="Times New Roman" w:hAnsi="Times New Roman"/>
          <w:color w:val="auto"/>
          <w:sz w:val="22"/>
          <w:szCs w:val="22"/>
          <w:u w:val="single"/>
        </w:rPr>
      </w:pPr>
      <w:r>
        <w:rPr>
          <w:rFonts w:ascii="Times New Roman" w:hAnsi="Times New Roman"/>
          <w:color w:val="auto"/>
          <w:sz w:val="22"/>
          <w:u w:val="single"/>
        </w:rPr>
        <w:t>Fogamzóképes</w:t>
      </w:r>
      <w:r w:rsidR="000B5A46">
        <w:rPr>
          <w:rFonts w:ascii="Times New Roman" w:hAnsi="Times New Roman"/>
          <w:color w:val="auto"/>
          <w:sz w:val="22"/>
          <w:u w:val="single"/>
        </w:rPr>
        <w:t xml:space="preserve"> korú</w:t>
      </w:r>
      <w:r>
        <w:rPr>
          <w:rFonts w:ascii="Times New Roman" w:hAnsi="Times New Roman"/>
          <w:color w:val="auto"/>
          <w:sz w:val="22"/>
          <w:u w:val="single"/>
        </w:rPr>
        <w:t xml:space="preserve"> nők</w:t>
      </w:r>
    </w:p>
    <w:p w14:paraId="2FC186EC" w14:textId="637A57AE" w:rsidR="00397DBD" w:rsidRPr="00C611C5" w:rsidRDefault="00397DBD" w:rsidP="004E19C6">
      <w:pPr>
        <w:rPr>
          <w:rFonts w:ascii="Times New Roman" w:hAnsi="Times New Roman"/>
          <w:color w:val="auto"/>
          <w:sz w:val="22"/>
          <w:szCs w:val="22"/>
        </w:rPr>
      </w:pPr>
      <w:r>
        <w:rPr>
          <w:rFonts w:ascii="Times New Roman" w:hAnsi="Times New Roman"/>
          <w:color w:val="auto"/>
          <w:sz w:val="22"/>
        </w:rPr>
        <w:t>Prepubertásban ciklofoszfamiddal kezelt lányoknál a másodlagos nemi jellegek rendszerint normálisan fejlődnek ki és rendszeresen menstruálnak.</w:t>
      </w:r>
    </w:p>
    <w:p w14:paraId="7B6958D0" w14:textId="77777777" w:rsidR="00397DBD" w:rsidRPr="00866CDA" w:rsidRDefault="00397DBD" w:rsidP="004E19C6">
      <w:pPr>
        <w:rPr>
          <w:rFonts w:ascii="Times New Roman" w:hAnsi="Times New Roman"/>
          <w:color w:val="auto"/>
          <w:sz w:val="22"/>
          <w:szCs w:val="22"/>
          <w:u w:val="single"/>
          <w:lang w:val="en-GB"/>
        </w:rPr>
      </w:pPr>
    </w:p>
    <w:p w14:paraId="2634F906" w14:textId="77777777" w:rsidR="00397DBD" w:rsidRPr="00C611C5" w:rsidRDefault="00397DBD" w:rsidP="00397DBD">
      <w:pPr>
        <w:rPr>
          <w:rFonts w:ascii="Times New Roman" w:hAnsi="Times New Roman"/>
          <w:color w:val="auto"/>
          <w:sz w:val="22"/>
          <w:szCs w:val="22"/>
        </w:rPr>
      </w:pPr>
      <w:r>
        <w:rPr>
          <w:rFonts w:ascii="Times New Roman" w:hAnsi="Times New Roman"/>
          <w:color w:val="auto"/>
          <w:sz w:val="22"/>
        </w:rPr>
        <w:t>Prepubertásban ciklofoszfamiddal kezelt lányok később képesek teherbe esni.</w:t>
      </w:r>
    </w:p>
    <w:p w14:paraId="56C5EE5D" w14:textId="77777777" w:rsidR="00397DBD" w:rsidRPr="00C611C5" w:rsidRDefault="00397DBD" w:rsidP="00397DBD">
      <w:pPr>
        <w:rPr>
          <w:rFonts w:ascii="Times New Roman" w:hAnsi="Times New Roman"/>
          <w:color w:val="auto"/>
          <w:sz w:val="22"/>
          <w:szCs w:val="22"/>
          <w:lang w:val="en-GB"/>
        </w:rPr>
      </w:pPr>
    </w:p>
    <w:p w14:paraId="13812CC2" w14:textId="59421253" w:rsidR="00397DBD" w:rsidRPr="00C611C5" w:rsidRDefault="00397DBD" w:rsidP="00397DBD">
      <w:pPr>
        <w:rPr>
          <w:rFonts w:ascii="Times New Roman" w:hAnsi="Times New Roman"/>
          <w:color w:val="auto"/>
          <w:sz w:val="22"/>
          <w:szCs w:val="22"/>
        </w:rPr>
      </w:pPr>
      <w:r>
        <w:rPr>
          <w:rFonts w:ascii="Times New Roman" w:hAnsi="Times New Roman"/>
          <w:color w:val="auto"/>
          <w:sz w:val="22"/>
        </w:rPr>
        <w:t>Azoknál a ciklofoszfamiddal kezelt lányoknál, akiknél a kezelés után fennmaradt a petefészek-működés, nagyobb a kockázata az idő előtti menopauza bekövetkezésének (40 éves kor előtt elmarad a menstruáció).</w:t>
      </w:r>
    </w:p>
    <w:p w14:paraId="02565B6D" w14:textId="77777777" w:rsidR="00397DBD" w:rsidRPr="00866CDA" w:rsidRDefault="00397DBD" w:rsidP="004E19C6">
      <w:pPr>
        <w:rPr>
          <w:rFonts w:ascii="Times New Roman" w:hAnsi="Times New Roman"/>
          <w:color w:val="auto"/>
          <w:sz w:val="22"/>
          <w:szCs w:val="22"/>
          <w:u w:val="single"/>
          <w:lang w:val="en-GB"/>
        </w:rPr>
      </w:pPr>
    </w:p>
    <w:p w14:paraId="62879983" w14:textId="77777777" w:rsidR="00397DBD" w:rsidRPr="00866CDA" w:rsidRDefault="00397DBD" w:rsidP="00397DBD">
      <w:pPr>
        <w:rPr>
          <w:rFonts w:ascii="Times New Roman" w:hAnsi="Times New Roman"/>
          <w:color w:val="auto"/>
          <w:sz w:val="22"/>
          <w:szCs w:val="22"/>
          <w:u w:val="single"/>
        </w:rPr>
      </w:pPr>
      <w:r>
        <w:rPr>
          <w:rFonts w:ascii="Times New Roman" w:hAnsi="Times New Roman"/>
          <w:color w:val="auto"/>
          <w:sz w:val="22"/>
          <w:u w:val="single"/>
        </w:rPr>
        <w:t>Férfi és női fogamzásgátlás</w:t>
      </w:r>
    </w:p>
    <w:p w14:paraId="07191D9F" w14:textId="77777777" w:rsidR="00397DBD" w:rsidRPr="00866CDA" w:rsidRDefault="00397DBD" w:rsidP="00397DBD">
      <w:pPr>
        <w:rPr>
          <w:rFonts w:ascii="Times New Roman" w:hAnsi="Times New Roman"/>
          <w:color w:val="auto"/>
          <w:sz w:val="22"/>
          <w:szCs w:val="22"/>
        </w:rPr>
      </w:pPr>
      <w:r>
        <w:rPr>
          <w:rFonts w:ascii="Times New Roman" w:hAnsi="Times New Roman"/>
          <w:color w:val="auto"/>
          <w:sz w:val="22"/>
        </w:rPr>
        <w:t>A nőknek nem szabad teherbe esniük a kezelés alatt és a terápia abbahagyása után 12 hónapig.</w:t>
      </w:r>
    </w:p>
    <w:p w14:paraId="0A091E2D" w14:textId="77777777" w:rsidR="00397DBD" w:rsidRPr="00C611C5" w:rsidRDefault="00397DBD" w:rsidP="00397DBD">
      <w:pPr>
        <w:rPr>
          <w:rFonts w:ascii="Times New Roman" w:hAnsi="Times New Roman"/>
          <w:color w:val="auto"/>
          <w:sz w:val="22"/>
          <w:szCs w:val="22"/>
          <w:lang w:val="en-GB"/>
        </w:rPr>
      </w:pPr>
    </w:p>
    <w:p w14:paraId="699206DF" w14:textId="52C6E605" w:rsidR="00397DBD" w:rsidRPr="00C611C5" w:rsidRDefault="00397DBD" w:rsidP="00397DBD">
      <w:pPr>
        <w:rPr>
          <w:rFonts w:ascii="Times New Roman" w:hAnsi="Times New Roman"/>
          <w:color w:val="auto"/>
          <w:sz w:val="22"/>
          <w:szCs w:val="22"/>
        </w:rPr>
      </w:pPr>
      <w:r>
        <w:rPr>
          <w:rFonts w:ascii="Times New Roman" w:hAnsi="Times New Roman"/>
          <w:color w:val="auto"/>
          <w:sz w:val="22"/>
        </w:rPr>
        <w:t>A férfiaknak nem szabad gyermeket nemzeniük a kezelés alatt és a terápia abbahagyása után 6 hónapig.</w:t>
      </w:r>
    </w:p>
    <w:p w14:paraId="1AD75AE6" w14:textId="77777777" w:rsidR="00397DBD" w:rsidRPr="00866CDA" w:rsidRDefault="00397DBD" w:rsidP="00397DBD">
      <w:pPr>
        <w:rPr>
          <w:rFonts w:ascii="Times New Roman" w:hAnsi="Times New Roman"/>
          <w:color w:val="auto"/>
          <w:sz w:val="22"/>
          <w:szCs w:val="22"/>
          <w:lang w:val="en-GB"/>
        </w:rPr>
      </w:pPr>
    </w:p>
    <w:p w14:paraId="05A1A170" w14:textId="77777777" w:rsidR="00397DBD" w:rsidRPr="00C611C5" w:rsidRDefault="00397DBD" w:rsidP="00397DBD">
      <w:pPr>
        <w:rPr>
          <w:rFonts w:ascii="Times New Roman" w:hAnsi="Times New Roman"/>
          <w:color w:val="auto"/>
          <w:sz w:val="22"/>
          <w:szCs w:val="22"/>
        </w:rPr>
      </w:pPr>
      <w:r>
        <w:rPr>
          <w:rFonts w:ascii="Times New Roman" w:hAnsi="Times New Roman"/>
          <w:color w:val="auto"/>
          <w:sz w:val="22"/>
        </w:rPr>
        <w:t>Szexuálisan aktív férfiaknak és nőknek hatékony fogamzásgátlást kell alkalmazniuk a fenti időszakok alatt.</w:t>
      </w:r>
    </w:p>
    <w:p w14:paraId="36B2F260" w14:textId="77777777" w:rsidR="00397DBD" w:rsidRPr="00866CDA" w:rsidRDefault="00397DBD" w:rsidP="00397DBD">
      <w:pPr>
        <w:rPr>
          <w:rFonts w:ascii="Times New Roman" w:hAnsi="Times New Roman"/>
          <w:color w:val="auto"/>
          <w:sz w:val="22"/>
          <w:szCs w:val="22"/>
          <w:u w:val="single"/>
          <w:lang w:val="en-GB"/>
        </w:rPr>
      </w:pPr>
    </w:p>
    <w:p w14:paraId="37965A49" w14:textId="24BB0B73" w:rsidR="004E3C35" w:rsidRPr="00866CDA" w:rsidRDefault="00AC5EDB" w:rsidP="00397DBD">
      <w:pPr>
        <w:rPr>
          <w:rFonts w:ascii="Times New Roman" w:hAnsi="Times New Roman"/>
          <w:color w:val="auto"/>
          <w:sz w:val="22"/>
          <w:szCs w:val="22"/>
          <w:u w:val="single"/>
        </w:rPr>
      </w:pPr>
      <w:r>
        <w:rPr>
          <w:rFonts w:ascii="Times New Roman" w:hAnsi="Times New Roman"/>
          <w:color w:val="auto"/>
          <w:sz w:val="22"/>
          <w:u w:val="single"/>
        </w:rPr>
        <w:t>Terhesség</w:t>
      </w:r>
    </w:p>
    <w:p w14:paraId="1BA16FD1" w14:textId="77777777" w:rsidR="001A3801" w:rsidRPr="00C611C5" w:rsidRDefault="001A3801" w:rsidP="001A3801">
      <w:pPr>
        <w:rPr>
          <w:rFonts w:ascii="Times New Roman" w:hAnsi="Times New Roman"/>
          <w:color w:val="auto"/>
          <w:sz w:val="22"/>
          <w:szCs w:val="22"/>
        </w:rPr>
      </w:pPr>
      <w:r>
        <w:rPr>
          <w:rFonts w:ascii="Times New Roman" w:hAnsi="Times New Roman"/>
          <w:color w:val="auto"/>
          <w:sz w:val="22"/>
        </w:rPr>
        <w:t>Nagyon kevés adat áll rendelkezésre a ciklofoszfamid terhesség alatti alkalmazásáról. Az első trimeszter alatt történő alkalmazás után súlyos, többszörös, veleszületett fejlődési rendellenességeket jelentettek.</w:t>
      </w:r>
    </w:p>
    <w:p w14:paraId="1B4B60F3" w14:textId="77777777" w:rsidR="001A3801" w:rsidRPr="00C611C5" w:rsidRDefault="001A3801" w:rsidP="001A3801">
      <w:pPr>
        <w:rPr>
          <w:rFonts w:ascii="Times New Roman" w:hAnsi="Times New Roman"/>
          <w:color w:val="auto"/>
          <w:sz w:val="22"/>
          <w:szCs w:val="22"/>
        </w:rPr>
      </w:pPr>
      <w:r>
        <w:rPr>
          <w:rFonts w:ascii="Times New Roman" w:hAnsi="Times New Roman"/>
          <w:color w:val="auto"/>
          <w:sz w:val="22"/>
        </w:rPr>
        <w:t>Állatkísérletek során teratogenitást és egyéb reproduktív toxicitást igazoltak (lásd 5.3 pont).</w:t>
      </w:r>
    </w:p>
    <w:p w14:paraId="35D2F7FC" w14:textId="77777777" w:rsidR="001A3801" w:rsidRPr="00C611C5" w:rsidRDefault="001A3801" w:rsidP="001A3801">
      <w:pPr>
        <w:rPr>
          <w:rFonts w:ascii="Times New Roman" w:hAnsi="Times New Roman"/>
          <w:color w:val="auto"/>
          <w:sz w:val="22"/>
          <w:szCs w:val="22"/>
        </w:rPr>
      </w:pPr>
      <w:r>
        <w:rPr>
          <w:rFonts w:ascii="Times New Roman" w:hAnsi="Times New Roman"/>
          <w:color w:val="auto"/>
          <w:sz w:val="22"/>
        </w:rPr>
        <w:t>Az állatkísérletek eredményei, a humán esetjelentések és a hatásmechanizmus alapján nem ajánlott a ciklofoszfamid alkalmazása terhesség alatt, különösen az első trimeszterben.</w:t>
      </w:r>
    </w:p>
    <w:p w14:paraId="3D27D22F" w14:textId="798050BD" w:rsidR="001A3801" w:rsidRPr="00C611C5" w:rsidRDefault="001A3801" w:rsidP="001A3801">
      <w:pPr>
        <w:rPr>
          <w:rFonts w:ascii="Times New Roman" w:hAnsi="Times New Roman"/>
          <w:color w:val="auto"/>
          <w:sz w:val="22"/>
          <w:szCs w:val="22"/>
        </w:rPr>
      </w:pPr>
      <w:r>
        <w:rPr>
          <w:rFonts w:ascii="Times New Roman" w:hAnsi="Times New Roman"/>
          <w:color w:val="auto"/>
          <w:sz w:val="22"/>
        </w:rPr>
        <w:t>Minden egyes esetben mérlegelni kell a kezelés potenciális előnyeit a magzat potenciális veszélyeztetésével szemben.</w:t>
      </w:r>
    </w:p>
    <w:p w14:paraId="00772CE8" w14:textId="77777777" w:rsidR="00BE24AA" w:rsidRPr="00866CDA" w:rsidRDefault="00BE24AA" w:rsidP="0046151C">
      <w:pPr>
        <w:pStyle w:val="Listaszerbekezds"/>
        <w:rPr>
          <w:rFonts w:ascii="Times New Roman" w:hAnsi="Times New Roman"/>
          <w:bCs/>
          <w:sz w:val="22"/>
          <w:szCs w:val="22"/>
          <w:lang w:val="en-GB"/>
        </w:rPr>
      </w:pPr>
    </w:p>
    <w:p w14:paraId="77027255" w14:textId="6DBA16A0" w:rsidR="004E3C35" w:rsidRPr="00866CDA" w:rsidRDefault="00B60803" w:rsidP="00E6359E">
      <w:pPr>
        <w:pStyle w:val="Listaszerbekezds"/>
        <w:ind w:left="426" w:hanging="426"/>
        <w:rPr>
          <w:rFonts w:ascii="Times New Roman" w:hAnsi="Times New Roman"/>
          <w:bCs/>
          <w:sz w:val="22"/>
          <w:szCs w:val="22"/>
          <w:u w:val="single"/>
        </w:rPr>
      </w:pPr>
      <w:r>
        <w:rPr>
          <w:rFonts w:ascii="Times New Roman" w:hAnsi="Times New Roman"/>
          <w:sz w:val="22"/>
          <w:u w:val="single"/>
        </w:rPr>
        <w:t>Szoptatás</w:t>
      </w:r>
    </w:p>
    <w:p w14:paraId="33E90D9C" w14:textId="3C71CA26" w:rsidR="00BE24AA" w:rsidRPr="00866CDA" w:rsidRDefault="00D81ED2" w:rsidP="00C611C5">
      <w:pPr>
        <w:pStyle w:val="Listaszerbekezds"/>
        <w:ind w:left="0"/>
        <w:rPr>
          <w:rFonts w:ascii="Times New Roman" w:hAnsi="Times New Roman"/>
          <w:color w:val="auto"/>
          <w:sz w:val="22"/>
          <w:szCs w:val="22"/>
        </w:rPr>
      </w:pPr>
      <w:r>
        <w:rPr>
          <w:rFonts w:ascii="Times New Roman" w:hAnsi="Times New Roman"/>
          <w:color w:val="auto"/>
          <w:sz w:val="22"/>
        </w:rPr>
        <w:t>A ciklofoszfamid kiválasztódik az anyatejbe. Neutropeniát, thrombocytopeniát, a hemoglobinszint csökkenését és hasmenést figyeltek meg olyan gyermekeknél, akiknek az anyját ciklofoszfamiddal kezelték és nem hagyta abba a szoptatást. A ciklofoszfamid-kezelés során nem szabad szoptatni (lásd 4.3 pont).</w:t>
      </w:r>
    </w:p>
    <w:p w14:paraId="42AB5804" w14:textId="77777777" w:rsidR="00866CDA" w:rsidRPr="00866CDA" w:rsidRDefault="00866CDA" w:rsidP="00C611C5">
      <w:pPr>
        <w:pStyle w:val="Listaszerbekezds"/>
        <w:ind w:left="0"/>
        <w:rPr>
          <w:rFonts w:ascii="Times New Roman" w:hAnsi="Times New Roman"/>
          <w:color w:val="auto"/>
          <w:sz w:val="22"/>
          <w:szCs w:val="22"/>
          <w:lang w:val="en-GB"/>
        </w:rPr>
      </w:pPr>
    </w:p>
    <w:p w14:paraId="50CDF827" w14:textId="77777777" w:rsidR="00136C6C" w:rsidRPr="00C611C5" w:rsidRDefault="00866CDA" w:rsidP="00C611C5">
      <w:pPr>
        <w:rPr>
          <w:rFonts w:ascii="Times New Roman" w:hAnsi="Times New Roman"/>
          <w:sz w:val="22"/>
          <w:szCs w:val="22"/>
          <w:u w:val="single"/>
        </w:rPr>
      </w:pPr>
      <w:r>
        <w:rPr>
          <w:rFonts w:ascii="Times New Roman" w:hAnsi="Times New Roman"/>
          <w:sz w:val="22"/>
          <w:u w:val="single"/>
        </w:rPr>
        <w:t>Termékenység</w:t>
      </w:r>
    </w:p>
    <w:p w14:paraId="3EEBA9EE" w14:textId="5C717CE5" w:rsidR="00136C6C" w:rsidRPr="00C611C5" w:rsidRDefault="00136C6C" w:rsidP="00C611C5">
      <w:pPr>
        <w:rPr>
          <w:rFonts w:ascii="Times New Roman" w:hAnsi="Times New Roman"/>
          <w:sz w:val="22"/>
          <w:szCs w:val="22"/>
        </w:rPr>
      </w:pPr>
      <w:r>
        <w:rPr>
          <w:rFonts w:ascii="Times New Roman" w:hAnsi="Times New Roman"/>
          <w:color w:val="auto"/>
          <w:sz w:val="22"/>
        </w:rPr>
        <w:t xml:space="preserve">A ciklofoszfamid megzavarja az oogenesist és a spermatogenesist. Mindkét nemben sterilitást okozhat. A ciklofoszfamid átmeneti vagy maradandó amenorrheát okozhat a nőknél, és oligospermiát vagy azoospermiát a fiúknál, ha a ciklofoszfamid-kezelést a pubertáskor előtt kapják. A ciklofoszfamiddal kezelt férfiaknál oligospermia vagy azoospermia alakulhat ki. Ciklofoszfamid-kezelés előtt a férfiakat tájékoztatni kell a kezelés </w:t>
      </w:r>
      <w:r w:rsidRPr="009351AF">
        <w:rPr>
          <w:rFonts w:ascii="Times New Roman" w:hAnsi="Times New Roman"/>
          <w:color w:val="auto"/>
          <w:sz w:val="22"/>
        </w:rPr>
        <w:t>előtt</w:t>
      </w:r>
      <w:r w:rsidR="003832BD" w:rsidRPr="009351AF">
        <w:rPr>
          <w:rFonts w:ascii="Times New Roman" w:hAnsi="Times New Roman"/>
          <w:color w:val="auto"/>
          <w:sz w:val="22"/>
        </w:rPr>
        <w:t>i</w:t>
      </w:r>
      <w:r>
        <w:rPr>
          <w:rFonts w:ascii="Times New Roman" w:hAnsi="Times New Roman"/>
          <w:color w:val="auto"/>
          <w:sz w:val="22"/>
        </w:rPr>
        <w:t xml:space="preserve"> életképes sperma tárolásának és eltarthatóságának a lehetőségéről.</w:t>
      </w:r>
    </w:p>
    <w:p w14:paraId="0EBBD9E4" w14:textId="77777777" w:rsidR="00327466" w:rsidRPr="001916DA" w:rsidRDefault="00327466" w:rsidP="0046151C">
      <w:pPr>
        <w:autoSpaceDE w:val="0"/>
        <w:autoSpaceDN w:val="0"/>
        <w:adjustRightInd w:val="0"/>
        <w:ind w:left="480"/>
        <w:rPr>
          <w:rFonts w:ascii="Times New Roman" w:hAnsi="Times New Roman"/>
          <w:bCs/>
          <w:sz w:val="22"/>
          <w:szCs w:val="22"/>
          <w:lang w:val="en-GB"/>
        </w:rPr>
      </w:pPr>
    </w:p>
    <w:p w14:paraId="57A2A67D" w14:textId="77777777" w:rsidR="0037295D" w:rsidRPr="001916DA" w:rsidRDefault="0037295D" w:rsidP="004E19C6">
      <w:pPr>
        <w:tabs>
          <w:tab w:val="left" w:pos="540"/>
        </w:tabs>
        <w:rPr>
          <w:rFonts w:ascii="Times New Roman" w:hAnsi="Times New Roman"/>
          <w:b/>
          <w:color w:val="auto"/>
          <w:sz w:val="22"/>
          <w:szCs w:val="22"/>
        </w:rPr>
      </w:pPr>
      <w:r>
        <w:rPr>
          <w:rFonts w:ascii="Times New Roman" w:hAnsi="Times New Roman"/>
          <w:b/>
          <w:color w:val="auto"/>
          <w:sz w:val="22"/>
        </w:rPr>
        <w:t>4.7</w:t>
      </w:r>
      <w:r>
        <w:rPr>
          <w:rFonts w:ascii="Times New Roman" w:hAnsi="Times New Roman"/>
          <w:b/>
          <w:color w:val="auto"/>
          <w:sz w:val="22"/>
        </w:rPr>
        <w:tab/>
      </w:r>
      <w:r>
        <w:rPr>
          <w:rFonts w:ascii="Times New Roman" w:hAnsi="Times New Roman"/>
          <w:b/>
          <w:sz w:val="22"/>
          <w:shd w:val="clear" w:color="auto" w:fill="FFFFFF"/>
        </w:rPr>
        <w:t>A készítmény hatásai a gépjárművezetéshez és a gépek kezeléséhez szükséges képességekre</w:t>
      </w:r>
    </w:p>
    <w:p w14:paraId="15D9FF20" w14:textId="77777777" w:rsidR="0037295D" w:rsidRPr="001916DA" w:rsidRDefault="0037295D" w:rsidP="004E19C6">
      <w:pPr>
        <w:rPr>
          <w:rFonts w:ascii="Times New Roman" w:hAnsi="Times New Roman"/>
          <w:color w:val="auto"/>
          <w:sz w:val="22"/>
          <w:szCs w:val="22"/>
          <w:lang w:val="en-GB"/>
        </w:rPr>
      </w:pPr>
    </w:p>
    <w:p w14:paraId="671D2FD0" w14:textId="2F097415" w:rsidR="0037295D" w:rsidRPr="001916DA" w:rsidRDefault="00940482" w:rsidP="004E19C6">
      <w:pPr>
        <w:pStyle w:val="NormlWeb"/>
        <w:shd w:val="clear" w:color="auto" w:fill="FFFFFF"/>
        <w:spacing w:before="0" w:beforeAutospacing="0" w:after="143" w:afterAutospacing="0"/>
        <w:rPr>
          <w:sz w:val="22"/>
          <w:szCs w:val="22"/>
        </w:rPr>
      </w:pPr>
      <w:r>
        <w:rPr>
          <w:color w:val="000000"/>
          <w:sz w:val="22"/>
          <w:shd w:val="clear" w:color="auto" w:fill="FFFFFF"/>
        </w:rPr>
        <w:t xml:space="preserve">A </w:t>
      </w:r>
      <w:r>
        <w:rPr>
          <w:sz w:val="22"/>
          <w:shd w:val="clear" w:color="auto" w:fill="FFFFFF"/>
        </w:rPr>
        <w:t>ciklofoszfamid-kezelés alatt álló betegek</w:t>
      </w:r>
      <w:r>
        <w:rPr>
          <w:sz w:val="22"/>
        </w:rPr>
        <w:t xml:space="preserve"> nemkívánatos hatások – p</w:t>
      </w:r>
      <w:r>
        <w:rPr>
          <w:color w:val="000000"/>
          <w:sz w:val="22"/>
          <w:shd w:val="clear" w:color="auto" w:fill="FFFFFF"/>
        </w:rPr>
        <w:t xml:space="preserve">éldául émelygés, hányás, </w:t>
      </w:r>
      <w:r>
        <w:rPr>
          <w:sz w:val="22"/>
          <w:shd w:val="clear" w:color="auto" w:fill="FFFFFF"/>
        </w:rPr>
        <w:t xml:space="preserve">szédülés, homályos látás, </w:t>
      </w:r>
      <w:r>
        <w:rPr>
          <w:color w:val="000000"/>
          <w:sz w:val="22"/>
          <w:shd w:val="clear" w:color="auto" w:fill="FFFFFF"/>
        </w:rPr>
        <w:t>látászavar – fellépését tapasztalhatják, amelyek befolyásolhatják a gépjárművezetéshez és a gépek kezeléséhez szükséges képességeket.</w:t>
      </w:r>
      <w:r>
        <w:rPr>
          <w:sz w:val="22"/>
        </w:rPr>
        <w:t xml:space="preserve"> </w:t>
      </w:r>
      <w:r>
        <w:rPr>
          <w:color w:val="000000"/>
          <w:sz w:val="22"/>
        </w:rPr>
        <w:t>Az orvosnak egyénenként kell eldönteni, hogy a beteg alkalmas-e a járművezetésre és a gépek kezelésére.</w:t>
      </w:r>
    </w:p>
    <w:p w14:paraId="65C01973" w14:textId="77777777" w:rsidR="0037295D" w:rsidRPr="001916DA" w:rsidRDefault="0037295D" w:rsidP="005E3CA1">
      <w:pPr>
        <w:rPr>
          <w:rFonts w:ascii="Times New Roman" w:hAnsi="Times New Roman"/>
          <w:color w:val="auto"/>
          <w:sz w:val="22"/>
          <w:szCs w:val="22"/>
          <w:lang w:val="en-GB"/>
        </w:rPr>
      </w:pPr>
    </w:p>
    <w:p w14:paraId="159D3748" w14:textId="77777777" w:rsidR="0037295D" w:rsidRPr="001916DA" w:rsidRDefault="00B65485" w:rsidP="005E3CA1">
      <w:pPr>
        <w:tabs>
          <w:tab w:val="left" w:pos="540"/>
        </w:tabs>
        <w:rPr>
          <w:rFonts w:ascii="Times New Roman" w:hAnsi="Times New Roman"/>
          <w:color w:val="auto"/>
          <w:sz w:val="22"/>
          <w:szCs w:val="22"/>
        </w:rPr>
      </w:pPr>
      <w:r>
        <w:rPr>
          <w:rFonts w:ascii="Times New Roman" w:hAnsi="Times New Roman"/>
          <w:b/>
          <w:color w:val="auto"/>
          <w:sz w:val="22"/>
        </w:rPr>
        <w:t>4.8</w:t>
      </w:r>
      <w:r>
        <w:rPr>
          <w:rFonts w:ascii="Times New Roman" w:hAnsi="Times New Roman"/>
          <w:b/>
          <w:color w:val="auto"/>
          <w:sz w:val="22"/>
        </w:rPr>
        <w:tab/>
      </w:r>
      <w:r>
        <w:rPr>
          <w:rFonts w:ascii="Times New Roman" w:hAnsi="Times New Roman"/>
          <w:b/>
          <w:sz w:val="22"/>
          <w:shd w:val="clear" w:color="auto" w:fill="FFFFFF"/>
        </w:rPr>
        <w:t>Nemkívánatos hatások, mellékhatások</w:t>
      </w:r>
    </w:p>
    <w:p w14:paraId="4B5E8B37" w14:textId="77777777" w:rsidR="0037295D" w:rsidRPr="001916DA" w:rsidRDefault="0037295D" w:rsidP="005E3CA1">
      <w:pPr>
        <w:rPr>
          <w:rFonts w:ascii="Times New Roman" w:hAnsi="Times New Roman"/>
          <w:color w:val="auto"/>
          <w:sz w:val="22"/>
          <w:szCs w:val="22"/>
          <w:lang w:val="en-GB"/>
        </w:rPr>
      </w:pPr>
    </w:p>
    <w:p w14:paraId="54B7D90D" w14:textId="10E5964A" w:rsidR="001165D7" w:rsidRPr="001916DA" w:rsidRDefault="008F1345" w:rsidP="005E3CA1">
      <w:pPr>
        <w:rPr>
          <w:rFonts w:ascii="Times New Roman" w:hAnsi="Times New Roman"/>
          <w:color w:val="auto"/>
          <w:sz w:val="22"/>
          <w:szCs w:val="22"/>
          <w:u w:val="single"/>
        </w:rPr>
      </w:pPr>
      <w:r>
        <w:rPr>
          <w:rFonts w:ascii="Times New Roman" w:hAnsi="Times New Roman"/>
          <w:sz w:val="22"/>
          <w:shd w:val="clear" w:color="auto" w:fill="FFFFFF"/>
        </w:rPr>
        <w:t xml:space="preserve">Az alábbi táblázatban felsorolt mellékhatások gyakorisága klinikai vizsgálatokon és a forgalomba hozatalt követően nyert adatokon alapul. </w:t>
      </w:r>
    </w:p>
    <w:p w14:paraId="2C0E9C78" w14:textId="73E9EA1F" w:rsidR="001165D7" w:rsidRPr="001916DA" w:rsidRDefault="00215E40" w:rsidP="005E3CA1">
      <w:pPr>
        <w:rPr>
          <w:rFonts w:ascii="Times New Roman" w:hAnsi="Times New Roman"/>
          <w:sz w:val="22"/>
          <w:szCs w:val="22"/>
          <w:shd w:val="clear" w:color="auto" w:fill="FFFFFF"/>
        </w:rPr>
      </w:pPr>
      <w:r>
        <w:rPr>
          <w:rFonts w:ascii="Times New Roman" w:hAnsi="Times New Roman"/>
          <w:sz w:val="22"/>
          <w:shd w:val="clear" w:color="auto" w:fill="FFFFFF"/>
        </w:rPr>
        <w:t>A mellékhatások gyakoriságát a következő kategóriák alkalmazásával határozták meg</w:t>
      </w:r>
      <w:r>
        <w:rPr>
          <w:rFonts w:ascii="Times New Roman" w:hAnsi="Times New Roman"/>
          <w:sz w:val="22"/>
        </w:rPr>
        <w:t xml:space="preserve">: </w:t>
      </w:r>
      <w:r>
        <w:rPr>
          <w:rFonts w:ascii="Times New Roman" w:hAnsi="Times New Roman"/>
          <w:sz w:val="22"/>
          <w:shd w:val="clear" w:color="auto" w:fill="FFFFFF"/>
        </w:rPr>
        <w:t>nagyon gyakori (</w:t>
      </w:r>
      <w:r>
        <w:rPr>
          <w:rFonts w:ascii="Times New Roman" w:hAnsi="Times New Roman"/>
          <w:sz w:val="22"/>
          <w:u w:val="single"/>
          <w:shd w:val="clear" w:color="auto" w:fill="FFFFFF"/>
        </w:rPr>
        <w:t>≥</w:t>
      </w:r>
      <w:r>
        <w:rPr>
          <w:rFonts w:ascii="Times New Roman" w:hAnsi="Times New Roman"/>
          <w:sz w:val="22"/>
          <w:shd w:val="clear" w:color="auto" w:fill="FFFFFF"/>
        </w:rPr>
        <w:t>1/10); gyakori (</w:t>
      </w:r>
      <w:r>
        <w:rPr>
          <w:rFonts w:ascii="Times New Roman" w:hAnsi="Times New Roman"/>
          <w:sz w:val="22"/>
          <w:u w:val="single"/>
          <w:shd w:val="clear" w:color="auto" w:fill="FFFFFF"/>
        </w:rPr>
        <w:t>≥</w:t>
      </w:r>
      <w:r>
        <w:rPr>
          <w:rFonts w:ascii="Times New Roman" w:hAnsi="Times New Roman"/>
          <w:sz w:val="22"/>
          <w:shd w:val="clear" w:color="auto" w:fill="FFFFFF"/>
        </w:rPr>
        <w:t>1/100 – &lt;1/10); nem gyakori (</w:t>
      </w:r>
      <w:r>
        <w:rPr>
          <w:rFonts w:ascii="Times New Roman" w:hAnsi="Times New Roman"/>
          <w:sz w:val="22"/>
          <w:u w:val="single"/>
          <w:shd w:val="clear" w:color="auto" w:fill="FFFFFF"/>
        </w:rPr>
        <w:t>≥</w:t>
      </w:r>
      <w:r>
        <w:rPr>
          <w:rFonts w:ascii="Times New Roman" w:hAnsi="Times New Roman"/>
          <w:sz w:val="22"/>
          <w:shd w:val="clear" w:color="auto" w:fill="FFFFFF"/>
        </w:rPr>
        <w:t>1/1000 – &lt;1/100); ritka (</w:t>
      </w:r>
      <w:r>
        <w:rPr>
          <w:rFonts w:ascii="Times New Roman" w:hAnsi="Times New Roman"/>
          <w:sz w:val="22"/>
          <w:u w:val="single"/>
          <w:shd w:val="clear" w:color="auto" w:fill="FFFFFF"/>
        </w:rPr>
        <w:t>≥</w:t>
      </w:r>
      <w:r>
        <w:rPr>
          <w:rFonts w:ascii="Times New Roman" w:hAnsi="Times New Roman"/>
          <w:sz w:val="22"/>
          <w:shd w:val="clear" w:color="auto" w:fill="FFFFFF"/>
        </w:rPr>
        <w:t>1/10 000 – &lt;1/1 000); nagyon ritka (&lt;1/10 000); nem ismert</w:t>
      </w:r>
      <w:r w:rsidR="00346D5B">
        <w:rPr>
          <w:rFonts w:ascii="Times New Roman" w:hAnsi="Times New Roman"/>
          <w:sz w:val="22"/>
          <w:shd w:val="clear" w:color="auto" w:fill="FFFFFF"/>
        </w:rPr>
        <w:t xml:space="preserve"> </w:t>
      </w:r>
      <w:r w:rsidR="00346D5B" w:rsidRPr="009351AF">
        <w:rPr>
          <w:rFonts w:ascii="Times New Roman" w:hAnsi="Times New Roman"/>
          <w:sz w:val="22"/>
          <w:shd w:val="clear" w:color="auto" w:fill="FFFFFF"/>
        </w:rPr>
        <w:t>(</w:t>
      </w:r>
      <w:r w:rsidR="00CA4BEB" w:rsidRPr="00C5225D">
        <w:rPr>
          <w:rFonts w:ascii="Times New Roman" w:hAnsi="Times New Roman"/>
          <w:sz w:val="22"/>
          <w:shd w:val="clear" w:color="auto" w:fill="FFFFFF"/>
        </w:rPr>
        <w:t xml:space="preserve">a gyakoriság </w:t>
      </w:r>
      <w:r w:rsidR="00346D5B" w:rsidRPr="009351AF">
        <w:rPr>
          <w:rFonts w:ascii="Times New Roman" w:hAnsi="Times New Roman"/>
          <w:sz w:val="22"/>
          <w:shd w:val="clear" w:color="auto" w:fill="FFFFFF"/>
        </w:rPr>
        <w:t>a rendelkezésre álló adatokból nem állapítható meg)</w:t>
      </w:r>
      <w:r w:rsidRPr="009351AF">
        <w:rPr>
          <w:rFonts w:ascii="Times New Roman" w:hAnsi="Times New Roman"/>
          <w:sz w:val="22"/>
          <w:shd w:val="clear" w:color="auto" w:fill="FFFFFF"/>
        </w:rPr>
        <w:t>.</w:t>
      </w:r>
    </w:p>
    <w:p w14:paraId="47D462A2" w14:textId="77777777" w:rsidR="00550FDE" w:rsidRPr="001916DA" w:rsidRDefault="00550FDE" w:rsidP="00550FDE">
      <w:pPr>
        <w:rPr>
          <w:rFonts w:ascii="Times New Roman" w:hAnsi="Times New Roman"/>
          <w:sz w:val="22"/>
          <w:szCs w:val="22"/>
          <w:shd w:val="clear" w:color="auto" w:fill="FFFFFF"/>
          <w:lang w:val="en-GB"/>
        </w:rPr>
      </w:pPr>
    </w:p>
    <w:p w14:paraId="7A086DF2" w14:textId="575CE284" w:rsidR="00550FDE" w:rsidRPr="001916DA" w:rsidRDefault="00550FDE" w:rsidP="00550FDE">
      <w:pPr>
        <w:rPr>
          <w:rFonts w:ascii="Times New Roman" w:hAnsi="Times New Roman"/>
          <w:i/>
          <w:sz w:val="22"/>
          <w:szCs w:val="22"/>
          <w:shd w:val="clear" w:color="auto" w:fill="FFFFFF"/>
        </w:rPr>
      </w:pPr>
      <w:r>
        <w:rPr>
          <w:rFonts w:ascii="Times New Roman" w:hAnsi="Times New Roman"/>
          <w:i/>
          <w:sz w:val="22"/>
          <w:shd w:val="clear" w:color="auto" w:fill="FFFFFF"/>
        </w:rPr>
        <w:t>Fertőző betegségek és parazitafertőzések</w:t>
      </w:r>
    </w:p>
    <w:p w14:paraId="3A6E5049" w14:textId="523DDF11" w:rsidR="00550FDE" w:rsidRPr="001916DA" w:rsidRDefault="00550FDE" w:rsidP="00550FDE">
      <w:pPr>
        <w:rPr>
          <w:rFonts w:ascii="Times New Roman" w:eastAsia="Calibri" w:hAnsi="Times New Roman"/>
          <w:bCs/>
          <w:sz w:val="22"/>
          <w:szCs w:val="22"/>
        </w:rPr>
      </w:pPr>
      <w:r>
        <w:rPr>
          <w:rFonts w:ascii="Times New Roman" w:hAnsi="Times New Roman"/>
          <w:color w:val="auto"/>
          <w:sz w:val="22"/>
        </w:rPr>
        <w:t>Gyakori</w:t>
      </w:r>
      <w:r>
        <w:rPr>
          <w:rFonts w:ascii="Times New Roman" w:hAnsi="Times New Roman"/>
          <w:color w:val="auto"/>
          <w:sz w:val="22"/>
        </w:rPr>
        <w:tab/>
        <w:t xml:space="preserve">: </w:t>
      </w:r>
      <w:r>
        <w:rPr>
          <w:rFonts w:ascii="Times New Roman" w:hAnsi="Times New Roman"/>
          <w:sz w:val="22"/>
        </w:rPr>
        <w:t>Fertőzések</w:t>
      </w:r>
      <w:r>
        <w:rPr>
          <w:rFonts w:ascii="Times New Roman" w:hAnsi="Times New Roman"/>
          <w:sz w:val="22"/>
          <w:vertAlign w:val="superscript"/>
        </w:rPr>
        <w:t>1</w:t>
      </w:r>
    </w:p>
    <w:p w14:paraId="7DF19B5F" w14:textId="59AD33E0" w:rsidR="00550FDE" w:rsidRPr="001916DA" w:rsidRDefault="00550FDE" w:rsidP="00550FDE">
      <w:pPr>
        <w:rPr>
          <w:rFonts w:ascii="Times New Roman" w:eastAsia="Calibri" w:hAnsi="Times New Roman"/>
          <w:bCs/>
          <w:sz w:val="22"/>
          <w:szCs w:val="22"/>
        </w:rPr>
      </w:pPr>
      <w:r>
        <w:rPr>
          <w:rFonts w:ascii="Times New Roman" w:hAnsi="Times New Roman"/>
          <w:color w:val="auto"/>
          <w:sz w:val="22"/>
        </w:rPr>
        <w:t>Nem gyakori</w:t>
      </w:r>
      <w:r>
        <w:rPr>
          <w:rFonts w:ascii="Times New Roman" w:hAnsi="Times New Roman"/>
          <w:color w:val="auto"/>
          <w:sz w:val="22"/>
        </w:rPr>
        <w:tab/>
        <w:t>:</w:t>
      </w:r>
      <w:r>
        <w:rPr>
          <w:rFonts w:ascii="Times New Roman" w:hAnsi="Times New Roman"/>
          <w:sz w:val="22"/>
        </w:rPr>
        <w:t xml:space="preserve"> Pneumonia</w:t>
      </w:r>
      <w:r>
        <w:rPr>
          <w:rFonts w:ascii="Times New Roman" w:hAnsi="Times New Roman"/>
          <w:sz w:val="22"/>
          <w:vertAlign w:val="superscript"/>
        </w:rPr>
        <w:t>2</w:t>
      </w:r>
      <w:r>
        <w:rPr>
          <w:rFonts w:ascii="Times New Roman" w:hAnsi="Times New Roman"/>
          <w:sz w:val="22"/>
        </w:rPr>
        <w:t>, sepsis</w:t>
      </w:r>
      <w:r>
        <w:rPr>
          <w:rFonts w:ascii="Times New Roman" w:hAnsi="Times New Roman"/>
          <w:sz w:val="22"/>
          <w:vertAlign w:val="superscript"/>
        </w:rPr>
        <w:t>1</w:t>
      </w:r>
    </w:p>
    <w:p w14:paraId="47956BC7" w14:textId="77777777" w:rsidR="00F04864" w:rsidRPr="001916DA" w:rsidRDefault="00F04864" w:rsidP="0046151C">
      <w:pPr>
        <w:autoSpaceDE w:val="0"/>
        <w:autoSpaceDN w:val="0"/>
        <w:adjustRightInd w:val="0"/>
        <w:rPr>
          <w:rFonts w:ascii="Times New Roman" w:hAnsi="Times New Roman"/>
          <w:bCs/>
          <w:sz w:val="22"/>
          <w:szCs w:val="22"/>
          <w:lang w:val="en-GB"/>
        </w:rPr>
      </w:pPr>
    </w:p>
    <w:p w14:paraId="06F2E6BE" w14:textId="3090D2BB" w:rsidR="003D65FA" w:rsidRPr="001916DA" w:rsidRDefault="003D65FA"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Jó-, rosszindulatú és nem meghatározott daganatok (beleértve a cisztákat és polipokat is)</w:t>
      </w:r>
    </w:p>
    <w:p w14:paraId="42195C53" w14:textId="3CB71E6C" w:rsidR="003D65FA" w:rsidRPr="001916DA" w:rsidRDefault="003D65FA" w:rsidP="00C5225D">
      <w:pPr>
        <w:pStyle w:val="NormlWeb"/>
        <w:shd w:val="clear" w:color="auto" w:fill="FFFFFF"/>
        <w:spacing w:before="0" w:beforeAutospacing="0" w:after="0" w:afterAutospacing="0"/>
        <w:ind w:left="1418" w:hanging="1440"/>
        <w:rPr>
          <w:color w:val="000000"/>
          <w:sz w:val="22"/>
          <w:szCs w:val="22"/>
        </w:rPr>
      </w:pPr>
      <w:r>
        <w:rPr>
          <w:sz w:val="22"/>
          <w:shd w:val="clear" w:color="auto" w:fill="FFFFFF"/>
        </w:rPr>
        <w:t>Ritka</w:t>
      </w:r>
      <w:r>
        <w:rPr>
          <w:sz w:val="22"/>
          <w:shd w:val="clear" w:color="auto" w:fill="FFFFFF"/>
        </w:rPr>
        <w:tab/>
        <w:t>: Akut leukémia</w:t>
      </w:r>
      <w:r>
        <w:rPr>
          <w:sz w:val="22"/>
          <w:shd w:val="clear" w:color="auto" w:fill="FFFFFF"/>
          <w:vertAlign w:val="superscript"/>
        </w:rPr>
        <w:t>3</w:t>
      </w:r>
      <w:r>
        <w:rPr>
          <w:sz w:val="22"/>
        </w:rPr>
        <w:t xml:space="preserve">, </w:t>
      </w:r>
      <w:r w:rsidRPr="009351AF">
        <w:rPr>
          <w:sz w:val="22"/>
        </w:rPr>
        <w:t>m</w:t>
      </w:r>
      <w:r w:rsidRPr="009351AF">
        <w:rPr>
          <w:color w:val="000000"/>
          <w:sz w:val="22"/>
        </w:rPr>
        <w:t>yelo</w:t>
      </w:r>
      <w:r w:rsidRPr="009351AF">
        <w:rPr>
          <w:sz w:val="22"/>
        </w:rPr>
        <w:t>dysplasiás</w:t>
      </w:r>
      <w:r w:rsidR="00850682" w:rsidRPr="009351AF">
        <w:rPr>
          <w:color w:val="000000"/>
          <w:sz w:val="22"/>
        </w:rPr>
        <w:t xml:space="preserve"> szindróma</w:t>
      </w:r>
      <w:r w:rsidR="00850682">
        <w:rPr>
          <w:sz w:val="22"/>
        </w:rPr>
        <w:t xml:space="preserve">, </w:t>
      </w:r>
      <w:r w:rsidR="00850682">
        <w:rPr>
          <w:color w:val="000000"/>
          <w:sz w:val="22"/>
        </w:rPr>
        <w:t xml:space="preserve">másodlagos tumorok, húgyhólyag-carcinoma, húgyúti carcinoma </w:t>
      </w:r>
    </w:p>
    <w:p w14:paraId="15F5AF41" w14:textId="57C3EB89" w:rsidR="00DE7152" w:rsidRPr="001916DA" w:rsidRDefault="003D65FA" w:rsidP="00DE7152">
      <w:pPr>
        <w:pStyle w:val="NormlWeb"/>
        <w:shd w:val="clear" w:color="auto" w:fill="FFFFFF"/>
        <w:spacing w:before="0" w:beforeAutospacing="0" w:after="0" w:afterAutospacing="0"/>
        <w:rPr>
          <w:rFonts w:eastAsia="Calibri"/>
          <w:bCs/>
          <w:sz w:val="22"/>
          <w:szCs w:val="22"/>
        </w:rPr>
      </w:pPr>
      <w:r>
        <w:rPr>
          <w:sz w:val="22"/>
          <w:shd w:val="clear" w:color="auto" w:fill="FFFFFF"/>
        </w:rPr>
        <w:t>Nagyon ritka</w:t>
      </w:r>
      <w:r>
        <w:rPr>
          <w:sz w:val="22"/>
          <w:shd w:val="clear" w:color="auto" w:fill="FFFFFF"/>
        </w:rPr>
        <w:tab/>
        <w:t xml:space="preserve">: </w:t>
      </w:r>
      <w:r>
        <w:rPr>
          <w:color w:val="000000"/>
          <w:sz w:val="22"/>
        </w:rPr>
        <w:t>Tumorlízis-szindróma</w:t>
      </w:r>
    </w:p>
    <w:p w14:paraId="077E98F7" w14:textId="11595EBF" w:rsidR="003D65FA" w:rsidRPr="001916DA" w:rsidRDefault="003D65FA" w:rsidP="005E3CA1">
      <w:pPr>
        <w:pStyle w:val="NormlWeb"/>
        <w:shd w:val="clear" w:color="auto" w:fill="FFFFFF"/>
        <w:spacing w:before="0" w:beforeAutospacing="0" w:after="0" w:afterAutospacing="0"/>
        <w:ind w:left="1440" w:hanging="1440"/>
        <w:rPr>
          <w:sz w:val="22"/>
          <w:szCs w:val="22"/>
        </w:rPr>
      </w:pPr>
      <w:r>
        <w:rPr>
          <w:sz w:val="22"/>
          <w:shd w:val="clear" w:color="auto" w:fill="FFFFFF"/>
        </w:rPr>
        <w:t>Nem ismert</w:t>
      </w:r>
      <w:r>
        <w:rPr>
          <w:sz w:val="22"/>
          <w:shd w:val="clear" w:color="auto" w:fill="FFFFFF"/>
        </w:rPr>
        <w:tab/>
        <w:t>:</w:t>
      </w:r>
      <w:r>
        <w:rPr>
          <w:sz w:val="22"/>
        </w:rPr>
        <w:t xml:space="preserve"> </w:t>
      </w:r>
      <w:r>
        <w:rPr>
          <w:color w:val="000000"/>
          <w:sz w:val="22"/>
        </w:rPr>
        <w:t>Non-Hodgkin lymphoma, sarcoma, vesesejtes carcinoma, vesemedence-daganat, pajzsmirigy-carcinoma</w:t>
      </w:r>
    </w:p>
    <w:p w14:paraId="437AD282" w14:textId="77777777" w:rsidR="003D65FA" w:rsidRPr="001916DA" w:rsidRDefault="003D65FA" w:rsidP="0046151C">
      <w:pPr>
        <w:autoSpaceDE w:val="0"/>
        <w:autoSpaceDN w:val="0"/>
        <w:adjustRightInd w:val="0"/>
        <w:rPr>
          <w:rFonts w:ascii="Times New Roman" w:hAnsi="Times New Roman"/>
          <w:bCs/>
          <w:sz w:val="22"/>
          <w:szCs w:val="22"/>
          <w:lang w:val="en-GB"/>
        </w:rPr>
      </w:pPr>
    </w:p>
    <w:p w14:paraId="2F8AC30B" w14:textId="03B53F2F" w:rsidR="003D65FA" w:rsidRPr="001916DA" w:rsidRDefault="003119A6" w:rsidP="0046151C">
      <w:pPr>
        <w:autoSpaceDE w:val="0"/>
        <w:autoSpaceDN w:val="0"/>
        <w:adjustRightInd w:val="0"/>
        <w:rPr>
          <w:rFonts w:ascii="Times New Roman" w:hAnsi="Times New Roman"/>
          <w:bCs/>
          <w:i/>
          <w:sz w:val="22"/>
          <w:szCs w:val="22"/>
        </w:rPr>
      </w:pPr>
      <w:r>
        <w:rPr>
          <w:rFonts w:ascii="Times New Roman" w:hAnsi="Times New Roman"/>
          <w:i/>
          <w:sz w:val="22"/>
          <w:shd w:val="clear" w:color="auto" w:fill="FFFFFF"/>
        </w:rPr>
        <w:t>Vérképzőszervi és nyirokrendszeri betegségek és tünetek</w:t>
      </w:r>
    </w:p>
    <w:p w14:paraId="25F336D4" w14:textId="428ACB8A" w:rsidR="00185E5B" w:rsidRPr="00C611C5" w:rsidRDefault="003119A6" w:rsidP="005E3CA1">
      <w:pPr>
        <w:rPr>
          <w:rFonts w:ascii="Times New Roman" w:hAnsi="Times New Roman"/>
          <w:sz w:val="22"/>
          <w:szCs w:val="22"/>
        </w:rPr>
      </w:pPr>
      <w:r>
        <w:rPr>
          <w:rFonts w:ascii="Times New Roman" w:hAnsi="Times New Roman"/>
          <w:sz w:val="22"/>
        </w:rPr>
        <w:t>Nagyon gyakori</w:t>
      </w:r>
      <w:r>
        <w:rPr>
          <w:rFonts w:ascii="Times New Roman" w:hAnsi="Times New Roman"/>
          <w:sz w:val="22"/>
        </w:rPr>
        <w:tab/>
        <w:t xml:space="preserve">: </w:t>
      </w:r>
      <w:r>
        <w:rPr>
          <w:rFonts w:ascii="Times New Roman" w:hAnsi="Times New Roman"/>
          <w:sz w:val="22"/>
          <w:shd w:val="clear" w:color="auto" w:fill="FFFFFF"/>
        </w:rPr>
        <w:t>Myelosuppressio</w:t>
      </w:r>
      <w:r>
        <w:rPr>
          <w:rFonts w:ascii="Times New Roman" w:hAnsi="Times New Roman"/>
          <w:sz w:val="22"/>
          <w:shd w:val="clear" w:color="auto" w:fill="FFFFFF"/>
          <w:vertAlign w:val="superscript"/>
        </w:rPr>
        <w:t>4</w:t>
      </w:r>
      <w:r>
        <w:rPr>
          <w:rFonts w:ascii="Times New Roman" w:hAnsi="Times New Roman"/>
          <w:sz w:val="22"/>
          <w:shd w:val="clear" w:color="auto" w:fill="FFFFFF"/>
        </w:rPr>
        <w:t xml:space="preserve">, </w:t>
      </w:r>
      <w:r>
        <w:rPr>
          <w:rFonts w:ascii="Times New Roman" w:hAnsi="Times New Roman"/>
          <w:sz w:val="22"/>
        </w:rPr>
        <w:t>leukopenia, neutropenia</w:t>
      </w:r>
    </w:p>
    <w:p w14:paraId="09DF1676" w14:textId="175FC3F7" w:rsidR="00185E5B" w:rsidRPr="001916DA" w:rsidRDefault="003119A6" w:rsidP="00185E5B">
      <w:pPr>
        <w:pStyle w:val="NormlWeb"/>
        <w:shd w:val="clear" w:color="auto" w:fill="FFFFFF"/>
        <w:spacing w:before="0" w:beforeAutospacing="0" w:after="0" w:afterAutospacing="0"/>
        <w:rPr>
          <w:color w:val="000000"/>
          <w:sz w:val="22"/>
          <w:szCs w:val="22"/>
        </w:rPr>
      </w:pPr>
      <w:r>
        <w:rPr>
          <w:sz w:val="22"/>
        </w:rPr>
        <w:t>Gyakori</w:t>
      </w:r>
      <w:r>
        <w:rPr>
          <w:sz w:val="22"/>
        </w:rPr>
        <w:tab/>
        <w:t xml:space="preserve">: </w:t>
      </w:r>
      <w:r>
        <w:rPr>
          <w:color w:val="000000"/>
          <w:sz w:val="22"/>
        </w:rPr>
        <w:t>Lázas neutropenia</w:t>
      </w:r>
    </w:p>
    <w:p w14:paraId="18F51887" w14:textId="4FEDA80E" w:rsidR="003A1510" w:rsidRPr="001916DA" w:rsidRDefault="003119A6" w:rsidP="003A1510">
      <w:pPr>
        <w:pStyle w:val="NormlWeb"/>
        <w:shd w:val="clear" w:color="auto" w:fill="FFFFFF"/>
        <w:spacing w:before="0" w:beforeAutospacing="0" w:after="0" w:afterAutospacing="0"/>
        <w:rPr>
          <w:color w:val="000000"/>
          <w:sz w:val="22"/>
          <w:szCs w:val="22"/>
        </w:rPr>
      </w:pPr>
      <w:r>
        <w:rPr>
          <w:sz w:val="22"/>
        </w:rPr>
        <w:t>Nem gyakori</w:t>
      </w:r>
      <w:r>
        <w:rPr>
          <w:sz w:val="22"/>
        </w:rPr>
        <w:tab/>
        <w:t xml:space="preserve">: </w:t>
      </w:r>
      <w:r>
        <w:rPr>
          <w:color w:val="000000"/>
          <w:sz w:val="22"/>
        </w:rPr>
        <w:t>Thrombocytopenia, anaemia</w:t>
      </w:r>
    </w:p>
    <w:p w14:paraId="28886806" w14:textId="5B4B59A2" w:rsidR="003A1510" w:rsidRPr="001916DA" w:rsidRDefault="003119A6" w:rsidP="003A1510">
      <w:pPr>
        <w:pStyle w:val="NormlWeb"/>
        <w:shd w:val="clear" w:color="auto" w:fill="FFFFFF"/>
        <w:spacing w:before="0" w:beforeAutospacing="0" w:after="0" w:afterAutospacing="0"/>
        <w:rPr>
          <w:color w:val="000000"/>
          <w:sz w:val="22"/>
          <w:szCs w:val="22"/>
        </w:rPr>
      </w:pPr>
      <w:r>
        <w:rPr>
          <w:sz w:val="22"/>
        </w:rPr>
        <w:t>Nagyon ritka</w:t>
      </w:r>
      <w:r>
        <w:rPr>
          <w:sz w:val="22"/>
        </w:rPr>
        <w:tab/>
        <w:t xml:space="preserve">: </w:t>
      </w:r>
      <w:r>
        <w:rPr>
          <w:color w:val="000000"/>
          <w:sz w:val="22"/>
        </w:rPr>
        <w:t>Disszeminált intravascularis coagulatio, hemolitikus urémiás szindróma</w:t>
      </w:r>
    </w:p>
    <w:p w14:paraId="4116340E" w14:textId="10766001" w:rsidR="003119A6" w:rsidRPr="001916DA" w:rsidRDefault="003119A6" w:rsidP="005E3CA1">
      <w:pPr>
        <w:pStyle w:val="NormlWeb"/>
        <w:shd w:val="clear" w:color="auto" w:fill="FFFFFF"/>
        <w:spacing w:before="0" w:beforeAutospacing="0" w:after="0" w:afterAutospacing="0"/>
        <w:ind w:left="1440" w:hanging="1440"/>
        <w:rPr>
          <w:bCs/>
          <w:sz w:val="22"/>
          <w:szCs w:val="22"/>
        </w:rPr>
      </w:pPr>
      <w:r>
        <w:rPr>
          <w:sz w:val="22"/>
        </w:rPr>
        <w:t>Nem ismert</w:t>
      </w:r>
      <w:r>
        <w:rPr>
          <w:sz w:val="22"/>
        </w:rPr>
        <w:tab/>
        <w:t>:</w:t>
      </w:r>
      <w:r>
        <w:rPr>
          <w:sz w:val="22"/>
          <w:shd w:val="clear" w:color="auto" w:fill="FFFFFF"/>
        </w:rPr>
        <w:t xml:space="preserve"> Agranulocytosis, lymphopenia, hemoglobinszint-csökkenés</w:t>
      </w:r>
    </w:p>
    <w:p w14:paraId="564CA2E9" w14:textId="77777777" w:rsidR="003D65FA" w:rsidRPr="001916DA" w:rsidRDefault="003D65FA" w:rsidP="0046151C">
      <w:pPr>
        <w:autoSpaceDE w:val="0"/>
        <w:autoSpaceDN w:val="0"/>
        <w:adjustRightInd w:val="0"/>
        <w:rPr>
          <w:rFonts w:ascii="Times New Roman" w:hAnsi="Times New Roman"/>
          <w:bCs/>
          <w:sz w:val="22"/>
          <w:szCs w:val="22"/>
          <w:lang w:val="en-GB"/>
        </w:rPr>
      </w:pPr>
    </w:p>
    <w:p w14:paraId="7E667583" w14:textId="3BB71634" w:rsidR="007B39BC" w:rsidRPr="001916DA" w:rsidRDefault="007B39BC"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Immunrendszeri betegségek és tünetek</w:t>
      </w:r>
    </w:p>
    <w:p w14:paraId="344B72AC" w14:textId="0430EBF7" w:rsidR="007B39BC" w:rsidRPr="001916DA" w:rsidRDefault="007B39BC" w:rsidP="007B39BC">
      <w:pPr>
        <w:rPr>
          <w:rFonts w:ascii="Times New Roman" w:eastAsia="Calibri" w:hAnsi="Times New Roman"/>
          <w:bCs/>
          <w:sz w:val="22"/>
          <w:szCs w:val="22"/>
        </w:rPr>
      </w:pPr>
      <w:r>
        <w:rPr>
          <w:rFonts w:ascii="Times New Roman" w:hAnsi="Times New Roman"/>
          <w:sz w:val="22"/>
        </w:rPr>
        <w:t>Nagyon gyakori</w:t>
      </w:r>
      <w:r>
        <w:rPr>
          <w:rFonts w:ascii="Times New Roman" w:hAnsi="Times New Roman"/>
          <w:sz w:val="22"/>
        </w:rPr>
        <w:tab/>
        <w:t>: Immunszuppresszió</w:t>
      </w:r>
    </w:p>
    <w:p w14:paraId="02F978C9" w14:textId="284DC2D5" w:rsidR="007B39BC" w:rsidRPr="001916DA" w:rsidRDefault="007B39BC" w:rsidP="007B39BC">
      <w:pPr>
        <w:rPr>
          <w:rFonts w:ascii="Times New Roman" w:eastAsia="Calibri" w:hAnsi="Times New Roman"/>
          <w:bCs/>
          <w:sz w:val="22"/>
          <w:szCs w:val="22"/>
        </w:rPr>
      </w:pPr>
      <w:r>
        <w:rPr>
          <w:rFonts w:ascii="Times New Roman" w:hAnsi="Times New Roman"/>
          <w:sz w:val="22"/>
        </w:rPr>
        <w:t>Nem gyakori</w:t>
      </w:r>
      <w:r>
        <w:rPr>
          <w:rFonts w:ascii="Times New Roman" w:hAnsi="Times New Roman"/>
          <w:sz w:val="22"/>
        </w:rPr>
        <w:tab/>
        <w:t>: Anafilaxiás/anafilaktoid reakció, túlérzékenységi reakció</w:t>
      </w:r>
    </w:p>
    <w:p w14:paraId="29F171E5" w14:textId="5816DFDD" w:rsidR="007B39BC" w:rsidRPr="001916DA" w:rsidRDefault="007B39BC" w:rsidP="007B39BC">
      <w:pPr>
        <w:tabs>
          <w:tab w:val="left" w:pos="854"/>
        </w:tabs>
        <w:rPr>
          <w:rFonts w:ascii="Times New Roman" w:hAnsi="Times New Roman"/>
          <w:sz w:val="22"/>
          <w:szCs w:val="22"/>
        </w:rPr>
      </w:pPr>
      <w:r>
        <w:rPr>
          <w:rFonts w:ascii="Times New Roman" w:hAnsi="Times New Roman"/>
          <w:sz w:val="22"/>
        </w:rPr>
        <w:t>Nagyon ritka</w:t>
      </w:r>
      <w:r>
        <w:rPr>
          <w:rFonts w:ascii="Times New Roman" w:hAnsi="Times New Roman"/>
          <w:sz w:val="22"/>
        </w:rPr>
        <w:tab/>
        <w:t>: Anaphylaxiás shock</w:t>
      </w:r>
    </w:p>
    <w:p w14:paraId="1C189154" w14:textId="77777777" w:rsidR="007B39BC" w:rsidRPr="001916DA" w:rsidRDefault="007B39BC" w:rsidP="007B39BC">
      <w:pPr>
        <w:tabs>
          <w:tab w:val="left" w:pos="854"/>
        </w:tabs>
        <w:rPr>
          <w:rFonts w:ascii="Times New Roman" w:hAnsi="Times New Roman"/>
          <w:sz w:val="22"/>
          <w:szCs w:val="22"/>
          <w:lang w:val="en-GB"/>
        </w:rPr>
      </w:pPr>
    </w:p>
    <w:p w14:paraId="79DBAD37" w14:textId="40CB08BB" w:rsidR="007B39BC" w:rsidRPr="001916DA" w:rsidRDefault="007B39BC"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Endokrin betegségek és tünetek</w:t>
      </w:r>
    </w:p>
    <w:p w14:paraId="7D283B56" w14:textId="6C04C460" w:rsidR="007B39BC" w:rsidRPr="001916DA" w:rsidRDefault="007B39BC" w:rsidP="00C611C5">
      <w:pPr>
        <w:pStyle w:val="Makrszvege"/>
        <w:numPr>
          <w:ilvl w:val="12"/>
          <w:numId w:val="0"/>
        </w:numPr>
        <w:tabs>
          <w:tab w:val="clear" w:pos="480"/>
          <w:tab w:val="clear" w:pos="960"/>
          <w:tab w:val="clear" w:pos="1440"/>
          <w:tab w:val="clear" w:pos="1920"/>
          <w:tab w:val="clear" w:pos="2400"/>
          <w:tab w:val="clear" w:pos="2880"/>
          <w:tab w:val="clear" w:pos="3360"/>
          <w:tab w:val="clear" w:pos="3840"/>
          <w:tab w:val="clear" w:pos="4320"/>
        </w:tabs>
        <w:ind w:left="1418" w:hanging="1418"/>
        <w:rPr>
          <w:rFonts w:ascii="Times New Roman" w:eastAsia="Calibri" w:hAnsi="Times New Roman"/>
          <w:bCs/>
          <w:szCs w:val="22"/>
        </w:rPr>
      </w:pPr>
      <w:r>
        <w:rPr>
          <w:rFonts w:ascii="Times New Roman" w:hAnsi="Times New Roman"/>
          <w:shd w:val="clear" w:color="auto" w:fill="FFFFFF"/>
        </w:rPr>
        <w:t>Ritka</w:t>
      </w:r>
      <w:r>
        <w:rPr>
          <w:rFonts w:ascii="Times New Roman" w:hAnsi="Times New Roman"/>
          <w:shd w:val="clear" w:color="auto" w:fill="FFFFFF"/>
        </w:rPr>
        <w:tab/>
        <w:t>:</w:t>
      </w:r>
      <w:r>
        <w:rPr>
          <w:rFonts w:ascii="Times New Roman" w:hAnsi="Times New Roman"/>
        </w:rPr>
        <w:t xml:space="preserve"> </w:t>
      </w:r>
      <w:r>
        <w:rPr>
          <w:rFonts w:ascii="Times New Roman" w:hAnsi="Times New Roman"/>
          <w:shd w:val="clear" w:color="auto" w:fill="FFFFFF"/>
        </w:rPr>
        <w:t>SIADH (nem megfelelő antidiuretikushormon-elválasztási szindróma)</w:t>
      </w:r>
      <w:r>
        <w:rPr>
          <w:rFonts w:ascii="Times New Roman" w:hAnsi="Times New Roman"/>
        </w:rPr>
        <w:t xml:space="preserve"> </w:t>
      </w:r>
    </w:p>
    <w:p w14:paraId="7B911F7F" w14:textId="77777777" w:rsidR="007B39BC" w:rsidRPr="001916DA" w:rsidRDefault="007B39BC" w:rsidP="0046151C">
      <w:pPr>
        <w:autoSpaceDE w:val="0"/>
        <w:autoSpaceDN w:val="0"/>
        <w:adjustRightInd w:val="0"/>
        <w:rPr>
          <w:rFonts w:ascii="Times New Roman" w:hAnsi="Times New Roman"/>
          <w:bCs/>
          <w:sz w:val="22"/>
          <w:szCs w:val="22"/>
          <w:lang w:val="en-GB"/>
        </w:rPr>
      </w:pPr>
    </w:p>
    <w:p w14:paraId="4EFBACF7" w14:textId="2827699B" w:rsidR="00531FE8" w:rsidRPr="001916DA" w:rsidRDefault="00531FE8"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Anyagcsere- és táplálkozási betegségek és tünetek</w:t>
      </w:r>
    </w:p>
    <w:p w14:paraId="0B0B2C0A" w14:textId="3AA6F959" w:rsidR="00531FE8" w:rsidRDefault="00531FE8" w:rsidP="0046151C">
      <w:pPr>
        <w:autoSpaceDE w:val="0"/>
        <w:autoSpaceDN w:val="0"/>
        <w:adjustRightInd w:val="0"/>
        <w:rPr>
          <w:rFonts w:ascii="Times New Roman" w:hAnsi="Times New Roman"/>
          <w:sz w:val="22"/>
          <w:szCs w:val="22"/>
          <w:shd w:val="clear" w:color="auto" w:fill="FFFFFF"/>
        </w:rPr>
      </w:pPr>
      <w:r>
        <w:rPr>
          <w:rFonts w:ascii="Times New Roman" w:hAnsi="Times New Roman"/>
          <w:sz w:val="22"/>
          <w:shd w:val="clear" w:color="auto" w:fill="FFFFFF"/>
        </w:rPr>
        <w:t>Nem gyakori</w:t>
      </w:r>
      <w:r>
        <w:rPr>
          <w:rFonts w:ascii="Times New Roman" w:hAnsi="Times New Roman"/>
          <w:sz w:val="22"/>
          <w:shd w:val="clear" w:color="auto" w:fill="FFFFFF"/>
        </w:rPr>
        <w:tab/>
        <w:t xml:space="preserve">: Anorexia </w:t>
      </w:r>
    </w:p>
    <w:p w14:paraId="78C0BA38" w14:textId="2A3058E6" w:rsidR="00BD1927" w:rsidRPr="001916DA" w:rsidRDefault="00BD1927" w:rsidP="0046151C">
      <w:pPr>
        <w:autoSpaceDE w:val="0"/>
        <w:autoSpaceDN w:val="0"/>
        <w:adjustRightInd w:val="0"/>
        <w:rPr>
          <w:rFonts w:ascii="Times New Roman" w:hAnsi="Times New Roman"/>
          <w:sz w:val="22"/>
          <w:szCs w:val="22"/>
          <w:shd w:val="clear" w:color="auto" w:fill="FFFFFF"/>
        </w:rPr>
      </w:pPr>
      <w:r>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 Kiszáradás</w:t>
      </w:r>
    </w:p>
    <w:p w14:paraId="041E9734" w14:textId="11106E79" w:rsidR="00A400EB" w:rsidRPr="001916DA" w:rsidRDefault="00531FE8" w:rsidP="00A400EB">
      <w:pPr>
        <w:rPr>
          <w:rFonts w:ascii="Times New Roman" w:eastAsia="Calibri" w:hAnsi="Times New Roman"/>
          <w:bCs/>
          <w:sz w:val="22"/>
          <w:szCs w:val="22"/>
        </w:rPr>
      </w:pPr>
      <w:r>
        <w:rPr>
          <w:rFonts w:ascii="Times New Roman" w:hAnsi="Times New Roman"/>
          <w:sz w:val="22"/>
          <w:shd w:val="clear" w:color="auto" w:fill="FFFFFF"/>
        </w:rPr>
        <w:t>Nagyon ritka</w:t>
      </w:r>
      <w:r>
        <w:rPr>
          <w:rFonts w:ascii="Times New Roman" w:hAnsi="Times New Roman"/>
          <w:sz w:val="22"/>
          <w:shd w:val="clear" w:color="auto" w:fill="FFFFFF"/>
        </w:rPr>
        <w:tab/>
        <w:t xml:space="preserve">: Hyponatremia </w:t>
      </w:r>
    </w:p>
    <w:p w14:paraId="7D83DD9B" w14:textId="7A2D101E" w:rsidR="00A400EB" w:rsidRPr="001916DA" w:rsidRDefault="00531FE8" w:rsidP="00C611C5">
      <w:pPr>
        <w:tabs>
          <w:tab w:val="left" w:pos="854"/>
        </w:tabs>
        <w:rPr>
          <w:rFonts w:ascii="Times New Roman" w:hAnsi="Times New Roman"/>
          <w:sz w:val="22"/>
          <w:szCs w:val="22"/>
          <w:shd w:val="clear" w:color="auto" w:fill="FFFFFF"/>
        </w:rPr>
      </w:pPr>
      <w:r>
        <w:rPr>
          <w:rFonts w:ascii="Times New Roman" w:hAnsi="Times New Roman"/>
          <w:sz w:val="22"/>
          <w:shd w:val="clear" w:color="auto" w:fill="FFFFFF"/>
        </w:rPr>
        <w:t>Nem ismert</w:t>
      </w:r>
      <w:r>
        <w:rPr>
          <w:rFonts w:ascii="Times New Roman" w:hAnsi="Times New Roman"/>
          <w:sz w:val="22"/>
          <w:shd w:val="clear" w:color="auto" w:fill="FFFFFF"/>
        </w:rPr>
        <w:tab/>
        <w:t xml:space="preserve">: </w:t>
      </w:r>
      <w:r>
        <w:rPr>
          <w:rFonts w:ascii="Times New Roman" w:hAnsi="Times New Roman"/>
          <w:sz w:val="22"/>
        </w:rPr>
        <w:t>Emelkedett vércukorszint, csökkent vércukorszint</w:t>
      </w:r>
    </w:p>
    <w:p w14:paraId="11C761FC" w14:textId="57F2F559" w:rsidR="00531FE8" w:rsidRPr="001916DA" w:rsidRDefault="00531FE8" w:rsidP="0046151C">
      <w:pPr>
        <w:autoSpaceDE w:val="0"/>
        <w:autoSpaceDN w:val="0"/>
        <w:adjustRightInd w:val="0"/>
        <w:rPr>
          <w:rFonts w:ascii="Times New Roman" w:hAnsi="Times New Roman"/>
          <w:sz w:val="22"/>
          <w:szCs w:val="22"/>
          <w:shd w:val="clear" w:color="auto" w:fill="FFFFFF"/>
          <w:lang w:val="en-GB"/>
        </w:rPr>
      </w:pPr>
    </w:p>
    <w:p w14:paraId="11D9F7C5" w14:textId="1C6B7922" w:rsidR="0058726A" w:rsidRPr="001916DA" w:rsidRDefault="00A400EB"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 xml:space="preserve">Pszichiátriai kórképek </w:t>
      </w:r>
    </w:p>
    <w:p w14:paraId="77BE1076" w14:textId="2EA3888C" w:rsidR="00A400EB" w:rsidRPr="001916DA" w:rsidRDefault="00A400EB" w:rsidP="0046151C">
      <w:pPr>
        <w:autoSpaceDE w:val="0"/>
        <w:autoSpaceDN w:val="0"/>
        <w:adjustRightInd w:val="0"/>
        <w:rPr>
          <w:rFonts w:ascii="Times New Roman" w:hAnsi="Times New Roman"/>
          <w:sz w:val="22"/>
          <w:szCs w:val="22"/>
          <w:shd w:val="clear" w:color="auto" w:fill="FFFFFF"/>
        </w:rPr>
      </w:pPr>
      <w:r>
        <w:rPr>
          <w:rFonts w:ascii="Times New Roman" w:hAnsi="Times New Roman"/>
          <w:sz w:val="22"/>
          <w:shd w:val="clear" w:color="auto" w:fill="FFFFFF"/>
        </w:rPr>
        <w:t>Nagyon ritka</w:t>
      </w:r>
      <w:r>
        <w:rPr>
          <w:rFonts w:ascii="Times New Roman" w:hAnsi="Times New Roman"/>
          <w:sz w:val="22"/>
          <w:shd w:val="clear" w:color="auto" w:fill="FFFFFF"/>
        </w:rPr>
        <w:tab/>
        <w:t xml:space="preserve">: Zavart állapot </w:t>
      </w:r>
    </w:p>
    <w:p w14:paraId="518A6DFC" w14:textId="77777777" w:rsidR="00A400EB" w:rsidRPr="001916DA" w:rsidRDefault="00A400EB" w:rsidP="0046151C">
      <w:pPr>
        <w:autoSpaceDE w:val="0"/>
        <w:autoSpaceDN w:val="0"/>
        <w:adjustRightInd w:val="0"/>
        <w:rPr>
          <w:rFonts w:ascii="Times New Roman" w:hAnsi="Times New Roman"/>
          <w:sz w:val="22"/>
          <w:szCs w:val="22"/>
          <w:shd w:val="clear" w:color="auto" w:fill="FFFFFF"/>
          <w:lang w:val="en-GB"/>
        </w:rPr>
      </w:pPr>
    </w:p>
    <w:p w14:paraId="329BF4D1" w14:textId="70688F53" w:rsidR="007341E7" w:rsidRPr="001916DA" w:rsidRDefault="007341E7"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Idegrendszeri betegségek és tünetek</w:t>
      </w:r>
    </w:p>
    <w:p w14:paraId="219B66E1" w14:textId="02915893" w:rsidR="007341E7" w:rsidRPr="001916DA" w:rsidRDefault="007341E7" w:rsidP="007341E7">
      <w:pPr>
        <w:rPr>
          <w:rFonts w:ascii="Times New Roman" w:eastAsia="Calibri" w:hAnsi="Times New Roman"/>
          <w:bCs/>
          <w:sz w:val="22"/>
          <w:szCs w:val="22"/>
        </w:rPr>
      </w:pPr>
      <w:r>
        <w:rPr>
          <w:rFonts w:ascii="Times New Roman" w:hAnsi="Times New Roman"/>
          <w:sz w:val="22"/>
          <w:shd w:val="clear" w:color="auto" w:fill="FFFFFF"/>
        </w:rPr>
        <w:t>Nem gyakori</w:t>
      </w:r>
      <w:r>
        <w:rPr>
          <w:rFonts w:ascii="Times New Roman" w:hAnsi="Times New Roman"/>
          <w:sz w:val="22"/>
          <w:shd w:val="clear" w:color="auto" w:fill="FFFFFF"/>
        </w:rPr>
        <w:tab/>
        <w:t>: Perifériás neuropathia</w:t>
      </w:r>
      <w:r>
        <w:rPr>
          <w:rFonts w:ascii="Times New Roman" w:hAnsi="Times New Roman"/>
          <w:sz w:val="22"/>
        </w:rPr>
        <w:t xml:space="preserve">, </w:t>
      </w:r>
      <w:r>
        <w:rPr>
          <w:rFonts w:ascii="Times New Roman" w:hAnsi="Times New Roman"/>
          <w:sz w:val="22"/>
          <w:shd w:val="clear" w:color="auto" w:fill="FFFFFF"/>
        </w:rPr>
        <w:t>polyneuropathia, neuralgia</w:t>
      </w:r>
    </w:p>
    <w:p w14:paraId="764F6680" w14:textId="2A2444C1" w:rsidR="007341E7" w:rsidRPr="001916DA" w:rsidRDefault="007341E7" w:rsidP="005E3CA1">
      <w:pPr>
        <w:tabs>
          <w:tab w:val="left" w:pos="854"/>
          <w:tab w:val="left" w:pos="1440"/>
        </w:tabs>
        <w:rPr>
          <w:rFonts w:ascii="Times New Roman" w:hAnsi="Times New Roman"/>
          <w:sz w:val="22"/>
          <w:szCs w:val="22"/>
          <w:shd w:val="clear" w:color="auto" w:fill="FFFFFF"/>
        </w:rPr>
      </w:pPr>
      <w:r>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 Görcs</w:t>
      </w:r>
      <w:r>
        <w:rPr>
          <w:sz w:val="22"/>
        </w:rPr>
        <w:t xml:space="preserve">, </w:t>
      </w:r>
      <w:r>
        <w:rPr>
          <w:sz w:val="22"/>
          <w:shd w:val="clear" w:color="auto" w:fill="FFFFFF"/>
        </w:rPr>
        <w:t>szédülés</w:t>
      </w:r>
      <w:r>
        <w:rPr>
          <w:rFonts w:ascii="Times New Roman" w:hAnsi="Times New Roman"/>
          <w:sz w:val="22"/>
        </w:rPr>
        <w:t xml:space="preserve">  </w:t>
      </w:r>
    </w:p>
    <w:p w14:paraId="7869C33B" w14:textId="1B636239" w:rsidR="007341E7" w:rsidRPr="001916DA" w:rsidRDefault="007341E7" w:rsidP="005E3CA1">
      <w:pPr>
        <w:pStyle w:val="NormlWeb"/>
        <w:shd w:val="clear" w:color="auto" w:fill="FFFFFF"/>
        <w:spacing w:before="0" w:beforeAutospacing="0" w:after="0" w:afterAutospacing="0"/>
        <w:rPr>
          <w:rFonts w:eastAsia="Calibri"/>
          <w:bCs/>
          <w:sz w:val="22"/>
          <w:szCs w:val="22"/>
        </w:rPr>
      </w:pPr>
      <w:r>
        <w:rPr>
          <w:sz w:val="22"/>
          <w:shd w:val="clear" w:color="auto" w:fill="FFFFFF"/>
        </w:rPr>
        <w:t>Nagyon ritka</w:t>
      </w:r>
      <w:r>
        <w:rPr>
          <w:sz w:val="22"/>
          <w:shd w:val="clear" w:color="auto" w:fill="FFFFFF"/>
        </w:rPr>
        <w:tab/>
        <w:t xml:space="preserve">: </w:t>
      </w:r>
      <w:r>
        <w:rPr>
          <w:color w:val="000000"/>
          <w:sz w:val="22"/>
        </w:rPr>
        <w:t>Ízérzészavar, csökkent ízérzés</w:t>
      </w:r>
      <w:r>
        <w:rPr>
          <w:sz w:val="22"/>
          <w:shd w:val="clear" w:color="auto" w:fill="FFFFFF"/>
        </w:rPr>
        <w:t>, paraesthesia</w:t>
      </w:r>
    </w:p>
    <w:p w14:paraId="50F41895" w14:textId="547D20DF" w:rsidR="007341E7" w:rsidRPr="001916DA" w:rsidRDefault="007341E7" w:rsidP="005E3CA1">
      <w:pPr>
        <w:pStyle w:val="NormlWeb"/>
        <w:shd w:val="clear" w:color="auto" w:fill="FFFFFF"/>
        <w:spacing w:before="0" w:beforeAutospacing="0" w:after="0" w:afterAutospacing="0"/>
        <w:ind w:left="1440" w:hanging="1440"/>
        <w:rPr>
          <w:sz w:val="22"/>
          <w:szCs w:val="22"/>
          <w:shd w:val="clear" w:color="auto" w:fill="FFFFFF"/>
        </w:rPr>
      </w:pPr>
      <w:r>
        <w:rPr>
          <w:sz w:val="22"/>
          <w:shd w:val="clear" w:color="auto" w:fill="FFFFFF"/>
        </w:rPr>
        <w:t>Nem ismert</w:t>
      </w:r>
      <w:r>
        <w:rPr>
          <w:sz w:val="22"/>
          <w:shd w:val="clear" w:color="auto" w:fill="FFFFFF"/>
        </w:rPr>
        <w:tab/>
        <w:t>: Neurotoxicitás</w:t>
      </w:r>
      <w:r>
        <w:rPr>
          <w:sz w:val="22"/>
          <w:shd w:val="clear" w:color="auto" w:fill="FFFFFF"/>
          <w:vertAlign w:val="superscript"/>
        </w:rPr>
        <w:t>5</w:t>
      </w:r>
      <w:r>
        <w:rPr>
          <w:sz w:val="22"/>
          <w:shd w:val="clear" w:color="auto" w:fill="FFFFFF"/>
        </w:rPr>
        <w:t xml:space="preserve">, </w:t>
      </w:r>
      <w:r>
        <w:rPr>
          <w:color w:val="000000"/>
          <w:sz w:val="22"/>
        </w:rPr>
        <w:t>reverzibilis poszterior leukoencephalopathia-szindróma</w:t>
      </w:r>
      <w:r>
        <w:rPr>
          <w:color w:val="000000"/>
          <w:sz w:val="22"/>
          <w:vertAlign w:val="superscript"/>
        </w:rPr>
        <w:t>6</w:t>
      </w:r>
      <w:r>
        <w:rPr>
          <w:color w:val="000000"/>
          <w:sz w:val="22"/>
        </w:rPr>
        <w:t xml:space="preserve">, </w:t>
      </w:r>
      <w:r>
        <w:rPr>
          <w:sz w:val="22"/>
          <w:shd w:val="clear" w:color="auto" w:fill="FFFFFF"/>
        </w:rPr>
        <w:t>encephalopathia</w:t>
      </w:r>
    </w:p>
    <w:p w14:paraId="46AA44C6" w14:textId="77777777" w:rsidR="00A400EB" w:rsidRPr="001916DA" w:rsidRDefault="00A400EB" w:rsidP="0046151C">
      <w:pPr>
        <w:autoSpaceDE w:val="0"/>
        <w:autoSpaceDN w:val="0"/>
        <w:adjustRightInd w:val="0"/>
        <w:rPr>
          <w:rFonts w:ascii="Times New Roman" w:hAnsi="Times New Roman"/>
          <w:sz w:val="22"/>
          <w:szCs w:val="22"/>
          <w:shd w:val="clear" w:color="auto" w:fill="FFFFFF"/>
          <w:lang w:val="en-GB"/>
        </w:rPr>
      </w:pPr>
    </w:p>
    <w:p w14:paraId="0D1D2CCF" w14:textId="69F36CE2" w:rsidR="00A400EB" w:rsidRPr="001916DA" w:rsidRDefault="00CC0C93"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 xml:space="preserve">Szembetegségek és szemészeti tünetek </w:t>
      </w:r>
    </w:p>
    <w:p w14:paraId="23109C82" w14:textId="669DC7CF" w:rsidR="003C59EA" w:rsidRPr="001916DA" w:rsidRDefault="00CC0C93" w:rsidP="003C59EA">
      <w:pPr>
        <w:pStyle w:val="NormlWeb"/>
        <w:shd w:val="clear" w:color="auto" w:fill="FFFFFF"/>
        <w:spacing w:before="0" w:beforeAutospacing="0" w:after="0" w:afterAutospacing="0"/>
        <w:rPr>
          <w:color w:val="000000"/>
          <w:sz w:val="22"/>
          <w:szCs w:val="22"/>
        </w:rPr>
      </w:pPr>
      <w:r>
        <w:rPr>
          <w:sz w:val="22"/>
          <w:shd w:val="clear" w:color="auto" w:fill="FFFFFF"/>
        </w:rPr>
        <w:t>Ritka</w:t>
      </w:r>
      <w:r>
        <w:rPr>
          <w:sz w:val="22"/>
          <w:shd w:val="clear" w:color="auto" w:fill="FFFFFF"/>
        </w:rPr>
        <w:tab/>
      </w:r>
      <w:r>
        <w:rPr>
          <w:sz w:val="22"/>
          <w:shd w:val="clear" w:color="auto" w:fill="FFFFFF"/>
        </w:rPr>
        <w:tab/>
        <w:t>:</w:t>
      </w:r>
      <w:r>
        <w:rPr>
          <w:color w:val="000000"/>
          <w:sz w:val="22"/>
        </w:rPr>
        <w:t xml:space="preserve"> Homályos látás</w:t>
      </w:r>
    </w:p>
    <w:p w14:paraId="2E3BC2A7" w14:textId="5B7F64D9" w:rsidR="003C59EA" w:rsidRPr="001916DA" w:rsidRDefault="00CC0C93" w:rsidP="003C59EA">
      <w:pPr>
        <w:pStyle w:val="NormlWeb"/>
        <w:shd w:val="clear" w:color="auto" w:fill="FFFFFF"/>
        <w:spacing w:before="0" w:beforeAutospacing="0" w:after="0" w:afterAutospacing="0"/>
        <w:rPr>
          <w:color w:val="000000"/>
          <w:sz w:val="22"/>
          <w:szCs w:val="22"/>
        </w:rPr>
      </w:pPr>
      <w:r>
        <w:rPr>
          <w:sz w:val="22"/>
          <w:shd w:val="clear" w:color="auto" w:fill="FFFFFF"/>
        </w:rPr>
        <w:t>Nagyon ritka</w:t>
      </w:r>
      <w:r>
        <w:rPr>
          <w:sz w:val="22"/>
          <w:shd w:val="clear" w:color="auto" w:fill="FFFFFF"/>
        </w:rPr>
        <w:tab/>
        <w:t xml:space="preserve">: </w:t>
      </w:r>
      <w:r>
        <w:rPr>
          <w:color w:val="000000"/>
          <w:sz w:val="22"/>
        </w:rPr>
        <w:t>Látáskárosodás, conjunctivitis, szem-oedema</w:t>
      </w:r>
      <w:r>
        <w:rPr>
          <w:color w:val="000000"/>
          <w:sz w:val="22"/>
          <w:vertAlign w:val="superscript"/>
        </w:rPr>
        <w:t>7</w:t>
      </w:r>
    </w:p>
    <w:p w14:paraId="25E82052" w14:textId="08E97980" w:rsidR="00CC0C93" w:rsidRPr="001916DA" w:rsidRDefault="00CC0C93" w:rsidP="0046151C">
      <w:pPr>
        <w:autoSpaceDE w:val="0"/>
        <w:autoSpaceDN w:val="0"/>
        <w:adjustRightInd w:val="0"/>
        <w:rPr>
          <w:rFonts w:ascii="Times New Roman" w:hAnsi="Times New Roman"/>
          <w:sz w:val="22"/>
          <w:szCs w:val="22"/>
          <w:shd w:val="clear" w:color="auto" w:fill="FFFFFF"/>
        </w:rPr>
      </w:pPr>
      <w:r>
        <w:rPr>
          <w:rFonts w:ascii="Times New Roman" w:hAnsi="Times New Roman"/>
          <w:sz w:val="22"/>
          <w:shd w:val="clear" w:color="auto" w:fill="FFFFFF"/>
        </w:rPr>
        <w:t>Nem ismert</w:t>
      </w:r>
      <w:r>
        <w:rPr>
          <w:rFonts w:ascii="Times New Roman" w:hAnsi="Times New Roman"/>
          <w:sz w:val="22"/>
          <w:shd w:val="clear" w:color="auto" w:fill="FFFFFF"/>
        </w:rPr>
        <w:tab/>
        <w:t xml:space="preserve">: </w:t>
      </w:r>
      <w:r>
        <w:rPr>
          <w:rFonts w:ascii="Times New Roman" w:hAnsi="Times New Roman"/>
          <w:sz w:val="22"/>
        </w:rPr>
        <w:t>Fokozott könnyezés</w:t>
      </w:r>
    </w:p>
    <w:p w14:paraId="1280FE6D" w14:textId="77777777" w:rsidR="007341E7" w:rsidRPr="001916DA" w:rsidRDefault="007341E7" w:rsidP="0046151C">
      <w:pPr>
        <w:autoSpaceDE w:val="0"/>
        <w:autoSpaceDN w:val="0"/>
        <w:adjustRightInd w:val="0"/>
        <w:rPr>
          <w:rFonts w:ascii="Times New Roman" w:hAnsi="Times New Roman"/>
          <w:sz w:val="22"/>
          <w:szCs w:val="22"/>
          <w:shd w:val="clear" w:color="auto" w:fill="FFFFFF"/>
          <w:lang w:val="en-GB"/>
        </w:rPr>
      </w:pPr>
    </w:p>
    <w:p w14:paraId="70E73B98" w14:textId="2199C0B6" w:rsidR="003C59EA" w:rsidRPr="001916DA" w:rsidRDefault="003C59EA"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A fül és az egyensúlyérzékelő szerv betegségei és tünetei</w:t>
      </w:r>
    </w:p>
    <w:p w14:paraId="204FC0C5" w14:textId="7FE6D5D9" w:rsidR="003C59EA" w:rsidRPr="001916DA" w:rsidRDefault="003C59EA" w:rsidP="003C59EA">
      <w:pPr>
        <w:tabs>
          <w:tab w:val="left" w:pos="854"/>
        </w:tabs>
        <w:rPr>
          <w:rFonts w:ascii="Times New Roman" w:eastAsia="Calibri" w:hAnsi="Times New Roman"/>
          <w:bCs/>
          <w:sz w:val="22"/>
          <w:szCs w:val="22"/>
        </w:rPr>
      </w:pPr>
      <w:r>
        <w:rPr>
          <w:rFonts w:ascii="Times New Roman" w:hAnsi="Times New Roman"/>
          <w:sz w:val="22"/>
          <w:shd w:val="clear" w:color="auto" w:fill="FFFFFF"/>
        </w:rPr>
        <w:t>Nem gyakori</w:t>
      </w:r>
      <w:r>
        <w:rPr>
          <w:rFonts w:ascii="Times New Roman" w:hAnsi="Times New Roman"/>
          <w:sz w:val="22"/>
          <w:shd w:val="clear" w:color="auto" w:fill="FFFFFF"/>
        </w:rPr>
        <w:tab/>
        <w:t>: Süketség</w:t>
      </w:r>
    </w:p>
    <w:p w14:paraId="24AFC3F3" w14:textId="064280CD" w:rsidR="003C59EA" w:rsidRPr="001916DA" w:rsidRDefault="003C59EA" w:rsidP="005E3CA1">
      <w:pPr>
        <w:tabs>
          <w:tab w:val="left" w:pos="854"/>
        </w:tabs>
        <w:rPr>
          <w:rFonts w:ascii="Times New Roman" w:hAnsi="Times New Roman"/>
          <w:sz w:val="22"/>
          <w:szCs w:val="22"/>
          <w:shd w:val="clear" w:color="auto" w:fill="FFFFFF"/>
        </w:rPr>
      </w:pPr>
      <w:r>
        <w:rPr>
          <w:rFonts w:ascii="Times New Roman" w:hAnsi="Times New Roman"/>
          <w:sz w:val="22"/>
          <w:shd w:val="clear" w:color="auto" w:fill="FFFFFF"/>
        </w:rPr>
        <w:t>Nem ismert</w:t>
      </w:r>
      <w:r>
        <w:rPr>
          <w:rFonts w:ascii="Times New Roman" w:hAnsi="Times New Roman"/>
          <w:sz w:val="22"/>
          <w:shd w:val="clear" w:color="auto" w:fill="FFFFFF"/>
        </w:rPr>
        <w:tab/>
        <w:t xml:space="preserve">: </w:t>
      </w:r>
      <w:r>
        <w:rPr>
          <w:rFonts w:ascii="Times New Roman" w:hAnsi="Times New Roman"/>
          <w:sz w:val="22"/>
        </w:rPr>
        <w:t>Tinnitus</w:t>
      </w:r>
    </w:p>
    <w:p w14:paraId="071E9055" w14:textId="77777777" w:rsidR="007341E7" w:rsidRPr="001916DA" w:rsidRDefault="007341E7" w:rsidP="0046151C">
      <w:pPr>
        <w:autoSpaceDE w:val="0"/>
        <w:autoSpaceDN w:val="0"/>
        <w:adjustRightInd w:val="0"/>
        <w:rPr>
          <w:rFonts w:ascii="Times New Roman" w:hAnsi="Times New Roman"/>
          <w:sz w:val="22"/>
          <w:szCs w:val="22"/>
          <w:shd w:val="clear" w:color="auto" w:fill="FFFFFF"/>
          <w:lang w:val="en-GB"/>
        </w:rPr>
      </w:pPr>
    </w:p>
    <w:p w14:paraId="50269A3A" w14:textId="73B5B1FC" w:rsidR="003C59EA" w:rsidRPr="001916DA" w:rsidRDefault="003C59EA"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Szívbetegségek és a szívvel kapcsolatos tünetek</w:t>
      </w:r>
    </w:p>
    <w:p w14:paraId="78ED6810" w14:textId="4053EBA6" w:rsidR="006B590B" w:rsidRPr="001916DA" w:rsidRDefault="006B590B" w:rsidP="006B590B">
      <w:pPr>
        <w:rPr>
          <w:rFonts w:ascii="Times New Roman" w:eastAsia="Calibri" w:hAnsi="Times New Roman"/>
          <w:bCs/>
          <w:sz w:val="22"/>
          <w:szCs w:val="22"/>
        </w:rPr>
      </w:pPr>
      <w:r>
        <w:rPr>
          <w:rFonts w:ascii="Times New Roman" w:hAnsi="Times New Roman"/>
          <w:sz w:val="22"/>
          <w:shd w:val="clear" w:color="auto" w:fill="FFFFFF"/>
        </w:rPr>
        <w:t>Nem gyakori</w:t>
      </w:r>
      <w:r>
        <w:rPr>
          <w:rFonts w:ascii="Times New Roman" w:hAnsi="Times New Roman"/>
          <w:sz w:val="22"/>
          <w:shd w:val="clear" w:color="auto" w:fill="FFFFFF"/>
        </w:rPr>
        <w:tab/>
        <w:t xml:space="preserve">: </w:t>
      </w:r>
      <w:r>
        <w:rPr>
          <w:rFonts w:ascii="Times New Roman" w:hAnsi="Times New Roman"/>
          <w:sz w:val="22"/>
        </w:rPr>
        <w:t>Szívelégtelenség</w:t>
      </w:r>
      <w:r>
        <w:rPr>
          <w:rFonts w:ascii="Times New Roman" w:hAnsi="Times New Roman"/>
          <w:sz w:val="22"/>
          <w:vertAlign w:val="superscript"/>
        </w:rPr>
        <w:t>8</w:t>
      </w:r>
      <w:r>
        <w:rPr>
          <w:rFonts w:ascii="Times New Roman" w:hAnsi="Times New Roman"/>
          <w:sz w:val="22"/>
        </w:rPr>
        <w:t xml:space="preserve">, </w:t>
      </w:r>
      <w:r>
        <w:rPr>
          <w:rFonts w:ascii="Times New Roman" w:hAnsi="Times New Roman"/>
          <w:sz w:val="22"/>
          <w:shd w:val="clear" w:color="auto" w:fill="FFFFFF"/>
        </w:rPr>
        <w:t>cardiomyopathia, myocarditis,</w:t>
      </w:r>
      <w:r>
        <w:rPr>
          <w:rFonts w:ascii="Times New Roman" w:hAnsi="Times New Roman"/>
          <w:sz w:val="22"/>
        </w:rPr>
        <w:t xml:space="preserve"> tachycardia</w:t>
      </w:r>
    </w:p>
    <w:p w14:paraId="76C0E71D" w14:textId="4584A92A" w:rsidR="003C59EA" w:rsidRPr="001916DA" w:rsidRDefault="003C59EA" w:rsidP="003C59EA">
      <w:pPr>
        <w:rPr>
          <w:rFonts w:ascii="Times New Roman" w:eastAsia="Calibri" w:hAnsi="Times New Roman"/>
          <w:bCs/>
          <w:sz w:val="22"/>
          <w:szCs w:val="22"/>
        </w:rPr>
      </w:pPr>
      <w:r w:rsidRPr="009351AF">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 xml:space="preserve">: </w:t>
      </w:r>
      <w:r>
        <w:rPr>
          <w:rFonts w:ascii="Times New Roman" w:hAnsi="Times New Roman"/>
          <w:sz w:val="22"/>
        </w:rPr>
        <w:t xml:space="preserve">Kamrai arrhythmia, </w:t>
      </w:r>
      <w:r>
        <w:rPr>
          <w:rFonts w:ascii="Times New Roman" w:hAnsi="Times New Roman"/>
          <w:sz w:val="22"/>
          <w:shd w:val="clear" w:color="auto" w:fill="FFFFFF"/>
        </w:rPr>
        <w:t>s</w:t>
      </w:r>
      <w:r>
        <w:rPr>
          <w:rFonts w:ascii="Times New Roman" w:hAnsi="Times New Roman"/>
          <w:sz w:val="22"/>
        </w:rPr>
        <w:t>upraventricularis arrhythmia</w:t>
      </w:r>
    </w:p>
    <w:p w14:paraId="62C7D537" w14:textId="0096F7D5" w:rsidR="003C59EA" w:rsidRPr="001916DA" w:rsidRDefault="003C59EA" w:rsidP="003C59EA">
      <w:pPr>
        <w:rPr>
          <w:rFonts w:ascii="Times New Roman" w:eastAsia="Calibri" w:hAnsi="Times New Roman"/>
          <w:bCs/>
          <w:sz w:val="22"/>
          <w:szCs w:val="22"/>
        </w:rPr>
      </w:pPr>
      <w:r>
        <w:rPr>
          <w:rFonts w:ascii="Times New Roman" w:hAnsi="Times New Roman"/>
          <w:sz w:val="22"/>
          <w:shd w:val="clear" w:color="auto" w:fill="FFFFFF"/>
        </w:rPr>
        <w:t>Nagyon ritka</w:t>
      </w:r>
      <w:r>
        <w:rPr>
          <w:rFonts w:ascii="Times New Roman" w:hAnsi="Times New Roman"/>
          <w:sz w:val="22"/>
          <w:shd w:val="clear" w:color="auto" w:fill="FFFFFF"/>
        </w:rPr>
        <w:tab/>
        <w:t>: Kamrafibrilláció, angina, myocardialis infarctus, pericarditis, pitvarfibril</w:t>
      </w:r>
      <w:r w:rsidRPr="009351AF">
        <w:rPr>
          <w:rFonts w:ascii="Times New Roman" w:hAnsi="Times New Roman"/>
          <w:sz w:val="22"/>
          <w:shd w:val="clear" w:color="auto" w:fill="FFFFFF"/>
        </w:rPr>
        <w:t>láció</w:t>
      </w:r>
      <w:r>
        <w:rPr>
          <w:rFonts w:ascii="Times New Roman" w:hAnsi="Times New Roman"/>
          <w:sz w:val="22"/>
          <w:shd w:val="clear" w:color="auto" w:fill="FFFFFF"/>
        </w:rPr>
        <w:t xml:space="preserve"> </w:t>
      </w:r>
    </w:p>
    <w:p w14:paraId="737FCF87" w14:textId="7F53AE8C" w:rsidR="005848C5" w:rsidRPr="001916DA" w:rsidRDefault="003C59EA" w:rsidP="005E3CA1">
      <w:pPr>
        <w:ind w:left="1440" w:hanging="1440"/>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Kamrai tachycardia, kardiogén shock, pericardialis folyadékgyülem, szívdobogásérzés, bradycardia, QR-megnyúlás az elektrokardiogramon</w:t>
      </w:r>
      <w:r>
        <w:rPr>
          <w:rFonts w:ascii="Times New Roman" w:hAnsi="Times New Roman"/>
          <w:sz w:val="22"/>
        </w:rPr>
        <w:t>.</w:t>
      </w:r>
    </w:p>
    <w:p w14:paraId="0F765E11" w14:textId="4B036E31" w:rsidR="005848C5" w:rsidRPr="001916DA" w:rsidRDefault="005848C5" w:rsidP="005848C5">
      <w:pPr>
        <w:rPr>
          <w:rFonts w:ascii="Times New Roman" w:eastAsia="Calibri" w:hAnsi="Times New Roman"/>
          <w:bCs/>
          <w:sz w:val="22"/>
          <w:szCs w:val="22"/>
          <w:lang w:val="en-GB"/>
        </w:rPr>
      </w:pPr>
    </w:p>
    <w:p w14:paraId="02F0A2C7" w14:textId="18F3AAD7" w:rsidR="005848C5" w:rsidRPr="001916DA" w:rsidRDefault="005848C5" w:rsidP="005848C5">
      <w:pPr>
        <w:rPr>
          <w:rFonts w:ascii="Times New Roman" w:hAnsi="Times New Roman"/>
          <w:i/>
          <w:sz w:val="22"/>
          <w:szCs w:val="22"/>
          <w:shd w:val="clear" w:color="auto" w:fill="FFFFFF"/>
        </w:rPr>
      </w:pPr>
      <w:r>
        <w:rPr>
          <w:rFonts w:ascii="Times New Roman" w:hAnsi="Times New Roman"/>
          <w:i/>
          <w:sz w:val="22"/>
          <w:shd w:val="clear" w:color="auto" w:fill="FFFFFF"/>
        </w:rPr>
        <w:t>Érbetegségek és tünetek</w:t>
      </w:r>
    </w:p>
    <w:p w14:paraId="78F36F3A" w14:textId="7D70C0BF" w:rsidR="00732119" w:rsidRDefault="00732119" w:rsidP="005848C5">
      <w:pPr>
        <w:rPr>
          <w:rFonts w:ascii="Times New Roman" w:hAnsi="Times New Roman"/>
          <w:sz w:val="22"/>
          <w:szCs w:val="22"/>
          <w:shd w:val="clear" w:color="auto" w:fill="FFFFFF"/>
        </w:rPr>
      </w:pPr>
      <w:r>
        <w:rPr>
          <w:rFonts w:ascii="Times New Roman" w:hAnsi="Times New Roman"/>
          <w:sz w:val="22"/>
          <w:shd w:val="clear" w:color="auto" w:fill="FFFFFF"/>
        </w:rPr>
        <w:t>Nem gyakori</w:t>
      </w:r>
      <w:r>
        <w:rPr>
          <w:rFonts w:ascii="Times New Roman" w:hAnsi="Times New Roman"/>
          <w:sz w:val="22"/>
          <w:shd w:val="clear" w:color="auto" w:fill="FFFFFF"/>
        </w:rPr>
        <w:tab/>
        <w:t>: Kipirulás</w:t>
      </w:r>
    </w:p>
    <w:p w14:paraId="56EDB7C5" w14:textId="2DFF0BEB" w:rsidR="005848C5" w:rsidRPr="001916DA" w:rsidRDefault="005848C5" w:rsidP="005848C5">
      <w:pPr>
        <w:rPr>
          <w:rFonts w:ascii="Times New Roman" w:hAnsi="Times New Roman"/>
          <w:sz w:val="22"/>
          <w:szCs w:val="22"/>
          <w:shd w:val="clear" w:color="auto" w:fill="FFFFFF"/>
        </w:rPr>
      </w:pPr>
      <w:r>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 Vérzés</w:t>
      </w:r>
    </w:p>
    <w:p w14:paraId="3E472245" w14:textId="73BE57BF" w:rsidR="005848C5" w:rsidRPr="001916DA" w:rsidRDefault="005848C5" w:rsidP="005848C5">
      <w:pPr>
        <w:rPr>
          <w:rFonts w:ascii="Times New Roman" w:eastAsia="Calibri" w:hAnsi="Times New Roman"/>
          <w:bCs/>
          <w:sz w:val="22"/>
          <w:szCs w:val="22"/>
        </w:rPr>
      </w:pPr>
      <w:r>
        <w:rPr>
          <w:rFonts w:ascii="Times New Roman" w:hAnsi="Times New Roman"/>
          <w:sz w:val="22"/>
          <w:shd w:val="clear" w:color="auto" w:fill="FFFFFF"/>
        </w:rPr>
        <w:t>Nagyon ritka</w:t>
      </w:r>
      <w:r>
        <w:rPr>
          <w:rFonts w:ascii="Times New Roman" w:hAnsi="Times New Roman"/>
          <w:sz w:val="22"/>
          <w:shd w:val="clear" w:color="auto" w:fill="FFFFFF"/>
        </w:rPr>
        <w:tab/>
        <w:t>: Thromboembolisatio,</w:t>
      </w:r>
      <w:r>
        <w:rPr>
          <w:rFonts w:ascii="Times New Roman" w:hAnsi="Times New Roman"/>
          <w:shd w:val="clear" w:color="auto" w:fill="FFFFFF"/>
        </w:rPr>
        <w:t xml:space="preserve"> </w:t>
      </w:r>
      <w:r>
        <w:rPr>
          <w:rFonts w:ascii="Times New Roman" w:hAnsi="Times New Roman"/>
          <w:sz w:val="22"/>
        </w:rPr>
        <w:t>hypertonia, hypotonia</w:t>
      </w:r>
    </w:p>
    <w:p w14:paraId="6ED20D5A" w14:textId="67A0D67B" w:rsidR="005848C5" w:rsidRPr="001916DA" w:rsidRDefault="005848C5" w:rsidP="005848C5">
      <w:pPr>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Pulmonalis embolisatio, vénás thrombosis, perifériás ischaemia.</w:t>
      </w:r>
    </w:p>
    <w:p w14:paraId="06C7A32A" w14:textId="17BF091E" w:rsidR="005848C5" w:rsidRPr="001916DA" w:rsidRDefault="005848C5" w:rsidP="005848C5">
      <w:pPr>
        <w:rPr>
          <w:rFonts w:ascii="Times New Roman" w:eastAsia="Calibri" w:hAnsi="Times New Roman"/>
          <w:bCs/>
          <w:sz w:val="22"/>
          <w:szCs w:val="22"/>
          <w:lang w:val="en-GB"/>
        </w:rPr>
      </w:pPr>
    </w:p>
    <w:p w14:paraId="4B8D4B03" w14:textId="35ABF031" w:rsidR="003C59EA" w:rsidRPr="001916DA" w:rsidRDefault="00F50FC3"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Légzőrendszeri, mellkasi és mediastinalis betegségek és tünetek</w:t>
      </w:r>
      <w:r>
        <w:rPr>
          <w:rFonts w:ascii="Times New Roman" w:hAnsi="Times New Roman"/>
          <w:i/>
          <w:sz w:val="22"/>
          <w:shd w:val="clear" w:color="auto" w:fill="FFFFFF"/>
          <w:vertAlign w:val="superscript"/>
        </w:rPr>
        <w:t>8, 9</w:t>
      </w:r>
    </w:p>
    <w:p w14:paraId="05743D5A" w14:textId="1301E554" w:rsidR="00F50FC3" w:rsidRPr="001916DA" w:rsidRDefault="00F50FC3" w:rsidP="005E3CA1">
      <w:pPr>
        <w:pStyle w:val="Makrszvege"/>
        <w:numPr>
          <w:ilvl w:val="12"/>
          <w:numId w:val="0"/>
        </w:numPr>
        <w:tabs>
          <w:tab w:val="clear" w:pos="480"/>
          <w:tab w:val="clear" w:pos="960"/>
          <w:tab w:val="clear" w:pos="1440"/>
          <w:tab w:val="clear" w:pos="1920"/>
          <w:tab w:val="clear" w:pos="2400"/>
          <w:tab w:val="clear" w:pos="2880"/>
          <w:tab w:val="clear" w:pos="3360"/>
          <w:tab w:val="clear" w:pos="3840"/>
          <w:tab w:val="clear" w:pos="4320"/>
        </w:tabs>
        <w:ind w:left="1440" w:hanging="1440"/>
        <w:rPr>
          <w:rFonts w:ascii="Times New Roman" w:hAnsi="Times New Roman"/>
          <w:szCs w:val="22"/>
        </w:rPr>
      </w:pPr>
      <w:r>
        <w:rPr>
          <w:rFonts w:ascii="Times New Roman" w:hAnsi="Times New Roman"/>
          <w:shd w:val="clear" w:color="auto" w:fill="FFFFFF"/>
        </w:rPr>
        <w:t>Nagyon ritka</w:t>
      </w:r>
      <w:r>
        <w:rPr>
          <w:rFonts w:ascii="Times New Roman" w:hAnsi="Times New Roman"/>
          <w:shd w:val="clear" w:color="auto" w:fill="FFFFFF"/>
        </w:rPr>
        <w:tab/>
        <w:t xml:space="preserve">: </w:t>
      </w:r>
      <w:r>
        <w:rPr>
          <w:rFonts w:ascii="Times New Roman" w:hAnsi="Times New Roman"/>
          <w:color w:val="000000"/>
        </w:rPr>
        <w:t xml:space="preserve">Akut respirációs distressz szindróma (ARDS), krónikus interstitialis pulmonalis fibrosis, </w:t>
      </w:r>
      <w:r>
        <w:rPr>
          <w:rFonts w:ascii="Times New Roman" w:hAnsi="Times New Roman"/>
          <w:shd w:val="clear" w:color="auto" w:fill="FFFFFF"/>
        </w:rPr>
        <w:t>p</w:t>
      </w:r>
      <w:r>
        <w:rPr>
          <w:rFonts w:ascii="Times New Roman" w:hAnsi="Times New Roman"/>
          <w:color w:val="000000"/>
          <w:shd w:val="clear" w:color="auto" w:fill="FFFFFF"/>
        </w:rPr>
        <w:t>ulmonális oedema</w:t>
      </w:r>
      <w:r>
        <w:rPr>
          <w:rFonts w:ascii="Times New Roman" w:hAnsi="Times New Roman"/>
          <w:shd w:val="clear" w:color="auto" w:fill="FFFFFF"/>
        </w:rPr>
        <w:t>, bronchospasmus, dyspnoe, hypoxia, k</w:t>
      </w:r>
      <w:r>
        <w:rPr>
          <w:rFonts w:ascii="Times New Roman" w:hAnsi="Times New Roman"/>
        </w:rPr>
        <w:t>öhögés.</w:t>
      </w:r>
    </w:p>
    <w:p w14:paraId="54B107CA" w14:textId="0419DF81" w:rsidR="00F50FC3" w:rsidRPr="001916DA" w:rsidRDefault="00F50FC3" w:rsidP="005E3CA1">
      <w:pPr>
        <w:ind w:left="1440" w:hanging="1440"/>
        <w:rPr>
          <w:rFonts w:ascii="Times New Roman" w:eastAsia="Calibri" w:hAnsi="Times New Roman"/>
          <w:bCs/>
          <w:szCs w:val="22"/>
        </w:rPr>
      </w:pPr>
      <w:r>
        <w:rPr>
          <w:rFonts w:ascii="Times New Roman" w:hAnsi="Times New Roman"/>
          <w:sz w:val="22"/>
          <w:shd w:val="clear" w:color="auto" w:fill="FFFFFF"/>
        </w:rPr>
        <w:t>Nem ismert</w:t>
      </w:r>
      <w:r>
        <w:rPr>
          <w:rFonts w:ascii="Times New Roman" w:hAnsi="Times New Roman"/>
          <w:sz w:val="22"/>
          <w:shd w:val="clear" w:color="auto" w:fill="FFFFFF"/>
        </w:rPr>
        <w:tab/>
        <w:t>: Pulmonalis venoocclusiv betegség</w:t>
      </w:r>
      <w:r>
        <w:rPr>
          <w:rFonts w:ascii="Times New Roman" w:hAnsi="Times New Roman"/>
          <w:sz w:val="22"/>
        </w:rPr>
        <w:t xml:space="preserve">, </w:t>
      </w:r>
      <w:r>
        <w:rPr>
          <w:rFonts w:ascii="Times New Roman" w:hAnsi="Times New Roman"/>
          <w:sz w:val="22"/>
          <w:shd w:val="clear" w:color="auto" w:fill="FFFFFF"/>
        </w:rPr>
        <w:t xml:space="preserve">allergiás alveolitis, pneumonitis, </w:t>
      </w:r>
      <w:r>
        <w:rPr>
          <w:rFonts w:ascii="Times New Roman" w:hAnsi="Times New Roman"/>
          <w:sz w:val="22"/>
        </w:rPr>
        <w:t>orrdugulás, oropharyngealis fájdalom, orrfolyás, tüsszögés, bronchiolitis obliterans, pleuralis folyadékgyülem</w:t>
      </w:r>
    </w:p>
    <w:p w14:paraId="07F6155B" w14:textId="7373685B" w:rsidR="00F50FC3" w:rsidRPr="001916DA" w:rsidRDefault="00F50FC3" w:rsidP="00F50FC3">
      <w:pPr>
        <w:rPr>
          <w:rFonts w:ascii="Times New Roman" w:eastAsia="Calibri" w:hAnsi="Times New Roman"/>
          <w:bCs/>
          <w:sz w:val="22"/>
          <w:szCs w:val="22"/>
          <w:lang w:val="en-GB"/>
        </w:rPr>
      </w:pPr>
    </w:p>
    <w:p w14:paraId="6E0136B8" w14:textId="41CA4BFA" w:rsidR="00F50FC3" w:rsidRPr="001916DA" w:rsidRDefault="00E7605E"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Emésztőrendszeri betegségek és tünetek</w:t>
      </w:r>
    </w:p>
    <w:p w14:paraId="41D6B8B9" w14:textId="77777777" w:rsidR="00BA3436" w:rsidRDefault="00BA3436" w:rsidP="005E3CA1">
      <w:pPr>
        <w:ind w:left="1440" w:hanging="1440"/>
        <w:rPr>
          <w:rFonts w:ascii="Times New Roman" w:hAnsi="Times New Roman"/>
          <w:sz w:val="22"/>
          <w:szCs w:val="22"/>
          <w:shd w:val="clear" w:color="auto" w:fill="FFFFFF"/>
        </w:rPr>
      </w:pPr>
      <w:r>
        <w:rPr>
          <w:rFonts w:ascii="Times New Roman" w:hAnsi="Times New Roman"/>
          <w:sz w:val="22"/>
          <w:shd w:val="clear" w:color="auto" w:fill="FFFFFF"/>
        </w:rPr>
        <w:t>Gyakori</w:t>
      </w:r>
      <w:r>
        <w:rPr>
          <w:rFonts w:ascii="Times New Roman" w:hAnsi="Times New Roman"/>
          <w:sz w:val="22"/>
          <w:shd w:val="clear" w:color="auto" w:fill="FFFFFF"/>
        </w:rPr>
        <w:tab/>
        <w:t>: Nyálkahártya-gyulladás</w:t>
      </w:r>
    </w:p>
    <w:p w14:paraId="45DDE8A0" w14:textId="3A2B3655" w:rsidR="00E7605E" w:rsidRPr="001916DA" w:rsidRDefault="00E7605E" w:rsidP="005E3CA1">
      <w:pPr>
        <w:ind w:left="1440" w:hanging="1440"/>
        <w:rPr>
          <w:rFonts w:ascii="Times New Roman" w:eastAsia="Calibri" w:hAnsi="Times New Roman"/>
          <w:bCs/>
          <w:sz w:val="22"/>
          <w:szCs w:val="22"/>
        </w:rPr>
      </w:pPr>
      <w:r>
        <w:rPr>
          <w:rFonts w:ascii="Times New Roman" w:hAnsi="Times New Roman"/>
          <w:sz w:val="22"/>
          <w:shd w:val="clear" w:color="auto" w:fill="FFFFFF"/>
        </w:rPr>
        <w:t>Nagyon ritka</w:t>
      </w:r>
      <w:r>
        <w:rPr>
          <w:rFonts w:ascii="Times New Roman" w:hAnsi="Times New Roman"/>
          <w:sz w:val="22"/>
          <w:shd w:val="clear" w:color="auto" w:fill="FFFFFF"/>
        </w:rPr>
        <w:tab/>
        <w:t xml:space="preserve">: </w:t>
      </w:r>
      <w:r>
        <w:rPr>
          <w:rFonts w:ascii="Times New Roman" w:hAnsi="Times New Roman"/>
          <w:sz w:val="22"/>
        </w:rPr>
        <w:t>Haemorrhagiás enterocolitis, akut pancreatitis, ascites, stomatitis, hasmenés, hányás, székrekedés, hányinger</w:t>
      </w:r>
    </w:p>
    <w:p w14:paraId="1EE81B24" w14:textId="206F2B78" w:rsidR="00E7605E" w:rsidRPr="001916DA" w:rsidRDefault="00E7605E" w:rsidP="005E3CA1">
      <w:pPr>
        <w:ind w:left="1440" w:hanging="1440"/>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xml:space="preserve">: </w:t>
      </w:r>
      <w:r>
        <w:rPr>
          <w:rFonts w:ascii="Times New Roman" w:hAnsi="Times New Roman"/>
          <w:sz w:val="22"/>
        </w:rPr>
        <w:t>Gastrointestinalis vérzés, cecitis, colitis, enteritis, hasi fájdalom, fültőmirigy-gyulladás</w:t>
      </w:r>
    </w:p>
    <w:p w14:paraId="61C58649" w14:textId="5F0F7564" w:rsidR="00E7605E" w:rsidRPr="001916DA" w:rsidRDefault="00E7605E" w:rsidP="005E3CA1">
      <w:pPr>
        <w:rPr>
          <w:rFonts w:ascii="Times New Roman" w:hAnsi="Times New Roman"/>
          <w:sz w:val="22"/>
          <w:szCs w:val="22"/>
          <w:shd w:val="clear" w:color="auto" w:fill="FFFFFF"/>
          <w:lang w:val="en-GB"/>
        </w:rPr>
      </w:pPr>
    </w:p>
    <w:p w14:paraId="76E53C52" w14:textId="5347FD44" w:rsidR="000264C8" w:rsidRPr="001916DA" w:rsidRDefault="000264C8" w:rsidP="005E3CA1">
      <w:pPr>
        <w:rPr>
          <w:rFonts w:ascii="Times New Roman" w:hAnsi="Times New Roman"/>
          <w:i/>
          <w:sz w:val="22"/>
          <w:szCs w:val="22"/>
          <w:shd w:val="clear" w:color="auto" w:fill="FFFFFF"/>
        </w:rPr>
      </w:pPr>
      <w:r>
        <w:rPr>
          <w:rFonts w:ascii="Times New Roman" w:hAnsi="Times New Roman"/>
          <w:i/>
          <w:sz w:val="22"/>
          <w:shd w:val="clear" w:color="auto" w:fill="FFFFFF"/>
        </w:rPr>
        <w:t>Máj- és epebetegségek, illetve tünetek</w:t>
      </w:r>
    </w:p>
    <w:p w14:paraId="4CF2B983" w14:textId="77777777" w:rsidR="00680BD0" w:rsidRDefault="00680BD0" w:rsidP="005E3CA1">
      <w:pPr>
        <w:rPr>
          <w:rFonts w:ascii="Times New Roman" w:hAnsi="Times New Roman"/>
          <w:sz w:val="22"/>
          <w:szCs w:val="22"/>
          <w:shd w:val="clear" w:color="auto" w:fill="FFFFFF"/>
        </w:rPr>
      </w:pPr>
      <w:r>
        <w:rPr>
          <w:rFonts w:ascii="Times New Roman" w:hAnsi="Times New Roman"/>
          <w:sz w:val="22"/>
          <w:shd w:val="clear" w:color="auto" w:fill="FFFFFF"/>
        </w:rPr>
        <w:t>Gyakori</w:t>
      </w:r>
      <w:r>
        <w:rPr>
          <w:rFonts w:ascii="Times New Roman" w:hAnsi="Times New Roman"/>
          <w:sz w:val="22"/>
          <w:shd w:val="clear" w:color="auto" w:fill="FFFFFF"/>
        </w:rPr>
        <w:tab/>
        <w:t>: Rendellenes májfunkciók</w:t>
      </w:r>
    </w:p>
    <w:p w14:paraId="7C29D956" w14:textId="5441C008" w:rsidR="00850959" w:rsidRPr="00C611C5" w:rsidRDefault="000264C8" w:rsidP="005E3CA1">
      <w:pPr>
        <w:rPr>
          <w:rFonts w:ascii="Times New Roman" w:hAnsi="Times New Roman"/>
          <w:sz w:val="22"/>
          <w:szCs w:val="22"/>
        </w:rPr>
      </w:pPr>
      <w:r>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w:t>
      </w:r>
      <w:r>
        <w:rPr>
          <w:rFonts w:ascii="Times New Roman" w:hAnsi="Times New Roman"/>
          <w:sz w:val="22"/>
        </w:rPr>
        <w:t xml:space="preserve"> Hepatitis</w:t>
      </w:r>
    </w:p>
    <w:p w14:paraId="3326B834" w14:textId="6C493102" w:rsidR="00850959" w:rsidRPr="001916DA" w:rsidRDefault="000264C8" w:rsidP="00850959">
      <w:pPr>
        <w:pStyle w:val="NormlWeb"/>
        <w:shd w:val="clear" w:color="auto" w:fill="FFFFFF"/>
        <w:spacing w:before="0" w:beforeAutospacing="0" w:after="0" w:afterAutospacing="0"/>
        <w:rPr>
          <w:color w:val="000000"/>
          <w:sz w:val="22"/>
          <w:szCs w:val="22"/>
        </w:rPr>
      </w:pPr>
      <w:r>
        <w:rPr>
          <w:sz w:val="22"/>
          <w:shd w:val="clear" w:color="auto" w:fill="FFFFFF"/>
        </w:rPr>
        <w:t>Nagyon ritka</w:t>
      </w:r>
      <w:r>
        <w:rPr>
          <w:sz w:val="22"/>
          <w:shd w:val="clear" w:color="auto" w:fill="FFFFFF"/>
        </w:rPr>
        <w:tab/>
        <w:t>:</w:t>
      </w:r>
      <w:r>
        <w:rPr>
          <w:color w:val="000000"/>
          <w:sz w:val="22"/>
        </w:rPr>
        <w:t xml:space="preserve"> Venoocclusiv májbetegség,</w:t>
      </w:r>
      <w:r>
        <w:rPr>
          <w:sz w:val="22"/>
        </w:rPr>
        <w:t xml:space="preserve"> </w:t>
      </w:r>
      <w:r>
        <w:rPr>
          <w:color w:val="000000"/>
          <w:sz w:val="22"/>
        </w:rPr>
        <w:t>hepatomegalia, sárgaság</w:t>
      </w:r>
    </w:p>
    <w:p w14:paraId="7E052089" w14:textId="5010E7B6" w:rsidR="000264C8" w:rsidRPr="001916DA" w:rsidRDefault="000264C8" w:rsidP="005E3CA1">
      <w:pPr>
        <w:pStyle w:val="NormlWeb"/>
        <w:shd w:val="clear" w:color="auto" w:fill="FFFFFF"/>
        <w:spacing w:before="0" w:beforeAutospacing="0" w:after="0" w:afterAutospacing="0"/>
        <w:ind w:left="1440" w:hanging="1440"/>
        <w:rPr>
          <w:sz w:val="22"/>
          <w:szCs w:val="22"/>
          <w:shd w:val="clear" w:color="auto" w:fill="FFFFFF"/>
        </w:rPr>
      </w:pPr>
      <w:r>
        <w:rPr>
          <w:sz w:val="22"/>
          <w:shd w:val="clear" w:color="auto" w:fill="FFFFFF"/>
        </w:rPr>
        <w:t>Nem ismert</w:t>
      </w:r>
      <w:r>
        <w:rPr>
          <w:sz w:val="22"/>
          <w:shd w:val="clear" w:color="auto" w:fill="FFFFFF"/>
        </w:rPr>
        <w:tab/>
        <w:t xml:space="preserve">: </w:t>
      </w:r>
      <w:r>
        <w:rPr>
          <w:color w:val="000000"/>
          <w:sz w:val="22"/>
        </w:rPr>
        <w:t xml:space="preserve">Cholestaticus hepatitis, </w:t>
      </w:r>
      <w:r>
        <w:rPr>
          <w:sz w:val="22"/>
        </w:rPr>
        <w:t>hepatotoxicitás</w:t>
      </w:r>
      <w:r>
        <w:rPr>
          <w:sz w:val="22"/>
          <w:vertAlign w:val="superscript"/>
        </w:rPr>
        <w:t>10</w:t>
      </w:r>
      <w:r>
        <w:rPr>
          <w:sz w:val="22"/>
        </w:rPr>
        <w:t xml:space="preserve"> </w:t>
      </w:r>
    </w:p>
    <w:p w14:paraId="334CC29D" w14:textId="77777777" w:rsidR="00A400EB" w:rsidRPr="001916DA" w:rsidRDefault="00A400EB" w:rsidP="0046151C">
      <w:pPr>
        <w:autoSpaceDE w:val="0"/>
        <w:autoSpaceDN w:val="0"/>
        <w:adjustRightInd w:val="0"/>
        <w:rPr>
          <w:rFonts w:ascii="Times New Roman" w:hAnsi="Times New Roman"/>
          <w:sz w:val="22"/>
          <w:szCs w:val="22"/>
          <w:shd w:val="clear" w:color="auto" w:fill="FFFFFF"/>
          <w:lang w:val="en-GB"/>
        </w:rPr>
      </w:pPr>
    </w:p>
    <w:p w14:paraId="7FF94290" w14:textId="187B8D78" w:rsidR="00991E78" w:rsidRPr="001916DA" w:rsidRDefault="00991E78" w:rsidP="0046151C">
      <w:pPr>
        <w:autoSpaceDE w:val="0"/>
        <w:autoSpaceDN w:val="0"/>
        <w:adjustRightInd w:val="0"/>
        <w:rPr>
          <w:rFonts w:ascii="Times New Roman" w:hAnsi="Times New Roman"/>
          <w:i/>
          <w:sz w:val="22"/>
          <w:szCs w:val="22"/>
          <w:shd w:val="clear" w:color="auto" w:fill="FFFFFF"/>
        </w:rPr>
      </w:pPr>
      <w:r>
        <w:rPr>
          <w:rFonts w:ascii="Times New Roman" w:hAnsi="Times New Roman"/>
          <w:i/>
          <w:sz w:val="22"/>
          <w:shd w:val="clear" w:color="auto" w:fill="FFFFFF"/>
        </w:rPr>
        <w:t>A bőr és a bőr alatti szövet betegségei és tünetei</w:t>
      </w:r>
    </w:p>
    <w:p w14:paraId="77161C42" w14:textId="33961778" w:rsidR="00991E78" w:rsidRPr="001916DA" w:rsidRDefault="00991E78" w:rsidP="00991E78">
      <w:pPr>
        <w:rPr>
          <w:rFonts w:ascii="Times New Roman" w:eastAsia="Calibri" w:hAnsi="Times New Roman"/>
          <w:bCs/>
          <w:sz w:val="22"/>
          <w:szCs w:val="22"/>
        </w:rPr>
      </w:pPr>
      <w:r>
        <w:rPr>
          <w:rFonts w:ascii="Times New Roman" w:hAnsi="Times New Roman"/>
          <w:sz w:val="22"/>
          <w:shd w:val="clear" w:color="auto" w:fill="FFFFFF"/>
        </w:rPr>
        <w:t>Nagyon gyakori</w:t>
      </w:r>
      <w:r>
        <w:rPr>
          <w:rFonts w:ascii="Times New Roman" w:hAnsi="Times New Roman"/>
          <w:sz w:val="22"/>
          <w:shd w:val="clear" w:color="auto" w:fill="FFFFFF"/>
        </w:rPr>
        <w:tab/>
        <w:t>: Alopecia</w:t>
      </w:r>
      <w:r>
        <w:rPr>
          <w:rFonts w:ascii="Times New Roman" w:hAnsi="Times New Roman"/>
          <w:sz w:val="22"/>
          <w:shd w:val="clear" w:color="auto" w:fill="FFFFFF"/>
          <w:vertAlign w:val="superscript"/>
        </w:rPr>
        <w:t>11</w:t>
      </w:r>
      <w:r>
        <w:rPr>
          <w:rFonts w:ascii="Times New Roman" w:hAnsi="Times New Roman"/>
          <w:sz w:val="22"/>
          <w:shd w:val="clear" w:color="auto" w:fill="FFFFFF"/>
        </w:rPr>
        <w:t xml:space="preserve"> </w:t>
      </w:r>
    </w:p>
    <w:p w14:paraId="1D8FADD7" w14:textId="62A77DD4" w:rsidR="00991E78" w:rsidRPr="001916DA" w:rsidRDefault="00991E78" w:rsidP="00991E78">
      <w:pPr>
        <w:pStyle w:val="NormlWeb"/>
        <w:shd w:val="clear" w:color="auto" w:fill="FFFFFF"/>
        <w:spacing w:before="0" w:beforeAutospacing="0" w:after="0" w:afterAutospacing="0"/>
        <w:rPr>
          <w:rFonts w:eastAsia="Calibri"/>
          <w:bCs/>
          <w:sz w:val="22"/>
          <w:szCs w:val="22"/>
        </w:rPr>
      </w:pPr>
      <w:r>
        <w:rPr>
          <w:sz w:val="22"/>
          <w:shd w:val="clear" w:color="auto" w:fill="FFFFFF"/>
        </w:rPr>
        <w:t>Ritka</w:t>
      </w:r>
      <w:r>
        <w:rPr>
          <w:sz w:val="22"/>
          <w:shd w:val="clear" w:color="auto" w:fill="FFFFFF"/>
        </w:rPr>
        <w:tab/>
      </w:r>
      <w:r>
        <w:rPr>
          <w:sz w:val="22"/>
          <w:shd w:val="clear" w:color="auto" w:fill="FFFFFF"/>
        </w:rPr>
        <w:tab/>
        <w:t xml:space="preserve">: </w:t>
      </w:r>
      <w:r>
        <w:rPr>
          <w:color w:val="000000"/>
          <w:sz w:val="22"/>
        </w:rPr>
        <w:t>Kiütés, dermatitis</w:t>
      </w:r>
      <w:r>
        <w:rPr>
          <w:sz w:val="22"/>
        </w:rPr>
        <w:t>, a köröm elszíneződése, a bőr elszíneződése</w:t>
      </w:r>
      <w:r>
        <w:rPr>
          <w:sz w:val="22"/>
          <w:vertAlign w:val="superscript"/>
        </w:rPr>
        <w:t>12</w:t>
      </w:r>
      <w:r>
        <w:rPr>
          <w:sz w:val="22"/>
        </w:rPr>
        <w:t xml:space="preserve"> </w:t>
      </w:r>
    </w:p>
    <w:p w14:paraId="6CD48035" w14:textId="37E1B19C" w:rsidR="00991E78" w:rsidRPr="001916DA" w:rsidRDefault="00991E78" w:rsidP="005E3CA1">
      <w:pPr>
        <w:ind w:left="1440" w:hanging="1440"/>
        <w:rPr>
          <w:rFonts w:ascii="Times New Roman" w:eastAsia="Calibri" w:hAnsi="Times New Roman"/>
          <w:bCs/>
          <w:sz w:val="22"/>
          <w:szCs w:val="22"/>
        </w:rPr>
      </w:pPr>
      <w:r>
        <w:rPr>
          <w:rFonts w:ascii="Times New Roman" w:hAnsi="Times New Roman"/>
          <w:sz w:val="22"/>
          <w:shd w:val="clear" w:color="auto" w:fill="FFFFFF"/>
        </w:rPr>
        <w:t>Nagyon ritka</w:t>
      </w:r>
      <w:r>
        <w:rPr>
          <w:rFonts w:ascii="Times New Roman" w:hAnsi="Times New Roman"/>
          <w:sz w:val="22"/>
          <w:shd w:val="clear" w:color="auto" w:fill="FFFFFF"/>
        </w:rPr>
        <w:tab/>
        <w:t>: Stevens–Johnson-szindróma, toxicus epidermalis necrolysis,</w:t>
      </w:r>
      <w:r>
        <w:rPr>
          <w:rFonts w:ascii="Times New Roman" w:hAnsi="Times New Roman"/>
          <w:shd w:val="clear" w:color="auto" w:fill="FFFFFF"/>
        </w:rPr>
        <w:t xml:space="preserve"> </w:t>
      </w:r>
      <w:r>
        <w:rPr>
          <w:rFonts w:ascii="Times New Roman" w:hAnsi="Times New Roman"/>
          <w:sz w:val="22"/>
          <w:shd w:val="clear" w:color="auto" w:fill="FFFFFF"/>
        </w:rPr>
        <w:t>besugárzás okozta erythema, pruritus (gyulladásból eredő viszketés is)</w:t>
      </w:r>
    </w:p>
    <w:p w14:paraId="00244B17" w14:textId="2F6893B4" w:rsidR="00991E78" w:rsidRPr="00C611C5" w:rsidRDefault="00991E78" w:rsidP="005E3CA1">
      <w:pPr>
        <w:ind w:left="1440" w:hanging="1440"/>
        <w:rPr>
          <w:rFonts w:ascii="Times New Roman" w:hAnsi="Times New Roman"/>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xml:space="preserve">: </w:t>
      </w:r>
      <w:r>
        <w:rPr>
          <w:rFonts w:ascii="Times New Roman" w:hAnsi="Times New Roman"/>
          <w:i/>
          <w:sz w:val="22"/>
        </w:rPr>
        <w:t xml:space="preserve">Erythema multiforme, </w:t>
      </w:r>
      <w:r>
        <w:rPr>
          <w:rFonts w:ascii="Times New Roman" w:hAnsi="Times New Roman"/>
          <w:sz w:val="22"/>
          <w:shd w:val="clear" w:color="auto" w:fill="FFFFFF"/>
        </w:rPr>
        <w:t xml:space="preserve">palmoplantaris erythrodysesthesia szindróma (kéz-láb szindróma), </w:t>
      </w:r>
      <w:r>
        <w:rPr>
          <w:rFonts w:ascii="Times New Roman" w:hAnsi="Times New Roman"/>
          <w:sz w:val="22"/>
        </w:rPr>
        <w:t>urticaria, erythema, arcduzzanat, hyperhidrosis</w:t>
      </w:r>
    </w:p>
    <w:p w14:paraId="3308FF1D" w14:textId="77777777" w:rsidR="00991E78" w:rsidRPr="001916DA" w:rsidRDefault="00991E78" w:rsidP="005E3CA1">
      <w:pPr>
        <w:pStyle w:val="NormlWeb"/>
        <w:shd w:val="clear" w:color="auto" w:fill="FFFFFF"/>
        <w:spacing w:before="0" w:beforeAutospacing="0" w:after="0" w:afterAutospacing="0"/>
        <w:rPr>
          <w:sz w:val="22"/>
          <w:szCs w:val="22"/>
          <w:lang w:val="en-GB"/>
        </w:rPr>
      </w:pPr>
    </w:p>
    <w:p w14:paraId="56E9B829" w14:textId="22493264" w:rsidR="00991E78" w:rsidRPr="001916DA" w:rsidRDefault="00991E78" w:rsidP="005E3CA1">
      <w:pPr>
        <w:pStyle w:val="NormlWeb"/>
        <w:shd w:val="clear" w:color="auto" w:fill="FFFFFF"/>
        <w:spacing w:before="0" w:beforeAutospacing="0" w:after="0" w:afterAutospacing="0"/>
        <w:rPr>
          <w:i/>
          <w:sz w:val="22"/>
          <w:szCs w:val="22"/>
        </w:rPr>
      </w:pPr>
      <w:r>
        <w:rPr>
          <w:i/>
          <w:sz w:val="22"/>
          <w:shd w:val="clear" w:color="auto" w:fill="FFFFFF"/>
        </w:rPr>
        <w:t>A csont- és izomrendszer, valamint a kötőszövet betegségei és tünetei</w:t>
      </w:r>
    </w:p>
    <w:p w14:paraId="5402AD4F" w14:textId="1E1A7710" w:rsidR="00991E78" w:rsidRPr="001916DA" w:rsidRDefault="00991E78" w:rsidP="00991E78">
      <w:pPr>
        <w:pStyle w:val="NormlWeb"/>
        <w:shd w:val="clear" w:color="auto" w:fill="FFFFFF"/>
        <w:spacing w:before="0" w:beforeAutospacing="0" w:after="0" w:afterAutospacing="0"/>
        <w:rPr>
          <w:color w:val="000000"/>
          <w:sz w:val="22"/>
          <w:szCs w:val="22"/>
        </w:rPr>
      </w:pPr>
      <w:r>
        <w:rPr>
          <w:color w:val="000000"/>
          <w:sz w:val="22"/>
        </w:rPr>
        <w:t>Nagyon ritka</w:t>
      </w:r>
      <w:r>
        <w:rPr>
          <w:color w:val="000000"/>
          <w:sz w:val="22"/>
        </w:rPr>
        <w:tab/>
        <w:t>: Rhabdomyolysis, görcsök</w:t>
      </w:r>
    </w:p>
    <w:p w14:paraId="73EBC320" w14:textId="78565004" w:rsidR="00991E78" w:rsidRPr="001916DA" w:rsidRDefault="00991E78" w:rsidP="005E3CA1">
      <w:pPr>
        <w:pStyle w:val="NormlWeb"/>
        <w:shd w:val="clear" w:color="auto" w:fill="FFFFFF"/>
        <w:spacing w:before="0" w:beforeAutospacing="0" w:after="0" w:afterAutospacing="0"/>
        <w:rPr>
          <w:sz w:val="22"/>
          <w:szCs w:val="22"/>
        </w:rPr>
      </w:pPr>
      <w:r>
        <w:rPr>
          <w:color w:val="000000"/>
          <w:sz w:val="22"/>
        </w:rPr>
        <w:t>Nem ismert</w:t>
      </w:r>
      <w:r>
        <w:rPr>
          <w:color w:val="000000"/>
          <w:sz w:val="22"/>
        </w:rPr>
        <w:tab/>
        <w:t>: Scleroderma, izomgörcsök, myalgia, arthralgia</w:t>
      </w:r>
    </w:p>
    <w:p w14:paraId="36A986CE" w14:textId="77777777" w:rsidR="00991E78" w:rsidRPr="001916DA" w:rsidRDefault="00991E78" w:rsidP="005E3CA1">
      <w:pPr>
        <w:pStyle w:val="NormlWeb"/>
        <w:shd w:val="clear" w:color="auto" w:fill="FFFFFF"/>
        <w:spacing w:before="0" w:beforeAutospacing="0" w:after="0" w:afterAutospacing="0"/>
        <w:rPr>
          <w:sz w:val="22"/>
          <w:szCs w:val="22"/>
          <w:lang w:val="en-GB"/>
        </w:rPr>
      </w:pPr>
    </w:p>
    <w:p w14:paraId="20A56122" w14:textId="4A1BF803" w:rsidR="00991E78" w:rsidRPr="001916DA" w:rsidRDefault="00991E78" w:rsidP="005E3CA1">
      <w:pPr>
        <w:pStyle w:val="NormlWeb"/>
        <w:shd w:val="clear" w:color="auto" w:fill="FFFFFF"/>
        <w:spacing w:before="0" w:beforeAutospacing="0" w:after="0" w:afterAutospacing="0"/>
        <w:rPr>
          <w:i/>
          <w:sz w:val="22"/>
          <w:szCs w:val="22"/>
        </w:rPr>
      </w:pPr>
      <w:r>
        <w:rPr>
          <w:i/>
          <w:sz w:val="22"/>
          <w:shd w:val="clear" w:color="auto" w:fill="FFFFFF"/>
        </w:rPr>
        <w:t>Vese- és húgyúti betegségek és tünetek</w:t>
      </w:r>
    </w:p>
    <w:p w14:paraId="52616D3A" w14:textId="224893EE" w:rsidR="0028208F" w:rsidRPr="001916DA" w:rsidRDefault="0028208F" w:rsidP="0028208F">
      <w:pPr>
        <w:pStyle w:val="NormlWeb"/>
        <w:shd w:val="clear" w:color="auto" w:fill="FFFFFF"/>
        <w:spacing w:before="0" w:beforeAutospacing="0" w:after="0" w:afterAutospacing="0"/>
        <w:rPr>
          <w:color w:val="000000"/>
          <w:sz w:val="22"/>
          <w:szCs w:val="22"/>
        </w:rPr>
      </w:pPr>
      <w:r>
        <w:rPr>
          <w:color w:val="000000"/>
          <w:sz w:val="22"/>
        </w:rPr>
        <w:t>Nagyon gyakori</w:t>
      </w:r>
      <w:r>
        <w:rPr>
          <w:color w:val="000000"/>
          <w:sz w:val="22"/>
        </w:rPr>
        <w:tab/>
        <w:t>: Cystitis, microhaematuria</w:t>
      </w:r>
    </w:p>
    <w:p w14:paraId="42958371" w14:textId="555FC948" w:rsidR="0028208F" w:rsidRPr="001916DA" w:rsidRDefault="0028208F" w:rsidP="0028208F">
      <w:pPr>
        <w:pStyle w:val="NormlWeb"/>
        <w:shd w:val="clear" w:color="auto" w:fill="FFFFFF"/>
        <w:spacing w:before="0" w:beforeAutospacing="0" w:after="0" w:afterAutospacing="0"/>
        <w:rPr>
          <w:color w:val="000000"/>
          <w:sz w:val="22"/>
          <w:szCs w:val="22"/>
        </w:rPr>
      </w:pPr>
      <w:r>
        <w:rPr>
          <w:color w:val="000000"/>
          <w:sz w:val="22"/>
        </w:rPr>
        <w:t>Gyakori</w:t>
      </w:r>
      <w:r>
        <w:rPr>
          <w:color w:val="000000"/>
          <w:sz w:val="22"/>
        </w:rPr>
        <w:tab/>
        <w:t>: Haemorrhagiás cystitis, macrohaematuria</w:t>
      </w:r>
    </w:p>
    <w:p w14:paraId="3AE7C34A" w14:textId="229D5C53" w:rsidR="0028208F" w:rsidRPr="001916DA" w:rsidRDefault="0028208F" w:rsidP="005E3CA1">
      <w:pPr>
        <w:pStyle w:val="NormlWeb"/>
        <w:shd w:val="clear" w:color="auto" w:fill="FFFFFF"/>
        <w:spacing w:before="0" w:beforeAutospacing="0" w:after="0" w:afterAutospacing="0"/>
        <w:ind w:left="1440" w:hanging="1440"/>
        <w:rPr>
          <w:color w:val="000000"/>
          <w:sz w:val="22"/>
          <w:szCs w:val="22"/>
        </w:rPr>
      </w:pPr>
      <w:r>
        <w:rPr>
          <w:color w:val="000000"/>
          <w:sz w:val="22"/>
        </w:rPr>
        <w:t>Nagyon ritka</w:t>
      </w:r>
      <w:r>
        <w:rPr>
          <w:color w:val="000000"/>
          <w:sz w:val="22"/>
        </w:rPr>
        <w:tab/>
        <w:t xml:space="preserve">: Suburethralis vérzés, húgyhólyagfal-oedema, </w:t>
      </w:r>
      <w:r>
        <w:rPr>
          <w:sz w:val="22"/>
        </w:rPr>
        <w:t>húgyhólyag-fibrosis és -sclerosis</w:t>
      </w:r>
      <w:r>
        <w:t xml:space="preserve">, </w:t>
      </w:r>
      <w:r>
        <w:rPr>
          <w:sz w:val="22"/>
        </w:rPr>
        <w:t xml:space="preserve">vesekárosodás, </w:t>
      </w:r>
      <w:r>
        <w:rPr>
          <w:color w:val="000000"/>
          <w:sz w:val="22"/>
        </w:rPr>
        <w:t>emelkedett kreatininszint a vérben, renalis tubularis necrosis.</w:t>
      </w:r>
    </w:p>
    <w:p w14:paraId="0B834CAD" w14:textId="27C473D0" w:rsidR="0028208F" w:rsidRPr="001916DA" w:rsidRDefault="0028208F" w:rsidP="005E3CA1">
      <w:pPr>
        <w:pStyle w:val="NormlWeb"/>
        <w:shd w:val="clear" w:color="auto" w:fill="FFFFFF"/>
        <w:spacing w:before="0" w:beforeAutospacing="0" w:after="0" w:afterAutospacing="0"/>
        <w:ind w:left="1440" w:hanging="1440"/>
        <w:rPr>
          <w:sz w:val="22"/>
          <w:szCs w:val="22"/>
        </w:rPr>
      </w:pPr>
      <w:r>
        <w:rPr>
          <w:color w:val="000000"/>
          <w:sz w:val="22"/>
        </w:rPr>
        <w:t>Nem ismert</w:t>
      </w:r>
      <w:r>
        <w:rPr>
          <w:color w:val="000000"/>
          <w:sz w:val="22"/>
        </w:rPr>
        <w:tab/>
        <w:t xml:space="preserve">: Renalis tubularis rendellenesség, toxicus nephropathia, haemorrhagiás urethritis, </w:t>
      </w:r>
      <w:r>
        <w:rPr>
          <w:sz w:val="22"/>
          <w:shd w:val="clear" w:color="auto" w:fill="FFFFFF"/>
        </w:rPr>
        <w:t xml:space="preserve">húgyhólyag-zsugorodás, </w:t>
      </w:r>
      <w:r>
        <w:rPr>
          <w:sz w:val="22"/>
        </w:rPr>
        <w:t>nephrogen diabetes insipidus, atipikus epithelialis húgyhólyagsejtek, szérum karbamid-nitrogén szint emelkedése</w:t>
      </w:r>
    </w:p>
    <w:p w14:paraId="303847CC" w14:textId="77777777" w:rsidR="00991E78" w:rsidRPr="001916DA" w:rsidRDefault="00991E78" w:rsidP="005E3CA1">
      <w:pPr>
        <w:pStyle w:val="NormlWeb"/>
        <w:shd w:val="clear" w:color="auto" w:fill="FFFFFF"/>
        <w:spacing w:before="0" w:beforeAutospacing="0" w:after="0" w:afterAutospacing="0"/>
        <w:rPr>
          <w:sz w:val="22"/>
          <w:szCs w:val="22"/>
          <w:lang w:val="en-GB"/>
        </w:rPr>
      </w:pPr>
    </w:p>
    <w:p w14:paraId="7A2735F9" w14:textId="52A9F362" w:rsidR="00991E78" w:rsidRPr="001916DA" w:rsidRDefault="0028208F" w:rsidP="005E3CA1">
      <w:pPr>
        <w:pStyle w:val="NormlWeb"/>
        <w:shd w:val="clear" w:color="auto" w:fill="FFFFFF"/>
        <w:spacing w:before="0" w:beforeAutospacing="0" w:after="0" w:afterAutospacing="0"/>
        <w:rPr>
          <w:i/>
          <w:sz w:val="22"/>
          <w:szCs w:val="22"/>
          <w:shd w:val="clear" w:color="auto" w:fill="FFFFFF"/>
        </w:rPr>
      </w:pPr>
      <w:r>
        <w:rPr>
          <w:i/>
          <w:sz w:val="22"/>
          <w:shd w:val="clear" w:color="auto" w:fill="FFFFFF"/>
        </w:rPr>
        <w:t>A terhesség, a gyermekágyi és a perinatális időszak alatt jelentkező betegségek és tünetek</w:t>
      </w:r>
    </w:p>
    <w:p w14:paraId="4662AC69" w14:textId="2401C00D" w:rsidR="0028208F" w:rsidRPr="001916DA" w:rsidRDefault="0028208F" w:rsidP="0028208F">
      <w:pPr>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Koraszülés</w:t>
      </w:r>
    </w:p>
    <w:p w14:paraId="5CEAC799" w14:textId="35F81FFC" w:rsidR="0028208F" w:rsidRPr="001916DA" w:rsidRDefault="0028208F" w:rsidP="005E3CA1">
      <w:pPr>
        <w:pStyle w:val="NormlWeb"/>
        <w:shd w:val="clear" w:color="auto" w:fill="FFFFFF"/>
        <w:spacing w:before="0" w:beforeAutospacing="0" w:after="0" w:afterAutospacing="0"/>
        <w:rPr>
          <w:sz w:val="22"/>
          <w:szCs w:val="22"/>
          <w:lang w:val="en-GB"/>
        </w:rPr>
      </w:pPr>
    </w:p>
    <w:p w14:paraId="4D4E7BA1" w14:textId="2341A10F" w:rsidR="00991E78" w:rsidRPr="001916DA" w:rsidRDefault="0028208F" w:rsidP="005E3CA1">
      <w:pPr>
        <w:pStyle w:val="NormlWeb"/>
        <w:shd w:val="clear" w:color="auto" w:fill="FFFFFF"/>
        <w:spacing w:before="0" w:beforeAutospacing="0" w:after="0" w:afterAutospacing="0"/>
        <w:rPr>
          <w:i/>
          <w:sz w:val="22"/>
          <w:szCs w:val="22"/>
          <w:shd w:val="clear" w:color="auto" w:fill="FFFFFF"/>
        </w:rPr>
      </w:pPr>
      <w:r>
        <w:rPr>
          <w:i/>
          <w:sz w:val="22"/>
          <w:shd w:val="clear" w:color="auto" w:fill="FFFFFF"/>
        </w:rPr>
        <w:t>A nemi szervekkel és az emlőkkel kapcsolatos betegségek és tünetek</w:t>
      </w:r>
    </w:p>
    <w:p w14:paraId="3AEE6701" w14:textId="72317209" w:rsidR="0028208F" w:rsidRPr="001916DA" w:rsidRDefault="0028208F" w:rsidP="0028208F">
      <w:pPr>
        <w:rPr>
          <w:rFonts w:ascii="Times New Roman" w:eastAsia="Calibri" w:hAnsi="Times New Roman"/>
          <w:bCs/>
          <w:sz w:val="22"/>
          <w:szCs w:val="22"/>
        </w:rPr>
      </w:pPr>
      <w:r>
        <w:rPr>
          <w:rFonts w:ascii="Times New Roman" w:hAnsi="Times New Roman"/>
          <w:sz w:val="22"/>
          <w:shd w:val="clear" w:color="auto" w:fill="FFFFFF"/>
        </w:rPr>
        <w:t>Gyakori</w:t>
      </w:r>
      <w:r>
        <w:rPr>
          <w:rFonts w:ascii="Times New Roman" w:hAnsi="Times New Roman"/>
          <w:sz w:val="22"/>
          <w:shd w:val="clear" w:color="auto" w:fill="FFFFFF"/>
        </w:rPr>
        <w:tab/>
        <w:t>: A spermatogenesis károsítása</w:t>
      </w:r>
    </w:p>
    <w:p w14:paraId="79E57FA4" w14:textId="41922B85" w:rsidR="0028208F" w:rsidRPr="001916DA" w:rsidRDefault="0028208F" w:rsidP="0028208F">
      <w:pPr>
        <w:rPr>
          <w:rFonts w:ascii="Times New Roman" w:eastAsia="Calibri" w:hAnsi="Times New Roman"/>
          <w:bCs/>
          <w:sz w:val="22"/>
          <w:szCs w:val="22"/>
        </w:rPr>
      </w:pPr>
      <w:r>
        <w:rPr>
          <w:rFonts w:ascii="Times New Roman" w:hAnsi="Times New Roman"/>
          <w:sz w:val="22"/>
          <w:shd w:val="clear" w:color="auto" w:fill="FFFFFF"/>
        </w:rPr>
        <w:t>Nem gyakori</w:t>
      </w:r>
      <w:r>
        <w:rPr>
          <w:rFonts w:ascii="Times New Roman" w:hAnsi="Times New Roman"/>
          <w:sz w:val="22"/>
          <w:shd w:val="clear" w:color="auto" w:fill="FFFFFF"/>
        </w:rPr>
        <w:tab/>
        <w:t>: Ovulációs rendellenesség (ritkán irreverzibilis)</w:t>
      </w:r>
    </w:p>
    <w:p w14:paraId="55834BEB" w14:textId="375F1FB2" w:rsidR="0028208F" w:rsidRPr="001916DA" w:rsidRDefault="0028208F" w:rsidP="0028208F">
      <w:pPr>
        <w:rPr>
          <w:rFonts w:ascii="Times New Roman" w:eastAsia="Calibri" w:hAnsi="Times New Roman"/>
          <w:bCs/>
          <w:sz w:val="22"/>
          <w:szCs w:val="22"/>
        </w:rPr>
      </w:pPr>
      <w:r>
        <w:rPr>
          <w:rFonts w:ascii="Times New Roman" w:hAnsi="Times New Roman"/>
          <w:sz w:val="22"/>
          <w:shd w:val="clear" w:color="auto" w:fill="FFFFFF"/>
        </w:rPr>
        <w:t>Ritka</w:t>
      </w:r>
      <w:r>
        <w:rPr>
          <w:rFonts w:ascii="Times New Roman" w:hAnsi="Times New Roman"/>
          <w:sz w:val="22"/>
          <w:shd w:val="clear" w:color="auto" w:fill="FFFFFF"/>
        </w:rPr>
        <w:tab/>
      </w:r>
      <w:r>
        <w:rPr>
          <w:rFonts w:ascii="Times New Roman" w:hAnsi="Times New Roman"/>
          <w:sz w:val="22"/>
          <w:shd w:val="clear" w:color="auto" w:fill="FFFFFF"/>
        </w:rPr>
        <w:tab/>
        <w:t>: Amenorrhea</w:t>
      </w:r>
      <w:r>
        <w:rPr>
          <w:rFonts w:ascii="Times New Roman" w:hAnsi="Times New Roman"/>
          <w:sz w:val="22"/>
          <w:shd w:val="clear" w:color="auto" w:fill="FFFFFF"/>
          <w:vertAlign w:val="superscript"/>
        </w:rPr>
        <w:t>13</w:t>
      </w:r>
      <w:r>
        <w:rPr>
          <w:rFonts w:ascii="Times New Roman" w:hAnsi="Times New Roman"/>
          <w:sz w:val="22"/>
        </w:rPr>
        <w:t xml:space="preserve">, </w:t>
      </w:r>
      <w:r>
        <w:rPr>
          <w:rFonts w:ascii="Times New Roman" w:hAnsi="Times New Roman"/>
          <w:sz w:val="22"/>
          <w:shd w:val="clear" w:color="auto" w:fill="FFFFFF"/>
        </w:rPr>
        <w:t>azoospermia/asperima</w:t>
      </w:r>
      <w:r>
        <w:rPr>
          <w:rFonts w:ascii="Times New Roman" w:hAnsi="Times New Roman"/>
          <w:sz w:val="22"/>
          <w:shd w:val="clear" w:color="auto" w:fill="FFFFFF"/>
          <w:vertAlign w:val="superscript"/>
        </w:rPr>
        <w:t>13</w:t>
      </w:r>
      <w:r>
        <w:rPr>
          <w:rFonts w:ascii="Times New Roman" w:hAnsi="Times New Roman"/>
          <w:sz w:val="22"/>
          <w:shd w:val="clear" w:color="auto" w:fill="FFFFFF"/>
        </w:rPr>
        <w:t xml:space="preserve">, </w:t>
      </w:r>
      <w:r>
        <w:rPr>
          <w:rFonts w:ascii="Times New Roman" w:hAnsi="Times New Roman"/>
          <w:sz w:val="22"/>
        </w:rPr>
        <w:t>oligospermia</w:t>
      </w:r>
      <w:r>
        <w:rPr>
          <w:rFonts w:ascii="Times New Roman" w:hAnsi="Times New Roman"/>
          <w:sz w:val="22"/>
          <w:vertAlign w:val="superscript"/>
        </w:rPr>
        <w:t>13</w:t>
      </w:r>
    </w:p>
    <w:p w14:paraId="22D2CA78" w14:textId="50B192E1" w:rsidR="00A400EB" w:rsidRPr="00C611C5" w:rsidRDefault="0028208F" w:rsidP="005E3CA1">
      <w:pPr>
        <w:ind w:left="1440" w:hanging="1440"/>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Meddőség, petefészek-elégtelenség, oligomenorrhea, testicularis atrophia</w:t>
      </w:r>
    </w:p>
    <w:p w14:paraId="46A7DBE7" w14:textId="77777777" w:rsidR="0028208F" w:rsidRPr="00C611C5" w:rsidRDefault="0028208F" w:rsidP="005E3CA1">
      <w:pPr>
        <w:rPr>
          <w:rFonts w:ascii="Times New Roman" w:eastAsia="Calibri" w:hAnsi="Times New Roman"/>
          <w:bCs/>
          <w:sz w:val="22"/>
          <w:szCs w:val="22"/>
          <w:lang w:val="en-GB"/>
        </w:rPr>
      </w:pPr>
    </w:p>
    <w:p w14:paraId="30AC1658" w14:textId="52DE4A40" w:rsidR="0028208F" w:rsidRPr="00C611C5" w:rsidRDefault="0028208F" w:rsidP="005E3CA1">
      <w:pPr>
        <w:rPr>
          <w:rFonts w:ascii="Times New Roman" w:eastAsia="Calibri" w:hAnsi="Times New Roman"/>
          <w:bCs/>
          <w:i/>
          <w:sz w:val="22"/>
          <w:szCs w:val="22"/>
        </w:rPr>
      </w:pPr>
      <w:r>
        <w:rPr>
          <w:rFonts w:ascii="Times New Roman" w:hAnsi="Times New Roman"/>
          <w:i/>
          <w:sz w:val="22"/>
          <w:shd w:val="clear" w:color="auto" w:fill="FFFFFF"/>
        </w:rPr>
        <w:t>Veleszületett, örökletes és genetikai rendellenességek</w:t>
      </w:r>
    </w:p>
    <w:p w14:paraId="54E1F73F" w14:textId="2CB3FBCD" w:rsidR="0028208F" w:rsidRPr="00C611C5" w:rsidRDefault="0028208F" w:rsidP="00C5225D">
      <w:pPr>
        <w:ind w:left="1440" w:hanging="1440"/>
        <w:rPr>
          <w:rFonts w:ascii="Times New Roman" w:eastAsia="Calibri" w:hAnsi="Times New Roman"/>
          <w:bCs/>
          <w:sz w:val="22"/>
          <w:szCs w:val="22"/>
        </w:rPr>
      </w:pPr>
      <w:r>
        <w:rPr>
          <w:rFonts w:ascii="Times New Roman" w:hAnsi="Times New Roman"/>
          <w:sz w:val="22"/>
        </w:rPr>
        <w:t>Nem ismert</w:t>
      </w:r>
      <w:r>
        <w:rPr>
          <w:rFonts w:ascii="Times New Roman" w:hAnsi="Times New Roman"/>
          <w:sz w:val="22"/>
        </w:rPr>
        <w:tab/>
        <w:t xml:space="preserve">: </w:t>
      </w:r>
      <w:r>
        <w:rPr>
          <w:rFonts w:ascii="Times New Roman" w:hAnsi="Times New Roman"/>
          <w:sz w:val="22"/>
          <w:shd w:val="clear" w:color="auto" w:fill="FFFFFF"/>
        </w:rPr>
        <w:t>Intrauterin halál</w:t>
      </w:r>
      <w:r>
        <w:rPr>
          <w:rFonts w:ascii="Times New Roman" w:hAnsi="Times New Roman"/>
          <w:sz w:val="22"/>
        </w:rPr>
        <w:t xml:space="preserve">, </w:t>
      </w:r>
      <w:r>
        <w:rPr>
          <w:rFonts w:ascii="Times New Roman" w:hAnsi="Times New Roman"/>
          <w:sz w:val="22"/>
          <w:shd w:val="clear" w:color="auto" w:fill="FFFFFF"/>
        </w:rPr>
        <w:t>magzati fejlődési rendellenesség, magzati növekedési retardáció, magzati</w:t>
      </w:r>
      <w:r>
        <w:rPr>
          <w:rFonts w:ascii="Times New Roman" w:hAnsi="Times New Roman"/>
          <w:sz w:val="22"/>
        </w:rPr>
        <w:t xml:space="preserve"> </w:t>
      </w:r>
      <w:r w:rsidRPr="009351AF">
        <w:rPr>
          <w:rFonts w:ascii="Times New Roman" w:hAnsi="Times New Roman"/>
          <w:sz w:val="22"/>
        </w:rPr>
        <w:t xml:space="preserve">toxicitás, </w:t>
      </w:r>
      <w:r w:rsidR="005602D0" w:rsidRPr="009351AF">
        <w:rPr>
          <w:rFonts w:ascii="Times New Roman" w:hAnsi="Times New Roman"/>
          <w:sz w:val="22"/>
        </w:rPr>
        <w:t>az u</w:t>
      </w:r>
      <w:r w:rsidR="00044750" w:rsidRPr="009351AF">
        <w:rPr>
          <w:rFonts w:ascii="Times New Roman" w:hAnsi="Times New Roman"/>
          <w:sz w:val="22"/>
        </w:rPr>
        <w:t>tódokat</w:t>
      </w:r>
      <w:r w:rsidR="00044750">
        <w:rPr>
          <w:rFonts w:ascii="Times New Roman" w:hAnsi="Times New Roman"/>
          <w:sz w:val="22"/>
        </w:rPr>
        <w:t xml:space="preserve"> érintő karcinogén hatás</w:t>
      </w:r>
    </w:p>
    <w:p w14:paraId="7BD71E73" w14:textId="77777777" w:rsidR="0028208F" w:rsidRPr="00C611C5" w:rsidRDefault="0028208F" w:rsidP="005E3CA1">
      <w:pPr>
        <w:rPr>
          <w:rFonts w:ascii="Times New Roman" w:eastAsia="Calibri" w:hAnsi="Times New Roman"/>
          <w:bCs/>
          <w:sz w:val="22"/>
          <w:szCs w:val="22"/>
          <w:lang w:val="en-GB"/>
        </w:rPr>
      </w:pPr>
    </w:p>
    <w:p w14:paraId="2DA698E9" w14:textId="604B805E" w:rsidR="0028208F" w:rsidRPr="00C611C5" w:rsidRDefault="0028208F" w:rsidP="005E3CA1">
      <w:pPr>
        <w:rPr>
          <w:rFonts w:ascii="Times New Roman" w:eastAsia="Calibri" w:hAnsi="Times New Roman"/>
          <w:bCs/>
          <w:i/>
          <w:sz w:val="22"/>
          <w:szCs w:val="22"/>
        </w:rPr>
      </w:pPr>
      <w:r>
        <w:rPr>
          <w:rFonts w:ascii="Times New Roman" w:hAnsi="Times New Roman"/>
          <w:i/>
          <w:sz w:val="22"/>
          <w:shd w:val="clear" w:color="auto" w:fill="FFFFFF"/>
        </w:rPr>
        <w:t>Általános tünetek, az alkalmazás helyén fellépő reakciók</w:t>
      </w:r>
    </w:p>
    <w:p w14:paraId="06B81792" w14:textId="2C495BE9" w:rsidR="0028208F" w:rsidRPr="00C611C5" w:rsidRDefault="0028208F" w:rsidP="005E3CA1">
      <w:pPr>
        <w:rPr>
          <w:rFonts w:ascii="Times New Roman" w:eastAsia="Calibri" w:hAnsi="Times New Roman"/>
          <w:bCs/>
          <w:sz w:val="22"/>
          <w:szCs w:val="22"/>
        </w:rPr>
      </w:pPr>
      <w:r>
        <w:rPr>
          <w:rFonts w:ascii="Times New Roman" w:hAnsi="Times New Roman"/>
          <w:sz w:val="22"/>
        </w:rPr>
        <w:t>Nagyon gyakori</w:t>
      </w:r>
      <w:r>
        <w:rPr>
          <w:rFonts w:ascii="Times New Roman" w:hAnsi="Times New Roman"/>
          <w:sz w:val="22"/>
        </w:rPr>
        <w:tab/>
        <w:t>: Láz</w:t>
      </w:r>
    </w:p>
    <w:p w14:paraId="61F8879A" w14:textId="0FCFBB05" w:rsidR="0028208F" w:rsidRPr="00C611C5" w:rsidRDefault="0028208F" w:rsidP="005E3CA1">
      <w:pPr>
        <w:rPr>
          <w:rFonts w:ascii="Times New Roman" w:eastAsia="Calibri" w:hAnsi="Times New Roman"/>
          <w:bCs/>
          <w:sz w:val="22"/>
          <w:szCs w:val="22"/>
        </w:rPr>
      </w:pPr>
      <w:r>
        <w:rPr>
          <w:rFonts w:ascii="Times New Roman" w:hAnsi="Times New Roman"/>
          <w:sz w:val="22"/>
        </w:rPr>
        <w:t>Gyakori</w:t>
      </w:r>
      <w:r>
        <w:rPr>
          <w:rFonts w:ascii="Times New Roman" w:hAnsi="Times New Roman"/>
          <w:sz w:val="22"/>
        </w:rPr>
        <w:tab/>
        <w:t>: Hidegrázás, asthenia, rossz kö</w:t>
      </w:r>
      <w:r w:rsidRPr="009351AF">
        <w:rPr>
          <w:rFonts w:ascii="Times New Roman" w:hAnsi="Times New Roman"/>
          <w:sz w:val="22"/>
        </w:rPr>
        <w:t>zérzet</w:t>
      </w:r>
      <w:r>
        <w:rPr>
          <w:rFonts w:ascii="Times New Roman" w:hAnsi="Times New Roman"/>
          <w:sz w:val="22"/>
        </w:rPr>
        <w:t xml:space="preserve">  </w:t>
      </w:r>
    </w:p>
    <w:p w14:paraId="04601FA7" w14:textId="4A65C70D" w:rsidR="0028208F" w:rsidRPr="001916DA" w:rsidRDefault="0028208F" w:rsidP="0028208F">
      <w:pPr>
        <w:rPr>
          <w:rFonts w:ascii="Times New Roman" w:eastAsia="Calibri" w:hAnsi="Times New Roman"/>
          <w:bCs/>
          <w:sz w:val="22"/>
          <w:szCs w:val="22"/>
        </w:rPr>
      </w:pPr>
      <w:r>
        <w:rPr>
          <w:rFonts w:ascii="Times New Roman" w:hAnsi="Times New Roman"/>
          <w:sz w:val="22"/>
        </w:rPr>
        <w:t>Ritka</w:t>
      </w:r>
      <w:r>
        <w:rPr>
          <w:rFonts w:ascii="Times New Roman" w:hAnsi="Times New Roman"/>
          <w:sz w:val="22"/>
        </w:rPr>
        <w:tab/>
      </w:r>
      <w:r>
        <w:rPr>
          <w:rFonts w:ascii="Times New Roman" w:hAnsi="Times New Roman"/>
          <w:sz w:val="22"/>
        </w:rPr>
        <w:tab/>
        <w:t>: Mellkasi fájdalom</w:t>
      </w:r>
    </w:p>
    <w:p w14:paraId="046DDA62" w14:textId="74283121" w:rsidR="0028208F" w:rsidRPr="001916DA" w:rsidRDefault="0028208F" w:rsidP="00DA2F57">
      <w:pPr>
        <w:ind w:left="1440" w:hanging="1440"/>
        <w:rPr>
          <w:rFonts w:ascii="Times New Roman" w:eastAsia="Calibri" w:hAnsi="Times New Roman"/>
          <w:bCs/>
          <w:sz w:val="22"/>
          <w:szCs w:val="22"/>
        </w:rPr>
      </w:pPr>
      <w:r>
        <w:rPr>
          <w:rFonts w:ascii="Times New Roman" w:hAnsi="Times New Roman"/>
          <w:sz w:val="22"/>
        </w:rPr>
        <w:t>Nagyon ritka</w:t>
      </w:r>
      <w:r>
        <w:rPr>
          <w:rFonts w:ascii="Times New Roman" w:hAnsi="Times New Roman"/>
          <w:sz w:val="22"/>
        </w:rPr>
        <w:tab/>
        <w:t>: Fejfájás, fájdalom, sokszervi elégtelenség, az injekció/infúzió beadási helyén kialakult reakciók (thrombosis, necrosis,</w:t>
      </w:r>
      <w:r w:rsidR="00747BB2">
        <w:rPr>
          <w:rFonts w:ascii="Times New Roman" w:hAnsi="Times New Roman"/>
          <w:sz w:val="22"/>
        </w:rPr>
        <w:t xml:space="preserve"> phlebitis, gyulladás, fájdalom, duzzanat, erythema)</w:t>
      </w:r>
    </w:p>
    <w:p w14:paraId="5F6CDDD5" w14:textId="77777777" w:rsidR="0028208F" w:rsidRPr="00C611C5" w:rsidRDefault="0028208F" w:rsidP="005E3CA1">
      <w:pPr>
        <w:rPr>
          <w:rFonts w:ascii="Times New Roman" w:eastAsia="Calibri" w:hAnsi="Times New Roman"/>
          <w:bCs/>
          <w:sz w:val="22"/>
          <w:szCs w:val="22"/>
          <w:lang w:val="en-GB"/>
        </w:rPr>
      </w:pPr>
    </w:p>
    <w:p w14:paraId="00654480" w14:textId="480188F0" w:rsidR="0028208F" w:rsidRPr="00C611C5" w:rsidRDefault="0028208F" w:rsidP="005E3CA1">
      <w:pPr>
        <w:rPr>
          <w:rFonts w:ascii="Times New Roman" w:hAnsi="Times New Roman"/>
          <w:i/>
          <w:sz w:val="22"/>
          <w:szCs w:val="22"/>
          <w:shd w:val="clear" w:color="auto" w:fill="FFFFFF"/>
        </w:rPr>
      </w:pPr>
      <w:r>
        <w:rPr>
          <w:rFonts w:ascii="Times New Roman" w:hAnsi="Times New Roman"/>
          <w:i/>
          <w:sz w:val="22"/>
          <w:shd w:val="clear" w:color="auto" w:fill="FFFFFF"/>
        </w:rPr>
        <w:t>Laboratóriumi és egyéb vizsgálatok eredményei</w:t>
      </w:r>
    </w:p>
    <w:p w14:paraId="1825D10C" w14:textId="4FF1BBF4" w:rsidR="0003220E" w:rsidRPr="001916DA" w:rsidRDefault="0003220E" w:rsidP="00C5225D">
      <w:pPr>
        <w:ind w:left="1440" w:hanging="1440"/>
        <w:rPr>
          <w:rFonts w:ascii="Times New Roman" w:eastAsia="Calibri" w:hAnsi="Times New Roman"/>
          <w:bCs/>
          <w:sz w:val="22"/>
          <w:szCs w:val="22"/>
        </w:rPr>
      </w:pPr>
      <w:r>
        <w:rPr>
          <w:rFonts w:ascii="Times New Roman" w:hAnsi="Times New Roman"/>
          <w:sz w:val="22"/>
          <w:shd w:val="clear" w:color="auto" w:fill="FFFFFF"/>
        </w:rPr>
        <w:t>Nem gyakori</w:t>
      </w:r>
      <w:r>
        <w:rPr>
          <w:rFonts w:ascii="Times New Roman" w:hAnsi="Times New Roman"/>
          <w:sz w:val="22"/>
          <w:shd w:val="clear" w:color="auto" w:fill="FFFFFF"/>
        </w:rPr>
        <w:tab/>
        <w:t>: A vér emelkedett laktát-dehidrogenázszintje,</w:t>
      </w:r>
      <w:r>
        <w:rPr>
          <w:rFonts w:ascii="Times New Roman" w:hAnsi="Times New Roman"/>
          <w:sz w:val="22"/>
        </w:rPr>
        <w:t xml:space="preserve"> </w:t>
      </w:r>
      <w:r>
        <w:rPr>
          <w:rFonts w:ascii="Times New Roman" w:hAnsi="Times New Roman"/>
          <w:sz w:val="22"/>
          <w:shd w:val="clear" w:color="auto" w:fill="FFFFFF"/>
        </w:rPr>
        <w:t>a C-reaktív protein emelkedett szintje</w:t>
      </w:r>
      <w:r>
        <w:rPr>
          <w:rFonts w:ascii="Times New Roman" w:hAnsi="Times New Roman"/>
          <w:sz w:val="22"/>
        </w:rPr>
        <w:t xml:space="preserve">, </w:t>
      </w:r>
      <w:r>
        <w:rPr>
          <w:rFonts w:ascii="Times New Roman" w:hAnsi="Times New Roman"/>
          <w:sz w:val="22"/>
          <w:shd w:val="clear" w:color="auto" w:fill="FFFFFF"/>
        </w:rPr>
        <w:t>EKG-elváltozások</w:t>
      </w:r>
      <w:r>
        <w:rPr>
          <w:rFonts w:ascii="Times New Roman" w:hAnsi="Times New Roman"/>
          <w:sz w:val="22"/>
        </w:rPr>
        <w:t xml:space="preserve">, </w:t>
      </w:r>
      <w:r w:rsidR="0068576C">
        <w:rPr>
          <w:rFonts w:ascii="Times New Roman" w:hAnsi="Times New Roman"/>
          <w:sz w:val="22"/>
          <w:shd w:val="clear" w:color="auto" w:fill="FFFFFF"/>
        </w:rPr>
        <w:t>csökkent bal kamrai ejekciós frakció (LVEF), a női nemi hormonok</w:t>
      </w:r>
      <w:r w:rsidR="00DA2F57">
        <w:rPr>
          <w:rFonts w:ascii="Times New Roman" w:hAnsi="Times New Roman"/>
          <w:sz w:val="22"/>
          <w:shd w:val="clear" w:color="auto" w:fill="FFFFFF"/>
        </w:rPr>
        <w:t xml:space="preserve"> </w:t>
      </w:r>
      <w:r w:rsidR="0068576C">
        <w:rPr>
          <w:rFonts w:ascii="Times New Roman" w:hAnsi="Times New Roman"/>
          <w:sz w:val="22"/>
          <w:shd w:val="clear" w:color="auto" w:fill="FFFFFF"/>
        </w:rPr>
        <w:t>alacsonyabb szintje</w:t>
      </w:r>
    </w:p>
    <w:p w14:paraId="1CB865F3" w14:textId="64110268" w:rsidR="0003220E" w:rsidRDefault="0003220E" w:rsidP="005E3CA1">
      <w:pPr>
        <w:rPr>
          <w:rFonts w:ascii="Times New Roman" w:hAnsi="Times New Roman"/>
          <w:sz w:val="22"/>
          <w:szCs w:val="22"/>
          <w:shd w:val="clear" w:color="auto" w:fill="FFFFFF"/>
        </w:rPr>
      </w:pPr>
      <w:r>
        <w:rPr>
          <w:rFonts w:ascii="Times New Roman" w:hAnsi="Times New Roman"/>
          <w:sz w:val="22"/>
          <w:shd w:val="clear" w:color="auto" w:fill="FFFFFF"/>
        </w:rPr>
        <w:t>Nagyon ritka</w:t>
      </w:r>
      <w:r>
        <w:rPr>
          <w:rFonts w:ascii="Times New Roman" w:hAnsi="Times New Roman"/>
          <w:sz w:val="22"/>
          <w:shd w:val="clear" w:color="auto" w:fill="FFFFFF"/>
        </w:rPr>
        <w:tab/>
        <w:t>: Súlygyarapodás</w:t>
      </w:r>
    </w:p>
    <w:p w14:paraId="5A940F3D" w14:textId="46BD3183" w:rsidR="00DC0073" w:rsidRPr="00C611C5" w:rsidRDefault="00DC0073" w:rsidP="005E3CA1">
      <w:pPr>
        <w:rPr>
          <w:rFonts w:ascii="Times New Roman" w:eastAsia="Calibri" w:hAnsi="Times New Roman"/>
          <w:bCs/>
          <w:sz w:val="22"/>
          <w:szCs w:val="22"/>
        </w:rPr>
      </w:pPr>
      <w:r>
        <w:rPr>
          <w:rFonts w:ascii="Times New Roman" w:hAnsi="Times New Roman"/>
          <w:sz w:val="22"/>
          <w:shd w:val="clear" w:color="auto" w:fill="FFFFFF"/>
        </w:rPr>
        <w:t>Nem ismert</w:t>
      </w:r>
      <w:r>
        <w:rPr>
          <w:rFonts w:ascii="Times New Roman" w:hAnsi="Times New Roman"/>
          <w:sz w:val="22"/>
          <w:shd w:val="clear" w:color="auto" w:fill="FFFFFF"/>
        </w:rPr>
        <w:tab/>
        <w:t>: A vér ösztrogénszintjének csökkenése, a vér gonadotropinszintjének emelkedése</w:t>
      </w:r>
    </w:p>
    <w:p w14:paraId="6E870B25" w14:textId="77777777" w:rsidR="0028208F" w:rsidRPr="00C611C5" w:rsidRDefault="0028208F" w:rsidP="005E3CA1">
      <w:pPr>
        <w:rPr>
          <w:rFonts w:ascii="Times New Roman" w:hAnsi="Times New Roman"/>
          <w:bCs/>
          <w:sz w:val="22"/>
          <w:szCs w:val="22"/>
          <w:lang w:val="en-GB"/>
        </w:rPr>
      </w:pPr>
    </w:p>
    <w:p w14:paraId="5BE7D897" w14:textId="739B5B23"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1</w:t>
      </w:r>
      <w:r>
        <w:rPr>
          <w:rFonts w:ascii="Times New Roman" w:hAnsi="Times New Roman"/>
          <w:color w:val="auto"/>
          <w:sz w:val="22"/>
        </w:rPr>
        <w:t>Az alábbi fertőzések előfordulási és súlyossági kockázata megnőtt: pneumonia (beleértve a halálos kimenetelt is), egyéb bakteriális, gombás, vírusos, protozoonok vagy paraziták által okozott fertőzések; lappangó fertőzések reaktiválódása, mint például a vírushepatitisz, tuberkulózis, JC-vírus progresszív multifokális leukoenkephalopathiával (beleértve a halálos kimenetelt is), pneumocystis jiroveci, herpes zoster, strongyloides, sepsis és szeptikus sokk (beleértve a halálos kimenetelt is).</w:t>
      </w:r>
    </w:p>
    <w:p w14:paraId="686CF949" w14:textId="11856F16"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2</w:t>
      </w:r>
      <w:r>
        <w:rPr>
          <w:rFonts w:ascii="Times New Roman" w:hAnsi="Times New Roman"/>
          <w:color w:val="auto"/>
          <w:sz w:val="22"/>
        </w:rPr>
        <w:t>halálos kimenetelű eseteket beleértve</w:t>
      </w:r>
    </w:p>
    <w:p w14:paraId="37A45CF5" w14:textId="66D12879"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3</w:t>
      </w:r>
      <w:r>
        <w:rPr>
          <w:rFonts w:ascii="Times New Roman" w:hAnsi="Times New Roman"/>
          <w:color w:val="auto"/>
          <w:sz w:val="22"/>
        </w:rPr>
        <w:t>akut myeloid leukémiát és akut promyelocitás leukémiát beleértve</w:t>
      </w:r>
    </w:p>
    <w:p w14:paraId="378EEB03" w14:textId="6FE7831E"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4</w:t>
      </w:r>
      <w:r>
        <w:rPr>
          <w:rFonts w:ascii="Times New Roman" w:hAnsi="Times New Roman"/>
          <w:color w:val="auto"/>
          <w:sz w:val="22"/>
        </w:rPr>
        <w:t>csontvelő-elégtelenség, pancytopenia, neutropenia, agranulocytosis, granulocytopenia, thrombcytopenia (vérzéssel súlyosbított), leukopenia, anaemia formájában jelentkezik</w:t>
      </w:r>
    </w:p>
    <w:p w14:paraId="00DA9AED" w14:textId="1F9E017F"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5</w:t>
      </w:r>
      <w:r>
        <w:rPr>
          <w:rFonts w:ascii="Times New Roman" w:hAnsi="Times New Roman"/>
          <w:color w:val="auto"/>
          <w:sz w:val="22"/>
        </w:rPr>
        <w:t>myelopathia, perifériás neuropathia, polineuropathia, neuralgia, dysesthesia, hypoesthesia, paraesthesia, tremor, ízérzési zavar, csökkent ízérzés, szaglászavar formájában jelentkezik.</w:t>
      </w:r>
    </w:p>
    <w:p w14:paraId="5D76187D" w14:textId="0BAC38AF"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6</w:t>
      </w:r>
      <w:r>
        <w:rPr>
          <w:rFonts w:ascii="Times New Roman" w:hAnsi="Times New Roman"/>
          <w:color w:val="auto"/>
          <w:sz w:val="22"/>
        </w:rPr>
        <w:t>fejfájás, megváltozott mentális működés, görcsrohamok, homályos látástól a látásvesztésig terjedő látászavar formájában jelentkezik</w:t>
      </w:r>
    </w:p>
    <w:p w14:paraId="16965B91" w14:textId="6907595A"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7</w:t>
      </w:r>
      <w:r>
        <w:rPr>
          <w:rFonts w:ascii="Times New Roman" w:hAnsi="Times New Roman"/>
          <w:color w:val="auto"/>
          <w:sz w:val="22"/>
        </w:rPr>
        <w:t>allergiás reakcióval kapcsolatban figyelték meg</w:t>
      </w:r>
    </w:p>
    <w:p w14:paraId="214374B0" w14:textId="59FBD259"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8</w:t>
      </w:r>
      <w:r>
        <w:rPr>
          <w:rFonts w:ascii="Times New Roman" w:hAnsi="Times New Roman"/>
          <w:color w:val="auto"/>
          <w:sz w:val="22"/>
        </w:rPr>
        <w:t>halálos kimenetelű eseteket is beleértve</w:t>
      </w:r>
    </w:p>
    <w:p w14:paraId="33E04174" w14:textId="2CC17574"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9</w:t>
      </w:r>
      <w:r>
        <w:rPr>
          <w:rFonts w:ascii="Times New Roman" w:hAnsi="Times New Roman"/>
          <w:color w:val="auto"/>
          <w:sz w:val="22"/>
        </w:rPr>
        <w:t>Bár a ciklofoszfamiddal összefüggő pulmonalis toxicitás előfordulási gyakorisága viszonylag alacsony, az érintett betegek esetében a prognózis rossz.</w:t>
      </w:r>
    </w:p>
    <w:p w14:paraId="3CBABE73" w14:textId="4FE341AF"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10</w:t>
      </w:r>
      <w:r>
        <w:rPr>
          <w:rFonts w:ascii="Times New Roman" w:hAnsi="Times New Roman"/>
          <w:color w:val="auto"/>
          <w:sz w:val="22"/>
        </w:rPr>
        <w:t>májelégtelenség, hepaticus encephalopathia, ascites, hepatomegalia, sárgaság, vér bilirubinszint emelkedése, májenzimek (glutamát-oxálacetát-transzamináz, glutamát-piruvát-transzamináz, alkalikus foszfatáz, gamma-glutamil-transzferáz enzimek) szintjének növekedése</w:t>
      </w:r>
    </w:p>
    <w:p w14:paraId="63291BD7" w14:textId="5C5BC05F"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11</w:t>
      </w:r>
      <w:r>
        <w:rPr>
          <w:rFonts w:ascii="Times New Roman" w:hAnsi="Times New Roman"/>
          <w:color w:val="auto"/>
          <w:sz w:val="22"/>
        </w:rPr>
        <w:t>kopaszsághoz vezethet</w:t>
      </w:r>
    </w:p>
    <w:p w14:paraId="3B1DEDAF" w14:textId="46EFE8A2" w:rsidR="00B378A2" w:rsidRPr="00B378A2" w:rsidRDefault="00B378A2" w:rsidP="00B378A2">
      <w:pPr>
        <w:rPr>
          <w:rFonts w:ascii="Times New Roman" w:hAnsi="Times New Roman"/>
          <w:color w:val="auto"/>
          <w:sz w:val="22"/>
          <w:szCs w:val="22"/>
        </w:rPr>
      </w:pPr>
      <w:r>
        <w:rPr>
          <w:rFonts w:ascii="Times New Roman" w:hAnsi="Times New Roman"/>
          <w:color w:val="auto"/>
          <w:sz w:val="22"/>
          <w:vertAlign w:val="superscript"/>
        </w:rPr>
        <w:t>12</w:t>
      </w:r>
      <w:r>
        <w:rPr>
          <w:rFonts w:ascii="Times New Roman" w:hAnsi="Times New Roman"/>
          <w:color w:val="auto"/>
          <w:sz w:val="22"/>
        </w:rPr>
        <w:t>a tenyéré és a saroké</w:t>
      </w:r>
    </w:p>
    <w:p w14:paraId="77C37BF5" w14:textId="7CBC6CCF" w:rsidR="00217BCA" w:rsidRDefault="00B378A2" w:rsidP="00B378A2">
      <w:pPr>
        <w:rPr>
          <w:rFonts w:ascii="Times New Roman" w:hAnsi="Times New Roman"/>
          <w:color w:val="auto"/>
          <w:sz w:val="22"/>
          <w:szCs w:val="22"/>
        </w:rPr>
      </w:pPr>
      <w:r>
        <w:rPr>
          <w:rFonts w:ascii="Times New Roman" w:hAnsi="Times New Roman"/>
          <w:color w:val="auto"/>
          <w:sz w:val="22"/>
          <w:vertAlign w:val="superscript"/>
        </w:rPr>
        <w:t>13</w:t>
      </w:r>
      <w:r>
        <w:rPr>
          <w:rFonts w:ascii="Times New Roman" w:hAnsi="Times New Roman"/>
          <w:color w:val="auto"/>
          <w:sz w:val="22"/>
        </w:rPr>
        <w:t>tartósan fennálló</w:t>
      </w:r>
    </w:p>
    <w:p w14:paraId="18AD264C" w14:textId="77777777" w:rsidR="00B378A2" w:rsidRDefault="00B378A2" w:rsidP="00B378A2">
      <w:pPr>
        <w:rPr>
          <w:rFonts w:ascii="Times New Roman" w:hAnsi="Times New Roman"/>
          <w:color w:val="auto"/>
          <w:sz w:val="22"/>
          <w:szCs w:val="22"/>
          <w:lang w:val="en-GB"/>
        </w:rPr>
      </w:pPr>
    </w:p>
    <w:p w14:paraId="4C64A6AC" w14:textId="77777777" w:rsidR="00F76470" w:rsidRPr="00C611C5" w:rsidRDefault="00F76470" w:rsidP="00F76470">
      <w:pPr>
        <w:rPr>
          <w:rFonts w:ascii="Times New Roman" w:hAnsi="Times New Roman"/>
          <w:color w:val="auto"/>
          <w:sz w:val="22"/>
          <w:szCs w:val="22"/>
          <w:u w:val="single"/>
        </w:rPr>
      </w:pPr>
      <w:r>
        <w:rPr>
          <w:rFonts w:ascii="Times New Roman" w:hAnsi="Times New Roman"/>
          <w:color w:val="auto"/>
          <w:sz w:val="22"/>
          <w:u w:val="single"/>
        </w:rPr>
        <w:t>Megjegyzés:</w:t>
      </w:r>
    </w:p>
    <w:p w14:paraId="60EA262C" w14:textId="188E9B36" w:rsidR="00F76470" w:rsidRDefault="00F76470" w:rsidP="00F76470">
      <w:pPr>
        <w:rPr>
          <w:rFonts w:ascii="Times New Roman" w:hAnsi="Times New Roman"/>
          <w:color w:val="auto"/>
          <w:sz w:val="22"/>
          <w:szCs w:val="22"/>
        </w:rPr>
      </w:pPr>
      <w:r>
        <w:rPr>
          <w:rFonts w:ascii="Times New Roman" w:hAnsi="Times New Roman"/>
          <w:color w:val="auto"/>
          <w:sz w:val="22"/>
        </w:rPr>
        <w:t xml:space="preserve">A fennálló rendellenességek eredményeként előfordulhatnak bizonyos szövődmények, például thromboembolisatio, disszeminált intravascularis coagulatio és hemolitikus urémiás szindróma, de ezen szövődmények gyakorisága a Cyclophosphamide </w:t>
      </w:r>
      <w:r w:rsidRPr="009351AF">
        <w:rPr>
          <w:rFonts w:ascii="Times New Roman" w:hAnsi="Times New Roman"/>
          <w:color w:val="auto"/>
          <w:sz w:val="22"/>
        </w:rPr>
        <w:t>Accord</w:t>
      </w:r>
      <w:r w:rsidR="00814837" w:rsidRPr="009351AF">
        <w:rPr>
          <w:rFonts w:ascii="Times New Roman" w:hAnsi="Times New Roman"/>
          <w:color w:val="auto"/>
          <w:sz w:val="22"/>
        </w:rPr>
        <w:t>-</w:t>
      </w:r>
      <w:r w:rsidRPr="009351AF">
        <w:rPr>
          <w:rFonts w:ascii="Times New Roman" w:hAnsi="Times New Roman"/>
          <w:color w:val="auto"/>
          <w:sz w:val="22"/>
        </w:rPr>
        <w:t>dal</w:t>
      </w:r>
      <w:r>
        <w:rPr>
          <w:rFonts w:ascii="Times New Roman" w:hAnsi="Times New Roman"/>
          <w:color w:val="auto"/>
          <w:sz w:val="22"/>
        </w:rPr>
        <w:t xml:space="preserve"> végzett kemoterápia miatt növekedhet.</w:t>
      </w:r>
    </w:p>
    <w:p w14:paraId="58672CF6" w14:textId="77777777" w:rsidR="00F76470" w:rsidRPr="001916DA" w:rsidRDefault="00F76470" w:rsidP="00F76470">
      <w:pPr>
        <w:rPr>
          <w:rFonts w:ascii="Times New Roman" w:hAnsi="Times New Roman"/>
          <w:color w:val="auto"/>
          <w:sz w:val="22"/>
          <w:szCs w:val="22"/>
          <w:lang w:val="en-GB"/>
        </w:rPr>
      </w:pPr>
    </w:p>
    <w:p w14:paraId="21776383" w14:textId="77777777" w:rsidR="00B80FBC" w:rsidRPr="001916DA" w:rsidRDefault="008D005B" w:rsidP="005E3CA1">
      <w:pPr>
        <w:autoSpaceDE w:val="0"/>
        <w:autoSpaceDN w:val="0"/>
        <w:adjustRightInd w:val="0"/>
        <w:rPr>
          <w:rFonts w:ascii="Times New Roman" w:hAnsi="Times New Roman"/>
          <w:sz w:val="22"/>
          <w:szCs w:val="22"/>
          <w:u w:val="single"/>
        </w:rPr>
      </w:pPr>
      <w:r>
        <w:rPr>
          <w:rFonts w:ascii="Times New Roman" w:hAnsi="Times New Roman"/>
          <w:sz w:val="22"/>
          <w:u w:val="single"/>
          <w:shd w:val="clear" w:color="auto" w:fill="FFFFFF"/>
        </w:rPr>
        <w:t>Feltételezett mellékhatások bejelentése</w:t>
      </w:r>
    </w:p>
    <w:p w14:paraId="05F1B827" w14:textId="4AA4EF22" w:rsidR="00F61126" w:rsidRDefault="008D005B" w:rsidP="00F61126">
      <w:pPr>
        <w:rPr>
          <w:rFonts w:ascii="Times New Roman" w:hAnsi="Times New Roman"/>
          <w:sz w:val="22"/>
          <w:shd w:val="clear" w:color="auto" w:fill="FFFFFF"/>
        </w:rPr>
      </w:pPr>
      <w:r>
        <w:rPr>
          <w:rFonts w:ascii="Times New Roman" w:hAnsi="Times New Roman"/>
          <w:sz w:val="22"/>
          <w:shd w:val="clear" w:color="auto" w:fill="FFFFFF"/>
        </w:rPr>
        <w:t>A gyógyszer engedélyezését követően lényeges a feltételezett mellékhatások bejelentése,</w:t>
      </w:r>
      <w:r w:rsidR="007165B6">
        <w:rPr>
          <w:rFonts w:ascii="Times New Roman" w:hAnsi="Times New Roman"/>
          <w:sz w:val="22"/>
          <w:shd w:val="clear" w:color="auto" w:fill="FFFFFF"/>
        </w:rPr>
        <w:t xml:space="preserve"> </w:t>
      </w:r>
      <w:r>
        <w:rPr>
          <w:rFonts w:ascii="Times New Roman" w:hAnsi="Times New Roman"/>
          <w:sz w:val="22"/>
          <w:shd w:val="clear" w:color="auto" w:fill="FFFFFF"/>
        </w:rPr>
        <w:t xml:space="preserve">mert ez fontos eszköze annak, hogy a gyógyszer előny/kockázat profilját folyamatosan figyelemmel lehessen kísérni. </w:t>
      </w:r>
      <w:r w:rsidR="00F61126" w:rsidRPr="00F61126">
        <w:rPr>
          <w:rFonts w:ascii="Times New Roman" w:hAnsi="Times New Roman"/>
          <w:sz w:val="22"/>
          <w:shd w:val="clear" w:color="auto" w:fill="FFFFFF"/>
        </w:rPr>
        <w:t xml:space="preserve">Az egészségügyi szakembereket kérjük, hogy jelentsék be a feltételezett mellékhatásokat a hatóság részére az </w:t>
      </w:r>
      <w:hyperlink r:id="rId8" w:history="1">
        <w:r w:rsidR="00F61126" w:rsidRPr="00C5225D">
          <w:rPr>
            <w:rFonts w:ascii="Times New Roman" w:eastAsia="Calibri" w:hAnsi="Times New Roman"/>
            <w:bCs/>
            <w:color w:val="0000FF"/>
            <w:sz w:val="22"/>
            <w:szCs w:val="22"/>
            <w:u w:val="single"/>
            <w:shd w:val="clear" w:color="auto" w:fill="D9D9D9" w:themeFill="background1" w:themeFillShade="D9"/>
          </w:rPr>
          <w:t>V. függelékben</w:t>
        </w:r>
      </w:hyperlink>
      <w:r w:rsidR="00F61126" w:rsidRPr="00C5225D">
        <w:rPr>
          <w:rStyle w:val="Hiperhivatkozs"/>
          <w:rFonts w:ascii="Times New Roman" w:eastAsia="Calibri" w:hAnsi="Times New Roman"/>
          <w:bCs/>
          <w:sz w:val="22"/>
          <w:shd w:val="clear" w:color="auto" w:fill="D9D9D9" w:themeFill="background1" w:themeFillShade="D9"/>
        </w:rPr>
        <w:t xml:space="preserve"> </w:t>
      </w:r>
      <w:r w:rsidR="00F61126" w:rsidRPr="00C5225D">
        <w:rPr>
          <w:rFonts w:ascii="Times New Roman" w:hAnsi="Times New Roman"/>
          <w:sz w:val="22"/>
          <w:shd w:val="clear" w:color="auto" w:fill="D9D9D9" w:themeFill="background1" w:themeFillShade="D9"/>
        </w:rPr>
        <w:t>található elérhet</w:t>
      </w:r>
      <w:r w:rsidR="00F61126" w:rsidRPr="00C5225D">
        <w:rPr>
          <w:rFonts w:ascii="Times New Roman" w:hAnsi="Times New Roman" w:hint="eastAsia"/>
          <w:sz w:val="22"/>
          <w:shd w:val="clear" w:color="auto" w:fill="D9D9D9" w:themeFill="background1" w:themeFillShade="D9"/>
        </w:rPr>
        <w:t>ő</w:t>
      </w:r>
      <w:r w:rsidR="00F61126" w:rsidRPr="00C5225D">
        <w:rPr>
          <w:rFonts w:ascii="Times New Roman" w:hAnsi="Times New Roman"/>
          <w:sz w:val="22"/>
          <w:shd w:val="clear" w:color="auto" w:fill="D9D9D9" w:themeFill="background1" w:themeFillShade="D9"/>
        </w:rPr>
        <w:t>ségek valamelyikén keresztül</w:t>
      </w:r>
      <w:r w:rsidR="00F61126" w:rsidRPr="009351AF">
        <w:rPr>
          <w:rFonts w:ascii="Times New Roman" w:hAnsi="Times New Roman"/>
          <w:sz w:val="22"/>
          <w:shd w:val="clear" w:color="auto" w:fill="FFFFFF"/>
        </w:rPr>
        <w:t>.</w:t>
      </w:r>
    </w:p>
    <w:p w14:paraId="0BAFE94C" w14:textId="77777777" w:rsidR="00B80FBC" w:rsidRPr="002F1348" w:rsidRDefault="00B80FBC" w:rsidP="00F61126">
      <w:pPr>
        <w:rPr>
          <w:rFonts w:ascii="Times New Roman" w:hAnsi="Times New Roman"/>
          <w:sz w:val="22"/>
          <w:shd w:val="clear" w:color="auto" w:fill="FFFFFF"/>
        </w:rPr>
      </w:pPr>
    </w:p>
    <w:p w14:paraId="7695C560" w14:textId="77777777" w:rsidR="0037295D" w:rsidRPr="001916DA" w:rsidRDefault="00373A3F" w:rsidP="005E3CA1">
      <w:pPr>
        <w:tabs>
          <w:tab w:val="left" w:pos="540"/>
        </w:tabs>
        <w:rPr>
          <w:rFonts w:ascii="Times New Roman" w:hAnsi="Times New Roman"/>
          <w:color w:val="auto"/>
          <w:sz w:val="22"/>
          <w:szCs w:val="22"/>
        </w:rPr>
      </w:pPr>
      <w:r>
        <w:rPr>
          <w:rFonts w:ascii="Times New Roman" w:hAnsi="Times New Roman"/>
          <w:b/>
          <w:color w:val="auto"/>
          <w:sz w:val="22"/>
        </w:rPr>
        <w:t>4.9</w:t>
      </w:r>
      <w:r>
        <w:rPr>
          <w:rFonts w:ascii="Times New Roman" w:hAnsi="Times New Roman"/>
          <w:b/>
          <w:color w:val="auto"/>
          <w:sz w:val="22"/>
        </w:rPr>
        <w:tab/>
        <w:t>Túladagolás</w:t>
      </w:r>
    </w:p>
    <w:p w14:paraId="6AC1D9A0" w14:textId="77777777" w:rsidR="0037295D" w:rsidRPr="001916DA" w:rsidRDefault="0037295D" w:rsidP="005E3CA1">
      <w:pPr>
        <w:rPr>
          <w:rFonts w:ascii="Times New Roman" w:hAnsi="Times New Roman"/>
          <w:color w:val="auto"/>
          <w:sz w:val="22"/>
          <w:szCs w:val="22"/>
          <w:lang w:val="en-GB"/>
        </w:rPr>
      </w:pPr>
    </w:p>
    <w:p w14:paraId="29C6C2BE" w14:textId="77777777" w:rsidR="003B153B" w:rsidRPr="001916DA" w:rsidRDefault="008D005B"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 túladagolás súlyos következményei között szerepelnek olyan dózisfüggő mérgezések, mint például myelosuppressio, urotoxicitás, kardiotoxicitás (beleértve a szívelégtelenséget is), venoocclusiv májbetegség és stomatitis. Lásd 4.4 pont.</w:t>
      </w:r>
    </w:p>
    <w:p w14:paraId="4929B0EA" w14:textId="77777777" w:rsidR="00881A0E" w:rsidRPr="001916DA" w:rsidRDefault="008D005B"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 xml:space="preserve">A túladagolás esetén a betegeket szoros megfigyelés alatt kell tartani, hogy nem lép-e fel náluk valamilyen toxicitás, különös tekintettel a hematotoxicitásra. </w:t>
      </w:r>
    </w:p>
    <w:p w14:paraId="5F74DC32" w14:textId="1B3E3585" w:rsidR="00174414" w:rsidRPr="001916DA" w:rsidRDefault="00881A0E"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 ciklofoszfamid-túladagolásnak nincs specifikus antidotuma.</w:t>
      </w:r>
    </w:p>
    <w:p w14:paraId="2130462E" w14:textId="77777777" w:rsidR="00217BCA" w:rsidRPr="001916DA" w:rsidRDefault="00881A0E" w:rsidP="005E3CA1">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A ciklofoszfamid és metabolitjai dializálhatóak. Így öngyilkossági kísérlet miatti vagy véletlen túladagolás, illetve intoxikáció esetén gyors hemodialízis javallott.</w:t>
      </w:r>
    </w:p>
    <w:p w14:paraId="1E56AB57" w14:textId="2AFB2AE0" w:rsidR="00305B0A" w:rsidRPr="001916DA" w:rsidRDefault="00881A0E" w:rsidP="00C9211A">
      <w:pPr>
        <w:pStyle w:val="Listaszerbekezds"/>
        <w:numPr>
          <w:ilvl w:val="0"/>
          <w:numId w:val="33"/>
        </w:numPr>
        <w:ind w:left="720"/>
        <w:rPr>
          <w:rFonts w:ascii="Times New Roman" w:hAnsi="Times New Roman"/>
          <w:color w:val="auto"/>
          <w:sz w:val="22"/>
          <w:szCs w:val="22"/>
        </w:rPr>
      </w:pPr>
      <w:r>
        <w:rPr>
          <w:rFonts w:ascii="Times New Roman" w:hAnsi="Times New Roman"/>
          <w:color w:val="auto"/>
          <w:sz w:val="22"/>
        </w:rPr>
        <w:t xml:space="preserve">Túladagolás esetén az esetlegesen egyidejűleg fellépő fertőzések, myelosuppressio vagy egyéb toxikus tünetek megfelelő, korszerű kezelésére és megfelelő intézkedésekre van szükség.  </w:t>
      </w:r>
    </w:p>
    <w:p w14:paraId="29B76D80" w14:textId="1A810286" w:rsidR="00174414" w:rsidRPr="00C611C5" w:rsidRDefault="00881A0E" w:rsidP="00C611C5">
      <w:pPr>
        <w:pStyle w:val="Listaszerbekezds"/>
        <w:numPr>
          <w:ilvl w:val="0"/>
          <w:numId w:val="33"/>
        </w:numPr>
        <w:ind w:left="720"/>
        <w:rPr>
          <w:rFonts w:ascii="Times New Roman" w:hAnsi="Times New Roman"/>
          <w:color w:val="auto"/>
          <w:sz w:val="22"/>
          <w:szCs w:val="22"/>
        </w:rPr>
      </w:pPr>
      <w:r>
        <w:rPr>
          <w:rFonts w:ascii="Times New Roman" w:hAnsi="Times New Roman"/>
          <w:sz w:val="22"/>
          <w:shd w:val="clear" w:color="auto" w:fill="FFFFFF"/>
        </w:rPr>
        <w:t>Ciklofoszfamid-túladagolás esetén a mesznával végzett cystitis-profilaxis segíthet az urotoxikus hatások megelőzésében és enyhítésében</w:t>
      </w:r>
      <w:r>
        <w:rPr>
          <w:rFonts w:ascii="Times New Roman" w:hAnsi="Times New Roman"/>
          <w:color w:val="auto"/>
          <w:sz w:val="22"/>
        </w:rPr>
        <w:t>.</w:t>
      </w:r>
    </w:p>
    <w:p w14:paraId="7CF0A036" w14:textId="77777777" w:rsidR="0037295D" w:rsidRPr="001916DA" w:rsidRDefault="0037295D" w:rsidP="005E3CA1">
      <w:pPr>
        <w:rPr>
          <w:rFonts w:ascii="Times New Roman" w:hAnsi="Times New Roman"/>
          <w:color w:val="auto"/>
          <w:sz w:val="22"/>
          <w:szCs w:val="22"/>
          <w:lang w:val="en-GB"/>
        </w:rPr>
      </w:pPr>
    </w:p>
    <w:p w14:paraId="363F3A38" w14:textId="77777777" w:rsidR="001500CE" w:rsidRPr="001916DA" w:rsidRDefault="001500CE" w:rsidP="005E3CA1">
      <w:pPr>
        <w:rPr>
          <w:rFonts w:ascii="Times New Roman" w:hAnsi="Times New Roman"/>
          <w:color w:val="auto"/>
          <w:sz w:val="22"/>
          <w:szCs w:val="22"/>
          <w:lang w:val="en-GB"/>
        </w:rPr>
      </w:pPr>
    </w:p>
    <w:p w14:paraId="32A940E6" w14:textId="77777777" w:rsidR="0037295D" w:rsidRPr="001916DA" w:rsidRDefault="00761EE5" w:rsidP="005E3CA1">
      <w:pPr>
        <w:pStyle w:val="Listaszerbekezds"/>
        <w:numPr>
          <w:ilvl w:val="0"/>
          <w:numId w:val="18"/>
        </w:numPr>
        <w:tabs>
          <w:tab w:val="clear" w:pos="360"/>
          <w:tab w:val="num" w:pos="540"/>
        </w:tabs>
        <w:ind w:left="540" w:hanging="540"/>
        <w:rPr>
          <w:rFonts w:ascii="Times New Roman" w:hAnsi="Times New Roman"/>
          <w:b/>
          <w:caps/>
          <w:color w:val="auto"/>
          <w:sz w:val="22"/>
          <w:szCs w:val="22"/>
        </w:rPr>
      </w:pPr>
      <w:r>
        <w:rPr>
          <w:rFonts w:ascii="Times New Roman" w:hAnsi="Times New Roman"/>
          <w:b/>
          <w:caps/>
          <w:color w:val="auto"/>
          <w:sz w:val="22"/>
        </w:rPr>
        <w:t>FARMAKOLÓGIAI TULAJDONSÁGOK</w:t>
      </w:r>
    </w:p>
    <w:p w14:paraId="222B8721" w14:textId="77777777" w:rsidR="0037295D" w:rsidRPr="001916DA" w:rsidRDefault="0037295D" w:rsidP="005E3CA1">
      <w:pPr>
        <w:rPr>
          <w:rFonts w:ascii="Times New Roman" w:hAnsi="Times New Roman"/>
          <w:b/>
          <w:color w:val="auto"/>
          <w:sz w:val="22"/>
          <w:szCs w:val="22"/>
          <w:lang w:val="en-GB"/>
        </w:rPr>
      </w:pPr>
    </w:p>
    <w:p w14:paraId="7AEBD314" w14:textId="77777777" w:rsidR="0037295D" w:rsidRDefault="0037295D" w:rsidP="005E3CA1">
      <w:pPr>
        <w:tabs>
          <w:tab w:val="left" w:pos="540"/>
        </w:tabs>
        <w:rPr>
          <w:rFonts w:ascii="Times New Roman" w:hAnsi="Times New Roman"/>
          <w:b/>
          <w:bCs/>
          <w:sz w:val="22"/>
          <w:szCs w:val="22"/>
          <w:shd w:val="clear" w:color="auto" w:fill="FFFFFF"/>
        </w:rPr>
      </w:pPr>
      <w:r>
        <w:rPr>
          <w:rFonts w:ascii="Times New Roman" w:hAnsi="Times New Roman"/>
          <w:b/>
          <w:color w:val="auto"/>
          <w:sz w:val="22"/>
        </w:rPr>
        <w:t>5.1</w:t>
      </w:r>
      <w:r>
        <w:rPr>
          <w:rFonts w:ascii="Times New Roman" w:hAnsi="Times New Roman"/>
          <w:b/>
          <w:color w:val="auto"/>
          <w:sz w:val="22"/>
        </w:rPr>
        <w:tab/>
      </w:r>
      <w:r>
        <w:rPr>
          <w:rFonts w:ascii="Times New Roman" w:hAnsi="Times New Roman"/>
          <w:b/>
          <w:sz w:val="22"/>
          <w:shd w:val="clear" w:color="auto" w:fill="FFFFFF"/>
        </w:rPr>
        <w:t>Farmakodinámiás tulajdonságok</w:t>
      </w:r>
    </w:p>
    <w:p w14:paraId="07ADF8FF" w14:textId="77777777" w:rsidR="00176E4E" w:rsidRPr="001916DA" w:rsidRDefault="00176E4E" w:rsidP="005E3CA1">
      <w:pPr>
        <w:tabs>
          <w:tab w:val="left" w:pos="540"/>
        </w:tabs>
        <w:rPr>
          <w:rFonts w:ascii="Times New Roman" w:hAnsi="Times New Roman"/>
          <w:color w:val="auto"/>
          <w:sz w:val="22"/>
          <w:szCs w:val="22"/>
          <w:lang w:val="en-GB"/>
        </w:rPr>
      </w:pPr>
    </w:p>
    <w:p w14:paraId="17ACDB44" w14:textId="00A89CA9" w:rsidR="0002488C" w:rsidRPr="0002488C" w:rsidRDefault="00761EE5" w:rsidP="005E3CA1">
      <w:pPr>
        <w:tabs>
          <w:tab w:val="left" w:pos="360"/>
        </w:tabs>
        <w:rPr>
          <w:rFonts w:ascii="Times New Roman" w:hAnsi="Times New Roman"/>
          <w:color w:val="auto"/>
          <w:sz w:val="22"/>
          <w:szCs w:val="22"/>
        </w:rPr>
      </w:pPr>
      <w:r>
        <w:rPr>
          <w:rFonts w:ascii="Times New Roman" w:hAnsi="Times New Roman"/>
          <w:sz w:val="22"/>
          <w:shd w:val="clear" w:color="auto" w:fill="FFFFFF"/>
        </w:rPr>
        <w:t>Farmakoterápiás csoport</w:t>
      </w:r>
      <w:r>
        <w:rPr>
          <w:rFonts w:ascii="Times New Roman" w:hAnsi="Times New Roman"/>
          <w:color w:val="auto"/>
          <w:sz w:val="22"/>
        </w:rPr>
        <w:t xml:space="preserve">: Antineoplasztikus és immunmoduláló szerek. Antineoplasztikus szerek. </w:t>
      </w:r>
    </w:p>
    <w:p w14:paraId="5C703614" w14:textId="77777777" w:rsidR="0002488C" w:rsidRPr="00C611C5" w:rsidRDefault="0002488C" w:rsidP="005E3CA1">
      <w:pPr>
        <w:tabs>
          <w:tab w:val="left" w:pos="360"/>
        </w:tabs>
        <w:rPr>
          <w:rFonts w:ascii="Times New Roman" w:hAnsi="Times New Roman"/>
          <w:sz w:val="22"/>
          <w:szCs w:val="22"/>
        </w:rPr>
      </w:pPr>
      <w:r>
        <w:rPr>
          <w:rFonts w:ascii="Times New Roman" w:hAnsi="Times New Roman"/>
          <w:sz w:val="22"/>
        </w:rPr>
        <w:t xml:space="preserve">Alkiláló vegyületek. Mustárnitrogén-analógok </w:t>
      </w:r>
    </w:p>
    <w:p w14:paraId="0325F446" w14:textId="77777777" w:rsidR="0002488C" w:rsidRDefault="0002488C" w:rsidP="005E3CA1">
      <w:pPr>
        <w:tabs>
          <w:tab w:val="left" w:pos="360"/>
        </w:tabs>
        <w:rPr>
          <w:sz w:val="22"/>
          <w:szCs w:val="22"/>
        </w:rPr>
      </w:pPr>
    </w:p>
    <w:p w14:paraId="440D9B27" w14:textId="57D78C15" w:rsidR="0037295D" w:rsidRPr="001916DA" w:rsidRDefault="003255FD" w:rsidP="005E3CA1">
      <w:pPr>
        <w:tabs>
          <w:tab w:val="left" w:pos="360"/>
        </w:tabs>
        <w:rPr>
          <w:rFonts w:ascii="Times New Roman" w:hAnsi="Times New Roman"/>
          <w:color w:val="auto"/>
          <w:sz w:val="22"/>
          <w:szCs w:val="22"/>
        </w:rPr>
      </w:pPr>
      <w:r>
        <w:rPr>
          <w:rFonts w:ascii="Times New Roman" w:hAnsi="Times New Roman"/>
          <w:color w:val="auto"/>
          <w:sz w:val="22"/>
        </w:rPr>
        <w:t>ATC-kód: L01AA01</w:t>
      </w:r>
    </w:p>
    <w:p w14:paraId="59060ECB" w14:textId="77777777" w:rsidR="00A323D4" w:rsidRPr="001916DA" w:rsidRDefault="00A323D4" w:rsidP="005E3CA1">
      <w:pPr>
        <w:rPr>
          <w:rFonts w:ascii="Times New Roman" w:hAnsi="Times New Roman"/>
          <w:sz w:val="22"/>
          <w:szCs w:val="22"/>
          <w:lang w:val="en-GB"/>
        </w:rPr>
      </w:pPr>
    </w:p>
    <w:p w14:paraId="5872639A" w14:textId="624A8274" w:rsidR="00A323D4" w:rsidRDefault="00BC76B4" w:rsidP="005E3CA1">
      <w:pPr>
        <w:rPr>
          <w:rFonts w:ascii="Times New Roman" w:hAnsi="Times New Roman"/>
          <w:sz w:val="22"/>
          <w:szCs w:val="22"/>
        </w:rPr>
      </w:pPr>
      <w:r>
        <w:rPr>
          <w:rFonts w:ascii="Times New Roman" w:hAnsi="Times New Roman"/>
          <w:sz w:val="22"/>
        </w:rPr>
        <w:t xml:space="preserve">A ciklofoszfamid </w:t>
      </w:r>
      <w:r>
        <w:rPr>
          <w:rFonts w:ascii="Times New Roman" w:hAnsi="Times New Roman"/>
          <w:sz w:val="22"/>
          <w:shd w:val="clear" w:color="auto" w:fill="FFFFFF"/>
        </w:rPr>
        <w:t>citosztatikus hatását sokféle tumornál kimutatták</w:t>
      </w:r>
      <w:r>
        <w:rPr>
          <w:rFonts w:ascii="Times New Roman" w:hAnsi="Times New Roman"/>
          <w:sz w:val="22"/>
        </w:rPr>
        <w:t>.</w:t>
      </w:r>
    </w:p>
    <w:p w14:paraId="07D54216" w14:textId="1CA9FF5C" w:rsidR="00C36888" w:rsidRDefault="00C36888" w:rsidP="005E3CA1">
      <w:pPr>
        <w:rPr>
          <w:rFonts w:ascii="Times New Roman" w:hAnsi="Times New Roman"/>
          <w:sz w:val="22"/>
          <w:szCs w:val="22"/>
        </w:rPr>
      </w:pPr>
      <w:r>
        <w:rPr>
          <w:rFonts w:ascii="Times New Roman" w:hAnsi="Times New Roman"/>
          <w:sz w:val="22"/>
        </w:rPr>
        <w:t>A ciklofoszfamid feltehetően a sejtciklus S- vagy G2-fázisában hat.</w:t>
      </w:r>
    </w:p>
    <w:p w14:paraId="40B625BE" w14:textId="77777777" w:rsidR="00C36888" w:rsidRDefault="00C36888" w:rsidP="005E3CA1">
      <w:pPr>
        <w:rPr>
          <w:rFonts w:ascii="Times New Roman" w:hAnsi="Times New Roman"/>
          <w:sz w:val="22"/>
          <w:szCs w:val="22"/>
          <w:lang w:val="en-GB"/>
        </w:rPr>
      </w:pPr>
    </w:p>
    <w:p w14:paraId="01717DB7" w14:textId="5EB6897B" w:rsidR="00C36888" w:rsidRPr="00C36888" w:rsidRDefault="00C36888" w:rsidP="00C36888">
      <w:pPr>
        <w:rPr>
          <w:rFonts w:ascii="Times New Roman" w:hAnsi="Times New Roman"/>
          <w:sz w:val="22"/>
          <w:szCs w:val="22"/>
        </w:rPr>
      </w:pPr>
      <w:r>
        <w:rPr>
          <w:rFonts w:ascii="Times New Roman" w:hAnsi="Times New Roman"/>
          <w:sz w:val="22"/>
        </w:rPr>
        <w:t>Még bizonyításra vár, hogy a ciklofoszfamid citosztatikus hatása kizárólag a DNS-alkilálástól függ-e, vagy más mechanizmusok, így például a kromatin transzformációs folyamatok gátlása vagy a DNS-polimerázok gátlása is szerepet játszanak-e benne. Az akrolein nevű metabolit nem rendelkezik daganatellenes hatással, viszont felelős a káros urotoxikus mellékhatásért.</w:t>
      </w:r>
    </w:p>
    <w:p w14:paraId="1BC528CD" w14:textId="77777777" w:rsidR="00C36888" w:rsidRDefault="00C36888" w:rsidP="00C36888">
      <w:pPr>
        <w:rPr>
          <w:rFonts w:ascii="Times New Roman" w:hAnsi="Times New Roman"/>
          <w:sz w:val="22"/>
          <w:szCs w:val="22"/>
          <w:lang w:val="en-GB"/>
        </w:rPr>
      </w:pPr>
    </w:p>
    <w:p w14:paraId="26D2C224" w14:textId="02745705" w:rsidR="00C36888" w:rsidRPr="001916DA" w:rsidRDefault="00C36888" w:rsidP="00C36888">
      <w:pPr>
        <w:rPr>
          <w:rFonts w:ascii="Times New Roman" w:hAnsi="Times New Roman"/>
          <w:sz w:val="22"/>
          <w:szCs w:val="22"/>
        </w:rPr>
      </w:pPr>
      <w:r>
        <w:rPr>
          <w:rFonts w:ascii="Times New Roman" w:hAnsi="Times New Roman"/>
          <w:sz w:val="22"/>
        </w:rPr>
        <w:t>A ciklofoszfamid immunszuppresszív hatása azon a tényen alapul, hogy a ciklofoszfamid gátolja a B-sejteket, a CD4+ T-sejteket és kisebb mértékben a CD8+ T-sejteket. Feltételezett továbbá, hogy a ciklofoszfamid gátolja az IgG2 osztályba tartozó antitesteket szabályozó szuppresszor sejteket. Keresztrezisztencia, különösen hasonló szerkezetű citotoxikus anyagokkal, pl. ifoszfamiddal és egyéb alkiláló anyagokkal szemben nem zárható ki.</w:t>
      </w:r>
    </w:p>
    <w:p w14:paraId="0F9475F4" w14:textId="77777777" w:rsidR="00A323D4" w:rsidRPr="001916DA" w:rsidRDefault="00A323D4" w:rsidP="005E3CA1">
      <w:pPr>
        <w:rPr>
          <w:rFonts w:ascii="Times New Roman" w:hAnsi="Times New Roman"/>
          <w:sz w:val="22"/>
          <w:szCs w:val="22"/>
          <w:lang w:val="en-GB"/>
        </w:rPr>
      </w:pPr>
    </w:p>
    <w:p w14:paraId="4D7DBB3A" w14:textId="77777777" w:rsidR="0037295D" w:rsidRDefault="0037295D" w:rsidP="005E3CA1">
      <w:pPr>
        <w:tabs>
          <w:tab w:val="left" w:pos="540"/>
        </w:tabs>
        <w:rPr>
          <w:rFonts w:ascii="Times New Roman" w:hAnsi="Times New Roman"/>
          <w:b/>
          <w:bCs/>
          <w:sz w:val="22"/>
          <w:szCs w:val="22"/>
          <w:shd w:val="clear" w:color="auto" w:fill="FFFFFF"/>
        </w:rPr>
      </w:pPr>
      <w:r>
        <w:rPr>
          <w:rFonts w:ascii="Times New Roman" w:hAnsi="Times New Roman"/>
          <w:b/>
          <w:color w:val="auto"/>
          <w:sz w:val="22"/>
        </w:rPr>
        <w:t>5.2</w:t>
      </w:r>
      <w:r>
        <w:rPr>
          <w:rFonts w:ascii="Times New Roman" w:hAnsi="Times New Roman"/>
          <w:b/>
          <w:color w:val="auto"/>
          <w:sz w:val="22"/>
        </w:rPr>
        <w:tab/>
      </w:r>
      <w:r>
        <w:rPr>
          <w:rFonts w:ascii="Times New Roman" w:hAnsi="Times New Roman"/>
          <w:b/>
          <w:sz w:val="22"/>
          <w:shd w:val="clear" w:color="auto" w:fill="FFFFFF"/>
        </w:rPr>
        <w:t>Farmakokinetikai tulajdonságok</w:t>
      </w:r>
    </w:p>
    <w:p w14:paraId="5FE99402" w14:textId="77777777" w:rsidR="00120718" w:rsidRDefault="00120718" w:rsidP="005E3CA1">
      <w:pPr>
        <w:tabs>
          <w:tab w:val="left" w:pos="540"/>
        </w:tabs>
        <w:rPr>
          <w:rFonts w:ascii="Times New Roman" w:hAnsi="Times New Roman"/>
          <w:b/>
          <w:bCs/>
          <w:sz w:val="22"/>
          <w:szCs w:val="22"/>
          <w:shd w:val="clear" w:color="auto" w:fill="FFFFFF"/>
          <w:lang w:val="en-GB"/>
        </w:rPr>
      </w:pPr>
    </w:p>
    <w:p w14:paraId="1EE00551" w14:textId="20557EDC" w:rsidR="00120718" w:rsidRPr="001916DA" w:rsidRDefault="00120718" w:rsidP="005E3CA1">
      <w:pPr>
        <w:tabs>
          <w:tab w:val="left" w:pos="540"/>
        </w:tabs>
        <w:rPr>
          <w:rFonts w:ascii="Times New Roman" w:hAnsi="Times New Roman"/>
          <w:color w:val="auto"/>
          <w:sz w:val="22"/>
          <w:szCs w:val="22"/>
        </w:rPr>
      </w:pPr>
      <w:r>
        <w:rPr>
          <w:rFonts w:ascii="Times New Roman" w:hAnsi="Times New Roman"/>
          <w:color w:val="auto"/>
          <w:sz w:val="22"/>
        </w:rPr>
        <w:t>A ciklofoszfamidot inaktív prodrugként adják be, amely a májban aktiválódik.</w:t>
      </w:r>
    </w:p>
    <w:p w14:paraId="6B8472A4" w14:textId="77777777" w:rsidR="0037295D" w:rsidRPr="001916DA" w:rsidRDefault="0037295D" w:rsidP="005E3CA1">
      <w:pPr>
        <w:rPr>
          <w:rFonts w:ascii="Times New Roman" w:hAnsi="Times New Roman"/>
          <w:color w:val="auto"/>
          <w:sz w:val="22"/>
          <w:szCs w:val="22"/>
          <w:lang w:val="en-GB"/>
        </w:rPr>
      </w:pPr>
    </w:p>
    <w:p w14:paraId="48958885" w14:textId="77777777" w:rsidR="00C27063" w:rsidRPr="00C611C5" w:rsidRDefault="00C27063" w:rsidP="005E3CA1">
      <w:pPr>
        <w:rPr>
          <w:rFonts w:ascii="Times New Roman" w:hAnsi="Times New Roman"/>
          <w:sz w:val="22"/>
          <w:szCs w:val="22"/>
          <w:u w:val="single"/>
        </w:rPr>
      </w:pPr>
      <w:r>
        <w:rPr>
          <w:rFonts w:ascii="Times New Roman" w:hAnsi="Times New Roman"/>
          <w:sz w:val="22"/>
          <w:u w:val="single"/>
        </w:rPr>
        <w:t xml:space="preserve">Felszívódás </w:t>
      </w:r>
    </w:p>
    <w:p w14:paraId="515260A7" w14:textId="6FB848BA" w:rsidR="00B01810" w:rsidRDefault="00B01810" w:rsidP="005E3CA1">
      <w:pPr>
        <w:rPr>
          <w:rFonts w:ascii="Times New Roman" w:hAnsi="Times New Roman"/>
          <w:sz w:val="22"/>
          <w:szCs w:val="22"/>
        </w:rPr>
      </w:pPr>
      <w:r>
        <w:rPr>
          <w:rFonts w:ascii="Times New Roman" w:hAnsi="Times New Roman"/>
          <w:sz w:val="22"/>
        </w:rPr>
        <w:t>A ciklofoszfamid gyorsan és majdnem teljesen felszívódik a parenterális helyekről.</w:t>
      </w:r>
    </w:p>
    <w:p w14:paraId="597DD529" w14:textId="77777777" w:rsidR="00734F45" w:rsidRDefault="00734F45" w:rsidP="005E3CA1">
      <w:pPr>
        <w:rPr>
          <w:rFonts w:ascii="Times New Roman" w:hAnsi="Times New Roman"/>
          <w:sz w:val="22"/>
          <w:szCs w:val="22"/>
        </w:rPr>
      </w:pPr>
    </w:p>
    <w:p w14:paraId="4B6761AE" w14:textId="281744A4" w:rsidR="00734F45" w:rsidRDefault="00734F45" w:rsidP="005E3CA1">
      <w:pPr>
        <w:rPr>
          <w:rFonts w:ascii="Times New Roman" w:hAnsi="Times New Roman"/>
          <w:sz w:val="22"/>
          <w:szCs w:val="22"/>
          <w:u w:val="single"/>
        </w:rPr>
      </w:pPr>
      <w:r>
        <w:rPr>
          <w:rFonts w:ascii="Times New Roman" w:hAnsi="Times New Roman"/>
          <w:sz w:val="22"/>
          <w:u w:val="single"/>
        </w:rPr>
        <w:t>Eloszlás</w:t>
      </w:r>
    </w:p>
    <w:p w14:paraId="246FF597" w14:textId="77777777" w:rsidR="00734F45" w:rsidRPr="00C611C5" w:rsidRDefault="00734F45" w:rsidP="00734F45">
      <w:pPr>
        <w:rPr>
          <w:rFonts w:ascii="Times New Roman" w:hAnsi="Times New Roman"/>
          <w:sz w:val="22"/>
          <w:szCs w:val="22"/>
        </w:rPr>
      </w:pPr>
      <w:r>
        <w:rPr>
          <w:rFonts w:ascii="Times New Roman" w:hAnsi="Times New Roman"/>
          <w:sz w:val="22"/>
        </w:rPr>
        <w:t>A ciklofoszfamid kevesebb mint 20%-ban kötődik plazmafehérjékhez. Metabolitjai nagyobb mértékben kötődnek a fehérjékhez, bár kevesebb mint 70%-ban. Az aktív metabolitok fehérjekötődésének mértéke nem ismert.</w:t>
      </w:r>
    </w:p>
    <w:p w14:paraId="3E88719F" w14:textId="762D631D" w:rsidR="00734F45" w:rsidRDefault="00734F45" w:rsidP="00734F45">
      <w:pPr>
        <w:rPr>
          <w:rFonts w:ascii="Times New Roman" w:hAnsi="Times New Roman"/>
          <w:sz w:val="22"/>
          <w:szCs w:val="22"/>
        </w:rPr>
      </w:pPr>
      <w:r>
        <w:rPr>
          <w:rFonts w:ascii="Times New Roman" w:hAnsi="Times New Roman"/>
          <w:sz w:val="22"/>
        </w:rPr>
        <w:t>A ciklofoszfamid megjelenik a cerebrospinalis folyadékban és az anyatejben. A ciklofoszfamid és metabolitjai átjuthatnak a méhlepényen.</w:t>
      </w:r>
    </w:p>
    <w:p w14:paraId="464057C1" w14:textId="77777777" w:rsidR="00734F45" w:rsidRPr="00C611C5" w:rsidRDefault="00734F45" w:rsidP="00734F45">
      <w:pPr>
        <w:rPr>
          <w:rFonts w:ascii="Times New Roman" w:hAnsi="Times New Roman"/>
          <w:sz w:val="22"/>
          <w:szCs w:val="22"/>
        </w:rPr>
      </w:pPr>
    </w:p>
    <w:p w14:paraId="45F3CBC5" w14:textId="77777777" w:rsidR="00734F45" w:rsidRDefault="00734F45" w:rsidP="005E3CA1">
      <w:pPr>
        <w:rPr>
          <w:rFonts w:ascii="Times New Roman" w:hAnsi="Times New Roman"/>
          <w:sz w:val="22"/>
          <w:szCs w:val="22"/>
          <w:u w:val="single"/>
        </w:rPr>
      </w:pPr>
      <w:r>
        <w:rPr>
          <w:rFonts w:ascii="Times New Roman" w:hAnsi="Times New Roman"/>
          <w:sz w:val="22"/>
          <w:u w:val="single"/>
        </w:rPr>
        <w:t xml:space="preserve">Metabolizmus </w:t>
      </w:r>
    </w:p>
    <w:p w14:paraId="4621FFA1" w14:textId="0DF3F818" w:rsidR="00545619" w:rsidRPr="00C611C5" w:rsidRDefault="00545619" w:rsidP="00545619">
      <w:pPr>
        <w:rPr>
          <w:rFonts w:ascii="Times New Roman" w:hAnsi="Times New Roman"/>
          <w:sz w:val="22"/>
          <w:szCs w:val="22"/>
        </w:rPr>
      </w:pPr>
      <w:r>
        <w:rPr>
          <w:rFonts w:ascii="Times New Roman" w:hAnsi="Times New Roman"/>
          <w:sz w:val="22"/>
        </w:rPr>
        <w:t>A ciklofoszfamid a májban aktiválódik 4-hidroxi-ciklofoszfamid és aldofoszfamid (a 4-hidroxi-ciklofoszfamid tautomer formája) aktív metabolitokká I. fázisú metabolizmussal a citokróm P450 (CYP) enzimek révén. Különféle CYP izoenzimek járulnak hozzá a ciklofoszfamid bioaktiválásához, mint például a CYP2A6, 2B6, 2C9, 2C19 és 3A4, amelyek közül a 2B6 mutatja a legnagyobb 4-hidroxiláz aktivitást. A detoxifikáció főleg a glutation-S-transzferázok</w:t>
      </w:r>
      <w:r w:rsidR="00F1522F">
        <w:rPr>
          <w:rFonts w:ascii="Times New Roman" w:hAnsi="Times New Roman"/>
          <w:sz w:val="22"/>
        </w:rPr>
        <w:t xml:space="preserve"> </w:t>
      </w:r>
      <w:r>
        <w:rPr>
          <w:rFonts w:ascii="Times New Roman" w:hAnsi="Times New Roman"/>
          <w:sz w:val="22"/>
        </w:rPr>
        <w:t>(GSTA1, GSTP1) és az alkohol-dehidrogenáz (ALDH1, ALDH3) segítségével történik. Az aktív metabolitok plazmakoncentrációja a ciklofoszfamid beadását követő 2-4 órán belül éri el a csúcsszintet, majd a plazmakoncentráció gyorsan csökken.</w:t>
      </w:r>
    </w:p>
    <w:p w14:paraId="3691BE34" w14:textId="77777777" w:rsidR="00545619" w:rsidRPr="00C611C5" w:rsidRDefault="00545619" w:rsidP="00545619">
      <w:pPr>
        <w:rPr>
          <w:rFonts w:ascii="Times New Roman" w:hAnsi="Times New Roman"/>
          <w:sz w:val="22"/>
          <w:szCs w:val="22"/>
          <w:u w:val="single"/>
        </w:rPr>
      </w:pPr>
    </w:p>
    <w:p w14:paraId="7C305441" w14:textId="77777777" w:rsidR="00545619" w:rsidRPr="009E31E1" w:rsidRDefault="00545619" w:rsidP="00545619">
      <w:pPr>
        <w:rPr>
          <w:rFonts w:ascii="Times New Roman" w:hAnsi="Times New Roman"/>
          <w:sz w:val="22"/>
          <w:szCs w:val="22"/>
          <w:u w:val="single"/>
        </w:rPr>
      </w:pPr>
      <w:r>
        <w:rPr>
          <w:rFonts w:ascii="Times New Roman" w:hAnsi="Times New Roman"/>
          <w:sz w:val="22"/>
          <w:u w:val="single"/>
        </w:rPr>
        <w:t>Elimináció</w:t>
      </w:r>
    </w:p>
    <w:p w14:paraId="37BA10CD" w14:textId="3445B3A8" w:rsidR="00545619" w:rsidRPr="00545619" w:rsidRDefault="00761EE5" w:rsidP="00545619">
      <w:pPr>
        <w:pStyle w:val="Szvegtrzsbehzssal"/>
        <w:ind w:left="0"/>
        <w:rPr>
          <w:rFonts w:ascii="Times New Roman" w:hAnsi="Times New Roman"/>
          <w:color w:val="auto"/>
          <w:sz w:val="22"/>
          <w:szCs w:val="22"/>
        </w:rPr>
      </w:pPr>
      <w:r>
        <w:rPr>
          <w:rFonts w:ascii="Times New Roman" w:hAnsi="Times New Roman"/>
          <w:sz w:val="22"/>
          <w:shd w:val="clear" w:color="auto" w:fill="FFFFFF"/>
        </w:rPr>
        <w:t>A ciklofoszfamid felezési ideje a plazmában körülbelül 4-8 óra felnőttekben és gyermekekben</w:t>
      </w:r>
      <w:r>
        <w:rPr>
          <w:rFonts w:ascii="Times New Roman" w:hAnsi="Times New Roman"/>
          <w:color w:val="auto"/>
          <w:sz w:val="22"/>
        </w:rPr>
        <w:t>. Az aktív metabolitok plazma felezési ideje nem ismert.</w:t>
      </w:r>
    </w:p>
    <w:p w14:paraId="7823678E" w14:textId="63815B0D" w:rsidR="00545619" w:rsidRPr="00545619" w:rsidRDefault="00545619" w:rsidP="00545619">
      <w:pPr>
        <w:pStyle w:val="Szvegtrzsbehzssal"/>
        <w:ind w:left="0"/>
        <w:rPr>
          <w:rFonts w:ascii="Times New Roman" w:hAnsi="Times New Roman"/>
          <w:color w:val="auto"/>
          <w:sz w:val="22"/>
          <w:szCs w:val="22"/>
        </w:rPr>
      </w:pPr>
      <w:r>
        <w:rPr>
          <w:rFonts w:ascii="Times New Roman" w:hAnsi="Times New Roman"/>
          <w:color w:val="auto"/>
          <w:sz w:val="22"/>
        </w:rPr>
        <w:t xml:space="preserve">Az allogén csontvelő-transzplantáció keretein belüli nagy dózisú intravénás alkalmazást követően a tiszta ciklofoszfamid plazmakoncentrációja elsőrendű, lineáris kinetikát követ. A konvencionális ciklofoszfamid-terápiával összehasonlítva nagyobb az inaktív metabolitok mennyisége, ami az aktiváló enzimrendszerek telítődésére utal, de arra nem, hogy a metabolizmus milyen állomásai vezetnek az inaktív metabolitok képződéséhez. Nagy dózisú, több napon át alkalmazott ciklofoszfamid-kezelés során a kiindulási vegyület plazmakoncentráció-idő görbe alatti területe csökkent, ami valószínűleg a mikroszomális metabolizmus autoindukciójának </w:t>
      </w:r>
      <w:r w:rsidR="004113CC" w:rsidRPr="009351AF">
        <w:rPr>
          <w:rFonts w:ascii="Times New Roman" w:hAnsi="Times New Roman"/>
          <w:color w:val="auto"/>
          <w:sz w:val="22"/>
        </w:rPr>
        <w:t>következménye</w:t>
      </w:r>
      <w:r w:rsidRPr="009351AF">
        <w:rPr>
          <w:rFonts w:ascii="Times New Roman" w:hAnsi="Times New Roman"/>
          <w:color w:val="auto"/>
          <w:sz w:val="22"/>
        </w:rPr>
        <w:t>.</w:t>
      </w:r>
    </w:p>
    <w:p w14:paraId="48022A7F" w14:textId="01489FB0" w:rsidR="00291A3D" w:rsidRPr="001916DA" w:rsidRDefault="00545619" w:rsidP="00545619">
      <w:pPr>
        <w:pStyle w:val="Szvegtrzsbehzssal"/>
        <w:ind w:left="0"/>
        <w:rPr>
          <w:rFonts w:ascii="Times New Roman" w:hAnsi="Times New Roman"/>
          <w:color w:val="auto"/>
          <w:sz w:val="22"/>
          <w:szCs w:val="22"/>
        </w:rPr>
      </w:pPr>
      <w:r>
        <w:rPr>
          <w:rFonts w:ascii="Times New Roman" w:hAnsi="Times New Roman"/>
          <w:color w:val="auto"/>
          <w:sz w:val="22"/>
        </w:rPr>
        <w:t>A ciklofoszfamid és metabolitjai elsősorban a vesén keresztül választódnak ki.</w:t>
      </w:r>
    </w:p>
    <w:p w14:paraId="1625215B" w14:textId="77777777" w:rsidR="0037295D" w:rsidRPr="001916DA" w:rsidRDefault="0037295D" w:rsidP="005E3CA1">
      <w:pPr>
        <w:rPr>
          <w:rFonts w:ascii="Times New Roman" w:hAnsi="Times New Roman"/>
          <w:color w:val="auto"/>
          <w:sz w:val="22"/>
          <w:szCs w:val="22"/>
          <w:lang w:val="en-GB"/>
        </w:rPr>
      </w:pPr>
    </w:p>
    <w:p w14:paraId="297D6405" w14:textId="77777777" w:rsidR="0037295D" w:rsidRPr="001916DA" w:rsidRDefault="0037295D" w:rsidP="005E3CA1">
      <w:pPr>
        <w:tabs>
          <w:tab w:val="left" w:pos="540"/>
        </w:tabs>
        <w:rPr>
          <w:rFonts w:ascii="Times New Roman" w:hAnsi="Times New Roman"/>
          <w:color w:val="auto"/>
          <w:sz w:val="22"/>
          <w:szCs w:val="22"/>
        </w:rPr>
      </w:pPr>
      <w:r>
        <w:rPr>
          <w:rFonts w:ascii="Times New Roman" w:hAnsi="Times New Roman"/>
          <w:b/>
          <w:color w:val="auto"/>
          <w:sz w:val="22"/>
        </w:rPr>
        <w:t>5.3</w:t>
      </w:r>
      <w:r>
        <w:rPr>
          <w:rFonts w:ascii="Times New Roman" w:hAnsi="Times New Roman"/>
          <w:b/>
          <w:color w:val="auto"/>
          <w:sz w:val="22"/>
        </w:rPr>
        <w:tab/>
      </w:r>
      <w:r>
        <w:rPr>
          <w:rFonts w:ascii="Times New Roman" w:hAnsi="Times New Roman"/>
          <w:b/>
          <w:sz w:val="22"/>
          <w:shd w:val="clear" w:color="auto" w:fill="FFFFFF"/>
        </w:rPr>
        <w:t>A preklinikai biztonságossági vizsgálatok eredményei</w:t>
      </w:r>
    </w:p>
    <w:p w14:paraId="6D650B39" w14:textId="265BFCDF" w:rsidR="00545619" w:rsidRDefault="00545619" w:rsidP="005E3CA1">
      <w:pPr>
        <w:pStyle w:val="Szvegtrzsbehzssal2"/>
        <w:spacing w:after="0" w:line="240" w:lineRule="auto"/>
        <w:ind w:left="0"/>
        <w:rPr>
          <w:rFonts w:ascii="Times New Roman" w:hAnsi="Times New Roman"/>
          <w:sz w:val="22"/>
          <w:szCs w:val="22"/>
          <w:shd w:val="clear" w:color="auto" w:fill="FFFFFF"/>
          <w:lang w:val="en-GB"/>
        </w:rPr>
      </w:pPr>
    </w:p>
    <w:p w14:paraId="2453145E" w14:textId="77777777" w:rsidR="00545619" w:rsidRPr="00C611C5" w:rsidRDefault="00545619" w:rsidP="00C611C5">
      <w:pPr>
        <w:pStyle w:val="Szvegtrzsbehzssal2"/>
        <w:spacing w:after="0" w:line="240" w:lineRule="auto"/>
        <w:ind w:left="0"/>
        <w:rPr>
          <w:rFonts w:ascii="Times New Roman" w:hAnsi="Times New Roman"/>
          <w:sz w:val="22"/>
          <w:szCs w:val="22"/>
          <w:u w:val="single"/>
        </w:rPr>
      </w:pPr>
      <w:r>
        <w:rPr>
          <w:rFonts w:ascii="Times New Roman" w:hAnsi="Times New Roman"/>
          <w:sz w:val="22"/>
          <w:u w:val="single"/>
        </w:rPr>
        <w:t>Akut toxicitás</w:t>
      </w:r>
    </w:p>
    <w:p w14:paraId="224119EA" w14:textId="77777777" w:rsidR="00545619" w:rsidRDefault="00545619" w:rsidP="00C611C5">
      <w:pPr>
        <w:pStyle w:val="Szvegtrzsbehzssal2"/>
        <w:spacing w:after="0" w:line="240" w:lineRule="auto"/>
        <w:ind w:left="0"/>
        <w:rPr>
          <w:rFonts w:ascii="Times New Roman" w:hAnsi="Times New Roman"/>
          <w:sz w:val="22"/>
          <w:szCs w:val="22"/>
        </w:rPr>
      </w:pPr>
      <w:r>
        <w:rPr>
          <w:rFonts w:ascii="Times New Roman" w:hAnsi="Times New Roman"/>
          <w:sz w:val="22"/>
        </w:rPr>
        <w:t>A ciklofoszfamid akut toxicitása viszonylag alacsony. Ezt egereken, tengerimalacokon, nyulakon és kutyákon végzett kísérletek igazolják.</w:t>
      </w:r>
    </w:p>
    <w:p w14:paraId="010F9BE8" w14:textId="77777777" w:rsidR="00545619" w:rsidRPr="00545619" w:rsidRDefault="00545619" w:rsidP="00C611C5">
      <w:pPr>
        <w:pStyle w:val="Szvegtrzsbehzssal2"/>
        <w:spacing w:after="0" w:line="240" w:lineRule="auto"/>
        <w:ind w:left="0"/>
        <w:rPr>
          <w:rFonts w:ascii="Times New Roman" w:hAnsi="Times New Roman"/>
          <w:sz w:val="22"/>
          <w:szCs w:val="22"/>
          <w:lang w:val="en-GB"/>
        </w:rPr>
      </w:pPr>
    </w:p>
    <w:p w14:paraId="368BEF97" w14:textId="77777777" w:rsidR="00545619" w:rsidRPr="00C611C5" w:rsidRDefault="00545619" w:rsidP="00C611C5">
      <w:pPr>
        <w:pStyle w:val="Szvegtrzsbehzssal2"/>
        <w:spacing w:after="0" w:line="240" w:lineRule="auto"/>
        <w:ind w:left="0"/>
        <w:rPr>
          <w:rFonts w:ascii="Times New Roman" w:hAnsi="Times New Roman"/>
          <w:sz w:val="22"/>
          <w:szCs w:val="22"/>
          <w:u w:val="single"/>
        </w:rPr>
      </w:pPr>
      <w:r>
        <w:rPr>
          <w:rFonts w:ascii="Times New Roman" w:hAnsi="Times New Roman"/>
          <w:sz w:val="22"/>
          <w:u w:val="single"/>
        </w:rPr>
        <w:t>Krónikus toxicitás</w:t>
      </w:r>
    </w:p>
    <w:p w14:paraId="31733592" w14:textId="065776F0" w:rsidR="00545619" w:rsidRDefault="00545619" w:rsidP="00C611C5">
      <w:pPr>
        <w:pStyle w:val="Szvegtrzsbehzssal2"/>
        <w:spacing w:after="0" w:line="240" w:lineRule="auto"/>
        <w:ind w:left="0"/>
        <w:rPr>
          <w:rFonts w:ascii="Times New Roman" w:hAnsi="Times New Roman"/>
          <w:sz w:val="22"/>
          <w:szCs w:val="22"/>
        </w:rPr>
      </w:pPr>
      <w:r>
        <w:rPr>
          <w:rFonts w:ascii="Times New Roman" w:hAnsi="Times New Roman"/>
          <w:sz w:val="22"/>
        </w:rPr>
        <w:t>Toxikus dózisok hosszú távú adagolása zsíros degeneráció formájában jelentkező májelváltozásokhoz vezetett, amit necrosis követett. A bélnyálkahártya nem károsodott. A hepatotoxikus hatások küszöbértéke nyulaknál 100 mg/ttkg, míg kutyáknál 10 mg/ttkg volt.</w:t>
      </w:r>
    </w:p>
    <w:p w14:paraId="4EDCC3FC" w14:textId="77777777" w:rsidR="00545619" w:rsidRPr="00545619" w:rsidRDefault="00545619" w:rsidP="00C611C5">
      <w:pPr>
        <w:pStyle w:val="Szvegtrzsbehzssal2"/>
        <w:spacing w:after="0" w:line="240" w:lineRule="auto"/>
        <w:ind w:left="0"/>
        <w:rPr>
          <w:rFonts w:ascii="Times New Roman" w:hAnsi="Times New Roman"/>
          <w:sz w:val="22"/>
          <w:szCs w:val="22"/>
          <w:lang w:val="en-GB"/>
        </w:rPr>
      </w:pPr>
    </w:p>
    <w:p w14:paraId="2BDAE0FB" w14:textId="77777777" w:rsidR="00545619" w:rsidRPr="00C611C5" w:rsidRDefault="00545619" w:rsidP="00C611C5">
      <w:pPr>
        <w:pStyle w:val="Szvegtrzsbehzssal2"/>
        <w:spacing w:after="0" w:line="240" w:lineRule="auto"/>
        <w:ind w:left="0"/>
        <w:rPr>
          <w:rFonts w:ascii="Times New Roman" w:hAnsi="Times New Roman"/>
          <w:sz w:val="22"/>
          <w:szCs w:val="22"/>
          <w:u w:val="single"/>
        </w:rPr>
      </w:pPr>
      <w:r>
        <w:rPr>
          <w:rFonts w:ascii="Times New Roman" w:hAnsi="Times New Roman"/>
          <w:sz w:val="22"/>
          <w:u w:val="single"/>
        </w:rPr>
        <w:t>Mutagenitás és karcinogenitás</w:t>
      </w:r>
    </w:p>
    <w:p w14:paraId="34A14863" w14:textId="26A5FFEF" w:rsidR="00AF5845" w:rsidRDefault="00545619" w:rsidP="00C611C5">
      <w:pPr>
        <w:pStyle w:val="Szvegtrzsbehzssal2"/>
        <w:spacing w:after="0" w:line="240" w:lineRule="auto"/>
        <w:ind w:left="0"/>
        <w:rPr>
          <w:rFonts w:ascii="Times New Roman" w:hAnsi="Times New Roman"/>
          <w:sz w:val="22"/>
          <w:szCs w:val="22"/>
        </w:rPr>
      </w:pPr>
      <w:r>
        <w:rPr>
          <w:rFonts w:ascii="Times New Roman" w:hAnsi="Times New Roman"/>
          <w:sz w:val="22"/>
        </w:rPr>
        <w:t>A ciklofoszfamid mutagén hatásait különféle in vitro és in vivo vizsgálatokban mutatták ki. Embereknél kromoszómaaberrációkat is megfigyeltek a ciklofoszfamid alkalmazása után. A ciklofoszfamid karcinogén hatásait állatkísérletekben, patkányokon és egereken kimutatták.</w:t>
      </w:r>
    </w:p>
    <w:p w14:paraId="4958328A" w14:textId="77777777" w:rsidR="00545619" w:rsidRDefault="00545619" w:rsidP="00C611C5">
      <w:pPr>
        <w:pStyle w:val="Szvegtrzsbehzssal2"/>
        <w:spacing w:after="0" w:line="240" w:lineRule="auto"/>
        <w:ind w:left="0"/>
        <w:rPr>
          <w:rFonts w:ascii="Times New Roman" w:hAnsi="Times New Roman"/>
          <w:sz w:val="22"/>
          <w:szCs w:val="22"/>
          <w:lang w:val="en-GB"/>
        </w:rPr>
      </w:pPr>
    </w:p>
    <w:p w14:paraId="131D6197" w14:textId="77777777" w:rsidR="00545619" w:rsidRPr="00C611C5" w:rsidRDefault="00545619" w:rsidP="00C611C5">
      <w:pPr>
        <w:pStyle w:val="Szvegtrzsbehzssal2"/>
        <w:spacing w:after="0" w:line="240" w:lineRule="auto"/>
        <w:ind w:hanging="283"/>
        <w:rPr>
          <w:rFonts w:ascii="Times New Roman" w:hAnsi="Times New Roman"/>
          <w:sz w:val="22"/>
          <w:szCs w:val="22"/>
          <w:u w:val="single"/>
        </w:rPr>
      </w:pPr>
      <w:r>
        <w:rPr>
          <w:rFonts w:ascii="Times New Roman" w:hAnsi="Times New Roman"/>
          <w:sz w:val="22"/>
          <w:u w:val="single"/>
        </w:rPr>
        <w:t>Teratogén hatás</w:t>
      </w:r>
    </w:p>
    <w:p w14:paraId="5797B33F" w14:textId="69359CF1" w:rsidR="00545619" w:rsidRPr="001916DA" w:rsidRDefault="00545619" w:rsidP="00C611C5">
      <w:pPr>
        <w:pStyle w:val="Szvegtrzsbehzssal2"/>
        <w:spacing w:after="0" w:line="240" w:lineRule="auto"/>
        <w:ind w:left="0"/>
        <w:rPr>
          <w:rFonts w:ascii="Times New Roman" w:hAnsi="Times New Roman"/>
          <w:sz w:val="22"/>
          <w:szCs w:val="22"/>
        </w:rPr>
      </w:pPr>
      <w:r>
        <w:rPr>
          <w:rFonts w:ascii="Times New Roman" w:hAnsi="Times New Roman"/>
          <w:sz w:val="22"/>
        </w:rPr>
        <w:t>A ciklofoszfamid teratogén hatásait sokféle állatban (egér, patkány, nyúl, rhesus majom, kutya) kimutatták. A ciklofoszfamid csontrendszeri, szövet-, illetve egyéb malformációkat okozhat.</w:t>
      </w:r>
    </w:p>
    <w:p w14:paraId="2A62D1E3" w14:textId="77777777" w:rsidR="0037295D" w:rsidRPr="001916DA" w:rsidRDefault="0037295D" w:rsidP="005E3CA1">
      <w:pPr>
        <w:rPr>
          <w:rFonts w:ascii="Times New Roman" w:hAnsi="Times New Roman"/>
          <w:color w:val="auto"/>
          <w:sz w:val="22"/>
          <w:szCs w:val="22"/>
          <w:lang w:val="en-GB"/>
        </w:rPr>
      </w:pPr>
    </w:p>
    <w:p w14:paraId="2C1AB5BA" w14:textId="77777777" w:rsidR="00EA78D7" w:rsidRPr="001916DA" w:rsidRDefault="00EA78D7" w:rsidP="005E3CA1">
      <w:pPr>
        <w:rPr>
          <w:rFonts w:ascii="Times New Roman" w:hAnsi="Times New Roman"/>
          <w:color w:val="auto"/>
          <w:sz w:val="22"/>
          <w:szCs w:val="22"/>
          <w:lang w:val="en-GB"/>
        </w:rPr>
      </w:pPr>
    </w:p>
    <w:p w14:paraId="17BA6642" w14:textId="77777777" w:rsidR="0045187D" w:rsidRPr="001916DA" w:rsidRDefault="0045187D" w:rsidP="005E3CA1">
      <w:pPr>
        <w:ind w:left="567" w:hanging="567"/>
        <w:rPr>
          <w:rFonts w:ascii="Times New Roman" w:hAnsi="Times New Roman"/>
          <w:b/>
          <w:color w:val="auto"/>
          <w:sz w:val="22"/>
          <w:szCs w:val="22"/>
        </w:rPr>
      </w:pPr>
      <w:r>
        <w:rPr>
          <w:rFonts w:ascii="Times New Roman" w:hAnsi="Times New Roman"/>
          <w:b/>
          <w:color w:val="auto"/>
          <w:sz w:val="22"/>
        </w:rPr>
        <w:t>6.</w:t>
      </w:r>
      <w:r>
        <w:rPr>
          <w:rFonts w:ascii="Times New Roman" w:hAnsi="Times New Roman"/>
          <w:b/>
          <w:color w:val="auto"/>
          <w:sz w:val="22"/>
        </w:rPr>
        <w:tab/>
        <w:t>GYÓGYSZERÉSZETI JELLEMZŐK</w:t>
      </w:r>
    </w:p>
    <w:p w14:paraId="64F1A29A" w14:textId="77777777" w:rsidR="0037295D" w:rsidRPr="001916DA" w:rsidRDefault="0037295D" w:rsidP="005E3CA1">
      <w:pPr>
        <w:rPr>
          <w:rFonts w:ascii="Times New Roman" w:hAnsi="Times New Roman"/>
          <w:b/>
          <w:color w:val="auto"/>
          <w:sz w:val="22"/>
          <w:szCs w:val="22"/>
          <w:lang w:val="en-GB"/>
        </w:rPr>
      </w:pPr>
    </w:p>
    <w:p w14:paraId="24F7E9BB" w14:textId="77777777" w:rsidR="0037295D" w:rsidRPr="001916DA" w:rsidRDefault="0037295D" w:rsidP="005E3CA1">
      <w:pPr>
        <w:tabs>
          <w:tab w:val="left" w:pos="540"/>
        </w:tabs>
        <w:rPr>
          <w:rFonts w:ascii="Times New Roman" w:hAnsi="Times New Roman"/>
          <w:color w:val="auto"/>
          <w:sz w:val="22"/>
          <w:szCs w:val="22"/>
        </w:rPr>
      </w:pPr>
      <w:r>
        <w:rPr>
          <w:rFonts w:ascii="Times New Roman" w:hAnsi="Times New Roman"/>
          <w:b/>
          <w:color w:val="auto"/>
          <w:sz w:val="22"/>
        </w:rPr>
        <w:t>6.1</w:t>
      </w:r>
      <w:r>
        <w:rPr>
          <w:rFonts w:ascii="Times New Roman" w:hAnsi="Times New Roman"/>
          <w:b/>
          <w:color w:val="auto"/>
          <w:sz w:val="22"/>
        </w:rPr>
        <w:tab/>
      </w:r>
      <w:r>
        <w:rPr>
          <w:rFonts w:ascii="Times New Roman" w:hAnsi="Times New Roman"/>
          <w:b/>
          <w:sz w:val="22"/>
          <w:shd w:val="clear" w:color="auto" w:fill="FFFFFF"/>
        </w:rPr>
        <w:t>Segédanyagok felsorolása</w:t>
      </w:r>
    </w:p>
    <w:p w14:paraId="55CE611B" w14:textId="77777777" w:rsidR="00EA78D7" w:rsidRPr="001916DA" w:rsidRDefault="00EA78D7" w:rsidP="005E3CA1">
      <w:pPr>
        <w:rPr>
          <w:rFonts w:ascii="Times New Roman" w:hAnsi="Times New Roman"/>
          <w:color w:val="auto"/>
          <w:sz w:val="22"/>
          <w:szCs w:val="22"/>
          <w:lang w:val="en-GB"/>
        </w:rPr>
      </w:pPr>
    </w:p>
    <w:p w14:paraId="703D62F3" w14:textId="38A2F0F1" w:rsidR="00EA78D7" w:rsidRPr="001916DA" w:rsidRDefault="002C0704" w:rsidP="005E3CA1">
      <w:pPr>
        <w:rPr>
          <w:rFonts w:ascii="Times New Roman" w:hAnsi="Times New Roman"/>
          <w:color w:val="auto"/>
          <w:sz w:val="22"/>
          <w:szCs w:val="22"/>
        </w:rPr>
      </w:pPr>
      <w:r>
        <w:rPr>
          <w:rFonts w:ascii="Times New Roman" w:hAnsi="Times New Roman"/>
          <w:color w:val="auto"/>
          <w:sz w:val="22"/>
        </w:rPr>
        <w:t>Mannit (E421)</w:t>
      </w:r>
    </w:p>
    <w:p w14:paraId="412A7601" w14:textId="77777777" w:rsidR="0037295D" w:rsidRPr="001916DA" w:rsidRDefault="0037295D" w:rsidP="0046151C">
      <w:pPr>
        <w:rPr>
          <w:rFonts w:ascii="Times New Roman" w:hAnsi="Times New Roman"/>
          <w:color w:val="auto"/>
          <w:sz w:val="22"/>
          <w:szCs w:val="22"/>
          <w:lang w:val="en-GB"/>
        </w:rPr>
      </w:pPr>
    </w:p>
    <w:p w14:paraId="14FDEE04" w14:textId="77777777" w:rsidR="0037295D" w:rsidRPr="001916DA" w:rsidRDefault="0037295D" w:rsidP="0046151C">
      <w:pPr>
        <w:tabs>
          <w:tab w:val="left" w:pos="540"/>
        </w:tabs>
        <w:rPr>
          <w:rFonts w:ascii="Times New Roman" w:hAnsi="Times New Roman"/>
          <w:color w:val="auto"/>
          <w:sz w:val="22"/>
          <w:szCs w:val="22"/>
        </w:rPr>
      </w:pPr>
      <w:r>
        <w:rPr>
          <w:rFonts w:ascii="Times New Roman" w:hAnsi="Times New Roman"/>
          <w:b/>
          <w:color w:val="auto"/>
          <w:sz w:val="22"/>
        </w:rPr>
        <w:t>6.2</w:t>
      </w:r>
      <w:r>
        <w:rPr>
          <w:rFonts w:ascii="Times New Roman" w:hAnsi="Times New Roman"/>
          <w:b/>
          <w:color w:val="auto"/>
          <w:sz w:val="22"/>
        </w:rPr>
        <w:tab/>
      </w:r>
      <w:r>
        <w:rPr>
          <w:rFonts w:ascii="Times New Roman" w:hAnsi="Times New Roman"/>
          <w:b/>
          <w:sz w:val="22"/>
          <w:shd w:val="clear" w:color="auto" w:fill="FFFFFF"/>
        </w:rPr>
        <w:t>Inkompatibilitások</w:t>
      </w:r>
    </w:p>
    <w:p w14:paraId="6F09AEA1" w14:textId="0FDA6745" w:rsidR="0037295D" w:rsidRPr="001916DA" w:rsidRDefault="0037295D" w:rsidP="005E3CA1">
      <w:pPr>
        <w:rPr>
          <w:rFonts w:ascii="Times New Roman" w:hAnsi="Times New Roman"/>
          <w:b/>
          <w:color w:val="auto"/>
          <w:sz w:val="22"/>
          <w:szCs w:val="22"/>
          <w:lang w:val="en-GB"/>
        </w:rPr>
      </w:pPr>
    </w:p>
    <w:p w14:paraId="17E157AC" w14:textId="1E65DBD8" w:rsidR="00113671" w:rsidRPr="001916DA" w:rsidRDefault="00113671" w:rsidP="005E3CA1">
      <w:pPr>
        <w:rPr>
          <w:rFonts w:ascii="Times New Roman" w:hAnsi="Times New Roman"/>
          <w:color w:val="auto"/>
          <w:sz w:val="22"/>
          <w:szCs w:val="22"/>
        </w:rPr>
      </w:pPr>
      <w:r>
        <w:rPr>
          <w:rFonts w:ascii="Times New Roman" w:hAnsi="Times New Roman"/>
          <w:color w:val="auto"/>
          <w:sz w:val="22"/>
        </w:rPr>
        <w:t xml:space="preserve">Ez a gyógyszer kizárólag a 6.6 pontban felsorolt gyógyszerekkel keverhető. </w:t>
      </w:r>
    </w:p>
    <w:p w14:paraId="617D4D66" w14:textId="77777777" w:rsidR="0037295D" w:rsidRPr="001916DA" w:rsidRDefault="0037295D" w:rsidP="005E3CA1">
      <w:pPr>
        <w:tabs>
          <w:tab w:val="left" w:pos="540"/>
        </w:tabs>
        <w:rPr>
          <w:rFonts w:ascii="Times New Roman" w:hAnsi="Times New Roman"/>
          <w:color w:val="auto"/>
          <w:sz w:val="22"/>
          <w:szCs w:val="22"/>
          <w:lang w:val="en-GB"/>
        </w:rPr>
      </w:pPr>
    </w:p>
    <w:p w14:paraId="1F0F2616" w14:textId="77777777" w:rsidR="0037295D" w:rsidRPr="001916DA" w:rsidRDefault="00A579C9" w:rsidP="005E3CA1">
      <w:pPr>
        <w:tabs>
          <w:tab w:val="left" w:pos="540"/>
        </w:tabs>
        <w:rPr>
          <w:rFonts w:ascii="Times New Roman" w:hAnsi="Times New Roman"/>
          <w:color w:val="auto"/>
          <w:sz w:val="22"/>
          <w:szCs w:val="22"/>
        </w:rPr>
      </w:pPr>
      <w:r>
        <w:rPr>
          <w:rFonts w:ascii="Times New Roman" w:hAnsi="Times New Roman"/>
          <w:b/>
          <w:color w:val="auto"/>
          <w:sz w:val="22"/>
        </w:rPr>
        <w:t>6.3</w:t>
      </w:r>
      <w:r>
        <w:rPr>
          <w:rFonts w:ascii="Times New Roman" w:hAnsi="Times New Roman"/>
          <w:b/>
          <w:color w:val="auto"/>
          <w:sz w:val="22"/>
        </w:rPr>
        <w:tab/>
      </w:r>
      <w:r>
        <w:rPr>
          <w:rFonts w:ascii="Times New Roman" w:hAnsi="Times New Roman"/>
          <w:b/>
          <w:sz w:val="22"/>
          <w:shd w:val="clear" w:color="auto" w:fill="FFFFFF"/>
        </w:rPr>
        <w:t>Felhasználhatósági időtartam</w:t>
      </w:r>
    </w:p>
    <w:p w14:paraId="2334E047" w14:textId="77777777" w:rsidR="0037295D" w:rsidRPr="001916DA" w:rsidRDefault="0037295D" w:rsidP="005E3CA1">
      <w:pPr>
        <w:rPr>
          <w:rFonts w:ascii="Times New Roman" w:hAnsi="Times New Roman"/>
          <w:color w:val="auto"/>
          <w:sz w:val="22"/>
          <w:szCs w:val="22"/>
          <w:lang w:val="en-GB"/>
        </w:rPr>
      </w:pPr>
    </w:p>
    <w:p w14:paraId="7C75A1D6" w14:textId="22FFFB98" w:rsidR="0037295D" w:rsidRPr="001916DA" w:rsidRDefault="00820D46" w:rsidP="005E3CA1">
      <w:pPr>
        <w:rPr>
          <w:rFonts w:ascii="Times New Roman" w:hAnsi="Times New Roman"/>
          <w:color w:val="auto"/>
          <w:sz w:val="22"/>
          <w:szCs w:val="22"/>
        </w:rPr>
      </w:pPr>
      <w:r>
        <w:rPr>
          <w:rFonts w:ascii="Times New Roman" w:hAnsi="Times New Roman"/>
          <w:color w:val="auto"/>
          <w:sz w:val="22"/>
        </w:rPr>
        <w:t>2 év.</w:t>
      </w:r>
    </w:p>
    <w:p w14:paraId="47CE7F49" w14:textId="77777777" w:rsidR="002D7788" w:rsidRPr="001916DA" w:rsidRDefault="002D7788" w:rsidP="005E3CA1">
      <w:pPr>
        <w:rPr>
          <w:rFonts w:ascii="Times New Roman" w:hAnsi="Times New Roman"/>
          <w:color w:val="auto"/>
          <w:sz w:val="22"/>
          <w:szCs w:val="22"/>
          <w:lang w:val="en-GB"/>
        </w:rPr>
      </w:pPr>
    </w:p>
    <w:p w14:paraId="0FA2BF7A" w14:textId="2B24AB79" w:rsidR="002D7788" w:rsidRPr="001916DA" w:rsidRDefault="00AD74DC" w:rsidP="005E3CA1">
      <w:pPr>
        <w:rPr>
          <w:rFonts w:ascii="Times New Roman" w:hAnsi="Times New Roman"/>
          <w:color w:val="auto"/>
          <w:sz w:val="22"/>
          <w:szCs w:val="22"/>
        </w:rPr>
      </w:pPr>
      <w:r>
        <w:rPr>
          <w:rFonts w:ascii="Times New Roman" w:hAnsi="Times New Roman"/>
          <w:color w:val="auto"/>
          <w:sz w:val="22"/>
          <w:shd w:val="clear" w:color="auto" w:fill="FFFFFF"/>
        </w:rPr>
        <w:t>Az elkészített (20 mg/ml koncentrációjú) és hígított (2 mg/ml koncentrációjú) oldat használat közbeni fizikai és kémiai stabilitás</w:t>
      </w:r>
      <w:r w:rsidR="00652476">
        <w:rPr>
          <w:rFonts w:ascii="Times New Roman" w:hAnsi="Times New Roman"/>
          <w:color w:val="auto"/>
          <w:sz w:val="22"/>
          <w:shd w:val="clear" w:color="auto" w:fill="FFFFFF"/>
        </w:rPr>
        <w:t>a</w:t>
      </w:r>
      <w:r>
        <w:rPr>
          <w:rFonts w:ascii="Times New Roman" w:hAnsi="Times New Roman"/>
          <w:color w:val="auto"/>
          <w:sz w:val="22"/>
          <w:shd w:val="clear" w:color="auto" w:fill="FFFFFF"/>
        </w:rPr>
        <w:t xml:space="preserve"> 48 órán át igazolt 2–8 °C között tárolva.</w:t>
      </w:r>
    </w:p>
    <w:p w14:paraId="71986FBA" w14:textId="77777777" w:rsidR="002D7788" w:rsidRPr="001916DA" w:rsidRDefault="002D7788" w:rsidP="005E3CA1">
      <w:pPr>
        <w:rPr>
          <w:rFonts w:ascii="Times New Roman" w:hAnsi="Times New Roman"/>
          <w:color w:val="FF0000"/>
          <w:sz w:val="22"/>
          <w:szCs w:val="22"/>
          <w:lang w:val="en-GB"/>
        </w:rPr>
      </w:pPr>
    </w:p>
    <w:p w14:paraId="00032C8F" w14:textId="4DA14242" w:rsidR="00AD74DC" w:rsidRPr="001916DA" w:rsidRDefault="00AD74DC" w:rsidP="005E3CA1">
      <w:pPr>
        <w:rPr>
          <w:rFonts w:ascii="Times New Roman" w:hAnsi="Times New Roman"/>
          <w:color w:val="auto"/>
          <w:sz w:val="22"/>
          <w:szCs w:val="22"/>
        </w:rPr>
      </w:pPr>
      <w:r>
        <w:rPr>
          <w:rFonts w:ascii="Times New Roman" w:hAnsi="Times New Roman"/>
          <w:color w:val="auto"/>
          <w:sz w:val="22"/>
          <w:shd w:val="clear" w:color="auto" w:fill="FFFFFF"/>
        </w:rPr>
        <w:t>Mikrobiológiai szempont</w:t>
      </w:r>
      <w:r w:rsidR="00652476">
        <w:rPr>
          <w:rFonts w:ascii="Times New Roman" w:hAnsi="Times New Roman"/>
          <w:color w:val="auto"/>
          <w:sz w:val="22"/>
          <w:shd w:val="clear" w:color="auto" w:fill="FFFFFF"/>
        </w:rPr>
        <w:t>ból</w:t>
      </w:r>
      <w:r>
        <w:rPr>
          <w:rFonts w:ascii="Times New Roman" w:hAnsi="Times New Roman"/>
          <w:color w:val="auto"/>
          <w:sz w:val="22"/>
          <w:shd w:val="clear" w:color="auto" w:fill="FFFFFF"/>
        </w:rPr>
        <w:t xml:space="preserve"> a </w:t>
      </w:r>
      <w:r w:rsidR="00652476">
        <w:rPr>
          <w:rFonts w:ascii="Times New Roman" w:hAnsi="Times New Roman"/>
          <w:color w:val="auto"/>
          <w:sz w:val="22"/>
          <w:shd w:val="clear" w:color="auto" w:fill="FFFFFF"/>
        </w:rPr>
        <w:t xml:space="preserve">készítményt </w:t>
      </w:r>
      <w:r>
        <w:rPr>
          <w:rFonts w:ascii="Times New Roman" w:hAnsi="Times New Roman"/>
          <w:color w:val="auto"/>
          <w:sz w:val="22"/>
          <w:shd w:val="clear" w:color="auto" w:fill="FFFFFF"/>
        </w:rPr>
        <w:t xml:space="preserve">azonnal fel kell használni. Amennyiben az oldatot nem használják fel azonnal, </w:t>
      </w:r>
      <w:r w:rsidR="00652476" w:rsidRPr="00652476">
        <w:rPr>
          <w:rFonts w:ascii="Times New Roman" w:hAnsi="Times New Roman"/>
          <w:color w:val="auto"/>
          <w:sz w:val="22"/>
          <w:shd w:val="clear" w:color="auto" w:fill="FFFFFF"/>
        </w:rPr>
        <w:t>a felhasználásig az eltartási id</w:t>
      </w:r>
      <w:r w:rsidR="00652476" w:rsidRPr="00652476">
        <w:rPr>
          <w:rFonts w:ascii="Times New Roman" w:hAnsi="Times New Roman" w:hint="eastAsia"/>
          <w:color w:val="auto"/>
          <w:sz w:val="22"/>
          <w:shd w:val="clear" w:color="auto" w:fill="FFFFFF"/>
        </w:rPr>
        <w:t>ő</w:t>
      </w:r>
      <w:r w:rsidR="00652476" w:rsidRPr="00652476">
        <w:rPr>
          <w:rFonts w:ascii="Times New Roman" w:hAnsi="Times New Roman"/>
          <w:color w:val="auto"/>
          <w:sz w:val="22"/>
          <w:shd w:val="clear" w:color="auto" w:fill="FFFFFF"/>
        </w:rPr>
        <w:t xml:space="preserve"> és a tárolási körülmények a felhasználó felel</w:t>
      </w:r>
      <w:r w:rsidR="00652476" w:rsidRPr="00652476">
        <w:rPr>
          <w:rFonts w:ascii="Times New Roman" w:hAnsi="Times New Roman" w:hint="eastAsia"/>
          <w:color w:val="auto"/>
          <w:sz w:val="22"/>
          <w:shd w:val="clear" w:color="auto" w:fill="FFFFFF"/>
        </w:rPr>
        <w:t>ő</w:t>
      </w:r>
      <w:r w:rsidR="00652476" w:rsidRPr="00652476">
        <w:rPr>
          <w:rFonts w:ascii="Times New Roman" w:hAnsi="Times New Roman"/>
          <w:color w:val="auto"/>
          <w:sz w:val="22"/>
          <w:shd w:val="clear" w:color="auto" w:fill="FFFFFF"/>
        </w:rPr>
        <w:t>ssége, amely általános esetben</w:t>
      </w:r>
      <w:r w:rsidR="00652476">
        <w:rPr>
          <w:rFonts w:ascii="Times New Roman" w:hAnsi="Times New Roman"/>
          <w:color w:val="auto"/>
          <w:sz w:val="22"/>
          <w:shd w:val="clear" w:color="auto" w:fill="FFFFFF"/>
        </w:rPr>
        <w:t xml:space="preserve"> 2–</w:t>
      </w:r>
      <w:r w:rsidR="00652476" w:rsidRPr="00652476">
        <w:rPr>
          <w:rFonts w:ascii="Times New Roman" w:hAnsi="Times New Roman"/>
          <w:color w:val="auto"/>
          <w:sz w:val="22"/>
          <w:shd w:val="clear" w:color="auto" w:fill="FFFFFF"/>
        </w:rPr>
        <w:t>8º</w:t>
      </w:r>
      <w:r w:rsidR="00652476">
        <w:rPr>
          <w:rFonts w:ascii="Times New Roman" w:hAnsi="Times New Roman"/>
          <w:color w:val="auto"/>
          <w:sz w:val="22"/>
          <w:shd w:val="clear" w:color="auto" w:fill="FFFFFF"/>
        </w:rPr>
        <w:t> </w:t>
      </w:r>
      <w:r w:rsidR="00652476" w:rsidRPr="00652476">
        <w:rPr>
          <w:rFonts w:ascii="Times New Roman" w:hAnsi="Times New Roman"/>
          <w:color w:val="auto"/>
          <w:sz w:val="22"/>
          <w:shd w:val="clear" w:color="auto" w:fill="FFFFFF"/>
        </w:rPr>
        <w:t>C közötti h</w:t>
      </w:r>
      <w:r w:rsidR="00652476" w:rsidRPr="00652476">
        <w:rPr>
          <w:rFonts w:ascii="Times New Roman" w:hAnsi="Times New Roman" w:hint="eastAsia"/>
          <w:color w:val="auto"/>
          <w:sz w:val="22"/>
          <w:shd w:val="clear" w:color="auto" w:fill="FFFFFF"/>
        </w:rPr>
        <w:t>ő</w:t>
      </w:r>
      <w:r w:rsidR="00652476" w:rsidRPr="00652476">
        <w:rPr>
          <w:rFonts w:ascii="Times New Roman" w:hAnsi="Times New Roman"/>
          <w:color w:val="auto"/>
          <w:sz w:val="22"/>
          <w:shd w:val="clear" w:color="auto" w:fill="FFFFFF"/>
        </w:rPr>
        <w:t>mérsékleten tárolva nem haladhatja meg a 24 órát</w:t>
      </w:r>
      <w:r>
        <w:rPr>
          <w:rFonts w:ascii="Times New Roman" w:hAnsi="Times New Roman"/>
          <w:color w:val="auto"/>
          <w:sz w:val="22"/>
          <w:shd w:val="clear" w:color="auto" w:fill="FFFFFF"/>
        </w:rPr>
        <w:t xml:space="preserve">, kivéve ha a feloldás/hígítás </w:t>
      </w:r>
      <w:r w:rsidR="00652476">
        <w:rPr>
          <w:rFonts w:ascii="Times New Roman" w:hAnsi="Times New Roman"/>
          <w:color w:val="auto"/>
          <w:sz w:val="22"/>
          <w:shd w:val="clear" w:color="auto" w:fill="FFFFFF"/>
        </w:rPr>
        <w:t xml:space="preserve">ellenőrzött </w:t>
      </w:r>
      <w:r>
        <w:rPr>
          <w:rFonts w:ascii="Times New Roman" w:hAnsi="Times New Roman"/>
          <w:color w:val="auto"/>
          <w:sz w:val="22"/>
          <w:shd w:val="clear" w:color="auto" w:fill="FFFFFF"/>
        </w:rPr>
        <w:t>és validált aszeptikus körülmények között történt.</w:t>
      </w:r>
    </w:p>
    <w:p w14:paraId="4803FCA3" w14:textId="77777777" w:rsidR="00CD70FE" w:rsidRPr="001916DA" w:rsidRDefault="00CD70FE" w:rsidP="005E3CA1">
      <w:pPr>
        <w:rPr>
          <w:rFonts w:ascii="Times New Roman" w:hAnsi="Times New Roman"/>
          <w:color w:val="auto"/>
          <w:sz w:val="22"/>
          <w:szCs w:val="22"/>
          <w:lang w:val="en-GB"/>
        </w:rPr>
      </w:pPr>
    </w:p>
    <w:p w14:paraId="33B9436A" w14:textId="77777777" w:rsidR="0037295D" w:rsidRPr="001916DA" w:rsidRDefault="0037295D" w:rsidP="005E3CA1">
      <w:pPr>
        <w:tabs>
          <w:tab w:val="left" w:pos="540"/>
        </w:tabs>
        <w:rPr>
          <w:rFonts w:ascii="Times New Roman" w:hAnsi="Times New Roman"/>
          <w:color w:val="auto"/>
          <w:sz w:val="22"/>
          <w:szCs w:val="22"/>
        </w:rPr>
      </w:pPr>
      <w:r>
        <w:rPr>
          <w:rFonts w:ascii="Times New Roman" w:hAnsi="Times New Roman"/>
          <w:b/>
          <w:color w:val="auto"/>
          <w:sz w:val="22"/>
        </w:rPr>
        <w:t>6.4</w:t>
      </w:r>
      <w:r>
        <w:rPr>
          <w:rFonts w:ascii="Times New Roman" w:hAnsi="Times New Roman"/>
          <w:b/>
          <w:color w:val="auto"/>
          <w:sz w:val="22"/>
        </w:rPr>
        <w:tab/>
      </w:r>
      <w:r>
        <w:rPr>
          <w:rFonts w:ascii="Times New Roman" w:hAnsi="Times New Roman"/>
          <w:b/>
          <w:sz w:val="22"/>
          <w:shd w:val="clear" w:color="auto" w:fill="FFFFFF"/>
        </w:rPr>
        <w:t>Különleges tárolási előírások</w:t>
      </w:r>
    </w:p>
    <w:p w14:paraId="655BF676" w14:textId="77777777" w:rsidR="0037295D" w:rsidRPr="001916DA" w:rsidRDefault="0037295D" w:rsidP="0046151C">
      <w:pPr>
        <w:tabs>
          <w:tab w:val="left" w:pos="540"/>
        </w:tabs>
        <w:rPr>
          <w:rFonts w:ascii="Times New Roman" w:hAnsi="Times New Roman"/>
          <w:color w:val="auto"/>
          <w:sz w:val="22"/>
          <w:szCs w:val="22"/>
          <w:lang w:val="en-GB"/>
        </w:rPr>
      </w:pPr>
    </w:p>
    <w:p w14:paraId="140AF0DD" w14:textId="6DFF6F17" w:rsidR="0037295D" w:rsidRPr="001916DA" w:rsidRDefault="001675B9" w:rsidP="005E3CA1">
      <w:pPr>
        <w:rPr>
          <w:rFonts w:ascii="Times New Roman" w:hAnsi="Times New Roman"/>
          <w:color w:val="auto"/>
          <w:sz w:val="22"/>
          <w:szCs w:val="22"/>
        </w:rPr>
      </w:pPr>
      <w:r>
        <w:rPr>
          <w:rFonts w:ascii="Times New Roman" w:hAnsi="Times New Roman"/>
          <w:sz w:val="22"/>
          <w:shd w:val="clear" w:color="auto" w:fill="FFFFFF"/>
        </w:rPr>
        <w:t>Hűtőszekrényben (2 °C–8 °C) tárolandó</w:t>
      </w:r>
      <w:r>
        <w:rPr>
          <w:rFonts w:ascii="Times New Roman" w:hAnsi="Times New Roman"/>
          <w:color w:val="auto"/>
          <w:sz w:val="22"/>
        </w:rPr>
        <w:t>.</w:t>
      </w:r>
    </w:p>
    <w:p w14:paraId="2CA5EFE2" w14:textId="77777777" w:rsidR="007068A9" w:rsidRPr="001916DA" w:rsidRDefault="007068A9" w:rsidP="005E3CA1">
      <w:pPr>
        <w:rPr>
          <w:rFonts w:ascii="Times New Roman" w:hAnsi="Times New Roman"/>
          <w:color w:val="auto"/>
          <w:sz w:val="22"/>
          <w:szCs w:val="22"/>
          <w:lang w:val="en-GB"/>
        </w:rPr>
      </w:pPr>
    </w:p>
    <w:p w14:paraId="4780D211" w14:textId="01E9159F" w:rsidR="00A602D3" w:rsidRPr="001916DA" w:rsidRDefault="00A602D3" w:rsidP="005E3CA1">
      <w:pPr>
        <w:rPr>
          <w:rFonts w:ascii="Times New Roman" w:hAnsi="Times New Roman"/>
          <w:color w:val="auto"/>
          <w:sz w:val="22"/>
          <w:szCs w:val="22"/>
        </w:rPr>
      </w:pPr>
      <w:r>
        <w:rPr>
          <w:rFonts w:ascii="Times New Roman" w:hAnsi="Times New Roman"/>
          <w:color w:val="auto"/>
          <w:sz w:val="22"/>
        </w:rPr>
        <w:t>A Cyclophosphamide Accord feloldás/hígítás utáni tárolására vonatkozó előírásokat lásd a 6.3 pontban.</w:t>
      </w:r>
    </w:p>
    <w:p w14:paraId="09C9C461" w14:textId="77777777" w:rsidR="00266927" w:rsidRPr="001916DA" w:rsidRDefault="00266927" w:rsidP="005E3CA1">
      <w:pPr>
        <w:rPr>
          <w:rFonts w:ascii="Times New Roman" w:hAnsi="Times New Roman"/>
          <w:color w:val="auto"/>
          <w:sz w:val="22"/>
          <w:szCs w:val="22"/>
          <w:lang w:val="en-GB"/>
        </w:rPr>
      </w:pPr>
    </w:p>
    <w:p w14:paraId="1C7F72BD" w14:textId="77777777" w:rsidR="0037295D" w:rsidRPr="001916DA" w:rsidRDefault="00A579C9" w:rsidP="005E3CA1">
      <w:pPr>
        <w:tabs>
          <w:tab w:val="left" w:pos="540"/>
        </w:tabs>
        <w:rPr>
          <w:rFonts w:ascii="Times New Roman" w:hAnsi="Times New Roman"/>
          <w:b/>
          <w:color w:val="auto"/>
          <w:sz w:val="22"/>
          <w:szCs w:val="22"/>
        </w:rPr>
      </w:pPr>
      <w:r>
        <w:rPr>
          <w:rFonts w:ascii="Times New Roman" w:hAnsi="Times New Roman"/>
          <w:b/>
          <w:color w:val="auto"/>
          <w:sz w:val="22"/>
        </w:rPr>
        <w:t>6.5</w:t>
      </w:r>
      <w:r>
        <w:rPr>
          <w:rFonts w:ascii="Times New Roman" w:hAnsi="Times New Roman"/>
          <w:b/>
          <w:color w:val="auto"/>
          <w:sz w:val="22"/>
        </w:rPr>
        <w:tab/>
      </w:r>
      <w:r>
        <w:rPr>
          <w:rFonts w:ascii="Times New Roman" w:hAnsi="Times New Roman"/>
          <w:b/>
          <w:sz w:val="22"/>
        </w:rPr>
        <w:t>Csomagolás típusa és kiszerelése</w:t>
      </w:r>
    </w:p>
    <w:p w14:paraId="60618AA9" w14:textId="77777777" w:rsidR="0037295D" w:rsidRPr="001916DA" w:rsidRDefault="0037295D" w:rsidP="005E3CA1">
      <w:pPr>
        <w:tabs>
          <w:tab w:val="left" w:pos="540"/>
        </w:tabs>
        <w:rPr>
          <w:rFonts w:ascii="Times New Roman" w:hAnsi="Times New Roman"/>
          <w:color w:val="auto"/>
          <w:sz w:val="22"/>
          <w:szCs w:val="22"/>
          <w:lang w:val="en-GB"/>
        </w:rPr>
      </w:pPr>
    </w:p>
    <w:p w14:paraId="5C672BA1" w14:textId="2BA4B584" w:rsidR="00E54E83" w:rsidRPr="00C5225D" w:rsidRDefault="00E54E83" w:rsidP="00E54E83">
      <w:pPr>
        <w:rPr>
          <w:rFonts w:ascii="Times New Roman" w:hAnsi="Times New Roman"/>
          <w:b/>
          <w:i/>
          <w:color w:val="auto"/>
          <w:sz w:val="22"/>
          <w:szCs w:val="22"/>
          <w:u w:val="single"/>
        </w:rPr>
      </w:pPr>
      <w:r w:rsidRPr="00C5225D">
        <w:rPr>
          <w:rFonts w:ascii="Times New Roman" w:hAnsi="Times New Roman"/>
          <w:i/>
          <w:color w:val="auto"/>
          <w:sz w:val="22"/>
          <w:u w:val="single"/>
        </w:rPr>
        <w:t>Cyclophosphamide Accord 500 mg</w:t>
      </w:r>
      <w:r w:rsidRPr="00C5225D">
        <w:rPr>
          <w:rFonts w:ascii="Times New Roman" w:hAnsi="Times New Roman"/>
          <w:b/>
          <w:i/>
          <w:color w:val="auto"/>
          <w:sz w:val="22"/>
          <w:u w:val="single"/>
        </w:rPr>
        <w:t xml:space="preserve"> </w:t>
      </w:r>
      <w:r w:rsidRPr="00C5225D">
        <w:rPr>
          <w:rFonts w:ascii="Times New Roman" w:hAnsi="Times New Roman"/>
          <w:i/>
          <w:sz w:val="22"/>
          <w:u w:val="single"/>
          <w:shd w:val="clear" w:color="auto" w:fill="FFFFFF"/>
        </w:rPr>
        <w:t>por oldatos injekcióhoz/infúzióhoz</w:t>
      </w:r>
    </w:p>
    <w:p w14:paraId="0C519CC5" w14:textId="77777777" w:rsidR="00505255" w:rsidRDefault="00505255" w:rsidP="005E3CA1">
      <w:pPr>
        <w:tabs>
          <w:tab w:val="left" w:pos="540"/>
        </w:tabs>
        <w:rPr>
          <w:rFonts w:ascii="Times New Roman" w:hAnsi="Times New Roman"/>
          <w:sz w:val="22"/>
        </w:rPr>
      </w:pPr>
      <w:r w:rsidRPr="00505255">
        <w:rPr>
          <w:rFonts w:ascii="Times New Roman" w:hAnsi="Times New Roman"/>
          <w:sz w:val="22"/>
        </w:rPr>
        <w:t>30 ml-es, áttetsz</w:t>
      </w:r>
      <w:r w:rsidRPr="00505255">
        <w:rPr>
          <w:rFonts w:ascii="Times New Roman" w:hAnsi="Times New Roman" w:hint="eastAsia"/>
          <w:sz w:val="22"/>
        </w:rPr>
        <w:t>ő</w:t>
      </w:r>
      <w:r w:rsidRPr="00505255">
        <w:rPr>
          <w:rFonts w:ascii="Times New Roman" w:hAnsi="Times New Roman"/>
          <w:sz w:val="22"/>
        </w:rPr>
        <w:t>, formált I-es típusú injekciós üvegben, szürke szín</w:t>
      </w:r>
      <w:r w:rsidRPr="00505255">
        <w:rPr>
          <w:rFonts w:ascii="Times New Roman" w:hAnsi="Times New Roman" w:hint="eastAsia"/>
          <w:sz w:val="22"/>
        </w:rPr>
        <w:t>ű</w:t>
      </w:r>
      <w:r w:rsidRPr="00505255">
        <w:rPr>
          <w:rFonts w:ascii="Times New Roman" w:hAnsi="Times New Roman"/>
          <w:sz w:val="22"/>
        </w:rPr>
        <w:t xml:space="preserve"> Westar szilikon klórbutil gumidugóval és lepattintható alumínium kupakkal lezárva.</w:t>
      </w:r>
    </w:p>
    <w:p w14:paraId="4A39107C" w14:textId="77777777" w:rsidR="00E554E0" w:rsidRPr="001916DA" w:rsidRDefault="00E554E0" w:rsidP="005E3CA1">
      <w:pPr>
        <w:tabs>
          <w:tab w:val="left" w:pos="540"/>
        </w:tabs>
        <w:rPr>
          <w:rFonts w:ascii="Times New Roman" w:hAnsi="Times New Roman"/>
          <w:color w:val="auto"/>
          <w:sz w:val="22"/>
          <w:szCs w:val="22"/>
          <w:lang w:val="en-GB"/>
        </w:rPr>
      </w:pPr>
    </w:p>
    <w:p w14:paraId="0C6E4ADC" w14:textId="17672B9C" w:rsidR="00044EA0" w:rsidRPr="00C5225D" w:rsidRDefault="00044EA0" w:rsidP="0046151C">
      <w:pPr>
        <w:rPr>
          <w:rFonts w:ascii="Times New Roman" w:hAnsi="Times New Roman"/>
          <w:i/>
          <w:sz w:val="22"/>
          <w:szCs w:val="22"/>
          <w:u w:val="single"/>
          <w:shd w:val="clear" w:color="auto" w:fill="FFFFFF"/>
        </w:rPr>
      </w:pPr>
      <w:r w:rsidRPr="00C5225D">
        <w:rPr>
          <w:rFonts w:ascii="Times New Roman" w:hAnsi="Times New Roman"/>
          <w:i/>
          <w:color w:val="auto"/>
          <w:sz w:val="22"/>
          <w:u w:val="single"/>
        </w:rPr>
        <w:t>Cyclophosphamide Accord 1000 mg</w:t>
      </w:r>
      <w:r w:rsidRPr="00C5225D">
        <w:rPr>
          <w:rFonts w:ascii="Times New Roman" w:hAnsi="Times New Roman"/>
          <w:b/>
          <w:i/>
          <w:color w:val="auto"/>
          <w:sz w:val="22"/>
          <w:u w:val="single"/>
        </w:rPr>
        <w:t xml:space="preserve"> </w:t>
      </w:r>
      <w:r w:rsidRPr="00C5225D">
        <w:rPr>
          <w:rFonts w:ascii="Times New Roman" w:hAnsi="Times New Roman"/>
          <w:i/>
          <w:sz w:val="22"/>
          <w:u w:val="single"/>
          <w:shd w:val="clear" w:color="auto" w:fill="FFFFFF"/>
        </w:rPr>
        <w:t>por oldatos injekcióhoz/infúzióhoz</w:t>
      </w:r>
    </w:p>
    <w:p w14:paraId="257585D2" w14:textId="2482427C" w:rsidR="00E377E6" w:rsidRPr="001916DA" w:rsidRDefault="00505255" w:rsidP="00E377E6">
      <w:pPr>
        <w:tabs>
          <w:tab w:val="left" w:pos="540"/>
        </w:tabs>
        <w:rPr>
          <w:rFonts w:ascii="Times New Roman" w:hAnsi="Times New Roman"/>
          <w:color w:val="auto"/>
          <w:sz w:val="22"/>
          <w:szCs w:val="22"/>
          <w:lang w:val="en-GB"/>
        </w:rPr>
      </w:pPr>
      <w:r w:rsidRPr="00505255">
        <w:rPr>
          <w:rFonts w:ascii="Times New Roman" w:hAnsi="Times New Roman"/>
          <w:sz w:val="22"/>
        </w:rPr>
        <w:t>50 ml-es, áttetsz</w:t>
      </w:r>
      <w:r w:rsidRPr="00505255">
        <w:rPr>
          <w:rFonts w:ascii="Times New Roman" w:hAnsi="Times New Roman" w:hint="eastAsia"/>
          <w:sz w:val="22"/>
        </w:rPr>
        <w:t>ő</w:t>
      </w:r>
      <w:r w:rsidRPr="00505255">
        <w:rPr>
          <w:rFonts w:ascii="Times New Roman" w:hAnsi="Times New Roman"/>
          <w:sz w:val="22"/>
        </w:rPr>
        <w:t>, formált I-es típusú injekciós üvegben, szürke szín</w:t>
      </w:r>
      <w:r w:rsidRPr="00505255">
        <w:rPr>
          <w:rFonts w:ascii="Times New Roman" w:hAnsi="Times New Roman" w:hint="eastAsia"/>
          <w:sz w:val="22"/>
        </w:rPr>
        <w:t>ű</w:t>
      </w:r>
      <w:r w:rsidRPr="00505255">
        <w:rPr>
          <w:rFonts w:ascii="Times New Roman" w:hAnsi="Times New Roman"/>
          <w:sz w:val="22"/>
        </w:rPr>
        <w:t xml:space="preserve"> Westar szilikon klórbutil gumidugóval és lepattintható alumínium kupakkal lezárva.</w:t>
      </w:r>
    </w:p>
    <w:p w14:paraId="2D8FC924" w14:textId="77777777" w:rsidR="00DA1ABC" w:rsidRDefault="00DA1ABC" w:rsidP="00E377E6">
      <w:pPr>
        <w:rPr>
          <w:rFonts w:ascii="Times New Roman" w:hAnsi="Times New Roman"/>
          <w:color w:val="auto"/>
          <w:sz w:val="22"/>
        </w:rPr>
      </w:pPr>
    </w:p>
    <w:p w14:paraId="0E44F756" w14:textId="00243DDA" w:rsidR="00E377E6" w:rsidRPr="001916DA" w:rsidRDefault="00E377E6" w:rsidP="00E377E6">
      <w:pPr>
        <w:rPr>
          <w:rFonts w:ascii="Times New Roman" w:hAnsi="Times New Roman"/>
          <w:color w:val="auto"/>
          <w:sz w:val="22"/>
          <w:szCs w:val="22"/>
          <w:u w:val="single"/>
        </w:rPr>
      </w:pPr>
      <w:r>
        <w:rPr>
          <w:rFonts w:ascii="Times New Roman" w:hAnsi="Times New Roman"/>
          <w:color w:val="auto"/>
          <w:sz w:val="22"/>
        </w:rPr>
        <w:t>Egy csomagolási egységben 1 injekciós üveg van</w:t>
      </w:r>
      <w:r w:rsidR="00DA1ABC">
        <w:rPr>
          <w:rFonts w:ascii="Times New Roman" w:hAnsi="Times New Roman"/>
          <w:color w:val="auto"/>
          <w:sz w:val="22"/>
        </w:rPr>
        <w:t>.</w:t>
      </w:r>
    </w:p>
    <w:p w14:paraId="2B913D00" w14:textId="77777777" w:rsidR="00B04D3B" w:rsidRPr="001916DA" w:rsidRDefault="00B04D3B" w:rsidP="005E3CA1">
      <w:pPr>
        <w:rPr>
          <w:rFonts w:ascii="Times New Roman" w:hAnsi="Times New Roman"/>
          <w:color w:val="auto"/>
          <w:sz w:val="22"/>
          <w:szCs w:val="22"/>
          <w:lang w:val="en-GB"/>
        </w:rPr>
      </w:pPr>
    </w:p>
    <w:p w14:paraId="7DDDE191" w14:textId="77777777" w:rsidR="0037295D" w:rsidRPr="001916DA" w:rsidRDefault="0037295D" w:rsidP="005E3CA1">
      <w:pPr>
        <w:tabs>
          <w:tab w:val="left" w:pos="540"/>
        </w:tabs>
        <w:rPr>
          <w:rFonts w:ascii="Times New Roman" w:hAnsi="Times New Roman"/>
          <w:color w:val="auto"/>
          <w:sz w:val="22"/>
          <w:szCs w:val="22"/>
        </w:rPr>
      </w:pPr>
      <w:r>
        <w:rPr>
          <w:rFonts w:ascii="Times New Roman" w:hAnsi="Times New Roman"/>
          <w:b/>
          <w:color w:val="auto"/>
          <w:sz w:val="22"/>
        </w:rPr>
        <w:t>6.6</w:t>
      </w:r>
      <w:r>
        <w:rPr>
          <w:rFonts w:ascii="Times New Roman" w:hAnsi="Times New Roman"/>
          <w:b/>
          <w:color w:val="auto"/>
          <w:sz w:val="22"/>
        </w:rPr>
        <w:tab/>
      </w:r>
      <w:r>
        <w:rPr>
          <w:rFonts w:ascii="Times New Roman" w:hAnsi="Times New Roman"/>
          <w:b/>
          <w:sz w:val="22"/>
        </w:rPr>
        <w:t>A megsemmisítésre vonatkozó különleges óvintézkedések és egyéb, a készítmény kezelésével kapcsolatos információk</w:t>
      </w:r>
    </w:p>
    <w:p w14:paraId="44237D33" w14:textId="77777777" w:rsidR="0037295D" w:rsidRPr="001916DA" w:rsidRDefault="0037295D" w:rsidP="005E3CA1">
      <w:pPr>
        <w:rPr>
          <w:rFonts w:ascii="Times New Roman" w:hAnsi="Times New Roman"/>
          <w:color w:val="auto"/>
          <w:sz w:val="22"/>
          <w:szCs w:val="22"/>
          <w:lang w:val="en-GB"/>
        </w:rPr>
      </w:pPr>
    </w:p>
    <w:p w14:paraId="2086DB61" w14:textId="77777777" w:rsidR="00266927" w:rsidRPr="00C611C5" w:rsidRDefault="00831EAE" w:rsidP="005E3CA1">
      <w:pPr>
        <w:rPr>
          <w:rFonts w:ascii="Times New Roman" w:hAnsi="Times New Roman"/>
          <w:i/>
          <w:color w:val="auto"/>
          <w:sz w:val="22"/>
          <w:szCs w:val="22"/>
          <w:u w:val="single"/>
        </w:rPr>
      </w:pPr>
      <w:r>
        <w:rPr>
          <w:rFonts w:ascii="Times New Roman" w:hAnsi="Times New Roman"/>
          <w:i/>
          <w:color w:val="auto"/>
          <w:sz w:val="22"/>
          <w:u w:val="single"/>
        </w:rPr>
        <w:t>Általános óvintézkedések</w:t>
      </w:r>
    </w:p>
    <w:p w14:paraId="709AE783" w14:textId="43E71052" w:rsidR="00592073" w:rsidRPr="001916DA" w:rsidRDefault="00F75DED" w:rsidP="005E3CA1">
      <w:pPr>
        <w:rPr>
          <w:rFonts w:ascii="Times New Roman" w:hAnsi="Times New Roman"/>
          <w:color w:val="auto"/>
          <w:sz w:val="22"/>
          <w:szCs w:val="22"/>
        </w:rPr>
      </w:pPr>
      <w:r>
        <w:rPr>
          <w:rFonts w:ascii="Times New Roman" w:hAnsi="Times New Roman"/>
          <w:color w:val="auto"/>
          <w:sz w:val="22"/>
        </w:rPr>
        <w:t>Ha az injekciós üvegeket az ajánlottnál magasabb hőmérsékleten tárolják, a ciklofoszfamid hatóanyag megolvadhat. Az olvadt ciklofoszfamidot tartalmazó injekciós üvegek szemrevételezéssel azonosíthatók. A ciklofoszfamid fehér por. Az olvadt ciklofoszfamid áttetsző vagy sárgás, viszkózus folyadék (rendszerint cseppekben fordul elő az érintett injekciós üvegekben). Nem alkalmazhatók azok az injekciós üvegek, amelyek tartalma megolvadt.</w:t>
      </w:r>
    </w:p>
    <w:p w14:paraId="01B06D2D" w14:textId="77777777" w:rsidR="00592073" w:rsidRPr="001916DA" w:rsidRDefault="00592073" w:rsidP="005E3CA1">
      <w:pPr>
        <w:rPr>
          <w:rFonts w:ascii="Times New Roman" w:hAnsi="Times New Roman"/>
          <w:color w:val="auto"/>
          <w:sz w:val="22"/>
          <w:szCs w:val="22"/>
          <w:lang w:val="en-GB"/>
        </w:rPr>
      </w:pPr>
    </w:p>
    <w:p w14:paraId="3B81BB80" w14:textId="2F0B0AE3" w:rsidR="00AF5DDD" w:rsidRDefault="00106379" w:rsidP="005E3CA1">
      <w:pPr>
        <w:rPr>
          <w:rFonts w:ascii="Times New Roman" w:hAnsi="Times New Roman"/>
          <w:sz w:val="22"/>
          <w:szCs w:val="22"/>
          <w:shd w:val="clear" w:color="auto" w:fill="FFFFFF"/>
        </w:rPr>
      </w:pPr>
      <w:r>
        <w:rPr>
          <w:rFonts w:ascii="Times New Roman" w:hAnsi="Times New Roman"/>
          <w:color w:val="auto"/>
          <w:sz w:val="22"/>
        </w:rPr>
        <w:t xml:space="preserve">A ciklofoszfamid citosztatikus szer. </w:t>
      </w:r>
      <w:r>
        <w:rPr>
          <w:rFonts w:ascii="Times New Roman" w:hAnsi="Times New Roman"/>
          <w:sz w:val="22"/>
          <w:shd w:val="clear" w:color="auto" w:fill="FFFFFF"/>
        </w:rPr>
        <w:t xml:space="preserve">Ennélfogva a </w:t>
      </w:r>
      <w:r>
        <w:rPr>
          <w:rFonts w:ascii="Times New Roman" w:hAnsi="Times New Roman"/>
          <w:color w:val="auto"/>
          <w:sz w:val="22"/>
        </w:rPr>
        <w:t>Cyclophosphamide Accord</w:t>
      </w:r>
      <w:r>
        <w:rPr>
          <w:rFonts w:ascii="Times New Roman" w:hAnsi="Times New Roman"/>
          <w:sz w:val="22"/>
          <w:shd w:val="clear" w:color="auto" w:fill="FFFFFF"/>
        </w:rPr>
        <w:t xml:space="preserve"> feloldásakor és a vele való munka során be kell tartani a citosztatikumok kezelésére vonatkozó általános bizt</w:t>
      </w:r>
      <w:r w:rsidRPr="009351AF">
        <w:rPr>
          <w:rFonts w:ascii="Times New Roman" w:hAnsi="Times New Roman"/>
          <w:sz w:val="22"/>
          <w:shd w:val="clear" w:color="auto" w:fill="FFFFFF"/>
        </w:rPr>
        <w:t>onsági</w:t>
      </w:r>
      <w:r>
        <w:rPr>
          <w:rFonts w:ascii="Times New Roman" w:hAnsi="Times New Roman"/>
          <w:sz w:val="22"/>
          <w:shd w:val="clear" w:color="auto" w:fill="FFFFFF"/>
        </w:rPr>
        <w:t xml:space="preserve"> óvintézkedéseket. </w:t>
      </w:r>
    </w:p>
    <w:p w14:paraId="435BE295" w14:textId="77777777" w:rsidR="00D642D1" w:rsidRPr="00D642D1" w:rsidRDefault="00D642D1" w:rsidP="00D642D1">
      <w:pPr>
        <w:rPr>
          <w:rFonts w:ascii="Times New Roman" w:hAnsi="Times New Roman"/>
          <w:sz w:val="22"/>
          <w:szCs w:val="22"/>
          <w:shd w:val="clear" w:color="auto" w:fill="FFFFFF"/>
          <w:lang w:val="en-GB"/>
        </w:rPr>
      </w:pPr>
    </w:p>
    <w:p w14:paraId="200BBB8D" w14:textId="3710578E" w:rsidR="00D642D1" w:rsidRDefault="00D642D1" w:rsidP="00D642D1">
      <w:pPr>
        <w:rPr>
          <w:rFonts w:ascii="Times New Roman" w:hAnsi="Times New Roman"/>
          <w:sz w:val="22"/>
          <w:szCs w:val="22"/>
          <w:shd w:val="clear" w:color="auto" w:fill="FFFFFF"/>
        </w:rPr>
      </w:pPr>
      <w:r>
        <w:rPr>
          <w:rFonts w:ascii="Times New Roman" w:hAnsi="Times New Roman"/>
          <w:sz w:val="22"/>
          <w:shd w:val="clear" w:color="auto" w:fill="FFFFFF"/>
        </w:rPr>
        <w:t>A gyógyszerrel nem dolgozhat terhes vagy szoptató nő.</w:t>
      </w:r>
    </w:p>
    <w:p w14:paraId="3AFD201B" w14:textId="77777777" w:rsidR="00AF5DDD" w:rsidRDefault="00AF5DDD" w:rsidP="005E3CA1">
      <w:pPr>
        <w:rPr>
          <w:rFonts w:ascii="Times New Roman" w:hAnsi="Times New Roman"/>
          <w:sz w:val="22"/>
          <w:szCs w:val="22"/>
          <w:shd w:val="clear" w:color="auto" w:fill="FFFFFF"/>
          <w:lang w:val="en-GB"/>
        </w:rPr>
      </w:pPr>
    </w:p>
    <w:p w14:paraId="68591011" w14:textId="7B02F1A4" w:rsidR="0037295D" w:rsidRDefault="00AF5DDD" w:rsidP="005E3CA1">
      <w:pPr>
        <w:rPr>
          <w:rFonts w:ascii="Times New Roman" w:hAnsi="Times New Roman"/>
          <w:color w:val="auto"/>
          <w:sz w:val="22"/>
          <w:szCs w:val="22"/>
        </w:rPr>
      </w:pPr>
      <w:r>
        <w:rPr>
          <w:rFonts w:ascii="Times New Roman" w:hAnsi="Times New Roman"/>
          <w:color w:val="auto"/>
          <w:sz w:val="22"/>
        </w:rPr>
        <w:t>A feloldást lehetőleg lamináris levegőáramlású biztonsági fülkében kell elvégezni. A készítménnyel dolgozó személynek védőmaszkot és védőkesztyűt kell viselnie. Kiömlés esetén a területet alaposan le kell öblíteni vízzel.</w:t>
      </w:r>
    </w:p>
    <w:p w14:paraId="10CF3B27" w14:textId="77777777" w:rsidR="00D642D1" w:rsidRDefault="00D642D1" w:rsidP="005E3CA1">
      <w:pPr>
        <w:rPr>
          <w:rFonts w:ascii="Times New Roman" w:hAnsi="Times New Roman"/>
          <w:color w:val="auto"/>
          <w:sz w:val="22"/>
          <w:szCs w:val="22"/>
          <w:lang w:val="en-GB"/>
        </w:rPr>
      </w:pPr>
    </w:p>
    <w:p w14:paraId="5CD2D878" w14:textId="77777777" w:rsidR="00D642D1" w:rsidRPr="00D642D1" w:rsidRDefault="00D642D1" w:rsidP="00D642D1">
      <w:pPr>
        <w:rPr>
          <w:rFonts w:ascii="Times New Roman" w:hAnsi="Times New Roman"/>
          <w:color w:val="auto"/>
          <w:sz w:val="22"/>
          <w:szCs w:val="22"/>
        </w:rPr>
      </w:pPr>
      <w:r>
        <w:rPr>
          <w:rFonts w:ascii="Times New Roman" w:hAnsi="Times New Roman"/>
          <w:color w:val="auto"/>
          <w:sz w:val="22"/>
        </w:rPr>
        <w:t>Az oldószer injekciós üvegbe injektálásával rendellenesen nagy nyomás jön létre, amely megszűnik, amint a második steril tűt beleszúrja az injekciós üveg gumidugójába. A por könnyen oldódik, amikor erőteljesen összerázza az injekciós üveget, hogy átlátszó oldatot hozzon létre. Ha a por nem oldódik fel azonnal, javasolt néhány percig állni hagyni az oldatot.</w:t>
      </w:r>
    </w:p>
    <w:p w14:paraId="1FC74857" w14:textId="77777777" w:rsidR="00D642D1" w:rsidRPr="00D642D1" w:rsidRDefault="00D642D1" w:rsidP="00D642D1">
      <w:pPr>
        <w:rPr>
          <w:rFonts w:ascii="Times New Roman" w:hAnsi="Times New Roman"/>
          <w:color w:val="auto"/>
          <w:sz w:val="22"/>
          <w:szCs w:val="22"/>
          <w:lang w:val="en-GB"/>
        </w:rPr>
      </w:pPr>
    </w:p>
    <w:p w14:paraId="791D0488" w14:textId="3B2EF5CA" w:rsidR="00D642D1" w:rsidRPr="001916DA" w:rsidRDefault="00D642D1" w:rsidP="00D642D1">
      <w:pPr>
        <w:rPr>
          <w:rFonts w:ascii="Times New Roman" w:hAnsi="Times New Roman"/>
          <w:color w:val="auto"/>
          <w:sz w:val="22"/>
          <w:szCs w:val="22"/>
        </w:rPr>
      </w:pPr>
      <w:r>
        <w:rPr>
          <w:rFonts w:ascii="Times New Roman" w:hAnsi="Times New Roman"/>
          <w:color w:val="auto"/>
          <w:sz w:val="22"/>
        </w:rPr>
        <w:t>Az elkészített oldatot a lehető leghamarabb be kell adni.</w:t>
      </w:r>
    </w:p>
    <w:p w14:paraId="2A98B037" w14:textId="77777777" w:rsidR="008A7EE2" w:rsidRPr="001916DA" w:rsidRDefault="008A7EE2" w:rsidP="005E3CA1">
      <w:pPr>
        <w:rPr>
          <w:rFonts w:ascii="Times New Roman" w:hAnsi="Times New Roman"/>
          <w:color w:val="auto"/>
          <w:sz w:val="22"/>
          <w:szCs w:val="22"/>
          <w:lang w:val="en-GB"/>
        </w:rPr>
      </w:pPr>
    </w:p>
    <w:p w14:paraId="327B07AF" w14:textId="501CB669" w:rsidR="001E05EC" w:rsidRPr="00C611C5" w:rsidRDefault="001E05EC" w:rsidP="00354923">
      <w:pPr>
        <w:rPr>
          <w:rFonts w:ascii="Times New Roman" w:hAnsi="Times New Roman"/>
          <w:i/>
          <w:color w:val="auto"/>
          <w:sz w:val="22"/>
          <w:szCs w:val="22"/>
          <w:u w:val="single"/>
        </w:rPr>
      </w:pPr>
      <w:r>
        <w:rPr>
          <w:rFonts w:ascii="Times New Roman" w:hAnsi="Times New Roman"/>
          <w:i/>
          <w:color w:val="auto"/>
          <w:sz w:val="22"/>
          <w:u w:val="single"/>
        </w:rPr>
        <w:t>Por oldatos injekcióhoz/infúzióhoz</w:t>
      </w:r>
    </w:p>
    <w:p w14:paraId="61B02394" w14:textId="34E2A409" w:rsidR="00354923" w:rsidRDefault="00354923" w:rsidP="00354923">
      <w:pPr>
        <w:rPr>
          <w:rFonts w:ascii="Times New Roman" w:hAnsi="Times New Roman"/>
          <w:color w:val="auto"/>
          <w:sz w:val="22"/>
          <w:szCs w:val="22"/>
        </w:rPr>
      </w:pPr>
      <w:r>
        <w:rPr>
          <w:rFonts w:ascii="Times New Roman" w:hAnsi="Times New Roman"/>
          <w:color w:val="auto"/>
          <w:sz w:val="22"/>
        </w:rPr>
        <w:t>A ciklofoszfamid minden 100 mg-ja után 5 ml oldószert kell hozzáadni a feloldáshoz.</w:t>
      </w:r>
    </w:p>
    <w:p w14:paraId="1E21D7CF" w14:textId="77777777" w:rsidR="00354923" w:rsidRPr="00354923" w:rsidRDefault="00354923" w:rsidP="00354923">
      <w:pPr>
        <w:rPr>
          <w:rFonts w:ascii="Times New Roman" w:hAnsi="Times New Roman"/>
          <w:color w:val="auto"/>
          <w:sz w:val="22"/>
          <w:szCs w:val="22"/>
          <w:lang w:val="en-GB"/>
        </w:rPr>
      </w:pPr>
    </w:p>
    <w:p w14:paraId="77D46293" w14:textId="77777777" w:rsidR="00B14D6B" w:rsidRPr="00C611C5" w:rsidRDefault="00B14D6B" w:rsidP="00354923">
      <w:pPr>
        <w:rPr>
          <w:rFonts w:ascii="Times New Roman" w:hAnsi="Times New Roman"/>
          <w:i/>
          <w:color w:val="auto"/>
          <w:sz w:val="22"/>
          <w:szCs w:val="22"/>
          <w:u w:val="single"/>
        </w:rPr>
      </w:pPr>
      <w:r>
        <w:rPr>
          <w:rFonts w:ascii="Times New Roman" w:hAnsi="Times New Roman"/>
          <w:i/>
          <w:color w:val="auto"/>
          <w:sz w:val="22"/>
          <w:u w:val="single"/>
        </w:rPr>
        <w:t>Közvetlen intravénás injekcióhoz</w:t>
      </w:r>
    </w:p>
    <w:p w14:paraId="000FDD63" w14:textId="1C87C113" w:rsidR="00826BB3" w:rsidRDefault="00826BB3" w:rsidP="00826BB3">
      <w:pPr>
        <w:rPr>
          <w:rFonts w:ascii="Times New Roman" w:hAnsi="Times New Roman"/>
          <w:color w:val="auto"/>
          <w:sz w:val="22"/>
          <w:szCs w:val="22"/>
        </w:rPr>
      </w:pPr>
      <w:r>
        <w:rPr>
          <w:rFonts w:ascii="Times New Roman" w:hAnsi="Times New Roman"/>
          <w:color w:val="auto"/>
          <w:sz w:val="22"/>
        </w:rPr>
        <w:t xml:space="preserve">A ciklofoszfamidot kizárólag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xml:space="preserve"> nátrium-klorid oldatos injekcióval készítse el az alábbi </w:t>
      </w:r>
      <w:r w:rsidR="00841D6B">
        <w:rPr>
          <w:rFonts w:ascii="Times New Roman" w:hAnsi="Times New Roman"/>
          <w:color w:val="auto"/>
          <w:sz w:val="22"/>
        </w:rPr>
        <w:t>1</w:t>
      </w:r>
      <w:r>
        <w:rPr>
          <w:rFonts w:ascii="Times New Roman" w:hAnsi="Times New Roman"/>
          <w:color w:val="auto"/>
          <w:sz w:val="22"/>
        </w:rPr>
        <w:t>. táblázatban szereplő térfogatok felhasználásával. Finoman lötyögtesse körbe a folyadékot az injekciós üvegben, amíg a gyógyszer teljesen fel nem oldódik. Ne használjon steril injekcióhoz való vizet, ez ugyanis hipotóniás oldatot eredményez, amelyet nem szabad közvetlenül beadni.</w:t>
      </w:r>
    </w:p>
    <w:p w14:paraId="0802E41E" w14:textId="77777777" w:rsidR="000718ED" w:rsidRDefault="000718ED" w:rsidP="00826BB3">
      <w:pPr>
        <w:rPr>
          <w:rFonts w:ascii="Times New Roman" w:hAnsi="Times New Roman"/>
          <w:color w:val="auto"/>
          <w:sz w:val="22"/>
          <w:szCs w:val="22"/>
          <w:lang w:val="en-GB"/>
        </w:rPr>
      </w:pPr>
    </w:p>
    <w:tbl>
      <w:tblPr>
        <w:tblStyle w:val="Rcsostblzat"/>
        <w:tblW w:w="0" w:type="auto"/>
        <w:tblLook w:val="04A0" w:firstRow="1" w:lastRow="0" w:firstColumn="1" w:lastColumn="0" w:noHBand="0" w:noVBand="1"/>
      </w:tblPr>
      <w:tblGrid>
        <w:gridCol w:w="3209"/>
        <w:gridCol w:w="3210"/>
        <w:gridCol w:w="3210"/>
      </w:tblGrid>
      <w:tr w:rsidR="000718ED" w14:paraId="18DA412C" w14:textId="77777777" w:rsidTr="000718ED">
        <w:tc>
          <w:tcPr>
            <w:tcW w:w="9629" w:type="dxa"/>
            <w:gridSpan w:val="3"/>
          </w:tcPr>
          <w:p w14:paraId="45F66700" w14:textId="1F06B033" w:rsidR="000718ED" w:rsidRDefault="00841D6B" w:rsidP="00C611C5">
            <w:pPr>
              <w:jc w:val="center"/>
              <w:rPr>
                <w:rFonts w:ascii="Times New Roman" w:hAnsi="Times New Roman"/>
                <w:color w:val="auto"/>
                <w:sz w:val="22"/>
                <w:szCs w:val="22"/>
              </w:rPr>
            </w:pPr>
            <w:r>
              <w:rPr>
                <w:rFonts w:ascii="Times New Roman" w:hAnsi="Times New Roman"/>
                <w:color w:val="auto"/>
                <w:sz w:val="22"/>
              </w:rPr>
              <w:t>1</w:t>
            </w:r>
            <w:r w:rsidR="000718ED">
              <w:rPr>
                <w:rFonts w:ascii="Times New Roman" w:hAnsi="Times New Roman"/>
                <w:color w:val="auto"/>
                <w:sz w:val="22"/>
              </w:rPr>
              <w:t>. táblázat: Feloldás közvetlen intravénás injekcióhoz</w:t>
            </w:r>
          </w:p>
        </w:tc>
      </w:tr>
      <w:tr w:rsidR="00826BB3" w14:paraId="6C301DE8" w14:textId="77777777" w:rsidTr="00C611C5">
        <w:tc>
          <w:tcPr>
            <w:tcW w:w="3209" w:type="dxa"/>
            <w:vAlign w:val="center"/>
          </w:tcPr>
          <w:p w14:paraId="078D6BA0" w14:textId="2242BE9E" w:rsidR="00826BB3" w:rsidRDefault="00826BB3" w:rsidP="00C611C5">
            <w:pPr>
              <w:jc w:val="center"/>
              <w:rPr>
                <w:rFonts w:ascii="Times New Roman" w:hAnsi="Times New Roman"/>
                <w:color w:val="auto"/>
                <w:sz w:val="22"/>
                <w:szCs w:val="22"/>
              </w:rPr>
            </w:pPr>
            <w:r>
              <w:rPr>
                <w:rFonts w:ascii="Times New Roman" w:hAnsi="Times New Roman"/>
                <w:color w:val="auto"/>
                <w:sz w:val="22"/>
              </w:rPr>
              <w:t>Hatáserősség</w:t>
            </w:r>
          </w:p>
        </w:tc>
        <w:tc>
          <w:tcPr>
            <w:tcW w:w="3210" w:type="dxa"/>
            <w:vAlign w:val="center"/>
          </w:tcPr>
          <w:p w14:paraId="7415E753" w14:textId="77777777" w:rsidR="00826BB3" w:rsidRDefault="00826BB3" w:rsidP="00C611C5">
            <w:pPr>
              <w:jc w:val="center"/>
              <w:rPr>
                <w:rFonts w:ascii="Times New Roman" w:hAnsi="Times New Roman"/>
                <w:color w:val="auto"/>
                <w:sz w:val="22"/>
                <w:szCs w:val="22"/>
              </w:rPr>
            </w:pPr>
            <w:r>
              <w:rPr>
                <w:rFonts w:ascii="Times New Roman" w:hAnsi="Times New Roman"/>
                <w:color w:val="auto"/>
                <w:sz w:val="22"/>
              </w:rPr>
              <w:t xml:space="preserve">Térfogat: </w:t>
            </w:r>
          </w:p>
          <w:p w14:paraId="57669FB5" w14:textId="55AD5FEF" w:rsidR="00826BB3" w:rsidRDefault="00841D6B" w:rsidP="00C611C5">
            <w:pPr>
              <w:jc w:val="center"/>
              <w:rPr>
                <w:rFonts w:ascii="Times New Roman" w:hAnsi="Times New Roman"/>
                <w:color w:val="auto"/>
                <w:sz w:val="22"/>
                <w:szCs w:val="22"/>
              </w:rPr>
            </w:pPr>
            <w:r>
              <w:rPr>
                <w:rFonts w:ascii="Times New Roman" w:hAnsi="Times New Roman"/>
                <w:color w:val="auto"/>
                <w:sz w:val="22"/>
              </w:rPr>
              <w:t>9 mg/ml-es (</w:t>
            </w:r>
            <w:r w:rsidR="00826BB3">
              <w:rPr>
                <w:rFonts w:ascii="Times New Roman" w:hAnsi="Times New Roman"/>
                <w:color w:val="auto"/>
                <w:sz w:val="22"/>
              </w:rPr>
              <w:t>0,9%-os</w:t>
            </w:r>
            <w:r>
              <w:rPr>
                <w:rFonts w:ascii="Times New Roman" w:hAnsi="Times New Roman"/>
                <w:color w:val="auto"/>
                <w:sz w:val="22"/>
              </w:rPr>
              <w:t>)</w:t>
            </w:r>
            <w:r w:rsidR="00826BB3">
              <w:rPr>
                <w:rFonts w:ascii="Times New Roman" w:hAnsi="Times New Roman"/>
                <w:color w:val="auto"/>
                <w:sz w:val="22"/>
              </w:rPr>
              <w:t xml:space="preserve"> nátrium-</w:t>
            </w:r>
            <w:r w:rsidR="00C73196" w:rsidRPr="009351AF">
              <w:rPr>
                <w:rFonts w:ascii="Times New Roman" w:hAnsi="Times New Roman"/>
                <w:color w:val="auto"/>
                <w:sz w:val="22"/>
              </w:rPr>
              <w:t>k</w:t>
            </w:r>
            <w:r w:rsidR="00826BB3" w:rsidRPr="009351AF">
              <w:rPr>
                <w:rFonts w:ascii="Times New Roman" w:hAnsi="Times New Roman"/>
                <w:color w:val="auto"/>
                <w:sz w:val="22"/>
              </w:rPr>
              <w:t>lo</w:t>
            </w:r>
            <w:r w:rsidR="00826BB3">
              <w:rPr>
                <w:rFonts w:ascii="Times New Roman" w:hAnsi="Times New Roman"/>
                <w:color w:val="auto"/>
                <w:sz w:val="22"/>
              </w:rPr>
              <w:t>rid</w:t>
            </w:r>
          </w:p>
        </w:tc>
        <w:tc>
          <w:tcPr>
            <w:tcW w:w="3210" w:type="dxa"/>
            <w:vAlign w:val="center"/>
          </w:tcPr>
          <w:p w14:paraId="1709C0A4" w14:textId="4F85AC30" w:rsidR="00826BB3" w:rsidRDefault="00826BB3" w:rsidP="00C611C5">
            <w:pPr>
              <w:jc w:val="center"/>
              <w:rPr>
                <w:rFonts w:ascii="Times New Roman" w:hAnsi="Times New Roman"/>
                <w:color w:val="auto"/>
                <w:sz w:val="22"/>
                <w:szCs w:val="22"/>
              </w:rPr>
            </w:pPr>
            <w:r>
              <w:rPr>
                <w:rFonts w:ascii="Times New Roman" w:hAnsi="Times New Roman"/>
                <w:color w:val="auto"/>
                <w:sz w:val="22"/>
              </w:rPr>
              <w:t>A ciklofoszfamid koncentrációja</w:t>
            </w:r>
          </w:p>
        </w:tc>
      </w:tr>
      <w:tr w:rsidR="00826BB3" w14:paraId="5307B490" w14:textId="77777777" w:rsidTr="00C611C5">
        <w:tc>
          <w:tcPr>
            <w:tcW w:w="3209" w:type="dxa"/>
            <w:vAlign w:val="center"/>
          </w:tcPr>
          <w:p w14:paraId="0CF82E51" w14:textId="562B95A9" w:rsidR="00826BB3" w:rsidRDefault="00826BB3" w:rsidP="00C611C5">
            <w:pPr>
              <w:jc w:val="center"/>
              <w:rPr>
                <w:rFonts w:ascii="Times New Roman" w:hAnsi="Times New Roman"/>
                <w:color w:val="auto"/>
                <w:sz w:val="22"/>
                <w:szCs w:val="22"/>
              </w:rPr>
            </w:pPr>
            <w:r>
              <w:rPr>
                <w:rFonts w:ascii="Times New Roman" w:hAnsi="Times New Roman"/>
                <w:color w:val="auto"/>
                <w:sz w:val="22"/>
              </w:rPr>
              <w:t>500 mg</w:t>
            </w:r>
          </w:p>
        </w:tc>
        <w:tc>
          <w:tcPr>
            <w:tcW w:w="3210" w:type="dxa"/>
            <w:vAlign w:val="center"/>
          </w:tcPr>
          <w:p w14:paraId="28159598" w14:textId="26A999A1" w:rsidR="00826BB3" w:rsidRDefault="00826BB3" w:rsidP="00C611C5">
            <w:pPr>
              <w:jc w:val="center"/>
              <w:rPr>
                <w:rFonts w:ascii="Times New Roman" w:hAnsi="Times New Roman"/>
                <w:color w:val="auto"/>
                <w:sz w:val="22"/>
                <w:szCs w:val="22"/>
              </w:rPr>
            </w:pPr>
            <w:r>
              <w:rPr>
                <w:rFonts w:ascii="Times New Roman" w:hAnsi="Times New Roman"/>
                <w:color w:val="auto"/>
                <w:sz w:val="22"/>
              </w:rPr>
              <w:t>25 ml</w:t>
            </w:r>
          </w:p>
        </w:tc>
        <w:tc>
          <w:tcPr>
            <w:tcW w:w="3210" w:type="dxa"/>
            <w:vMerge w:val="restart"/>
            <w:vAlign w:val="center"/>
          </w:tcPr>
          <w:p w14:paraId="5F18BC96" w14:textId="7F90ED22" w:rsidR="00826BB3" w:rsidRDefault="00826BB3" w:rsidP="00C611C5">
            <w:pPr>
              <w:jc w:val="center"/>
              <w:rPr>
                <w:rFonts w:ascii="Times New Roman" w:hAnsi="Times New Roman"/>
                <w:color w:val="auto"/>
                <w:sz w:val="22"/>
                <w:szCs w:val="22"/>
              </w:rPr>
            </w:pPr>
            <w:r>
              <w:rPr>
                <w:rFonts w:ascii="Times New Roman" w:hAnsi="Times New Roman"/>
                <w:color w:val="auto"/>
                <w:sz w:val="22"/>
              </w:rPr>
              <w:t>20 mg/ml</w:t>
            </w:r>
          </w:p>
        </w:tc>
      </w:tr>
      <w:tr w:rsidR="00826BB3" w14:paraId="25D38CB9" w14:textId="77777777" w:rsidTr="00C611C5">
        <w:trPr>
          <w:trHeight w:val="263"/>
        </w:trPr>
        <w:tc>
          <w:tcPr>
            <w:tcW w:w="3209" w:type="dxa"/>
            <w:tcBorders>
              <w:bottom w:val="single" w:sz="4" w:space="0" w:color="auto"/>
            </w:tcBorders>
            <w:vAlign w:val="center"/>
          </w:tcPr>
          <w:p w14:paraId="69A6CBA1" w14:textId="611967A2" w:rsidR="00826BB3" w:rsidRDefault="00826BB3" w:rsidP="00C611C5">
            <w:pPr>
              <w:jc w:val="center"/>
              <w:rPr>
                <w:rFonts w:ascii="Times New Roman" w:hAnsi="Times New Roman"/>
                <w:color w:val="auto"/>
                <w:sz w:val="22"/>
                <w:szCs w:val="22"/>
              </w:rPr>
            </w:pPr>
            <w:r>
              <w:rPr>
                <w:rFonts w:ascii="Times New Roman" w:hAnsi="Times New Roman"/>
                <w:color w:val="auto"/>
                <w:sz w:val="22"/>
              </w:rPr>
              <w:t>1000 mg</w:t>
            </w:r>
          </w:p>
        </w:tc>
        <w:tc>
          <w:tcPr>
            <w:tcW w:w="3210" w:type="dxa"/>
            <w:tcBorders>
              <w:bottom w:val="single" w:sz="4" w:space="0" w:color="auto"/>
            </w:tcBorders>
            <w:vAlign w:val="center"/>
          </w:tcPr>
          <w:p w14:paraId="3EDEDF17" w14:textId="53777EEB" w:rsidR="00826BB3" w:rsidRDefault="00826BB3" w:rsidP="00C611C5">
            <w:pPr>
              <w:jc w:val="center"/>
              <w:rPr>
                <w:rFonts w:ascii="Times New Roman" w:hAnsi="Times New Roman"/>
                <w:color w:val="auto"/>
                <w:sz w:val="22"/>
                <w:szCs w:val="22"/>
              </w:rPr>
            </w:pPr>
            <w:r>
              <w:rPr>
                <w:rFonts w:ascii="Times New Roman" w:hAnsi="Times New Roman"/>
                <w:color w:val="auto"/>
                <w:sz w:val="22"/>
              </w:rPr>
              <w:t>50 ml</w:t>
            </w:r>
          </w:p>
        </w:tc>
        <w:tc>
          <w:tcPr>
            <w:tcW w:w="3210" w:type="dxa"/>
            <w:vMerge/>
            <w:tcBorders>
              <w:bottom w:val="single" w:sz="4" w:space="0" w:color="auto"/>
            </w:tcBorders>
            <w:vAlign w:val="center"/>
          </w:tcPr>
          <w:p w14:paraId="07215C03" w14:textId="77777777" w:rsidR="00826BB3" w:rsidRDefault="00826BB3" w:rsidP="00C611C5">
            <w:pPr>
              <w:jc w:val="center"/>
              <w:rPr>
                <w:rFonts w:ascii="Times New Roman" w:hAnsi="Times New Roman"/>
                <w:color w:val="auto"/>
                <w:sz w:val="22"/>
                <w:szCs w:val="22"/>
                <w:lang w:val="en-GB"/>
              </w:rPr>
            </w:pPr>
          </w:p>
        </w:tc>
      </w:tr>
    </w:tbl>
    <w:p w14:paraId="2F5C2AA9" w14:textId="77777777" w:rsidR="00826BB3" w:rsidRDefault="00826BB3" w:rsidP="00826BB3">
      <w:pPr>
        <w:rPr>
          <w:rFonts w:ascii="Times New Roman" w:hAnsi="Times New Roman"/>
          <w:color w:val="auto"/>
          <w:sz w:val="22"/>
          <w:szCs w:val="22"/>
          <w:lang w:val="en-GB"/>
        </w:rPr>
      </w:pPr>
    </w:p>
    <w:p w14:paraId="2ADF9335" w14:textId="154C33B1" w:rsidR="00826BB3" w:rsidRPr="00C611C5" w:rsidRDefault="00037C48" w:rsidP="00826BB3">
      <w:pPr>
        <w:rPr>
          <w:rFonts w:ascii="Times New Roman" w:hAnsi="Times New Roman"/>
          <w:i/>
          <w:color w:val="auto"/>
          <w:sz w:val="22"/>
          <w:szCs w:val="22"/>
          <w:u w:val="single"/>
        </w:rPr>
      </w:pPr>
      <w:r>
        <w:rPr>
          <w:rFonts w:ascii="Times New Roman" w:hAnsi="Times New Roman"/>
          <w:i/>
          <w:color w:val="auto"/>
          <w:sz w:val="22"/>
          <w:u w:val="single"/>
        </w:rPr>
        <w:t>Intravénás infúzióhoz</w:t>
      </w:r>
    </w:p>
    <w:p w14:paraId="2767CB91" w14:textId="5EA25424" w:rsidR="00037C48" w:rsidRDefault="00037C48" w:rsidP="00037C48">
      <w:pPr>
        <w:rPr>
          <w:rFonts w:ascii="Times New Roman" w:hAnsi="Times New Roman"/>
          <w:color w:val="auto"/>
          <w:sz w:val="22"/>
          <w:szCs w:val="22"/>
        </w:rPr>
      </w:pPr>
      <w:r>
        <w:rPr>
          <w:rFonts w:ascii="Times New Roman" w:hAnsi="Times New Roman"/>
          <w:color w:val="auto"/>
          <w:sz w:val="22"/>
        </w:rPr>
        <w:t xml:space="preserve">A ciklofoszfamidot </w:t>
      </w:r>
      <w:r w:rsidR="00841D6B">
        <w:rPr>
          <w:rFonts w:ascii="Times New Roman" w:hAnsi="Times New Roman"/>
          <w:color w:val="auto"/>
          <w:sz w:val="22"/>
        </w:rPr>
        <w:t>9 mg/ml-es (</w:t>
      </w:r>
      <w:r>
        <w:rPr>
          <w:rFonts w:ascii="Times New Roman" w:hAnsi="Times New Roman"/>
          <w:color w:val="auto"/>
          <w:sz w:val="22"/>
        </w:rPr>
        <w:t>0,9%-os</w:t>
      </w:r>
      <w:r w:rsidR="00841D6B">
        <w:rPr>
          <w:rFonts w:ascii="Times New Roman" w:hAnsi="Times New Roman"/>
          <w:color w:val="auto"/>
          <w:sz w:val="22"/>
        </w:rPr>
        <w:t>)</w:t>
      </w:r>
      <w:r>
        <w:rPr>
          <w:rFonts w:ascii="Times New Roman" w:hAnsi="Times New Roman"/>
          <w:color w:val="auto"/>
          <w:sz w:val="22"/>
        </w:rPr>
        <w:t xml:space="preserve"> nátrium-klorid oldatos injekcióval vagy steril injekcióhoz való vízzel készítse el, az oldószer alábbi </w:t>
      </w:r>
      <w:r w:rsidR="00841D6B">
        <w:rPr>
          <w:rFonts w:ascii="Times New Roman" w:hAnsi="Times New Roman"/>
          <w:color w:val="auto"/>
          <w:sz w:val="22"/>
        </w:rPr>
        <w:t>2</w:t>
      </w:r>
      <w:r>
        <w:rPr>
          <w:rFonts w:ascii="Times New Roman" w:hAnsi="Times New Roman"/>
          <w:color w:val="auto"/>
          <w:sz w:val="22"/>
        </w:rPr>
        <w:t>. táblázatban szereplő térfogatának felhasználásával. Adja hozzá az oldószert az injekciós üveghez, majd finoman lötyögtesse körbe az oldószert, amíg a gyógyszer teljesen fel nem oldódik.</w:t>
      </w:r>
    </w:p>
    <w:p w14:paraId="5E1F1C23" w14:textId="77777777" w:rsidR="00826BB3" w:rsidRDefault="00826BB3" w:rsidP="00826BB3">
      <w:pPr>
        <w:rPr>
          <w:rFonts w:ascii="Times New Roman" w:hAnsi="Times New Roman"/>
          <w:color w:val="auto"/>
          <w:sz w:val="22"/>
          <w:szCs w:val="22"/>
          <w:lang w:val="en-GB"/>
        </w:rPr>
      </w:pPr>
    </w:p>
    <w:tbl>
      <w:tblPr>
        <w:tblStyle w:val="Rcsostblzat"/>
        <w:tblW w:w="0" w:type="auto"/>
        <w:tblLook w:val="04A0" w:firstRow="1" w:lastRow="0" w:firstColumn="1" w:lastColumn="0" w:noHBand="0" w:noVBand="1"/>
      </w:tblPr>
      <w:tblGrid>
        <w:gridCol w:w="3209"/>
        <w:gridCol w:w="3210"/>
        <w:gridCol w:w="3210"/>
      </w:tblGrid>
      <w:tr w:rsidR="00D809FF" w14:paraId="5E3954CD" w14:textId="77777777" w:rsidTr="00D809FF">
        <w:tc>
          <w:tcPr>
            <w:tcW w:w="9629" w:type="dxa"/>
            <w:gridSpan w:val="3"/>
          </w:tcPr>
          <w:p w14:paraId="4193CD57" w14:textId="1482CB16" w:rsidR="00D809FF" w:rsidRDefault="00841D6B" w:rsidP="00C611C5">
            <w:pPr>
              <w:jc w:val="center"/>
              <w:rPr>
                <w:rFonts w:ascii="Times New Roman" w:hAnsi="Times New Roman"/>
                <w:color w:val="auto"/>
                <w:sz w:val="22"/>
                <w:szCs w:val="22"/>
              </w:rPr>
            </w:pPr>
            <w:r>
              <w:rPr>
                <w:rFonts w:ascii="Times New Roman" w:hAnsi="Times New Roman"/>
                <w:color w:val="auto"/>
                <w:sz w:val="22"/>
              </w:rPr>
              <w:t>2</w:t>
            </w:r>
            <w:r w:rsidR="00D809FF">
              <w:rPr>
                <w:rFonts w:ascii="Times New Roman" w:hAnsi="Times New Roman"/>
                <w:color w:val="auto"/>
                <w:sz w:val="22"/>
              </w:rPr>
              <w:t>. táblázat: Feloldás intravénás infúzió elkészítéséhez</w:t>
            </w:r>
          </w:p>
        </w:tc>
      </w:tr>
      <w:tr w:rsidR="0077566D" w14:paraId="79A3D077" w14:textId="77777777" w:rsidTr="00786889">
        <w:tc>
          <w:tcPr>
            <w:tcW w:w="3209" w:type="dxa"/>
            <w:vAlign w:val="center"/>
          </w:tcPr>
          <w:p w14:paraId="5B9C633A"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Hatáserősség</w:t>
            </w:r>
          </w:p>
        </w:tc>
        <w:tc>
          <w:tcPr>
            <w:tcW w:w="3210" w:type="dxa"/>
            <w:vAlign w:val="center"/>
          </w:tcPr>
          <w:p w14:paraId="6819EE61" w14:textId="138928F1" w:rsidR="0077566D" w:rsidRDefault="0077566D">
            <w:pPr>
              <w:jc w:val="center"/>
              <w:rPr>
                <w:rFonts w:ascii="Times New Roman" w:hAnsi="Times New Roman"/>
                <w:color w:val="auto"/>
                <w:sz w:val="22"/>
                <w:szCs w:val="22"/>
              </w:rPr>
            </w:pPr>
            <w:r>
              <w:rPr>
                <w:rFonts w:ascii="Times New Roman" w:hAnsi="Times New Roman"/>
                <w:color w:val="auto"/>
                <w:sz w:val="22"/>
              </w:rPr>
              <w:t>Oldószer térfogata</w:t>
            </w:r>
          </w:p>
        </w:tc>
        <w:tc>
          <w:tcPr>
            <w:tcW w:w="3210" w:type="dxa"/>
            <w:vAlign w:val="center"/>
          </w:tcPr>
          <w:p w14:paraId="45DAE584"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A ciklofoszfamid koncentrációja</w:t>
            </w:r>
          </w:p>
        </w:tc>
      </w:tr>
      <w:tr w:rsidR="0077566D" w14:paraId="408F68E1" w14:textId="77777777" w:rsidTr="00786889">
        <w:tc>
          <w:tcPr>
            <w:tcW w:w="3209" w:type="dxa"/>
            <w:vAlign w:val="center"/>
          </w:tcPr>
          <w:p w14:paraId="1C816B6E"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500 mg</w:t>
            </w:r>
          </w:p>
        </w:tc>
        <w:tc>
          <w:tcPr>
            <w:tcW w:w="3210" w:type="dxa"/>
            <w:vAlign w:val="center"/>
          </w:tcPr>
          <w:p w14:paraId="2C031ABA"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25 ml</w:t>
            </w:r>
          </w:p>
        </w:tc>
        <w:tc>
          <w:tcPr>
            <w:tcW w:w="3210" w:type="dxa"/>
            <w:vMerge w:val="restart"/>
            <w:vAlign w:val="center"/>
          </w:tcPr>
          <w:p w14:paraId="0E251B27"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20 mg/ml</w:t>
            </w:r>
          </w:p>
        </w:tc>
      </w:tr>
      <w:tr w:rsidR="0077566D" w14:paraId="0D558A84" w14:textId="77777777" w:rsidTr="00786889">
        <w:trPr>
          <w:trHeight w:val="263"/>
        </w:trPr>
        <w:tc>
          <w:tcPr>
            <w:tcW w:w="3209" w:type="dxa"/>
            <w:tcBorders>
              <w:bottom w:val="single" w:sz="4" w:space="0" w:color="auto"/>
            </w:tcBorders>
            <w:vAlign w:val="center"/>
          </w:tcPr>
          <w:p w14:paraId="58B7650A"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1000 mg</w:t>
            </w:r>
          </w:p>
        </w:tc>
        <w:tc>
          <w:tcPr>
            <w:tcW w:w="3210" w:type="dxa"/>
            <w:tcBorders>
              <w:bottom w:val="single" w:sz="4" w:space="0" w:color="auto"/>
            </w:tcBorders>
            <w:vAlign w:val="center"/>
          </w:tcPr>
          <w:p w14:paraId="0EAC20A7" w14:textId="77777777" w:rsidR="0077566D" w:rsidRDefault="0077566D" w:rsidP="00786889">
            <w:pPr>
              <w:jc w:val="center"/>
              <w:rPr>
                <w:rFonts w:ascii="Times New Roman" w:hAnsi="Times New Roman"/>
                <w:color w:val="auto"/>
                <w:sz w:val="22"/>
                <w:szCs w:val="22"/>
              </w:rPr>
            </w:pPr>
            <w:r>
              <w:rPr>
                <w:rFonts w:ascii="Times New Roman" w:hAnsi="Times New Roman"/>
                <w:color w:val="auto"/>
                <w:sz w:val="22"/>
              </w:rPr>
              <w:t>50 ml</w:t>
            </w:r>
          </w:p>
        </w:tc>
        <w:tc>
          <w:tcPr>
            <w:tcW w:w="3210" w:type="dxa"/>
            <w:vMerge/>
            <w:tcBorders>
              <w:bottom w:val="single" w:sz="4" w:space="0" w:color="auto"/>
            </w:tcBorders>
            <w:vAlign w:val="center"/>
          </w:tcPr>
          <w:p w14:paraId="7C6D6F58" w14:textId="77777777" w:rsidR="0077566D" w:rsidRDefault="0077566D" w:rsidP="00786889">
            <w:pPr>
              <w:jc w:val="center"/>
              <w:rPr>
                <w:rFonts w:ascii="Times New Roman" w:hAnsi="Times New Roman"/>
                <w:color w:val="auto"/>
                <w:sz w:val="22"/>
                <w:szCs w:val="22"/>
                <w:lang w:val="en-GB"/>
              </w:rPr>
            </w:pPr>
          </w:p>
        </w:tc>
      </w:tr>
    </w:tbl>
    <w:p w14:paraId="6A875A48" w14:textId="77777777" w:rsidR="00826BB3" w:rsidRPr="00826BB3" w:rsidRDefault="00826BB3" w:rsidP="00826BB3">
      <w:pPr>
        <w:rPr>
          <w:rFonts w:ascii="Times New Roman" w:hAnsi="Times New Roman"/>
          <w:color w:val="auto"/>
          <w:sz w:val="22"/>
          <w:szCs w:val="22"/>
          <w:lang w:val="en-GB"/>
        </w:rPr>
      </w:pPr>
    </w:p>
    <w:p w14:paraId="649B5184" w14:textId="49B8D9D8" w:rsidR="00BB2CE2" w:rsidRPr="00C611C5" w:rsidRDefault="00BB2CE2" w:rsidP="00BB2CE2">
      <w:pPr>
        <w:rPr>
          <w:rFonts w:ascii="Times New Roman" w:hAnsi="Times New Roman"/>
          <w:i/>
          <w:color w:val="auto"/>
          <w:sz w:val="22"/>
          <w:szCs w:val="22"/>
          <w:u w:val="single"/>
        </w:rPr>
      </w:pPr>
      <w:r>
        <w:rPr>
          <w:rFonts w:ascii="Times New Roman" w:hAnsi="Times New Roman"/>
          <w:i/>
          <w:color w:val="auto"/>
          <w:sz w:val="22"/>
          <w:u w:val="single"/>
        </w:rPr>
        <w:t>A feloldott ciklofoszfamid hígítása</w:t>
      </w:r>
    </w:p>
    <w:p w14:paraId="56A34CAD" w14:textId="1CD3181A" w:rsidR="00BB2CE2" w:rsidRDefault="00BB2CE2" w:rsidP="00BB2CE2">
      <w:pPr>
        <w:rPr>
          <w:rFonts w:ascii="Times New Roman" w:hAnsi="Times New Roman"/>
          <w:color w:val="auto"/>
          <w:sz w:val="22"/>
          <w:szCs w:val="22"/>
        </w:rPr>
      </w:pPr>
      <w:r>
        <w:rPr>
          <w:rFonts w:ascii="Times New Roman" w:hAnsi="Times New Roman"/>
          <w:color w:val="auto"/>
          <w:sz w:val="22"/>
        </w:rPr>
        <w:t>Hígítsa tovább az elkészített ciklofoszfamid-oldatot a minimális 2 mg/ml koncentrációra a következő oldószerek egyikével:</w:t>
      </w:r>
    </w:p>
    <w:p w14:paraId="7D88B5AC" w14:textId="77777777" w:rsidR="00F96DB8" w:rsidRDefault="00F96DB8" w:rsidP="00BB2CE2">
      <w:pPr>
        <w:rPr>
          <w:rFonts w:ascii="Times New Roman" w:hAnsi="Times New Roman"/>
          <w:color w:val="auto"/>
          <w:sz w:val="22"/>
          <w:szCs w:val="22"/>
          <w:lang w:val="en-GB"/>
        </w:rPr>
      </w:pPr>
    </w:p>
    <w:p w14:paraId="115D3372" w14:textId="78B5D4F1" w:rsidR="00F96DB8" w:rsidRPr="00C611C5" w:rsidRDefault="00841D6B" w:rsidP="00C611C5">
      <w:pPr>
        <w:pStyle w:val="Listaszerbekezds"/>
        <w:numPr>
          <w:ilvl w:val="0"/>
          <w:numId w:val="38"/>
        </w:numPr>
        <w:rPr>
          <w:rFonts w:ascii="Times New Roman" w:hAnsi="Times New Roman"/>
          <w:color w:val="auto"/>
          <w:sz w:val="22"/>
          <w:szCs w:val="22"/>
        </w:rPr>
      </w:pPr>
      <w:r>
        <w:rPr>
          <w:rFonts w:ascii="Times New Roman" w:hAnsi="Times New Roman"/>
          <w:color w:val="auto"/>
          <w:sz w:val="22"/>
        </w:rPr>
        <w:t>50 mg/ml-es (</w:t>
      </w:r>
      <w:r w:rsidR="00F96DB8">
        <w:rPr>
          <w:rFonts w:ascii="Times New Roman" w:hAnsi="Times New Roman"/>
          <w:color w:val="auto"/>
          <w:sz w:val="22"/>
        </w:rPr>
        <w:t>5%-os</w:t>
      </w:r>
      <w:r>
        <w:rPr>
          <w:rFonts w:ascii="Times New Roman" w:hAnsi="Times New Roman"/>
          <w:color w:val="auto"/>
          <w:sz w:val="22"/>
        </w:rPr>
        <w:t>)</w:t>
      </w:r>
      <w:r w:rsidR="00F96DB8">
        <w:rPr>
          <w:rFonts w:ascii="Times New Roman" w:hAnsi="Times New Roman"/>
          <w:color w:val="auto"/>
          <w:sz w:val="22"/>
        </w:rPr>
        <w:t xml:space="preserve"> </w:t>
      </w:r>
      <w:r>
        <w:rPr>
          <w:rFonts w:ascii="Times New Roman" w:hAnsi="Times New Roman"/>
          <w:color w:val="auto"/>
          <w:sz w:val="22"/>
        </w:rPr>
        <w:t>dextróz</w:t>
      </w:r>
      <w:r w:rsidR="00F96DB8">
        <w:rPr>
          <w:rFonts w:ascii="Times New Roman" w:hAnsi="Times New Roman"/>
          <w:color w:val="auto"/>
          <w:sz w:val="22"/>
        </w:rPr>
        <w:t xml:space="preserve"> oldatos injekció</w:t>
      </w:r>
    </w:p>
    <w:p w14:paraId="2814946F" w14:textId="50B4104D" w:rsidR="00C5691D" w:rsidRPr="00C611C5" w:rsidRDefault="00841D6B" w:rsidP="00C611C5">
      <w:pPr>
        <w:pStyle w:val="Listaszerbekezds"/>
        <w:numPr>
          <w:ilvl w:val="0"/>
          <w:numId w:val="38"/>
        </w:numPr>
        <w:rPr>
          <w:rFonts w:ascii="Times New Roman" w:hAnsi="Times New Roman"/>
          <w:color w:val="auto"/>
          <w:sz w:val="22"/>
          <w:szCs w:val="22"/>
        </w:rPr>
      </w:pPr>
      <w:r>
        <w:rPr>
          <w:rFonts w:ascii="Times New Roman" w:hAnsi="Times New Roman"/>
          <w:color w:val="auto"/>
          <w:sz w:val="22"/>
        </w:rPr>
        <w:t>9 mg/ml-es (</w:t>
      </w:r>
      <w:r w:rsidR="00C5691D">
        <w:rPr>
          <w:rFonts w:ascii="Times New Roman" w:hAnsi="Times New Roman"/>
          <w:color w:val="auto"/>
          <w:sz w:val="22"/>
        </w:rPr>
        <w:t>0,9%-os</w:t>
      </w:r>
      <w:r>
        <w:rPr>
          <w:rFonts w:ascii="Times New Roman" w:hAnsi="Times New Roman"/>
          <w:color w:val="auto"/>
          <w:sz w:val="22"/>
        </w:rPr>
        <w:t>)</w:t>
      </w:r>
      <w:r w:rsidR="00C5691D">
        <w:rPr>
          <w:rFonts w:ascii="Times New Roman" w:hAnsi="Times New Roman"/>
          <w:color w:val="auto"/>
          <w:sz w:val="22"/>
        </w:rPr>
        <w:t xml:space="preserve"> nátrium-klorid injekció</w:t>
      </w:r>
    </w:p>
    <w:p w14:paraId="4E9EBB55" w14:textId="77777777" w:rsidR="00F96DB8" w:rsidRDefault="00F96DB8" w:rsidP="00C611C5">
      <w:pPr>
        <w:tabs>
          <w:tab w:val="left" w:pos="6424"/>
        </w:tabs>
        <w:rPr>
          <w:rFonts w:ascii="Times New Roman" w:hAnsi="Times New Roman"/>
          <w:color w:val="auto"/>
          <w:sz w:val="22"/>
          <w:szCs w:val="22"/>
          <w:lang w:val="en-GB"/>
        </w:rPr>
      </w:pPr>
    </w:p>
    <w:p w14:paraId="42D0E064" w14:textId="5C272F59" w:rsidR="00973B5A" w:rsidRPr="001916DA" w:rsidRDefault="00A50C77" w:rsidP="0046151C">
      <w:pPr>
        <w:rPr>
          <w:rFonts w:ascii="Times New Roman" w:hAnsi="Times New Roman"/>
          <w:b/>
          <w:color w:val="auto"/>
          <w:sz w:val="22"/>
          <w:szCs w:val="22"/>
          <w:lang w:val="en-GB"/>
        </w:rPr>
      </w:pPr>
      <w:r w:rsidRPr="00A50C77">
        <w:rPr>
          <w:rFonts w:ascii="Times New Roman" w:hAnsi="Times New Roman"/>
          <w:color w:val="auto"/>
          <w:sz w:val="22"/>
        </w:rPr>
        <w:t>Bármilyen fel nem használt gyógyszer, illetve hulladékanyag megsemmisítését a gyógyszerekre vonatkozó el</w:t>
      </w:r>
      <w:r w:rsidRPr="00A50C77">
        <w:rPr>
          <w:rFonts w:ascii="Times New Roman" w:hAnsi="Times New Roman" w:hint="eastAsia"/>
          <w:color w:val="auto"/>
          <w:sz w:val="22"/>
        </w:rPr>
        <w:t>őí</w:t>
      </w:r>
      <w:r w:rsidRPr="00A50C77">
        <w:rPr>
          <w:rFonts w:ascii="Times New Roman" w:hAnsi="Times New Roman"/>
          <w:color w:val="auto"/>
          <w:sz w:val="22"/>
        </w:rPr>
        <w:t>rások szerint kell végrehajtani.</w:t>
      </w:r>
    </w:p>
    <w:p w14:paraId="623D2E5F" w14:textId="4F0C7511" w:rsidR="008A030F" w:rsidRDefault="008A030F" w:rsidP="004E19C6">
      <w:pPr>
        <w:rPr>
          <w:rFonts w:ascii="Times New Roman" w:hAnsi="Times New Roman"/>
          <w:b/>
          <w:color w:val="auto"/>
          <w:sz w:val="22"/>
          <w:szCs w:val="22"/>
          <w:lang w:val="en-GB"/>
        </w:rPr>
      </w:pPr>
    </w:p>
    <w:p w14:paraId="41C0D0D2" w14:textId="0B600D6C" w:rsidR="00A50C77" w:rsidRPr="00C5225D" w:rsidRDefault="00A50C77" w:rsidP="00A50C77">
      <w:pPr>
        <w:rPr>
          <w:rFonts w:ascii="Times New Roman" w:hAnsi="Times New Roman"/>
          <w:color w:val="auto"/>
          <w:sz w:val="22"/>
          <w:szCs w:val="22"/>
          <w:lang w:val="en-GB"/>
        </w:rPr>
      </w:pPr>
      <w:r w:rsidRPr="00A50C77">
        <w:rPr>
          <w:rFonts w:ascii="Times New Roman" w:hAnsi="Times New Roman"/>
          <w:b/>
          <w:color w:val="auto"/>
          <w:sz w:val="22"/>
          <w:szCs w:val="22"/>
          <w:lang w:val="en-GB"/>
        </w:rPr>
        <w:t>Megjegyzés:</w:t>
      </w:r>
      <w:r w:rsidRPr="00C5225D">
        <w:rPr>
          <w:rFonts w:ascii="Times New Roman" w:hAnsi="Times New Roman"/>
          <w:color w:val="auto"/>
          <w:sz w:val="22"/>
          <w:szCs w:val="22"/>
          <w:lang w:val="en-GB"/>
        </w:rPr>
        <w:t xml:space="preserve"> </w:t>
      </w:r>
      <w:r w:rsidRPr="000E3A5E">
        <w:rPr>
          <w:rFonts w:ascii="Times New Roman" w:hAnsi="Times New Roman"/>
        </w:rPr>
        <w:sym w:font="Wingdings" w:char="F058"/>
      </w:r>
      <w:r w:rsidRPr="000E3A5E">
        <w:rPr>
          <w:rFonts w:ascii="Times New Roman" w:hAnsi="Times New Roman"/>
          <w:lang w:val="hu"/>
        </w:rPr>
        <w:t xml:space="preserve"> </w:t>
      </w:r>
      <w:r w:rsidRPr="000E3A5E">
        <w:rPr>
          <w:rFonts w:ascii="Times New Roman" w:hAnsi="Times New Roman"/>
        </w:rPr>
        <w:sym w:font="Wingdings" w:char="F058"/>
      </w:r>
      <w:r w:rsidRPr="000E3A5E">
        <w:rPr>
          <w:rFonts w:ascii="Times New Roman" w:hAnsi="Times New Roman"/>
          <w:lang w:val="hu"/>
        </w:rPr>
        <w:t xml:space="preserve"> </w:t>
      </w:r>
      <w:r w:rsidRPr="00C5225D">
        <w:rPr>
          <w:rFonts w:ascii="Times New Roman" w:hAnsi="Times New Roman"/>
          <w:color w:val="auto"/>
          <w:sz w:val="22"/>
          <w:szCs w:val="22"/>
          <w:lang w:val="en-GB"/>
        </w:rPr>
        <w:t>(két keresztes)</w:t>
      </w:r>
    </w:p>
    <w:p w14:paraId="1D17EFEB" w14:textId="77777777" w:rsidR="00A50C77" w:rsidRPr="00A50C77" w:rsidRDefault="00A50C77" w:rsidP="00A50C77">
      <w:pPr>
        <w:rPr>
          <w:rFonts w:ascii="Times New Roman" w:hAnsi="Times New Roman"/>
          <w:b/>
          <w:color w:val="auto"/>
          <w:sz w:val="22"/>
          <w:szCs w:val="22"/>
          <w:lang w:val="en-GB"/>
        </w:rPr>
      </w:pPr>
      <w:r w:rsidRPr="00A50C77">
        <w:rPr>
          <w:rFonts w:ascii="Times New Roman" w:hAnsi="Times New Roman"/>
          <w:b/>
          <w:color w:val="auto"/>
          <w:sz w:val="22"/>
          <w:szCs w:val="22"/>
          <w:lang w:val="en-GB"/>
        </w:rPr>
        <w:t>Osztályozás: II./3 csoport</w:t>
      </w:r>
    </w:p>
    <w:p w14:paraId="2BF3ED3C" w14:textId="534E047D" w:rsidR="00A50C77" w:rsidRDefault="00A50C77" w:rsidP="00A50C77">
      <w:pPr>
        <w:rPr>
          <w:rFonts w:ascii="Times New Roman" w:hAnsi="Times New Roman"/>
          <w:color w:val="auto"/>
          <w:sz w:val="22"/>
          <w:szCs w:val="22"/>
          <w:lang w:val="en-GB"/>
        </w:rPr>
      </w:pPr>
      <w:r w:rsidRPr="00C5225D">
        <w:rPr>
          <w:rFonts w:ascii="Times New Roman" w:hAnsi="Times New Roman"/>
          <w:color w:val="auto"/>
          <w:sz w:val="22"/>
          <w:szCs w:val="22"/>
          <w:lang w:val="en-GB"/>
        </w:rPr>
        <w:t>Korlátozott érvény</w:t>
      </w:r>
      <w:r w:rsidRPr="00C5225D">
        <w:rPr>
          <w:rFonts w:ascii="Times New Roman" w:hAnsi="Times New Roman" w:hint="eastAsia"/>
          <w:color w:val="auto"/>
          <w:sz w:val="22"/>
          <w:szCs w:val="22"/>
          <w:lang w:val="en-GB"/>
        </w:rPr>
        <w:t>ű</w:t>
      </w:r>
      <w:r w:rsidRPr="00C5225D">
        <w:rPr>
          <w:rFonts w:ascii="Times New Roman" w:hAnsi="Times New Roman"/>
          <w:color w:val="auto"/>
          <w:sz w:val="22"/>
          <w:szCs w:val="22"/>
          <w:lang w:val="en-GB"/>
        </w:rPr>
        <w:t xml:space="preserve"> orvosi rendelvényhez kötött, az egészségügyr</w:t>
      </w:r>
      <w:r w:rsidRPr="00C5225D">
        <w:rPr>
          <w:rFonts w:ascii="Times New Roman" w:hAnsi="Times New Roman" w:hint="eastAsia"/>
          <w:color w:val="auto"/>
          <w:sz w:val="22"/>
          <w:szCs w:val="22"/>
          <w:lang w:val="en-GB"/>
        </w:rPr>
        <w:t>ő</w:t>
      </w:r>
      <w:r w:rsidRPr="00C5225D">
        <w:rPr>
          <w:rFonts w:ascii="Times New Roman" w:hAnsi="Times New Roman"/>
          <w:color w:val="auto"/>
          <w:sz w:val="22"/>
          <w:szCs w:val="22"/>
          <w:lang w:val="en-GB"/>
        </w:rPr>
        <w:t>l szóló 1997. évi CLIV. Törvény 3. §-ának ga) pontja szerinti rendel</w:t>
      </w:r>
      <w:r w:rsidRPr="00C5225D">
        <w:rPr>
          <w:rFonts w:ascii="Times New Roman" w:hAnsi="Times New Roman" w:hint="eastAsia"/>
          <w:color w:val="auto"/>
          <w:sz w:val="22"/>
          <w:szCs w:val="22"/>
          <w:lang w:val="en-GB"/>
        </w:rPr>
        <w:t>ő</w:t>
      </w:r>
      <w:r w:rsidRPr="00C5225D">
        <w:rPr>
          <w:rFonts w:ascii="Times New Roman" w:hAnsi="Times New Roman"/>
          <w:color w:val="auto"/>
          <w:sz w:val="22"/>
          <w:szCs w:val="22"/>
          <w:lang w:val="en-GB"/>
        </w:rPr>
        <w:t>intézeti járóbeteg-szakellátást vagy fekv</w:t>
      </w:r>
      <w:r w:rsidRPr="00C5225D">
        <w:rPr>
          <w:rFonts w:ascii="Times New Roman" w:hAnsi="Times New Roman" w:hint="eastAsia"/>
          <w:color w:val="auto"/>
          <w:sz w:val="22"/>
          <w:szCs w:val="22"/>
          <w:lang w:val="en-GB"/>
        </w:rPr>
        <w:t>ő</w:t>
      </w:r>
      <w:r w:rsidRPr="00C5225D">
        <w:rPr>
          <w:rFonts w:ascii="Times New Roman" w:hAnsi="Times New Roman"/>
          <w:color w:val="auto"/>
          <w:sz w:val="22"/>
          <w:szCs w:val="22"/>
          <w:lang w:val="en-GB"/>
        </w:rPr>
        <w:t>beteg-szakellátást nyújtó szolgáltatók által biztosított körülmények között alkalmazható gyógyszer (I).</w:t>
      </w:r>
    </w:p>
    <w:p w14:paraId="730F026E" w14:textId="60FCC385" w:rsidR="00A50C77" w:rsidRDefault="00A50C77" w:rsidP="00A50C77">
      <w:pPr>
        <w:rPr>
          <w:rFonts w:ascii="Times New Roman" w:hAnsi="Times New Roman"/>
          <w:color w:val="auto"/>
          <w:sz w:val="22"/>
          <w:szCs w:val="22"/>
          <w:lang w:val="en-GB"/>
        </w:rPr>
      </w:pPr>
    </w:p>
    <w:p w14:paraId="5BE5BC60" w14:textId="77777777" w:rsidR="00A50C77" w:rsidRPr="00C5225D" w:rsidRDefault="00A50C77" w:rsidP="00A50C77">
      <w:pPr>
        <w:rPr>
          <w:rFonts w:ascii="Times New Roman" w:hAnsi="Times New Roman"/>
          <w:color w:val="auto"/>
          <w:sz w:val="22"/>
          <w:szCs w:val="22"/>
          <w:lang w:val="en-GB"/>
        </w:rPr>
      </w:pPr>
    </w:p>
    <w:p w14:paraId="6028EEBE" w14:textId="77777777" w:rsidR="00315481" w:rsidRPr="001916DA" w:rsidRDefault="00315481" w:rsidP="004E19C6">
      <w:pPr>
        <w:ind w:left="567" w:hanging="567"/>
        <w:rPr>
          <w:rFonts w:ascii="Times New Roman" w:hAnsi="Times New Roman"/>
          <w:color w:val="auto"/>
          <w:sz w:val="22"/>
          <w:szCs w:val="22"/>
        </w:rPr>
      </w:pPr>
      <w:r>
        <w:rPr>
          <w:rFonts w:ascii="Times New Roman" w:hAnsi="Times New Roman"/>
          <w:b/>
          <w:color w:val="auto"/>
          <w:sz w:val="22"/>
        </w:rPr>
        <w:t>7.</w:t>
      </w:r>
      <w:r>
        <w:rPr>
          <w:rFonts w:ascii="Times New Roman" w:hAnsi="Times New Roman"/>
          <w:b/>
          <w:color w:val="auto"/>
          <w:sz w:val="22"/>
        </w:rPr>
        <w:tab/>
      </w:r>
      <w:r>
        <w:rPr>
          <w:rFonts w:ascii="Times New Roman" w:hAnsi="Times New Roman"/>
          <w:b/>
          <w:sz w:val="22"/>
        </w:rPr>
        <w:t>A FORGALOMBA HOZATALI ENGEDÉLY JOGOSULTJA</w:t>
      </w:r>
    </w:p>
    <w:p w14:paraId="1D5BCF02" w14:textId="77777777" w:rsidR="00315481" w:rsidRPr="001916DA" w:rsidRDefault="00315481" w:rsidP="004E19C6">
      <w:pPr>
        <w:ind w:left="567" w:hanging="567"/>
        <w:rPr>
          <w:rFonts w:ascii="Times New Roman" w:hAnsi="Times New Roman"/>
          <w:color w:val="auto"/>
          <w:sz w:val="22"/>
          <w:szCs w:val="22"/>
          <w:lang w:val="en-GB"/>
        </w:rPr>
      </w:pPr>
    </w:p>
    <w:p w14:paraId="5741565C" w14:textId="77777777" w:rsidR="00481E3D" w:rsidRDefault="00481E3D" w:rsidP="00481E3D">
      <w:pPr>
        <w:pStyle w:val="Textbody"/>
        <w:shd w:val="clear" w:color="auto" w:fill="FFFFFF"/>
        <w:spacing w:after="0" w:line="240" w:lineRule="auto"/>
        <w:rPr>
          <w:rFonts w:ascii="Times New Roman" w:hAnsi="Times New Roman"/>
          <w:color w:val="212121"/>
          <w:sz w:val="22"/>
          <w:szCs w:val="22"/>
          <w:lang w:val="hu-HU"/>
        </w:rPr>
      </w:pPr>
      <w:r>
        <w:rPr>
          <w:rFonts w:ascii="Times New Roman" w:hAnsi="Times New Roman"/>
          <w:color w:val="212121"/>
          <w:sz w:val="22"/>
          <w:szCs w:val="22"/>
          <w:lang w:val="hu-HU"/>
        </w:rPr>
        <w:t>Accord Healthcare Polska Sp. z o.o.,</w:t>
      </w:r>
    </w:p>
    <w:p w14:paraId="009AE9CF" w14:textId="77777777" w:rsidR="00481E3D" w:rsidRDefault="00481E3D" w:rsidP="00481E3D">
      <w:pPr>
        <w:pStyle w:val="Textbody"/>
        <w:shd w:val="clear" w:color="auto" w:fill="FFFFFF"/>
        <w:spacing w:after="0" w:line="240" w:lineRule="auto"/>
        <w:rPr>
          <w:rFonts w:ascii="Times New Roman" w:hAnsi="Times New Roman"/>
          <w:color w:val="212121"/>
          <w:sz w:val="22"/>
          <w:szCs w:val="22"/>
          <w:lang w:val="hu-HU"/>
        </w:rPr>
      </w:pPr>
      <w:r>
        <w:rPr>
          <w:rFonts w:ascii="Times New Roman" w:hAnsi="Times New Roman"/>
          <w:color w:val="212121"/>
          <w:sz w:val="22"/>
          <w:szCs w:val="22"/>
          <w:lang w:val="hu-HU"/>
        </w:rPr>
        <w:t>ul. Taśmowa 7,</w:t>
      </w:r>
    </w:p>
    <w:p w14:paraId="52084A45" w14:textId="77777777" w:rsidR="00481E3D" w:rsidRDefault="00481E3D" w:rsidP="00481E3D">
      <w:pPr>
        <w:pStyle w:val="Textbody"/>
        <w:shd w:val="clear" w:color="auto" w:fill="FFFFFF"/>
        <w:spacing w:after="0" w:line="240" w:lineRule="auto"/>
        <w:rPr>
          <w:rFonts w:ascii="Times New Roman" w:hAnsi="Times New Roman"/>
          <w:color w:val="212121"/>
          <w:sz w:val="22"/>
          <w:szCs w:val="22"/>
          <w:lang w:val="hu-HU"/>
        </w:rPr>
      </w:pPr>
      <w:r>
        <w:rPr>
          <w:rFonts w:ascii="Times New Roman" w:hAnsi="Times New Roman"/>
          <w:color w:val="212121"/>
          <w:sz w:val="22"/>
          <w:szCs w:val="22"/>
          <w:lang w:val="hu-HU"/>
        </w:rPr>
        <w:t>02-677 Varsó,</w:t>
      </w:r>
    </w:p>
    <w:p w14:paraId="23160905" w14:textId="77777777" w:rsidR="00481E3D" w:rsidRPr="001E7E5B" w:rsidRDefault="00481E3D" w:rsidP="00481E3D">
      <w:pPr>
        <w:tabs>
          <w:tab w:val="left" w:pos="567"/>
        </w:tabs>
        <w:rPr>
          <w:sz w:val="22"/>
          <w:szCs w:val="22"/>
        </w:rPr>
      </w:pPr>
      <w:r>
        <w:rPr>
          <w:color w:val="212121"/>
          <w:sz w:val="22"/>
          <w:szCs w:val="22"/>
        </w:rPr>
        <w:t>Lengyelország</w:t>
      </w:r>
      <w:r w:rsidRPr="001E7E5B" w:rsidDel="008A2B61">
        <w:rPr>
          <w:sz w:val="22"/>
          <w:szCs w:val="22"/>
        </w:rPr>
        <w:t xml:space="preserve"> </w:t>
      </w:r>
    </w:p>
    <w:p w14:paraId="1F747F0E" w14:textId="77777777" w:rsidR="00A50C77" w:rsidRPr="001916DA" w:rsidRDefault="00A50C77" w:rsidP="00694F9F">
      <w:pPr>
        <w:rPr>
          <w:rFonts w:ascii="Times New Roman" w:hAnsi="Times New Roman"/>
          <w:sz w:val="22"/>
          <w:szCs w:val="22"/>
        </w:rPr>
      </w:pPr>
    </w:p>
    <w:p w14:paraId="7676E764" w14:textId="77777777" w:rsidR="00943428" w:rsidRPr="001916DA" w:rsidRDefault="00943428" w:rsidP="00C5225D">
      <w:pPr>
        <w:rPr>
          <w:rFonts w:ascii="Times New Roman" w:hAnsi="Times New Roman"/>
          <w:color w:val="auto"/>
          <w:sz w:val="22"/>
          <w:szCs w:val="22"/>
          <w:lang w:val="en-GB"/>
        </w:rPr>
      </w:pPr>
    </w:p>
    <w:p w14:paraId="0073C27F" w14:textId="77777777" w:rsidR="00315481" w:rsidRPr="001916DA" w:rsidRDefault="00315481" w:rsidP="004E19C6">
      <w:pPr>
        <w:tabs>
          <w:tab w:val="left" w:pos="540"/>
        </w:tabs>
        <w:rPr>
          <w:rFonts w:ascii="Times New Roman" w:hAnsi="Times New Roman"/>
          <w:b/>
          <w:color w:val="auto"/>
          <w:sz w:val="22"/>
          <w:szCs w:val="22"/>
        </w:rPr>
      </w:pPr>
      <w:r>
        <w:rPr>
          <w:rFonts w:ascii="Times New Roman" w:hAnsi="Times New Roman"/>
          <w:b/>
          <w:color w:val="auto"/>
          <w:sz w:val="22"/>
        </w:rPr>
        <w:t>8.</w:t>
      </w:r>
      <w:r>
        <w:rPr>
          <w:rFonts w:ascii="Times New Roman" w:hAnsi="Times New Roman"/>
          <w:b/>
          <w:color w:val="auto"/>
          <w:sz w:val="22"/>
        </w:rPr>
        <w:tab/>
      </w:r>
      <w:r>
        <w:rPr>
          <w:rFonts w:ascii="Times New Roman" w:hAnsi="Times New Roman"/>
          <w:b/>
          <w:sz w:val="22"/>
        </w:rPr>
        <w:t>A FORGALOMBA HOZATALI ENGEDÉLY SZÁMA(I)</w:t>
      </w:r>
      <w:r>
        <w:rPr>
          <w:rFonts w:ascii="Times New Roman" w:hAnsi="Times New Roman"/>
          <w:b/>
          <w:color w:val="auto"/>
          <w:sz w:val="22"/>
        </w:rPr>
        <w:t xml:space="preserve"> </w:t>
      </w:r>
    </w:p>
    <w:p w14:paraId="73F93E3A" w14:textId="77777777" w:rsidR="00315481" w:rsidRPr="001916DA" w:rsidRDefault="00315481" w:rsidP="004E19C6">
      <w:pPr>
        <w:rPr>
          <w:rFonts w:ascii="Times New Roman" w:hAnsi="Times New Roman"/>
          <w:color w:val="auto"/>
          <w:sz w:val="22"/>
          <w:szCs w:val="22"/>
          <w:lang w:val="en-GB"/>
        </w:rPr>
      </w:pPr>
    </w:p>
    <w:p w14:paraId="553A3B11" w14:textId="4E6779E0" w:rsidR="00E605F9" w:rsidRPr="00E605F9" w:rsidRDefault="00E605F9" w:rsidP="00E605F9">
      <w:pPr>
        <w:rPr>
          <w:rFonts w:ascii="Times New Roman" w:hAnsi="Times New Roman"/>
          <w:color w:val="auto"/>
          <w:sz w:val="22"/>
          <w:szCs w:val="24"/>
          <w:lang w:eastAsia="hu-HU"/>
        </w:rPr>
      </w:pPr>
      <w:r w:rsidRPr="00E605F9">
        <w:rPr>
          <w:rFonts w:ascii="Times New Roman" w:hAnsi="Times New Roman"/>
          <w:sz w:val="22"/>
          <w:szCs w:val="24"/>
        </w:rPr>
        <w:t>OGYI-T-23936/01</w:t>
      </w:r>
      <w:r w:rsidRPr="00E605F9">
        <w:rPr>
          <w:rFonts w:ascii="Times New Roman" w:hAnsi="Times New Roman"/>
          <w:sz w:val="22"/>
          <w:szCs w:val="24"/>
        </w:rPr>
        <w:tab/>
      </w:r>
      <w:r w:rsidRPr="00E605F9">
        <w:rPr>
          <w:rFonts w:ascii="Times New Roman" w:hAnsi="Times New Roman"/>
          <w:sz w:val="22"/>
          <w:szCs w:val="24"/>
        </w:rPr>
        <w:t>1</w:t>
      </w:r>
      <w:r w:rsidRPr="00E605F9">
        <w:rPr>
          <w:rFonts w:ascii="Times New Roman" w:hAnsi="Times New Roman"/>
          <w:sz w:val="22"/>
          <w:szCs w:val="24"/>
        </w:rPr>
        <w:t>×</w:t>
      </w:r>
      <w:r w:rsidRPr="00E605F9">
        <w:rPr>
          <w:rFonts w:ascii="Times New Roman" w:hAnsi="Times New Roman"/>
          <w:sz w:val="22"/>
          <w:szCs w:val="24"/>
        </w:rPr>
        <w:tab/>
      </w:r>
      <w:r w:rsidRPr="00E605F9">
        <w:rPr>
          <w:rFonts w:ascii="Times New Roman" w:hAnsi="Times New Roman"/>
          <w:sz w:val="22"/>
          <w:szCs w:val="24"/>
          <w:lang w:val="en-GB"/>
        </w:rPr>
        <w:t>I-es típusú injekciós üveg</w:t>
      </w:r>
    </w:p>
    <w:p w14:paraId="363E95B9" w14:textId="436CDA6D" w:rsidR="00E605F9" w:rsidRPr="00E605F9" w:rsidRDefault="00E605F9" w:rsidP="00E605F9">
      <w:pPr>
        <w:rPr>
          <w:rFonts w:ascii="Times New Roman" w:hAnsi="Times New Roman"/>
          <w:color w:val="auto"/>
          <w:sz w:val="22"/>
          <w:szCs w:val="24"/>
          <w:lang w:eastAsia="hu-HU"/>
        </w:rPr>
      </w:pPr>
      <w:r w:rsidRPr="00E605F9">
        <w:rPr>
          <w:rFonts w:ascii="Times New Roman" w:hAnsi="Times New Roman"/>
          <w:sz w:val="22"/>
          <w:szCs w:val="24"/>
        </w:rPr>
        <w:t>OGYI-T-23936/02</w:t>
      </w:r>
      <w:r w:rsidRPr="00E605F9">
        <w:rPr>
          <w:rFonts w:ascii="Times New Roman" w:hAnsi="Times New Roman"/>
          <w:sz w:val="22"/>
          <w:szCs w:val="24"/>
        </w:rPr>
        <w:tab/>
      </w:r>
      <w:r w:rsidRPr="00E605F9">
        <w:rPr>
          <w:rFonts w:ascii="Times New Roman" w:hAnsi="Times New Roman"/>
          <w:sz w:val="22"/>
          <w:szCs w:val="24"/>
        </w:rPr>
        <w:t>1</w:t>
      </w:r>
      <w:r w:rsidRPr="00E605F9">
        <w:rPr>
          <w:rFonts w:ascii="Times New Roman" w:hAnsi="Times New Roman"/>
          <w:sz w:val="22"/>
          <w:szCs w:val="24"/>
        </w:rPr>
        <w:t>×</w:t>
      </w:r>
      <w:r w:rsidRPr="00E605F9">
        <w:rPr>
          <w:rFonts w:ascii="Times New Roman" w:hAnsi="Times New Roman"/>
          <w:sz w:val="22"/>
          <w:szCs w:val="24"/>
        </w:rPr>
        <w:tab/>
      </w:r>
      <w:r w:rsidRPr="00E605F9">
        <w:rPr>
          <w:rFonts w:ascii="Times New Roman" w:hAnsi="Times New Roman"/>
          <w:sz w:val="22"/>
          <w:szCs w:val="24"/>
          <w:lang w:val="en-GB"/>
        </w:rPr>
        <w:t>I-es típusú injekciós üveg</w:t>
      </w:r>
    </w:p>
    <w:p w14:paraId="4A97D3C0" w14:textId="77777777" w:rsidR="00943428" w:rsidRDefault="00943428" w:rsidP="004E19C6">
      <w:pPr>
        <w:rPr>
          <w:rFonts w:ascii="Times New Roman" w:hAnsi="Times New Roman"/>
          <w:color w:val="auto"/>
          <w:sz w:val="22"/>
          <w:szCs w:val="22"/>
          <w:lang w:val="en-GB"/>
        </w:rPr>
      </w:pPr>
    </w:p>
    <w:p w14:paraId="0FA789ED" w14:textId="77777777" w:rsidR="00E537D3" w:rsidRPr="001916DA" w:rsidRDefault="00E537D3" w:rsidP="004E19C6">
      <w:pPr>
        <w:rPr>
          <w:rFonts w:ascii="Times New Roman" w:hAnsi="Times New Roman"/>
          <w:color w:val="auto"/>
          <w:sz w:val="22"/>
          <w:szCs w:val="22"/>
          <w:lang w:val="en-GB"/>
        </w:rPr>
      </w:pPr>
    </w:p>
    <w:p w14:paraId="4CFAD758" w14:textId="77777777" w:rsidR="00315481" w:rsidRPr="001916DA" w:rsidRDefault="00315481" w:rsidP="009C5AEE">
      <w:pPr>
        <w:tabs>
          <w:tab w:val="left" w:pos="540"/>
        </w:tabs>
        <w:rPr>
          <w:rFonts w:ascii="Times New Roman" w:hAnsi="Times New Roman"/>
          <w:color w:val="auto"/>
          <w:sz w:val="22"/>
          <w:szCs w:val="22"/>
        </w:rPr>
      </w:pPr>
      <w:r>
        <w:rPr>
          <w:rFonts w:ascii="Times New Roman" w:hAnsi="Times New Roman"/>
          <w:b/>
          <w:color w:val="auto"/>
          <w:sz w:val="22"/>
        </w:rPr>
        <w:t>9.</w:t>
      </w:r>
      <w:r>
        <w:rPr>
          <w:rFonts w:ascii="Times New Roman" w:hAnsi="Times New Roman"/>
          <w:b/>
          <w:color w:val="auto"/>
          <w:sz w:val="22"/>
        </w:rPr>
        <w:tab/>
      </w:r>
      <w:r>
        <w:rPr>
          <w:rFonts w:ascii="Times New Roman" w:hAnsi="Times New Roman"/>
          <w:b/>
          <w:sz w:val="22"/>
        </w:rPr>
        <w:t>A FORGALOMBA HOZATALI ENGEDÉLY ELSŐ KIADÁSÁNAK/ MEGÚJÍTÁSÁNAK DÁTUMA</w:t>
      </w:r>
    </w:p>
    <w:p w14:paraId="4E243597" w14:textId="77777777" w:rsidR="008A030F" w:rsidRPr="001916DA" w:rsidRDefault="008A030F" w:rsidP="009C5AEE">
      <w:pPr>
        <w:rPr>
          <w:rFonts w:ascii="Times New Roman" w:hAnsi="Times New Roman"/>
          <w:color w:val="auto"/>
          <w:sz w:val="22"/>
          <w:szCs w:val="22"/>
          <w:lang w:val="en-GB"/>
        </w:rPr>
      </w:pPr>
    </w:p>
    <w:p w14:paraId="6B1464EB" w14:textId="1E287C3F" w:rsidR="00B0354D" w:rsidRPr="001916DA" w:rsidRDefault="00694F9F" w:rsidP="009C5AEE">
      <w:pPr>
        <w:rPr>
          <w:rFonts w:ascii="Times New Roman" w:hAnsi="Times New Roman"/>
          <w:color w:val="auto"/>
          <w:sz w:val="22"/>
          <w:szCs w:val="22"/>
          <w:lang w:val="en-GB"/>
        </w:rPr>
      </w:pPr>
      <w:r w:rsidRPr="00694F9F">
        <w:rPr>
          <w:rFonts w:ascii="Times New Roman" w:hAnsi="Times New Roman"/>
          <w:color w:val="auto"/>
          <w:sz w:val="22"/>
        </w:rPr>
        <w:t>A forgalomba hozatali engedély els</w:t>
      </w:r>
      <w:r w:rsidRPr="00694F9F">
        <w:rPr>
          <w:rFonts w:ascii="Times New Roman" w:hAnsi="Times New Roman" w:hint="eastAsia"/>
          <w:color w:val="auto"/>
          <w:sz w:val="22"/>
        </w:rPr>
        <w:t>ő</w:t>
      </w:r>
      <w:r w:rsidRPr="00694F9F">
        <w:rPr>
          <w:rFonts w:ascii="Times New Roman" w:hAnsi="Times New Roman"/>
          <w:color w:val="auto"/>
          <w:sz w:val="22"/>
        </w:rPr>
        <w:t xml:space="preserve"> kiadásának dátuma: </w:t>
      </w:r>
      <w:r w:rsidR="00E57F52">
        <w:rPr>
          <w:rFonts w:ascii="Times New Roman" w:hAnsi="Times New Roman"/>
          <w:color w:val="auto"/>
          <w:sz w:val="22"/>
        </w:rPr>
        <w:t>2021. szeptember 1.</w:t>
      </w:r>
    </w:p>
    <w:p w14:paraId="296303EB" w14:textId="77777777" w:rsidR="00E537D3" w:rsidRDefault="00E537D3" w:rsidP="009C5AEE">
      <w:pPr>
        <w:rPr>
          <w:rFonts w:ascii="Times New Roman" w:hAnsi="Times New Roman"/>
          <w:color w:val="auto"/>
          <w:sz w:val="22"/>
          <w:szCs w:val="22"/>
          <w:lang w:val="en-GB"/>
        </w:rPr>
      </w:pPr>
    </w:p>
    <w:p w14:paraId="569A1866" w14:textId="77777777" w:rsidR="00E537D3" w:rsidRPr="001916DA" w:rsidRDefault="00E537D3" w:rsidP="009C5AEE">
      <w:pPr>
        <w:rPr>
          <w:rFonts w:ascii="Times New Roman" w:hAnsi="Times New Roman"/>
          <w:color w:val="auto"/>
          <w:sz w:val="22"/>
          <w:szCs w:val="22"/>
          <w:lang w:val="en-GB"/>
        </w:rPr>
      </w:pPr>
    </w:p>
    <w:p w14:paraId="1B176D43" w14:textId="7B53D630" w:rsidR="00B0354D" w:rsidRDefault="00315481" w:rsidP="000E2D22">
      <w:pPr>
        <w:tabs>
          <w:tab w:val="left" w:pos="540"/>
        </w:tabs>
        <w:rPr>
          <w:rFonts w:ascii="Times New Roman" w:hAnsi="Times New Roman"/>
          <w:b/>
          <w:sz w:val="22"/>
        </w:rPr>
      </w:pPr>
      <w:r>
        <w:rPr>
          <w:rFonts w:ascii="Times New Roman" w:hAnsi="Times New Roman"/>
          <w:b/>
          <w:color w:val="auto"/>
          <w:sz w:val="22"/>
        </w:rPr>
        <w:t>10.</w:t>
      </w:r>
      <w:r>
        <w:rPr>
          <w:rFonts w:ascii="Times New Roman" w:hAnsi="Times New Roman"/>
          <w:b/>
          <w:color w:val="auto"/>
          <w:sz w:val="22"/>
        </w:rPr>
        <w:tab/>
      </w:r>
      <w:r>
        <w:rPr>
          <w:rFonts w:ascii="Times New Roman" w:hAnsi="Times New Roman"/>
          <w:b/>
          <w:sz w:val="22"/>
        </w:rPr>
        <w:t>A SZÖVEG ELLENŐRZÉSÉNEK DÁTUM</w:t>
      </w:r>
      <w:r w:rsidR="00A50C77">
        <w:rPr>
          <w:rFonts w:ascii="Times New Roman" w:hAnsi="Times New Roman"/>
          <w:b/>
          <w:sz w:val="22"/>
        </w:rPr>
        <w:t>A</w:t>
      </w:r>
    </w:p>
    <w:p w14:paraId="5A4CF3E9" w14:textId="612C001E" w:rsidR="00E57F52" w:rsidRDefault="00E57F52" w:rsidP="000E2D22">
      <w:pPr>
        <w:tabs>
          <w:tab w:val="left" w:pos="540"/>
        </w:tabs>
        <w:rPr>
          <w:rFonts w:ascii="Times New Roman" w:hAnsi="Times New Roman"/>
          <w:b/>
          <w:sz w:val="22"/>
        </w:rPr>
      </w:pPr>
    </w:p>
    <w:p w14:paraId="75816414" w14:textId="77777777" w:rsidR="00E57F52" w:rsidRPr="001916DA" w:rsidRDefault="00E57F52" w:rsidP="00E57F52">
      <w:pPr>
        <w:rPr>
          <w:rFonts w:ascii="Times New Roman" w:hAnsi="Times New Roman"/>
          <w:color w:val="auto"/>
          <w:sz w:val="22"/>
          <w:szCs w:val="22"/>
          <w:lang w:val="en-GB"/>
        </w:rPr>
      </w:pPr>
      <w:r>
        <w:rPr>
          <w:rFonts w:ascii="Times New Roman" w:hAnsi="Times New Roman"/>
          <w:color w:val="auto"/>
          <w:sz w:val="22"/>
        </w:rPr>
        <w:t>2021. szeptember 1.</w:t>
      </w:r>
    </w:p>
    <w:p w14:paraId="700D6F23" w14:textId="77777777" w:rsidR="00E57F52" w:rsidRPr="000E2D22" w:rsidRDefault="00E57F52" w:rsidP="000E2D22">
      <w:pPr>
        <w:tabs>
          <w:tab w:val="left" w:pos="540"/>
        </w:tabs>
        <w:rPr>
          <w:rFonts w:ascii="Times New Roman" w:hAnsi="Times New Roman"/>
          <w:sz w:val="22"/>
          <w:szCs w:val="22"/>
        </w:rPr>
      </w:pPr>
      <w:bookmarkStart w:id="0" w:name="_GoBack"/>
      <w:bookmarkEnd w:id="0"/>
    </w:p>
    <w:sectPr w:rsidR="00E57F52" w:rsidRPr="000E2D22" w:rsidSect="00C5225D">
      <w:headerReference w:type="default" r:id="rId9"/>
      <w:footerReference w:type="even" r:id="rId10"/>
      <w:footerReference w:type="default" r:id="rId11"/>
      <w:footerReference w:type="first" r:id="rId12"/>
      <w:pgSz w:w="11907" w:h="16840" w:code="9"/>
      <w:pgMar w:top="1134" w:right="1134" w:bottom="1134" w:left="1134" w:header="720" w:footer="720" w:gutter="0"/>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F5C6D" w16cex:dateUtc="2021-08-24T09: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48DF44" w16cid:durableId="24CF4F96"/>
  <w16cid:commentId w16cid:paraId="011515B4" w16cid:durableId="24CF5C6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4276D0" w14:textId="77777777" w:rsidR="00DC45D8" w:rsidRDefault="00DC45D8">
      <w:r>
        <w:separator/>
      </w:r>
    </w:p>
  </w:endnote>
  <w:endnote w:type="continuationSeparator" w:id="0">
    <w:p w14:paraId="7F22B1C4" w14:textId="77777777" w:rsidR="00DC45D8" w:rsidRDefault="00DC45D8">
      <w:r>
        <w:continuationSeparator/>
      </w:r>
    </w:p>
  </w:endnote>
  <w:endnote w:type="continuationNotice" w:id="1">
    <w:p w14:paraId="40EF6A41" w14:textId="77777777" w:rsidR="00DC45D8" w:rsidRDefault="00DC45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O7 Caslon No.224">
    <w:altName w:val="Times New Roman"/>
    <w:charset w:val="00"/>
    <w:family w:val="roman"/>
    <w:pitch w:val="variable"/>
    <w:sig w:usb0="00000007" w:usb1="00000000" w:usb2="00000000" w:usb3="00000000" w:csb0="0000001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43" w:usb2="00000009" w:usb3="00000000" w:csb0="000001FF" w:csb1="00000000"/>
  </w:font>
  <w:font w:name="Liberation Serif">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A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CA26F" w14:textId="77777777" w:rsidR="00257281" w:rsidRDefault="00257281">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separate"/>
    </w:r>
    <w:r>
      <w:rPr>
        <w:rStyle w:val="Oldalszm"/>
      </w:rPr>
      <w:t>9</w:t>
    </w:r>
    <w:r>
      <w:rPr>
        <w:rStyle w:val="Oldalszm"/>
      </w:rPr>
      <w:fldChar w:fldCharType="end"/>
    </w:r>
  </w:p>
  <w:p w14:paraId="747036B1" w14:textId="77777777" w:rsidR="00257281" w:rsidRDefault="00257281">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FE4FF" w14:textId="074906FC" w:rsidR="00257281" w:rsidRDefault="00257281" w:rsidP="00064F32">
    <w:pPr>
      <w:pStyle w:val="llb"/>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24F12D" w14:textId="77777777" w:rsidR="00257281" w:rsidRPr="005A7012" w:rsidRDefault="00257281" w:rsidP="00A7243D">
    <w:pPr>
      <w:pStyle w:val="llb"/>
      <w:ind w:right="360"/>
      <w:rPr>
        <w:rStyle w:val="Oldalszm"/>
        <w:rFonts w:ascii="Times New Roman" w:hAnsi="Times New Roman"/>
        <w:sz w:val="18"/>
      </w:rPr>
    </w:pPr>
    <w:r w:rsidRPr="005A7012">
      <w:rPr>
        <w:rStyle w:val="Oldalszm"/>
        <w:rFonts w:ascii="Times New Roman" w:hAnsi="Times New Roman"/>
        <w:sz w:val="18"/>
      </w:rPr>
      <w:t>OGYÉI/12949/2020</w:t>
    </w:r>
  </w:p>
  <w:p w14:paraId="656F4F27" w14:textId="2F4500EC" w:rsidR="00257281" w:rsidRDefault="00257281" w:rsidP="00A7243D">
    <w:pPr>
      <w:pStyle w:val="llb"/>
    </w:pPr>
    <w:r w:rsidRPr="005A7012">
      <w:rPr>
        <w:rStyle w:val="Oldalszm"/>
        <w:rFonts w:ascii="Times New Roman" w:hAnsi="Times New Roman"/>
        <w:sz w:val="18"/>
      </w:rPr>
      <w:t>OGYÉI/12950/2020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7E3F87" w14:textId="77777777" w:rsidR="00DC45D8" w:rsidRDefault="00DC45D8">
      <w:r>
        <w:separator/>
      </w:r>
    </w:p>
  </w:footnote>
  <w:footnote w:type="continuationSeparator" w:id="0">
    <w:p w14:paraId="027CC2E3" w14:textId="77777777" w:rsidR="00DC45D8" w:rsidRDefault="00DC45D8">
      <w:r>
        <w:continuationSeparator/>
      </w:r>
    </w:p>
  </w:footnote>
  <w:footnote w:type="continuationNotice" w:id="1">
    <w:p w14:paraId="3A02BF63" w14:textId="77777777" w:rsidR="00DC45D8" w:rsidRDefault="00DC45D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6369105"/>
      <w:docPartObj>
        <w:docPartGallery w:val="Page Numbers (Top of Page)"/>
        <w:docPartUnique/>
      </w:docPartObj>
    </w:sdtPr>
    <w:sdtEndPr>
      <w:rPr>
        <w:rFonts w:ascii="Times New Roman" w:hAnsi="Times New Roman"/>
        <w:sz w:val="18"/>
      </w:rPr>
    </w:sdtEndPr>
    <w:sdtContent>
      <w:p w14:paraId="40A01E5F" w14:textId="50AABCAB" w:rsidR="00257281" w:rsidRPr="00C5225D" w:rsidRDefault="00257281">
        <w:pPr>
          <w:pStyle w:val="lfej"/>
          <w:jc w:val="center"/>
          <w:rPr>
            <w:rFonts w:ascii="Times New Roman" w:hAnsi="Times New Roman"/>
            <w:sz w:val="18"/>
          </w:rPr>
        </w:pPr>
        <w:r w:rsidRPr="00C5225D">
          <w:rPr>
            <w:rFonts w:ascii="Times New Roman" w:hAnsi="Times New Roman"/>
            <w:sz w:val="18"/>
          </w:rPr>
          <w:fldChar w:fldCharType="begin"/>
        </w:r>
        <w:r w:rsidRPr="00C5225D">
          <w:rPr>
            <w:rFonts w:ascii="Times New Roman" w:hAnsi="Times New Roman"/>
            <w:sz w:val="18"/>
          </w:rPr>
          <w:instrText>PAGE   \* MERGEFORMAT</w:instrText>
        </w:r>
        <w:r w:rsidRPr="00C5225D">
          <w:rPr>
            <w:rFonts w:ascii="Times New Roman" w:hAnsi="Times New Roman"/>
            <w:sz w:val="18"/>
          </w:rPr>
          <w:fldChar w:fldCharType="separate"/>
        </w:r>
        <w:r w:rsidR="00E57F52">
          <w:rPr>
            <w:rFonts w:ascii="Times New Roman" w:hAnsi="Times New Roman"/>
            <w:noProof/>
            <w:sz w:val="18"/>
          </w:rPr>
          <w:t>19</w:t>
        </w:r>
        <w:r w:rsidRPr="00C5225D">
          <w:rPr>
            <w:rFonts w:ascii="Times New Roman" w:hAnsi="Times New Roman"/>
            <w:sz w:val="18"/>
          </w:rPr>
          <w:fldChar w:fldCharType="end"/>
        </w:r>
      </w:p>
    </w:sdtContent>
  </w:sdt>
  <w:p w14:paraId="43037A46" w14:textId="245C62DA" w:rsidR="00257281" w:rsidRDefault="00257281" w:rsidP="00022EA8">
    <w:pPr>
      <w:pStyle w:val="lfej"/>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60B"/>
    <w:multiLevelType w:val="multilevel"/>
    <w:tmpl w:val="D1368A78"/>
    <w:lvl w:ilvl="0">
      <w:start w:val="4"/>
      <w:numFmt w:val="decimal"/>
      <w:lvlText w:val="%1."/>
      <w:lvlJc w:val="left"/>
      <w:pPr>
        <w:tabs>
          <w:tab w:val="num" w:pos="510"/>
        </w:tabs>
        <w:ind w:left="510" w:hanging="510"/>
      </w:pPr>
      <w:rPr>
        <w:rFonts w:hint="default"/>
        <w:b/>
      </w:rPr>
    </w:lvl>
    <w:lvl w:ilvl="1">
      <w:start w:val="2"/>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1" w15:restartNumberingAfterBreak="0">
    <w:nsid w:val="00F85B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62724BF"/>
    <w:multiLevelType w:val="hybridMultilevel"/>
    <w:tmpl w:val="0FE4F67E"/>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96C3706"/>
    <w:multiLevelType w:val="multilevel"/>
    <w:tmpl w:val="94CA7BB8"/>
    <w:lvl w:ilvl="0">
      <w:start w:val="10"/>
      <w:numFmt w:val="decimal"/>
      <w:lvlText w:val="%1."/>
      <w:lvlJc w:val="left"/>
      <w:pPr>
        <w:tabs>
          <w:tab w:val="num" w:pos="360"/>
        </w:tabs>
        <w:ind w:left="360" w:hanging="360"/>
      </w:pPr>
      <w:rPr>
        <w:rFonts w:hint="default"/>
        <w:b/>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4" w15:restartNumberingAfterBreak="0">
    <w:nsid w:val="09756C47"/>
    <w:multiLevelType w:val="multilevel"/>
    <w:tmpl w:val="570004E6"/>
    <w:lvl w:ilvl="0">
      <w:start w:val="4"/>
      <w:numFmt w:val="decimal"/>
      <w:lvlText w:val="%1."/>
      <w:lvlJc w:val="left"/>
      <w:pPr>
        <w:tabs>
          <w:tab w:val="num" w:pos="510"/>
        </w:tabs>
        <w:ind w:left="510" w:hanging="510"/>
      </w:pPr>
      <w:rPr>
        <w:rFonts w:hint="default"/>
        <w:b/>
      </w:rPr>
    </w:lvl>
    <w:lvl w:ilvl="1">
      <w:start w:val="4"/>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5" w15:restartNumberingAfterBreak="0">
    <w:nsid w:val="0994112B"/>
    <w:multiLevelType w:val="hybridMultilevel"/>
    <w:tmpl w:val="BE7296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657307"/>
    <w:multiLevelType w:val="multilevel"/>
    <w:tmpl w:val="66C028E0"/>
    <w:lvl w:ilvl="0">
      <w:start w:val="2"/>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880"/>
        </w:tabs>
        <w:ind w:left="2880" w:hanging="2880"/>
      </w:pPr>
      <w:rPr>
        <w:rFonts w:hint="default"/>
        <w:b/>
      </w:rPr>
    </w:lvl>
  </w:abstractNum>
  <w:abstractNum w:abstractNumId="7" w15:restartNumberingAfterBreak="0">
    <w:nsid w:val="0AD7010F"/>
    <w:multiLevelType w:val="hybridMultilevel"/>
    <w:tmpl w:val="B7E084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0EB44163"/>
    <w:multiLevelType w:val="hybridMultilevel"/>
    <w:tmpl w:val="59BE3B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300299A"/>
    <w:multiLevelType w:val="hybridMultilevel"/>
    <w:tmpl w:val="48C66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654A59"/>
    <w:multiLevelType w:val="hybridMultilevel"/>
    <w:tmpl w:val="197AA6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4A2311F"/>
    <w:multiLevelType w:val="multilevel"/>
    <w:tmpl w:val="51E63C18"/>
    <w:lvl w:ilvl="0">
      <w:start w:val="4"/>
      <w:numFmt w:val="decimal"/>
      <w:lvlText w:val="%1."/>
      <w:lvlJc w:val="left"/>
      <w:pPr>
        <w:tabs>
          <w:tab w:val="num" w:pos="510"/>
        </w:tabs>
        <w:ind w:left="510" w:hanging="51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12" w15:restartNumberingAfterBreak="0">
    <w:nsid w:val="172A6C34"/>
    <w:multiLevelType w:val="hybridMultilevel"/>
    <w:tmpl w:val="A3C2BECC"/>
    <w:lvl w:ilvl="0" w:tplc="04260001">
      <w:start w:val="4"/>
      <w:numFmt w:val="bullet"/>
      <w:lvlText w:val=""/>
      <w:lvlJc w:val="left"/>
      <w:pPr>
        <w:tabs>
          <w:tab w:val="num" w:pos="720"/>
        </w:tabs>
        <w:ind w:left="720" w:hanging="360"/>
      </w:pPr>
      <w:rPr>
        <w:rFonts w:ascii="Symbol" w:eastAsia="Times New Roman" w:hAnsi="Symbol" w:cs="Times New Roman"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7AA04B4"/>
    <w:multiLevelType w:val="multilevel"/>
    <w:tmpl w:val="552E2072"/>
    <w:lvl w:ilvl="0">
      <w:start w:val="7"/>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800"/>
        </w:tabs>
        <w:ind w:left="1800" w:hanging="180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880"/>
        </w:tabs>
        <w:ind w:left="2880" w:hanging="2880"/>
      </w:pPr>
      <w:rPr>
        <w:rFonts w:hint="default"/>
      </w:rPr>
    </w:lvl>
  </w:abstractNum>
  <w:abstractNum w:abstractNumId="14" w15:restartNumberingAfterBreak="0">
    <w:nsid w:val="1BFF4EA5"/>
    <w:multiLevelType w:val="hybridMultilevel"/>
    <w:tmpl w:val="CB5E8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0A4676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03656E"/>
    <w:multiLevelType w:val="hybridMultilevel"/>
    <w:tmpl w:val="F43080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BB038E2"/>
    <w:multiLevelType w:val="multilevel"/>
    <w:tmpl w:val="D47ADCB8"/>
    <w:lvl w:ilvl="0">
      <w:start w:val="4"/>
      <w:numFmt w:val="decimal"/>
      <w:lvlText w:val="%1."/>
      <w:lvlJc w:val="left"/>
      <w:pPr>
        <w:tabs>
          <w:tab w:val="num" w:pos="510"/>
        </w:tabs>
        <w:ind w:left="510" w:hanging="510"/>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18" w15:restartNumberingAfterBreak="0">
    <w:nsid w:val="2D0A01A3"/>
    <w:multiLevelType w:val="hybridMultilevel"/>
    <w:tmpl w:val="D764CF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2D5303B2"/>
    <w:multiLevelType w:val="hybridMultilevel"/>
    <w:tmpl w:val="D5444846"/>
    <w:lvl w:ilvl="0" w:tplc="5D18CFE4">
      <w:start w:val="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1652FC3"/>
    <w:multiLevelType w:val="singleLevel"/>
    <w:tmpl w:val="08090017"/>
    <w:lvl w:ilvl="0">
      <w:start w:val="1"/>
      <w:numFmt w:val="lowerLetter"/>
      <w:lvlText w:val="%1)"/>
      <w:lvlJc w:val="left"/>
      <w:pPr>
        <w:tabs>
          <w:tab w:val="num" w:pos="360"/>
        </w:tabs>
        <w:ind w:left="360" w:hanging="360"/>
      </w:pPr>
      <w:rPr>
        <w:rFonts w:hint="default"/>
      </w:rPr>
    </w:lvl>
  </w:abstractNum>
  <w:abstractNum w:abstractNumId="21" w15:restartNumberingAfterBreak="0">
    <w:nsid w:val="32D0062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371E3995"/>
    <w:multiLevelType w:val="hybridMultilevel"/>
    <w:tmpl w:val="9DEC14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AFF1B2D"/>
    <w:multiLevelType w:val="hybridMultilevel"/>
    <w:tmpl w:val="7EA4D806"/>
    <w:lvl w:ilvl="0" w:tplc="04090001">
      <w:start w:val="1"/>
      <w:numFmt w:val="bullet"/>
      <w:lvlText w:val=""/>
      <w:lvlJc w:val="left"/>
      <w:pPr>
        <w:ind w:left="1080" w:hanging="360"/>
      </w:pPr>
      <w:rPr>
        <w:rFonts w:ascii="Symbol" w:hAnsi="Symbol" w:hint="default"/>
      </w:rPr>
    </w:lvl>
    <w:lvl w:ilvl="1" w:tplc="5D18CFE4">
      <w:start w:val="4"/>
      <w:numFmt w:val="bullet"/>
      <w:lvlText w:val="-"/>
      <w:lvlJc w:val="left"/>
      <w:pPr>
        <w:ind w:left="1800" w:hanging="360"/>
      </w:pPr>
      <w:rPr>
        <w:rFonts w:ascii="Times New Roman" w:eastAsia="Times New Roman" w:hAnsi="Times New Roman"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4544044A"/>
    <w:multiLevelType w:val="hybridMultilevel"/>
    <w:tmpl w:val="0EB6CD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A363165"/>
    <w:multiLevelType w:val="hybridMultilevel"/>
    <w:tmpl w:val="423452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E3207DA"/>
    <w:multiLevelType w:val="multilevel"/>
    <w:tmpl w:val="E5129744"/>
    <w:lvl w:ilvl="0">
      <w:start w:val="4"/>
      <w:numFmt w:val="decimal"/>
      <w:lvlText w:val="%1."/>
      <w:lvlJc w:val="left"/>
      <w:pPr>
        <w:tabs>
          <w:tab w:val="num" w:pos="510"/>
        </w:tabs>
        <w:ind w:left="510" w:hanging="510"/>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27" w15:restartNumberingAfterBreak="0">
    <w:nsid w:val="526117CD"/>
    <w:multiLevelType w:val="hybridMultilevel"/>
    <w:tmpl w:val="71101330"/>
    <w:lvl w:ilvl="0" w:tplc="04090001">
      <w:start w:val="1"/>
      <w:numFmt w:val="bullet"/>
      <w:lvlText w:val=""/>
      <w:lvlJc w:val="left"/>
      <w:pPr>
        <w:ind w:left="720" w:hanging="360"/>
      </w:pPr>
      <w:rPr>
        <w:rFonts w:ascii="Symbol" w:hAnsi="Symbol" w:hint="default"/>
      </w:rPr>
    </w:lvl>
    <w:lvl w:ilvl="1" w:tplc="5D18CFE4">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41919A7"/>
    <w:multiLevelType w:val="multilevel"/>
    <w:tmpl w:val="A1B65E94"/>
    <w:lvl w:ilvl="0">
      <w:start w:val="4"/>
      <w:numFmt w:val="decimal"/>
      <w:lvlText w:val="%1"/>
      <w:lvlJc w:val="left"/>
      <w:pPr>
        <w:tabs>
          <w:tab w:val="num" w:pos="360"/>
        </w:tabs>
        <w:ind w:left="360" w:hanging="360"/>
      </w:pPr>
      <w:rPr>
        <w:rFonts w:hint="default"/>
        <w:b/>
      </w:rPr>
    </w:lvl>
    <w:lvl w:ilvl="1">
      <w:start w:val="8"/>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9" w15:restartNumberingAfterBreak="0">
    <w:nsid w:val="58C130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15:restartNumberingAfterBreak="0">
    <w:nsid w:val="5FB563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633E0CCE"/>
    <w:multiLevelType w:val="hybridMultilevel"/>
    <w:tmpl w:val="CC76883C"/>
    <w:lvl w:ilvl="0" w:tplc="04090001">
      <w:start w:val="1"/>
      <w:numFmt w:val="bullet"/>
      <w:lvlText w:val=""/>
      <w:lvlJc w:val="left"/>
      <w:pPr>
        <w:ind w:left="720" w:hanging="360"/>
      </w:pPr>
      <w:rPr>
        <w:rFonts w:ascii="Symbol" w:hAnsi="Symbol" w:hint="default"/>
      </w:rPr>
    </w:lvl>
    <w:lvl w:ilvl="1" w:tplc="5D18CFE4">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6E24019"/>
    <w:multiLevelType w:val="hybridMultilevel"/>
    <w:tmpl w:val="8490EE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68054A66"/>
    <w:multiLevelType w:val="multilevel"/>
    <w:tmpl w:val="F416B25C"/>
    <w:lvl w:ilvl="0">
      <w:start w:val="4"/>
      <w:numFmt w:val="decimal"/>
      <w:lvlText w:val="%1."/>
      <w:lvlJc w:val="left"/>
      <w:pPr>
        <w:tabs>
          <w:tab w:val="num" w:pos="510"/>
        </w:tabs>
        <w:ind w:left="510" w:hanging="510"/>
      </w:pPr>
      <w:rPr>
        <w:rFonts w:hint="default"/>
        <w:b/>
      </w:rPr>
    </w:lvl>
    <w:lvl w:ilvl="1">
      <w:start w:val="5"/>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440"/>
        </w:tabs>
        <w:ind w:left="1440" w:hanging="1440"/>
      </w:pPr>
      <w:rPr>
        <w:rFonts w:hint="default"/>
        <w:b/>
      </w:rPr>
    </w:lvl>
    <w:lvl w:ilvl="4">
      <w:start w:val="1"/>
      <w:numFmt w:val="decimal"/>
      <w:lvlText w:val="%1.%2.%3.%4.%5."/>
      <w:lvlJc w:val="left"/>
      <w:pPr>
        <w:tabs>
          <w:tab w:val="num" w:pos="1800"/>
        </w:tabs>
        <w:ind w:left="1800" w:hanging="180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2160"/>
        </w:tabs>
        <w:ind w:left="2160" w:hanging="2160"/>
      </w:pPr>
      <w:rPr>
        <w:rFonts w:hint="default"/>
        <w:b/>
      </w:rPr>
    </w:lvl>
    <w:lvl w:ilvl="7">
      <w:start w:val="1"/>
      <w:numFmt w:val="decimal"/>
      <w:lvlText w:val="%1.%2.%3.%4.%5.%6.%7.%8."/>
      <w:lvlJc w:val="left"/>
      <w:pPr>
        <w:tabs>
          <w:tab w:val="num" w:pos="2520"/>
        </w:tabs>
        <w:ind w:left="2520" w:hanging="2520"/>
      </w:pPr>
      <w:rPr>
        <w:rFonts w:hint="default"/>
        <w:b/>
      </w:rPr>
    </w:lvl>
    <w:lvl w:ilvl="8">
      <w:start w:val="1"/>
      <w:numFmt w:val="decimal"/>
      <w:lvlText w:val="%1.%2.%3.%4.%5.%6.%7.%8.%9."/>
      <w:lvlJc w:val="left"/>
      <w:pPr>
        <w:tabs>
          <w:tab w:val="num" w:pos="2880"/>
        </w:tabs>
        <w:ind w:left="2880" w:hanging="2880"/>
      </w:pPr>
      <w:rPr>
        <w:rFonts w:hint="default"/>
        <w:b/>
      </w:rPr>
    </w:lvl>
  </w:abstractNum>
  <w:abstractNum w:abstractNumId="34" w15:restartNumberingAfterBreak="0">
    <w:nsid w:val="68961DCF"/>
    <w:multiLevelType w:val="hybridMultilevel"/>
    <w:tmpl w:val="715E90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6D547766"/>
    <w:multiLevelType w:val="multilevel"/>
    <w:tmpl w:val="B1BCFFF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1080"/>
        </w:tabs>
        <w:ind w:left="1080" w:hanging="1080"/>
      </w:pPr>
      <w:rPr>
        <w:rFonts w:hint="default"/>
        <w:b/>
      </w:rPr>
    </w:lvl>
    <w:lvl w:ilvl="3">
      <w:start w:val="1"/>
      <w:numFmt w:val="decimal"/>
      <w:isLgl/>
      <w:lvlText w:val="%1.%2.%3.%4"/>
      <w:lvlJc w:val="left"/>
      <w:pPr>
        <w:tabs>
          <w:tab w:val="num" w:pos="1440"/>
        </w:tabs>
        <w:ind w:left="1440" w:hanging="1440"/>
      </w:pPr>
      <w:rPr>
        <w:rFonts w:hint="default"/>
        <w:b/>
      </w:rPr>
    </w:lvl>
    <w:lvl w:ilvl="4">
      <w:start w:val="1"/>
      <w:numFmt w:val="decimal"/>
      <w:isLgl/>
      <w:lvlText w:val="%1.%2.%3.%4.%5"/>
      <w:lvlJc w:val="left"/>
      <w:pPr>
        <w:tabs>
          <w:tab w:val="num" w:pos="1440"/>
        </w:tabs>
        <w:ind w:left="1440" w:hanging="1440"/>
      </w:pPr>
      <w:rPr>
        <w:rFonts w:hint="default"/>
        <w:b/>
      </w:rPr>
    </w:lvl>
    <w:lvl w:ilvl="5">
      <w:start w:val="1"/>
      <w:numFmt w:val="decimal"/>
      <w:isLgl/>
      <w:lvlText w:val="%1.%2.%3.%4.%5.%6"/>
      <w:lvlJc w:val="left"/>
      <w:pPr>
        <w:tabs>
          <w:tab w:val="num" w:pos="1800"/>
        </w:tabs>
        <w:ind w:left="1800" w:hanging="1800"/>
      </w:pPr>
      <w:rPr>
        <w:rFonts w:hint="default"/>
        <w:b/>
      </w:rPr>
    </w:lvl>
    <w:lvl w:ilvl="6">
      <w:start w:val="1"/>
      <w:numFmt w:val="decimal"/>
      <w:isLgl/>
      <w:lvlText w:val="%1.%2.%3.%4.%5.%6.%7"/>
      <w:lvlJc w:val="left"/>
      <w:pPr>
        <w:tabs>
          <w:tab w:val="num" w:pos="2160"/>
        </w:tabs>
        <w:ind w:left="2160" w:hanging="2160"/>
      </w:pPr>
      <w:rPr>
        <w:rFonts w:hint="default"/>
        <w:b/>
      </w:rPr>
    </w:lvl>
    <w:lvl w:ilvl="7">
      <w:start w:val="1"/>
      <w:numFmt w:val="decimal"/>
      <w:isLgl/>
      <w:lvlText w:val="%1.%2.%3.%4.%5.%6.%7.%8"/>
      <w:lvlJc w:val="left"/>
      <w:pPr>
        <w:tabs>
          <w:tab w:val="num" w:pos="2520"/>
        </w:tabs>
        <w:ind w:left="2520" w:hanging="2520"/>
      </w:pPr>
      <w:rPr>
        <w:rFonts w:hint="default"/>
        <w:b/>
      </w:rPr>
    </w:lvl>
    <w:lvl w:ilvl="8">
      <w:start w:val="1"/>
      <w:numFmt w:val="decimal"/>
      <w:isLgl/>
      <w:lvlText w:val="%1.%2.%3.%4.%5.%6.%7.%8.%9"/>
      <w:lvlJc w:val="left"/>
      <w:pPr>
        <w:tabs>
          <w:tab w:val="num" w:pos="2880"/>
        </w:tabs>
        <w:ind w:left="2880" w:hanging="2880"/>
      </w:pPr>
      <w:rPr>
        <w:rFonts w:hint="default"/>
        <w:b/>
      </w:rPr>
    </w:lvl>
  </w:abstractNum>
  <w:abstractNum w:abstractNumId="36" w15:restartNumberingAfterBreak="0">
    <w:nsid w:val="72AE56C2"/>
    <w:multiLevelType w:val="hybridMultilevel"/>
    <w:tmpl w:val="39C46C5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748E2A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7EBC4C9A"/>
    <w:multiLevelType w:val="hybridMultilevel"/>
    <w:tmpl w:val="07328D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5"/>
  </w:num>
  <w:num w:numId="2">
    <w:abstractNumId w:val="11"/>
  </w:num>
  <w:num w:numId="3">
    <w:abstractNumId w:val="33"/>
  </w:num>
  <w:num w:numId="4">
    <w:abstractNumId w:val="4"/>
  </w:num>
  <w:num w:numId="5">
    <w:abstractNumId w:val="17"/>
  </w:num>
  <w:num w:numId="6">
    <w:abstractNumId w:val="0"/>
  </w:num>
  <w:num w:numId="7">
    <w:abstractNumId w:val="26"/>
  </w:num>
  <w:num w:numId="8">
    <w:abstractNumId w:val="37"/>
  </w:num>
  <w:num w:numId="9">
    <w:abstractNumId w:val="20"/>
  </w:num>
  <w:num w:numId="10">
    <w:abstractNumId w:val="29"/>
  </w:num>
  <w:num w:numId="11">
    <w:abstractNumId w:val="21"/>
  </w:num>
  <w:num w:numId="12">
    <w:abstractNumId w:val="28"/>
  </w:num>
  <w:num w:numId="13">
    <w:abstractNumId w:val="30"/>
  </w:num>
  <w:num w:numId="14">
    <w:abstractNumId w:val="15"/>
  </w:num>
  <w:num w:numId="15">
    <w:abstractNumId w:val="1"/>
  </w:num>
  <w:num w:numId="16">
    <w:abstractNumId w:val="13"/>
  </w:num>
  <w:num w:numId="17">
    <w:abstractNumId w:val="3"/>
  </w:num>
  <w:num w:numId="18">
    <w:abstractNumId w:val="6"/>
  </w:num>
  <w:num w:numId="19">
    <w:abstractNumId w:val="12"/>
  </w:num>
  <w:num w:numId="20">
    <w:abstractNumId w:val="19"/>
  </w:num>
  <w:num w:numId="21">
    <w:abstractNumId w:val="24"/>
  </w:num>
  <w:num w:numId="22">
    <w:abstractNumId w:val="14"/>
  </w:num>
  <w:num w:numId="23">
    <w:abstractNumId w:val="32"/>
  </w:num>
  <w:num w:numId="24">
    <w:abstractNumId w:val="36"/>
  </w:num>
  <w:num w:numId="25">
    <w:abstractNumId w:val="10"/>
  </w:num>
  <w:num w:numId="26">
    <w:abstractNumId w:val="9"/>
  </w:num>
  <w:num w:numId="27">
    <w:abstractNumId w:val="8"/>
  </w:num>
  <w:num w:numId="28">
    <w:abstractNumId w:val="25"/>
  </w:num>
  <w:num w:numId="29">
    <w:abstractNumId w:val="38"/>
  </w:num>
  <w:num w:numId="30">
    <w:abstractNumId w:val="22"/>
  </w:num>
  <w:num w:numId="31">
    <w:abstractNumId w:val="5"/>
  </w:num>
  <w:num w:numId="32">
    <w:abstractNumId w:val="31"/>
  </w:num>
  <w:num w:numId="33">
    <w:abstractNumId w:val="16"/>
  </w:num>
  <w:num w:numId="34">
    <w:abstractNumId w:val="23"/>
  </w:num>
  <w:num w:numId="35">
    <w:abstractNumId w:val="27"/>
  </w:num>
  <w:num w:numId="36">
    <w:abstractNumId w:val="7"/>
  </w:num>
  <w:num w:numId="37">
    <w:abstractNumId w:val="34"/>
  </w:num>
  <w:num w:numId="38">
    <w:abstractNumId w:val="2"/>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49F5"/>
    <w:rsid w:val="000036A7"/>
    <w:rsid w:val="000054D6"/>
    <w:rsid w:val="00005F36"/>
    <w:rsid w:val="0000689F"/>
    <w:rsid w:val="000100DC"/>
    <w:rsid w:val="0001338D"/>
    <w:rsid w:val="00013C83"/>
    <w:rsid w:val="00016A72"/>
    <w:rsid w:val="00017C36"/>
    <w:rsid w:val="00017DDD"/>
    <w:rsid w:val="000224CD"/>
    <w:rsid w:val="00022A80"/>
    <w:rsid w:val="00022EA8"/>
    <w:rsid w:val="00023181"/>
    <w:rsid w:val="0002488C"/>
    <w:rsid w:val="000264C8"/>
    <w:rsid w:val="00030973"/>
    <w:rsid w:val="0003220E"/>
    <w:rsid w:val="00032288"/>
    <w:rsid w:val="000324CD"/>
    <w:rsid w:val="00032641"/>
    <w:rsid w:val="000326C2"/>
    <w:rsid w:val="00035369"/>
    <w:rsid w:val="000374BA"/>
    <w:rsid w:val="00037C48"/>
    <w:rsid w:val="00040752"/>
    <w:rsid w:val="0004385C"/>
    <w:rsid w:val="00044750"/>
    <w:rsid w:val="00044ADF"/>
    <w:rsid w:val="00044EA0"/>
    <w:rsid w:val="000452FE"/>
    <w:rsid w:val="00050A5B"/>
    <w:rsid w:val="000510BD"/>
    <w:rsid w:val="0005132E"/>
    <w:rsid w:val="00054582"/>
    <w:rsid w:val="0006155A"/>
    <w:rsid w:val="00061C2A"/>
    <w:rsid w:val="00063518"/>
    <w:rsid w:val="00064BB2"/>
    <w:rsid w:val="00064F32"/>
    <w:rsid w:val="00067D87"/>
    <w:rsid w:val="000706A0"/>
    <w:rsid w:val="000718ED"/>
    <w:rsid w:val="00075A87"/>
    <w:rsid w:val="00075C7E"/>
    <w:rsid w:val="000768FE"/>
    <w:rsid w:val="00076A1F"/>
    <w:rsid w:val="000803C4"/>
    <w:rsid w:val="00083C7B"/>
    <w:rsid w:val="000845B7"/>
    <w:rsid w:val="000850C1"/>
    <w:rsid w:val="00087072"/>
    <w:rsid w:val="000912FA"/>
    <w:rsid w:val="00094B68"/>
    <w:rsid w:val="00094FD2"/>
    <w:rsid w:val="00096B27"/>
    <w:rsid w:val="000978F7"/>
    <w:rsid w:val="000A1FFB"/>
    <w:rsid w:val="000A3832"/>
    <w:rsid w:val="000B008B"/>
    <w:rsid w:val="000B1D38"/>
    <w:rsid w:val="000B2534"/>
    <w:rsid w:val="000B33C6"/>
    <w:rsid w:val="000B47AB"/>
    <w:rsid w:val="000B5A46"/>
    <w:rsid w:val="000C00CE"/>
    <w:rsid w:val="000C407C"/>
    <w:rsid w:val="000C6D97"/>
    <w:rsid w:val="000D5DC9"/>
    <w:rsid w:val="000E0E7A"/>
    <w:rsid w:val="000E2D22"/>
    <w:rsid w:val="000E41FE"/>
    <w:rsid w:val="000E47A3"/>
    <w:rsid w:val="000E6180"/>
    <w:rsid w:val="000F3340"/>
    <w:rsid w:val="000F3D95"/>
    <w:rsid w:val="000F6039"/>
    <w:rsid w:val="00100C85"/>
    <w:rsid w:val="00103B98"/>
    <w:rsid w:val="00106379"/>
    <w:rsid w:val="00106C36"/>
    <w:rsid w:val="001103C7"/>
    <w:rsid w:val="00111A2E"/>
    <w:rsid w:val="00113671"/>
    <w:rsid w:val="00113B7B"/>
    <w:rsid w:val="0011643C"/>
    <w:rsid w:val="001165AC"/>
    <w:rsid w:val="001165D7"/>
    <w:rsid w:val="001174D9"/>
    <w:rsid w:val="00120718"/>
    <w:rsid w:val="00124751"/>
    <w:rsid w:val="00124789"/>
    <w:rsid w:val="00124E11"/>
    <w:rsid w:val="00125DAE"/>
    <w:rsid w:val="00127AF5"/>
    <w:rsid w:val="00130DCB"/>
    <w:rsid w:val="0013197B"/>
    <w:rsid w:val="00133445"/>
    <w:rsid w:val="00135BD4"/>
    <w:rsid w:val="00136C6C"/>
    <w:rsid w:val="001405FC"/>
    <w:rsid w:val="00141409"/>
    <w:rsid w:val="001455A9"/>
    <w:rsid w:val="0014647A"/>
    <w:rsid w:val="00146887"/>
    <w:rsid w:val="001500CE"/>
    <w:rsid w:val="001500EE"/>
    <w:rsid w:val="00152A09"/>
    <w:rsid w:val="00153D35"/>
    <w:rsid w:val="00154AF7"/>
    <w:rsid w:val="00155370"/>
    <w:rsid w:val="00156444"/>
    <w:rsid w:val="00161235"/>
    <w:rsid w:val="00161BC7"/>
    <w:rsid w:val="00163CDB"/>
    <w:rsid w:val="00163F5F"/>
    <w:rsid w:val="0016455F"/>
    <w:rsid w:val="00166FCE"/>
    <w:rsid w:val="001675B9"/>
    <w:rsid w:val="00170DBC"/>
    <w:rsid w:val="00171A42"/>
    <w:rsid w:val="001728AF"/>
    <w:rsid w:val="0017348F"/>
    <w:rsid w:val="00173C59"/>
    <w:rsid w:val="00173FAE"/>
    <w:rsid w:val="00174414"/>
    <w:rsid w:val="0017626B"/>
    <w:rsid w:val="00176E4E"/>
    <w:rsid w:val="0018377B"/>
    <w:rsid w:val="00184BEA"/>
    <w:rsid w:val="00185567"/>
    <w:rsid w:val="00185DD0"/>
    <w:rsid w:val="00185E5B"/>
    <w:rsid w:val="00186BE7"/>
    <w:rsid w:val="00187E4C"/>
    <w:rsid w:val="001900A9"/>
    <w:rsid w:val="001916DA"/>
    <w:rsid w:val="00193F98"/>
    <w:rsid w:val="00194588"/>
    <w:rsid w:val="00197B86"/>
    <w:rsid w:val="001A16E4"/>
    <w:rsid w:val="001A1F2E"/>
    <w:rsid w:val="001A2177"/>
    <w:rsid w:val="001A2C2C"/>
    <w:rsid w:val="001A35B1"/>
    <w:rsid w:val="001A3801"/>
    <w:rsid w:val="001A3EF9"/>
    <w:rsid w:val="001A4DDD"/>
    <w:rsid w:val="001A7E06"/>
    <w:rsid w:val="001A7EA2"/>
    <w:rsid w:val="001B234C"/>
    <w:rsid w:val="001B6DAE"/>
    <w:rsid w:val="001C103B"/>
    <w:rsid w:val="001C594D"/>
    <w:rsid w:val="001D06DB"/>
    <w:rsid w:val="001D09D8"/>
    <w:rsid w:val="001D228D"/>
    <w:rsid w:val="001D56B5"/>
    <w:rsid w:val="001D5B5F"/>
    <w:rsid w:val="001D616A"/>
    <w:rsid w:val="001D7184"/>
    <w:rsid w:val="001D7692"/>
    <w:rsid w:val="001E05EC"/>
    <w:rsid w:val="001E4915"/>
    <w:rsid w:val="001E5C23"/>
    <w:rsid w:val="001E746A"/>
    <w:rsid w:val="001F4447"/>
    <w:rsid w:val="001F4B55"/>
    <w:rsid w:val="001F7A08"/>
    <w:rsid w:val="001F7F27"/>
    <w:rsid w:val="002008B9"/>
    <w:rsid w:val="00200BBB"/>
    <w:rsid w:val="0020245A"/>
    <w:rsid w:val="00202F24"/>
    <w:rsid w:val="00203EF3"/>
    <w:rsid w:val="00203FE3"/>
    <w:rsid w:val="002048C0"/>
    <w:rsid w:val="00205ADC"/>
    <w:rsid w:val="00206465"/>
    <w:rsid w:val="00207E8B"/>
    <w:rsid w:val="00211C59"/>
    <w:rsid w:val="00214616"/>
    <w:rsid w:val="002151A6"/>
    <w:rsid w:val="002156CC"/>
    <w:rsid w:val="00215E40"/>
    <w:rsid w:val="00216AD3"/>
    <w:rsid w:val="00217BCA"/>
    <w:rsid w:val="0022088A"/>
    <w:rsid w:val="00220EE5"/>
    <w:rsid w:val="002214F9"/>
    <w:rsid w:val="00221A0B"/>
    <w:rsid w:val="002232A5"/>
    <w:rsid w:val="00223DA5"/>
    <w:rsid w:val="0022792A"/>
    <w:rsid w:val="0023176B"/>
    <w:rsid w:val="00231D00"/>
    <w:rsid w:val="002323B9"/>
    <w:rsid w:val="002330DF"/>
    <w:rsid w:val="00237432"/>
    <w:rsid w:val="00237C37"/>
    <w:rsid w:val="00241FF7"/>
    <w:rsid w:val="00242200"/>
    <w:rsid w:val="002460A4"/>
    <w:rsid w:val="00250003"/>
    <w:rsid w:val="00251438"/>
    <w:rsid w:val="002530E4"/>
    <w:rsid w:val="00253C18"/>
    <w:rsid w:val="0025404A"/>
    <w:rsid w:val="0025486D"/>
    <w:rsid w:val="00257281"/>
    <w:rsid w:val="00257F91"/>
    <w:rsid w:val="002613D0"/>
    <w:rsid w:val="002644AA"/>
    <w:rsid w:val="0026547B"/>
    <w:rsid w:val="00265751"/>
    <w:rsid w:val="00266927"/>
    <w:rsid w:val="00266E01"/>
    <w:rsid w:val="002676DC"/>
    <w:rsid w:val="00267951"/>
    <w:rsid w:val="0028208F"/>
    <w:rsid w:val="002831F6"/>
    <w:rsid w:val="00283417"/>
    <w:rsid w:val="0028464C"/>
    <w:rsid w:val="00291A3D"/>
    <w:rsid w:val="00291C8A"/>
    <w:rsid w:val="00292C43"/>
    <w:rsid w:val="00294429"/>
    <w:rsid w:val="002A02E6"/>
    <w:rsid w:val="002A0954"/>
    <w:rsid w:val="002A1F46"/>
    <w:rsid w:val="002A2B2C"/>
    <w:rsid w:val="002A4481"/>
    <w:rsid w:val="002A6873"/>
    <w:rsid w:val="002B25C0"/>
    <w:rsid w:val="002B2EF7"/>
    <w:rsid w:val="002B4CB8"/>
    <w:rsid w:val="002B5618"/>
    <w:rsid w:val="002B5FBE"/>
    <w:rsid w:val="002C0704"/>
    <w:rsid w:val="002C5A52"/>
    <w:rsid w:val="002C6191"/>
    <w:rsid w:val="002D015C"/>
    <w:rsid w:val="002D38C1"/>
    <w:rsid w:val="002D7626"/>
    <w:rsid w:val="002D7788"/>
    <w:rsid w:val="002E1648"/>
    <w:rsid w:val="002E16A3"/>
    <w:rsid w:val="002E24A3"/>
    <w:rsid w:val="002E4026"/>
    <w:rsid w:val="002E6414"/>
    <w:rsid w:val="002F0496"/>
    <w:rsid w:val="002F0CBE"/>
    <w:rsid w:val="002F1348"/>
    <w:rsid w:val="002F4568"/>
    <w:rsid w:val="002F4662"/>
    <w:rsid w:val="002F5927"/>
    <w:rsid w:val="002F5BC0"/>
    <w:rsid w:val="002F60AD"/>
    <w:rsid w:val="002F7E35"/>
    <w:rsid w:val="00303D4F"/>
    <w:rsid w:val="00304F46"/>
    <w:rsid w:val="00305B0A"/>
    <w:rsid w:val="00305F59"/>
    <w:rsid w:val="003076C2"/>
    <w:rsid w:val="003119A6"/>
    <w:rsid w:val="00312F41"/>
    <w:rsid w:val="00315481"/>
    <w:rsid w:val="0032013D"/>
    <w:rsid w:val="00321666"/>
    <w:rsid w:val="003225B9"/>
    <w:rsid w:val="00324B4A"/>
    <w:rsid w:val="003255FD"/>
    <w:rsid w:val="00327010"/>
    <w:rsid w:val="00327466"/>
    <w:rsid w:val="00327622"/>
    <w:rsid w:val="00330517"/>
    <w:rsid w:val="00332E34"/>
    <w:rsid w:val="00335153"/>
    <w:rsid w:val="003378DF"/>
    <w:rsid w:val="003445B7"/>
    <w:rsid w:val="00346D5B"/>
    <w:rsid w:val="0035158B"/>
    <w:rsid w:val="003547A6"/>
    <w:rsid w:val="00354923"/>
    <w:rsid w:val="00356894"/>
    <w:rsid w:val="00360369"/>
    <w:rsid w:val="00361B42"/>
    <w:rsid w:val="00362634"/>
    <w:rsid w:val="003644D8"/>
    <w:rsid w:val="00364BA4"/>
    <w:rsid w:val="00367489"/>
    <w:rsid w:val="0037295D"/>
    <w:rsid w:val="00373A3F"/>
    <w:rsid w:val="00374721"/>
    <w:rsid w:val="00375073"/>
    <w:rsid w:val="003832BD"/>
    <w:rsid w:val="0038691E"/>
    <w:rsid w:val="00386A14"/>
    <w:rsid w:val="00390A23"/>
    <w:rsid w:val="00393129"/>
    <w:rsid w:val="00393986"/>
    <w:rsid w:val="00396D8C"/>
    <w:rsid w:val="003976FC"/>
    <w:rsid w:val="00397DBD"/>
    <w:rsid w:val="003A0BEC"/>
    <w:rsid w:val="003A1510"/>
    <w:rsid w:val="003A45F7"/>
    <w:rsid w:val="003A7731"/>
    <w:rsid w:val="003B153B"/>
    <w:rsid w:val="003B55A9"/>
    <w:rsid w:val="003B5A3F"/>
    <w:rsid w:val="003B75CF"/>
    <w:rsid w:val="003C105B"/>
    <w:rsid w:val="003C1927"/>
    <w:rsid w:val="003C1F4C"/>
    <w:rsid w:val="003C2E51"/>
    <w:rsid w:val="003C3CD5"/>
    <w:rsid w:val="003C40D8"/>
    <w:rsid w:val="003C4AB1"/>
    <w:rsid w:val="003C55E9"/>
    <w:rsid w:val="003C59EA"/>
    <w:rsid w:val="003C60E0"/>
    <w:rsid w:val="003D0899"/>
    <w:rsid w:val="003D0C44"/>
    <w:rsid w:val="003D5784"/>
    <w:rsid w:val="003D65B5"/>
    <w:rsid w:val="003D65FA"/>
    <w:rsid w:val="003D6B75"/>
    <w:rsid w:val="003E2551"/>
    <w:rsid w:val="003E496A"/>
    <w:rsid w:val="003E618C"/>
    <w:rsid w:val="003E6C7F"/>
    <w:rsid w:val="003E728A"/>
    <w:rsid w:val="003E735E"/>
    <w:rsid w:val="003F00DA"/>
    <w:rsid w:val="003F2655"/>
    <w:rsid w:val="003F3C9D"/>
    <w:rsid w:val="003F52DD"/>
    <w:rsid w:val="003F6D8F"/>
    <w:rsid w:val="004001BE"/>
    <w:rsid w:val="004008E5"/>
    <w:rsid w:val="00401F4C"/>
    <w:rsid w:val="00402C20"/>
    <w:rsid w:val="00403630"/>
    <w:rsid w:val="004045EE"/>
    <w:rsid w:val="004064B4"/>
    <w:rsid w:val="00406F06"/>
    <w:rsid w:val="00410BF2"/>
    <w:rsid w:val="004113CC"/>
    <w:rsid w:val="00415E9B"/>
    <w:rsid w:val="0041682D"/>
    <w:rsid w:val="004201EF"/>
    <w:rsid w:val="004205CA"/>
    <w:rsid w:val="00420D3A"/>
    <w:rsid w:val="00423924"/>
    <w:rsid w:val="00423ED0"/>
    <w:rsid w:val="004253B1"/>
    <w:rsid w:val="004259FB"/>
    <w:rsid w:val="00425E53"/>
    <w:rsid w:val="00431B39"/>
    <w:rsid w:val="00433864"/>
    <w:rsid w:val="0043469C"/>
    <w:rsid w:val="00434721"/>
    <w:rsid w:val="0043537A"/>
    <w:rsid w:val="00436DE4"/>
    <w:rsid w:val="00443224"/>
    <w:rsid w:val="004438E5"/>
    <w:rsid w:val="00445DAF"/>
    <w:rsid w:val="004477C8"/>
    <w:rsid w:val="00447835"/>
    <w:rsid w:val="00450CFA"/>
    <w:rsid w:val="00450FFF"/>
    <w:rsid w:val="0045187D"/>
    <w:rsid w:val="004524D3"/>
    <w:rsid w:val="00453419"/>
    <w:rsid w:val="0045516A"/>
    <w:rsid w:val="004553AE"/>
    <w:rsid w:val="00455A15"/>
    <w:rsid w:val="00460120"/>
    <w:rsid w:val="004607DD"/>
    <w:rsid w:val="0046144C"/>
    <w:rsid w:val="0046151C"/>
    <w:rsid w:val="0046571A"/>
    <w:rsid w:val="00465E02"/>
    <w:rsid w:val="0047186A"/>
    <w:rsid w:val="00472819"/>
    <w:rsid w:val="004747D6"/>
    <w:rsid w:val="00481E3D"/>
    <w:rsid w:val="0048623E"/>
    <w:rsid w:val="0048794A"/>
    <w:rsid w:val="00491C1D"/>
    <w:rsid w:val="00491DCC"/>
    <w:rsid w:val="00494217"/>
    <w:rsid w:val="00494A28"/>
    <w:rsid w:val="00494C59"/>
    <w:rsid w:val="004A0843"/>
    <w:rsid w:val="004A0C81"/>
    <w:rsid w:val="004A50C4"/>
    <w:rsid w:val="004A59A6"/>
    <w:rsid w:val="004A5F3D"/>
    <w:rsid w:val="004A7929"/>
    <w:rsid w:val="004A7E71"/>
    <w:rsid w:val="004B1A0F"/>
    <w:rsid w:val="004B3BEB"/>
    <w:rsid w:val="004B5DA3"/>
    <w:rsid w:val="004B7225"/>
    <w:rsid w:val="004C1A4C"/>
    <w:rsid w:val="004C3B05"/>
    <w:rsid w:val="004C756D"/>
    <w:rsid w:val="004D08B0"/>
    <w:rsid w:val="004D1332"/>
    <w:rsid w:val="004D1822"/>
    <w:rsid w:val="004D5E4A"/>
    <w:rsid w:val="004D7F45"/>
    <w:rsid w:val="004E13C4"/>
    <w:rsid w:val="004E19C6"/>
    <w:rsid w:val="004E3C35"/>
    <w:rsid w:val="004E3F6E"/>
    <w:rsid w:val="004F3354"/>
    <w:rsid w:val="004F4B91"/>
    <w:rsid w:val="004F7291"/>
    <w:rsid w:val="0050094A"/>
    <w:rsid w:val="005013F6"/>
    <w:rsid w:val="00501EEE"/>
    <w:rsid w:val="005026A8"/>
    <w:rsid w:val="00505255"/>
    <w:rsid w:val="00505C2F"/>
    <w:rsid w:val="00506A87"/>
    <w:rsid w:val="00507815"/>
    <w:rsid w:val="00510642"/>
    <w:rsid w:val="005108D7"/>
    <w:rsid w:val="00512A01"/>
    <w:rsid w:val="00513C11"/>
    <w:rsid w:val="005149D4"/>
    <w:rsid w:val="00516BD4"/>
    <w:rsid w:val="0051724C"/>
    <w:rsid w:val="00522C06"/>
    <w:rsid w:val="00522DA3"/>
    <w:rsid w:val="00526246"/>
    <w:rsid w:val="005304B0"/>
    <w:rsid w:val="005315B7"/>
    <w:rsid w:val="00531FE8"/>
    <w:rsid w:val="00536310"/>
    <w:rsid w:val="00540466"/>
    <w:rsid w:val="00542B75"/>
    <w:rsid w:val="00544F42"/>
    <w:rsid w:val="00544F62"/>
    <w:rsid w:val="0054533B"/>
    <w:rsid w:val="00545619"/>
    <w:rsid w:val="00545B9E"/>
    <w:rsid w:val="00546C95"/>
    <w:rsid w:val="0055061F"/>
    <w:rsid w:val="00550FDE"/>
    <w:rsid w:val="00551972"/>
    <w:rsid w:val="0055392F"/>
    <w:rsid w:val="00556F16"/>
    <w:rsid w:val="0056012A"/>
    <w:rsid w:val="005602D0"/>
    <w:rsid w:val="005609A9"/>
    <w:rsid w:val="00561213"/>
    <w:rsid w:val="00562BAB"/>
    <w:rsid w:val="0056534F"/>
    <w:rsid w:val="00565612"/>
    <w:rsid w:val="005706FC"/>
    <w:rsid w:val="005723F9"/>
    <w:rsid w:val="005730CA"/>
    <w:rsid w:val="00573C72"/>
    <w:rsid w:val="00574DA9"/>
    <w:rsid w:val="0058253A"/>
    <w:rsid w:val="0058289E"/>
    <w:rsid w:val="005838F6"/>
    <w:rsid w:val="005848C5"/>
    <w:rsid w:val="00584A9B"/>
    <w:rsid w:val="00585205"/>
    <w:rsid w:val="0058528D"/>
    <w:rsid w:val="005853A0"/>
    <w:rsid w:val="0058726A"/>
    <w:rsid w:val="0058777D"/>
    <w:rsid w:val="00592073"/>
    <w:rsid w:val="005A1A0A"/>
    <w:rsid w:val="005A29CC"/>
    <w:rsid w:val="005A44CF"/>
    <w:rsid w:val="005A796A"/>
    <w:rsid w:val="005B15D1"/>
    <w:rsid w:val="005B20D0"/>
    <w:rsid w:val="005B4A37"/>
    <w:rsid w:val="005B6DFF"/>
    <w:rsid w:val="005B70EC"/>
    <w:rsid w:val="005B7995"/>
    <w:rsid w:val="005C0FB9"/>
    <w:rsid w:val="005C601F"/>
    <w:rsid w:val="005D58D7"/>
    <w:rsid w:val="005D5F13"/>
    <w:rsid w:val="005D7CDF"/>
    <w:rsid w:val="005E2BF6"/>
    <w:rsid w:val="005E3CA1"/>
    <w:rsid w:val="005E3D8E"/>
    <w:rsid w:val="005E4E04"/>
    <w:rsid w:val="005E58C0"/>
    <w:rsid w:val="005E59C7"/>
    <w:rsid w:val="005E6763"/>
    <w:rsid w:val="005E6890"/>
    <w:rsid w:val="005E6B1E"/>
    <w:rsid w:val="005E74E4"/>
    <w:rsid w:val="005F26D7"/>
    <w:rsid w:val="005F564F"/>
    <w:rsid w:val="00602FD9"/>
    <w:rsid w:val="00603BD7"/>
    <w:rsid w:val="00604458"/>
    <w:rsid w:val="00605544"/>
    <w:rsid w:val="0060704D"/>
    <w:rsid w:val="00610251"/>
    <w:rsid w:val="006146B1"/>
    <w:rsid w:val="00617A3A"/>
    <w:rsid w:val="00620556"/>
    <w:rsid w:val="00624278"/>
    <w:rsid w:val="00624AB0"/>
    <w:rsid w:val="0062604E"/>
    <w:rsid w:val="00627149"/>
    <w:rsid w:val="006276AF"/>
    <w:rsid w:val="0063355F"/>
    <w:rsid w:val="006344DB"/>
    <w:rsid w:val="00634755"/>
    <w:rsid w:val="006350BC"/>
    <w:rsid w:val="00640C74"/>
    <w:rsid w:val="00642338"/>
    <w:rsid w:val="006423E2"/>
    <w:rsid w:val="00642470"/>
    <w:rsid w:val="0064381A"/>
    <w:rsid w:val="00644607"/>
    <w:rsid w:val="00647044"/>
    <w:rsid w:val="00650231"/>
    <w:rsid w:val="00652476"/>
    <w:rsid w:val="0065380D"/>
    <w:rsid w:val="00654369"/>
    <w:rsid w:val="00663149"/>
    <w:rsid w:val="006652CD"/>
    <w:rsid w:val="00666D07"/>
    <w:rsid w:val="00667710"/>
    <w:rsid w:val="006700C1"/>
    <w:rsid w:val="00670360"/>
    <w:rsid w:val="0067214A"/>
    <w:rsid w:val="00672663"/>
    <w:rsid w:val="006731E4"/>
    <w:rsid w:val="00676A5D"/>
    <w:rsid w:val="00676F93"/>
    <w:rsid w:val="0068070E"/>
    <w:rsid w:val="00680AE2"/>
    <w:rsid w:val="00680BD0"/>
    <w:rsid w:val="006845D7"/>
    <w:rsid w:val="0068576C"/>
    <w:rsid w:val="00691081"/>
    <w:rsid w:val="00692ECC"/>
    <w:rsid w:val="00694C3C"/>
    <w:rsid w:val="00694F9F"/>
    <w:rsid w:val="00696C10"/>
    <w:rsid w:val="006A0803"/>
    <w:rsid w:val="006A3186"/>
    <w:rsid w:val="006A35C3"/>
    <w:rsid w:val="006A3805"/>
    <w:rsid w:val="006A5E98"/>
    <w:rsid w:val="006B1D30"/>
    <w:rsid w:val="006B34B7"/>
    <w:rsid w:val="006B590B"/>
    <w:rsid w:val="006B69AD"/>
    <w:rsid w:val="006C3A90"/>
    <w:rsid w:val="006C3D62"/>
    <w:rsid w:val="006C4ED2"/>
    <w:rsid w:val="006C5323"/>
    <w:rsid w:val="006C728E"/>
    <w:rsid w:val="006C774F"/>
    <w:rsid w:val="006D418A"/>
    <w:rsid w:val="006D5991"/>
    <w:rsid w:val="006D5D74"/>
    <w:rsid w:val="006D7675"/>
    <w:rsid w:val="006E4B5A"/>
    <w:rsid w:val="006E4FC3"/>
    <w:rsid w:val="006E76AB"/>
    <w:rsid w:val="006E7839"/>
    <w:rsid w:val="006F038F"/>
    <w:rsid w:val="006F2919"/>
    <w:rsid w:val="006F4310"/>
    <w:rsid w:val="006F7BC6"/>
    <w:rsid w:val="007030A1"/>
    <w:rsid w:val="00705118"/>
    <w:rsid w:val="007068A9"/>
    <w:rsid w:val="00707332"/>
    <w:rsid w:val="00707DCE"/>
    <w:rsid w:val="0071206A"/>
    <w:rsid w:val="00713765"/>
    <w:rsid w:val="007165B6"/>
    <w:rsid w:val="007205D5"/>
    <w:rsid w:val="007217E0"/>
    <w:rsid w:val="00721C94"/>
    <w:rsid w:val="00722411"/>
    <w:rsid w:val="0072327C"/>
    <w:rsid w:val="00724134"/>
    <w:rsid w:val="00724DE4"/>
    <w:rsid w:val="007257E6"/>
    <w:rsid w:val="007271C8"/>
    <w:rsid w:val="00727AD8"/>
    <w:rsid w:val="00732119"/>
    <w:rsid w:val="00732BE3"/>
    <w:rsid w:val="00733B62"/>
    <w:rsid w:val="007341E7"/>
    <w:rsid w:val="0073435E"/>
    <w:rsid w:val="00734F45"/>
    <w:rsid w:val="00737FA2"/>
    <w:rsid w:val="00743204"/>
    <w:rsid w:val="00743C25"/>
    <w:rsid w:val="00747BB2"/>
    <w:rsid w:val="007521A4"/>
    <w:rsid w:val="00752CBC"/>
    <w:rsid w:val="007539ED"/>
    <w:rsid w:val="00753C53"/>
    <w:rsid w:val="00756853"/>
    <w:rsid w:val="00757844"/>
    <w:rsid w:val="00761EE5"/>
    <w:rsid w:val="007644FD"/>
    <w:rsid w:val="00764966"/>
    <w:rsid w:val="0076557F"/>
    <w:rsid w:val="00765C0A"/>
    <w:rsid w:val="00770013"/>
    <w:rsid w:val="00771B5B"/>
    <w:rsid w:val="0077566D"/>
    <w:rsid w:val="00780192"/>
    <w:rsid w:val="00781FED"/>
    <w:rsid w:val="00784262"/>
    <w:rsid w:val="00785966"/>
    <w:rsid w:val="00785B94"/>
    <w:rsid w:val="00786889"/>
    <w:rsid w:val="00787513"/>
    <w:rsid w:val="00791AE4"/>
    <w:rsid w:val="007923E9"/>
    <w:rsid w:val="00793F31"/>
    <w:rsid w:val="0079520C"/>
    <w:rsid w:val="00797CF5"/>
    <w:rsid w:val="007A086F"/>
    <w:rsid w:val="007A61E1"/>
    <w:rsid w:val="007B15B8"/>
    <w:rsid w:val="007B39BC"/>
    <w:rsid w:val="007B5DE7"/>
    <w:rsid w:val="007B756E"/>
    <w:rsid w:val="007C1364"/>
    <w:rsid w:val="007C17FE"/>
    <w:rsid w:val="007C1C6F"/>
    <w:rsid w:val="007C417B"/>
    <w:rsid w:val="007C5F62"/>
    <w:rsid w:val="007C6F1D"/>
    <w:rsid w:val="007D0CD7"/>
    <w:rsid w:val="007D21C1"/>
    <w:rsid w:val="007D5594"/>
    <w:rsid w:val="007D6D89"/>
    <w:rsid w:val="007E30C5"/>
    <w:rsid w:val="007E3FB2"/>
    <w:rsid w:val="007E499A"/>
    <w:rsid w:val="007F02C2"/>
    <w:rsid w:val="007F0304"/>
    <w:rsid w:val="007F49F2"/>
    <w:rsid w:val="007F561C"/>
    <w:rsid w:val="008014DA"/>
    <w:rsid w:val="00804CD4"/>
    <w:rsid w:val="00810621"/>
    <w:rsid w:val="00810BFE"/>
    <w:rsid w:val="00811C49"/>
    <w:rsid w:val="0081208D"/>
    <w:rsid w:val="00813A3F"/>
    <w:rsid w:val="00814837"/>
    <w:rsid w:val="0081489A"/>
    <w:rsid w:val="00814F9E"/>
    <w:rsid w:val="00817DDE"/>
    <w:rsid w:val="00820D46"/>
    <w:rsid w:val="0082128A"/>
    <w:rsid w:val="00822E39"/>
    <w:rsid w:val="008243D0"/>
    <w:rsid w:val="00826BB3"/>
    <w:rsid w:val="00826C73"/>
    <w:rsid w:val="00830033"/>
    <w:rsid w:val="00831EAE"/>
    <w:rsid w:val="0083271D"/>
    <w:rsid w:val="00832AF4"/>
    <w:rsid w:val="00835CFA"/>
    <w:rsid w:val="008367F6"/>
    <w:rsid w:val="00836F04"/>
    <w:rsid w:val="008405D8"/>
    <w:rsid w:val="00841D6B"/>
    <w:rsid w:val="00843813"/>
    <w:rsid w:val="00845633"/>
    <w:rsid w:val="00845B3A"/>
    <w:rsid w:val="00846B64"/>
    <w:rsid w:val="00847BAA"/>
    <w:rsid w:val="00850682"/>
    <w:rsid w:val="00850959"/>
    <w:rsid w:val="00852050"/>
    <w:rsid w:val="008522DA"/>
    <w:rsid w:val="00854C62"/>
    <w:rsid w:val="00865EB4"/>
    <w:rsid w:val="0086649F"/>
    <w:rsid w:val="00866CDA"/>
    <w:rsid w:val="00867B78"/>
    <w:rsid w:val="00871105"/>
    <w:rsid w:val="00874B39"/>
    <w:rsid w:val="008809DE"/>
    <w:rsid w:val="00880BBC"/>
    <w:rsid w:val="0088106A"/>
    <w:rsid w:val="008813CF"/>
    <w:rsid w:val="00881A0E"/>
    <w:rsid w:val="00886953"/>
    <w:rsid w:val="00887231"/>
    <w:rsid w:val="008873A5"/>
    <w:rsid w:val="0088769E"/>
    <w:rsid w:val="00891AA4"/>
    <w:rsid w:val="0089524F"/>
    <w:rsid w:val="00896B4C"/>
    <w:rsid w:val="008970A9"/>
    <w:rsid w:val="008A030F"/>
    <w:rsid w:val="008A2FC7"/>
    <w:rsid w:val="008A3D3B"/>
    <w:rsid w:val="008A60EE"/>
    <w:rsid w:val="008A7EE2"/>
    <w:rsid w:val="008B0B3E"/>
    <w:rsid w:val="008B303B"/>
    <w:rsid w:val="008B3C0D"/>
    <w:rsid w:val="008B4096"/>
    <w:rsid w:val="008B50D9"/>
    <w:rsid w:val="008B5255"/>
    <w:rsid w:val="008B56C4"/>
    <w:rsid w:val="008D005B"/>
    <w:rsid w:val="008D170C"/>
    <w:rsid w:val="008D1910"/>
    <w:rsid w:val="008D20D7"/>
    <w:rsid w:val="008E1DF3"/>
    <w:rsid w:val="008E23D4"/>
    <w:rsid w:val="008E2937"/>
    <w:rsid w:val="008E31B2"/>
    <w:rsid w:val="008E3EB5"/>
    <w:rsid w:val="008E7F9B"/>
    <w:rsid w:val="008F03EB"/>
    <w:rsid w:val="008F1345"/>
    <w:rsid w:val="008F2F98"/>
    <w:rsid w:val="008F418A"/>
    <w:rsid w:val="008F7A1B"/>
    <w:rsid w:val="00900026"/>
    <w:rsid w:val="00901528"/>
    <w:rsid w:val="00907D49"/>
    <w:rsid w:val="00913165"/>
    <w:rsid w:val="009141AD"/>
    <w:rsid w:val="00914D81"/>
    <w:rsid w:val="0091575E"/>
    <w:rsid w:val="00915C02"/>
    <w:rsid w:val="00915E39"/>
    <w:rsid w:val="00921F70"/>
    <w:rsid w:val="00925742"/>
    <w:rsid w:val="00925F0A"/>
    <w:rsid w:val="00927B6C"/>
    <w:rsid w:val="0093216B"/>
    <w:rsid w:val="00933FA5"/>
    <w:rsid w:val="009345E9"/>
    <w:rsid w:val="009347CF"/>
    <w:rsid w:val="00935083"/>
    <w:rsid w:val="009351AF"/>
    <w:rsid w:val="00935215"/>
    <w:rsid w:val="00936809"/>
    <w:rsid w:val="00940482"/>
    <w:rsid w:val="009406F5"/>
    <w:rsid w:val="00940E1C"/>
    <w:rsid w:val="00940EE1"/>
    <w:rsid w:val="00941BFF"/>
    <w:rsid w:val="00941E1C"/>
    <w:rsid w:val="00943428"/>
    <w:rsid w:val="00944401"/>
    <w:rsid w:val="00946616"/>
    <w:rsid w:val="00947FE1"/>
    <w:rsid w:val="00951A76"/>
    <w:rsid w:val="00951DAB"/>
    <w:rsid w:val="00953296"/>
    <w:rsid w:val="009533D1"/>
    <w:rsid w:val="00953757"/>
    <w:rsid w:val="00953A16"/>
    <w:rsid w:val="00973B5A"/>
    <w:rsid w:val="0097404A"/>
    <w:rsid w:val="009747DA"/>
    <w:rsid w:val="00977101"/>
    <w:rsid w:val="009800CB"/>
    <w:rsid w:val="00981652"/>
    <w:rsid w:val="00982EF0"/>
    <w:rsid w:val="009848EB"/>
    <w:rsid w:val="00984E37"/>
    <w:rsid w:val="00987145"/>
    <w:rsid w:val="00991E78"/>
    <w:rsid w:val="00991FC3"/>
    <w:rsid w:val="00992316"/>
    <w:rsid w:val="009936CE"/>
    <w:rsid w:val="00995CBE"/>
    <w:rsid w:val="009A02EA"/>
    <w:rsid w:val="009A0340"/>
    <w:rsid w:val="009A0EFD"/>
    <w:rsid w:val="009A16BB"/>
    <w:rsid w:val="009B2536"/>
    <w:rsid w:val="009B29BB"/>
    <w:rsid w:val="009B4AB0"/>
    <w:rsid w:val="009B4F9A"/>
    <w:rsid w:val="009B6885"/>
    <w:rsid w:val="009C008A"/>
    <w:rsid w:val="009C0F58"/>
    <w:rsid w:val="009C1A09"/>
    <w:rsid w:val="009C25D3"/>
    <w:rsid w:val="009C5AEE"/>
    <w:rsid w:val="009D078B"/>
    <w:rsid w:val="009D3BE9"/>
    <w:rsid w:val="009D5198"/>
    <w:rsid w:val="009D6187"/>
    <w:rsid w:val="009D68E1"/>
    <w:rsid w:val="009D753A"/>
    <w:rsid w:val="009D7934"/>
    <w:rsid w:val="009E2281"/>
    <w:rsid w:val="009E2BAD"/>
    <w:rsid w:val="009E3EE0"/>
    <w:rsid w:val="009F00C0"/>
    <w:rsid w:val="009F157D"/>
    <w:rsid w:val="009F1B64"/>
    <w:rsid w:val="009F2B4E"/>
    <w:rsid w:val="009F2D27"/>
    <w:rsid w:val="00A00241"/>
    <w:rsid w:val="00A02957"/>
    <w:rsid w:val="00A029FC"/>
    <w:rsid w:val="00A04E38"/>
    <w:rsid w:val="00A053DF"/>
    <w:rsid w:val="00A05DF3"/>
    <w:rsid w:val="00A07F75"/>
    <w:rsid w:val="00A119BD"/>
    <w:rsid w:val="00A11DB6"/>
    <w:rsid w:val="00A16A8A"/>
    <w:rsid w:val="00A21745"/>
    <w:rsid w:val="00A232EC"/>
    <w:rsid w:val="00A2734D"/>
    <w:rsid w:val="00A3081A"/>
    <w:rsid w:val="00A323D4"/>
    <w:rsid w:val="00A34F81"/>
    <w:rsid w:val="00A36F36"/>
    <w:rsid w:val="00A400EB"/>
    <w:rsid w:val="00A41908"/>
    <w:rsid w:val="00A45731"/>
    <w:rsid w:val="00A459F4"/>
    <w:rsid w:val="00A45D2D"/>
    <w:rsid w:val="00A4648B"/>
    <w:rsid w:val="00A50582"/>
    <w:rsid w:val="00A50C77"/>
    <w:rsid w:val="00A52087"/>
    <w:rsid w:val="00A529CF"/>
    <w:rsid w:val="00A53727"/>
    <w:rsid w:val="00A54A92"/>
    <w:rsid w:val="00A54CA3"/>
    <w:rsid w:val="00A557F7"/>
    <w:rsid w:val="00A561CF"/>
    <w:rsid w:val="00A579C9"/>
    <w:rsid w:val="00A57BED"/>
    <w:rsid w:val="00A602D3"/>
    <w:rsid w:val="00A60C32"/>
    <w:rsid w:val="00A61B5E"/>
    <w:rsid w:val="00A6301D"/>
    <w:rsid w:val="00A65C7A"/>
    <w:rsid w:val="00A7243D"/>
    <w:rsid w:val="00A72820"/>
    <w:rsid w:val="00A77282"/>
    <w:rsid w:val="00A8013E"/>
    <w:rsid w:val="00A80186"/>
    <w:rsid w:val="00A80807"/>
    <w:rsid w:val="00A81DFC"/>
    <w:rsid w:val="00A832BC"/>
    <w:rsid w:val="00A85624"/>
    <w:rsid w:val="00A90A46"/>
    <w:rsid w:val="00A91B96"/>
    <w:rsid w:val="00A93775"/>
    <w:rsid w:val="00A9564D"/>
    <w:rsid w:val="00AA195B"/>
    <w:rsid w:val="00AA2A76"/>
    <w:rsid w:val="00AA5525"/>
    <w:rsid w:val="00AB03E5"/>
    <w:rsid w:val="00AB052E"/>
    <w:rsid w:val="00AB0ADF"/>
    <w:rsid w:val="00AB35F7"/>
    <w:rsid w:val="00AB4494"/>
    <w:rsid w:val="00AB4B3E"/>
    <w:rsid w:val="00AB7001"/>
    <w:rsid w:val="00AB79B2"/>
    <w:rsid w:val="00AC14C6"/>
    <w:rsid w:val="00AC5EDB"/>
    <w:rsid w:val="00AD0728"/>
    <w:rsid w:val="00AD096D"/>
    <w:rsid w:val="00AD0E91"/>
    <w:rsid w:val="00AD468B"/>
    <w:rsid w:val="00AD4DD0"/>
    <w:rsid w:val="00AD74DC"/>
    <w:rsid w:val="00AD7E19"/>
    <w:rsid w:val="00AE1034"/>
    <w:rsid w:val="00AE1219"/>
    <w:rsid w:val="00AE364C"/>
    <w:rsid w:val="00AE4023"/>
    <w:rsid w:val="00AE4C6F"/>
    <w:rsid w:val="00AE54E4"/>
    <w:rsid w:val="00AE5DF9"/>
    <w:rsid w:val="00AE7C2C"/>
    <w:rsid w:val="00AF0A3B"/>
    <w:rsid w:val="00AF3382"/>
    <w:rsid w:val="00AF4D98"/>
    <w:rsid w:val="00AF5845"/>
    <w:rsid w:val="00AF59F7"/>
    <w:rsid w:val="00AF5DDD"/>
    <w:rsid w:val="00B00C49"/>
    <w:rsid w:val="00B01810"/>
    <w:rsid w:val="00B0354D"/>
    <w:rsid w:val="00B038B0"/>
    <w:rsid w:val="00B049B8"/>
    <w:rsid w:val="00B04C1E"/>
    <w:rsid w:val="00B04D3B"/>
    <w:rsid w:val="00B04D5C"/>
    <w:rsid w:val="00B063DC"/>
    <w:rsid w:val="00B110B9"/>
    <w:rsid w:val="00B115F2"/>
    <w:rsid w:val="00B13C8E"/>
    <w:rsid w:val="00B14269"/>
    <w:rsid w:val="00B14D6B"/>
    <w:rsid w:val="00B17E48"/>
    <w:rsid w:val="00B21264"/>
    <w:rsid w:val="00B232E9"/>
    <w:rsid w:val="00B23C28"/>
    <w:rsid w:val="00B24696"/>
    <w:rsid w:val="00B25D00"/>
    <w:rsid w:val="00B25F32"/>
    <w:rsid w:val="00B267CD"/>
    <w:rsid w:val="00B272A6"/>
    <w:rsid w:val="00B30927"/>
    <w:rsid w:val="00B31427"/>
    <w:rsid w:val="00B31BC1"/>
    <w:rsid w:val="00B33D60"/>
    <w:rsid w:val="00B365A7"/>
    <w:rsid w:val="00B378A2"/>
    <w:rsid w:val="00B522A1"/>
    <w:rsid w:val="00B53F62"/>
    <w:rsid w:val="00B57201"/>
    <w:rsid w:val="00B60803"/>
    <w:rsid w:val="00B60B64"/>
    <w:rsid w:val="00B61EC1"/>
    <w:rsid w:val="00B62B71"/>
    <w:rsid w:val="00B63240"/>
    <w:rsid w:val="00B65485"/>
    <w:rsid w:val="00B70B8B"/>
    <w:rsid w:val="00B70FD0"/>
    <w:rsid w:val="00B718DF"/>
    <w:rsid w:val="00B721A9"/>
    <w:rsid w:val="00B73227"/>
    <w:rsid w:val="00B80FBC"/>
    <w:rsid w:val="00B81BF1"/>
    <w:rsid w:val="00B82DDE"/>
    <w:rsid w:val="00B855F8"/>
    <w:rsid w:val="00B8685D"/>
    <w:rsid w:val="00B87273"/>
    <w:rsid w:val="00B914EA"/>
    <w:rsid w:val="00B91802"/>
    <w:rsid w:val="00B933EB"/>
    <w:rsid w:val="00BA0115"/>
    <w:rsid w:val="00BA3436"/>
    <w:rsid w:val="00BA3FC0"/>
    <w:rsid w:val="00BA54A2"/>
    <w:rsid w:val="00BA56C6"/>
    <w:rsid w:val="00BA5A85"/>
    <w:rsid w:val="00BA5E6F"/>
    <w:rsid w:val="00BA6132"/>
    <w:rsid w:val="00BA7C90"/>
    <w:rsid w:val="00BB0653"/>
    <w:rsid w:val="00BB2CE2"/>
    <w:rsid w:val="00BB35BB"/>
    <w:rsid w:val="00BB3A1C"/>
    <w:rsid w:val="00BB3D20"/>
    <w:rsid w:val="00BB6116"/>
    <w:rsid w:val="00BB7201"/>
    <w:rsid w:val="00BC04F2"/>
    <w:rsid w:val="00BC25C8"/>
    <w:rsid w:val="00BC310F"/>
    <w:rsid w:val="00BC4929"/>
    <w:rsid w:val="00BC4E07"/>
    <w:rsid w:val="00BC6D95"/>
    <w:rsid w:val="00BC705D"/>
    <w:rsid w:val="00BC76B4"/>
    <w:rsid w:val="00BD1927"/>
    <w:rsid w:val="00BD2CA5"/>
    <w:rsid w:val="00BD399A"/>
    <w:rsid w:val="00BD3A60"/>
    <w:rsid w:val="00BD7B63"/>
    <w:rsid w:val="00BE03E4"/>
    <w:rsid w:val="00BE0812"/>
    <w:rsid w:val="00BE141F"/>
    <w:rsid w:val="00BE24AA"/>
    <w:rsid w:val="00BE2814"/>
    <w:rsid w:val="00BE67AA"/>
    <w:rsid w:val="00BE6E90"/>
    <w:rsid w:val="00BE74B7"/>
    <w:rsid w:val="00BE74BA"/>
    <w:rsid w:val="00BF0BA1"/>
    <w:rsid w:val="00BF1FBB"/>
    <w:rsid w:val="00BF287A"/>
    <w:rsid w:val="00BF2BB9"/>
    <w:rsid w:val="00BF6D1E"/>
    <w:rsid w:val="00BF7DBE"/>
    <w:rsid w:val="00C032D0"/>
    <w:rsid w:val="00C053E2"/>
    <w:rsid w:val="00C071EC"/>
    <w:rsid w:val="00C073AC"/>
    <w:rsid w:val="00C111BE"/>
    <w:rsid w:val="00C114E4"/>
    <w:rsid w:val="00C11FB7"/>
    <w:rsid w:val="00C12A38"/>
    <w:rsid w:val="00C13A85"/>
    <w:rsid w:val="00C16D4C"/>
    <w:rsid w:val="00C213CD"/>
    <w:rsid w:val="00C24177"/>
    <w:rsid w:val="00C2567C"/>
    <w:rsid w:val="00C25FEC"/>
    <w:rsid w:val="00C27063"/>
    <w:rsid w:val="00C27429"/>
    <w:rsid w:val="00C31D1A"/>
    <w:rsid w:val="00C342B0"/>
    <w:rsid w:val="00C36498"/>
    <w:rsid w:val="00C36888"/>
    <w:rsid w:val="00C4142A"/>
    <w:rsid w:val="00C41896"/>
    <w:rsid w:val="00C42656"/>
    <w:rsid w:val="00C42C8E"/>
    <w:rsid w:val="00C433F9"/>
    <w:rsid w:val="00C43911"/>
    <w:rsid w:val="00C46905"/>
    <w:rsid w:val="00C46C01"/>
    <w:rsid w:val="00C47B87"/>
    <w:rsid w:val="00C47D66"/>
    <w:rsid w:val="00C5225D"/>
    <w:rsid w:val="00C529CA"/>
    <w:rsid w:val="00C530E5"/>
    <w:rsid w:val="00C543BA"/>
    <w:rsid w:val="00C54592"/>
    <w:rsid w:val="00C5691D"/>
    <w:rsid w:val="00C56CBC"/>
    <w:rsid w:val="00C57145"/>
    <w:rsid w:val="00C602B2"/>
    <w:rsid w:val="00C60DFB"/>
    <w:rsid w:val="00C611C5"/>
    <w:rsid w:val="00C62A73"/>
    <w:rsid w:val="00C63220"/>
    <w:rsid w:val="00C63C03"/>
    <w:rsid w:val="00C648D8"/>
    <w:rsid w:val="00C65766"/>
    <w:rsid w:val="00C65C21"/>
    <w:rsid w:val="00C669DC"/>
    <w:rsid w:val="00C70F3D"/>
    <w:rsid w:val="00C72CFC"/>
    <w:rsid w:val="00C73196"/>
    <w:rsid w:val="00C73F71"/>
    <w:rsid w:val="00C749DE"/>
    <w:rsid w:val="00C75908"/>
    <w:rsid w:val="00C77548"/>
    <w:rsid w:val="00C81D2E"/>
    <w:rsid w:val="00C83EF8"/>
    <w:rsid w:val="00C84F99"/>
    <w:rsid w:val="00C85DD0"/>
    <w:rsid w:val="00C9209E"/>
    <w:rsid w:val="00C9211A"/>
    <w:rsid w:val="00C9357F"/>
    <w:rsid w:val="00C94FD3"/>
    <w:rsid w:val="00C975BD"/>
    <w:rsid w:val="00CA08C5"/>
    <w:rsid w:val="00CA32E2"/>
    <w:rsid w:val="00CA4BEB"/>
    <w:rsid w:val="00CA5479"/>
    <w:rsid w:val="00CA5A92"/>
    <w:rsid w:val="00CB58FE"/>
    <w:rsid w:val="00CB657B"/>
    <w:rsid w:val="00CC0C93"/>
    <w:rsid w:val="00CC4C0D"/>
    <w:rsid w:val="00CC519E"/>
    <w:rsid w:val="00CD01E2"/>
    <w:rsid w:val="00CD0654"/>
    <w:rsid w:val="00CD13E8"/>
    <w:rsid w:val="00CD2D63"/>
    <w:rsid w:val="00CD412A"/>
    <w:rsid w:val="00CD70FE"/>
    <w:rsid w:val="00CD7BB8"/>
    <w:rsid w:val="00CE0052"/>
    <w:rsid w:val="00CE3072"/>
    <w:rsid w:val="00CE359A"/>
    <w:rsid w:val="00CE6558"/>
    <w:rsid w:val="00CF2FC8"/>
    <w:rsid w:val="00CF4EE5"/>
    <w:rsid w:val="00CF55BA"/>
    <w:rsid w:val="00CF59DF"/>
    <w:rsid w:val="00CF6B7D"/>
    <w:rsid w:val="00CF6D73"/>
    <w:rsid w:val="00CF716E"/>
    <w:rsid w:val="00D00A0B"/>
    <w:rsid w:val="00D14ACE"/>
    <w:rsid w:val="00D14CE6"/>
    <w:rsid w:val="00D15942"/>
    <w:rsid w:val="00D173E0"/>
    <w:rsid w:val="00D17AFF"/>
    <w:rsid w:val="00D201BA"/>
    <w:rsid w:val="00D255CD"/>
    <w:rsid w:val="00D25617"/>
    <w:rsid w:val="00D27445"/>
    <w:rsid w:val="00D30C31"/>
    <w:rsid w:val="00D32089"/>
    <w:rsid w:val="00D3214B"/>
    <w:rsid w:val="00D34241"/>
    <w:rsid w:val="00D35780"/>
    <w:rsid w:val="00D36816"/>
    <w:rsid w:val="00D40262"/>
    <w:rsid w:val="00D4143F"/>
    <w:rsid w:val="00D50433"/>
    <w:rsid w:val="00D605D5"/>
    <w:rsid w:val="00D632BA"/>
    <w:rsid w:val="00D6337B"/>
    <w:rsid w:val="00D642D1"/>
    <w:rsid w:val="00D661D8"/>
    <w:rsid w:val="00D70B2B"/>
    <w:rsid w:val="00D70FFA"/>
    <w:rsid w:val="00D72908"/>
    <w:rsid w:val="00D77953"/>
    <w:rsid w:val="00D809FF"/>
    <w:rsid w:val="00D81ED2"/>
    <w:rsid w:val="00D828D9"/>
    <w:rsid w:val="00D858BB"/>
    <w:rsid w:val="00D85E31"/>
    <w:rsid w:val="00D87EBE"/>
    <w:rsid w:val="00D901E7"/>
    <w:rsid w:val="00D9207A"/>
    <w:rsid w:val="00D9353F"/>
    <w:rsid w:val="00D949F5"/>
    <w:rsid w:val="00D9500A"/>
    <w:rsid w:val="00DA12C5"/>
    <w:rsid w:val="00DA1ABC"/>
    <w:rsid w:val="00DA2423"/>
    <w:rsid w:val="00DA2F57"/>
    <w:rsid w:val="00DB589B"/>
    <w:rsid w:val="00DB6220"/>
    <w:rsid w:val="00DC0073"/>
    <w:rsid w:val="00DC45D8"/>
    <w:rsid w:val="00DC68B1"/>
    <w:rsid w:val="00DC6ACB"/>
    <w:rsid w:val="00DD0244"/>
    <w:rsid w:val="00DD1D3B"/>
    <w:rsid w:val="00DD2E1D"/>
    <w:rsid w:val="00DD5846"/>
    <w:rsid w:val="00DD75D7"/>
    <w:rsid w:val="00DD7B84"/>
    <w:rsid w:val="00DD7EB8"/>
    <w:rsid w:val="00DE37FB"/>
    <w:rsid w:val="00DE500B"/>
    <w:rsid w:val="00DE5CA6"/>
    <w:rsid w:val="00DE7152"/>
    <w:rsid w:val="00DE7FC1"/>
    <w:rsid w:val="00DF1485"/>
    <w:rsid w:val="00DF1488"/>
    <w:rsid w:val="00DF2E67"/>
    <w:rsid w:val="00DF4183"/>
    <w:rsid w:val="00DF4F0F"/>
    <w:rsid w:val="00DF6207"/>
    <w:rsid w:val="00DF703D"/>
    <w:rsid w:val="00E0196C"/>
    <w:rsid w:val="00E02BD5"/>
    <w:rsid w:val="00E03ACA"/>
    <w:rsid w:val="00E052EE"/>
    <w:rsid w:val="00E070B0"/>
    <w:rsid w:val="00E102E2"/>
    <w:rsid w:val="00E10884"/>
    <w:rsid w:val="00E11296"/>
    <w:rsid w:val="00E21307"/>
    <w:rsid w:val="00E243C0"/>
    <w:rsid w:val="00E26C2F"/>
    <w:rsid w:val="00E303DB"/>
    <w:rsid w:val="00E30820"/>
    <w:rsid w:val="00E31334"/>
    <w:rsid w:val="00E33F00"/>
    <w:rsid w:val="00E34085"/>
    <w:rsid w:val="00E35F27"/>
    <w:rsid w:val="00E361A3"/>
    <w:rsid w:val="00E377E6"/>
    <w:rsid w:val="00E42B78"/>
    <w:rsid w:val="00E44CBB"/>
    <w:rsid w:val="00E45C47"/>
    <w:rsid w:val="00E50641"/>
    <w:rsid w:val="00E537D3"/>
    <w:rsid w:val="00E54D94"/>
    <w:rsid w:val="00E54E83"/>
    <w:rsid w:val="00E554E0"/>
    <w:rsid w:val="00E57AD2"/>
    <w:rsid w:val="00E57F52"/>
    <w:rsid w:val="00E57FB3"/>
    <w:rsid w:val="00E605F9"/>
    <w:rsid w:val="00E6147B"/>
    <w:rsid w:val="00E6359E"/>
    <w:rsid w:val="00E6471B"/>
    <w:rsid w:val="00E656F7"/>
    <w:rsid w:val="00E67CF7"/>
    <w:rsid w:val="00E70F97"/>
    <w:rsid w:val="00E71D5F"/>
    <w:rsid w:val="00E75FB6"/>
    <w:rsid w:val="00E7605E"/>
    <w:rsid w:val="00E7697A"/>
    <w:rsid w:val="00E77164"/>
    <w:rsid w:val="00E81046"/>
    <w:rsid w:val="00E8117C"/>
    <w:rsid w:val="00E93945"/>
    <w:rsid w:val="00E9399D"/>
    <w:rsid w:val="00E93F2B"/>
    <w:rsid w:val="00E94514"/>
    <w:rsid w:val="00E957FA"/>
    <w:rsid w:val="00EA0F6C"/>
    <w:rsid w:val="00EA14CD"/>
    <w:rsid w:val="00EA1FCB"/>
    <w:rsid w:val="00EA4055"/>
    <w:rsid w:val="00EA4A2A"/>
    <w:rsid w:val="00EA73A4"/>
    <w:rsid w:val="00EA753C"/>
    <w:rsid w:val="00EA78D7"/>
    <w:rsid w:val="00EB308C"/>
    <w:rsid w:val="00EB3157"/>
    <w:rsid w:val="00EB37AC"/>
    <w:rsid w:val="00EC1410"/>
    <w:rsid w:val="00EC2C8F"/>
    <w:rsid w:val="00EC2EEE"/>
    <w:rsid w:val="00EC5032"/>
    <w:rsid w:val="00EC54BD"/>
    <w:rsid w:val="00EC613A"/>
    <w:rsid w:val="00EC6184"/>
    <w:rsid w:val="00EC61FB"/>
    <w:rsid w:val="00ED1DCE"/>
    <w:rsid w:val="00ED286A"/>
    <w:rsid w:val="00ED5775"/>
    <w:rsid w:val="00EE0159"/>
    <w:rsid w:val="00EE3202"/>
    <w:rsid w:val="00EE32E6"/>
    <w:rsid w:val="00EE69D7"/>
    <w:rsid w:val="00EE6E10"/>
    <w:rsid w:val="00EE7545"/>
    <w:rsid w:val="00EF0001"/>
    <w:rsid w:val="00EF0B3C"/>
    <w:rsid w:val="00EF1D66"/>
    <w:rsid w:val="00EF26CE"/>
    <w:rsid w:val="00EF485F"/>
    <w:rsid w:val="00EF6306"/>
    <w:rsid w:val="00F01673"/>
    <w:rsid w:val="00F025B9"/>
    <w:rsid w:val="00F02E17"/>
    <w:rsid w:val="00F04860"/>
    <w:rsid w:val="00F04864"/>
    <w:rsid w:val="00F05C6B"/>
    <w:rsid w:val="00F10D2C"/>
    <w:rsid w:val="00F1186D"/>
    <w:rsid w:val="00F12151"/>
    <w:rsid w:val="00F13EF1"/>
    <w:rsid w:val="00F1522F"/>
    <w:rsid w:val="00F16764"/>
    <w:rsid w:val="00F17036"/>
    <w:rsid w:val="00F17EBF"/>
    <w:rsid w:val="00F2180D"/>
    <w:rsid w:val="00F250B4"/>
    <w:rsid w:val="00F252E4"/>
    <w:rsid w:val="00F258BE"/>
    <w:rsid w:val="00F265A9"/>
    <w:rsid w:val="00F31E95"/>
    <w:rsid w:val="00F33F73"/>
    <w:rsid w:val="00F3594C"/>
    <w:rsid w:val="00F3605D"/>
    <w:rsid w:val="00F3712C"/>
    <w:rsid w:val="00F41510"/>
    <w:rsid w:val="00F41AE2"/>
    <w:rsid w:val="00F41B29"/>
    <w:rsid w:val="00F42A1E"/>
    <w:rsid w:val="00F42B59"/>
    <w:rsid w:val="00F43CCF"/>
    <w:rsid w:val="00F45CF8"/>
    <w:rsid w:val="00F4673E"/>
    <w:rsid w:val="00F473BC"/>
    <w:rsid w:val="00F50FC3"/>
    <w:rsid w:val="00F50FCA"/>
    <w:rsid w:val="00F512DB"/>
    <w:rsid w:val="00F51429"/>
    <w:rsid w:val="00F51A43"/>
    <w:rsid w:val="00F51FAD"/>
    <w:rsid w:val="00F52665"/>
    <w:rsid w:val="00F528F5"/>
    <w:rsid w:val="00F53384"/>
    <w:rsid w:val="00F55186"/>
    <w:rsid w:val="00F61126"/>
    <w:rsid w:val="00F64537"/>
    <w:rsid w:val="00F70613"/>
    <w:rsid w:val="00F71FFF"/>
    <w:rsid w:val="00F7508E"/>
    <w:rsid w:val="00F75DED"/>
    <w:rsid w:val="00F76470"/>
    <w:rsid w:val="00F77DB7"/>
    <w:rsid w:val="00F80A0B"/>
    <w:rsid w:val="00F85198"/>
    <w:rsid w:val="00F8799F"/>
    <w:rsid w:val="00F91B40"/>
    <w:rsid w:val="00F9200D"/>
    <w:rsid w:val="00F9304C"/>
    <w:rsid w:val="00F93EDD"/>
    <w:rsid w:val="00F95435"/>
    <w:rsid w:val="00F95E0D"/>
    <w:rsid w:val="00F96DB8"/>
    <w:rsid w:val="00FA02FE"/>
    <w:rsid w:val="00FA37D7"/>
    <w:rsid w:val="00FB1107"/>
    <w:rsid w:val="00FB17EF"/>
    <w:rsid w:val="00FB18E0"/>
    <w:rsid w:val="00FB26D8"/>
    <w:rsid w:val="00FB3A70"/>
    <w:rsid w:val="00FB4936"/>
    <w:rsid w:val="00FB565B"/>
    <w:rsid w:val="00FB5661"/>
    <w:rsid w:val="00FB7888"/>
    <w:rsid w:val="00FC3ECA"/>
    <w:rsid w:val="00FC428F"/>
    <w:rsid w:val="00FC4C2D"/>
    <w:rsid w:val="00FC6DA1"/>
    <w:rsid w:val="00FD1EDC"/>
    <w:rsid w:val="00FD2919"/>
    <w:rsid w:val="00FD4A62"/>
    <w:rsid w:val="00FD63F7"/>
    <w:rsid w:val="00FD677C"/>
    <w:rsid w:val="00FD7FE0"/>
    <w:rsid w:val="00FE1482"/>
    <w:rsid w:val="00FE1C67"/>
    <w:rsid w:val="00FE21B4"/>
    <w:rsid w:val="00FE48CE"/>
    <w:rsid w:val="00FE58A6"/>
    <w:rsid w:val="00FE5CB1"/>
    <w:rsid w:val="00FF5AF7"/>
    <w:rsid w:val="00FF5D81"/>
    <w:rsid w:val="00FF7A1F"/>
    <w:rsid w:val="00FF7ED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A1970DA"/>
  <w15:docId w15:val="{959D8ABA-60D9-F74F-A3AF-71E02290D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31427"/>
    <w:rPr>
      <w:rFonts w:ascii="OO7 Caslon No.224" w:hAnsi="OO7 Caslon No.224"/>
      <w:color w:val="000000"/>
      <w:sz w:val="24"/>
      <w:lang w:eastAsia="en-US"/>
    </w:rPr>
  </w:style>
  <w:style w:type="paragraph" w:styleId="Cmsor1">
    <w:name w:val="heading 1"/>
    <w:basedOn w:val="Norml"/>
    <w:next w:val="Norml"/>
    <w:qFormat/>
    <w:rsid w:val="00B31427"/>
    <w:pPr>
      <w:keepNext/>
      <w:outlineLvl w:val="0"/>
    </w:pPr>
    <w:rPr>
      <w:rFonts w:ascii="Times New Roman" w:hAnsi="Times New Roman"/>
      <w:b/>
      <w:sz w:val="28"/>
      <w:u w:val="single"/>
    </w:rPr>
  </w:style>
  <w:style w:type="paragraph" w:styleId="Cmsor2">
    <w:name w:val="heading 2"/>
    <w:basedOn w:val="Norml"/>
    <w:next w:val="Norml"/>
    <w:qFormat/>
    <w:rsid w:val="00B31427"/>
    <w:pPr>
      <w:keepNext/>
      <w:outlineLvl w:val="1"/>
    </w:pPr>
    <w:rPr>
      <w:rFonts w:ascii="Times New Roman" w:hAnsi="Times New Roman"/>
      <w:b/>
      <w:sz w:val="28"/>
    </w:rPr>
  </w:style>
  <w:style w:type="paragraph" w:styleId="Cmsor3">
    <w:name w:val="heading 3"/>
    <w:basedOn w:val="Norml"/>
    <w:next w:val="Norml"/>
    <w:qFormat/>
    <w:rsid w:val="00B31427"/>
    <w:pPr>
      <w:keepNext/>
      <w:outlineLvl w:val="2"/>
    </w:pPr>
    <w:rPr>
      <w:rFonts w:ascii="Times New Roman" w:hAnsi="Times New Roman"/>
      <w:i/>
      <w:iCs/>
    </w:rPr>
  </w:style>
  <w:style w:type="paragraph" w:styleId="Cmsor4">
    <w:name w:val="heading 4"/>
    <w:basedOn w:val="Norml"/>
    <w:next w:val="Norml"/>
    <w:qFormat/>
    <w:rsid w:val="00B31427"/>
    <w:pPr>
      <w:keepNext/>
      <w:outlineLvl w:val="3"/>
    </w:pPr>
    <w:rPr>
      <w:rFonts w:ascii="Times New Roman" w:hAnsi="Times New Roman"/>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rsid w:val="00B31427"/>
  </w:style>
  <w:style w:type="paragraph" w:styleId="llb">
    <w:name w:val="footer"/>
    <w:basedOn w:val="Norml"/>
    <w:link w:val="llbChar"/>
    <w:uiPriority w:val="99"/>
    <w:rsid w:val="00B31427"/>
    <w:pPr>
      <w:tabs>
        <w:tab w:val="center" w:pos="4153"/>
        <w:tab w:val="right" w:pos="8306"/>
      </w:tabs>
    </w:pPr>
  </w:style>
  <w:style w:type="paragraph" w:styleId="lfej">
    <w:name w:val="header"/>
    <w:basedOn w:val="Norml"/>
    <w:link w:val="lfejChar"/>
    <w:uiPriority w:val="99"/>
    <w:rsid w:val="00B31427"/>
    <w:pPr>
      <w:tabs>
        <w:tab w:val="center" w:pos="4153"/>
        <w:tab w:val="right" w:pos="8306"/>
      </w:tabs>
    </w:pPr>
  </w:style>
  <w:style w:type="paragraph" w:styleId="Szvegtrzs">
    <w:name w:val="Body Text"/>
    <w:basedOn w:val="Norml"/>
    <w:rsid w:val="00B31427"/>
    <w:rPr>
      <w:rFonts w:ascii="Times New Roman" w:hAnsi="Times New Roman"/>
      <w:sz w:val="28"/>
    </w:rPr>
  </w:style>
  <w:style w:type="paragraph" w:styleId="Buborkszveg">
    <w:name w:val="Balloon Text"/>
    <w:basedOn w:val="Norml"/>
    <w:semiHidden/>
    <w:rsid w:val="00AD7E19"/>
    <w:rPr>
      <w:rFonts w:ascii="Tahoma" w:hAnsi="Tahoma" w:cs="Tahoma"/>
      <w:sz w:val="16"/>
      <w:szCs w:val="16"/>
    </w:rPr>
  </w:style>
  <w:style w:type="character" w:styleId="Jegyzethivatkozs">
    <w:name w:val="annotation reference"/>
    <w:basedOn w:val="Bekezdsalapbettpusa"/>
    <w:uiPriority w:val="99"/>
    <w:semiHidden/>
    <w:unhideWhenUsed/>
    <w:rPr>
      <w:sz w:val="16"/>
      <w:szCs w:val="16"/>
    </w:rPr>
  </w:style>
  <w:style w:type="paragraph" w:styleId="Jegyzetszveg">
    <w:name w:val="annotation text"/>
    <w:basedOn w:val="Norml"/>
    <w:link w:val="JegyzetszvegChar"/>
    <w:uiPriority w:val="99"/>
    <w:semiHidden/>
    <w:unhideWhenUsed/>
    <w:rPr>
      <w:sz w:val="20"/>
    </w:rPr>
  </w:style>
  <w:style w:type="paragraph" w:styleId="Megjegyzstrgya">
    <w:name w:val="annotation subject"/>
    <w:basedOn w:val="Jegyzetszveg"/>
    <w:next w:val="Jegyzetszveg"/>
    <w:semiHidden/>
    <w:rsid w:val="00423924"/>
    <w:rPr>
      <w:b/>
      <w:bCs/>
    </w:rPr>
  </w:style>
  <w:style w:type="paragraph" w:styleId="Szvegtrzs2">
    <w:name w:val="Body Text 2"/>
    <w:basedOn w:val="Norml"/>
    <w:rsid w:val="00C13A85"/>
    <w:pPr>
      <w:spacing w:after="120" w:line="480" w:lineRule="auto"/>
    </w:pPr>
  </w:style>
  <w:style w:type="table" w:styleId="Rcsostblzat">
    <w:name w:val="Table Grid"/>
    <w:basedOn w:val="Normltblzat"/>
    <w:rsid w:val="004A59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iemels">
    <w:name w:val="Emphasis"/>
    <w:basedOn w:val="Bekezdsalapbettpusa"/>
    <w:uiPriority w:val="20"/>
    <w:qFormat/>
    <w:rsid w:val="00C62A73"/>
    <w:rPr>
      <w:b/>
      <w:bCs/>
      <w:i w:val="0"/>
      <w:iCs w:val="0"/>
    </w:rPr>
  </w:style>
  <w:style w:type="paragraph" w:styleId="Szvegtrzsbehzssal2">
    <w:name w:val="Body Text Indent 2"/>
    <w:basedOn w:val="Norml"/>
    <w:link w:val="Szvegtrzsbehzssal2Char"/>
    <w:rsid w:val="00AF5845"/>
    <w:pPr>
      <w:spacing w:after="120" w:line="480" w:lineRule="auto"/>
      <w:ind w:left="283"/>
    </w:pPr>
  </w:style>
  <w:style w:type="character" w:customStyle="1" w:styleId="Szvegtrzsbehzssal2Char">
    <w:name w:val="Szövegtörzs behúzással 2 Char"/>
    <w:basedOn w:val="Bekezdsalapbettpusa"/>
    <w:link w:val="Szvegtrzsbehzssal2"/>
    <w:rsid w:val="00AF5845"/>
    <w:rPr>
      <w:color w:val="000000"/>
      <w:sz w:val="24"/>
      <w:lang w:eastAsia="en-US"/>
    </w:rPr>
  </w:style>
  <w:style w:type="paragraph" w:styleId="Szvegtrzsbehzssal">
    <w:name w:val="Body Text Indent"/>
    <w:basedOn w:val="Norml"/>
    <w:link w:val="SzvegtrzsbehzssalChar"/>
    <w:rsid w:val="00AF5845"/>
    <w:pPr>
      <w:spacing w:after="120"/>
      <w:ind w:left="283"/>
    </w:pPr>
  </w:style>
  <w:style w:type="character" w:customStyle="1" w:styleId="SzvegtrzsbehzssalChar">
    <w:name w:val="Szövegtörzs behúzással Char"/>
    <w:basedOn w:val="Bekezdsalapbettpusa"/>
    <w:link w:val="Szvegtrzsbehzssal"/>
    <w:rsid w:val="00AF5845"/>
    <w:rPr>
      <w:color w:val="000000"/>
      <w:sz w:val="24"/>
      <w:lang w:eastAsia="en-US"/>
    </w:rPr>
  </w:style>
  <w:style w:type="paragraph" w:styleId="Makrszvege">
    <w:name w:val="macro"/>
    <w:link w:val="MakrszvegeChar"/>
    <w:rsid w:val="00F04864"/>
    <w:pPr>
      <w:tabs>
        <w:tab w:val="left" w:pos="480"/>
        <w:tab w:val="left" w:pos="960"/>
        <w:tab w:val="left" w:pos="1440"/>
        <w:tab w:val="left" w:pos="1920"/>
        <w:tab w:val="left" w:pos="2400"/>
        <w:tab w:val="left" w:pos="2880"/>
        <w:tab w:val="left" w:pos="3360"/>
        <w:tab w:val="left" w:pos="3840"/>
        <w:tab w:val="left" w:pos="4320"/>
      </w:tabs>
    </w:pPr>
    <w:rPr>
      <w:rFonts w:ascii="Arial" w:hAnsi="Arial"/>
      <w:sz w:val="22"/>
      <w:lang w:eastAsia="en-US"/>
    </w:rPr>
  </w:style>
  <w:style w:type="character" w:customStyle="1" w:styleId="MakrszvegeChar">
    <w:name w:val="Makró szövege Char"/>
    <w:basedOn w:val="Bekezdsalapbettpusa"/>
    <w:link w:val="Makrszvege"/>
    <w:rsid w:val="00F04864"/>
    <w:rPr>
      <w:rFonts w:ascii="Arial" w:hAnsi="Arial"/>
      <w:sz w:val="22"/>
      <w:lang w:val="hu-HU" w:eastAsia="en-US" w:bidi="ar-SA"/>
    </w:rPr>
  </w:style>
  <w:style w:type="paragraph" w:styleId="Lbjegyzetszveg">
    <w:name w:val="footnote text"/>
    <w:basedOn w:val="Norml"/>
    <w:link w:val="LbjegyzetszvegChar"/>
    <w:rsid w:val="001165D7"/>
    <w:rPr>
      <w:sz w:val="20"/>
    </w:rPr>
  </w:style>
  <w:style w:type="character" w:customStyle="1" w:styleId="LbjegyzetszvegChar">
    <w:name w:val="Lábjegyzetszöveg Char"/>
    <w:basedOn w:val="Bekezdsalapbettpusa"/>
    <w:link w:val="Lbjegyzetszveg"/>
    <w:rsid w:val="001165D7"/>
    <w:rPr>
      <w:color w:val="000000"/>
      <w:lang w:eastAsia="en-US"/>
    </w:rPr>
  </w:style>
  <w:style w:type="character" w:styleId="Lbjegyzet-hivatkozs">
    <w:name w:val="footnote reference"/>
    <w:basedOn w:val="Bekezdsalapbettpusa"/>
    <w:rsid w:val="001165D7"/>
    <w:rPr>
      <w:vertAlign w:val="superscript"/>
    </w:rPr>
  </w:style>
  <w:style w:type="paragraph" w:styleId="Vgjegyzetszvege">
    <w:name w:val="endnote text"/>
    <w:basedOn w:val="Norml"/>
    <w:link w:val="VgjegyzetszvegeChar"/>
    <w:rsid w:val="008A7EE2"/>
    <w:rPr>
      <w:sz w:val="20"/>
    </w:rPr>
  </w:style>
  <w:style w:type="character" w:customStyle="1" w:styleId="VgjegyzetszvegeChar">
    <w:name w:val="Végjegyzet szövege Char"/>
    <w:basedOn w:val="Bekezdsalapbettpusa"/>
    <w:link w:val="Vgjegyzetszvege"/>
    <w:rsid w:val="008A7EE2"/>
    <w:rPr>
      <w:color w:val="000000"/>
      <w:lang w:eastAsia="en-US"/>
    </w:rPr>
  </w:style>
  <w:style w:type="character" w:styleId="Vgjegyzet-hivatkozs">
    <w:name w:val="endnote reference"/>
    <w:basedOn w:val="Bekezdsalapbettpusa"/>
    <w:rsid w:val="008A7EE2"/>
    <w:rPr>
      <w:vertAlign w:val="superscript"/>
    </w:rPr>
  </w:style>
  <w:style w:type="paragraph" w:styleId="Listaszerbekezds">
    <w:name w:val="List Paragraph"/>
    <w:basedOn w:val="Norml"/>
    <w:uiPriority w:val="34"/>
    <w:qFormat/>
    <w:rsid w:val="00BE24AA"/>
    <w:pPr>
      <w:ind w:left="720"/>
    </w:pPr>
  </w:style>
  <w:style w:type="character" w:styleId="Hiperhivatkozs">
    <w:name w:val="Hyperlink"/>
    <w:rsid w:val="00B80FBC"/>
    <w:rPr>
      <w:color w:val="0000FF"/>
      <w:u w:val="single"/>
    </w:rPr>
  </w:style>
  <w:style w:type="character" w:customStyle="1" w:styleId="llbChar">
    <w:name w:val="Élőláb Char"/>
    <w:basedOn w:val="Bekezdsalapbettpusa"/>
    <w:link w:val="llb"/>
    <w:uiPriority w:val="99"/>
    <w:rsid w:val="00B13C8E"/>
    <w:rPr>
      <w:rFonts w:ascii="OO7 Caslon No.224" w:hAnsi="OO7 Caslon No.224"/>
      <w:color w:val="000000"/>
      <w:sz w:val="24"/>
      <w:lang w:eastAsia="en-US"/>
    </w:rPr>
  </w:style>
  <w:style w:type="paragraph" w:styleId="Vltozat">
    <w:name w:val="Revision"/>
    <w:hidden/>
    <w:uiPriority w:val="99"/>
    <w:semiHidden/>
    <w:rsid w:val="00C83EF8"/>
    <w:rPr>
      <w:rFonts w:ascii="OO7 Caslon No.224" w:hAnsi="OO7 Caslon No.224"/>
      <w:color w:val="000000"/>
      <w:sz w:val="24"/>
      <w:lang w:eastAsia="en-US"/>
    </w:rPr>
  </w:style>
  <w:style w:type="character" w:customStyle="1" w:styleId="JegyzetszvegChar">
    <w:name w:val="Jegyzetszöveg Char"/>
    <w:basedOn w:val="Bekezdsalapbettpusa"/>
    <w:link w:val="Jegyzetszveg"/>
    <w:semiHidden/>
    <w:rsid w:val="00C83EF8"/>
    <w:rPr>
      <w:rFonts w:ascii="OO7 Caslon No.224" w:hAnsi="OO7 Caslon No.224"/>
      <w:color w:val="000000"/>
      <w:lang w:eastAsia="en-US"/>
    </w:rPr>
  </w:style>
  <w:style w:type="character" w:customStyle="1" w:styleId="lfejChar">
    <w:name w:val="Élőfej Char"/>
    <w:basedOn w:val="Bekezdsalapbettpusa"/>
    <w:link w:val="lfej"/>
    <w:uiPriority w:val="99"/>
    <w:rsid w:val="00D17AFF"/>
    <w:rPr>
      <w:rFonts w:ascii="OO7 Caslon No.224" w:hAnsi="OO7 Caslon No.224"/>
      <w:color w:val="000000"/>
      <w:sz w:val="24"/>
      <w:lang w:eastAsia="en-US"/>
    </w:rPr>
  </w:style>
  <w:style w:type="paragraph" w:styleId="NormlWeb">
    <w:name w:val="Normal (Web)"/>
    <w:basedOn w:val="Norml"/>
    <w:uiPriority w:val="99"/>
    <w:unhideWhenUsed/>
    <w:rsid w:val="00940482"/>
    <w:pPr>
      <w:spacing w:before="100" w:beforeAutospacing="1" w:after="100" w:afterAutospacing="1"/>
    </w:pPr>
    <w:rPr>
      <w:rFonts w:ascii="Times New Roman" w:hAnsi="Times New Roman"/>
      <w:color w:val="auto"/>
      <w:szCs w:val="24"/>
    </w:rPr>
  </w:style>
  <w:style w:type="paragraph" w:customStyle="1" w:styleId="Default">
    <w:name w:val="Default"/>
    <w:rsid w:val="004438E5"/>
    <w:pPr>
      <w:autoSpaceDE w:val="0"/>
      <w:autoSpaceDN w:val="0"/>
      <w:adjustRightInd w:val="0"/>
    </w:pPr>
    <w:rPr>
      <w:color w:val="000000"/>
      <w:sz w:val="24"/>
      <w:szCs w:val="24"/>
    </w:rPr>
  </w:style>
  <w:style w:type="paragraph" w:customStyle="1" w:styleId="Textbody">
    <w:name w:val="Text body"/>
    <w:basedOn w:val="Norml"/>
    <w:rsid w:val="00481E3D"/>
    <w:pPr>
      <w:suppressAutoHyphens/>
      <w:autoSpaceDN w:val="0"/>
      <w:spacing w:after="140" w:line="288" w:lineRule="auto"/>
      <w:textAlignment w:val="baseline"/>
    </w:pPr>
    <w:rPr>
      <w:rFonts w:ascii="Liberation Serif" w:eastAsia="SimSun" w:hAnsi="Liberation Serif" w:cs="Mangal"/>
      <w:color w:val="auto"/>
      <w:kern w:val="3"/>
      <w:szCs w:val="24"/>
      <w:lang w:val="en-US"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800807">
      <w:bodyDiv w:val="1"/>
      <w:marLeft w:val="0"/>
      <w:marRight w:val="0"/>
      <w:marTop w:val="0"/>
      <w:marBottom w:val="0"/>
      <w:divBdr>
        <w:top w:val="none" w:sz="0" w:space="0" w:color="auto"/>
        <w:left w:val="none" w:sz="0" w:space="0" w:color="auto"/>
        <w:bottom w:val="none" w:sz="0" w:space="0" w:color="auto"/>
        <w:right w:val="none" w:sz="0" w:space="0" w:color="auto"/>
      </w:divBdr>
    </w:div>
    <w:div w:id="153034432">
      <w:bodyDiv w:val="1"/>
      <w:marLeft w:val="0"/>
      <w:marRight w:val="0"/>
      <w:marTop w:val="0"/>
      <w:marBottom w:val="0"/>
      <w:divBdr>
        <w:top w:val="none" w:sz="0" w:space="0" w:color="auto"/>
        <w:left w:val="none" w:sz="0" w:space="0" w:color="auto"/>
        <w:bottom w:val="none" w:sz="0" w:space="0" w:color="auto"/>
        <w:right w:val="none" w:sz="0" w:space="0" w:color="auto"/>
      </w:divBdr>
    </w:div>
    <w:div w:id="252402926">
      <w:bodyDiv w:val="1"/>
      <w:marLeft w:val="0"/>
      <w:marRight w:val="0"/>
      <w:marTop w:val="0"/>
      <w:marBottom w:val="0"/>
      <w:divBdr>
        <w:top w:val="none" w:sz="0" w:space="0" w:color="auto"/>
        <w:left w:val="none" w:sz="0" w:space="0" w:color="auto"/>
        <w:bottom w:val="none" w:sz="0" w:space="0" w:color="auto"/>
        <w:right w:val="none" w:sz="0" w:space="0" w:color="auto"/>
      </w:divBdr>
    </w:div>
    <w:div w:id="372778683">
      <w:bodyDiv w:val="1"/>
      <w:marLeft w:val="0"/>
      <w:marRight w:val="0"/>
      <w:marTop w:val="0"/>
      <w:marBottom w:val="0"/>
      <w:divBdr>
        <w:top w:val="none" w:sz="0" w:space="0" w:color="auto"/>
        <w:left w:val="none" w:sz="0" w:space="0" w:color="auto"/>
        <w:bottom w:val="none" w:sz="0" w:space="0" w:color="auto"/>
        <w:right w:val="none" w:sz="0" w:space="0" w:color="auto"/>
      </w:divBdr>
    </w:div>
    <w:div w:id="446045339">
      <w:bodyDiv w:val="1"/>
      <w:marLeft w:val="0"/>
      <w:marRight w:val="0"/>
      <w:marTop w:val="0"/>
      <w:marBottom w:val="0"/>
      <w:divBdr>
        <w:top w:val="none" w:sz="0" w:space="0" w:color="auto"/>
        <w:left w:val="none" w:sz="0" w:space="0" w:color="auto"/>
        <w:bottom w:val="none" w:sz="0" w:space="0" w:color="auto"/>
        <w:right w:val="none" w:sz="0" w:space="0" w:color="auto"/>
      </w:divBdr>
    </w:div>
    <w:div w:id="620766768">
      <w:bodyDiv w:val="1"/>
      <w:marLeft w:val="0"/>
      <w:marRight w:val="0"/>
      <w:marTop w:val="0"/>
      <w:marBottom w:val="0"/>
      <w:divBdr>
        <w:top w:val="none" w:sz="0" w:space="0" w:color="auto"/>
        <w:left w:val="none" w:sz="0" w:space="0" w:color="auto"/>
        <w:bottom w:val="none" w:sz="0" w:space="0" w:color="auto"/>
        <w:right w:val="none" w:sz="0" w:space="0" w:color="auto"/>
      </w:divBdr>
    </w:div>
    <w:div w:id="661128855">
      <w:bodyDiv w:val="1"/>
      <w:marLeft w:val="0"/>
      <w:marRight w:val="0"/>
      <w:marTop w:val="0"/>
      <w:marBottom w:val="0"/>
      <w:divBdr>
        <w:top w:val="none" w:sz="0" w:space="0" w:color="auto"/>
        <w:left w:val="none" w:sz="0" w:space="0" w:color="auto"/>
        <w:bottom w:val="none" w:sz="0" w:space="0" w:color="auto"/>
        <w:right w:val="none" w:sz="0" w:space="0" w:color="auto"/>
      </w:divBdr>
    </w:div>
    <w:div w:id="979840796">
      <w:bodyDiv w:val="1"/>
      <w:marLeft w:val="0"/>
      <w:marRight w:val="0"/>
      <w:marTop w:val="0"/>
      <w:marBottom w:val="0"/>
      <w:divBdr>
        <w:top w:val="none" w:sz="0" w:space="0" w:color="auto"/>
        <w:left w:val="none" w:sz="0" w:space="0" w:color="auto"/>
        <w:bottom w:val="none" w:sz="0" w:space="0" w:color="auto"/>
        <w:right w:val="none" w:sz="0" w:space="0" w:color="auto"/>
      </w:divBdr>
    </w:div>
    <w:div w:id="997148995">
      <w:bodyDiv w:val="1"/>
      <w:marLeft w:val="0"/>
      <w:marRight w:val="0"/>
      <w:marTop w:val="0"/>
      <w:marBottom w:val="0"/>
      <w:divBdr>
        <w:top w:val="none" w:sz="0" w:space="0" w:color="auto"/>
        <w:left w:val="none" w:sz="0" w:space="0" w:color="auto"/>
        <w:bottom w:val="none" w:sz="0" w:space="0" w:color="auto"/>
        <w:right w:val="none" w:sz="0" w:space="0" w:color="auto"/>
      </w:divBdr>
      <w:divsChild>
        <w:div w:id="1261452999">
          <w:marLeft w:val="0"/>
          <w:marRight w:val="0"/>
          <w:marTop w:val="0"/>
          <w:marBottom w:val="0"/>
          <w:divBdr>
            <w:top w:val="none" w:sz="0" w:space="0" w:color="auto"/>
            <w:left w:val="none" w:sz="0" w:space="0" w:color="auto"/>
            <w:bottom w:val="none" w:sz="0" w:space="0" w:color="auto"/>
            <w:right w:val="none" w:sz="0" w:space="0" w:color="auto"/>
          </w:divBdr>
        </w:div>
        <w:div w:id="2134592152">
          <w:marLeft w:val="0"/>
          <w:marRight w:val="0"/>
          <w:marTop w:val="0"/>
          <w:marBottom w:val="0"/>
          <w:divBdr>
            <w:top w:val="none" w:sz="0" w:space="0" w:color="auto"/>
            <w:left w:val="none" w:sz="0" w:space="0" w:color="auto"/>
            <w:bottom w:val="none" w:sz="0" w:space="0" w:color="auto"/>
            <w:right w:val="none" w:sz="0" w:space="0" w:color="auto"/>
          </w:divBdr>
        </w:div>
      </w:divsChild>
    </w:div>
    <w:div w:id="1051811410">
      <w:bodyDiv w:val="1"/>
      <w:marLeft w:val="0"/>
      <w:marRight w:val="0"/>
      <w:marTop w:val="0"/>
      <w:marBottom w:val="0"/>
      <w:divBdr>
        <w:top w:val="none" w:sz="0" w:space="0" w:color="auto"/>
        <w:left w:val="none" w:sz="0" w:space="0" w:color="auto"/>
        <w:bottom w:val="none" w:sz="0" w:space="0" w:color="auto"/>
        <w:right w:val="none" w:sz="0" w:space="0" w:color="auto"/>
      </w:divBdr>
    </w:div>
    <w:div w:id="1058474306">
      <w:bodyDiv w:val="1"/>
      <w:marLeft w:val="0"/>
      <w:marRight w:val="0"/>
      <w:marTop w:val="0"/>
      <w:marBottom w:val="0"/>
      <w:divBdr>
        <w:top w:val="none" w:sz="0" w:space="0" w:color="auto"/>
        <w:left w:val="none" w:sz="0" w:space="0" w:color="auto"/>
        <w:bottom w:val="none" w:sz="0" w:space="0" w:color="auto"/>
        <w:right w:val="none" w:sz="0" w:space="0" w:color="auto"/>
      </w:divBdr>
    </w:div>
    <w:div w:id="1202790879">
      <w:bodyDiv w:val="1"/>
      <w:marLeft w:val="0"/>
      <w:marRight w:val="0"/>
      <w:marTop w:val="0"/>
      <w:marBottom w:val="0"/>
      <w:divBdr>
        <w:top w:val="none" w:sz="0" w:space="0" w:color="auto"/>
        <w:left w:val="none" w:sz="0" w:space="0" w:color="auto"/>
        <w:bottom w:val="none" w:sz="0" w:space="0" w:color="auto"/>
        <w:right w:val="none" w:sz="0" w:space="0" w:color="auto"/>
      </w:divBdr>
    </w:div>
    <w:div w:id="1433477830">
      <w:bodyDiv w:val="1"/>
      <w:marLeft w:val="0"/>
      <w:marRight w:val="0"/>
      <w:marTop w:val="0"/>
      <w:marBottom w:val="0"/>
      <w:divBdr>
        <w:top w:val="none" w:sz="0" w:space="0" w:color="auto"/>
        <w:left w:val="none" w:sz="0" w:space="0" w:color="auto"/>
        <w:bottom w:val="none" w:sz="0" w:space="0" w:color="auto"/>
        <w:right w:val="none" w:sz="0" w:space="0" w:color="auto"/>
      </w:divBdr>
    </w:div>
    <w:div w:id="1447504212">
      <w:bodyDiv w:val="1"/>
      <w:marLeft w:val="0"/>
      <w:marRight w:val="0"/>
      <w:marTop w:val="0"/>
      <w:marBottom w:val="0"/>
      <w:divBdr>
        <w:top w:val="none" w:sz="0" w:space="0" w:color="auto"/>
        <w:left w:val="none" w:sz="0" w:space="0" w:color="auto"/>
        <w:bottom w:val="none" w:sz="0" w:space="0" w:color="auto"/>
        <w:right w:val="none" w:sz="0" w:space="0" w:color="auto"/>
      </w:divBdr>
      <w:divsChild>
        <w:div w:id="355739763">
          <w:marLeft w:val="0"/>
          <w:marRight w:val="0"/>
          <w:marTop w:val="0"/>
          <w:marBottom w:val="0"/>
          <w:divBdr>
            <w:top w:val="none" w:sz="0" w:space="0" w:color="auto"/>
            <w:left w:val="none" w:sz="0" w:space="0" w:color="auto"/>
            <w:bottom w:val="none" w:sz="0" w:space="0" w:color="auto"/>
            <w:right w:val="none" w:sz="0" w:space="0" w:color="auto"/>
          </w:divBdr>
        </w:div>
      </w:divsChild>
    </w:div>
    <w:div w:id="1691830332">
      <w:bodyDiv w:val="1"/>
      <w:marLeft w:val="0"/>
      <w:marRight w:val="0"/>
      <w:marTop w:val="0"/>
      <w:marBottom w:val="0"/>
      <w:divBdr>
        <w:top w:val="none" w:sz="0" w:space="0" w:color="auto"/>
        <w:left w:val="none" w:sz="0" w:space="0" w:color="auto"/>
        <w:bottom w:val="none" w:sz="0" w:space="0" w:color="auto"/>
        <w:right w:val="none" w:sz="0" w:space="0" w:color="auto"/>
      </w:divBdr>
    </w:div>
    <w:div w:id="1711801697">
      <w:bodyDiv w:val="1"/>
      <w:marLeft w:val="0"/>
      <w:marRight w:val="0"/>
      <w:marTop w:val="0"/>
      <w:marBottom w:val="0"/>
      <w:divBdr>
        <w:top w:val="none" w:sz="0" w:space="0" w:color="auto"/>
        <w:left w:val="none" w:sz="0" w:space="0" w:color="auto"/>
        <w:bottom w:val="none" w:sz="0" w:space="0" w:color="auto"/>
        <w:right w:val="none" w:sz="0" w:space="0" w:color="auto"/>
      </w:divBdr>
    </w:div>
    <w:div w:id="1714159621">
      <w:bodyDiv w:val="1"/>
      <w:marLeft w:val="0"/>
      <w:marRight w:val="0"/>
      <w:marTop w:val="0"/>
      <w:marBottom w:val="0"/>
      <w:divBdr>
        <w:top w:val="none" w:sz="0" w:space="0" w:color="auto"/>
        <w:left w:val="none" w:sz="0" w:space="0" w:color="auto"/>
        <w:bottom w:val="none" w:sz="0" w:space="0" w:color="auto"/>
        <w:right w:val="none" w:sz="0" w:space="0" w:color="auto"/>
      </w:divBdr>
    </w:div>
    <w:div w:id="1750227643">
      <w:bodyDiv w:val="1"/>
      <w:marLeft w:val="0"/>
      <w:marRight w:val="0"/>
      <w:marTop w:val="0"/>
      <w:marBottom w:val="0"/>
      <w:divBdr>
        <w:top w:val="none" w:sz="0" w:space="0" w:color="auto"/>
        <w:left w:val="none" w:sz="0" w:space="0" w:color="auto"/>
        <w:bottom w:val="none" w:sz="0" w:space="0" w:color="auto"/>
        <w:right w:val="none" w:sz="0" w:space="0" w:color="auto"/>
      </w:divBdr>
    </w:div>
    <w:div w:id="1992516679">
      <w:bodyDiv w:val="1"/>
      <w:marLeft w:val="0"/>
      <w:marRight w:val="0"/>
      <w:marTop w:val="0"/>
      <w:marBottom w:val="0"/>
      <w:divBdr>
        <w:top w:val="none" w:sz="0" w:space="0" w:color="auto"/>
        <w:left w:val="none" w:sz="0" w:space="0" w:color="auto"/>
        <w:bottom w:val="none" w:sz="0" w:space="0" w:color="auto"/>
        <w:right w:val="none" w:sz="0" w:space="0" w:color="auto"/>
      </w:divBdr>
    </w:div>
    <w:div w:id="2120224620">
      <w:bodyDiv w:val="1"/>
      <w:marLeft w:val="0"/>
      <w:marRight w:val="0"/>
      <w:marTop w:val="0"/>
      <w:marBottom w:val="0"/>
      <w:divBdr>
        <w:top w:val="none" w:sz="0" w:space="0" w:color="auto"/>
        <w:left w:val="none" w:sz="0" w:space="0" w:color="auto"/>
        <w:bottom w:val="none" w:sz="0" w:space="0" w:color="auto"/>
        <w:right w:val="none" w:sz="0" w:space="0" w:color="auto"/>
      </w:divBdr>
    </w:div>
    <w:div w:id="2135055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569B2-3561-444D-B26C-11580A63E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6142</Words>
  <Characters>47794</Characters>
  <Application>Microsoft Office Word</Application>
  <DocSecurity>0</DocSecurity>
  <Lines>398</Lines>
  <Paragraphs>107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Preparāta raksturojums</vt:lpstr>
      <vt:lpstr>Preparāta raksturojums</vt:lpstr>
    </vt:vector>
  </TitlesOfParts>
  <Company>Aptiekāru padoms</Company>
  <LinksUpToDate>false</LinksUpToDate>
  <CharactersWithSpaces>53829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Preparāta raksturojums</dc:title>
  <dc:creator>Gita Krastiņa</dc:creator>
  <cp:lastModifiedBy>OGYI_60.1</cp:lastModifiedBy>
  <cp:revision>4</cp:revision>
  <cp:lastPrinted>2005-10-11T12:18:00Z</cp:lastPrinted>
  <dcterms:created xsi:type="dcterms:W3CDTF">2021-08-25T12:11:00Z</dcterms:created>
  <dcterms:modified xsi:type="dcterms:W3CDTF">2021-09-01T10:11:00Z</dcterms:modified>
</cp:coreProperties>
</file>