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18365" w14:textId="2B474E9F" w:rsidR="00342671" w:rsidRPr="004954C2" w:rsidRDefault="00342671" w:rsidP="004954C2">
      <w:pPr>
        <w:pStyle w:val="Listaszerbekezds"/>
        <w:widowControl w:val="0"/>
        <w:numPr>
          <w:ilvl w:val="0"/>
          <w:numId w:val="12"/>
        </w:numPr>
        <w:ind w:left="0" w:firstLine="0"/>
        <w:rPr>
          <w:rFonts w:ascii="Times New Roman" w:hAnsi="Times New Roman"/>
          <w:b/>
          <w:bCs/>
        </w:rPr>
      </w:pPr>
      <w:bookmarkStart w:id="0" w:name="_GoBack"/>
      <w:bookmarkEnd w:id="0"/>
      <w:r w:rsidRPr="004954C2">
        <w:rPr>
          <w:rFonts w:ascii="Times New Roman" w:hAnsi="Times New Roman"/>
          <w:b/>
          <w:bCs/>
        </w:rPr>
        <w:t>A GYÓGYSZER NEVE</w:t>
      </w:r>
    </w:p>
    <w:p w14:paraId="5A2A946E" w14:textId="77777777" w:rsidR="00342671" w:rsidRPr="00DC2ECE" w:rsidRDefault="00342671" w:rsidP="00C46DF0">
      <w:pPr>
        <w:widowControl w:val="0"/>
        <w:rPr>
          <w:rFonts w:ascii="Times New Roman" w:hAnsi="Times New Roman"/>
          <w:lang w:val="en-GB"/>
        </w:rPr>
      </w:pPr>
    </w:p>
    <w:p w14:paraId="2E8D1887" w14:textId="42B604FB" w:rsidR="00FE4E92" w:rsidRPr="00DC2ECE" w:rsidRDefault="00542D70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Lisidipin </w:t>
      </w:r>
      <w:r>
        <w:rPr>
          <w:rFonts w:ascii="Times New Roman" w:hAnsi="Times New Roman"/>
          <w:bCs/>
        </w:rPr>
        <w:t>2</w:t>
      </w:r>
      <w:r w:rsidR="00B61158" w:rsidRPr="00DC2ECE">
        <w:rPr>
          <w:rFonts w:ascii="Times New Roman" w:hAnsi="Times New Roman"/>
          <w:bCs/>
        </w:rPr>
        <w:t>0</w:t>
      </w:r>
      <w:r w:rsidR="005F24FF" w:rsidRPr="00DC2ECE">
        <w:rPr>
          <w:rFonts w:ascii="Times New Roman" w:hAnsi="Times New Roman"/>
          <w:bCs/>
        </w:rPr>
        <w:t> mg</w:t>
      </w:r>
      <w:r w:rsidR="00B61158" w:rsidRPr="00DC2ECE">
        <w:rPr>
          <w:rFonts w:ascii="Times New Roman" w:hAnsi="Times New Roman"/>
          <w:bCs/>
        </w:rPr>
        <w:t>/5</w:t>
      </w:r>
      <w:r w:rsidR="005F24FF" w:rsidRPr="00DC2ECE">
        <w:rPr>
          <w:rFonts w:ascii="Times New Roman" w:hAnsi="Times New Roman"/>
          <w:bCs/>
        </w:rPr>
        <w:t> mg</w:t>
      </w:r>
      <w:r w:rsidR="00B61158" w:rsidRPr="00DC2ECE">
        <w:rPr>
          <w:rFonts w:ascii="Times New Roman" w:hAnsi="Times New Roman"/>
          <w:bCs/>
        </w:rPr>
        <w:t xml:space="preserve"> tabletta</w:t>
      </w:r>
    </w:p>
    <w:p w14:paraId="22FC9129" w14:textId="77777777" w:rsidR="001154CD" w:rsidRPr="00DC2ECE" w:rsidRDefault="001154CD" w:rsidP="00C46DF0">
      <w:pPr>
        <w:widowControl w:val="0"/>
        <w:rPr>
          <w:rFonts w:ascii="Times New Roman" w:hAnsi="Times New Roman"/>
          <w:lang w:val="en-GB"/>
        </w:rPr>
      </w:pPr>
    </w:p>
    <w:p w14:paraId="4E598CDD" w14:textId="77777777" w:rsidR="00342671" w:rsidRPr="00DC2ECE" w:rsidRDefault="00342671" w:rsidP="00C46DF0">
      <w:pPr>
        <w:widowControl w:val="0"/>
        <w:rPr>
          <w:rFonts w:ascii="Times New Roman" w:hAnsi="Times New Roman"/>
          <w:lang w:val="en-GB"/>
        </w:rPr>
      </w:pPr>
    </w:p>
    <w:p w14:paraId="5C7DD240" w14:textId="77777777" w:rsidR="00342671" w:rsidRPr="00DC2ECE" w:rsidRDefault="00342671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2.</w:t>
      </w:r>
      <w:r w:rsidRPr="00DC2ECE">
        <w:rPr>
          <w:rFonts w:ascii="Times New Roman" w:hAnsi="Times New Roman"/>
          <w:b/>
          <w:bCs/>
        </w:rPr>
        <w:tab/>
        <w:t>MINŐSÉGI ÉS MENNYISÉGI ÖSSZETÉTEL</w:t>
      </w:r>
    </w:p>
    <w:p w14:paraId="61F7C487" w14:textId="77777777" w:rsidR="00342671" w:rsidRPr="00DC2ECE" w:rsidRDefault="00342671" w:rsidP="00C46DF0">
      <w:pPr>
        <w:widowControl w:val="0"/>
        <w:rPr>
          <w:rFonts w:ascii="Times New Roman" w:hAnsi="Times New Roman"/>
          <w:lang w:val="en-GB"/>
        </w:rPr>
      </w:pPr>
    </w:p>
    <w:p w14:paraId="76478B27" w14:textId="7D808481" w:rsidR="0038144B" w:rsidRPr="00DC2ECE" w:rsidRDefault="00542D70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38144B" w:rsidRPr="00DC2ECE">
        <w:rPr>
          <w:rFonts w:ascii="Times New Roman" w:hAnsi="Times New Roman"/>
        </w:rPr>
        <w:t>0</w:t>
      </w:r>
      <w:r w:rsidR="005F24FF" w:rsidRPr="00DC2ECE">
        <w:rPr>
          <w:rFonts w:ascii="Times New Roman" w:hAnsi="Times New Roman"/>
        </w:rPr>
        <w:t> mg</w:t>
      </w:r>
      <w:r w:rsidR="0038144B" w:rsidRPr="00DC2ECE">
        <w:rPr>
          <w:rFonts w:ascii="Times New Roman" w:hAnsi="Times New Roman"/>
        </w:rPr>
        <w:t xml:space="preserve"> lizinoprilt (</w:t>
      </w:r>
      <w:r w:rsidR="007E6E1C">
        <w:rPr>
          <w:rFonts w:ascii="Times New Roman" w:hAnsi="Times New Roman"/>
        </w:rPr>
        <w:t>lizinopril-</w:t>
      </w:r>
      <w:r w:rsidR="0038144B" w:rsidRPr="00DC2ECE">
        <w:rPr>
          <w:rFonts w:ascii="Times New Roman" w:hAnsi="Times New Roman"/>
        </w:rPr>
        <w:t>dihidrát formájában) és 5</w:t>
      </w:r>
      <w:r w:rsidR="005F24FF" w:rsidRPr="00DC2ECE">
        <w:rPr>
          <w:rFonts w:ascii="Times New Roman" w:hAnsi="Times New Roman"/>
        </w:rPr>
        <w:t> mg</w:t>
      </w:r>
      <w:r w:rsidR="0038144B" w:rsidRPr="00DC2ECE">
        <w:rPr>
          <w:rFonts w:ascii="Times New Roman" w:hAnsi="Times New Roman"/>
        </w:rPr>
        <w:t xml:space="preserve"> amlodipint (</w:t>
      </w:r>
      <w:r w:rsidR="007E6E1C">
        <w:rPr>
          <w:rFonts w:ascii="Times New Roman" w:hAnsi="Times New Roman"/>
        </w:rPr>
        <w:t>amlodipin-</w:t>
      </w:r>
      <w:r w:rsidR="0038144B" w:rsidRPr="00DC2ECE">
        <w:rPr>
          <w:rFonts w:ascii="Times New Roman" w:hAnsi="Times New Roman"/>
        </w:rPr>
        <w:t>bezilát formájában) tartalmaz tablettánként.</w:t>
      </w:r>
    </w:p>
    <w:p w14:paraId="7F10FDDE" w14:textId="77777777" w:rsidR="0038144B" w:rsidRPr="00DC2ECE" w:rsidRDefault="0038144B" w:rsidP="00C46DF0">
      <w:pPr>
        <w:widowControl w:val="0"/>
        <w:rPr>
          <w:rFonts w:ascii="Times New Roman" w:hAnsi="Times New Roman"/>
        </w:rPr>
      </w:pPr>
    </w:p>
    <w:p w14:paraId="49E8181F" w14:textId="08596986" w:rsidR="0038144B" w:rsidRPr="00DC2ECE" w:rsidRDefault="0038144B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segédanyagok teljes listáját lásd a 6.1</w:t>
      </w:r>
      <w:r w:rsidR="0090363C" w:rsidRPr="00DC2ECE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pontban.</w:t>
      </w:r>
    </w:p>
    <w:p w14:paraId="67F23B72" w14:textId="77777777" w:rsidR="00ED69A3" w:rsidRPr="001151A2" w:rsidRDefault="00ED69A3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52DF6A9E" w14:textId="77777777" w:rsidR="00ED69A3" w:rsidRPr="001151A2" w:rsidRDefault="00ED69A3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6009FFF2" w14:textId="77777777" w:rsidR="00342671" w:rsidRPr="001D5C13" w:rsidRDefault="00342671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3.</w:t>
      </w:r>
      <w:r w:rsidRPr="00DC2ECE">
        <w:rPr>
          <w:rFonts w:ascii="Times New Roman" w:hAnsi="Times New Roman"/>
          <w:b/>
          <w:bCs/>
        </w:rPr>
        <w:tab/>
        <w:t>GYÓGYSZERFORMA</w:t>
      </w:r>
    </w:p>
    <w:p w14:paraId="7AACCADD" w14:textId="77777777" w:rsidR="00342671" w:rsidRPr="00CB6009" w:rsidRDefault="00342671" w:rsidP="00C46DF0">
      <w:pPr>
        <w:widowControl w:val="0"/>
        <w:rPr>
          <w:rFonts w:ascii="Times New Roman" w:hAnsi="Times New Roman"/>
          <w:lang w:val="en-GB"/>
        </w:rPr>
      </w:pPr>
    </w:p>
    <w:p w14:paraId="51EF8C53" w14:textId="77777777" w:rsidR="0038144B" w:rsidRPr="00DC2ECE" w:rsidRDefault="0038144B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Tabletta</w:t>
      </w:r>
    </w:p>
    <w:p w14:paraId="6DE738B9" w14:textId="77777777" w:rsidR="0038144B" w:rsidRPr="00DC2ECE" w:rsidRDefault="0038144B" w:rsidP="00C46DF0">
      <w:pPr>
        <w:widowControl w:val="0"/>
        <w:rPr>
          <w:rFonts w:ascii="Times New Roman" w:hAnsi="Times New Roman"/>
          <w:lang w:val="en-GB"/>
        </w:rPr>
      </w:pPr>
    </w:p>
    <w:p w14:paraId="2DFC0C72" w14:textId="77777777" w:rsidR="00542D70" w:rsidRPr="00DC2ECE" w:rsidRDefault="00542D70" w:rsidP="00542D7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Fehér vagy csaknem fehér, kerek, 11,00 ± 0,15 mm átmérőjű, mindkét oldalán domború felületű tabletta, egyik oldalán bemetszéssel, másik oldalán mélynyomású „L A 1” jelöléssel ellátva.</w:t>
      </w:r>
    </w:p>
    <w:p w14:paraId="023FBC42" w14:textId="77777777" w:rsidR="0038144B" w:rsidRPr="00DC2ECE" w:rsidRDefault="0038144B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tablettán lévő bemetszés csak a széttörés elősegítésére és a lenyelés megkönnyítésére szolgál, nem arra, hogy a készítményt egyenlő adagokra ossza.</w:t>
      </w:r>
    </w:p>
    <w:p w14:paraId="6225D750" w14:textId="77777777" w:rsidR="0038144B" w:rsidRPr="00DC2ECE" w:rsidRDefault="0038144B" w:rsidP="00C46DF0">
      <w:pPr>
        <w:widowControl w:val="0"/>
        <w:rPr>
          <w:rFonts w:ascii="Times New Roman" w:hAnsi="Times New Roman"/>
        </w:rPr>
      </w:pPr>
    </w:p>
    <w:p w14:paraId="1D5C3EB2" w14:textId="77777777" w:rsidR="00393665" w:rsidRPr="00DC2ECE" w:rsidRDefault="00393665" w:rsidP="00C46DF0">
      <w:pPr>
        <w:widowControl w:val="0"/>
        <w:rPr>
          <w:rFonts w:ascii="Times New Roman" w:hAnsi="Times New Roman"/>
          <w:lang w:val="en-GB"/>
        </w:rPr>
      </w:pPr>
    </w:p>
    <w:p w14:paraId="76DDF26D" w14:textId="77777777" w:rsidR="00342671" w:rsidRPr="00DC2ECE" w:rsidRDefault="00342671" w:rsidP="00C46DF0">
      <w:pPr>
        <w:widowControl w:val="0"/>
        <w:rPr>
          <w:rFonts w:ascii="Times New Roman" w:eastAsia="Times New Roman" w:hAnsi="Times New Roman"/>
          <w:b/>
          <w:caps/>
        </w:rPr>
      </w:pPr>
      <w:r w:rsidRPr="00DC2ECE">
        <w:rPr>
          <w:rFonts w:ascii="Times New Roman" w:hAnsi="Times New Roman"/>
          <w:b/>
          <w:bCs/>
          <w:caps/>
        </w:rPr>
        <w:t>4.</w:t>
      </w:r>
      <w:r w:rsidRPr="00DC2ECE">
        <w:rPr>
          <w:rFonts w:ascii="Times New Roman" w:hAnsi="Times New Roman"/>
          <w:b/>
          <w:bCs/>
          <w:caps/>
        </w:rPr>
        <w:tab/>
        <w:t>KLINIKAI JELLEMZŐK</w:t>
      </w:r>
    </w:p>
    <w:p w14:paraId="3BAA2F8B" w14:textId="77777777" w:rsidR="00342671" w:rsidRPr="00DC2ECE" w:rsidRDefault="00342671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0AEEA95D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4.1</w:t>
      </w:r>
      <w:r w:rsidRPr="00DC2ECE">
        <w:rPr>
          <w:rFonts w:ascii="Times New Roman" w:hAnsi="Times New Roman"/>
          <w:b/>
          <w:bCs/>
        </w:rPr>
        <w:tab/>
        <w:t>Terápiás javallatok</w:t>
      </w:r>
    </w:p>
    <w:p w14:paraId="00E3FB4D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52C7A63" w14:textId="3C0AA1B4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Ess</w:t>
      </w:r>
      <w:r w:rsidR="00922608" w:rsidRPr="00DC2ECE">
        <w:rPr>
          <w:rFonts w:ascii="Times New Roman" w:hAnsi="Times New Roman"/>
        </w:rPr>
        <w:t>entialis</w:t>
      </w:r>
      <w:r w:rsidRPr="00DC2ECE">
        <w:rPr>
          <w:rFonts w:ascii="Times New Roman" w:hAnsi="Times New Roman"/>
        </w:rPr>
        <w:t xml:space="preserve"> hypertonia kezelése felnőtteknél.</w:t>
      </w:r>
    </w:p>
    <w:p w14:paraId="565FF165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39BC954B" w14:textId="2E01C5C1" w:rsidR="003D468D" w:rsidRPr="00DC2ECE" w:rsidRDefault="00B61158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olyan felnőttek számára java</w:t>
      </w:r>
      <w:r w:rsidR="00DD28EF" w:rsidRPr="00DC2ECE">
        <w:rPr>
          <w:rFonts w:ascii="Times New Roman" w:hAnsi="Times New Roman"/>
        </w:rPr>
        <w:t>llott</w:t>
      </w:r>
      <w:r w:rsidRPr="00DC2ECE">
        <w:rPr>
          <w:rFonts w:ascii="Times New Roman" w:hAnsi="Times New Roman"/>
        </w:rPr>
        <w:t xml:space="preserve"> szubsztitúciós kezelésként, akiknek a vérnyomása megfelelő</w:t>
      </w:r>
      <w:r w:rsidR="00E62017">
        <w:rPr>
          <w:rFonts w:ascii="Times New Roman" w:hAnsi="Times New Roman"/>
        </w:rPr>
        <w:t>en</w:t>
      </w:r>
      <w:r w:rsidRPr="00DC2ECE">
        <w:rPr>
          <w:rFonts w:ascii="Times New Roman" w:hAnsi="Times New Roman"/>
        </w:rPr>
        <w:t xml:space="preserve"> </w:t>
      </w:r>
      <w:r w:rsidR="00E62017">
        <w:rPr>
          <w:rFonts w:ascii="Times New Roman" w:hAnsi="Times New Roman"/>
        </w:rPr>
        <w:t>kontrollálható</w:t>
      </w:r>
      <w:r w:rsidRPr="00DC2ECE">
        <w:rPr>
          <w:rFonts w:ascii="Times New Roman" w:hAnsi="Times New Roman"/>
        </w:rPr>
        <w:t xml:space="preserve"> a készítményben találhatóval azonos dózisú, egyidejűleg adott lizinoprillel és amlodipinnel.</w:t>
      </w:r>
    </w:p>
    <w:p w14:paraId="12B843C7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20CE17D" w14:textId="77777777" w:rsidR="003D468D" w:rsidRPr="00DC2ECE" w:rsidRDefault="003D468D" w:rsidP="005F24FF">
      <w:pPr>
        <w:keepNext/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4.2</w:t>
      </w:r>
      <w:r w:rsidRPr="00DC2ECE">
        <w:rPr>
          <w:rFonts w:ascii="Times New Roman" w:hAnsi="Times New Roman"/>
          <w:b/>
          <w:bCs/>
        </w:rPr>
        <w:tab/>
        <w:t>Adagolás és alkalmazás</w:t>
      </w:r>
    </w:p>
    <w:p w14:paraId="03335B18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43A63A9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Adagolás</w:t>
      </w:r>
    </w:p>
    <w:p w14:paraId="2F0E303A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E5CE5C7" w14:textId="109C97ED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javasolt </w:t>
      </w:r>
      <w:r w:rsidR="00B2251F">
        <w:rPr>
          <w:rFonts w:ascii="Times New Roman" w:hAnsi="Times New Roman"/>
        </w:rPr>
        <w:t>dózis</w:t>
      </w:r>
      <w:r w:rsidR="00B2251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egy tabletta naponta. A maximális napi </w:t>
      </w:r>
      <w:r w:rsidR="00B2251F">
        <w:rPr>
          <w:rFonts w:ascii="Times New Roman" w:hAnsi="Times New Roman"/>
        </w:rPr>
        <w:t>dózis</w:t>
      </w:r>
      <w:r w:rsidR="00B2251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egy tabletta.</w:t>
      </w:r>
    </w:p>
    <w:p w14:paraId="5CE7F2C9" w14:textId="77777777" w:rsidR="003D468D" w:rsidRPr="00DC2ECE" w:rsidRDefault="003D468D" w:rsidP="00C46DF0">
      <w:pPr>
        <w:widowControl w:val="0"/>
        <w:rPr>
          <w:rFonts w:ascii="Times New Roman" w:hAnsi="Times New Roman"/>
          <w:noProof/>
        </w:rPr>
      </w:pPr>
      <w:r w:rsidRPr="00DC2ECE">
        <w:rPr>
          <w:rFonts w:ascii="Times New Roman" w:hAnsi="Times New Roman"/>
        </w:rPr>
        <w:t>Általánosságban a fix dózisú kombinációt tartalmazó készítmények nem alkalmasak kezdeti terápiára.</w:t>
      </w:r>
    </w:p>
    <w:p w14:paraId="62A69BE0" w14:textId="77777777" w:rsidR="00114EB9" w:rsidRDefault="00114EB9" w:rsidP="00C46DF0">
      <w:pPr>
        <w:widowControl w:val="0"/>
        <w:rPr>
          <w:rFonts w:ascii="Times New Roman" w:hAnsi="Times New Roman"/>
        </w:rPr>
      </w:pPr>
    </w:p>
    <w:p w14:paraId="4959EDA6" w14:textId="2783A5DA" w:rsidR="003D468D" w:rsidRDefault="00B61158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csak azon betegek számára javall</w:t>
      </w:r>
      <w:r w:rsidR="00DD28EF" w:rsidRPr="00DC2ECE">
        <w:rPr>
          <w:rFonts w:ascii="Times New Roman" w:hAnsi="Times New Roman"/>
        </w:rPr>
        <w:t>ot</w:t>
      </w:r>
      <w:r w:rsidRPr="00DC2ECE">
        <w:rPr>
          <w:rFonts w:ascii="Times New Roman" w:hAnsi="Times New Roman"/>
        </w:rPr>
        <w:t xml:space="preserve">t, akiknél a </w:t>
      </w:r>
      <w:r w:rsidR="00EE5962" w:rsidRPr="00DC2ECE">
        <w:rPr>
          <w:rFonts w:ascii="Times New Roman" w:hAnsi="Times New Roman"/>
        </w:rPr>
        <w:t xml:space="preserve">dózis titrálása során </w:t>
      </w:r>
      <w:r w:rsidR="00EE5962">
        <w:rPr>
          <w:rFonts w:ascii="Times New Roman" w:hAnsi="Times New Roman"/>
        </w:rPr>
        <w:t xml:space="preserve">a </w:t>
      </w:r>
      <w:r w:rsidRPr="00DC2ECE">
        <w:rPr>
          <w:rFonts w:ascii="Times New Roman" w:hAnsi="Times New Roman"/>
        </w:rPr>
        <w:t xml:space="preserve">lizinopril </w:t>
      </w:r>
      <w:r w:rsidR="00EE5962" w:rsidRPr="00DC2ECE">
        <w:rPr>
          <w:rFonts w:ascii="Times New Roman" w:hAnsi="Times New Roman"/>
        </w:rPr>
        <w:t xml:space="preserve">optimális fenntartó </w:t>
      </w:r>
      <w:r w:rsidR="00B2251F">
        <w:rPr>
          <w:rFonts w:ascii="Times New Roman" w:hAnsi="Times New Roman"/>
        </w:rPr>
        <w:t>dózis</w:t>
      </w:r>
      <w:r w:rsidR="00EE5962">
        <w:rPr>
          <w:rFonts w:ascii="Times New Roman" w:hAnsi="Times New Roman"/>
        </w:rPr>
        <w:t>á</w:t>
      </w:r>
      <w:r w:rsidR="00EE5962" w:rsidRPr="00DC2ECE">
        <w:rPr>
          <w:rFonts w:ascii="Times New Roman" w:hAnsi="Times New Roman"/>
        </w:rPr>
        <w:t xml:space="preserve">t a </w:t>
      </w:r>
      <w:r w:rsidR="002B6995">
        <w:rPr>
          <w:rFonts w:ascii="Times New Roman" w:hAnsi="Times New Roman"/>
        </w:rPr>
        <w:t>2</w:t>
      </w:r>
      <w:r w:rsidR="00EE5962" w:rsidRPr="00DC2ECE">
        <w:rPr>
          <w:rFonts w:ascii="Times New Roman" w:hAnsi="Times New Roman"/>
        </w:rPr>
        <w:t>0 mg</w:t>
      </w:r>
      <w:r w:rsidR="00EE5962" w:rsidRPr="00DC2ECE">
        <w:rPr>
          <w:rFonts w:ascii="Times New Roman" w:hAnsi="Times New Roman"/>
        </w:rPr>
        <w:noBreakHyphen/>
      </w:r>
      <w:r w:rsidR="00E62017">
        <w:rPr>
          <w:rFonts w:ascii="Times New Roman" w:hAnsi="Times New Roman"/>
        </w:rPr>
        <w:t>ra</w:t>
      </w:r>
      <w:r w:rsidR="00EE5962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és az amlodipin </w:t>
      </w:r>
      <w:r w:rsidR="00EE5962" w:rsidRPr="00DC2ECE">
        <w:rPr>
          <w:rFonts w:ascii="Times New Roman" w:hAnsi="Times New Roman"/>
        </w:rPr>
        <w:t xml:space="preserve">optimális fenntartó </w:t>
      </w:r>
      <w:r w:rsidR="00B2251F">
        <w:rPr>
          <w:rFonts w:ascii="Times New Roman" w:hAnsi="Times New Roman"/>
        </w:rPr>
        <w:t>dózis</w:t>
      </w:r>
      <w:r w:rsidR="00EE5962">
        <w:rPr>
          <w:rFonts w:ascii="Times New Roman" w:hAnsi="Times New Roman"/>
        </w:rPr>
        <w:t>á</w:t>
      </w:r>
      <w:r w:rsidR="00EE5962" w:rsidRPr="00DC2ECE">
        <w:rPr>
          <w:rFonts w:ascii="Times New Roman" w:hAnsi="Times New Roman"/>
        </w:rPr>
        <w:t xml:space="preserve">t </w:t>
      </w:r>
      <w:r w:rsidRPr="00DC2ECE">
        <w:rPr>
          <w:rFonts w:ascii="Times New Roman" w:hAnsi="Times New Roman"/>
        </w:rPr>
        <w:t>5</w:t>
      </w:r>
      <w:r w:rsidR="005F24FF" w:rsidRPr="00DC2ECE">
        <w:rPr>
          <w:rFonts w:ascii="Times New Roman" w:hAnsi="Times New Roman"/>
        </w:rPr>
        <w:t> mg</w:t>
      </w:r>
      <w:r w:rsidR="005F24FF" w:rsidRPr="00DC2ECE">
        <w:rPr>
          <w:rFonts w:ascii="Times New Roman" w:hAnsi="Times New Roman"/>
        </w:rPr>
        <w:noBreakHyphen/>
      </w:r>
      <w:r w:rsidR="00E62017">
        <w:rPr>
          <w:rFonts w:ascii="Times New Roman" w:hAnsi="Times New Roman"/>
        </w:rPr>
        <w:t>r</w:t>
      </w:r>
      <w:r w:rsidRPr="00DC2ECE">
        <w:rPr>
          <w:rFonts w:ascii="Times New Roman" w:hAnsi="Times New Roman"/>
        </w:rPr>
        <w:t>a</w:t>
      </w:r>
      <w:r w:rsidR="00114EB9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állították be.</w:t>
      </w:r>
    </w:p>
    <w:p w14:paraId="0C56C2A4" w14:textId="3F1372E3" w:rsidR="00114EB9" w:rsidRDefault="00114EB9" w:rsidP="00C46DF0">
      <w:pPr>
        <w:widowControl w:val="0"/>
        <w:rPr>
          <w:rFonts w:ascii="Times New Roman" w:hAnsi="Times New Roman"/>
        </w:rPr>
      </w:pPr>
    </w:p>
    <w:p w14:paraId="19FED0F9" w14:textId="0A4199F6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Amennyiben az adagolás módosítása szükséges, </w:t>
      </w:r>
      <w:r w:rsidRPr="00B2251F">
        <w:rPr>
          <w:rFonts w:ascii="Times New Roman" w:hAnsi="Times New Roman"/>
        </w:rPr>
        <w:t xml:space="preserve">a kombináció összetevőinek </w:t>
      </w:r>
      <w:r w:rsidR="00B2251F">
        <w:rPr>
          <w:rFonts w:ascii="Times New Roman" w:hAnsi="Times New Roman"/>
        </w:rPr>
        <w:t>külön-külön</w:t>
      </w:r>
      <w:r w:rsidR="00B2251F" w:rsidRPr="00B2251F">
        <w:rPr>
          <w:rFonts w:ascii="Times New Roman" w:hAnsi="Times New Roman"/>
        </w:rPr>
        <w:t xml:space="preserve"> </w:t>
      </w:r>
      <w:r w:rsidRPr="00B2251F">
        <w:rPr>
          <w:rFonts w:ascii="Times New Roman" w:hAnsi="Times New Roman"/>
        </w:rPr>
        <w:t>titrálása</w:t>
      </w:r>
      <w:r w:rsidRPr="00DC2ECE">
        <w:rPr>
          <w:rFonts w:ascii="Times New Roman" w:hAnsi="Times New Roman"/>
        </w:rPr>
        <w:t xml:space="preserve"> mérlegelhető.</w:t>
      </w:r>
    </w:p>
    <w:p w14:paraId="5FA3A7DD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246BA719" w14:textId="77777777" w:rsidR="003F5C66" w:rsidRPr="00DC2ECE" w:rsidRDefault="00FE1305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Különleges betegcsoportok</w:t>
      </w:r>
    </w:p>
    <w:p w14:paraId="50F62D71" w14:textId="77777777" w:rsidR="003F5C66" w:rsidRPr="00DC2ECE" w:rsidRDefault="003F5C66" w:rsidP="00C46DF0">
      <w:pPr>
        <w:widowControl w:val="0"/>
        <w:rPr>
          <w:rFonts w:ascii="Times New Roman" w:hAnsi="Times New Roman"/>
          <w:lang w:val="en-GB"/>
        </w:rPr>
      </w:pPr>
    </w:p>
    <w:p w14:paraId="0F3A2D35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Vesekárosodás</w:t>
      </w:r>
    </w:p>
    <w:p w14:paraId="45E505F9" w14:textId="784CE06D" w:rsidR="003D468D" w:rsidRPr="00DC2ECE" w:rsidRDefault="003D468D" w:rsidP="00C46DF0">
      <w:pPr>
        <w:widowControl w:val="0"/>
        <w:rPr>
          <w:rFonts w:ascii="Times New Roman" w:hAnsi="Times New Roman"/>
        </w:rPr>
      </w:pPr>
      <w:bookmarkStart w:id="1" w:name="OLE_LINK1"/>
      <w:bookmarkStart w:id="2" w:name="OLE_LINK2"/>
      <w:r w:rsidRPr="00DC2ECE">
        <w:rPr>
          <w:rFonts w:ascii="Times New Roman" w:hAnsi="Times New Roman"/>
        </w:rPr>
        <w:t>A vesekárosodásban szenvedő betegek számára az optimális kezdő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és fenntartó dózis </w:t>
      </w:r>
      <w:r w:rsidRPr="00B2251F">
        <w:rPr>
          <w:rFonts w:ascii="Times New Roman" w:hAnsi="Times New Roman"/>
        </w:rPr>
        <w:t>meg</w:t>
      </w:r>
      <w:r w:rsidR="00B2251F">
        <w:rPr>
          <w:rFonts w:ascii="Times New Roman" w:hAnsi="Times New Roman"/>
        </w:rPr>
        <w:t>határozása</w:t>
      </w:r>
      <w:r w:rsidRPr="00B2251F">
        <w:rPr>
          <w:rFonts w:ascii="Times New Roman" w:hAnsi="Times New Roman"/>
        </w:rPr>
        <w:t xml:space="preserve"> érdekében</w:t>
      </w:r>
      <w:r w:rsidRPr="00DC2ECE">
        <w:rPr>
          <w:rFonts w:ascii="Times New Roman" w:hAnsi="Times New Roman"/>
        </w:rPr>
        <w:t xml:space="preserve"> a betegek </w:t>
      </w:r>
      <w:r w:rsidR="00B2251F">
        <w:rPr>
          <w:rFonts w:ascii="Times New Roman" w:hAnsi="Times New Roman"/>
        </w:rPr>
        <w:t>dózis</w:t>
      </w:r>
      <w:r w:rsidR="00B2251F" w:rsidRPr="00DC2ECE">
        <w:rPr>
          <w:rFonts w:ascii="Times New Roman" w:hAnsi="Times New Roman"/>
        </w:rPr>
        <w:t xml:space="preserve">át </w:t>
      </w:r>
      <w:r w:rsidRPr="00DC2ECE">
        <w:rPr>
          <w:rFonts w:ascii="Times New Roman" w:hAnsi="Times New Roman"/>
        </w:rPr>
        <w:t>egyedileg, a lizinopril és az amlodipin összetevők dózisait külön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külön titrálva kell beállítani.</w:t>
      </w:r>
      <w:bookmarkEnd w:id="1"/>
      <w:bookmarkEnd w:id="2"/>
    </w:p>
    <w:p w14:paraId="7E22F260" w14:textId="3385441B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veseműködést, a szérum kálium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és nátriumszinteket monitorozni kell a </w:t>
      </w:r>
      <w:r w:rsidR="00D54B44" w:rsidRPr="00D54B44">
        <w:rPr>
          <w:rFonts w:ascii="Times New Roman" w:hAnsi="Times New Roman"/>
        </w:rPr>
        <w:t>Lisi</w:t>
      </w:r>
      <w:r w:rsidR="00542D70">
        <w:rPr>
          <w:rFonts w:ascii="Times New Roman" w:hAnsi="Times New Roman"/>
        </w:rPr>
        <w:t>dipin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kezelés ideje alatt. A </w:t>
      </w:r>
      <w:r w:rsidRPr="00B2251F">
        <w:rPr>
          <w:rFonts w:ascii="Times New Roman" w:hAnsi="Times New Roman"/>
        </w:rPr>
        <w:t>vese</w:t>
      </w:r>
      <w:r w:rsidR="00B2251F">
        <w:rPr>
          <w:rFonts w:ascii="Times New Roman" w:hAnsi="Times New Roman"/>
        </w:rPr>
        <w:t>funkció</w:t>
      </w:r>
      <w:r w:rsidRPr="00B2251F">
        <w:rPr>
          <w:rFonts w:ascii="Times New Roman" w:hAnsi="Times New Roman"/>
        </w:rPr>
        <w:t xml:space="preserve"> </w:t>
      </w:r>
      <w:r w:rsidR="00B2251F">
        <w:rPr>
          <w:rFonts w:ascii="Times New Roman" w:hAnsi="Times New Roman"/>
        </w:rPr>
        <w:t>romlása</w:t>
      </w:r>
      <w:r w:rsidRPr="00DC2ECE">
        <w:rPr>
          <w:rFonts w:ascii="Times New Roman" w:hAnsi="Times New Roman"/>
        </w:rPr>
        <w:t xml:space="preserve"> esetén abba kell hagyni 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alkalmazását és helyette a</w:t>
      </w:r>
      <w:r w:rsidR="00B2251F">
        <w:rPr>
          <w:rFonts w:ascii="Times New Roman" w:hAnsi="Times New Roman"/>
        </w:rPr>
        <w:t>nnak hatóanyagait</w:t>
      </w:r>
      <w:r w:rsidRPr="00DC2ECE">
        <w:rPr>
          <w:rFonts w:ascii="Times New Roman" w:hAnsi="Times New Roman"/>
        </w:rPr>
        <w:t xml:space="preserve"> kell adni</w:t>
      </w:r>
      <w:r w:rsidR="00B2251F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megfelelően beállított dózisban. Az amlodipin nem dializálható.</w:t>
      </w:r>
    </w:p>
    <w:p w14:paraId="1DB953AC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9CBBEA1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Májkárosodás</w:t>
      </w:r>
    </w:p>
    <w:p w14:paraId="485D1BD3" w14:textId="1FE8DA08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lastRenderedPageBreak/>
        <w:t>Az enyhe vagy köz</w:t>
      </w:r>
      <w:r w:rsidR="00AF1C6C" w:rsidRPr="00DC2ECE">
        <w:rPr>
          <w:rFonts w:ascii="Times New Roman" w:hAnsi="Times New Roman"/>
        </w:rPr>
        <w:t xml:space="preserve">epesen </w:t>
      </w:r>
      <w:r w:rsidRPr="00DC2ECE">
        <w:rPr>
          <w:rFonts w:ascii="Times New Roman" w:hAnsi="Times New Roman"/>
        </w:rPr>
        <w:t xml:space="preserve">súlyos májkárosodásban szenvedő betegeknél </w:t>
      </w:r>
      <w:r w:rsidR="00AF1C6C" w:rsidRPr="00DC2ECE">
        <w:rPr>
          <w:rFonts w:ascii="Times New Roman" w:hAnsi="Times New Roman"/>
        </w:rPr>
        <w:t xml:space="preserve">nem állapítottak meg </w:t>
      </w:r>
      <w:r w:rsidRPr="00DC2ECE">
        <w:rPr>
          <w:rFonts w:ascii="Times New Roman" w:hAnsi="Times New Roman"/>
        </w:rPr>
        <w:t>adagolási javaslat</w:t>
      </w:r>
      <w:r w:rsidR="00AF1C6C" w:rsidRPr="00DC2ECE">
        <w:rPr>
          <w:rFonts w:ascii="Times New Roman" w:hAnsi="Times New Roman"/>
        </w:rPr>
        <w:t>ot</w:t>
      </w:r>
      <w:r w:rsidRPr="00DC2ECE">
        <w:rPr>
          <w:rFonts w:ascii="Times New Roman" w:hAnsi="Times New Roman"/>
        </w:rPr>
        <w:t>, ezért a d</w:t>
      </w:r>
      <w:r w:rsidR="006E6047">
        <w:rPr>
          <w:rFonts w:ascii="Times New Roman" w:hAnsi="Times New Roman"/>
        </w:rPr>
        <w:t>ózis</w:t>
      </w:r>
      <w:r w:rsidRPr="00DC2ECE">
        <w:rPr>
          <w:rFonts w:ascii="Times New Roman" w:hAnsi="Times New Roman"/>
        </w:rPr>
        <w:t>t körültekintéssel kell kiválasztani és az alacsonyabb dózistartománnyal kell kezdeni (lásd 4.4 és 5.2</w:t>
      </w:r>
      <w:r w:rsidR="00860794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pont). A májkárosodásban szenvedő betegek számára az optimális kezdő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és fenntartó dózis meg</w:t>
      </w:r>
      <w:r w:rsidR="006E6047">
        <w:rPr>
          <w:rFonts w:ascii="Times New Roman" w:hAnsi="Times New Roman"/>
        </w:rPr>
        <w:t>határozása</w:t>
      </w:r>
      <w:r w:rsidRPr="00DC2ECE">
        <w:rPr>
          <w:rFonts w:ascii="Times New Roman" w:hAnsi="Times New Roman"/>
        </w:rPr>
        <w:t xml:space="preserve"> érdekében a d</w:t>
      </w:r>
      <w:r w:rsidR="006E6047">
        <w:rPr>
          <w:rFonts w:ascii="Times New Roman" w:hAnsi="Times New Roman"/>
        </w:rPr>
        <w:t>ózist</w:t>
      </w:r>
      <w:r w:rsidRPr="00DC2ECE">
        <w:rPr>
          <w:rFonts w:ascii="Times New Roman" w:hAnsi="Times New Roman"/>
        </w:rPr>
        <w:t xml:space="preserve"> egyedileg, a lizinopril és az amlodipin összetevők dózisait külön</w:t>
      </w:r>
      <w:r w:rsidR="00AF1C6C" w:rsidRPr="00DC2ECE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külön titrálva kell beállítani.</w:t>
      </w:r>
    </w:p>
    <w:p w14:paraId="370158BA" w14:textId="50085C1D" w:rsidR="003D468D" w:rsidRPr="00DC2ECE" w:rsidRDefault="00207297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farmakokinetikáját nem vizsgálták s</w:t>
      </w:r>
      <w:r w:rsidR="003D468D" w:rsidRPr="00DC2ECE">
        <w:rPr>
          <w:rFonts w:ascii="Times New Roman" w:hAnsi="Times New Roman"/>
        </w:rPr>
        <w:t>úlyos májkárosodás</w:t>
      </w:r>
      <w:r w:rsidRPr="00DC2ECE">
        <w:rPr>
          <w:rFonts w:ascii="Times New Roman" w:hAnsi="Times New Roman"/>
        </w:rPr>
        <w:t>ban szenvedő betegeknél</w:t>
      </w:r>
      <w:r w:rsidR="003D468D" w:rsidRPr="00DC2ECE">
        <w:rPr>
          <w:rFonts w:ascii="Times New Roman" w:hAnsi="Times New Roman"/>
        </w:rPr>
        <w:t>. Súlyos májkárosodásban szenvedő betegek esetén az amlodipin</w:t>
      </w:r>
      <w:r w:rsidR="006E6047">
        <w:rPr>
          <w:rFonts w:ascii="Times New Roman" w:hAnsi="Times New Roman"/>
        </w:rPr>
        <w:t xml:space="preserve"> </w:t>
      </w:r>
      <w:r w:rsidR="003D468D" w:rsidRPr="00DC2ECE">
        <w:rPr>
          <w:rFonts w:ascii="Times New Roman" w:hAnsi="Times New Roman"/>
        </w:rPr>
        <w:t>adagolás</w:t>
      </w:r>
      <w:r w:rsidR="006E6047">
        <w:rPr>
          <w:rFonts w:ascii="Times New Roman" w:hAnsi="Times New Roman"/>
        </w:rPr>
        <w:t>á</w:t>
      </w:r>
      <w:r w:rsidR="003D468D" w:rsidRPr="00DC2ECE">
        <w:rPr>
          <w:rFonts w:ascii="Times New Roman" w:hAnsi="Times New Roman"/>
        </w:rPr>
        <w:t>t a leg</w:t>
      </w:r>
      <w:r w:rsidR="00C26B34">
        <w:rPr>
          <w:rFonts w:ascii="Times New Roman" w:hAnsi="Times New Roman"/>
        </w:rPr>
        <w:t>kisebb</w:t>
      </w:r>
      <w:r w:rsidR="003D468D" w:rsidRPr="00DC2ECE">
        <w:rPr>
          <w:rFonts w:ascii="Times New Roman" w:hAnsi="Times New Roman"/>
        </w:rPr>
        <w:t xml:space="preserve"> dózissal kell kezdeni és lassan </w:t>
      </w:r>
      <w:r w:rsidR="006E6047">
        <w:rPr>
          <w:rFonts w:ascii="Times New Roman" w:hAnsi="Times New Roman"/>
        </w:rPr>
        <w:t>titrál</w:t>
      </w:r>
      <w:r w:rsidR="006E6047" w:rsidRPr="00DC2ECE">
        <w:rPr>
          <w:rFonts w:ascii="Times New Roman" w:hAnsi="Times New Roman"/>
        </w:rPr>
        <w:t>ni</w:t>
      </w:r>
      <w:r w:rsidR="003D468D" w:rsidRPr="00DC2ECE">
        <w:rPr>
          <w:rFonts w:ascii="Times New Roman" w:hAnsi="Times New Roman"/>
        </w:rPr>
        <w:t>.</w:t>
      </w:r>
    </w:p>
    <w:p w14:paraId="49B5A0B3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7E2D7A8" w14:textId="77777777" w:rsidR="003D468D" w:rsidRPr="00DC2ECE" w:rsidRDefault="005F24FF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Gyermekek és serdülők (&lt; </w:t>
      </w:r>
      <w:r w:rsidR="003D468D" w:rsidRPr="00DC2ECE">
        <w:rPr>
          <w:rFonts w:ascii="Times New Roman" w:hAnsi="Times New Roman"/>
          <w:i/>
          <w:iCs/>
        </w:rPr>
        <w:t>18</w:t>
      </w:r>
      <w:r w:rsidRPr="00DC2ECE">
        <w:rPr>
          <w:rFonts w:ascii="Times New Roman" w:hAnsi="Times New Roman"/>
          <w:i/>
          <w:iCs/>
        </w:rPr>
        <w:t> év</w:t>
      </w:r>
      <w:r w:rsidR="003D468D" w:rsidRPr="00DC2ECE">
        <w:rPr>
          <w:rFonts w:ascii="Times New Roman" w:hAnsi="Times New Roman"/>
          <w:i/>
          <w:iCs/>
        </w:rPr>
        <w:t>)</w:t>
      </w:r>
    </w:p>
    <w:p w14:paraId="34781FB3" w14:textId="2716F9F5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biztonságosságát és hatásosságát 18</w:t>
      </w:r>
      <w:r w:rsidR="005F24FF" w:rsidRPr="00DC2ECE">
        <w:rPr>
          <w:rFonts w:ascii="Times New Roman" w:hAnsi="Times New Roman"/>
        </w:rPr>
        <w:t> év</w:t>
      </w:r>
      <w:r w:rsidR="00C26B34">
        <w:rPr>
          <w:rFonts w:ascii="Times New Roman" w:hAnsi="Times New Roman"/>
        </w:rPr>
        <w:t>es</w:t>
      </w:r>
      <w:r w:rsidRPr="00DC2ECE">
        <w:rPr>
          <w:rFonts w:ascii="Times New Roman" w:hAnsi="Times New Roman"/>
        </w:rPr>
        <w:t>nél fiatalabb gyermekek és serdülők esetében nem igazolták.</w:t>
      </w:r>
    </w:p>
    <w:p w14:paraId="7F64DD6E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B8FC922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Idősek (&gt; 65</w:t>
      </w:r>
      <w:r w:rsidR="005F24FF" w:rsidRPr="00DC2ECE">
        <w:rPr>
          <w:rFonts w:ascii="Times New Roman" w:hAnsi="Times New Roman"/>
          <w:i/>
          <w:iCs/>
        </w:rPr>
        <w:t> év</w:t>
      </w:r>
      <w:r w:rsidRPr="00DC2ECE">
        <w:rPr>
          <w:rFonts w:ascii="Times New Roman" w:hAnsi="Times New Roman"/>
          <w:i/>
          <w:iCs/>
        </w:rPr>
        <w:t>)</w:t>
      </w:r>
    </w:p>
    <w:p w14:paraId="36240714" w14:textId="378002D9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Idősek kezelését fokozott körültekintéssel kell végezni.</w:t>
      </w:r>
    </w:p>
    <w:p w14:paraId="1F30490F" w14:textId="060087F4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klinikai vizsgálatok során nem fordult elő az amlodipin vagy a lizinopril hatásosságának vagy biztonságosságának életkorfüggő változása. Az idősek számára optimális fenntartó </w:t>
      </w:r>
      <w:r w:rsidR="006E6047">
        <w:rPr>
          <w:rFonts w:ascii="Times New Roman" w:hAnsi="Times New Roman"/>
        </w:rPr>
        <w:t>dózis</w:t>
      </w:r>
      <w:r w:rsidRPr="00DC2ECE">
        <w:rPr>
          <w:rFonts w:ascii="Times New Roman" w:hAnsi="Times New Roman"/>
        </w:rPr>
        <w:t xml:space="preserve"> meg</w:t>
      </w:r>
      <w:r w:rsidR="006E6047">
        <w:rPr>
          <w:rFonts w:ascii="Times New Roman" w:hAnsi="Times New Roman"/>
        </w:rPr>
        <w:t>határozását</w:t>
      </w:r>
      <w:r w:rsidRPr="00DC2ECE">
        <w:rPr>
          <w:rFonts w:ascii="Times New Roman" w:hAnsi="Times New Roman"/>
        </w:rPr>
        <w:t xml:space="preserve"> </w:t>
      </w:r>
      <w:r w:rsidR="006E6047">
        <w:rPr>
          <w:rFonts w:ascii="Times New Roman" w:hAnsi="Times New Roman"/>
        </w:rPr>
        <w:t>személyre szabottan</w:t>
      </w:r>
      <w:r w:rsidRPr="00DC2ECE">
        <w:rPr>
          <w:rFonts w:ascii="Times New Roman" w:hAnsi="Times New Roman"/>
        </w:rPr>
        <w:t>, a lizinopril és az amlodipin összetevők dózisait külön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külön titrálva kell </w:t>
      </w:r>
      <w:r w:rsidR="006E6047">
        <w:rPr>
          <w:rFonts w:ascii="Times New Roman" w:hAnsi="Times New Roman"/>
        </w:rPr>
        <w:t>végezni</w:t>
      </w:r>
      <w:r w:rsidRPr="00DC2ECE">
        <w:rPr>
          <w:rFonts w:ascii="Times New Roman" w:hAnsi="Times New Roman"/>
        </w:rPr>
        <w:t>.</w:t>
      </w:r>
    </w:p>
    <w:p w14:paraId="1A6F802B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294C28B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Az alkalmazás módja</w:t>
      </w:r>
    </w:p>
    <w:p w14:paraId="5FF82EED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Szájon át történő alkalmazásra.</w:t>
      </w:r>
    </w:p>
    <w:p w14:paraId="4F2D3188" w14:textId="77777777" w:rsidR="00496E73" w:rsidRPr="00DC2ECE" w:rsidRDefault="00496E73" w:rsidP="00C46DF0">
      <w:pPr>
        <w:widowControl w:val="0"/>
        <w:rPr>
          <w:rFonts w:ascii="Times New Roman" w:hAnsi="Times New Roman"/>
          <w:lang w:val="en-GB"/>
        </w:rPr>
      </w:pPr>
    </w:p>
    <w:p w14:paraId="13D21CC7" w14:textId="6EB927CB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Mivel a felszívódását a táplálék nem befolyásolja, 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 xml:space="preserve">tabletta az étkezésektől függetlenül </w:t>
      </w:r>
      <w:r w:rsidR="00C26B34">
        <w:rPr>
          <w:rFonts w:ascii="Times New Roman" w:hAnsi="Times New Roman"/>
        </w:rPr>
        <w:t>beve</w:t>
      </w:r>
      <w:r w:rsidR="00C26B34" w:rsidRPr="00DC2ECE">
        <w:rPr>
          <w:rFonts w:ascii="Times New Roman" w:hAnsi="Times New Roman"/>
        </w:rPr>
        <w:t>hető</w:t>
      </w:r>
      <w:r w:rsidRPr="00DC2ECE">
        <w:rPr>
          <w:rFonts w:ascii="Times New Roman" w:hAnsi="Times New Roman"/>
        </w:rPr>
        <w:t>.</w:t>
      </w:r>
    </w:p>
    <w:p w14:paraId="7EA6C71F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F31DF61" w14:textId="77777777" w:rsidR="003D468D" w:rsidRPr="00DC2ECE" w:rsidRDefault="003D468D" w:rsidP="001151A2">
      <w:pPr>
        <w:keepNext/>
        <w:rPr>
          <w:rFonts w:ascii="Times New Roman" w:eastAsia="Times New Roman" w:hAnsi="Times New Roman"/>
          <w:b/>
        </w:rPr>
      </w:pPr>
      <w:r w:rsidRPr="002A62AD">
        <w:rPr>
          <w:rFonts w:ascii="Times New Roman" w:hAnsi="Times New Roman"/>
          <w:b/>
          <w:bCs/>
        </w:rPr>
        <w:t>4.3</w:t>
      </w:r>
      <w:r w:rsidRPr="002A62AD">
        <w:rPr>
          <w:rFonts w:ascii="Times New Roman" w:hAnsi="Times New Roman"/>
          <w:b/>
          <w:bCs/>
        </w:rPr>
        <w:tab/>
        <w:t>Ellenjavallatok</w:t>
      </w:r>
    </w:p>
    <w:p w14:paraId="17537477" w14:textId="77777777" w:rsidR="003D468D" w:rsidRPr="00DC2ECE" w:rsidRDefault="003D468D" w:rsidP="001151A2">
      <w:pPr>
        <w:keepNext/>
        <w:rPr>
          <w:rFonts w:ascii="Times New Roman" w:hAnsi="Times New Roman"/>
          <w:lang w:val="en-GB"/>
        </w:rPr>
      </w:pPr>
    </w:p>
    <w:p w14:paraId="77A7C61B" w14:textId="556864B3" w:rsidR="003D468D" w:rsidRPr="00DC2ECE" w:rsidRDefault="003D468D" w:rsidP="001151A2">
      <w:pPr>
        <w:keepNext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 lizinoprillel kapcsolatosan</w:t>
      </w:r>
      <w:r w:rsidR="002A62AD">
        <w:rPr>
          <w:rFonts w:ascii="Times New Roman" w:hAnsi="Times New Roman"/>
          <w:i/>
          <w:iCs/>
        </w:rPr>
        <w:t>:</w:t>
      </w:r>
    </w:p>
    <w:p w14:paraId="7A67E195" w14:textId="50387E4C" w:rsidR="003D468D" w:rsidRPr="00DC2ECE" w:rsidRDefault="002A62AD" w:rsidP="001151A2">
      <w:pPr>
        <w:pStyle w:val="Listaszerbekezds"/>
        <w:keepNext/>
        <w:numPr>
          <w:ilvl w:val="0"/>
          <w:numId w:val="4"/>
        </w:numPr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l</w:t>
      </w:r>
      <w:r w:rsidR="003D468D" w:rsidRPr="00DC2ECE">
        <w:rPr>
          <w:rFonts w:ascii="Times New Roman" w:hAnsi="Times New Roman"/>
        </w:rPr>
        <w:t xml:space="preserve">izinoprillel vagy bármely más </w:t>
      </w:r>
      <w:r w:rsidR="003D468D" w:rsidRPr="00E62017">
        <w:rPr>
          <w:rFonts w:ascii="Times New Roman" w:hAnsi="Times New Roman"/>
        </w:rPr>
        <w:t>angiotenzin</w:t>
      </w:r>
      <w:r w:rsidR="005F24FF" w:rsidRPr="00E62017">
        <w:rPr>
          <w:rFonts w:ascii="Times New Roman" w:hAnsi="Times New Roman"/>
        </w:rPr>
        <w:noBreakHyphen/>
      </w:r>
      <w:r w:rsidR="003D468D" w:rsidRPr="00E62017">
        <w:rPr>
          <w:rFonts w:ascii="Times New Roman" w:hAnsi="Times New Roman"/>
        </w:rPr>
        <w:t>konvertáló enzimgátlóval</w:t>
      </w:r>
      <w:r w:rsidR="003D468D" w:rsidRPr="00DC2ECE">
        <w:rPr>
          <w:rFonts w:ascii="Times New Roman" w:hAnsi="Times New Roman"/>
        </w:rPr>
        <w:t xml:space="preserve"> (ACEI) szembeni túlérzékenység;</w:t>
      </w:r>
    </w:p>
    <w:p w14:paraId="7E4600FE" w14:textId="0AF8C76C" w:rsidR="003D468D" w:rsidRPr="00DC2ECE" w:rsidRDefault="003D468D" w:rsidP="001151A2">
      <w:pPr>
        <w:pStyle w:val="Listaszerbekezds"/>
        <w:keepNext/>
        <w:numPr>
          <w:ilvl w:val="0"/>
          <w:numId w:val="4"/>
        </w:numPr>
        <w:ind w:left="567" w:hanging="567"/>
        <w:rPr>
          <w:rFonts w:ascii="Times New Roman" w:hAnsi="Times New Roman"/>
        </w:rPr>
      </w:pPr>
      <w:r w:rsidRPr="00DC2ECE">
        <w:rPr>
          <w:rFonts w:ascii="Times New Roman" w:hAnsi="Times New Roman"/>
        </w:rPr>
        <w:t>korábbi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</w:t>
      </w:r>
      <w:r w:rsidR="002A62AD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kezeléshez kapcsolódó</w:t>
      </w:r>
      <w:r w:rsidR="002A62AD" w:rsidRPr="002A62AD">
        <w:rPr>
          <w:rFonts w:ascii="Times New Roman" w:hAnsi="Times New Roman"/>
        </w:rPr>
        <w:t xml:space="preserve"> </w:t>
      </w:r>
      <w:r w:rsidR="002A62AD">
        <w:rPr>
          <w:rFonts w:ascii="Times New Roman" w:hAnsi="Times New Roman"/>
        </w:rPr>
        <w:t>a</w:t>
      </w:r>
      <w:r w:rsidR="002A62AD" w:rsidRPr="00DC2ECE">
        <w:rPr>
          <w:rFonts w:ascii="Times New Roman" w:hAnsi="Times New Roman"/>
        </w:rPr>
        <w:t>n</w:t>
      </w:r>
      <w:r w:rsidR="002A62AD" w:rsidRPr="00E62017">
        <w:rPr>
          <w:rFonts w:ascii="Times New Roman" w:hAnsi="Times New Roman"/>
        </w:rPr>
        <w:t>giooedem</w:t>
      </w:r>
      <w:r w:rsidR="002A62AD" w:rsidRPr="00DC2ECE">
        <w:rPr>
          <w:rFonts w:ascii="Times New Roman" w:hAnsi="Times New Roman"/>
        </w:rPr>
        <w:t xml:space="preserve">a </w:t>
      </w:r>
      <w:r w:rsidR="002A62AD">
        <w:rPr>
          <w:rFonts w:ascii="Times New Roman" w:hAnsi="Times New Roman"/>
        </w:rPr>
        <w:t xml:space="preserve">a </w:t>
      </w:r>
      <w:r w:rsidR="002A62AD" w:rsidRPr="00DC2ECE">
        <w:rPr>
          <w:rFonts w:ascii="Times New Roman" w:hAnsi="Times New Roman"/>
        </w:rPr>
        <w:t>kórelőzmény</w:t>
      </w:r>
      <w:r w:rsidR="002A62AD">
        <w:rPr>
          <w:rFonts w:ascii="Times New Roman" w:hAnsi="Times New Roman"/>
        </w:rPr>
        <w:t>b</w:t>
      </w:r>
      <w:r w:rsidR="002A62AD" w:rsidRPr="00DC2ECE">
        <w:rPr>
          <w:rFonts w:ascii="Times New Roman" w:hAnsi="Times New Roman"/>
        </w:rPr>
        <w:t>e</w:t>
      </w:r>
      <w:r w:rsidR="002A62AD">
        <w:rPr>
          <w:rFonts w:ascii="Times New Roman" w:hAnsi="Times New Roman"/>
        </w:rPr>
        <w:t>n</w:t>
      </w:r>
      <w:r w:rsidRPr="00DC2ECE">
        <w:rPr>
          <w:rFonts w:ascii="Times New Roman" w:hAnsi="Times New Roman"/>
        </w:rPr>
        <w:t>;</w:t>
      </w:r>
    </w:p>
    <w:p w14:paraId="5EA117D1" w14:textId="7E99DA7C" w:rsidR="003D468D" w:rsidRPr="00DC2ECE" w:rsidRDefault="002A62AD" w:rsidP="00C46DF0">
      <w:pPr>
        <w:widowControl w:val="0"/>
        <w:numPr>
          <w:ilvl w:val="0"/>
          <w:numId w:val="4"/>
        </w:numPr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 w:rsidR="003D468D" w:rsidRPr="00DC2ECE">
        <w:rPr>
          <w:rFonts w:ascii="Times New Roman" w:hAnsi="Times New Roman"/>
        </w:rPr>
        <w:t>ereditaer vagy idiopathiás angiooedema;</w:t>
      </w:r>
    </w:p>
    <w:p w14:paraId="651B9D64" w14:textId="48ADD119" w:rsidR="003D468D" w:rsidRPr="00DC2ECE" w:rsidRDefault="002A62AD" w:rsidP="00C46DF0">
      <w:pPr>
        <w:pStyle w:val="Listaszerbekezds"/>
        <w:widowControl w:val="0"/>
        <w:numPr>
          <w:ilvl w:val="0"/>
          <w:numId w:val="4"/>
        </w:numPr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11C11" w:rsidRPr="00DC2ECE">
        <w:rPr>
          <w:rFonts w:ascii="Times New Roman" w:hAnsi="Times New Roman"/>
        </w:rPr>
        <w:t xml:space="preserve"> terhesség második és harmadik trimesztere (lásd 4.4 és 4.6</w:t>
      </w:r>
      <w:r w:rsidR="00402571" w:rsidRPr="00DC2ECE">
        <w:rPr>
          <w:rFonts w:ascii="Times New Roman" w:hAnsi="Times New Roman"/>
        </w:rPr>
        <w:t> </w:t>
      </w:r>
      <w:r w:rsidR="00711C11" w:rsidRPr="00DC2ECE">
        <w:rPr>
          <w:rFonts w:ascii="Times New Roman" w:hAnsi="Times New Roman"/>
        </w:rPr>
        <w:t>pont)</w:t>
      </w:r>
      <w:r>
        <w:rPr>
          <w:rFonts w:ascii="Times New Roman" w:hAnsi="Times New Roman"/>
        </w:rPr>
        <w:t>.</w:t>
      </w:r>
    </w:p>
    <w:p w14:paraId="6F71F7D1" w14:textId="38E1082B" w:rsidR="003D468D" w:rsidRPr="00DC2ECE" w:rsidRDefault="003D468D" w:rsidP="00C46DF0">
      <w:pPr>
        <w:pStyle w:val="Listaszerbekezds"/>
        <w:widowControl w:val="0"/>
        <w:numPr>
          <w:ilvl w:val="0"/>
          <w:numId w:val="4"/>
        </w:numPr>
        <w:ind w:left="567" w:hanging="567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tabletta egyidejű alkalmazása aliszkirén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tartalmú készítményekkel ellenjavallt diabetes mellitusban vagy vesekárosodá</w:t>
      </w:r>
      <w:r w:rsidR="005F24FF" w:rsidRPr="00DC2ECE">
        <w:rPr>
          <w:rFonts w:ascii="Times New Roman" w:hAnsi="Times New Roman"/>
        </w:rPr>
        <w:t>sban szenvedő betegeknél (GFR &lt; 60</w:t>
      </w:r>
      <w:r w:rsidR="00402571" w:rsidRPr="00DC2ECE">
        <w:rPr>
          <w:rFonts w:ascii="Times New Roman" w:hAnsi="Times New Roman"/>
        </w:rPr>
        <w:t> </w:t>
      </w:r>
      <w:r w:rsidR="005F24FF" w:rsidRPr="00DC2ECE">
        <w:rPr>
          <w:rFonts w:ascii="Times New Roman" w:hAnsi="Times New Roman"/>
        </w:rPr>
        <w:t>ml/perc/1,73 </w:t>
      </w:r>
      <w:r w:rsidRPr="00DC2ECE">
        <w:rPr>
          <w:rFonts w:ascii="Times New Roman" w:hAnsi="Times New Roman"/>
        </w:rPr>
        <w:t>m</w:t>
      </w:r>
      <w:r w:rsidRPr="00DC2ECE">
        <w:rPr>
          <w:rFonts w:ascii="Times New Roman" w:hAnsi="Times New Roman"/>
          <w:vertAlign w:val="superscript"/>
        </w:rPr>
        <w:t>2</w:t>
      </w:r>
      <w:r w:rsidRPr="00DC2ECE">
        <w:rPr>
          <w:rFonts w:ascii="Times New Roman" w:hAnsi="Times New Roman"/>
        </w:rPr>
        <w:t>) (lásd 4.5 és 5.1</w:t>
      </w:r>
      <w:r w:rsidR="00402571" w:rsidRPr="00DC2ECE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pont).</w:t>
      </w:r>
    </w:p>
    <w:p w14:paraId="023CFBC0" w14:textId="089C1E3C" w:rsidR="00AA2FF9" w:rsidRPr="00DC2ECE" w:rsidRDefault="00AA2FF9" w:rsidP="00C46DF0">
      <w:pPr>
        <w:pStyle w:val="Listaszerbekezds"/>
        <w:widowControl w:val="0"/>
        <w:numPr>
          <w:ilvl w:val="0"/>
          <w:numId w:val="4"/>
        </w:numPr>
        <w:ind w:left="567" w:hanging="567"/>
        <w:rPr>
          <w:rFonts w:ascii="Times New Roman" w:hAnsi="Times New Roman"/>
        </w:rPr>
      </w:pPr>
      <w:r w:rsidRPr="00DC2ECE">
        <w:rPr>
          <w:rFonts w:ascii="Times New Roman" w:hAnsi="Times New Roman"/>
        </w:rPr>
        <w:t>Szakubitril/valzartán</w:t>
      </w:r>
      <w:r w:rsidR="00402571" w:rsidRPr="00DC2ECE">
        <w:rPr>
          <w:rFonts w:ascii="Times New Roman" w:hAnsi="Times New Roman"/>
        </w:rPr>
        <w:t>-terápia</w:t>
      </w:r>
      <w:r w:rsidRPr="00DC2ECE">
        <w:rPr>
          <w:rFonts w:ascii="Times New Roman" w:hAnsi="Times New Roman"/>
        </w:rPr>
        <w:t xml:space="preserve"> egyidejű alkalmazása. A </w:t>
      </w:r>
      <w:r w:rsidR="00D54B44" w:rsidRPr="00D54B44">
        <w:rPr>
          <w:rFonts w:ascii="Times New Roman" w:hAnsi="Times New Roman"/>
        </w:rPr>
        <w:t>Lisi</w:t>
      </w:r>
      <w:r w:rsidR="00542D70">
        <w:rPr>
          <w:rFonts w:ascii="Times New Roman" w:hAnsi="Times New Roman"/>
        </w:rPr>
        <w:t>dipin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kezelést legkorábban 36</w:t>
      </w:r>
      <w:r w:rsidR="005F24FF" w:rsidRPr="00DC2ECE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 xml:space="preserve">ával a szakubitril/valzartán utolsó adagját követően szabad </w:t>
      </w:r>
      <w:r w:rsidR="005F24FF" w:rsidRPr="00DC2ECE">
        <w:rPr>
          <w:rFonts w:ascii="Times New Roman" w:hAnsi="Times New Roman"/>
        </w:rPr>
        <w:t>elkezdeni (lásd még 4.4. és 4.5 pont</w:t>
      </w:r>
      <w:r w:rsidRPr="00DC2ECE">
        <w:rPr>
          <w:rFonts w:ascii="Times New Roman" w:hAnsi="Times New Roman"/>
        </w:rPr>
        <w:t>).</w:t>
      </w:r>
    </w:p>
    <w:p w14:paraId="78929ABC" w14:textId="77777777" w:rsidR="003D468D" w:rsidRPr="00DC2ECE" w:rsidRDefault="003D468D" w:rsidP="00C46DF0">
      <w:pPr>
        <w:pStyle w:val="Listaszerbekezds"/>
        <w:widowControl w:val="0"/>
        <w:ind w:left="0"/>
        <w:rPr>
          <w:rFonts w:ascii="Times New Roman" w:hAnsi="Times New Roman"/>
          <w:lang w:val="en-GB"/>
        </w:rPr>
      </w:pPr>
    </w:p>
    <w:p w14:paraId="2B472206" w14:textId="20EC1BD8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Az amlodipinnel kapcsolatosan</w:t>
      </w:r>
      <w:r w:rsidR="002A62AD">
        <w:rPr>
          <w:rFonts w:ascii="Times New Roman" w:hAnsi="Times New Roman"/>
          <w:i/>
          <w:iCs/>
        </w:rPr>
        <w:t>:</w:t>
      </w:r>
    </w:p>
    <w:p w14:paraId="62F1172B" w14:textId="6840921A" w:rsidR="003D468D" w:rsidRPr="00DC2ECE" w:rsidRDefault="002A62AD" w:rsidP="00C46DF0">
      <w:pPr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3D468D" w:rsidRPr="00DC2ECE">
        <w:rPr>
          <w:rFonts w:ascii="Times New Roman" w:hAnsi="Times New Roman"/>
        </w:rPr>
        <w:t>mlodipinnel vagy bármely más dihidropiridin</w:t>
      </w:r>
      <w:r w:rsidR="005F24FF" w:rsidRPr="00DC2ECE">
        <w:rPr>
          <w:rFonts w:ascii="Times New Roman" w:hAnsi="Times New Roman"/>
        </w:rPr>
        <w:noBreakHyphen/>
      </w:r>
      <w:r w:rsidR="003D468D" w:rsidRPr="00DC2ECE">
        <w:rPr>
          <w:rFonts w:ascii="Times New Roman" w:hAnsi="Times New Roman"/>
        </w:rPr>
        <w:t>származékkal szembeni túlérzékenység;</w:t>
      </w:r>
    </w:p>
    <w:p w14:paraId="5612C867" w14:textId="62797661" w:rsidR="003D468D" w:rsidRPr="00DC2ECE" w:rsidRDefault="002A62AD" w:rsidP="00C46DF0">
      <w:pPr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3D468D" w:rsidRPr="00DC2ECE">
        <w:rPr>
          <w:rFonts w:ascii="Times New Roman" w:hAnsi="Times New Roman"/>
        </w:rPr>
        <w:t>úlyos hypot</w:t>
      </w:r>
      <w:r>
        <w:rPr>
          <w:rFonts w:ascii="Times New Roman" w:hAnsi="Times New Roman"/>
        </w:rPr>
        <w:t>onia</w:t>
      </w:r>
      <w:r w:rsidR="003D468D" w:rsidRPr="00DC2ECE">
        <w:rPr>
          <w:rFonts w:ascii="Times New Roman" w:hAnsi="Times New Roman"/>
        </w:rPr>
        <w:t>;</w:t>
      </w:r>
    </w:p>
    <w:p w14:paraId="299EF3F5" w14:textId="07D0E36D" w:rsidR="003D468D" w:rsidRPr="00DC2ECE" w:rsidRDefault="002A62AD" w:rsidP="00C46DF0">
      <w:pPr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3D468D" w:rsidRPr="00DC2ECE">
        <w:rPr>
          <w:rFonts w:ascii="Times New Roman" w:hAnsi="Times New Roman"/>
        </w:rPr>
        <w:t>o</w:t>
      </w:r>
      <w:r>
        <w:rPr>
          <w:rFonts w:ascii="Times New Roman" w:hAnsi="Times New Roman"/>
        </w:rPr>
        <w:t>k</w:t>
      </w:r>
      <w:r w:rsidR="003D468D" w:rsidRPr="00DC2ECE">
        <w:rPr>
          <w:rFonts w:ascii="Times New Roman" w:hAnsi="Times New Roman"/>
        </w:rPr>
        <w:t>k (ideértve a cardiogen so</w:t>
      </w:r>
      <w:r>
        <w:rPr>
          <w:rFonts w:ascii="Times New Roman" w:hAnsi="Times New Roman"/>
        </w:rPr>
        <w:t>k</w:t>
      </w:r>
      <w:r w:rsidR="003D468D" w:rsidRPr="00DC2ECE">
        <w:rPr>
          <w:rFonts w:ascii="Times New Roman" w:hAnsi="Times New Roman"/>
        </w:rPr>
        <w:t>kot is);</w:t>
      </w:r>
    </w:p>
    <w:p w14:paraId="5201BDFE" w14:textId="73B19473" w:rsidR="003D468D" w:rsidRPr="00DC2ECE" w:rsidRDefault="002A62AD" w:rsidP="00C46DF0">
      <w:pPr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3D468D" w:rsidRPr="00DC2ECE">
        <w:rPr>
          <w:rFonts w:ascii="Times New Roman" w:hAnsi="Times New Roman"/>
        </w:rPr>
        <w:t xml:space="preserve"> bal kamra kiáramlási pályájának obstrukciója (pl. súlyos fokú aortastenosis);</w:t>
      </w:r>
    </w:p>
    <w:p w14:paraId="27E297C3" w14:textId="7E990765" w:rsidR="003D468D" w:rsidRPr="00DC2ECE" w:rsidRDefault="002A62AD" w:rsidP="00C46DF0">
      <w:pPr>
        <w:widowControl w:val="0"/>
        <w:numPr>
          <w:ilvl w:val="0"/>
          <w:numId w:val="5"/>
        </w:numPr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44404A" w:rsidRPr="00DC2ECE">
        <w:rPr>
          <w:rFonts w:ascii="Times New Roman" w:hAnsi="Times New Roman"/>
        </w:rPr>
        <w:t>kut myocardialis infarctust követő hemodinamikailag instabil szívelégtelenség.</w:t>
      </w:r>
    </w:p>
    <w:p w14:paraId="3AE4C930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76071CDD" w14:textId="39778AF1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 xml:space="preserve">A </w:t>
      </w:r>
      <w:r w:rsidR="00542D70">
        <w:rPr>
          <w:rFonts w:ascii="Times New Roman" w:hAnsi="Times New Roman"/>
          <w:i/>
          <w:iCs/>
        </w:rPr>
        <w:t xml:space="preserve">Lisidipin </w:t>
      </w:r>
      <w:r w:rsidRPr="00DC2ECE">
        <w:rPr>
          <w:rFonts w:ascii="Times New Roman" w:hAnsi="Times New Roman"/>
          <w:i/>
          <w:iCs/>
        </w:rPr>
        <w:t>tablettához kapcsolódóan</w:t>
      </w:r>
    </w:p>
    <w:p w14:paraId="09EB2FBE" w14:textId="142D9B72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Az egyes monokomponensekhez köthető összes fentebb részletezett ellenjavallat vonatkozik a </w:t>
      </w:r>
      <w:r w:rsidR="002A62AD">
        <w:rPr>
          <w:rFonts w:ascii="Times New Roman" w:hAnsi="Times New Roman"/>
        </w:rPr>
        <w:t>a</w:t>
      </w:r>
      <w:r w:rsidRPr="00DC2ECE">
        <w:rPr>
          <w:rFonts w:ascii="Times New Roman" w:hAnsi="Times New Roman"/>
        </w:rPr>
        <w:t xml:space="preserve"> fix kombináció</w:t>
      </w:r>
      <w:r w:rsidR="002A62AD">
        <w:rPr>
          <w:rFonts w:ascii="Times New Roman" w:hAnsi="Times New Roman"/>
        </w:rPr>
        <w:t>jú készítményre</w:t>
      </w:r>
      <w:r w:rsidRPr="00DC2ECE">
        <w:rPr>
          <w:rFonts w:ascii="Times New Roman" w:hAnsi="Times New Roman"/>
        </w:rPr>
        <w:t xml:space="preserve"> is.</w:t>
      </w:r>
    </w:p>
    <w:p w14:paraId="1E933D67" w14:textId="72FD0615" w:rsidR="003D468D" w:rsidRPr="00DC2ECE" w:rsidRDefault="003D468D" w:rsidP="00C46DF0">
      <w:pPr>
        <w:widowControl w:val="0"/>
        <w:numPr>
          <w:ilvl w:val="0"/>
          <w:numId w:val="6"/>
        </w:numPr>
        <w:ind w:left="0" w:firstLine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készítmény</w:t>
      </w:r>
      <w:r w:rsidR="002A62AD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6.1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ban felsorolt</w:t>
      </w:r>
      <w:r w:rsidR="002A62AD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bármely segédanyagával szembeni túlérzékenység.</w:t>
      </w:r>
    </w:p>
    <w:p w14:paraId="11A766CC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E1F536F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4.4</w:t>
      </w:r>
      <w:r w:rsidRPr="00DC2ECE">
        <w:rPr>
          <w:rFonts w:ascii="Times New Roman" w:hAnsi="Times New Roman"/>
          <w:b/>
          <w:bCs/>
        </w:rPr>
        <w:tab/>
        <w:t>Különleges figyelmeztetések és az alkalmazással kapcsolatos óvintézkedések</w:t>
      </w:r>
    </w:p>
    <w:p w14:paraId="72D0B36B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B8017DE" w14:textId="0A9AA43C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Az egyes monokomponensekhez köthető </w:t>
      </w:r>
      <w:r w:rsidR="00402571" w:rsidRPr="00DC2ECE">
        <w:rPr>
          <w:rFonts w:ascii="Times New Roman" w:hAnsi="Times New Roman"/>
        </w:rPr>
        <w:t>minden</w:t>
      </w:r>
      <w:r w:rsidR="00744521" w:rsidRPr="00DC2ECE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alább részletezett figyelmeztetés megfontolandó 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fix kombináció</w:t>
      </w:r>
      <w:r w:rsidR="00C85D60">
        <w:rPr>
          <w:rFonts w:ascii="Times New Roman" w:hAnsi="Times New Roman"/>
        </w:rPr>
        <w:t xml:space="preserve"> esetében </w:t>
      </w:r>
      <w:r w:rsidRPr="00DC2ECE">
        <w:rPr>
          <w:rFonts w:ascii="Times New Roman" w:hAnsi="Times New Roman"/>
        </w:rPr>
        <w:t>is.</w:t>
      </w:r>
    </w:p>
    <w:p w14:paraId="0C206D34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530A174A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lastRenderedPageBreak/>
        <w:t>A lizinoprillel kapcsolatosan</w:t>
      </w:r>
    </w:p>
    <w:p w14:paraId="452C62F3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52DCE1C9" w14:textId="77777777" w:rsidR="003D468D" w:rsidRPr="00DC2ECE" w:rsidRDefault="00C51B73" w:rsidP="00C46DF0">
      <w:pPr>
        <w:widowControl w:val="0"/>
        <w:rPr>
          <w:rFonts w:ascii="Times New Roman" w:eastAsia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 xml:space="preserve">Tüneteket okozó hypotonia </w:t>
      </w:r>
    </w:p>
    <w:p w14:paraId="7ECED03B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Tüneteket okozó hypotonia ritkán észlelhető a szövődménymentes hypertoniás betegeknél.</w:t>
      </w:r>
    </w:p>
    <w:p w14:paraId="5F175D12" w14:textId="78F624CC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lizinoprilt kapó hypertoniás betegeknél nagyobb valószínűséggel fordul elő hypotonia volumenhiány, pl. vízhajtó</w:t>
      </w:r>
      <w:r w:rsidR="000C4D67" w:rsidRPr="00DC2ECE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kezelés, sószegény diéta, dialízis, hasmenés vagy hányás, illetve súlyos renin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függő hypertonia esetén (lásd 4.5 és 4.8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Szívelégtelenségben szenvedő betegeknél kísérő veseelégtelenséggel, vagy anélkül is megfigyeltek tüneteket okozó hypotoniát. Ez legnagyobb valószínűséggel </w:t>
      </w:r>
      <w:r w:rsidR="000C4D67" w:rsidRPr="00DC2ECE">
        <w:rPr>
          <w:rFonts w:ascii="Times New Roman" w:hAnsi="Times New Roman"/>
        </w:rPr>
        <w:t xml:space="preserve">a </w:t>
      </w:r>
      <w:r w:rsidRPr="00DC2ECE">
        <w:rPr>
          <w:rFonts w:ascii="Times New Roman" w:hAnsi="Times New Roman"/>
        </w:rPr>
        <w:t xml:space="preserve">súlyosabb fokú szívelégtelenségben </w:t>
      </w:r>
      <w:r w:rsidR="000C4D67" w:rsidRPr="00DC2ECE">
        <w:rPr>
          <w:rFonts w:ascii="Times New Roman" w:hAnsi="Times New Roman"/>
        </w:rPr>
        <w:t xml:space="preserve">szenvedő betegeknél </w:t>
      </w:r>
      <w:r w:rsidRPr="00DC2ECE">
        <w:rPr>
          <w:rFonts w:ascii="Times New Roman" w:hAnsi="Times New Roman"/>
        </w:rPr>
        <w:t xml:space="preserve">fordul elő, amit a nagy dózisú kacsdiuretikum alkalmazás, a hyponatraemia vagy a funkcionális vesekárosodás jelez. A tüneteket okozó hypotonia </w:t>
      </w:r>
      <w:r w:rsidR="0098492E">
        <w:rPr>
          <w:rFonts w:ascii="Times New Roman" w:hAnsi="Times New Roman"/>
        </w:rPr>
        <w:t>fokozott kockázatának kitett</w:t>
      </w:r>
      <w:r w:rsidRPr="00DC2ECE">
        <w:rPr>
          <w:rFonts w:ascii="Times New Roman" w:hAnsi="Times New Roman"/>
        </w:rPr>
        <w:t xml:space="preserve"> betegeknél a kezelés elkezdés</w:t>
      </w:r>
      <w:r w:rsidR="0098492E">
        <w:rPr>
          <w:rFonts w:ascii="Times New Roman" w:hAnsi="Times New Roman"/>
        </w:rPr>
        <w:t>ekor</w:t>
      </w:r>
      <w:r w:rsidRPr="00DC2ECE">
        <w:rPr>
          <w:rFonts w:ascii="Times New Roman" w:hAnsi="Times New Roman"/>
        </w:rPr>
        <w:t xml:space="preserve"> és a dózismódosítás</w:t>
      </w:r>
      <w:r w:rsidR="0098492E">
        <w:rPr>
          <w:rFonts w:ascii="Times New Roman" w:hAnsi="Times New Roman"/>
        </w:rPr>
        <w:t>kor</w:t>
      </w:r>
      <w:r w:rsidRPr="00DC2ECE">
        <w:rPr>
          <w:rFonts w:ascii="Times New Roman" w:hAnsi="Times New Roman"/>
        </w:rPr>
        <w:t xml:space="preserve"> szoros monitoroz</w:t>
      </w:r>
      <w:r w:rsidR="0098492E">
        <w:rPr>
          <w:rFonts w:ascii="Times New Roman" w:hAnsi="Times New Roman"/>
        </w:rPr>
        <w:t>ás szükséges</w:t>
      </w:r>
      <w:r w:rsidRPr="00DC2ECE">
        <w:rPr>
          <w:rFonts w:ascii="Times New Roman" w:hAnsi="Times New Roman"/>
        </w:rPr>
        <w:t xml:space="preserve">. Hasonló megfontolások vonatkoznak az ischaemiás szívbetegségben, vagy cerebrovascularis betegségben szenvedőkre is, akiknél a </w:t>
      </w:r>
      <w:r w:rsidR="0098492E">
        <w:rPr>
          <w:rFonts w:ascii="Times New Roman" w:hAnsi="Times New Roman"/>
        </w:rPr>
        <w:t>nagy</w:t>
      </w:r>
      <w:r w:rsidRPr="00DC2ECE">
        <w:rPr>
          <w:rFonts w:ascii="Times New Roman" w:hAnsi="Times New Roman"/>
        </w:rPr>
        <w:t>mértékű vérnyomáscsökkenés myocardialis infarctust vagy cerebrovascularis történést okozhat.</w:t>
      </w:r>
    </w:p>
    <w:p w14:paraId="1E5A5C46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0B92B004" w14:textId="5BC46B43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Hypotonia esetén a beteget hanyatt kell fektetni, és szükség esetén intravénás infúzióban sóoldatot kell adni. Az átmeneti hipotenzív válasz nem jelenti a további adagolás ellenjavallatát, mivel a lizinopril általában probléma nélkül adagolható tovább, miután </w:t>
      </w:r>
      <w:r w:rsidR="00086CEF" w:rsidRPr="00DC2ECE">
        <w:rPr>
          <w:rFonts w:ascii="Times New Roman" w:hAnsi="Times New Roman"/>
        </w:rPr>
        <w:t xml:space="preserve">a </w:t>
      </w:r>
      <w:r w:rsidRPr="00DC2ECE">
        <w:rPr>
          <w:rFonts w:ascii="Times New Roman" w:hAnsi="Times New Roman"/>
        </w:rPr>
        <w:t>volumenpótlásra a vérnyomás rendeződött.</w:t>
      </w:r>
    </w:p>
    <w:p w14:paraId="157740FA" w14:textId="242262A3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Normál vagy alacsony vérnyomású, szívelégtelenségben szenvedő betegeknél a lizinopril alkalmazása esetén a </w:t>
      </w:r>
      <w:r w:rsidR="00086CEF" w:rsidRPr="00DC2ECE">
        <w:rPr>
          <w:rFonts w:ascii="Times New Roman" w:hAnsi="Times New Roman"/>
        </w:rPr>
        <w:t xml:space="preserve">szisztémás </w:t>
      </w:r>
      <w:r w:rsidRPr="00DC2ECE">
        <w:rPr>
          <w:rFonts w:ascii="Times New Roman" w:hAnsi="Times New Roman"/>
        </w:rPr>
        <w:t>vérnyomás tovább csökkenhet.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Erre a hatásra számítani </w:t>
      </w:r>
      <w:r w:rsidR="00086CEF" w:rsidRPr="00DC2ECE">
        <w:rPr>
          <w:rFonts w:ascii="Times New Roman" w:hAnsi="Times New Roman"/>
        </w:rPr>
        <w:t>leh</w:t>
      </w:r>
      <w:r w:rsidR="0098492E">
        <w:rPr>
          <w:rFonts w:ascii="Times New Roman" w:hAnsi="Times New Roman"/>
        </w:rPr>
        <w:t>e</w:t>
      </w:r>
      <w:r w:rsidR="00086CEF" w:rsidRPr="00DC2ECE">
        <w:rPr>
          <w:rFonts w:ascii="Times New Roman" w:hAnsi="Times New Roman"/>
        </w:rPr>
        <w:t>t</w:t>
      </w:r>
      <w:r w:rsidRPr="00DC2ECE">
        <w:rPr>
          <w:rFonts w:ascii="Times New Roman" w:hAnsi="Times New Roman"/>
        </w:rPr>
        <w:t>, és emiatt általában nem kell leállítani a kezelést. Ha a hypotonia tüneteket okoz, szükség lehet a lizinopril dózisának csökkentésére vagy 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leállítására.</w:t>
      </w:r>
    </w:p>
    <w:p w14:paraId="1B048127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6DB6FD7" w14:textId="77777777" w:rsidR="003D468D" w:rsidRPr="00DC2ECE" w:rsidRDefault="003D468D" w:rsidP="001151A2">
      <w:pPr>
        <w:keepNext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Hypotonia akut myocardialis infarctusban</w:t>
      </w:r>
    </w:p>
    <w:p w14:paraId="7B5E4732" w14:textId="15EEAA83" w:rsidR="003D468D" w:rsidRPr="00DC2ECE" w:rsidRDefault="003D468D" w:rsidP="001151A2">
      <w:pPr>
        <w:keepNext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kezelés nem kezdhető el </w:t>
      </w:r>
      <w:r w:rsidRPr="001151A2">
        <w:rPr>
          <w:rFonts w:ascii="Times New Roman" w:hAnsi="Times New Roman"/>
          <w:u w:val="single"/>
        </w:rPr>
        <w:t>akut myocardialis infarctusban</w:t>
      </w:r>
      <w:r w:rsidRPr="00DC2ECE">
        <w:rPr>
          <w:rFonts w:ascii="Times New Roman" w:hAnsi="Times New Roman"/>
        </w:rPr>
        <w:t xml:space="preserve"> azoknál a betegeknél, akik</w:t>
      </w:r>
      <w:r w:rsidRPr="001D5C13">
        <w:rPr>
          <w:rFonts w:ascii="Times New Roman" w:hAnsi="Times New Roman"/>
        </w:rPr>
        <w:t xml:space="preserve">nél a vazodilatátor </w:t>
      </w:r>
      <w:r w:rsidRPr="00CB6009">
        <w:rPr>
          <w:rFonts w:ascii="Times New Roman" w:hAnsi="Times New Roman"/>
        </w:rPr>
        <w:t xml:space="preserve">kezelés után fennáll a további súlyos hemodinamikai rosszabbodás </w:t>
      </w:r>
      <w:r w:rsidR="00844240">
        <w:rPr>
          <w:rFonts w:ascii="Times New Roman" w:hAnsi="Times New Roman"/>
        </w:rPr>
        <w:t>kockázata</w:t>
      </w:r>
      <w:r w:rsidRPr="00CB6009">
        <w:rPr>
          <w:rFonts w:ascii="Times New Roman" w:hAnsi="Times New Roman"/>
        </w:rPr>
        <w:t>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Ilyen betegek azok, akiknek a szisztolés vérnyomása 100</w:t>
      </w:r>
      <w:r w:rsidR="005F24FF" w:rsidRPr="00DC2ECE">
        <w:rPr>
          <w:rFonts w:ascii="Times New Roman" w:hAnsi="Times New Roman"/>
        </w:rPr>
        <w:t> Hgmm</w:t>
      </w:r>
      <w:r w:rsidRPr="00DC2ECE">
        <w:rPr>
          <w:rFonts w:ascii="Times New Roman" w:hAnsi="Times New Roman"/>
        </w:rPr>
        <w:t xml:space="preserve"> vagy kevesebb, illetve akik a cardiogen sokk állapotában vannak. Az infarctust követő első 3</w:t>
      </w:r>
      <w:r w:rsidR="005F24FF" w:rsidRPr="00DC2ECE">
        <w:rPr>
          <w:rFonts w:ascii="Times New Roman" w:hAnsi="Times New Roman"/>
        </w:rPr>
        <w:t> nap</w:t>
      </w:r>
      <w:r w:rsidRPr="00DC2ECE">
        <w:rPr>
          <w:rFonts w:ascii="Times New Roman" w:hAnsi="Times New Roman"/>
        </w:rPr>
        <w:t>ban a dózist csökkenteni kell, ha a szisztolés vérnyomás 120</w:t>
      </w:r>
      <w:r w:rsidR="005F24FF" w:rsidRPr="00DC2ECE">
        <w:rPr>
          <w:rFonts w:ascii="Times New Roman" w:hAnsi="Times New Roman"/>
        </w:rPr>
        <w:t> Hgmm</w:t>
      </w:r>
      <w:r w:rsidRPr="00DC2ECE">
        <w:rPr>
          <w:rFonts w:ascii="Times New Roman" w:hAnsi="Times New Roman"/>
        </w:rPr>
        <w:t xml:space="preserve"> vagy kevesebb. A fenntartó dózist 5</w:t>
      </w:r>
      <w:r w:rsidR="005F24FF" w:rsidRPr="00DC2ECE">
        <w:rPr>
          <w:rFonts w:ascii="Times New Roman" w:hAnsi="Times New Roman"/>
        </w:rPr>
        <w:t> mg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ra, vagy átmenetileg 2,5</w:t>
      </w:r>
      <w:r w:rsidR="005F24FF" w:rsidRPr="00DC2ECE">
        <w:rPr>
          <w:rFonts w:ascii="Times New Roman" w:hAnsi="Times New Roman"/>
        </w:rPr>
        <w:t> mg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ra kell csökkenteni, ha a szisztolés vérnyomás 100</w:t>
      </w:r>
      <w:r w:rsidR="005F24FF" w:rsidRPr="00DC2ECE">
        <w:rPr>
          <w:rFonts w:ascii="Times New Roman" w:hAnsi="Times New Roman"/>
        </w:rPr>
        <w:t> Hgmm</w:t>
      </w:r>
      <w:r w:rsidRPr="00DC2ECE">
        <w:rPr>
          <w:rFonts w:ascii="Times New Roman" w:hAnsi="Times New Roman"/>
        </w:rPr>
        <w:t xml:space="preserve"> vagy kevesebb. Ha a hypotonia tartósan fennáll (a szisztolés vérnyomás 90</w:t>
      </w:r>
      <w:r w:rsidR="005F24FF" w:rsidRPr="00DC2ECE">
        <w:rPr>
          <w:rFonts w:ascii="Times New Roman" w:hAnsi="Times New Roman"/>
        </w:rPr>
        <w:t> Hgmm</w:t>
      </w:r>
      <w:r w:rsidRPr="00DC2ECE">
        <w:rPr>
          <w:rFonts w:ascii="Times New Roman" w:hAnsi="Times New Roman"/>
        </w:rPr>
        <w:t xml:space="preserve"> vagy kevesebb több mint 1</w:t>
      </w:r>
      <w:r w:rsidR="005F24FF" w:rsidRPr="00DC2ECE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>án át), a lizinopril</w:t>
      </w:r>
      <w:r w:rsidR="00C82933" w:rsidRPr="00DC2ECE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kezelést le kell állítani.</w:t>
      </w:r>
    </w:p>
    <w:p w14:paraId="6ADE3CED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AD4425C" w14:textId="5E016792" w:rsidR="003D468D" w:rsidRPr="00DC2ECE" w:rsidRDefault="003D468D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Aorta</w:t>
      </w:r>
      <w:r w:rsidR="005F24FF" w:rsidRPr="00DC2ECE">
        <w:rPr>
          <w:rFonts w:ascii="Times New Roman" w:hAnsi="Times New Roman"/>
          <w:i/>
          <w:iCs/>
          <w:u w:val="single"/>
        </w:rPr>
        <w:noBreakHyphen/>
      </w:r>
      <w:r w:rsidRPr="00DC2ECE">
        <w:rPr>
          <w:rFonts w:ascii="Times New Roman" w:hAnsi="Times New Roman"/>
          <w:i/>
          <w:iCs/>
          <w:u w:val="single"/>
        </w:rPr>
        <w:t xml:space="preserve"> és mitrális billentyű stenosis/hypertrophiás cardiomyopathia</w:t>
      </w:r>
    </w:p>
    <w:p w14:paraId="6C02C3C6" w14:textId="0568DA29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többi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gátlóhoz hasonlóan</w:t>
      </w:r>
      <w:r w:rsidR="00844240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a lizinoprilt elővigyázatosan kell adni a mitrális billentyű stenosisában és a balkamrai kiáramlási pálya obstrukciója, pl. aortastenosis vagy hypertrophiás cardiomyopathia, esetén.</w:t>
      </w:r>
    </w:p>
    <w:p w14:paraId="411D629D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F5CF93A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  <w:u w:val="single"/>
        </w:rPr>
        <w:t>Vesekárosodás</w:t>
      </w:r>
    </w:p>
    <w:p w14:paraId="4CD1F7E4" w14:textId="50E30B05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Vesekárosodás esetén (kreatinin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clearance &lt;</w:t>
      </w:r>
      <w:r w:rsidR="008B22AA" w:rsidRPr="00DC2ECE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80</w:t>
      </w:r>
      <w:r w:rsidR="008B22AA" w:rsidRPr="00DC2ECE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ml/perc) a lizinopril kezdő adagolását a beteg kreatinin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clearance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e, ezt követően pedig a beteg kezelésre adott válasza alapján kell beállítani. A kálium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, és kreatininszint rutinszerű monitorozása ezen betegek szokásos orvosi kezelésének részét képezi.</w:t>
      </w:r>
    </w:p>
    <w:p w14:paraId="2E1FCD28" w14:textId="4B5FE8FF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  <w:u w:val="single"/>
        </w:rPr>
        <w:t>Szívelégtelenségben</w:t>
      </w:r>
      <w:r w:rsidRPr="001151A2">
        <w:rPr>
          <w:rFonts w:ascii="Times New Roman" w:hAnsi="Times New Roman"/>
          <w:u w:val="single"/>
        </w:rPr>
        <w:t xml:space="preserve"> szenvedő betegeknél</w:t>
      </w:r>
      <w:r w:rsidRPr="00DC2ECE">
        <w:rPr>
          <w:rFonts w:ascii="Times New Roman" w:hAnsi="Times New Roman"/>
        </w:rPr>
        <w:t xml:space="preserve"> az ACE</w:t>
      </w:r>
      <w:r w:rsidR="005F24FF" w:rsidRPr="001D5C13">
        <w:rPr>
          <w:rFonts w:ascii="Times New Roman" w:hAnsi="Times New Roman"/>
        </w:rPr>
        <w:noBreakHyphen/>
      </w:r>
      <w:r w:rsidRPr="0001485A">
        <w:rPr>
          <w:rFonts w:ascii="Times New Roman" w:hAnsi="Times New Roman"/>
        </w:rPr>
        <w:t>gátló</w:t>
      </w:r>
      <w:r w:rsidR="005F24FF" w:rsidRPr="0001485A">
        <w:rPr>
          <w:rFonts w:ascii="Times New Roman" w:hAnsi="Times New Roman"/>
        </w:rPr>
        <w:noBreakHyphen/>
      </w:r>
      <w:r w:rsidRPr="0001485A">
        <w:rPr>
          <w:rFonts w:ascii="Times New Roman" w:hAnsi="Times New Roman"/>
        </w:rPr>
        <w:t xml:space="preserve">kezelés elkezdését követően jelentkező hypotonia tovább ronthatja a veseműködést. Ilyen helyzetben </w:t>
      </w:r>
      <w:r w:rsidR="008B22AA" w:rsidRPr="00DC2ECE">
        <w:rPr>
          <w:rFonts w:ascii="Times New Roman" w:hAnsi="Times New Roman"/>
        </w:rPr>
        <w:t xml:space="preserve">beszámoltak </w:t>
      </w:r>
      <w:r w:rsidRPr="00DC2ECE">
        <w:rPr>
          <w:rFonts w:ascii="Times New Roman" w:hAnsi="Times New Roman"/>
        </w:rPr>
        <w:t>akut veseelégtelenség</w:t>
      </w:r>
      <w:r w:rsidR="008B22AA" w:rsidRPr="00DC2ECE">
        <w:rPr>
          <w:rFonts w:ascii="Times New Roman" w:hAnsi="Times New Roman"/>
        </w:rPr>
        <w:t>ről</w:t>
      </w:r>
      <w:r w:rsidRPr="00DC2ECE">
        <w:rPr>
          <w:rFonts w:ascii="Times New Roman" w:hAnsi="Times New Roman"/>
        </w:rPr>
        <w:t>, ami általában reverzibilis volt.</w:t>
      </w:r>
    </w:p>
    <w:p w14:paraId="150E3D84" w14:textId="07DB944D" w:rsidR="003D468D" w:rsidRPr="00DC2ECE" w:rsidRDefault="008B22AA" w:rsidP="00C46DF0">
      <w:pPr>
        <w:widowControl w:val="0"/>
        <w:rPr>
          <w:rFonts w:ascii="Times New Roman" w:eastAsia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Néhány, b</w:t>
      </w:r>
      <w:r w:rsidR="003D468D" w:rsidRPr="00DC2ECE">
        <w:rPr>
          <w:rFonts w:ascii="Times New Roman" w:hAnsi="Times New Roman"/>
          <w:u w:val="single"/>
        </w:rPr>
        <w:t>ilaterális arteria renalis stenosisban vagy a</w:t>
      </w:r>
      <w:r w:rsidR="000C4C32">
        <w:rPr>
          <w:rFonts w:ascii="Times New Roman" w:hAnsi="Times New Roman"/>
          <w:u w:val="single"/>
        </w:rPr>
        <w:t>z egyetlen működő</w:t>
      </w:r>
      <w:r w:rsidR="003D468D" w:rsidRPr="00DC2ECE">
        <w:rPr>
          <w:rFonts w:ascii="Times New Roman" w:hAnsi="Times New Roman"/>
          <w:u w:val="single"/>
        </w:rPr>
        <w:t xml:space="preserve"> vese arteria renalis stenosisában</w:t>
      </w:r>
      <w:r w:rsidR="003D468D" w:rsidRPr="00DC2ECE">
        <w:rPr>
          <w:rFonts w:ascii="Times New Roman" w:hAnsi="Times New Roman"/>
        </w:rPr>
        <w:t xml:space="preserve"> </w:t>
      </w:r>
      <w:r w:rsidR="003D468D" w:rsidRPr="001151A2">
        <w:rPr>
          <w:rFonts w:ascii="Times New Roman" w:hAnsi="Times New Roman"/>
          <w:u w:val="single"/>
        </w:rPr>
        <w:t>szenvedő</w:t>
      </w:r>
      <w:r w:rsidR="003D468D" w:rsidRPr="00DC2ECE">
        <w:rPr>
          <w:rFonts w:ascii="Times New Roman" w:hAnsi="Times New Roman"/>
        </w:rPr>
        <w:t xml:space="preserve">, </w:t>
      </w:r>
      <w:r w:rsidR="003D468D" w:rsidRPr="000C4C32">
        <w:rPr>
          <w:rFonts w:ascii="Times New Roman" w:hAnsi="Times New Roman"/>
        </w:rPr>
        <w:t>angiotenzin</w:t>
      </w:r>
      <w:r w:rsidR="005F24FF" w:rsidRPr="000C4C32">
        <w:rPr>
          <w:rFonts w:ascii="Times New Roman" w:hAnsi="Times New Roman"/>
        </w:rPr>
        <w:noBreakHyphen/>
      </w:r>
      <w:r w:rsidR="003D468D" w:rsidRPr="000C4C32">
        <w:rPr>
          <w:rFonts w:ascii="Times New Roman" w:hAnsi="Times New Roman"/>
        </w:rPr>
        <w:t>konvertáló enzim inhibitorral</w:t>
      </w:r>
      <w:r w:rsidR="003D468D" w:rsidRPr="0001485A">
        <w:rPr>
          <w:rFonts w:ascii="Times New Roman" w:hAnsi="Times New Roman"/>
        </w:rPr>
        <w:t xml:space="preserve"> kezelt </w:t>
      </w:r>
      <w:r w:rsidR="003D468D" w:rsidRPr="004954C2">
        <w:rPr>
          <w:rFonts w:ascii="Times New Roman" w:hAnsi="Times New Roman"/>
        </w:rPr>
        <w:t>betegnél</w:t>
      </w:r>
      <w:r w:rsidR="003D468D" w:rsidRPr="00DB0EE3">
        <w:rPr>
          <w:rFonts w:ascii="Times New Roman" w:hAnsi="Times New Roman"/>
        </w:rPr>
        <w:t xml:space="preserve"> </w:t>
      </w:r>
      <w:r w:rsidR="003D468D" w:rsidRPr="00DC2ECE">
        <w:rPr>
          <w:rFonts w:ascii="Times New Roman" w:hAnsi="Times New Roman"/>
        </w:rPr>
        <w:t>a vér urea</w:t>
      </w:r>
      <w:r w:rsidR="005F24FF" w:rsidRPr="00DC2ECE">
        <w:rPr>
          <w:rFonts w:ascii="Times New Roman" w:hAnsi="Times New Roman"/>
        </w:rPr>
        <w:noBreakHyphen/>
      </w:r>
      <w:r w:rsidR="003D468D" w:rsidRPr="00DC2ECE">
        <w:rPr>
          <w:rFonts w:ascii="Times New Roman" w:hAnsi="Times New Roman"/>
        </w:rPr>
        <w:t xml:space="preserve">, és a szérum kreatininszintjének emelkedését észlelték, ami a kezelés leállítása után általában rendeződött. Ez különösen veseelégtelenségben szenvedő betegeknél valószínű. </w:t>
      </w:r>
      <w:r w:rsidR="000C4C32">
        <w:rPr>
          <w:rFonts w:ascii="Times New Roman" w:hAnsi="Times New Roman"/>
        </w:rPr>
        <w:t>E</w:t>
      </w:r>
      <w:r w:rsidR="000C4C32" w:rsidRPr="00DC2ECE">
        <w:rPr>
          <w:rFonts w:ascii="Times New Roman" w:hAnsi="Times New Roman"/>
        </w:rPr>
        <w:t>gyidejű</w:t>
      </w:r>
      <w:r w:rsidR="000C4C32">
        <w:rPr>
          <w:rFonts w:ascii="Times New Roman" w:hAnsi="Times New Roman"/>
        </w:rPr>
        <w:t>leg fennálló</w:t>
      </w:r>
      <w:r w:rsidR="000C4C32" w:rsidRPr="00DC2ECE">
        <w:rPr>
          <w:rFonts w:ascii="Times New Roman" w:hAnsi="Times New Roman"/>
        </w:rPr>
        <w:t xml:space="preserve"> </w:t>
      </w:r>
      <w:r w:rsidR="000C4C32">
        <w:rPr>
          <w:rFonts w:ascii="Times New Roman" w:hAnsi="Times New Roman"/>
        </w:rPr>
        <w:t>r</w:t>
      </w:r>
      <w:r w:rsidR="003D468D" w:rsidRPr="00DC2ECE">
        <w:rPr>
          <w:rFonts w:ascii="Times New Roman" w:hAnsi="Times New Roman"/>
        </w:rPr>
        <w:t xml:space="preserve">enovascularis hypertonia esetén fokozott a súlyos hypotonia és a veseelégtelenség </w:t>
      </w:r>
      <w:r w:rsidR="00DB0EE3">
        <w:rPr>
          <w:rFonts w:ascii="Times New Roman" w:hAnsi="Times New Roman"/>
        </w:rPr>
        <w:t>kockázata</w:t>
      </w:r>
      <w:r w:rsidR="003D468D" w:rsidRPr="00DC2ECE">
        <w:rPr>
          <w:rFonts w:ascii="Times New Roman" w:hAnsi="Times New Roman"/>
        </w:rPr>
        <w:t xml:space="preserve">. Ezeknél a betegeknél a kezelést szoros orvosi felügyelet mellett, </w:t>
      </w:r>
      <w:r w:rsidR="00DB0EE3">
        <w:rPr>
          <w:rFonts w:ascii="Times New Roman" w:hAnsi="Times New Roman"/>
        </w:rPr>
        <w:t>kis</w:t>
      </w:r>
      <w:r w:rsidR="003D468D" w:rsidRPr="00DC2ECE">
        <w:rPr>
          <w:rFonts w:ascii="Times New Roman" w:hAnsi="Times New Roman"/>
        </w:rPr>
        <w:t xml:space="preserve"> dózisokkal kell elkezdeni, és a dózist óvatosan kell titrálni. Mivel a diuretiku</w:t>
      </w:r>
      <w:r w:rsidR="00DB0EE3">
        <w:rPr>
          <w:rFonts w:ascii="Times New Roman" w:hAnsi="Times New Roman"/>
        </w:rPr>
        <w:t>m</w:t>
      </w:r>
      <w:r w:rsidR="001B7493" w:rsidRPr="00DC2ECE">
        <w:rPr>
          <w:rFonts w:ascii="Times New Roman" w:hAnsi="Times New Roman"/>
        </w:rPr>
        <w:t>-</w:t>
      </w:r>
      <w:r w:rsidR="003D468D" w:rsidRPr="00DC2ECE">
        <w:rPr>
          <w:rFonts w:ascii="Times New Roman" w:hAnsi="Times New Roman"/>
        </w:rPr>
        <w:t>kezelés a fentieket súlyosbíthatja, a lizinopril</w:t>
      </w:r>
      <w:r w:rsidR="005F24FF" w:rsidRPr="00DC2ECE">
        <w:rPr>
          <w:rFonts w:ascii="Times New Roman" w:hAnsi="Times New Roman"/>
        </w:rPr>
        <w:noBreakHyphen/>
      </w:r>
      <w:r w:rsidR="003D468D" w:rsidRPr="00DC2ECE">
        <w:rPr>
          <w:rFonts w:ascii="Times New Roman" w:hAnsi="Times New Roman"/>
        </w:rPr>
        <w:t>kezelés első heteiben a diuretiku</w:t>
      </w:r>
      <w:r w:rsidR="00DB0EE3">
        <w:rPr>
          <w:rFonts w:ascii="Times New Roman" w:hAnsi="Times New Roman"/>
        </w:rPr>
        <w:t>m</w:t>
      </w:r>
      <w:r w:rsidR="001B7493" w:rsidRPr="00DC2ECE">
        <w:rPr>
          <w:rFonts w:ascii="Times New Roman" w:hAnsi="Times New Roman"/>
        </w:rPr>
        <w:t>-</w:t>
      </w:r>
      <w:r w:rsidR="003D468D" w:rsidRPr="00DC2ECE">
        <w:rPr>
          <w:rFonts w:ascii="Times New Roman" w:hAnsi="Times New Roman"/>
        </w:rPr>
        <w:t>kezelést le kell állítani, és a vesefunkciót monitorozni kell.</w:t>
      </w:r>
    </w:p>
    <w:p w14:paraId="5E5ABD74" w14:textId="416B9604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  <w:u w:val="single"/>
        </w:rPr>
        <w:t>Néhány hypertoniás betegnél</w:t>
      </w:r>
      <w:r w:rsidRPr="00DC2ECE">
        <w:rPr>
          <w:rFonts w:ascii="Times New Roman" w:hAnsi="Times New Roman"/>
        </w:rPr>
        <w:t xml:space="preserve"> a renovascularis betegség fennállásának jele nélkül is észlelték a vér urea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, és a szérum kreatininszint</w:t>
      </w:r>
      <w:r w:rsidR="001B7493" w:rsidRPr="00DC2ECE">
        <w:rPr>
          <w:rFonts w:ascii="Times New Roman" w:hAnsi="Times New Roman"/>
        </w:rPr>
        <w:t xml:space="preserve"> </w:t>
      </w:r>
      <w:r w:rsidR="00DB0EE3">
        <w:rPr>
          <w:rFonts w:ascii="Times New Roman" w:hAnsi="Times New Roman"/>
        </w:rPr>
        <w:t>–</w:t>
      </w:r>
      <w:r w:rsidRPr="00DC2ECE">
        <w:rPr>
          <w:rFonts w:ascii="Times New Roman" w:hAnsi="Times New Roman"/>
        </w:rPr>
        <w:t xml:space="preserve"> általában kismértékű és átmeneti </w:t>
      </w:r>
      <w:r w:rsidR="00DB0EE3">
        <w:rPr>
          <w:rFonts w:ascii="Times New Roman" w:hAnsi="Times New Roman"/>
        </w:rPr>
        <w:t>–</w:t>
      </w:r>
      <w:r w:rsidR="001B7493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emelkedését, különösen, ha a lizinoprilt diuretikummal együtt adták. Ez nagyobb valószínűséggel fordul elő előzetesen már fennálló </w:t>
      </w:r>
      <w:r w:rsidRPr="00DC2ECE">
        <w:rPr>
          <w:rFonts w:ascii="Times New Roman" w:hAnsi="Times New Roman"/>
        </w:rPr>
        <w:lastRenderedPageBreak/>
        <w:t>vesekárosodás esetén. Szükség lehet a dózis csökkentésére és/vagy a diuretikum és/vagy a lizinopril adásának leállítására.</w:t>
      </w:r>
    </w:p>
    <w:p w14:paraId="5A22F670" w14:textId="76E60BAF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  <w:u w:val="single"/>
        </w:rPr>
        <w:t>Akut myocardialis infarctusban</w:t>
      </w:r>
      <w:r w:rsidRPr="00DC2ECE">
        <w:rPr>
          <w:rFonts w:ascii="Times New Roman" w:hAnsi="Times New Roman"/>
        </w:rPr>
        <w:t xml:space="preserve"> 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nem kezdhető el azoknál a betegeknél, akiknél a vese</w:t>
      </w:r>
      <w:r w:rsidR="000C4C32">
        <w:rPr>
          <w:rFonts w:ascii="Times New Roman" w:hAnsi="Times New Roman"/>
        </w:rPr>
        <w:t>károsodás</w:t>
      </w:r>
      <w:r w:rsidRPr="00DC2ECE">
        <w:rPr>
          <w:rFonts w:ascii="Times New Roman" w:hAnsi="Times New Roman"/>
        </w:rPr>
        <w:t xml:space="preserve"> nyilvánvaló, amit a 177</w:t>
      </w:r>
      <w:r w:rsidR="001B7493" w:rsidRPr="00DC2ECE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mikromol/l feletti szérum kreatinin</w:t>
      </w:r>
      <w:r w:rsidR="00DB0EE3">
        <w:rPr>
          <w:rFonts w:ascii="Times New Roman" w:hAnsi="Times New Roman"/>
        </w:rPr>
        <w:t>szint</w:t>
      </w:r>
      <w:r w:rsidRPr="00DC2ECE">
        <w:rPr>
          <w:rFonts w:ascii="Times New Roman" w:hAnsi="Times New Roman"/>
        </w:rPr>
        <w:t xml:space="preserve"> és/vagy az 500</w:t>
      </w:r>
      <w:r w:rsidR="005F24FF" w:rsidRPr="00DC2ECE">
        <w:rPr>
          <w:rFonts w:ascii="Times New Roman" w:hAnsi="Times New Roman"/>
        </w:rPr>
        <w:t> mg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ot meghaladó 24</w:t>
      </w:r>
      <w:r w:rsidR="005F24FF" w:rsidRPr="00DC2ECE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>ás fehérjeürítés jelez.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Ha a vesekárosodás 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alatt alakul ki (</w:t>
      </w:r>
      <w:r w:rsidR="001B7493" w:rsidRPr="00DC2ECE">
        <w:rPr>
          <w:rFonts w:ascii="Times New Roman" w:hAnsi="Times New Roman"/>
        </w:rPr>
        <w:t xml:space="preserve">a </w:t>
      </w:r>
      <w:r w:rsidRPr="00DC2ECE">
        <w:rPr>
          <w:rFonts w:ascii="Times New Roman" w:hAnsi="Times New Roman"/>
        </w:rPr>
        <w:t>szérum</w:t>
      </w:r>
      <w:r w:rsidR="00DB0EE3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kreatininkoncentráció meghaladja a 265</w:t>
      </w:r>
      <w:r w:rsidR="001B7493" w:rsidRPr="00DC2ECE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mikromol/l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t vagy a kezelés előtti érték kétszeresét), az orvosnak mérlegelnie kell 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leállítását.</w:t>
      </w:r>
    </w:p>
    <w:p w14:paraId="0A5504BA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7AA30578" w14:textId="77777777" w:rsidR="003D468D" w:rsidRPr="00DC2ECE" w:rsidRDefault="003D468D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Túlérzékenység, angiooedema</w:t>
      </w:r>
    </w:p>
    <w:p w14:paraId="5B15CBBF" w14:textId="725B34E1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Az arc, a végtagok, az ajkak, a nyelv, a gége és/vagy a garat angiooedemáját „ritka” előfordulással jelentették </w:t>
      </w:r>
      <w:r w:rsidRPr="000C4C32">
        <w:rPr>
          <w:rFonts w:ascii="Times New Roman" w:hAnsi="Times New Roman"/>
        </w:rPr>
        <w:t>angiotenzin</w:t>
      </w:r>
      <w:r w:rsidR="005F24FF" w:rsidRPr="000C4C32">
        <w:rPr>
          <w:rFonts w:ascii="Times New Roman" w:hAnsi="Times New Roman"/>
        </w:rPr>
        <w:noBreakHyphen/>
      </w:r>
      <w:r w:rsidRPr="000C4C32">
        <w:rPr>
          <w:rFonts w:ascii="Times New Roman" w:hAnsi="Times New Roman"/>
        </w:rPr>
        <w:t>konvertáló enziminhibitorral</w:t>
      </w:r>
      <w:r w:rsidRPr="00DC2ECE">
        <w:rPr>
          <w:rFonts w:ascii="Times New Roman" w:hAnsi="Times New Roman"/>
        </w:rPr>
        <w:t>, köztük lizinoprillel kezelt betegeknél. Ez a kezelés folyamán bármikor előfordulhat. Ilyen esetben a lizinopril</w:t>
      </w:r>
      <w:r w:rsidR="00777083">
        <w:rPr>
          <w:rFonts w:ascii="Times New Roman" w:hAnsi="Times New Roman"/>
        </w:rPr>
        <w:t>-kezelés</w:t>
      </w:r>
      <w:r w:rsidRPr="00DC2ECE">
        <w:rPr>
          <w:rFonts w:ascii="Times New Roman" w:hAnsi="Times New Roman"/>
        </w:rPr>
        <w:t>t azonnal le kell állítani, és megfelelő kezelést</w:t>
      </w:r>
      <w:r w:rsidR="003A6E7C" w:rsidRPr="00DC2ECE">
        <w:rPr>
          <w:rFonts w:ascii="Times New Roman" w:hAnsi="Times New Roman"/>
        </w:rPr>
        <w:t>, valamint</w:t>
      </w:r>
      <w:r w:rsidRPr="00DC2ECE">
        <w:rPr>
          <w:rFonts w:ascii="Times New Roman" w:hAnsi="Times New Roman"/>
        </w:rPr>
        <w:t xml:space="preserve"> monitorozást kell kezdeni, és a beteg csak a tünetek teljes megszűnését követően bocsátható el</w:t>
      </w:r>
      <w:r w:rsidR="000C4C32">
        <w:rPr>
          <w:rFonts w:ascii="Times New Roman" w:hAnsi="Times New Roman"/>
        </w:rPr>
        <w:t xml:space="preserve"> a kórházból</w:t>
      </w:r>
      <w:r w:rsidRPr="00DC2ECE">
        <w:rPr>
          <w:rFonts w:ascii="Times New Roman" w:hAnsi="Times New Roman"/>
        </w:rPr>
        <w:t>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Még azokban az esetekben is tartós megfigyelésre lehet szükség, ahol </w:t>
      </w:r>
      <w:r w:rsidR="003A6E7C" w:rsidRPr="00DC2ECE">
        <w:rPr>
          <w:rFonts w:ascii="Times New Roman" w:hAnsi="Times New Roman"/>
        </w:rPr>
        <w:t xml:space="preserve">a duzzadás </w:t>
      </w:r>
      <w:r w:rsidRPr="00DC2ECE">
        <w:rPr>
          <w:rFonts w:ascii="Times New Roman" w:hAnsi="Times New Roman"/>
        </w:rPr>
        <w:t>kizárólag a nyelvet érinti</w:t>
      </w:r>
      <w:r w:rsidR="003A6E7C" w:rsidRPr="00DC2ECE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légzési elégtelenség</w:t>
      </w:r>
      <w:r w:rsidR="003A6E7C" w:rsidRPr="00DC2ECE">
        <w:rPr>
          <w:rFonts w:ascii="Times New Roman" w:hAnsi="Times New Roman"/>
        </w:rPr>
        <w:t xml:space="preserve"> nélkül</w:t>
      </w:r>
      <w:r w:rsidRPr="00DC2ECE">
        <w:rPr>
          <w:rFonts w:ascii="Times New Roman" w:hAnsi="Times New Roman"/>
        </w:rPr>
        <w:t>, mivel az antihisztamin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és kortikoszteroid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hatása kevésnek bizonyulhat.</w:t>
      </w:r>
    </w:p>
    <w:p w14:paraId="6E3641AA" w14:textId="391ECEB5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Nagyon ritkán halálos kimenetelű eseteket jelentettek a gége és a nyelv oedemájával járó angiooedema miatt. </w:t>
      </w:r>
      <w:r w:rsidR="003A6E7C" w:rsidRPr="00DC2ECE">
        <w:rPr>
          <w:rFonts w:ascii="Times New Roman" w:hAnsi="Times New Roman"/>
        </w:rPr>
        <w:t>Nagy valószínűséggel légúti elzáródás alakul ki a</w:t>
      </w:r>
      <w:r w:rsidRPr="00DC2ECE">
        <w:rPr>
          <w:rFonts w:ascii="Times New Roman" w:hAnsi="Times New Roman"/>
        </w:rPr>
        <w:t xml:space="preserve">zoknál a betegeknél, akiknél a nyelv, a </w:t>
      </w:r>
      <w:r w:rsidR="00777083">
        <w:rPr>
          <w:rFonts w:ascii="Times New Roman" w:hAnsi="Times New Roman"/>
        </w:rPr>
        <w:t>gége</w:t>
      </w:r>
      <w:r w:rsidR="00777083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vagy a g</w:t>
      </w:r>
      <w:r w:rsidR="00777083">
        <w:rPr>
          <w:rFonts w:ascii="Times New Roman" w:hAnsi="Times New Roman"/>
        </w:rPr>
        <w:t>arat</w:t>
      </w:r>
      <w:r w:rsidRPr="00DC2ECE">
        <w:rPr>
          <w:rFonts w:ascii="Times New Roman" w:hAnsi="Times New Roman"/>
        </w:rPr>
        <w:t xml:space="preserve"> érintett, különösen</w:t>
      </w:r>
      <w:r w:rsidR="000A39E3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ha az anamnézisben a légutakat érintő műtét szerepel. Ilyen esetben azonnal sürgősségi kezelést kell kezdeni. </w:t>
      </w:r>
      <w:r w:rsidR="003A6E7C" w:rsidRPr="00DC2ECE">
        <w:rPr>
          <w:rFonts w:ascii="Times New Roman" w:hAnsi="Times New Roman"/>
        </w:rPr>
        <w:t>Ebbe beletartozhat</w:t>
      </w:r>
      <w:r w:rsidRPr="00DC2ECE">
        <w:rPr>
          <w:rFonts w:ascii="Times New Roman" w:hAnsi="Times New Roman"/>
        </w:rPr>
        <w:t xml:space="preserve"> adrenalin adása és/vagy az átjárható lég</w:t>
      </w:r>
      <w:r w:rsidR="003A6E7C" w:rsidRPr="00DC2ECE">
        <w:rPr>
          <w:rFonts w:ascii="Times New Roman" w:hAnsi="Times New Roman"/>
        </w:rPr>
        <w:t>u</w:t>
      </w:r>
      <w:r w:rsidRPr="00DC2ECE">
        <w:rPr>
          <w:rFonts w:ascii="Times New Roman" w:hAnsi="Times New Roman"/>
        </w:rPr>
        <w:t>t</w:t>
      </w:r>
      <w:r w:rsidR="003A6E7C" w:rsidRPr="00DC2ECE">
        <w:rPr>
          <w:rFonts w:ascii="Times New Roman" w:hAnsi="Times New Roman"/>
        </w:rPr>
        <w:t>ak</w:t>
      </w:r>
      <w:r w:rsidRPr="00DC2ECE">
        <w:rPr>
          <w:rFonts w:ascii="Times New Roman" w:hAnsi="Times New Roman"/>
        </w:rPr>
        <w:t xml:space="preserve"> biztosítása. A beteget szoros orvosi felügyelet alatt kell tartani a tünetek teljes és tartós megszűnéséig.</w:t>
      </w:r>
    </w:p>
    <w:p w14:paraId="32820A73" w14:textId="6DECB511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Az </w:t>
      </w:r>
      <w:r w:rsidRPr="000C4C32">
        <w:rPr>
          <w:rFonts w:ascii="Times New Roman" w:hAnsi="Times New Roman"/>
        </w:rPr>
        <w:t>angiotenzin</w:t>
      </w:r>
      <w:r w:rsidR="005F24FF" w:rsidRPr="000C4C32">
        <w:rPr>
          <w:rFonts w:ascii="Times New Roman" w:hAnsi="Times New Roman"/>
        </w:rPr>
        <w:noBreakHyphen/>
      </w:r>
      <w:r w:rsidRPr="000C4C32">
        <w:rPr>
          <w:rFonts w:ascii="Times New Roman" w:hAnsi="Times New Roman"/>
        </w:rPr>
        <w:t>konvertáló enzim inhibitorok</w:t>
      </w:r>
      <w:r w:rsidRPr="00DC2ECE">
        <w:rPr>
          <w:rFonts w:ascii="Times New Roman" w:hAnsi="Times New Roman"/>
        </w:rPr>
        <w:t xml:space="preserve"> nagyobb gyakorisággal okoznak angiooedemát fekete bőrű betegeknél, mint a nem</w:t>
      </w:r>
      <w:r w:rsidR="00777083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fekete bőrűeknél.</w:t>
      </w:r>
    </w:p>
    <w:p w14:paraId="41D7A2A3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Azoknál a betegeknél, akiknek az anamnézisében nem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 okozta angiooedema szerepel, fokozott lehet az angiooedema kialakulásának kockázata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 adása alatt (lásd 4.3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08871E49" w14:textId="77777777" w:rsidR="00AB5196" w:rsidRPr="00DC2ECE" w:rsidRDefault="00AB519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42A18C8B" w14:textId="69D7C8DF" w:rsidR="005D77C7" w:rsidRPr="00DC2ECE" w:rsidRDefault="005D77C7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gátlók szakubitril/valzartánnal </w:t>
      </w:r>
      <w:r w:rsidR="00777083">
        <w:rPr>
          <w:rFonts w:ascii="Times New Roman" w:hAnsi="Times New Roman"/>
        </w:rPr>
        <w:t xml:space="preserve">történő </w:t>
      </w:r>
      <w:r w:rsidRPr="00DC2ECE">
        <w:rPr>
          <w:rFonts w:ascii="Times New Roman" w:hAnsi="Times New Roman"/>
        </w:rPr>
        <w:t>egyidejű alkalmazása ellenjavallt az angiooedema kialakulásának fokozott kockázata miatt. A szakubitril/valzartán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kezelést legkorábban 36</w:t>
      </w:r>
      <w:r w:rsidR="005F24FF" w:rsidRPr="00DC2ECE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>ával a lizinopril utolsó adagját követően szabad elkezdeni. 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kezelést legkorábban 36</w:t>
      </w:r>
      <w:r w:rsidR="005F24FF" w:rsidRPr="00DC2ECE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>ával a szakubitril/valzartán utolsó adagját követően szabad elkezdeni (lásd 4.3. és 4.5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 xml:space="preserve">). </w:t>
      </w:r>
    </w:p>
    <w:p w14:paraId="4A9988E9" w14:textId="77777777" w:rsidR="00DD3A14" w:rsidRPr="00DC2ECE" w:rsidRDefault="00DD3A14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7F26395E" w14:textId="56793A49" w:rsidR="005D77C7" w:rsidRPr="00DC2ECE" w:rsidRDefault="005D77C7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racekadotrillal, mTOR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gátlókkal (pl. szirolimusz, everolimusz, temszirolimusz) és vildagliptinnel egyidejű alkalmazása az angiooedema kialakulásának fokozott kockázatához vezethet (pl. a légutak vagy a nyelv, légzéskárosodással vagy anélkül</w:t>
      </w:r>
      <w:r w:rsidR="00BB3CAB" w:rsidRPr="00DC2ECE">
        <w:rPr>
          <w:rFonts w:ascii="Times New Roman" w:hAnsi="Times New Roman"/>
        </w:rPr>
        <w:t xml:space="preserve"> jelentkező duzzanata</w:t>
      </w:r>
      <w:r w:rsidRPr="00DC2ECE">
        <w:rPr>
          <w:rFonts w:ascii="Times New Roman" w:hAnsi="Times New Roman"/>
        </w:rPr>
        <w:t>) (lásd 4.5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 A racekadotril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, mTOR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(például szirolimusz, everolimusz és temszirolimusz) és vildagliptin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megkezdésekor elővigyázatosság szükséges azoknál a betegeknél, akik már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kezelésben részesülnek.</w:t>
      </w:r>
    </w:p>
    <w:p w14:paraId="7873CC79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0D782B95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Anafilaktoid reakciók hemodializált betegeknél</w:t>
      </w:r>
    </w:p>
    <w:p w14:paraId="562C9CB7" w14:textId="77777777" w:rsidR="003D468D" w:rsidRPr="00DC2ECE" w:rsidRDefault="0005353C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</w:rPr>
        <w:t>Anafilaktoid reakció jelentkezését észlelték high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flux membránokkal (pl. AN 69) dializált, egyidejűleg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gátlóval kezelt betegeknél. Ezeknél a betegeknél mérlegelni kell más típusú dializáló membrán használatát vagy másfajta vérnyomáscsökkentő alkalmazását.</w:t>
      </w:r>
    </w:p>
    <w:p w14:paraId="0884EB0E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E3A3201" w14:textId="72E67A01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 xml:space="preserve">Anafilaktoid reakciók </w:t>
      </w:r>
      <w:r w:rsidR="00112B31" w:rsidRPr="00DC2ECE">
        <w:rPr>
          <w:rFonts w:ascii="Times New Roman" w:hAnsi="Times New Roman"/>
          <w:i/>
          <w:iCs/>
          <w:u w:val="single"/>
        </w:rPr>
        <w:t>alacsony sűrűségű (</w:t>
      </w:r>
      <w:r w:rsidRPr="00DC2ECE">
        <w:rPr>
          <w:rFonts w:ascii="Times New Roman" w:hAnsi="Times New Roman"/>
          <w:i/>
          <w:iCs/>
          <w:u w:val="single"/>
        </w:rPr>
        <w:t>low</w:t>
      </w:r>
      <w:r w:rsidR="005F24FF" w:rsidRPr="00DC2ECE">
        <w:rPr>
          <w:rFonts w:ascii="Times New Roman" w:hAnsi="Times New Roman"/>
          <w:i/>
          <w:iCs/>
          <w:u w:val="single"/>
        </w:rPr>
        <w:noBreakHyphen/>
      </w:r>
      <w:r w:rsidRPr="00DC2ECE">
        <w:rPr>
          <w:rFonts w:ascii="Times New Roman" w:hAnsi="Times New Roman"/>
          <w:i/>
          <w:iCs/>
          <w:u w:val="single"/>
        </w:rPr>
        <w:t>density</w:t>
      </w:r>
      <w:r w:rsidR="00112B31" w:rsidRPr="00DC2ECE">
        <w:rPr>
          <w:rFonts w:ascii="Times New Roman" w:hAnsi="Times New Roman"/>
          <w:i/>
          <w:iCs/>
          <w:u w:val="single"/>
        </w:rPr>
        <w:t>)</w:t>
      </w:r>
      <w:r w:rsidRPr="00DC2ECE">
        <w:rPr>
          <w:rFonts w:ascii="Times New Roman" w:hAnsi="Times New Roman"/>
          <w:i/>
          <w:iCs/>
          <w:u w:val="single"/>
        </w:rPr>
        <w:t xml:space="preserve"> lipoprotein (LDL)</w:t>
      </w:r>
      <w:r w:rsidR="005F24FF" w:rsidRPr="00DC2ECE">
        <w:rPr>
          <w:rFonts w:ascii="Times New Roman" w:hAnsi="Times New Roman"/>
          <w:i/>
          <w:iCs/>
          <w:u w:val="single"/>
        </w:rPr>
        <w:noBreakHyphen/>
      </w:r>
      <w:r w:rsidRPr="00DC2ECE">
        <w:rPr>
          <w:rFonts w:ascii="Times New Roman" w:hAnsi="Times New Roman"/>
          <w:i/>
          <w:iCs/>
          <w:u w:val="single"/>
        </w:rPr>
        <w:t>aferezis során</w:t>
      </w:r>
    </w:p>
    <w:p w14:paraId="499D39DD" w14:textId="7AC6212A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gátlót kapó betegeknél ritkán életveszélyes anafilaktoid reakció jelentkezését észlelték dextrán</w:t>
      </w:r>
      <w:r w:rsidR="00777083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 xml:space="preserve">szulfáttal végzett </w:t>
      </w:r>
      <w:r w:rsidR="000C4C32">
        <w:rPr>
          <w:rFonts w:ascii="Times New Roman" w:hAnsi="Times New Roman"/>
        </w:rPr>
        <w:t>alacsony sűrűségű</w:t>
      </w:r>
      <w:r w:rsidRPr="000C4C32">
        <w:rPr>
          <w:rFonts w:ascii="Times New Roman" w:hAnsi="Times New Roman"/>
        </w:rPr>
        <w:t xml:space="preserve"> lipoprotein (LDL</w:t>
      </w:r>
      <w:r w:rsidRPr="00DC2ECE">
        <w:rPr>
          <w:rFonts w:ascii="Times New Roman" w:hAnsi="Times New Roman"/>
        </w:rPr>
        <w:t>)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aferezis során. Ez a reakció elkerülhető volt, ha az egyes aferezisek előtt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 adását átmenetileg leállították.</w:t>
      </w:r>
    </w:p>
    <w:p w14:paraId="2FC1A389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32AB86DA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Deszenzitizáció</w:t>
      </w:r>
    </w:p>
    <w:p w14:paraId="796128FE" w14:textId="1DF33FD9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gátlót kapó betegeknél a </w:t>
      </w:r>
      <w:r w:rsidR="007238B4" w:rsidRPr="00DC2ECE">
        <w:rPr>
          <w:rFonts w:ascii="Times New Roman" w:hAnsi="Times New Roman"/>
        </w:rPr>
        <w:t xml:space="preserve">deszenzitizáló </w:t>
      </w:r>
      <w:r w:rsidRPr="00DC2ECE">
        <w:rPr>
          <w:rFonts w:ascii="Times New Roman" w:hAnsi="Times New Roman"/>
        </w:rPr>
        <w:t xml:space="preserve">(pl. </w:t>
      </w:r>
      <w:r w:rsidRPr="001151A2">
        <w:rPr>
          <w:rFonts w:ascii="Times New Roman" w:hAnsi="Times New Roman"/>
          <w:i/>
          <w:iCs/>
        </w:rPr>
        <w:t>Hymenoptera venommal</w:t>
      </w:r>
      <w:r w:rsidRPr="00DC2ECE">
        <w:rPr>
          <w:rFonts w:ascii="Times New Roman" w:hAnsi="Times New Roman"/>
        </w:rPr>
        <w:t xml:space="preserve"> végzett) kezelés alatt tartós anafilaktoid reakciók jelentkeztek. Ezeknél a betegeknél </w:t>
      </w:r>
      <w:r w:rsidR="007238B4" w:rsidRPr="00DC2ECE">
        <w:rPr>
          <w:rFonts w:ascii="Times New Roman" w:hAnsi="Times New Roman"/>
        </w:rPr>
        <w:t>az ilyen</w:t>
      </w:r>
      <w:r w:rsidRPr="00DC2ECE">
        <w:rPr>
          <w:rFonts w:ascii="Times New Roman" w:hAnsi="Times New Roman"/>
        </w:rPr>
        <w:t xml:space="preserve"> reakciókat el lehetett kerülni, ha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</w:t>
      </w:r>
      <w:r w:rsidR="00777083">
        <w:rPr>
          <w:rFonts w:ascii="Times New Roman" w:hAnsi="Times New Roman"/>
        </w:rPr>
        <w:t>-kezelés</w:t>
      </w:r>
      <w:r w:rsidRPr="00DC2ECE">
        <w:rPr>
          <w:rFonts w:ascii="Times New Roman" w:hAnsi="Times New Roman"/>
        </w:rPr>
        <w:t>t átmenetileg leállították, de ismételten jelentkeztek, ha a gyógyszert véletlenül újra adták.</w:t>
      </w:r>
    </w:p>
    <w:p w14:paraId="1F6E8346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DAED697" w14:textId="77777777" w:rsidR="003D468D" w:rsidRPr="00DC2ECE" w:rsidRDefault="003D468D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Májelégtelenség</w:t>
      </w:r>
    </w:p>
    <w:p w14:paraId="676B479A" w14:textId="4ABFFE18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Nagyon ritkán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gátlókkal kapcsolatban egy cholestaticus sárgasággal kezdődő szindrómát </w:t>
      </w:r>
      <w:r w:rsidRPr="00DC2ECE">
        <w:rPr>
          <w:rFonts w:ascii="Times New Roman" w:hAnsi="Times New Roman"/>
        </w:rPr>
        <w:lastRenderedPageBreak/>
        <w:t>észleltek, amely fulmináns necrosishoz és (néha) halálhoz vezet. Ennek a szindrómának a mechanizmusa nem tisztázott. Azoknál a lizinoprilt kapó betegeknél, akiknél sárgaság alakul ki, vagy a májenzimértékek jelentősen emelkednek, a lizinopril adását le kell állítani, és megfelelő orvosi utánkövetésre van szükség.</w:t>
      </w:r>
    </w:p>
    <w:p w14:paraId="19A6DCC1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316F8A9E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Neutropenia/agranulocytosis</w:t>
      </w:r>
    </w:p>
    <w:p w14:paraId="1F259336" w14:textId="7110A401" w:rsidR="003D468D" w:rsidRPr="00DC2ECE" w:rsidRDefault="003D468D" w:rsidP="00C46DF0">
      <w:pPr>
        <w:widowControl w:val="0"/>
        <w:rPr>
          <w:rFonts w:ascii="Times New Roman" w:eastAsia="Times New Roman" w:hAnsi="Times New Roman"/>
          <w:snapToGrid w:val="0"/>
        </w:rPr>
      </w:pPr>
      <w:r w:rsidRPr="00DC2ECE">
        <w:rPr>
          <w:rFonts w:ascii="Times New Roman" w:hAnsi="Times New Roman"/>
        </w:rPr>
        <w:t>Neutropeni</w:t>
      </w:r>
      <w:r w:rsidR="00CE58F4" w:rsidRPr="00DC2ECE">
        <w:rPr>
          <w:rFonts w:ascii="Times New Roman" w:hAnsi="Times New Roman"/>
        </w:rPr>
        <w:t>ról</w:t>
      </w:r>
      <w:r w:rsidRPr="00DC2ECE">
        <w:rPr>
          <w:rFonts w:ascii="Times New Roman" w:hAnsi="Times New Roman"/>
        </w:rPr>
        <w:t>, agranulocytosis</w:t>
      </w:r>
      <w:r w:rsidR="00CE58F4" w:rsidRPr="00DC2ECE">
        <w:rPr>
          <w:rFonts w:ascii="Times New Roman" w:hAnsi="Times New Roman"/>
        </w:rPr>
        <w:t>ról</w:t>
      </w:r>
      <w:r w:rsidRPr="00DC2ECE">
        <w:rPr>
          <w:rFonts w:ascii="Times New Roman" w:hAnsi="Times New Roman"/>
        </w:rPr>
        <w:t>, trombocytopenia</w:t>
      </w:r>
      <w:r w:rsidR="00CE58F4" w:rsidRPr="00DC2ECE">
        <w:rPr>
          <w:rFonts w:ascii="Times New Roman" w:hAnsi="Times New Roman"/>
        </w:rPr>
        <w:t>ról</w:t>
      </w:r>
      <w:r w:rsidRPr="00DC2ECE">
        <w:rPr>
          <w:rFonts w:ascii="Times New Roman" w:hAnsi="Times New Roman"/>
        </w:rPr>
        <w:t xml:space="preserve"> és anaemia</w:t>
      </w:r>
      <w:r w:rsidR="00CE58F4" w:rsidRPr="00DC2ECE">
        <w:rPr>
          <w:rFonts w:ascii="Times New Roman" w:hAnsi="Times New Roman"/>
        </w:rPr>
        <w:t>ról számoltak be az</w:t>
      </w:r>
      <w:r w:rsidRPr="00DC2ECE">
        <w:rPr>
          <w:rFonts w:ascii="Times New Roman" w:hAnsi="Times New Roman"/>
        </w:rPr>
        <w:t xml:space="preserve">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gátlókat szedő betegeknél. </w:t>
      </w:r>
      <w:r w:rsidR="00CE58F4" w:rsidRPr="00DC2ECE">
        <w:rPr>
          <w:rFonts w:ascii="Times New Roman" w:hAnsi="Times New Roman"/>
        </w:rPr>
        <w:t>Neutropenia ritkán jelentkezik a n</w:t>
      </w:r>
      <w:r w:rsidRPr="00DC2ECE">
        <w:rPr>
          <w:rFonts w:ascii="Times New Roman" w:hAnsi="Times New Roman"/>
        </w:rPr>
        <w:t>ormál veseműködésű, és egyéb komplikáló tényezőtől mentes betegeknél. A neutropenia és az agranulocytosis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</w:t>
      </w:r>
      <w:r w:rsidR="00382AF9">
        <w:rPr>
          <w:rFonts w:ascii="Times New Roman" w:hAnsi="Times New Roman"/>
        </w:rPr>
        <w:t>-kezelés</w:t>
      </w:r>
      <w:r w:rsidRPr="00DC2ECE">
        <w:rPr>
          <w:rFonts w:ascii="Times New Roman" w:hAnsi="Times New Roman"/>
        </w:rPr>
        <w:t xml:space="preserve"> leállítását </w:t>
      </w:r>
      <w:r w:rsidRPr="00D85B63">
        <w:rPr>
          <w:rFonts w:ascii="Times New Roman" w:hAnsi="Times New Roman"/>
        </w:rPr>
        <w:t>követően megszűnik. A lizinoprilt csak rendkívül óvatosan szabad alkalmazni kollagén érbetegségben</w:t>
      </w:r>
      <w:r w:rsidRPr="00DC2ECE">
        <w:rPr>
          <w:rFonts w:ascii="Times New Roman" w:hAnsi="Times New Roman"/>
        </w:rPr>
        <w:t xml:space="preserve"> szenvedő, immunszuppresszáns kezelés alatt álló, allopurinollal vagy prokainamiddal kezelt betegeknél, illetve ezen komplikáló tényezők kombinációja esetén, különösen, ha már eleve vese</w:t>
      </w:r>
      <w:r w:rsidR="00D85B63">
        <w:rPr>
          <w:rFonts w:ascii="Times New Roman" w:hAnsi="Times New Roman"/>
        </w:rPr>
        <w:t>károsodás</w:t>
      </w:r>
      <w:r w:rsidRPr="00DC2ECE">
        <w:rPr>
          <w:rFonts w:ascii="Times New Roman" w:hAnsi="Times New Roman"/>
        </w:rPr>
        <w:t xml:space="preserve"> áll fenn. Néhány ilyen betegnél súlyos fertőzések alakultak ki, amelyek egyes esetekben nem reagáltak az intenzív antibiotikus kezelésre. Ha a lizinoprilt ilyen betegeknek adják, </w:t>
      </w:r>
      <w:r w:rsidR="00FA0D52" w:rsidRPr="00DC2ECE">
        <w:rPr>
          <w:rFonts w:ascii="Times New Roman" w:hAnsi="Times New Roman"/>
        </w:rPr>
        <w:t xml:space="preserve">a fehérvérsejtszám </w:t>
      </w:r>
      <w:r w:rsidRPr="00DC2ECE">
        <w:rPr>
          <w:rFonts w:ascii="Times New Roman" w:hAnsi="Times New Roman"/>
        </w:rPr>
        <w:t>rendszeres</w:t>
      </w:r>
      <w:r w:rsidR="00FA0D52" w:rsidRPr="00DC2ECE">
        <w:rPr>
          <w:rFonts w:ascii="Times New Roman" w:hAnsi="Times New Roman"/>
        </w:rPr>
        <w:t xml:space="preserve"> ellenőrzése</w:t>
      </w:r>
      <w:r w:rsidRPr="00DC2ECE">
        <w:rPr>
          <w:rFonts w:ascii="Times New Roman" w:hAnsi="Times New Roman"/>
        </w:rPr>
        <w:t xml:space="preserve"> javasolt, és figyelmeztetni kell a </w:t>
      </w:r>
      <w:r w:rsidRPr="00DC2ECE">
        <w:rPr>
          <w:rFonts w:ascii="Times New Roman" w:hAnsi="Times New Roman"/>
          <w:snapToGrid w:val="0"/>
        </w:rPr>
        <w:t xml:space="preserve">betegeket, hogy jelezzék, ha bármilyen fertőzésre utaló </w:t>
      </w:r>
      <w:r w:rsidR="00D85B63">
        <w:rPr>
          <w:rFonts w:ascii="Times New Roman" w:hAnsi="Times New Roman"/>
          <w:snapToGrid w:val="0"/>
        </w:rPr>
        <w:t>jele</w:t>
      </w:r>
      <w:r w:rsidRPr="00DC2ECE">
        <w:rPr>
          <w:rFonts w:ascii="Times New Roman" w:hAnsi="Times New Roman"/>
          <w:snapToGrid w:val="0"/>
        </w:rPr>
        <w:t>t észlelnek.</w:t>
      </w:r>
    </w:p>
    <w:p w14:paraId="7F8D40DA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snapToGrid w:val="0"/>
          <w:lang w:val="en-GB"/>
        </w:rPr>
      </w:pPr>
    </w:p>
    <w:p w14:paraId="68FDDAE9" w14:textId="2670AA02" w:rsidR="003D468D" w:rsidRPr="00DC2ECE" w:rsidRDefault="003D468D" w:rsidP="00107F0A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A renin</w:t>
      </w:r>
      <w:r w:rsidR="005F24FF" w:rsidRPr="00DC2ECE">
        <w:rPr>
          <w:rFonts w:ascii="Times New Roman" w:hAnsi="Times New Roman"/>
          <w:i/>
          <w:iCs/>
          <w:u w:val="single"/>
        </w:rPr>
        <w:noBreakHyphen/>
      </w:r>
      <w:r w:rsidRPr="00DC2ECE">
        <w:rPr>
          <w:rFonts w:ascii="Times New Roman" w:hAnsi="Times New Roman"/>
          <w:i/>
          <w:iCs/>
          <w:u w:val="single"/>
        </w:rPr>
        <w:t>angiotenzin</w:t>
      </w:r>
      <w:r w:rsidR="005F24FF" w:rsidRPr="00DC2ECE">
        <w:rPr>
          <w:rFonts w:ascii="Times New Roman" w:hAnsi="Times New Roman"/>
          <w:i/>
          <w:iCs/>
          <w:u w:val="single"/>
        </w:rPr>
        <w:noBreakHyphen/>
      </w:r>
      <w:r w:rsidRPr="00DC2ECE">
        <w:rPr>
          <w:rFonts w:ascii="Times New Roman" w:hAnsi="Times New Roman"/>
          <w:i/>
          <w:iCs/>
          <w:u w:val="single"/>
        </w:rPr>
        <w:t>aldoszteron rendszer (RAAS)</w:t>
      </w:r>
      <w:r w:rsidR="00107F0A" w:rsidRPr="00107F0A">
        <w:rPr>
          <w:rFonts w:ascii="Times New Roman" w:hAnsi="Times New Roman"/>
          <w:i/>
          <w:iCs/>
          <w:u w:val="single"/>
        </w:rPr>
        <w:t xml:space="preserve"> </w:t>
      </w:r>
      <w:r w:rsidR="00107F0A" w:rsidRPr="00DC2ECE">
        <w:rPr>
          <w:rFonts w:ascii="Times New Roman" w:hAnsi="Times New Roman"/>
          <w:i/>
          <w:iCs/>
          <w:u w:val="single"/>
        </w:rPr>
        <w:t>kettős blokádja</w:t>
      </w:r>
    </w:p>
    <w:p w14:paraId="6DC41640" w14:textId="5DCBA9EF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Bizonyíték van arra, hogy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gátlók, az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receptor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blokkolók vagy az aliszkirén egyidejű alkalmazása fokozza a hypotonia, hyperkalaemia és a </w:t>
      </w:r>
      <w:r w:rsidR="00107F0A">
        <w:rPr>
          <w:rFonts w:ascii="Times New Roman" w:hAnsi="Times New Roman"/>
        </w:rPr>
        <w:t>vesekárosodás</w:t>
      </w:r>
      <w:r w:rsidRPr="00DC2ECE">
        <w:rPr>
          <w:rFonts w:ascii="Times New Roman" w:hAnsi="Times New Roman"/>
        </w:rPr>
        <w:t xml:space="preserve"> kockázatát (beleértve az akut veseelégtelenséget is), ezért a RAAS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gátlók, angiotenzin</w:t>
      </w:r>
      <w:r w:rsidR="00860794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</w:t>
      </w:r>
      <w:r w:rsidR="00860794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receptor</w:t>
      </w:r>
      <w:r w:rsidR="00FA0D52" w:rsidRPr="00DC2ECE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blokkolók vagy aliszkirén kombinált alkalmazásával történő kettős blokádja nem javasolt (lásd 4.5 és 5.1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16968DE3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Ha a kettős blokád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kezelést abszolút szükségesnek ítélik, az csak szakorvos felügyeletével, a vesefunkció, az elektrolitszintek és a vérnyomás gyakori és szoros ellenőrzése mellett történhet.</w:t>
      </w:r>
    </w:p>
    <w:p w14:paraId="28CE0207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és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receptor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blokkolók nem alkalmazhatók egyidejűleg diabeteses nephropathiában szenvedő betegeknél.</w:t>
      </w:r>
    </w:p>
    <w:p w14:paraId="023081BE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9EDF62C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Etnikai különbségek</w:t>
      </w:r>
    </w:p>
    <w:p w14:paraId="5909A68A" w14:textId="694315A8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Az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konvertáló enzim</w:t>
      </w:r>
      <w:r w:rsidR="00F07FD7" w:rsidRPr="00DC2ECE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 xml:space="preserve">inhibitorok nagyobb gyakorisággal okoznak angiooedemát </w:t>
      </w:r>
      <w:r w:rsidR="00F07FD7" w:rsidRPr="00DC2ECE">
        <w:rPr>
          <w:rFonts w:ascii="Times New Roman" w:hAnsi="Times New Roman"/>
        </w:rPr>
        <w:t xml:space="preserve">a </w:t>
      </w:r>
      <w:r w:rsidRPr="00DC2ECE">
        <w:rPr>
          <w:rFonts w:ascii="Times New Roman" w:hAnsi="Times New Roman"/>
        </w:rPr>
        <w:t>fekete</w:t>
      </w:r>
      <w:r w:rsidR="001D439B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bőrű betegeknél, mint a nem</w:t>
      </w:r>
      <w:r w:rsidR="00107F0A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fekete</w:t>
      </w:r>
      <w:r w:rsidR="00107F0A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bőrűeknél.</w:t>
      </w:r>
    </w:p>
    <w:p w14:paraId="6246E195" w14:textId="4DA2B415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többi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gátlóhoz hasonlóan, a lizinopril is kevésbé hatékonyan csökkenti a vérnyomást </w:t>
      </w:r>
      <w:r w:rsidR="001D439B" w:rsidRPr="00DC2ECE">
        <w:rPr>
          <w:rFonts w:ascii="Times New Roman" w:hAnsi="Times New Roman"/>
        </w:rPr>
        <w:t xml:space="preserve">a </w:t>
      </w:r>
      <w:r w:rsidRPr="00DC2ECE">
        <w:rPr>
          <w:rFonts w:ascii="Times New Roman" w:hAnsi="Times New Roman"/>
        </w:rPr>
        <w:t>fekete</w:t>
      </w:r>
      <w:r w:rsidR="00675EBD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bőrű betegeknél a nem</w:t>
      </w:r>
      <w:r w:rsidR="00107F0A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fekete</w:t>
      </w:r>
      <w:r w:rsidR="00675EBD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bőrűekhez képest, valószínűleg a fekete</w:t>
      </w:r>
      <w:r w:rsidR="00675EBD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bőrű hypertoniás betegek közötti alacsony reninszint nagyobb prevalenciája miatt.</w:t>
      </w:r>
    </w:p>
    <w:p w14:paraId="54490F15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1D47F6F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Köhögés</w:t>
      </w:r>
    </w:p>
    <w:p w14:paraId="202980E5" w14:textId="75E3729A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alkalmazása során köhögés jelentkezését észlelték. A köhögés jellemzően nem produktív, tartósan fennáll</w:t>
      </w:r>
      <w:r w:rsidR="00AC4630" w:rsidRPr="00DC2ECE">
        <w:rPr>
          <w:rFonts w:ascii="Times New Roman" w:hAnsi="Times New Roman"/>
        </w:rPr>
        <w:t>ó</w:t>
      </w:r>
      <w:r w:rsidRPr="00DC2ECE">
        <w:rPr>
          <w:rFonts w:ascii="Times New Roman" w:hAnsi="Times New Roman"/>
        </w:rPr>
        <w:t>, és a kezelés leállítása után megszűnik.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által kiváltott köhögés lehetőségét a köhögés differenciáldiagnózisa során figyelembe kell venni.</w:t>
      </w:r>
    </w:p>
    <w:p w14:paraId="7342942D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C3B6B05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Sebészeti beavatkozás/anesztézia</w:t>
      </w:r>
    </w:p>
    <w:p w14:paraId="6E859593" w14:textId="31B06A25" w:rsidR="003D468D" w:rsidRPr="00DC2ECE" w:rsidRDefault="000C4C32" w:rsidP="00C46DF0">
      <w:pPr>
        <w:widowControl w:val="0"/>
        <w:rPr>
          <w:rFonts w:ascii="Times New Roman" w:eastAsia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>Nagy</w:t>
      </w:r>
      <w:r w:rsidRPr="00DC2ECE">
        <w:rPr>
          <w:rFonts w:ascii="Times New Roman" w:hAnsi="Times New Roman"/>
          <w:snapToGrid w:val="0"/>
        </w:rPr>
        <w:t xml:space="preserve"> </w:t>
      </w:r>
      <w:r w:rsidR="003D468D" w:rsidRPr="00DC2ECE">
        <w:rPr>
          <w:rFonts w:ascii="Times New Roman" w:hAnsi="Times New Roman"/>
          <w:snapToGrid w:val="0"/>
        </w:rPr>
        <w:t xml:space="preserve">műtéti beavatkozás </w:t>
      </w:r>
      <w:r w:rsidR="003D468D" w:rsidRPr="00DC2ECE">
        <w:rPr>
          <w:rFonts w:ascii="Times New Roman" w:hAnsi="Times New Roman"/>
        </w:rPr>
        <w:t>vagy vérnyomáscsökkenést</w:t>
      </w:r>
      <w:r w:rsidR="003D468D" w:rsidRPr="00DC2ECE">
        <w:rPr>
          <w:rFonts w:ascii="Times New Roman" w:hAnsi="Times New Roman"/>
          <w:snapToGrid w:val="0"/>
        </w:rPr>
        <w:t xml:space="preserve"> okozó szerekkel végzett anesztézia során a lizinopril gátolhatja a kompenzatorikus renin</w:t>
      </w:r>
      <w:r w:rsidR="005F24FF" w:rsidRPr="00DC2ECE">
        <w:rPr>
          <w:rFonts w:ascii="Times New Roman" w:hAnsi="Times New Roman"/>
          <w:snapToGrid w:val="0"/>
        </w:rPr>
        <w:noBreakHyphen/>
      </w:r>
      <w:r w:rsidR="003D468D" w:rsidRPr="00DC2ECE">
        <w:rPr>
          <w:rFonts w:ascii="Times New Roman" w:hAnsi="Times New Roman"/>
          <w:snapToGrid w:val="0"/>
        </w:rPr>
        <w:t>felszabadulás által kiváltott angiotenzin</w:t>
      </w:r>
      <w:r w:rsidR="005F24FF" w:rsidRPr="00DC2ECE">
        <w:rPr>
          <w:rFonts w:ascii="Times New Roman" w:hAnsi="Times New Roman"/>
          <w:snapToGrid w:val="0"/>
        </w:rPr>
        <w:noBreakHyphen/>
      </w:r>
      <w:r w:rsidR="003D468D" w:rsidRPr="00DC2ECE">
        <w:rPr>
          <w:rFonts w:ascii="Times New Roman" w:hAnsi="Times New Roman"/>
          <w:snapToGrid w:val="0"/>
        </w:rPr>
        <w:t>II</w:t>
      </w:r>
      <w:r w:rsidR="005F24FF" w:rsidRPr="00DC2ECE">
        <w:rPr>
          <w:rFonts w:ascii="Times New Roman" w:hAnsi="Times New Roman"/>
          <w:snapToGrid w:val="0"/>
        </w:rPr>
        <w:noBreakHyphen/>
      </w:r>
      <w:r w:rsidR="003D468D" w:rsidRPr="00DC2ECE">
        <w:rPr>
          <w:rFonts w:ascii="Times New Roman" w:hAnsi="Times New Roman"/>
          <w:snapToGrid w:val="0"/>
        </w:rPr>
        <w:t>képződést.</w:t>
      </w:r>
    </w:p>
    <w:p w14:paraId="15C824C9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Ha hypotonia jelentkezik, és annak hátterében ezt a mechanizmust feltételezik, az állapot volumenpótlással rendezhető.</w:t>
      </w:r>
    </w:p>
    <w:p w14:paraId="3A37FA94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094C527" w14:textId="57E4CC01" w:rsidR="003D468D" w:rsidRPr="00DC2ECE" w:rsidRDefault="0064612E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Szérumkáliumszint</w:t>
      </w:r>
    </w:p>
    <w:p w14:paraId="365C244A" w14:textId="7F7335E6" w:rsidR="003D468D" w:rsidRPr="00DC2ECE" w:rsidRDefault="00EB4DDA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hyperkalaemiát okozhatnak, mivel gátolják az aldoszteron felszabadulását.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Ez a hatás az ép vesefunkciójú betegeknél általában nem jelentős.</w:t>
      </w:r>
      <w:r w:rsidR="005F24FF" w:rsidRPr="00DC2ECE">
        <w:rPr>
          <w:rFonts w:ascii="Times New Roman" w:hAnsi="Times New Roman"/>
        </w:rPr>
        <w:t xml:space="preserve"> </w:t>
      </w:r>
      <w:r w:rsidRPr="001151A2">
        <w:rPr>
          <w:rFonts w:ascii="Times New Roman" w:hAnsi="Times New Roman"/>
        </w:rPr>
        <w:t>Hyperkalaemia azonban kialakulhat károsodott vesefunkciójú, vagy diabeteses betegek esetén, és/vagy káliumpótlók (beleértve a sópótlókat), káliummegtakarító vízhajtók (pl. spironolakton, triamteren vagy amilorid) egyidejű alkalmazása, továbbá a szérumkáliumszintet emelő egyéb gyógyszerek (pl. heparin, trimetoprim vagy a ko</w:t>
      </w:r>
      <w:r w:rsidR="005F24FF" w:rsidRPr="001151A2">
        <w:rPr>
          <w:rFonts w:ascii="Times New Roman" w:hAnsi="Times New Roman"/>
        </w:rPr>
        <w:noBreakHyphen/>
      </w:r>
      <w:r w:rsidRPr="001151A2">
        <w:rPr>
          <w:rFonts w:ascii="Times New Roman" w:hAnsi="Times New Roman"/>
        </w:rPr>
        <w:t>trimoxazol, másnéven trimetoprim/szulfametoxazol), továbbá különösen aldoszteron</w:t>
      </w:r>
      <w:r w:rsidR="005F24FF" w:rsidRPr="001151A2">
        <w:rPr>
          <w:rFonts w:ascii="Times New Roman" w:hAnsi="Times New Roman"/>
        </w:rPr>
        <w:noBreakHyphen/>
      </w:r>
      <w:r w:rsidRPr="001151A2">
        <w:rPr>
          <w:rFonts w:ascii="Times New Roman" w:hAnsi="Times New Roman"/>
        </w:rPr>
        <w:t>antagonisták vagy angiotenzinreceptor</w:t>
      </w:r>
      <w:r w:rsidR="005F24FF" w:rsidRPr="001151A2">
        <w:rPr>
          <w:rFonts w:ascii="Times New Roman" w:hAnsi="Times New Roman"/>
        </w:rPr>
        <w:noBreakHyphen/>
      </w:r>
      <w:r w:rsidRPr="001151A2">
        <w:rPr>
          <w:rFonts w:ascii="Times New Roman" w:hAnsi="Times New Roman"/>
        </w:rPr>
        <w:t>blokkolók alkalmazása esetén.</w:t>
      </w:r>
      <w:r w:rsidRPr="00DC2ECE">
        <w:rPr>
          <w:rFonts w:ascii="Times New Roman" w:hAnsi="Times New Roman"/>
        </w:rPr>
        <w:t xml:space="preserve"> Az ACE</w:t>
      </w:r>
      <w:r w:rsidR="005F24FF" w:rsidRPr="001D5C13">
        <w:rPr>
          <w:rFonts w:ascii="Times New Roman" w:hAnsi="Times New Roman"/>
        </w:rPr>
        <w:noBreakHyphen/>
      </w:r>
      <w:r w:rsidRPr="0001485A">
        <w:rPr>
          <w:rFonts w:ascii="Times New Roman" w:hAnsi="Times New Roman"/>
        </w:rPr>
        <w:t>gátló</w:t>
      </w:r>
      <w:r w:rsidR="005F24FF" w:rsidRPr="0001485A">
        <w:rPr>
          <w:rFonts w:ascii="Times New Roman" w:hAnsi="Times New Roman"/>
        </w:rPr>
        <w:noBreakHyphen/>
      </w:r>
      <w:r w:rsidRPr="0001485A">
        <w:rPr>
          <w:rFonts w:ascii="Times New Roman" w:hAnsi="Times New Roman"/>
        </w:rPr>
        <w:t>kezelésben részesülő betegeknél a káliummegtakarító diuretikumok és az angiotenzinreceptor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blokkolók alkalmazása esetén elővigyázatossággal kell eljárni, és monitorozni kell a szérum káliumszint</w:t>
      </w:r>
      <w:r w:rsidR="00107F0A">
        <w:rPr>
          <w:rFonts w:ascii="Times New Roman" w:hAnsi="Times New Roman"/>
        </w:rPr>
        <w:t>jét</w:t>
      </w:r>
      <w:r w:rsidRPr="00DC2ECE">
        <w:rPr>
          <w:rFonts w:ascii="Times New Roman" w:hAnsi="Times New Roman"/>
        </w:rPr>
        <w:t xml:space="preserve"> és a vesefunkciót (lásd 4.5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07E8EA6D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0D760C47" w14:textId="77777777" w:rsidR="007805FB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lastRenderedPageBreak/>
        <w:t>Diabetes</w:t>
      </w:r>
    </w:p>
    <w:p w14:paraId="04C1A782" w14:textId="3A8376AD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Orális antidiabetikummal vagy inzulinnal kezelt diabeteses betegeknél a vércukorszintet </w:t>
      </w:r>
      <w:r w:rsidR="006C3BF7" w:rsidRPr="00DC2ECE">
        <w:rPr>
          <w:rFonts w:ascii="Times New Roman" w:hAnsi="Times New Roman"/>
        </w:rPr>
        <w:t xml:space="preserve">szoros </w:t>
      </w:r>
      <w:r w:rsidRPr="00DC2ECE">
        <w:rPr>
          <w:rFonts w:ascii="Times New Roman" w:hAnsi="Times New Roman"/>
        </w:rPr>
        <w:t>monitoroz</w:t>
      </w:r>
      <w:r w:rsidR="006C3BF7" w:rsidRPr="00DC2ECE">
        <w:rPr>
          <w:rFonts w:ascii="Times New Roman" w:hAnsi="Times New Roman"/>
        </w:rPr>
        <w:t>ás alatt kell tarta</w:t>
      </w:r>
      <w:r w:rsidRPr="00DC2ECE">
        <w:rPr>
          <w:rFonts w:ascii="Times New Roman" w:hAnsi="Times New Roman"/>
        </w:rPr>
        <w:t>ni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első hónapja alatt (lásd 4.5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1443E40C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0B904E38" w14:textId="77777777" w:rsidR="003D468D" w:rsidRPr="00DC2ECE" w:rsidRDefault="003D468D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Lítium</w:t>
      </w:r>
    </w:p>
    <w:p w14:paraId="3A15741D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lítium és lizinopril együttes alkalmazása általában nem javasolt (lásd 4.5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64145818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7B848F92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Terhesség</w:t>
      </w:r>
    </w:p>
    <w:p w14:paraId="2784C1BC" w14:textId="606CA522" w:rsidR="003D468D" w:rsidRPr="005401E2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ACE</w:t>
      </w:r>
      <w:r w:rsidR="005F24FF" w:rsidRPr="00DC2ECE">
        <w:rPr>
          <w:rFonts w:ascii="Times New Roman" w:hAnsi="Times New Roman"/>
        </w:rPr>
        <w:noBreakHyphen/>
      </w:r>
      <w:r w:rsidRPr="0001485A">
        <w:rPr>
          <w:rFonts w:ascii="Times New Roman" w:hAnsi="Times New Roman"/>
        </w:rPr>
        <w:t>gátlóval történő kezelést a terhesség alatt nem szabad elkezdeni. Hacsak az ACE</w:t>
      </w:r>
      <w:r w:rsidR="005F24FF" w:rsidRPr="00C23EC0">
        <w:rPr>
          <w:rFonts w:ascii="Times New Roman" w:hAnsi="Times New Roman"/>
        </w:rPr>
        <w:noBreakHyphen/>
      </w:r>
      <w:r w:rsidRPr="00406029">
        <w:rPr>
          <w:rFonts w:ascii="Times New Roman" w:hAnsi="Times New Roman"/>
        </w:rPr>
        <w:t>gátlóval történő folyamatos kezelés nem elengedhetetlen, a terhességet tervező betegeket más, olyan antihipertenzív kezelésre kell átállítani, melynek bi</w:t>
      </w:r>
      <w:r w:rsidRPr="00CB6009">
        <w:rPr>
          <w:rFonts w:ascii="Times New Roman" w:hAnsi="Times New Roman"/>
        </w:rPr>
        <w:t xml:space="preserve">ztonságossága terhességben alátámasztott. </w:t>
      </w:r>
      <w:r w:rsidRPr="0001485A">
        <w:rPr>
          <w:rFonts w:ascii="Times New Roman" w:hAnsi="Times New Roman"/>
        </w:rPr>
        <w:t>Az ACE</w:t>
      </w:r>
      <w:r w:rsidR="005F24FF" w:rsidRPr="0001485A">
        <w:rPr>
          <w:rFonts w:ascii="Times New Roman" w:hAnsi="Times New Roman"/>
        </w:rPr>
        <w:noBreakHyphen/>
      </w:r>
      <w:r w:rsidRPr="0001485A">
        <w:rPr>
          <w:rFonts w:ascii="Times New Roman" w:hAnsi="Times New Roman"/>
        </w:rPr>
        <w:t>gátló szedését azonnal abba kell hagyni, amennyiben terhességet állapítottak meg. Szükség esetén más, megfelelő kezelés</w:t>
      </w:r>
      <w:r w:rsidR="00D46262">
        <w:rPr>
          <w:rFonts w:ascii="Times New Roman" w:hAnsi="Times New Roman"/>
        </w:rPr>
        <w:t>t kell elindítani</w:t>
      </w:r>
      <w:r w:rsidRPr="0001485A">
        <w:rPr>
          <w:rFonts w:ascii="Times New Roman" w:hAnsi="Times New Roman"/>
        </w:rPr>
        <w:t xml:space="preserve"> (lásd 4.3 és 4.6</w:t>
      </w:r>
      <w:r w:rsidR="005F24FF" w:rsidRPr="00C23EC0">
        <w:rPr>
          <w:rFonts w:ascii="Times New Roman" w:hAnsi="Times New Roman"/>
        </w:rPr>
        <w:t> pont</w:t>
      </w:r>
      <w:r w:rsidRPr="00406029">
        <w:rPr>
          <w:rFonts w:ascii="Times New Roman" w:hAnsi="Times New Roman"/>
        </w:rPr>
        <w:t>).</w:t>
      </w:r>
    </w:p>
    <w:p w14:paraId="2B092024" w14:textId="77777777" w:rsidR="003D468D" w:rsidRPr="00CB6009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1822CC90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Az amlodipinnel kapcsolatosan</w:t>
      </w:r>
    </w:p>
    <w:p w14:paraId="0A0E6EBB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66BABB2C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Hypertoniás krízisben az amlodipin biztonságosságát és hatásosságát nem állapították meg.</w:t>
      </w:r>
    </w:p>
    <w:p w14:paraId="24AB6C84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5F6EBC26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Szívelégtelenség</w:t>
      </w:r>
    </w:p>
    <w:p w14:paraId="3634E07C" w14:textId="4ABDAE8E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szívelégtelenségben szenvedő betegeket óvatos</w:t>
      </w:r>
      <w:r w:rsidR="007C6AA8">
        <w:rPr>
          <w:rFonts w:ascii="Times New Roman" w:hAnsi="Times New Roman"/>
        </w:rPr>
        <w:t>an</w:t>
      </w:r>
      <w:r w:rsidRPr="00DC2ECE">
        <w:rPr>
          <w:rFonts w:ascii="Times New Roman" w:hAnsi="Times New Roman"/>
        </w:rPr>
        <w:t xml:space="preserve"> kell kezelni. Egy</w:t>
      </w:r>
      <w:r w:rsidR="00DF2B0A" w:rsidRPr="00DC2ECE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súlyos (NYHA besorolás szerint III. és IV.</w:t>
      </w:r>
      <w:r w:rsidR="00A96D3B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stádiumú) szívelégtelenségben szenvedő betegek bevonásával végzett</w:t>
      </w:r>
      <w:r w:rsidR="007C6AA8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hosszú távú</w:t>
      </w:r>
      <w:r w:rsidR="007C6AA8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placebokontrollos klinikai vizsgálat során nagyobb gyakorisággal jelentették a tüdőödéma előfordulását az amlodipinnel kezelt csoportban a placebocsoporthoz képest (lásd 5.1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 Pangásos szívelégtelenségben szenvedő betegek esetében a kalciumcsatorna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blokkolókat, beleértve az amlodipint </w:t>
      </w:r>
      <w:r w:rsidR="00CF5D96" w:rsidRPr="00DC2ECE">
        <w:rPr>
          <w:rFonts w:ascii="Times New Roman" w:hAnsi="Times New Roman"/>
        </w:rPr>
        <w:t xml:space="preserve">is, </w:t>
      </w:r>
      <w:r w:rsidRPr="00DC2ECE">
        <w:rPr>
          <w:rFonts w:ascii="Times New Roman" w:hAnsi="Times New Roman"/>
        </w:rPr>
        <w:t>fokozott körültekintéssel kell alkalmazni, mert megnövelhetik a jövőbeli cardiovascularis események kockázatát valamint a mortalitást.</w:t>
      </w:r>
    </w:p>
    <w:p w14:paraId="2594D75B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A167D86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Májkárosodás</w:t>
      </w:r>
    </w:p>
    <w:p w14:paraId="2BDA51C0" w14:textId="098ACE7E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Májkárosodásban szenvedő betegek esetében az amlodipin felezési ideje meghosszabbodik, és az AUC értékek </w:t>
      </w:r>
      <w:r w:rsidR="007C6AA8">
        <w:rPr>
          <w:rFonts w:ascii="Times New Roman" w:hAnsi="Times New Roman"/>
        </w:rPr>
        <w:t>nagyo</w:t>
      </w:r>
      <w:r w:rsidR="007C6AA8" w:rsidRPr="00DC2ECE">
        <w:rPr>
          <w:rFonts w:ascii="Times New Roman" w:hAnsi="Times New Roman"/>
        </w:rPr>
        <w:t>bbak</w:t>
      </w:r>
      <w:r w:rsidRPr="00DC2ECE">
        <w:rPr>
          <w:rFonts w:ascii="Times New Roman" w:hAnsi="Times New Roman"/>
        </w:rPr>
        <w:t>; adagolási javaslat</w:t>
      </w:r>
      <w:r w:rsidR="00CF5D96" w:rsidRPr="00DC2ECE">
        <w:rPr>
          <w:rFonts w:ascii="Times New Roman" w:hAnsi="Times New Roman"/>
        </w:rPr>
        <w:t>ot nem állapítottak meg</w:t>
      </w:r>
      <w:r w:rsidRPr="00DC2ECE">
        <w:rPr>
          <w:rFonts w:ascii="Times New Roman" w:hAnsi="Times New Roman"/>
        </w:rPr>
        <w:t xml:space="preserve">. Ezért </w:t>
      </w:r>
      <w:r w:rsidR="00CF5D96" w:rsidRPr="00DC2ECE">
        <w:rPr>
          <w:rFonts w:ascii="Times New Roman" w:hAnsi="Times New Roman"/>
        </w:rPr>
        <w:t>ilyen</w:t>
      </w:r>
      <w:r w:rsidRPr="00DC2ECE">
        <w:rPr>
          <w:rFonts w:ascii="Times New Roman" w:hAnsi="Times New Roman"/>
        </w:rPr>
        <w:t xml:space="preserve"> betegekn</w:t>
      </w:r>
      <w:r w:rsidR="00CF5D96" w:rsidRPr="00DC2ECE">
        <w:rPr>
          <w:rFonts w:ascii="Times New Roman" w:hAnsi="Times New Roman"/>
        </w:rPr>
        <w:t>él</w:t>
      </w:r>
      <w:r w:rsidRPr="00DC2ECE">
        <w:rPr>
          <w:rFonts w:ascii="Times New Roman" w:hAnsi="Times New Roman"/>
        </w:rPr>
        <w:t xml:space="preserve"> az amlodipin adagolását a </w:t>
      </w:r>
      <w:r w:rsidR="002075DA" w:rsidRPr="00DC2ECE">
        <w:rPr>
          <w:rFonts w:ascii="Times New Roman" w:hAnsi="Times New Roman"/>
        </w:rPr>
        <w:t xml:space="preserve">dózistartomány </w:t>
      </w:r>
      <w:r w:rsidR="007C6AA8">
        <w:rPr>
          <w:rFonts w:ascii="Times New Roman" w:hAnsi="Times New Roman"/>
        </w:rPr>
        <w:t>kise</w:t>
      </w:r>
      <w:r w:rsidR="007C6AA8" w:rsidRPr="00DC2ECE">
        <w:rPr>
          <w:rFonts w:ascii="Times New Roman" w:hAnsi="Times New Roman"/>
        </w:rPr>
        <w:t xml:space="preserve">bb </w:t>
      </w:r>
      <w:r w:rsidR="007C6AA8">
        <w:rPr>
          <w:rFonts w:ascii="Times New Roman" w:hAnsi="Times New Roman"/>
        </w:rPr>
        <w:t>dózisa</w:t>
      </w:r>
      <w:r w:rsidR="002075DA" w:rsidRPr="00DC2ECE">
        <w:rPr>
          <w:rFonts w:ascii="Times New Roman" w:hAnsi="Times New Roman"/>
        </w:rPr>
        <w:t xml:space="preserve">ival </w:t>
      </w:r>
      <w:r w:rsidRPr="00DC2ECE">
        <w:rPr>
          <w:rFonts w:ascii="Times New Roman" w:hAnsi="Times New Roman"/>
        </w:rPr>
        <w:t>kell kezdeni, és mind a kezelés elején, mind dózisemelés során körültekintéssel kell eljárni. Súlyos májkárosodásban szenvedő betegek esetében lassú dózis</w:t>
      </w:r>
      <w:r w:rsidR="002075DA" w:rsidRPr="00DC2ECE">
        <w:rPr>
          <w:rFonts w:ascii="Times New Roman" w:hAnsi="Times New Roman"/>
        </w:rPr>
        <w:t>titrálásra</w:t>
      </w:r>
      <w:r w:rsidRPr="00DC2ECE">
        <w:rPr>
          <w:rFonts w:ascii="Times New Roman" w:hAnsi="Times New Roman"/>
        </w:rPr>
        <w:t xml:space="preserve"> és fokozott ellenőrzésre lehet szükség.</w:t>
      </w:r>
    </w:p>
    <w:p w14:paraId="717F04F2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30ED9BB8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  <w:u w:val="single"/>
        </w:rPr>
        <w:t>Idősek</w:t>
      </w:r>
    </w:p>
    <w:p w14:paraId="267BB996" w14:textId="60B039E6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Idősek esetében a dózisemeléskor </w:t>
      </w:r>
      <w:r w:rsidR="002075DA" w:rsidRPr="00DC2ECE">
        <w:rPr>
          <w:rFonts w:ascii="Times New Roman" w:hAnsi="Times New Roman"/>
        </w:rPr>
        <w:t xml:space="preserve">a legnagyobb </w:t>
      </w:r>
      <w:r w:rsidRPr="00DC2ECE">
        <w:rPr>
          <w:rFonts w:ascii="Times New Roman" w:hAnsi="Times New Roman"/>
        </w:rPr>
        <w:t>körültekintéssel kell eljárni (lásd 4.2 és 5.2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738B7DDD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9688756" w14:textId="77777777" w:rsidR="003D468D" w:rsidRPr="00DC2ECE" w:rsidRDefault="003D468D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Vesekárosodás</w:t>
      </w:r>
    </w:p>
    <w:p w14:paraId="4A1CD86A" w14:textId="2D20628F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Az amlodipint ilyen betegeknél a szokásos </w:t>
      </w:r>
      <w:r w:rsidR="007C6AA8">
        <w:rPr>
          <w:rFonts w:ascii="Times New Roman" w:hAnsi="Times New Roman"/>
        </w:rPr>
        <w:t>dózis</w:t>
      </w:r>
      <w:r w:rsidR="007C6AA8" w:rsidRPr="00DC2ECE">
        <w:rPr>
          <w:rFonts w:ascii="Times New Roman" w:hAnsi="Times New Roman"/>
        </w:rPr>
        <w:t xml:space="preserve">ban </w:t>
      </w:r>
      <w:r w:rsidRPr="00DC2ECE">
        <w:rPr>
          <w:rFonts w:ascii="Times New Roman" w:hAnsi="Times New Roman"/>
        </w:rPr>
        <w:t>lehet alkalmazni. Az amlodipin plazmakoncentrációjának változása nem függ össze a vesekárosodás mértékével. Az amlodipin nem dializálható.</w:t>
      </w:r>
    </w:p>
    <w:p w14:paraId="4FA7431B" w14:textId="77777777" w:rsidR="004D5315" w:rsidRPr="00DC2ECE" w:rsidRDefault="004D5315" w:rsidP="00C46DF0">
      <w:pPr>
        <w:widowControl w:val="0"/>
        <w:rPr>
          <w:rFonts w:ascii="Times New Roman" w:hAnsi="Times New Roman"/>
          <w:lang w:val="en-GB"/>
        </w:rPr>
      </w:pPr>
    </w:p>
    <w:p w14:paraId="5EC65286" w14:textId="32DF0DEA" w:rsidR="002911DE" w:rsidRPr="00910FBD" w:rsidRDefault="002911DE" w:rsidP="00C46DF0">
      <w:pPr>
        <w:numPr>
          <w:ilvl w:val="12"/>
          <w:numId w:val="0"/>
        </w:numPr>
        <w:ind w:right="-2"/>
        <w:outlineLvl w:val="0"/>
        <w:rPr>
          <w:rFonts w:ascii="Times New Roman" w:eastAsia="Times New Roman" w:hAnsi="Times New Roman"/>
          <w:b/>
          <w:noProof/>
        </w:rPr>
      </w:pPr>
      <w:r w:rsidRPr="00DC2ECE">
        <w:rPr>
          <w:rFonts w:ascii="Times New Roman" w:hAnsi="Times New Roman"/>
          <w:b/>
        </w:rPr>
        <w:t xml:space="preserve">A </w:t>
      </w:r>
      <w:r w:rsidR="00542D70">
        <w:rPr>
          <w:rFonts w:ascii="Times New Roman" w:hAnsi="Times New Roman"/>
          <w:b/>
        </w:rPr>
        <w:t xml:space="preserve">Lisidipin </w:t>
      </w:r>
      <w:r w:rsidRPr="00DC2ECE">
        <w:rPr>
          <w:rFonts w:ascii="Times New Roman" w:hAnsi="Times New Roman"/>
          <w:b/>
        </w:rPr>
        <w:t>nátriumot tartalmaz</w:t>
      </w:r>
      <w:r w:rsidR="00C72891">
        <w:rPr>
          <w:rFonts w:ascii="Times New Roman" w:hAnsi="Times New Roman"/>
          <w:b/>
        </w:rPr>
        <w:fldChar w:fldCharType="begin"/>
      </w:r>
      <w:r w:rsidR="00C72891">
        <w:rPr>
          <w:rFonts w:ascii="Times New Roman" w:hAnsi="Times New Roman"/>
          <w:b/>
        </w:rPr>
        <w:instrText xml:space="preserve"> DOCVARIABLE vault_nd_5d5ba21c-a980-4f42-bfc1-a254e474a099 \* MERGEFORMAT </w:instrText>
      </w:r>
      <w:r w:rsidR="00C72891">
        <w:rPr>
          <w:rFonts w:ascii="Times New Roman" w:hAnsi="Times New Roman"/>
          <w:b/>
        </w:rPr>
        <w:fldChar w:fldCharType="separate"/>
      </w:r>
      <w:r w:rsidR="00C72891">
        <w:rPr>
          <w:rFonts w:ascii="Times New Roman" w:hAnsi="Times New Roman"/>
          <w:b/>
        </w:rPr>
        <w:t xml:space="preserve"> </w:t>
      </w:r>
      <w:r w:rsidR="00C72891">
        <w:rPr>
          <w:rFonts w:ascii="Times New Roman" w:hAnsi="Times New Roman"/>
          <w:b/>
        </w:rPr>
        <w:fldChar w:fldCharType="end"/>
      </w:r>
    </w:p>
    <w:p w14:paraId="7958D836" w14:textId="0D39FD10" w:rsidR="002911DE" w:rsidRPr="00064650" w:rsidRDefault="002911DE" w:rsidP="00C46DF0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</w:rPr>
      </w:pPr>
      <w:r w:rsidRPr="00C85D60">
        <w:rPr>
          <w:rFonts w:ascii="Times New Roman" w:hAnsi="Times New Roman"/>
        </w:rPr>
        <w:t>A készítmény kevesebb mint 1</w:t>
      </w:r>
      <w:r w:rsidR="002075DA" w:rsidRPr="00C85D60">
        <w:rPr>
          <w:rFonts w:ascii="Times New Roman" w:hAnsi="Times New Roman"/>
        </w:rPr>
        <w:t> </w:t>
      </w:r>
      <w:r w:rsidRPr="00114EB9">
        <w:rPr>
          <w:rFonts w:ascii="Times New Roman" w:hAnsi="Times New Roman"/>
        </w:rPr>
        <w:t>mmol (23</w:t>
      </w:r>
      <w:r w:rsidR="005F24FF" w:rsidRPr="00114EB9">
        <w:rPr>
          <w:rFonts w:ascii="Times New Roman" w:hAnsi="Times New Roman"/>
        </w:rPr>
        <w:t> mg</w:t>
      </w:r>
      <w:r w:rsidRPr="00114EB9">
        <w:rPr>
          <w:rFonts w:ascii="Times New Roman" w:hAnsi="Times New Roman"/>
        </w:rPr>
        <w:t>) nátriumot tartalmaz tablettánként, azaz gyakorlatilag „nátriummentes”.</w:t>
      </w:r>
    </w:p>
    <w:p w14:paraId="606B8148" w14:textId="77777777" w:rsidR="002911DE" w:rsidRPr="00DC2ECE" w:rsidRDefault="002911DE" w:rsidP="00C46DF0">
      <w:pPr>
        <w:widowControl w:val="0"/>
        <w:rPr>
          <w:rFonts w:ascii="Times New Roman" w:hAnsi="Times New Roman"/>
          <w:lang w:val="en-GB"/>
        </w:rPr>
      </w:pPr>
    </w:p>
    <w:p w14:paraId="174B9621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4.5</w:t>
      </w:r>
      <w:r w:rsidRPr="00DC2ECE">
        <w:rPr>
          <w:rFonts w:ascii="Times New Roman" w:hAnsi="Times New Roman"/>
          <w:b/>
          <w:bCs/>
        </w:rPr>
        <w:tab/>
        <w:t>Gyógyszerkölcsönhatások és egyéb interakciók</w:t>
      </w:r>
    </w:p>
    <w:p w14:paraId="49CB23D7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12ABD42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A lizinoprillel kapcsolatos kölcsönhatások</w:t>
      </w:r>
    </w:p>
    <w:p w14:paraId="2FAB51C3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A6C75F0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Vérnyomáscsökkentők</w:t>
      </w:r>
    </w:p>
    <w:p w14:paraId="0DF558B3" w14:textId="1E736B44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FA5629">
        <w:rPr>
          <w:rFonts w:ascii="Times New Roman" w:hAnsi="Times New Roman"/>
        </w:rPr>
        <w:t>A lizinopril vérnyomáscsökkentő hatását a vele együtt</w:t>
      </w:r>
      <w:r w:rsidR="0067614D" w:rsidRPr="00FA5629">
        <w:rPr>
          <w:rFonts w:ascii="Times New Roman" w:hAnsi="Times New Roman"/>
        </w:rPr>
        <w:t xml:space="preserve"> </w:t>
      </w:r>
      <w:r w:rsidRPr="00FA5629">
        <w:rPr>
          <w:rFonts w:ascii="Times New Roman" w:hAnsi="Times New Roman"/>
        </w:rPr>
        <w:t>adott más vérnyomáscsökkentő szerek (pl.</w:t>
      </w:r>
      <w:r w:rsidRPr="00DC2ECE">
        <w:rPr>
          <w:rFonts w:ascii="Times New Roman" w:hAnsi="Times New Roman"/>
        </w:rPr>
        <w:t xml:space="preserve"> gliceril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trinitrát és egyéb nitrátok, illetve egyéb vazodilatátorok) fokozhatják.</w:t>
      </w:r>
    </w:p>
    <w:p w14:paraId="18587CB5" w14:textId="72C4FC54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klinikai vizsgálati adatok azt mutatták, hogy a renin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aldoszteron rendszer (RAAS)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gátlók,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receptor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blokkolók vagy aliszkirén kombinációjával történő kettős blokádja nagyobb gyakorisággal okoz mellékhatásokat, például hypotoniát, hyperkalaemiát és </w:t>
      </w:r>
      <w:r w:rsidR="00FA5629">
        <w:rPr>
          <w:rFonts w:ascii="Times New Roman" w:hAnsi="Times New Roman"/>
        </w:rPr>
        <w:t>vesekárosodást</w:t>
      </w:r>
      <w:r w:rsidRPr="00DC2ECE">
        <w:rPr>
          <w:rFonts w:ascii="Times New Roman" w:hAnsi="Times New Roman"/>
        </w:rPr>
        <w:t xml:space="preserve"> (beleértve az akut veseelégtelenséget is), mint a csak egyféle RAAS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ra ható szer </w:t>
      </w:r>
      <w:r w:rsidRPr="00DC2ECE">
        <w:rPr>
          <w:rFonts w:ascii="Times New Roman" w:hAnsi="Times New Roman"/>
        </w:rPr>
        <w:lastRenderedPageBreak/>
        <w:t>alkalmazása (lásd 4.3, 4.4 és 5.1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15B4EFA4" w14:textId="77777777" w:rsidR="003F5C66" w:rsidRPr="00DC2ECE" w:rsidRDefault="003F5C66" w:rsidP="00C46DF0">
      <w:pPr>
        <w:widowControl w:val="0"/>
        <w:rPr>
          <w:rFonts w:ascii="Times New Roman" w:hAnsi="Times New Roman"/>
          <w:lang w:val="en-GB"/>
        </w:rPr>
      </w:pPr>
    </w:p>
    <w:p w14:paraId="595A2FC8" w14:textId="77777777" w:rsidR="003F5C66" w:rsidRPr="00DC2ECE" w:rsidRDefault="00CA5CD2" w:rsidP="00C46DF0">
      <w:pPr>
        <w:tabs>
          <w:tab w:val="left" w:pos="567"/>
        </w:tabs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Az angiooedema kockázatát növelő gyógyszerek</w:t>
      </w:r>
    </w:p>
    <w:p w14:paraId="73E7F740" w14:textId="1C867BB0" w:rsidR="00BB748D" w:rsidRPr="00DC2ECE" w:rsidRDefault="00B400C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gátlók </w:t>
      </w:r>
      <w:r w:rsidR="0067614D" w:rsidRPr="00DC2ECE">
        <w:rPr>
          <w:rFonts w:ascii="Times New Roman" w:hAnsi="Times New Roman"/>
        </w:rPr>
        <w:t xml:space="preserve">és szakubitril/valzartán </w:t>
      </w:r>
      <w:r w:rsidRPr="00DC2ECE">
        <w:rPr>
          <w:rFonts w:ascii="Times New Roman" w:hAnsi="Times New Roman"/>
        </w:rPr>
        <w:t>egyidejű alkalmazása ellenjavallt az angiooedema kialakulásának fokozott kockázata miatt (lásd 4.3. és 4.4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 xml:space="preserve">). </w:t>
      </w:r>
    </w:p>
    <w:p w14:paraId="25054C29" w14:textId="77777777" w:rsidR="00B400C6" w:rsidRPr="00DC2ECE" w:rsidRDefault="00B400C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egyidejű alkalmazása mTOR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gátlókkal (pl. szirolimusz, everolimusz, temszirolimusz), vagy neutrális endopeptidáz (NEP) gátlókkal (pl. racekadotril), szöveti plazminogén aktivátorral vagy vildagliptinnel az angiooedema kialakulásának fokozott kockázatához vezethet (lásd 4.4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574788C0" w14:textId="77777777" w:rsidR="00B400C6" w:rsidRPr="00DC2ECE" w:rsidRDefault="00B400C6" w:rsidP="00C46DF0">
      <w:pPr>
        <w:widowControl w:val="0"/>
        <w:rPr>
          <w:rFonts w:ascii="Times New Roman" w:hAnsi="Times New Roman"/>
          <w:lang w:val="en-GB"/>
        </w:rPr>
      </w:pPr>
    </w:p>
    <w:p w14:paraId="6E560F01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</w:rPr>
        <w:t>Diuretikumok</w:t>
      </w:r>
    </w:p>
    <w:p w14:paraId="768A90B9" w14:textId="0A110726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Ha diuretikummal egészítik ki a lizinoprilt kapó beteg kezelését, a vérnyomáscsökkentő hatás általában additív. A diuretikumot kapó betegeknél, és különösen azoknál, akiknél a </w:t>
      </w:r>
      <w:r w:rsidR="00F81E2E" w:rsidRPr="00DC2ECE">
        <w:rPr>
          <w:rFonts w:ascii="Times New Roman" w:hAnsi="Times New Roman"/>
        </w:rPr>
        <w:t>diuretikus</w:t>
      </w:r>
      <w:r w:rsidR="00FA5629">
        <w:rPr>
          <w:rFonts w:ascii="Times New Roman" w:hAnsi="Times New Roman"/>
        </w:rPr>
        <w:t xml:space="preserve"> </w:t>
      </w:r>
      <w:r w:rsidR="00F81E2E" w:rsidRPr="00DC2ECE">
        <w:rPr>
          <w:rFonts w:ascii="Times New Roman" w:hAnsi="Times New Roman"/>
        </w:rPr>
        <w:t>terápiát</w:t>
      </w:r>
      <w:r w:rsidRPr="00DC2ECE">
        <w:rPr>
          <w:rFonts w:ascii="Times New Roman" w:hAnsi="Times New Roman"/>
        </w:rPr>
        <w:t xml:space="preserve"> a közelmúltban kezdték, a lizinopril hozzáadása túlzott mértékű vérnyomáscsökkenést okozhat.</w:t>
      </w:r>
    </w:p>
    <w:p w14:paraId="3CDEF0AF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tüneteket okozó hypotonia lehetősége a minimálisra csökkenthető, ha a diuretikum adását leállítják 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elkezdése előtt (lásd 4.4 és 4.2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4FC43D91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367AD545" w14:textId="4A4BFC92" w:rsidR="003D468D" w:rsidRPr="00DC2ECE" w:rsidRDefault="00DC2ECE" w:rsidP="001151A2">
      <w:pPr>
        <w:keepNext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</w:rPr>
        <w:t>K</w:t>
      </w:r>
      <w:r w:rsidR="000F229E" w:rsidRPr="00DC2ECE">
        <w:rPr>
          <w:rFonts w:ascii="Times New Roman" w:hAnsi="Times New Roman"/>
          <w:i/>
          <w:iCs/>
        </w:rPr>
        <w:t xml:space="preserve">áliummegtakarító </w:t>
      </w:r>
      <w:r w:rsidR="00FA5629">
        <w:rPr>
          <w:rFonts w:ascii="Times New Roman" w:hAnsi="Times New Roman"/>
          <w:i/>
          <w:iCs/>
        </w:rPr>
        <w:t>diuretikumo</w:t>
      </w:r>
      <w:r w:rsidR="00FA5629" w:rsidRPr="00DC2ECE">
        <w:rPr>
          <w:rFonts w:ascii="Times New Roman" w:hAnsi="Times New Roman"/>
          <w:i/>
          <w:iCs/>
        </w:rPr>
        <w:t>k</w:t>
      </w:r>
      <w:r w:rsidRPr="00DC2ECE">
        <w:rPr>
          <w:rFonts w:ascii="Times New Roman" w:hAnsi="Times New Roman"/>
          <w:i/>
          <w:iCs/>
        </w:rPr>
        <w:t>, káliumpótlók</w:t>
      </w:r>
      <w:r w:rsidR="000F229E" w:rsidRPr="00DC2ECE">
        <w:rPr>
          <w:rFonts w:ascii="Times New Roman" w:hAnsi="Times New Roman"/>
          <w:i/>
          <w:iCs/>
        </w:rPr>
        <w:t xml:space="preserve"> vagy káliumtartalmú sópótlók </w:t>
      </w:r>
    </w:p>
    <w:p w14:paraId="215479A2" w14:textId="020A6A00" w:rsidR="00176121" w:rsidRPr="00A6480F" w:rsidRDefault="00176121" w:rsidP="001151A2">
      <w:pPr>
        <w:keepNext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Bár a szérum káliumszintje általában a normál</w:t>
      </w:r>
      <w:r w:rsidR="00DC2ECE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tartományon belül marad, </w:t>
      </w:r>
      <w:r w:rsidR="00DC2ECE">
        <w:rPr>
          <w:rFonts w:ascii="Times New Roman" w:hAnsi="Times New Roman"/>
        </w:rPr>
        <w:t>néhány</w:t>
      </w:r>
      <w:r w:rsidR="00DC2ECE" w:rsidRPr="00DC2ECE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lizinoprillel kezelt betegnél </w:t>
      </w:r>
      <w:r w:rsidR="00DC2ECE">
        <w:rPr>
          <w:rFonts w:ascii="Times New Roman" w:hAnsi="Times New Roman"/>
        </w:rPr>
        <w:t>elő</w:t>
      </w:r>
      <w:r w:rsidR="00DC2ECE" w:rsidRPr="00DC2ECE">
        <w:rPr>
          <w:rFonts w:ascii="Times New Roman" w:hAnsi="Times New Roman"/>
        </w:rPr>
        <w:t xml:space="preserve">fordulhat </w:t>
      </w:r>
      <w:r w:rsidRPr="00DC2ECE">
        <w:rPr>
          <w:rFonts w:ascii="Times New Roman" w:hAnsi="Times New Roman"/>
        </w:rPr>
        <w:t xml:space="preserve">hyperkalaemia. </w:t>
      </w:r>
      <w:r w:rsidRPr="001151A2">
        <w:rPr>
          <w:rFonts w:ascii="Times New Roman" w:hAnsi="Times New Roman"/>
        </w:rPr>
        <w:t xml:space="preserve">A káliummegtakarító diuretikumok (pl. spironolakton, triamteren vagy amilorid), a káliumpótlók vagy káliumtartalmú sópótlók a szérum káliumszintjének jelentős növekedését válthatják ki, különösen </w:t>
      </w:r>
      <w:r w:rsidR="00A6480F">
        <w:rPr>
          <w:rFonts w:ascii="Times New Roman" w:hAnsi="Times New Roman"/>
        </w:rPr>
        <w:t xml:space="preserve">a </w:t>
      </w:r>
      <w:r w:rsidR="00FA5629">
        <w:rPr>
          <w:rFonts w:ascii="Times New Roman" w:hAnsi="Times New Roman"/>
        </w:rPr>
        <w:t>vesekárosodásban szenvdő</w:t>
      </w:r>
      <w:r w:rsidRPr="001151A2">
        <w:rPr>
          <w:rFonts w:ascii="Times New Roman" w:hAnsi="Times New Roman"/>
        </w:rPr>
        <w:t xml:space="preserve"> betegeknél.</w:t>
      </w:r>
      <w:r w:rsidRPr="00DC2ECE">
        <w:rPr>
          <w:rFonts w:ascii="Times New Roman" w:hAnsi="Times New Roman"/>
        </w:rPr>
        <w:t xml:space="preserve"> Elővigyázatosság szükséges a lizinopril egyéb, a szérum káliumszint</w:t>
      </w:r>
      <w:r w:rsidR="00FA5629">
        <w:rPr>
          <w:rFonts w:ascii="Times New Roman" w:hAnsi="Times New Roman"/>
        </w:rPr>
        <w:t>jé</w:t>
      </w:r>
      <w:r w:rsidRPr="00DC2ECE">
        <w:rPr>
          <w:rFonts w:ascii="Times New Roman" w:hAnsi="Times New Roman"/>
        </w:rPr>
        <w:t>t növelő készítményekkel</w:t>
      </w:r>
      <w:r w:rsidR="00A6480F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</w:t>
      </w:r>
      <w:r w:rsidR="00A6480F" w:rsidRPr="00DC2ECE">
        <w:rPr>
          <w:rFonts w:ascii="Times New Roman" w:hAnsi="Times New Roman"/>
        </w:rPr>
        <w:t>így például trimetoprimmel és ko</w:t>
      </w:r>
      <w:r w:rsidR="00A6480F" w:rsidRPr="00A6480F">
        <w:rPr>
          <w:rFonts w:ascii="Times New Roman" w:hAnsi="Times New Roman"/>
        </w:rPr>
        <w:noBreakHyphen/>
      </w:r>
      <w:r w:rsidR="00A6480F" w:rsidRPr="00713D75">
        <w:rPr>
          <w:rFonts w:ascii="Times New Roman" w:hAnsi="Times New Roman"/>
        </w:rPr>
        <w:t xml:space="preserve">trimoxazollal (trimetoprim/szulfametoxazol) </w:t>
      </w:r>
      <w:r w:rsidRPr="00DC2ECE">
        <w:rPr>
          <w:rFonts w:ascii="Times New Roman" w:hAnsi="Times New Roman"/>
        </w:rPr>
        <w:t>együttes alkalmazásakor is, ugyanis ismert, hogy a trimetoprim káliummegtakarító diuretikumhoz, például az amiloridhoz hasonló hatást fejt ki. Ezért a lizinopril</w:t>
      </w:r>
      <w:r w:rsidR="00FA5629">
        <w:rPr>
          <w:rFonts w:ascii="Times New Roman" w:hAnsi="Times New Roman"/>
        </w:rPr>
        <w:t xml:space="preserve"> és</w:t>
      </w:r>
      <w:r w:rsidRPr="00DC2ECE">
        <w:rPr>
          <w:rFonts w:ascii="Times New Roman" w:hAnsi="Times New Roman"/>
        </w:rPr>
        <w:t xml:space="preserve"> az említett gyógyszerek</w:t>
      </w:r>
      <w:r w:rsidR="00FA5629">
        <w:rPr>
          <w:rFonts w:ascii="Times New Roman" w:hAnsi="Times New Roman"/>
        </w:rPr>
        <w:t xml:space="preserve"> </w:t>
      </w:r>
      <w:r w:rsidR="00A6480F">
        <w:rPr>
          <w:rFonts w:ascii="Times New Roman" w:hAnsi="Times New Roman"/>
        </w:rPr>
        <w:t xml:space="preserve">kombinált alkalmazása </w:t>
      </w:r>
      <w:r w:rsidRPr="00A6480F">
        <w:rPr>
          <w:rFonts w:ascii="Times New Roman" w:hAnsi="Times New Roman"/>
        </w:rPr>
        <w:t>nem ajánl</w:t>
      </w:r>
      <w:r w:rsidR="00A6480F">
        <w:rPr>
          <w:rFonts w:ascii="Times New Roman" w:hAnsi="Times New Roman"/>
        </w:rPr>
        <w:t>ott</w:t>
      </w:r>
      <w:r w:rsidRPr="00A6480F">
        <w:rPr>
          <w:rFonts w:ascii="Times New Roman" w:hAnsi="Times New Roman"/>
        </w:rPr>
        <w:t xml:space="preserve">. Amennyiben az együttadás indokolt, </w:t>
      </w:r>
      <w:r w:rsidR="00D74B8E" w:rsidRPr="00A6480F">
        <w:rPr>
          <w:rFonts w:ascii="Times New Roman" w:hAnsi="Times New Roman"/>
        </w:rPr>
        <w:t xml:space="preserve">ezeket </w:t>
      </w:r>
      <w:r w:rsidRPr="00A6480F">
        <w:rPr>
          <w:rFonts w:ascii="Times New Roman" w:hAnsi="Times New Roman"/>
        </w:rPr>
        <w:t xml:space="preserve">megfelelő óvatossággal és a szérum káliumszint gyakori </w:t>
      </w:r>
      <w:r w:rsidR="00FA5629">
        <w:rPr>
          <w:rFonts w:ascii="Times New Roman" w:hAnsi="Times New Roman"/>
        </w:rPr>
        <w:t>ellenőrzése</w:t>
      </w:r>
      <w:r w:rsidR="00FA5629" w:rsidRPr="00A6480F">
        <w:rPr>
          <w:rFonts w:ascii="Times New Roman" w:hAnsi="Times New Roman"/>
        </w:rPr>
        <w:t xml:space="preserve"> </w:t>
      </w:r>
      <w:r w:rsidRPr="00A6480F">
        <w:rPr>
          <w:rFonts w:ascii="Times New Roman" w:hAnsi="Times New Roman"/>
        </w:rPr>
        <w:t>mellett kell alkalmazni (lásd 4.4.</w:t>
      </w:r>
      <w:r w:rsidR="005F24FF" w:rsidRPr="00A6480F">
        <w:rPr>
          <w:rFonts w:ascii="Times New Roman" w:hAnsi="Times New Roman"/>
        </w:rPr>
        <w:t> pont</w:t>
      </w:r>
      <w:r w:rsidRPr="00A6480F">
        <w:rPr>
          <w:rFonts w:ascii="Times New Roman" w:hAnsi="Times New Roman"/>
        </w:rPr>
        <w:t>).</w:t>
      </w:r>
    </w:p>
    <w:p w14:paraId="40CAECDB" w14:textId="77777777" w:rsidR="00B7792B" w:rsidRPr="001151A2" w:rsidRDefault="00B7792B" w:rsidP="00C46DF0">
      <w:pPr>
        <w:widowControl w:val="0"/>
        <w:rPr>
          <w:rFonts w:ascii="Times New Roman" w:eastAsia="Times New Roman" w:hAnsi="Times New Roman"/>
          <w:iCs/>
          <w:lang w:val="en-GB"/>
        </w:rPr>
      </w:pPr>
    </w:p>
    <w:p w14:paraId="43ED5F75" w14:textId="77777777" w:rsidR="00390EE2" w:rsidRPr="00DC2ECE" w:rsidRDefault="00390EE2" w:rsidP="00C46DF0">
      <w:pPr>
        <w:widowControl w:val="0"/>
        <w:rPr>
          <w:rFonts w:ascii="Times New Roman" w:eastAsia="Times New Roman" w:hAnsi="Times New Roman"/>
        </w:rPr>
      </w:pPr>
      <w:r w:rsidRPr="00CB6009">
        <w:rPr>
          <w:rFonts w:ascii="Times New Roman" w:hAnsi="Times New Roman"/>
        </w:rPr>
        <w:t>Ha a lizinoprilt káliumürítő diuretikummal adjá</w:t>
      </w:r>
      <w:r w:rsidRPr="00DC2ECE">
        <w:rPr>
          <w:rFonts w:ascii="Times New Roman" w:hAnsi="Times New Roman"/>
        </w:rPr>
        <w:t>k együtt, a diuretikum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indukálta hypokalaemia javulhat.</w:t>
      </w:r>
    </w:p>
    <w:p w14:paraId="0473D370" w14:textId="77777777" w:rsidR="00390EE2" w:rsidRPr="00DC2ECE" w:rsidRDefault="00390EE2" w:rsidP="00C46DF0">
      <w:pPr>
        <w:widowControl w:val="0"/>
        <w:rPr>
          <w:rFonts w:ascii="Times New Roman" w:eastAsia="Times New Roman" w:hAnsi="Times New Roman"/>
          <w:i/>
          <w:lang w:val="en-GB"/>
        </w:rPr>
      </w:pPr>
    </w:p>
    <w:p w14:paraId="6A83318C" w14:textId="64912451" w:rsidR="00176121" w:rsidRPr="0042224A" w:rsidRDefault="00176121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  <w:i/>
        </w:rPr>
        <w:t>Ciklosporin</w:t>
      </w:r>
      <w:r w:rsidRPr="00DC2ECE">
        <w:rPr>
          <w:rFonts w:ascii="Times New Roman" w:hAnsi="Times New Roman"/>
        </w:rPr>
        <w:t>: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gátlók </w:t>
      </w:r>
      <w:r w:rsidR="00D74B8E">
        <w:rPr>
          <w:rFonts w:ascii="Times New Roman" w:hAnsi="Times New Roman"/>
        </w:rPr>
        <w:t xml:space="preserve">és </w:t>
      </w:r>
      <w:r w:rsidRPr="00D74B8E">
        <w:rPr>
          <w:rFonts w:ascii="Times New Roman" w:hAnsi="Times New Roman"/>
        </w:rPr>
        <w:t xml:space="preserve">ciklosporin egyidejű alkalmazásakor hyperkalaemia fordulhat elő. Javasolt a szérumkáliumszint monitorozása. </w:t>
      </w:r>
    </w:p>
    <w:p w14:paraId="4610BB19" w14:textId="77777777" w:rsidR="00B7792B" w:rsidRPr="001151A2" w:rsidRDefault="00B7792B" w:rsidP="00C46DF0">
      <w:pPr>
        <w:widowControl w:val="0"/>
        <w:rPr>
          <w:rFonts w:ascii="Times New Roman" w:eastAsia="Times New Roman" w:hAnsi="Times New Roman"/>
          <w:iCs/>
          <w:lang w:val="en-GB"/>
        </w:rPr>
      </w:pPr>
    </w:p>
    <w:p w14:paraId="0AE695DC" w14:textId="2F2B189D" w:rsidR="00176121" w:rsidRPr="00DC2ECE" w:rsidRDefault="00176121" w:rsidP="00C46DF0">
      <w:pPr>
        <w:widowControl w:val="0"/>
        <w:rPr>
          <w:rFonts w:ascii="Times New Roman" w:eastAsia="Times New Roman" w:hAnsi="Times New Roman"/>
        </w:rPr>
      </w:pPr>
      <w:r w:rsidRPr="00CB6009">
        <w:rPr>
          <w:rFonts w:ascii="Times New Roman" w:hAnsi="Times New Roman"/>
        </w:rPr>
        <w:t>Heparin: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heparinnal történő egyidejű alkalmazásakor hyperkalaemia fordulhat elő. Javasolt a szérumkáliumszint monitorozása.</w:t>
      </w:r>
    </w:p>
    <w:p w14:paraId="4B0FE25A" w14:textId="77777777" w:rsidR="00B7792B" w:rsidRPr="00DC2ECE" w:rsidRDefault="00B7792B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3B6B70D6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  <w:i/>
          <w:iCs/>
        </w:rPr>
        <w:t>Lítium</w:t>
      </w:r>
    </w:p>
    <w:p w14:paraId="23D488ED" w14:textId="1A8750D9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Lítium és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egyidejű alkalmazása esetén a szérum lítiumkoncentrációk reverz</w:t>
      </w:r>
      <w:r w:rsidR="00C436B0">
        <w:rPr>
          <w:rFonts w:ascii="Times New Roman" w:hAnsi="Times New Roman"/>
        </w:rPr>
        <w:t>i</w:t>
      </w:r>
      <w:r w:rsidRPr="00DC2ECE">
        <w:rPr>
          <w:rFonts w:ascii="Times New Roman" w:hAnsi="Times New Roman"/>
        </w:rPr>
        <w:t>bilis emelkedését és toxi</w:t>
      </w:r>
      <w:r w:rsidR="0042224A">
        <w:rPr>
          <w:rFonts w:ascii="Times New Roman" w:hAnsi="Times New Roman"/>
        </w:rPr>
        <w:t>citást</w:t>
      </w:r>
      <w:r w:rsidRPr="0042224A">
        <w:rPr>
          <w:rFonts w:ascii="Times New Roman" w:hAnsi="Times New Roman"/>
        </w:rPr>
        <w:t xml:space="preserve"> észleltek. </w:t>
      </w:r>
      <w:r w:rsidR="0042224A">
        <w:rPr>
          <w:rFonts w:ascii="Times New Roman" w:hAnsi="Times New Roman"/>
        </w:rPr>
        <w:t>T</w:t>
      </w:r>
      <w:r w:rsidRPr="0042224A">
        <w:rPr>
          <w:rFonts w:ascii="Times New Roman" w:hAnsi="Times New Roman"/>
        </w:rPr>
        <w:t>iazid diuretikumok egyidejű adása fokozhatja a lítiumtoxicitás kockázatát, és felerősítheti az ACE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miatt már fokozott lítiumtoxicitást.</w:t>
      </w:r>
    </w:p>
    <w:p w14:paraId="2B95B501" w14:textId="1F0663A0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lizinopril alkalmazása lítiummal nem javasolt, de ha a kombináció feltétlenül szükséges, a szérum lítiumszint</w:t>
      </w:r>
      <w:r w:rsidR="00C436B0">
        <w:rPr>
          <w:rFonts w:ascii="Times New Roman" w:hAnsi="Times New Roman"/>
        </w:rPr>
        <w:t>jé</w:t>
      </w:r>
      <w:r w:rsidRPr="00DC2ECE">
        <w:rPr>
          <w:rFonts w:ascii="Times New Roman" w:hAnsi="Times New Roman"/>
        </w:rPr>
        <w:t xml:space="preserve">t gondosan monitorozni </w:t>
      </w:r>
      <w:r w:rsidR="00C436B0" w:rsidRPr="00DC2ECE">
        <w:rPr>
          <w:rFonts w:ascii="Times New Roman" w:hAnsi="Times New Roman"/>
        </w:rPr>
        <w:t xml:space="preserve">kell </w:t>
      </w:r>
      <w:r w:rsidRPr="00DC2ECE">
        <w:rPr>
          <w:rFonts w:ascii="Times New Roman" w:hAnsi="Times New Roman"/>
        </w:rPr>
        <w:t>(lásd 4.4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294DB717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2575AB06" w14:textId="39586D26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</w:rPr>
        <w:t>Nem</w:t>
      </w:r>
      <w:r w:rsidR="005F24FF" w:rsidRPr="00DC2ECE">
        <w:rPr>
          <w:rFonts w:ascii="Times New Roman" w:hAnsi="Times New Roman"/>
          <w:i/>
          <w:iCs/>
        </w:rPr>
        <w:noBreakHyphen/>
      </w:r>
      <w:r w:rsidRPr="00DC2ECE">
        <w:rPr>
          <w:rFonts w:ascii="Times New Roman" w:hAnsi="Times New Roman"/>
          <w:i/>
          <w:iCs/>
        </w:rPr>
        <w:t>szteroid gyulladásgátlók (NSAID</w:t>
      </w:r>
      <w:r w:rsidR="005F24FF" w:rsidRPr="00DC2ECE">
        <w:rPr>
          <w:rFonts w:ascii="Times New Roman" w:hAnsi="Times New Roman"/>
          <w:i/>
          <w:iCs/>
        </w:rPr>
        <w:noBreakHyphen/>
      </w:r>
      <w:r w:rsidRPr="00DC2ECE">
        <w:rPr>
          <w:rFonts w:ascii="Times New Roman" w:hAnsi="Times New Roman"/>
          <w:i/>
          <w:iCs/>
        </w:rPr>
        <w:t xml:space="preserve">ok), beleértve a </w:t>
      </w:r>
      <w:r w:rsidR="00DB3BB5" w:rsidRPr="00672B71">
        <w:rPr>
          <w:rFonts w:ascii="Times New Roman" w:hAnsi="Times New Roman"/>
          <w:i/>
          <w:iCs/>
        </w:rPr>
        <w:t>≥ 3</w:t>
      </w:r>
      <w:r w:rsidR="00DB3BB5">
        <w:rPr>
          <w:rFonts w:ascii="Times New Roman" w:hAnsi="Times New Roman"/>
          <w:i/>
          <w:iCs/>
        </w:rPr>
        <w:t> </w:t>
      </w:r>
      <w:r w:rsidR="00DB3BB5" w:rsidRPr="00672B71">
        <w:rPr>
          <w:rFonts w:ascii="Times New Roman" w:hAnsi="Times New Roman"/>
          <w:i/>
          <w:iCs/>
        </w:rPr>
        <w:t>g/nap dózisban</w:t>
      </w:r>
      <w:r w:rsidR="00DB3BB5">
        <w:rPr>
          <w:rFonts w:ascii="Times New Roman" w:hAnsi="Times New Roman"/>
          <w:i/>
          <w:iCs/>
        </w:rPr>
        <w:t xml:space="preserve"> adott</w:t>
      </w:r>
      <w:r w:rsidR="00DB3BB5" w:rsidRPr="00DB3BB5">
        <w:rPr>
          <w:rFonts w:ascii="Times New Roman" w:hAnsi="Times New Roman"/>
          <w:i/>
          <w:iCs/>
        </w:rPr>
        <w:t xml:space="preserve"> </w:t>
      </w:r>
      <w:r w:rsidRPr="00DB3BB5">
        <w:rPr>
          <w:rFonts w:ascii="Times New Roman" w:hAnsi="Times New Roman"/>
          <w:i/>
          <w:iCs/>
        </w:rPr>
        <w:t xml:space="preserve">acetilszalicilsavat is </w:t>
      </w:r>
    </w:p>
    <w:p w14:paraId="2E2ECB77" w14:textId="0F63B2C1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inhibitorok és nem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szteroid gyulladásgátlók (pl. </w:t>
      </w:r>
      <w:r w:rsidR="00DB3BB5">
        <w:rPr>
          <w:rFonts w:ascii="Times New Roman" w:hAnsi="Times New Roman"/>
        </w:rPr>
        <w:t xml:space="preserve">a </w:t>
      </w:r>
      <w:r w:rsidR="00DB3BB5" w:rsidRPr="002458D5">
        <w:rPr>
          <w:rFonts w:ascii="Times New Roman" w:hAnsi="Times New Roman"/>
        </w:rPr>
        <w:t xml:space="preserve">gyulladásgátló </w:t>
      </w:r>
      <w:r w:rsidR="00DB3BB5">
        <w:rPr>
          <w:rFonts w:ascii="Times New Roman" w:hAnsi="Times New Roman"/>
        </w:rPr>
        <w:t>adagolás</w:t>
      </w:r>
      <w:r w:rsidR="00A15EC4">
        <w:rPr>
          <w:rFonts w:ascii="Times New Roman" w:hAnsi="Times New Roman"/>
        </w:rPr>
        <w:t xml:space="preserve">ban adott </w:t>
      </w:r>
      <w:r w:rsidRPr="00DB3BB5">
        <w:rPr>
          <w:rFonts w:ascii="Times New Roman" w:hAnsi="Times New Roman"/>
        </w:rPr>
        <w:t>acetilszalicilsav</w:t>
      </w:r>
      <w:r w:rsidRPr="00DC2ECE">
        <w:rPr>
          <w:rFonts w:ascii="Times New Roman" w:hAnsi="Times New Roman"/>
        </w:rPr>
        <w:t>, COX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2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és nem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szelektív NSAID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készítmények) egyidejű alkalmazása </w:t>
      </w:r>
      <w:r w:rsidR="00A15EC4">
        <w:rPr>
          <w:rFonts w:ascii="Times New Roman" w:hAnsi="Times New Roman"/>
        </w:rPr>
        <w:t>csökkentheti az antihipertezív hatást</w:t>
      </w:r>
      <w:r w:rsidRPr="00A15EC4">
        <w:rPr>
          <w:rFonts w:ascii="Times New Roman" w:hAnsi="Times New Roman"/>
        </w:rPr>
        <w:t>.</w:t>
      </w:r>
      <w:r w:rsidR="005F24FF" w:rsidRPr="00A15EC4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és NSAID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ok egyidejű alkalmazása </w:t>
      </w:r>
      <w:r w:rsidR="00A15EC4" w:rsidRPr="00360CB5">
        <w:rPr>
          <w:rFonts w:ascii="Times New Roman" w:hAnsi="Times New Roman"/>
        </w:rPr>
        <w:t>megnövelheti</w:t>
      </w:r>
      <w:r w:rsidR="00A15EC4" w:rsidRPr="00A15EC4">
        <w:rPr>
          <w:rFonts w:ascii="Times New Roman" w:hAnsi="Times New Roman"/>
        </w:rPr>
        <w:t xml:space="preserve"> </w:t>
      </w:r>
      <w:r w:rsidRPr="00B47FE5">
        <w:rPr>
          <w:rFonts w:ascii="Times New Roman" w:hAnsi="Times New Roman"/>
        </w:rPr>
        <w:t>a vese</w:t>
      </w:r>
      <w:r w:rsidR="00C436B0">
        <w:rPr>
          <w:rFonts w:ascii="Times New Roman" w:hAnsi="Times New Roman"/>
        </w:rPr>
        <w:t>károsodásnak</w:t>
      </w:r>
      <w:r w:rsidRPr="00B47FE5">
        <w:rPr>
          <w:rFonts w:ascii="Times New Roman" w:hAnsi="Times New Roman"/>
        </w:rPr>
        <w:t xml:space="preserve"> </w:t>
      </w:r>
      <w:r w:rsidR="00C436B0">
        <w:rPr>
          <w:rFonts w:ascii="Times New Roman" w:hAnsi="Times New Roman"/>
        </w:rPr>
        <w:t>–</w:t>
      </w:r>
      <w:r w:rsidRPr="0001485A">
        <w:rPr>
          <w:rFonts w:ascii="Times New Roman" w:hAnsi="Times New Roman"/>
        </w:rPr>
        <w:t xml:space="preserve"> beleértve az akut veseelégtelenséget és a szérum káliumszint emelkedését is </w:t>
      </w:r>
      <w:r w:rsidR="00C436B0">
        <w:rPr>
          <w:rFonts w:ascii="Times New Roman" w:hAnsi="Times New Roman"/>
        </w:rPr>
        <w:t>–</w:t>
      </w:r>
      <w:r w:rsidRPr="00DC2ECE">
        <w:rPr>
          <w:rFonts w:ascii="Times New Roman" w:hAnsi="Times New Roman"/>
        </w:rPr>
        <w:t xml:space="preserve"> kockázatát, különösen az eleve vese</w:t>
      </w:r>
      <w:r w:rsidR="000C4C32">
        <w:rPr>
          <w:rFonts w:ascii="Times New Roman" w:hAnsi="Times New Roman"/>
        </w:rPr>
        <w:t>károsodásban szenvedő</w:t>
      </w:r>
      <w:r w:rsidRPr="00DC2ECE">
        <w:rPr>
          <w:rFonts w:ascii="Times New Roman" w:hAnsi="Times New Roman"/>
        </w:rPr>
        <w:t xml:space="preserve"> betegeknél. Ezek a hatások általában reverz</w:t>
      </w:r>
      <w:r w:rsidR="00C436B0">
        <w:rPr>
          <w:rFonts w:ascii="Times New Roman" w:hAnsi="Times New Roman"/>
        </w:rPr>
        <w:t>i</w:t>
      </w:r>
      <w:r w:rsidRPr="00DC2ECE">
        <w:rPr>
          <w:rFonts w:ascii="Times New Roman" w:hAnsi="Times New Roman"/>
        </w:rPr>
        <w:t>bilisek. A kombináció alkalmazása óvatosságot igényel, különösen időseknél. Ennek megfelelően a kezelés elején, majd a kezelés során idő</w:t>
      </w:r>
      <w:r w:rsidR="00C436B0">
        <w:rPr>
          <w:rFonts w:ascii="Times New Roman" w:hAnsi="Times New Roman"/>
        </w:rPr>
        <w:t>nként</w:t>
      </w:r>
      <w:r w:rsidRPr="00DC2ECE">
        <w:rPr>
          <w:rFonts w:ascii="Times New Roman" w:hAnsi="Times New Roman"/>
        </w:rPr>
        <w:t>, javasolt a vesefunkció monitorozása, valamint a beteg megfelelő hidrálása.</w:t>
      </w:r>
    </w:p>
    <w:p w14:paraId="5440563E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3396356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Arany</w:t>
      </w:r>
    </w:p>
    <w:p w14:paraId="0BA4B9C7" w14:textId="7ECD6156" w:rsidR="003D468D" w:rsidRPr="00B47FE5" w:rsidRDefault="003D468D" w:rsidP="00C46DF0">
      <w:pPr>
        <w:widowControl w:val="0"/>
        <w:rPr>
          <w:rFonts w:ascii="Times New Roman" w:eastAsia="Times New Roman" w:hAnsi="Times New Roman"/>
          <w:bCs/>
        </w:rPr>
      </w:pPr>
      <w:r w:rsidRPr="00DC2ECE">
        <w:rPr>
          <w:rFonts w:ascii="Times New Roman" w:hAnsi="Times New Roman"/>
        </w:rPr>
        <w:t>Aranytartalmú (pl. nátrium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aurotiomalát) injekció alkalmazása után a nitritoid reakciókat (vazodilatációs tünetek, ki</w:t>
      </w:r>
      <w:r w:rsidR="00C436B0">
        <w:rPr>
          <w:rFonts w:ascii="Times New Roman" w:hAnsi="Times New Roman"/>
        </w:rPr>
        <w:t>pirulás</w:t>
      </w:r>
      <w:r w:rsidRPr="00DC2ECE">
        <w:rPr>
          <w:rFonts w:ascii="Times New Roman" w:hAnsi="Times New Roman"/>
        </w:rPr>
        <w:t>, hányinger, szédülés és hypot</w:t>
      </w:r>
      <w:r w:rsidR="00B61ECA">
        <w:rPr>
          <w:rFonts w:ascii="Times New Roman" w:hAnsi="Times New Roman"/>
        </w:rPr>
        <w:t>onia</w:t>
      </w:r>
      <w:r w:rsidRPr="00B61ECA">
        <w:rPr>
          <w:rFonts w:ascii="Times New Roman" w:hAnsi="Times New Roman"/>
        </w:rPr>
        <w:t xml:space="preserve">, ami nagyon súlyos is lehet) </w:t>
      </w:r>
      <w:r w:rsidRPr="00B61ECA">
        <w:rPr>
          <w:rFonts w:ascii="Times New Roman" w:hAnsi="Times New Roman"/>
        </w:rPr>
        <w:lastRenderedPageBreak/>
        <w:t>gyakrabban jelentett</w:t>
      </w:r>
      <w:r w:rsidR="00B61ECA">
        <w:rPr>
          <w:rFonts w:ascii="Times New Roman" w:hAnsi="Times New Roman"/>
        </w:rPr>
        <w:t>e</w:t>
      </w:r>
      <w:r w:rsidRPr="00B61ECA">
        <w:rPr>
          <w:rFonts w:ascii="Times New Roman" w:hAnsi="Times New Roman"/>
        </w:rPr>
        <w:t>k az ACE</w:t>
      </w:r>
      <w:r w:rsidR="005F24FF" w:rsidRPr="00B61ECA">
        <w:rPr>
          <w:rFonts w:ascii="Times New Roman" w:hAnsi="Times New Roman"/>
        </w:rPr>
        <w:noBreakHyphen/>
      </w:r>
      <w:r w:rsidRPr="00B61ECA">
        <w:rPr>
          <w:rFonts w:ascii="Times New Roman" w:hAnsi="Times New Roman"/>
        </w:rPr>
        <w:t>gátlókkal egyidejűleg kezelt betegeknél.</w:t>
      </w:r>
    </w:p>
    <w:p w14:paraId="4977D179" w14:textId="77777777" w:rsidR="003D468D" w:rsidRPr="00CB6009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4ABE20E" w14:textId="364D060F" w:rsidR="003D468D" w:rsidRPr="00B61ECA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</w:rPr>
        <w:t>Triciklusos antidepresszánsok/antipszichotikumok/</w:t>
      </w:r>
      <w:r w:rsidR="00B61ECA">
        <w:rPr>
          <w:rFonts w:ascii="Times New Roman" w:hAnsi="Times New Roman"/>
          <w:i/>
          <w:iCs/>
        </w:rPr>
        <w:t>anesztetikumok</w:t>
      </w:r>
    </w:p>
    <w:p w14:paraId="210BF76C" w14:textId="1634D13A" w:rsidR="003D468D" w:rsidRPr="001D5C13" w:rsidRDefault="003D468D" w:rsidP="00C46DF0">
      <w:pPr>
        <w:widowControl w:val="0"/>
        <w:rPr>
          <w:rFonts w:ascii="Times New Roman" w:hAnsi="Times New Roman"/>
        </w:rPr>
      </w:pPr>
      <w:r w:rsidRPr="00885182">
        <w:rPr>
          <w:rFonts w:ascii="Times New Roman" w:hAnsi="Times New Roman"/>
        </w:rPr>
        <w:t xml:space="preserve">Bizonyos anesztetikumok, triciklusos antidepresszánsok és antipszichotikumok </w:t>
      </w:r>
      <w:r w:rsidR="00885182" w:rsidRPr="00286BB5">
        <w:rPr>
          <w:rFonts w:ascii="Times New Roman" w:hAnsi="Times New Roman"/>
        </w:rPr>
        <w:t>ACE</w:t>
      </w:r>
      <w:r w:rsidR="00885182" w:rsidRPr="00286BB5">
        <w:rPr>
          <w:rFonts w:ascii="Times New Roman" w:hAnsi="Times New Roman"/>
        </w:rPr>
        <w:noBreakHyphen/>
        <w:t xml:space="preserve">gátlókkal </w:t>
      </w:r>
      <w:r w:rsidRPr="00885182">
        <w:rPr>
          <w:rFonts w:ascii="Times New Roman" w:hAnsi="Times New Roman"/>
        </w:rPr>
        <w:t>együtt</w:t>
      </w:r>
      <w:r w:rsidR="00885182">
        <w:rPr>
          <w:rFonts w:ascii="Times New Roman" w:hAnsi="Times New Roman"/>
        </w:rPr>
        <w:t>es alkalmazása</w:t>
      </w:r>
      <w:r w:rsidRPr="00885182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tovább </w:t>
      </w:r>
      <w:r w:rsidRPr="00885182">
        <w:rPr>
          <w:rFonts w:ascii="Times New Roman" w:hAnsi="Times New Roman"/>
        </w:rPr>
        <w:t>csökkentheti a vérnyomást (lásd 4.4</w:t>
      </w:r>
      <w:r w:rsidR="005F24FF" w:rsidRPr="00885182">
        <w:rPr>
          <w:rFonts w:ascii="Times New Roman" w:hAnsi="Times New Roman"/>
        </w:rPr>
        <w:t> pont</w:t>
      </w:r>
      <w:r w:rsidRPr="00B47FE5">
        <w:rPr>
          <w:rFonts w:ascii="Times New Roman" w:hAnsi="Times New Roman"/>
        </w:rPr>
        <w:t>).</w:t>
      </w:r>
    </w:p>
    <w:p w14:paraId="631FB6E2" w14:textId="77777777" w:rsidR="003D468D" w:rsidRPr="00CB6009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2B7F556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</w:rPr>
        <w:t>Szimpatomimetikumok</w:t>
      </w:r>
    </w:p>
    <w:p w14:paraId="764BBA08" w14:textId="034B680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szimpatomimetikumok csökkenthetik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gátlók </w:t>
      </w:r>
      <w:r w:rsidR="00885182">
        <w:rPr>
          <w:rFonts w:ascii="Times New Roman" w:hAnsi="Times New Roman"/>
        </w:rPr>
        <w:t xml:space="preserve">antihipertezív </w:t>
      </w:r>
      <w:r w:rsidRPr="00DC2ECE">
        <w:rPr>
          <w:rFonts w:ascii="Times New Roman" w:hAnsi="Times New Roman"/>
        </w:rPr>
        <w:t>hatását.</w:t>
      </w:r>
    </w:p>
    <w:p w14:paraId="522CC449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A72F645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  <w:i/>
          <w:iCs/>
        </w:rPr>
        <w:t>Antidiabetikumok</w:t>
      </w:r>
    </w:p>
    <w:p w14:paraId="475E6F10" w14:textId="281C2E88" w:rsidR="00AB5196" w:rsidRPr="00DC2ECE" w:rsidRDefault="00885182" w:rsidP="00C46DF0">
      <w:pPr>
        <w:widowControl w:val="0"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E</w:t>
      </w:r>
      <w:r w:rsidR="003D468D" w:rsidRPr="00885182">
        <w:rPr>
          <w:rFonts w:ascii="Times New Roman" w:hAnsi="Times New Roman"/>
        </w:rPr>
        <w:t>pidemiológiai vizsgálatok arra utalnak, hogy az ACE</w:t>
      </w:r>
      <w:r w:rsidR="005F24FF" w:rsidRPr="00885182">
        <w:rPr>
          <w:rFonts w:ascii="Times New Roman" w:hAnsi="Times New Roman"/>
        </w:rPr>
        <w:noBreakHyphen/>
      </w:r>
      <w:r w:rsidR="003D468D" w:rsidRPr="00885182">
        <w:rPr>
          <w:rFonts w:ascii="Times New Roman" w:hAnsi="Times New Roman"/>
        </w:rPr>
        <w:t>gátlók és antidiabetikumok (inzulinok, orális antidiabetikumok) együttadása fokozhatja a hypogl</w:t>
      </w:r>
      <w:r w:rsidR="003D468D" w:rsidRPr="00B47FE5">
        <w:rPr>
          <w:rFonts w:ascii="Times New Roman" w:hAnsi="Times New Roman"/>
        </w:rPr>
        <w:t>y</w:t>
      </w:r>
      <w:r w:rsidR="00B47FE5">
        <w:rPr>
          <w:rFonts w:ascii="Times New Roman" w:hAnsi="Times New Roman"/>
        </w:rPr>
        <w:t>k</w:t>
      </w:r>
      <w:r w:rsidR="003D468D" w:rsidRPr="00DC2ECE">
        <w:rPr>
          <w:rFonts w:ascii="Times New Roman" w:hAnsi="Times New Roman"/>
        </w:rPr>
        <w:t xml:space="preserve">aemia kockázatával járó vércukorszint csökkentő hatást. Ez a jelenség gyakoribbnak tűnik a kombinált kezelés első heteiben, valamint </w:t>
      </w:r>
      <w:r w:rsidR="00D0515E">
        <w:rPr>
          <w:rFonts w:ascii="Times New Roman" w:hAnsi="Times New Roman"/>
        </w:rPr>
        <w:t>vese</w:t>
      </w:r>
      <w:r w:rsidR="003D468D" w:rsidRPr="00DC2ECE">
        <w:rPr>
          <w:rFonts w:ascii="Times New Roman" w:hAnsi="Times New Roman"/>
        </w:rPr>
        <w:t>károsod</w:t>
      </w:r>
      <w:r w:rsidR="00D0515E">
        <w:rPr>
          <w:rFonts w:ascii="Times New Roman" w:hAnsi="Times New Roman"/>
        </w:rPr>
        <w:t>ásban szenvedő</w:t>
      </w:r>
      <w:r w:rsidR="003D468D" w:rsidRPr="00DC2ECE">
        <w:rPr>
          <w:rFonts w:ascii="Times New Roman" w:hAnsi="Times New Roman"/>
        </w:rPr>
        <w:t xml:space="preserve"> betegeknél.</w:t>
      </w:r>
    </w:p>
    <w:p w14:paraId="0CD782EC" w14:textId="77777777" w:rsidR="004E274C" w:rsidRPr="00DC2ECE" w:rsidRDefault="004E274C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42C63D80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Acetilszalicilsav, trombolitikumok, béta</w:t>
      </w:r>
      <w:r w:rsidR="005F24FF" w:rsidRPr="00DC2ECE">
        <w:rPr>
          <w:rFonts w:ascii="Times New Roman" w:hAnsi="Times New Roman"/>
          <w:i/>
          <w:iCs/>
        </w:rPr>
        <w:noBreakHyphen/>
      </w:r>
      <w:r w:rsidRPr="00DC2ECE">
        <w:rPr>
          <w:rFonts w:ascii="Times New Roman" w:hAnsi="Times New Roman"/>
          <w:i/>
          <w:iCs/>
        </w:rPr>
        <w:t>blokkolók, nitrátok</w:t>
      </w:r>
    </w:p>
    <w:p w14:paraId="4A321FF5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lizinopril alkalmazható egyidejűleg acetilszalicilsavval (kardiológiai dózisban), trombolitikumokkal, béta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blokkolókkal és/vagy nitrátokkal.</w:t>
      </w:r>
    </w:p>
    <w:p w14:paraId="0000C649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38C38E8D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Az amlodipinnel összefüggő kölcsönhatások</w:t>
      </w:r>
    </w:p>
    <w:p w14:paraId="41407B42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1C577E7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Egyéb gyógyszerek hatása az amlodipinre</w:t>
      </w:r>
    </w:p>
    <w:p w14:paraId="6F95CC74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0D181CA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</w:rPr>
        <w:t>CYP3A4</w:t>
      </w:r>
      <w:r w:rsidR="005F24FF" w:rsidRPr="00DC2ECE">
        <w:rPr>
          <w:rFonts w:ascii="Times New Roman" w:hAnsi="Times New Roman"/>
          <w:i/>
          <w:iCs/>
        </w:rPr>
        <w:noBreakHyphen/>
      </w:r>
      <w:r w:rsidRPr="00DC2ECE">
        <w:rPr>
          <w:rFonts w:ascii="Times New Roman" w:hAnsi="Times New Roman"/>
          <w:i/>
          <w:iCs/>
        </w:rPr>
        <w:t>inhibitorok</w:t>
      </w:r>
    </w:p>
    <w:p w14:paraId="606D01C4" w14:textId="4968A7FB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erős vagy közepesen erős CYP3A4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inhibitorokkal (proteáz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inhibitorok, antifungális azolok, makrolidok mint az eritromicin vagy klaritromicin, verapamil vagy diltiazem) egyidejű alkalmazása szignifikánsan megemelheti az amlodipin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expozíciót, ami a hypotonia megnövekedett kockázatát eredményezheti.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Ezen farmakokinetikai változásoknak idősek esetében van nagyobb klinikai jelentősége. A betegek klinikai megfigyelése javasolt, és ennek alapján a dózis módosítása szükséges lehet.</w:t>
      </w:r>
    </w:p>
    <w:p w14:paraId="50E99ECF" w14:textId="77777777" w:rsidR="00195749" w:rsidRPr="00DC2ECE" w:rsidRDefault="00195749" w:rsidP="00C46DF0">
      <w:pPr>
        <w:widowControl w:val="0"/>
        <w:rPr>
          <w:rFonts w:ascii="Times New Roman" w:hAnsi="Times New Roman"/>
          <w:lang w:val="en-GB"/>
        </w:rPr>
      </w:pPr>
    </w:p>
    <w:p w14:paraId="2D7E468A" w14:textId="7B16A45A" w:rsidR="00195749" w:rsidRPr="005F1A29" w:rsidRDefault="00195749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klaritromicin a CYP3A4 egyik inhibitora. </w:t>
      </w:r>
      <w:r w:rsidR="005F1A29">
        <w:rPr>
          <w:rFonts w:ascii="Times New Roman" w:hAnsi="Times New Roman"/>
        </w:rPr>
        <w:t>F</w:t>
      </w:r>
      <w:r w:rsidRPr="005F1A29">
        <w:rPr>
          <w:rFonts w:ascii="Times New Roman" w:hAnsi="Times New Roman"/>
        </w:rPr>
        <w:t xml:space="preserve">okozott </w:t>
      </w:r>
      <w:r w:rsidR="005F1A29">
        <w:rPr>
          <w:rFonts w:ascii="Times New Roman" w:hAnsi="Times New Roman"/>
        </w:rPr>
        <w:t xml:space="preserve">a </w:t>
      </w:r>
      <w:r w:rsidR="005F1A29" w:rsidRPr="005F1A29">
        <w:rPr>
          <w:rFonts w:ascii="Times New Roman" w:hAnsi="Times New Roman"/>
        </w:rPr>
        <w:t xml:space="preserve">hypotonia </w:t>
      </w:r>
      <w:r w:rsidRPr="005F1A29">
        <w:rPr>
          <w:rFonts w:ascii="Times New Roman" w:hAnsi="Times New Roman"/>
        </w:rPr>
        <w:t xml:space="preserve">kockázata </w:t>
      </w:r>
      <w:r w:rsidR="005F1A29">
        <w:rPr>
          <w:rFonts w:ascii="Times New Roman" w:hAnsi="Times New Roman"/>
        </w:rPr>
        <w:t xml:space="preserve">azoknál a betegeknél, akik </w:t>
      </w:r>
      <w:r w:rsidRPr="005F1A29">
        <w:rPr>
          <w:rFonts w:ascii="Times New Roman" w:hAnsi="Times New Roman"/>
        </w:rPr>
        <w:t>a klaritromicint amlodipinnel együtt kap</w:t>
      </w:r>
      <w:r w:rsidR="005F1A29">
        <w:rPr>
          <w:rFonts w:ascii="Times New Roman" w:hAnsi="Times New Roman"/>
        </w:rPr>
        <w:t>ják</w:t>
      </w:r>
      <w:r w:rsidRPr="005F1A29">
        <w:rPr>
          <w:rFonts w:ascii="Times New Roman" w:hAnsi="Times New Roman"/>
        </w:rPr>
        <w:t>. A betegek szoros megfigyelése javasolt, ha az amlodipint klaritromicinnel egyidejűleg adagolják.</w:t>
      </w:r>
    </w:p>
    <w:p w14:paraId="6064DFB7" w14:textId="77777777" w:rsidR="00195749" w:rsidRPr="00CB6009" w:rsidRDefault="00195749" w:rsidP="00C46DF0">
      <w:pPr>
        <w:widowControl w:val="0"/>
        <w:rPr>
          <w:rFonts w:ascii="Times New Roman" w:hAnsi="Times New Roman"/>
          <w:lang w:val="en-GB"/>
        </w:rPr>
      </w:pPr>
    </w:p>
    <w:p w14:paraId="18E7698B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CYP3A4</w:t>
      </w:r>
      <w:r w:rsidR="005F24FF" w:rsidRPr="00DC2ECE">
        <w:rPr>
          <w:rFonts w:ascii="Times New Roman" w:hAnsi="Times New Roman"/>
          <w:i/>
          <w:iCs/>
        </w:rPr>
        <w:noBreakHyphen/>
      </w:r>
      <w:r w:rsidRPr="00DC2ECE">
        <w:rPr>
          <w:rFonts w:ascii="Times New Roman" w:hAnsi="Times New Roman"/>
          <w:i/>
          <w:iCs/>
        </w:rPr>
        <w:t>induktorok</w:t>
      </w:r>
    </w:p>
    <w:p w14:paraId="00C8A8DB" w14:textId="5C31EED9" w:rsidR="003D468D" w:rsidRPr="00DC2ECE" w:rsidRDefault="001A01B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</w:rPr>
        <w:t>Ismert CYP3A4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induktorokkal való egyidejű alkalmazás esetén megváltozhat az amlodipin plazmakoncentrációja.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Emiatt monitorozni kell a vérnyomást, és meg kell fontolni a dózis módosítását az egyidejű gyógyszeralkalmazás alatt és után is, különösen erős CYP3A4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induktorok (pl. rifampicin, közönséges orbáncfű [</w:t>
      </w:r>
      <w:r w:rsidRPr="00DC2ECE">
        <w:rPr>
          <w:rFonts w:ascii="Times New Roman" w:hAnsi="Times New Roman"/>
          <w:i/>
          <w:iCs/>
        </w:rPr>
        <w:t>Hypericum perforatum</w:t>
      </w:r>
      <w:r w:rsidRPr="00DC2ECE">
        <w:rPr>
          <w:rFonts w:ascii="Times New Roman" w:hAnsi="Times New Roman"/>
        </w:rPr>
        <w:t xml:space="preserve">]) </w:t>
      </w:r>
      <w:r w:rsidR="00D0515E">
        <w:rPr>
          <w:rFonts w:ascii="Times New Roman" w:hAnsi="Times New Roman"/>
        </w:rPr>
        <w:t>alkalmazása</w:t>
      </w:r>
      <w:r w:rsidR="00D0515E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esetén.</w:t>
      </w:r>
    </w:p>
    <w:p w14:paraId="2D02853E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4BE7164" w14:textId="77777777" w:rsidR="003D468D" w:rsidRPr="00DC2ECE" w:rsidRDefault="003D468D" w:rsidP="00C46DF0">
      <w:pPr>
        <w:pStyle w:val="Default"/>
        <w:widowControl w:val="0"/>
        <w:rPr>
          <w:color w:val="auto"/>
          <w:sz w:val="22"/>
          <w:szCs w:val="22"/>
        </w:rPr>
      </w:pPr>
      <w:r w:rsidRPr="00DC2ECE">
        <w:rPr>
          <w:color w:val="auto"/>
          <w:sz w:val="22"/>
          <w:szCs w:val="22"/>
        </w:rPr>
        <w:t>Az amlodipin együttadása grépfrúttal vagy grépfrútlével nem javasolt, mert ez néhány betegnél az amlodipin biohasznosulásának növekedéséhez vezethet, fokozott vérnyomáscsökkentő hatást eredményezve.</w:t>
      </w:r>
    </w:p>
    <w:p w14:paraId="2910F4D1" w14:textId="77777777" w:rsidR="003D468D" w:rsidRPr="00DC2ECE" w:rsidRDefault="003D468D" w:rsidP="00C46DF0">
      <w:pPr>
        <w:pStyle w:val="Default"/>
        <w:widowControl w:val="0"/>
        <w:rPr>
          <w:color w:val="auto"/>
          <w:sz w:val="22"/>
          <w:szCs w:val="22"/>
          <w:lang w:val="en-GB"/>
        </w:rPr>
      </w:pPr>
    </w:p>
    <w:p w14:paraId="0A8CABE1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Dantrolén (infúzió)</w:t>
      </w:r>
    </w:p>
    <w:p w14:paraId="51AA81D2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Állatoknál hyperkalaemiával társult, letális kamrafibrillációt és keringés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összeomlást figyeltek meg verapamil és dantrolén intravénás adagolása után. A hyperkalaemia kockázata miatt a malignus hyperthermiára hajlamos betegek esetében, és a malignus hyperthermia kezelése alatt a kalciumcsatorna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blokkolók, mint pl. az amlodipin, alkalmazását kerülni kell.</w:t>
      </w:r>
    </w:p>
    <w:p w14:paraId="15434024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000594D" w14:textId="77777777" w:rsidR="003D468D" w:rsidRPr="00DC2ECE" w:rsidRDefault="003D468D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Az amlodipin hatása egyéb gyógyszerekre</w:t>
      </w:r>
    </w:p>
    <w:p w14:paraId="386ECFF7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0E2D0D47" w14:textId="02A4D3B3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vérnyomáscsökkentő hatása hozzáadódik az egyéb antihipertenzív hatású gyógyszerek vérnyomáscsökkentő hatásához.</w:t>
      </w:r>
    </w:p>
    <w:p w14:paraId="71630866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7F462650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Takrolimusz</w:t>
      </w:r>
    </w:p>
    <w:p w14:paraId="4138D59B" w14:textId="7B1AC983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lastRenderedPageBreak/>
        <w:t>Amlodipinnel együttes alkalmazáskor fennáll a kockázata a takrolimusz megnövekedett vérszintjének, de ennek az interakciónak a farmakokinetikai mechanizmusa még nem teljesen ismert. A takrolimusz</w:t>
      </w:r>
      <w:r w:rsidR="00D66E5C">
        <w:rPr>
          <w:rFonts w:ascii="Times New Roman" w:hAnsi="Times New Roman"/>
        </w:rPr>
        <w:t>-</w:t>
      </w:r>
      <w:r w:rsidRPr="00D66E5C">
        <w:rPr>
          <w:rFonts w:ascii="Times New Roman" w:hAnsi="Times New Roman"/>
        </w:rPr>
        <w:t>toxicitás</w:t>
      </w:r>
      <w:r w:rsidRPr="00DC2ECE">
        <w:rPr>
          <w:rFonts w:ascii="Times New Roman" w:hAnsi="Times New Roman"/>
        </w:rPr>
        <w:t xml:space="preserve"> elkerülése érdekében </w:t>
      </w:r>
      <w:r w:rsidR="00D66E5C" w:rsidRPr="004010F2">
        <w:rPr>
          <w:rFonts w:ascii="Times New Roman" w:hAnsi="Times New Roman"/>
        </w:rPr>
        <w:t>monitorozni kell</w:t>
      </w:r>
      <w:r w:rsidR="00D66E5C" w:rsidRPr="00D66E5C">
        <w:rPr>
          <w:rFonts w:ascii="Times New Roman" w:hAnsi="Times New Roman"/>
        </w:rPr>
        <w:t xml:space="preserve"> </w:t>
      </w:r>
      <w:r w:rsidR="00D66E5C" w:rsidRPr="00052853">
        <w:rPr>
          <w:rFonts w:ascii="Times New Roman" w:hAnsi="Times New Roman"/>
        </w:rPr>
        <w:t>a takrolimusz vérszintjét</w:t>
      </w:r>
      <w:r w:rsidR="00D66E5C" w:rsidRPr="00D66E5C">
        <w:rPr>
          <w:rFonts w:ascii="Times New Roman" w:hAnsi="Times New Roman"/>
        </w:rPr>
        <w:t xml:space="preserve"> </w:t>
      </w:r>
      <w:r w:rsidRPr="003F267E">
        <w:rPr>
          <w:rFonts w:ascii="Times New Roman" w:hAnsi="Times New Roman"/>
        </w:rPr>
        <w:t>azoknál a betegeknél, akik a takrolimus</w:t>
      </w:r>
      <w:r w:rsidRPr="00DC2ECE">
        <w:rPr>
          <w:rFonts w:ascii="Times New Roman" w:hAnsi="Times New Roman"/>
        </w:rPr>
        <w:t>z</w:t>
      </w:r>
      <w:r w:rsidR="00D66E5C">
        <w:rPr>
          <w:rFonts w:ascii="Times New Roman" w:hAnsi="Times New Roman"/>
        </w:rPr>
        <w:t>-terápia alatt</w:t>
      </w:r>
      <w:r w:rsidRPr="00D66E5C">
        <w:rPr>
          <w:rFonts w:ascii="Times New Roman" w:hAnsi="Times New Roman"/>
        </w:rPr>
        <w:t xml:space="preserve"> amlodipint kapnak</w:t>
      </w:r>
      <w:r w:rsidRPr="00DC2ECE">
        <w:rPr>
          <w:rFonts w:ascii="Times New Roman" w:hAnsi="Times New Roman"/>
        </w:rPr>
        <w:t xml:space="preserve">, és ha szükséges, </w:t>
      </w:r>
      <w:r w:rsidR="00D66E5C" w:rsidRPr="003F5B2D">
        <w:rPr>
          <w:rFonts w:ascii="Times New Roman" w:hAnsi="Times New Roman"/>
        </w:rPr>
        <w:t>módosítani kell</w:t>
      </w:r>
      <w:r w:rsidR="00D66E5C" w:rsidRPr="00D66E5C" w:rsidDel="00D66E5C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a takrolimusz dózisát.</w:t>
      </w:r>
    </w:p>
    <w:p w14:paraId="3C676F9A" w14:textId="77777777" w:rsidR="00465EF2" w:rsidRPr="00DC2ECE" w:rsidRDefault="00465EF2" w:rsidP="00C46DF0">
      <w:pPr>
        <w:widowControl w:val="0"/>
        <w:rPr>
          <w:rFonts w:ascii="Times New Roman" w:hAnsi="Times New Roman"/>
          <w:lang w:val="en-GB"/>
        </w:rPr>
      </w:pPr>
    </w:p>
    <w:p w14:paraId="67314E0B" w14:textId="399161A9" w:rsidR="00465EF2" w:rsidRPr="00D66E5C" w:rsidRDefault="00465EF2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mTOR (mammalian target of rapamycin)</w:t>
      </w:r>
      <w:r w:rsidR="00D66E5C">
        <w:rPr>
          <w:rFonts w:ascii="Times New Roman" w:hAnsi="Times New Roman"/>
          <w:i/>
          <w:iCs/>
        </w:rPr>
        <w:t>-</w:t>
      </w:r>
      <w:r w:rsidRPr="00D66E5C">
        <w:rPr>
          <w:rFonts w:ascii="Times New Roman" w:hAnsi="Times New Roman"/>
          <w:i/>
          <w:iCs/>
        </w:rPr>
        <w:t>gátlók</w:t>
      </w:r>
    </w:p>
    <w:p w14:paraId="698BF9CC" w14:textId="684452C4" w:rsidR="00465EF2" w:rsidRPr="003F267E" w:rsidRDefault="00465EF2" w:rsidP="00C46DF0">
      <w:pPr>
        <w:widowControl w:val="0"/>
        <w:rPr>
          <w:rFonts w:ascii="Times New Roman" w:hAnsi="Times New Roman"/>
        </w:rPr>
      </w:pPr>
      <w:r w:rsidRPr="003F267E">
        <w:rPr>
          <w:rFonts w:ascii="Times New Roman" w:hAnsi="Times New Roman"/>
        </w:rPr>
        <w:t>Az mTOR</w:t>
      </w:r>
      <w:r w:rsidR="005F24FF" w:rsidRPr="003F267E">
        <w:rPr>
          <w:rFonts w:ascii="Times New Roman" w:hAnsi="Times New Roman"/>
        </w:rPr>
        <w:noBreakHyphen/>
      </w:r>
      <w:r w:rsidRPr="003F267E">
        <w:rPr>
          <w:rFonts w:ascii="Times New Roman" w:hAnsi="Times New Roman"/>
        </w:rPr>
        <w:t xml:space="preserve">gátlók, </w:t>
      </w:r>
      <w:r w:rsidR="003F267E">
        <w:rPr>
          <w:rFonts w:ascii="Times New Roman" w:hAnsi="Times New Roman"/>
        </w:rPr>
        <w:t>úgy</w:t>
      </w:r>
      <w:r w:rsidRPr="003F267E">
        <w:rPr>
          <w:rFonts w:ascii="Times New Roman" w:hAnsi="Times New Roman"/>
        </w:rPr>
        <w:t xml:space="preserve">mint a szirolimusz, </w:t>
      </w:r>
      <w:r w:rsidRPr="00DC2ECE">
        <w:rPr>
          <w:rFonts w:ascii="Times New Roman" w:hAnsi="Times New Roman"/>
        </w:rPr>
        <w:t>temszirolimusz és everolimusz CYP3A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szubsztrátok. Az amlodipin gyenge CYP3A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inhibitor. Az amlodipin egyidejű adása mTOR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gátlókkal </w:t>
      </w:r>
      <w:r w:rsidR="003F267E">
        <w:rPr>
          <w:rFonts w:ascii="Times New Roman" w:hAnsi="Times New Roman"/>
        </w:rPr>
        <w:t>növelhet</w:t>
      </w:r>
      <w:r w:rsidR="003F267E" w:rsidRPr="003F267E">
        <w:rPr>
          <w:rFonts w:ascii="Times New Roman" w:hAnsi="Times New Roman"/>
        </w:rPr>
        <w:t xml:space="preserve"> </w:t>
      </w:r>
      <w:r w:rsidRPr="003F267E">
        <w:rPr>
          <w:rFonts w:ascii="Times New Roman" w:hAnsi="Times New Roman"/>
        </w:rPr>
        <w:t>az mTOR</w:t>
      </w:r>
      <w:r w:rsidR="005F24FF" w:rsidRPr="003F267E">
        <w:rPr>
          <w:rFonts w:ascii="Times New Roman" w:hAnsi="Times New Roman"/>
        </w:rPr>
        <w:noBreakHyphen/>
      </w:r>
      <w:r w:rsidRPr="003F267E">
        <w:rPr>
          <w:rFonts w:ascii="Times New Roman" w:hAnsi="Times New Roman"/>
        </w:rPr>
        <w:t>gátló</w:t>
      </w:r>
      <w:r w:rsidR="003F267E">
        <w:rPr>
          <w:rFonts w:ascii="Times New Roman" w:hAnsi="Times New Roman"/>
        </w:rPr>
        <w:t>-</w:t>
      </w:r>
      <w:r w:rsidRPr="003F267E">
        <w:rPr>
          <w:rFonts w:ascii="Times New Roman" w:hAnsi="Times New Roman"/>
        </w:rPr>
        <w:t>expozíciót.</w:t>
      </w:r>
    </w:p>
    <w:p w14:paraId="39FB0657" w14:textId="77777777" w:rsidR="003D468D" w:rsidRPr="00CB6009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E2EFB6A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Ciklosporin</w:t>
      </w:r>
    </w:p>
    <w:p w14:paraId="1B6FFA1C" w14:textId="0C2F4FA4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Ciklosporinnal és amlodipinnel nem végeztek gyógyszerkölcsönhatási vizsgálatokat egészséges önkéntesek vagy más betegcsoportok körében, kivéve a vesetranszplantált betegeket, akiknél a ciklosporin mélyponti koncentrációjának változó </w:t>
      </w:r>
      <w:r w:rsidR="003F267E">
        <w:rPr>
          <w:rFonts w:ascii="Times New Roman" w:hAnsi="Times New Roman"/>
        </w:rPr>
        <w:t xml:space="preserve">mértékű </w:t>
      </w:r>
      <w:r w:rsidRPr="003F267E">
        <w:rPr>
          <w:rFonts w:ascii="Times New Roman" w:hAnsi="Times New Roman"/>
        </w:rPr>
        <w:t>növekedését (átlagosan 0</w:t>
      </w:r>
      <w:r w:rsidR="005F24FF" w:rsidRPr="003F267E">
        <w:rPr>
          <w:rFonts w:ascii="Times New Roman" w:hAnsi="Times New Roman"/>
        </w:rPr>
        <w:noBreakHyphen/>
      </w:r>
      <w:r w:rsidRPr="003F267E">
        <w:rPr>
          <w:rFonts w:ascii="Times New Roman" w:hAnsi="Times New Roman"/>
        </w:rPr>
        <w:t>40%) figyelték meg.</w:t>
      </w:r>
      <w:r w:rsidR="005F24FF" w:rsidRPr="003F267E">
        <w:rPr>
          <w:rFonts w:ascii="Times New Roman" w:hAnsi="Times New Roman"/>
        </w:rPr>
        <w:t xml:space="preserve"> </w:t>
      </w:r>
      <w:r w:rsidRPr="003F267E">
        <w:rPr>
          <w:rFonts w:ascii="Times New Roman" w:hAnsi="Times New Roman"/>
        </w:rPr>
        <w:t>Amlodipin</w:t>
      </w:r>
      <w:r w:rsidR="005F24FF" w:rsidRPr="003F267E">
        <w:rPr>
          <w:rFonts w:ascii="Times New Roman" w:hAnsi="Times New Roman"/>
        </w:rPr>
        <w:noBreakHyphen/>
      </w:r>
      <w:r w:rsidRPr="0001485A">
        <w:rPr>
          <w:rFonts w:ascii="Times New Roman" w:hAnsi="Times New Roman"/>
        </w:rPr>
        <w:t>kezelésben részesülő vesetranszplantált betegek esetében fontolóra kell venni a ciklosporin</w:t>
      </w:r>
      <w:r w:rsidR="00D0515E">
        <w:rPr>
          <w:rFonts w:ascii="Times New Roman" w:hAnsi="Times New Roman"/>
        </w:rPr>
        <w:t>-</w:t>
      </w:r>
      <w:r w:rsidRPr="0001485A">
        <w:rPr>
          <w:rFonts w:ascii="Times New Roman" w:hAnsi="Times New Roman"/>
        </w:rPr>
        <w:t xml:space="preserve">szintek monitorozását, és szükség esetén csökkenteni kell </w:t>
      </w:r>
      <w:r w:rsidRPr="00CB6009">
        <w:rPr>
          <w:rFonts w:ascii="Times New Roman" w:hAnsi="Times New Roman"/>
        </w:rPr>
        <w:t>a ciklosporin dózisát.</w:t>
      </w:r>
    </w:p>
    <w:p w14:paraId="31DACD87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320B8737" w14:textId="77777777" w:rsidR="003D468D" w:rsidRPr="00DC2ECE" w:rsidRDefault="003D468D" w:rsidP="00C46DF0">
      <w:pPr>
        <w:widowControl w:val="0"/>
        <w:rPr>
          <w:rFonts w:ascii="Times New Roman" w:hAnsi="Times New Roman"/>
          <w:i/>
          <w:iCs/>
        </w:rPr>
      </w:pPr>
      <w:r w:rsidRPr="00DC2ECE">
        <w:rPr>
          <w:rFonts w:ascii="Times New Roman" w:hAnsi="Times New Roman"/>
          <w:i/>
          <w:iCs/>
        </w:rPr>
        <w:t>Szimvasztatin</w:t>
      </w:r>
    </w:p>
    <w:p w14:paraId="7F4F1448" w14:textId="085A3DD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10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 xml:space="preserve"> amlodipin többszöri alkalmazása 80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 xml:space="preserve"> szimvasztatin egyidejű szedése mellett 77%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kal emelte a szimvasztatin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expozíciót, </w:t>
      </w:r>
      <w:r w:rsidR="003F267E">
        <w:rPr>
          <w:rFonts w:ascii="Times New Roman" w:hAnsi="Times New Roman"/>
        </w:rPr>
        <w:t xml:space="preserve">az </w:t>
      </w:r>
      <w:r w:rsidR="003F267E" w:rsidRPr="0014741E">
        <w:rPr>
          <w:rFonts w:ascii="Times New Roman" w:hAnsi="Times New Roman"/>
        </w:rPr>
        <w:t xml:space="preserve">önmagában </w:t>
      </w:r>
      <w:r w:rsidR="003F267E">
        <w:rPr>
          <w:rFonts w:ascii="Times New Roman" w:hAnsi="Times New Roman"/>
        </w:rPr>
        <w:t xml:space="preserve">adott </w:t>
      </w:r>
      <w:r w:rsidR="003F267E" w:rsidRPr="0014741E">
        <w:rPr>
          <w:rFonts w:ascii="Times New Roman" w:hAnsi="Times New Roman"/>
        </w:rPr>
        <w:t>szimvasztatin</w:t>
      </w:r>
      <w:r w:rsidR="003F267E">
        <w:rPr>
          <w:rFonts w:ascii="Times New Roman" w:hAnsi="Times New Roman"/>
        </w:rPr>
        <w:t>nal</w:t>
      </w:r>
      <w:r w:rsidR="003F267E" w:rsidRPr="0014741E">
        <w:rPr>
          <w:rFonts w:ascii="Times New Roman" w:hAnsi="Times New Roman"/>
        </w:rPr>
        <w:t xml:space="preserve"> </w:t>
      </w:r>
      <w:r w:rsidR="00064650">
        <w:rPr>
          <w:rFonts w:ascii="Times New Roman" w:hAnsi="Times New Roman"/>
        </w:rPr>
        <w:t>összehasonlítva.</w:t>
      </w:r>
      <w:r w:rsidRPr="003F267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Amlodipinnel kezelt betegek</w:t>
      </w:r>
      <w:r w:rsidR="003F267E">
        <w:rPr>
          <w:rFonts w:ascii="Times New Roman" w:hAnsi="Times New Roman"/>
        </w:rPr>
        <w:t>nél</w:t>
      </w:r>
      <w:r w:rsidRPr="003F267E">
        <w:rPr>
          <w:rFonts w:ascii="Times New Roman" w:hAnsi="Times New Roman"/>
        </w:rPr>
        <w:t xml:space="preserve"> a szimvasztatin napi </w:t>
      </w:r>
      <w:r w:rsidR="00F40A5F">
        <w:rPr>
          <w:rFonts w:ascii="Times New Roman" w:hAnsi="Times New Roman"/>
        </w:rPr>
        <w:t>dózis</w:t>
      </w:r>
      <w:r w:rsidR="00F40A5F" w:rsidRPr="003F267E">
        <w:rPr>
          <w:rFonts w:ascii="Times New Roman" w:hAnsi="Times New Roman"/>
        </w:rPr>
        <w:t xml:space="preserve">át </w:t>
      </w:r>
      <w:r w:rsidRPr="003F267E">
        <w:rPr>
          <w:rFonts w:ascii="Times New Roman" w:hAnsi="Times New Roman"/>
        </w:rPr>
        <w:t>20</w:t>
      </w:r>
      <w:r w:rsidR="005F24FF" w:rsidRPr="00CB6009">
        <w:rPr>
          <w:rFonts w:ascii="Times New Roman" w:hAnsi="Times New Roman"/>
        </w:rPr>
        <w:t> mg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ra kell csökkenteni.</w:t>
      </w:r>
    </w:p>
    <w:p w14:paraId="17C9FD0E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3AFDAEF8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Klinikai kölcsönhatás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vizsgálatokban az amlodipin nem befolyásolta az atorvasztatin, digoxin vagy warfarin farmakokinetikáját.</w:t>
      </w:r>
    </w:p>
    <w:p w14:paraId="312E325E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44F048F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4.6</w:t>
      </w:r>
      <w:r w:rsidRPr="00DC2ECE">
        <w:rPr>
          <w:rFonts w:ascii="Times New Roman" w:hAnsi="Times New Roman"/>
          <w:b/>
          <w:bCs/>
        </w:rPr>
        <w:tab/>
        <w:t>Termékenység, terhesség és szoptatás</w:t>
      </w:r>
    </w:p>
    <w:p w14:paraId="766EB591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03870CB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Terhesség</w:t>
      </w:r>
    </w:p>
    <w:p w14:paraId="604BCBA0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6CF9596" w14:textId="586FC751" w:rsidR="003D468D" w:rsidRPr="00DC2ECE" w:rsidRDefault="003D468D" w:rsidP="00C46D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alkalmazása a terhesség első trimeszterében nem javasolt, a második és harmadik trimeszterben pedig ellenjavallt.</w:t>
      </w:r>
    </w:p>
    <w:p w14:paraId="74AA7ADF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B38C5FB" w14:textId="4C6813D1" w:rsidR="003D468D" w:rsidRPr="00CB6009" w:rsidRDefault="001D5C13" w:rsidP="00C46DF0">
      <w:pPr>
        <w:widowControl w:val="0"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N</w:t>
      </w:r>
      <w:r w:rsidRPr="009F283C">
        <w:rPr>
          <w:rFonts w:ascii="Times New Roman" w:hAnsi="Times New Roman"/>
        </w:rPr>
        <w:t xml:space="preserve">em áll rendelkezésre </w:t>
      </w:r>
      <w:r>
        <w:rPr>
          <w:rFonts w:ascii="Times New Roman" w:hAnsi="Times New Roman"/>
        </w:rPr>
        <w:t>m</w:t>
      </w:r>
      <w:r w:rsidR="003D468D" w:rsidRPr="001D5C13">
        <w:rPr>
          <w:rFonts w:ascii="Times New Roman" w:hAnsi="Times New Roman"/>
        </w:rPr>
        <w:t xml:space="preserve">egfelelően kontrollált klinikai vizsgálatokból </w:t>
      </w:r>
      <w:r>
        <w:rPr>
          <w:rFonts w:ascii="Times New Roman" w:hAnsi="Times New Roman"/>
        </w:rPr>
        <w:t xml:space="preserve">származó </w:t>
      </w:r>
      <w:r w:rsidR="003D468D" w:rsidRPr="00DC2ECE">
        <w:rPr>
          <w:rFonts w:ascii="Times New Roman" w:hAnsi="Times New Roman"/>
        </w:rPr>
        <w:t>tapasztalat a lizinopril és az amlodipin terhes nőknél történő alkalmazásáról.</w:t>
      </w:r>
      <w:r w:rsidR="005F24FF" w:rsidRPr="00DC2ECE">
        <w:rPr>
          <w:rFonts w:ascii="Times New Roman" w:hAnsi="Times New Roman"/>
        </w:rPr>
        <w:t xml:space="preserve"> </w:t>
      </w:r>
      <w:r w:rsidR="003D468D" w:rsidRPr="00DC2ECE">
        <w:rPr>
          <w:rFonts w:ascii="Times New Roman" w:hAnsi="Times New Roman"/>
        </w:rPr>
        <w:t xml:space="preserve">Azonban a terhesség alatt a </w:t>
      </w:r>
      <w:r>
        <w:rPr>
          <w:rFonts w:ascii="Times New Roman" w:hAnsi="Times New Roman"/>
        </w:rPr>
        <w:t xml:space="preserve">két </w:t>
      </w:r>
      <w:r w:rsidR="003D468D" w:rsidRPr="001D5C13">
        <w:rPr>
          <w:rFonts w:ascii="Times New Roman" w:hAnsi="Times New Roman"/>
        </w:rPr>
        <w:t>hatóanyag vagy nem ajánlott vagy ellenjavallt (az egyes hatóanyagokra vonatkozó részletes adatokat lásd alább).</w:t>
      </w:r>
    </w:p>
    <w:p w14:paraId="5C100985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6E4A1D43" w14:textId="1881F1AA" w:rsidR="003D468D" w:rsidRPr="001D5C13" w:rsidRDefault="003D468D" w:rsidP="00C46DF0">
      <w:pPr>
        <w:widowControl w:val="0"/>
        <w:rPr>
          <w:rFonts w:ascii="Times New Roman" w:eastAsia="Times New Roman" w:hAnsi="Times New Roman"/>
        </w:rPr>
      </w:pPr>
      <w:r w:rsidRPr="0001485A">
        <w:rPr>
          <w:rFonts w:ascii="Times New Roman" w:hAnsi="Times New Roman"/>
        </w:rPr>
        <w:t>A</w:t>
      </w:r>
      <w:r w:rsidRPr="001D5C13">
        <w:rPr>
          <w:rFonts w:ascii="Times New Roman" w:hAnsi="Times New Roman"/>
        </w:rPr>
        <w:t xml:space="preserve"> </w:t>
      </w:r>
      <w:r w:rsidR="00542D70">
        <w:rPr>
          <w:rFonts w:ascii="Times New Roman" w:hAnsi="Times New Roman"/>
        </w:rPr>
        <w:t xml:space="preserve">Lisidipin </w:t>
      </w:r>
      <w:r w:rsidRPr="001D5C13">
        <w:rPr>
          <w:rFonts w:ascii="Times New Roman" w:hAnsi="Times New Roman"/>
        </w:rPr>
        <w:t>szedését azonnal abba kell hagyni, amennyiben terhességet állapítottak meg. Szükség esetén más, megfelelő kezelés</w:t>
      </w:r>
      <w:r w:rsidR="00A47B74">
        <w:rPr>
          <w:rFonts w:ascii="Times New Roman" w:hAnsi="Times New Roman"/>
        </w:rPr>
        <w:t>t kell elindítani</w:t>
      </w:r>
      <w:r w:rsidR="00F96391">
        <w:rPr>
          <w:rFonts w:ascii="Times New Roman" w:hAnsi="Times New Roman"/>
        </w:rPr>
        <w:t>.</w:t>
      </w:r>
      <w:r w:rsidRPr="001D5C13">
        <w:rPr>
          <w:rFonts w:ascii="Times New Roman" w:hAnsi="Times New Roman"/>
        </w:rPr>
        <w:t xml:space="preserve"> (lásd 4.4</w:t>
      </w:r>
      <w:r w:rsidR="005F24FF" w:rsidRPr="001D5C13">
        <w:rPr>
          <w:rFonts w:ascii="Times New Roman" w:hAnsi="Times New Roman"/>
        </w:rPr>
        <w:t> pont</w:t>
      </w:r>
      <w:r w:rsidRPr="001D5C13">
        <w:rPr>
          <w:rFonts w:ascii="Times New Roman" w:hAnsi="Times New Roman"/>
        </w:rPr>
        <w:t>).</w:t>
      </w:r>
    </w:p>
    <w:p w14:paraId="2C518D66" w14:textId="206EDCCD" w:rsidR="003D468D" w:rsidRPr="00DC2ECE" w:rsidRDefault="00B61158" w:rsidP="00C46DF0">
      <w:pPr>
        <w:widowControl w:val="0"/>
        <w:rPr>
          <w:rFonts w:ascii="Times New Roman" w:eastAsia="Times New Roman" w:hAnsi="Times New Roman"/>
        </w:rPr>
      </w:pPr>
      <w:r w:rsidRPr="00CB6009">
        <w:rPr>
          <w:rFonts w:ascii="Times New Roman" w:hAnsi="Times New Roman"/>
        </w:rPr>
        <w:t xml:space="preserve">A </w:t>
      </w:r>
      <w:r w:rsidR="00D54B44" w:rsidRPr="00D54B44">
        <w:rPr>
          <w:rFonts w:ascii="Times New Roman" w:hAnsi="Times New Roman"/>
        </w:rPr>
        <w:t>Lisi</w:t>
      </w:r>
      <w:r w:rsidR="00542D70">
        <w:rPr>
          <w:rFonts w:ascii="Times New Roman" w:hAnsi="Times New Roman"/>
        </w:rPr>
        <w:t>dipin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kezelés terhesség alatt nem kezdhető el. </w:t>
      </w:r>
      <w:r w:rsidRPr="00F40A5F">
        <w:rPr>
          <w:rFonts w:ascii="Times New Roman" w:hAnsi="Times New Roman"/>
        </w:rPr>
        <w:t>Ha</w:t>
      </w:r>
      <w:r w:rsidRPr="00DC2ECE">
        <w:rPr>
          <w:rFonts w:ascii="Times New Roman" w:hAnsi="Times New Roman"/>
        </w:rPr>
        <w:t xml:space="preserve"> 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tablettával történő folyamatos kezelés nem elengedhetetlen, a terhességet tervező betegeket más, olyan antihipertenzív kezelésre kell átállítani, melynek biztonságossága terhességben alátámasztott.</w:t>
      </w:r>
    </w:p>
    <w:p w14:paraId="4FAA57D9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54F8F8D9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 lizinoprillel kapcsolatosan</w:t>
      </w:r>
    </w:p>
    <w:p w14:paraId="6E6F6E94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3F20420" w14:textId="77777777" w:rsidR="003D468D" w:rsidRPr="00DC2ECE" w:rsidRDefault="003D468D" w:rsidP="00C46D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 alkalmazása a terhesség első trimeszterében nem javasolt (lásd 4.4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369509E1" w14:textId="58197671" w:rsidR="003D468D" w:rsidRPr="00DC2ECE" w:rsidRDefault="003D468D" w:rsidP="00C46D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 alkalmazása a második és </w:t>
      </w:r>
      <w:r w:rsidR="00F40A5F">
        <w:rPr>
          <w:rFonts w:ascii="Times New Roman" w:hAnsi="Times New Roman"/>
        </w:rPr>
        <w:t xml:space="preserve">a </w:t>
      </w:r>
      <w:r w:rsidRPr="00DC2ECE">
        <w:rPr>
          <w:rFonts w:ascii="Times New Roman" w:hAnsi="Times New Roman"/>
        </w:rPr>
        <w:t xml:space="preserve">harmadik trimeszterben </w:t>
      </w:r>
      <w:r w:rsidR="00F40A5F" w:rsidRPr="00DC2ECE">
        <w:rPr>
          <w:rFonts w:ascii="Times New Roman" w:hAnsi="Times New Roman"/>
        </w:rPr>
        <w:t xml:space="preserve">ellenjavallt </w:t>
      </w:r>
      <w:r w:rsidRPr="00DC2ECE">
        <w:rPr>
          <w:rFonts w:ascii="Times New Roman" w:hAnsi="Times New Roman"/>
        </w:rPr>
        <w:t>(lásd 4.3 és 4.4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0EA8D6CE" w14:textId="77777777" w:rsidR="003D468D" w:rsidRPr="00DC2ECE" w:rsidRDefault="003D468D" w:rsidP="00C46DF0">
      <w:pPr>
        <w:widowControl w:val="0"/>
        <w:autoSpaceDE w:val="0"/>
        <w:autoSpaceDN w:val="0"/>
        <w:adjustRightInd w:val="0"/>
        <w:rPr>
          <w:rFonts w:ascii="Times New Roman" w:hAnsi="Times New Roman"/>
          <w:lang w:val="en-GB"/>
        </w:rPr>
      </w:pPr>
    </w:p>
    <w:p w14:paraId="7E455D0C" w14:textId="0D3BD034" w:rsidR="003D468D" w:rsidRPr="00DC2ECE" w:rsidRDefault="003D468D" w:rsidP="00C46DF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első trimeszterben történő szedésével kapcsolatos</w:t>
      </w:r>
      <w:r w:rsidR="002F2261">
        <w:rPr>
          <w:rFonts w:ascii="Times New Roman" w:hAnsi="Times New Roman"/>
        </w:rPr>
        <w:t>,</w:t>
      </w:r>
      <w:r w:rsidRPr="002F2261">
        <w:rPr>
          <w:rFonts w:ascii="Times New Roman" w:hAnsi="Times New Roman"/>
        </w:rPr>
        <w:t xml:space="preserve"> teratogén kockázatra vonatkozó epidemiológiai bizonyíték nem egyértelmű, a kockázat kismértékű növekedése</w:t>
      </w:r>
      <w:r w:rsidRPr="0001485A">
        <w:rPr>
          <w:rFonts w:ascii="Times New Roman" w:hAnsi="Times New Roman"/>
        </w:rPr>
        <w:t xml:space="preserve"> azonban nem zárható ki. Hacsak az ACE</w:t>
      </w:r>
      <w:r w:rsidR="005F24FF" w:rsidRPr="0001485A">
        <w:rPr>
          <w:rFonts w:ascii="Times New Roman" w:hAnsi="Times New Roman"/>
        </w:rPr>
        <w:noBreakHyphen/>
      </w:r>
      <w:r w:rsidRPr="00C23EC0">
        <w:rPr>
          <w:rFonts w:ascii="Times New Roman" w:hAnsi="Times New Roman"/>
        </w:rPr>
        <w:t>gátlóval történő f</w:t>
      </w:r>
      <w:r w:rsidRPr="00406029">
        <w:rPr>
          <w:rFonts w:ascii="Times New Roman" w:hAnsi="Times New Roman"/>
        </w:rPr>
        <w:t>o</w:t>
      </w:r>
      <w:r w:rsidRPr="005401E2">
        <w:rPr>
          <w:rFonts w:ascii="Times New Roman" w:hAnsi="Times New Roman"/>
        </w:rPr>
        <w:t>lyamatos kezelés nem elengedhetetlen, a terhességet tervező betegeket más, olyan antihipertenzív kezelésre kell átállítani, melynek biztonságossága terhességben alátámasztott. Az ACE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 szedését azonnal abba kell hagyni, amennyiben terhességet állapítottak meg, és szükség esetén más, megfelelő kezelést kell elindítani.</w:t>
      </w:r>
    </w:p>
    <w:p w14:paraId="460F88C0" w14:textId="63E1C250" w:rsidR="003D468D" w:rsidRPr="00DC2ECE" w:rsidRDefault="003D468D" w:rsidP="00C46DF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Ismert, hogy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második és harmadik trimeszterben történő szedése embern</w:t>
      </w:r>
      <w:r w:rsidR="00F40A5F">
        <w:rPr>
          <w:rFonts w:ascii="Times New Roman" w:hAnsi="Times New Roman"/>
        </w:rPr>
        <w:t>él</w:t>
      </w:r>
      <w:r w:rsidRPr="00DC2ECE">
        <w:rPr>
          <w:rFonts w:ascii="Times New Roman" w:hAnsi="Times New Roman"/>
        </w:rPr>
        <w:t xml:space="preserve"> magzatkárosodást (csökkent veseműködés, oligohydramnion, a koponya csontosodásának visszamaradása) és újszülöttkori toxicitást (veseelégtelenség, hypotonia, hyperkalaemia) okoz (lásd 5.3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 Amennyiben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 szedése a terhesség második, illetve harmadik trimeszterében </w:t>
      </w:r>
      <w:r w:rsidRPr="00DC2ECE">
        <w:rPr>
          <w:rFonts w:ascii="Times New Roman" w:hAnsi="Times New Roman"/>
        </w:rPr>
        <w:lastRenderedPageBreak/>
        <w:t>történt, javasolt a veseműködés és a koponya ultrahangos ellenőrzése.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gátlót szedő anyák csecsemőit fokozottan kell vizsgálni a hypotonia esetleges kialakulása szempontjából (lásd 4.3 és 4.4</w:t>
      </w:r>
      <w:r w:rsidR="005F24FF" w:rsidRPr="00DC2ECE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5CFDFD19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6E38FA3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Az amlodipinnel kapcsolatosan</w:t>
      </w:r>
    </w:p>
    <w:p w14:paraId="330A14BE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24CA7D2A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Terhes nőknél az amlodipin biztonságosságát nem bizonyították.</w:t>
      </w:r>
    </w:p>
    <w:p w14:paraId="07307A52" w14:textId="66E85B2A" w:rsidR="003D468D" w:rsidRPr="00C23EC0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Állatkísérletekben </w:t>
      </w:r>
      <w:r w:rsidR="00E34737">
        <w:rPr>
          <w:rFonts w:ascii="Times New Roman" w:hAnsi="Times New Roman"/>
        </w:rPr>
        <w:t>nagy</w:t>
      </w:r>
      <w:r w:rsidR="00E34737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dózisok esetében reprodukció</w:t>
      </w:r>
      <w:r w:rsidR="0001485A">
        <w:rPr>
          <w:rFonts w:ascii="Times New Roman" w:hAnsi="Times New Roman"/>
        </w:rPr>
        <w:t>ra gyakorolt</w:t>
      </w:r>
      <w:r w:rsidRPr="0001485A">
        <w:rPr>
          <w:rFonts w:ascii="Times New Roman" w:hAnsi="Times New Roman"/>
        </w:rPr>
        <w:t xml:space="preserve"> toxicitást figyeltek meg (lásd 5.3</w:t>
      </w:r>
      <w:r w:rsidR="005F24FF" w:rsidRPr="0001485A">
        <w:rPr>
          <w:rFonts w:ascii="Times New Roman" w:hAnsi="Times New Roman"/>
        </w:rPr>
        <w:t> pont</w:t>
      </w:r>
      <w:r w:rsidRPr="0001485A">
        <w:rPr>
          <w:rFonts w:ascii="Times New Roman" w:hAnsi="Times New Roman"/>
        </w:rPr>
        <w:t>). Alkalmazása a terhesség ideje alatt csak akkor javasolt, ha nincs biztonságosabb alternatíva, és ha a betegség önmagában nagyobb kockázatot jelent a</w:t>
      </w:r>
      <w:r w:rsidRPr="00C23EC0">
        <w:rPr>
          <w:rFonts w:ascii="Times New Roman" w:hAnsi="Times New Roman"/>
        </w:rPr>
        <w:t>z anya és a magzat számára.</w:t>
      </w:r>
    </w:p>
    <w:p w14:paraId="69D148E5" w14:textId="77777777" w:rsidR="003D468D" w:rsidRPr="00CB6009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1CE6605F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Szoptatás</w:t>
      </w:r>
    </w:p>
    <w:p w14:paraId="4D0BD48F" w14:textId="77777777" w:rsidR="001A01BD" w:rsidRPr="00DC2ECE" w:rsidRDefault="001A01BD" w:rsidP="00C46DF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Nem áll rendelkezésre adat a lizinopril szoptatáskor történő alkalmazására vonatkozóan.</w:t>
      </w:r>
    </w:p>
    <w:p w14:paraId="59E646B1" w14:textId="197909C8" w:rsidR="001A01BD" w:rsidRPr="00DC2ECE" w:rsidRDefault="001A01BD" w:rsidP="00C46DF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kiválasztódik a humán anyatejbe. Becslések szerint a csecsemő által felvett dózis az anyai dózis 3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7%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os interkvartilis tartományában található, de legfeljebb 15%. Az amlodipin </w:t>
      </w:r>
      <w:r w:rsidR="008370A5" w:rsidRPr="00AC6DE8">
        <w:rPr>
          <w:rFonts w:ascii="Times New Roman" w:hAnsi="Times New Roman"/>
        </w:rPr>
        <w:t>csecsemő</w:t>
      </w:r>
      <w:r w:rsidR="008370A5">
        <w:rPr>
          <w:rFonts w:ascii="Times New Roman" w:hAnsi="Times New Roman"/>
        </w:rPr>
        <w:t>t érintő</w:t>
      </w:r>
      <w:r w:rsidR="008370A5" w:rsidRPr="00AC6DE8">
        <w:rPr>
          <w:rFonts w:ascii="Times New Roman" w:hAnsi="Times New Roman"/>
        </w:rPr>
        <w:t xml:space="preserve"> </w:t>
      </w:r>
      <w:r w:rsidRPr="008370A5">
        <w:rPr>
          <w:rFonts w:ascii="Times New Roman" w:hAnsi="Times New Roman"/>
        </w:rPr>
        <w:t xml:space="preserve">hatásai </w:t>
      </w:r>
      <w:r w:rsidRPr="00DC2ECE">
        <w:rPr>
          <w:rFonts w:ascii="Times New Roman" w:hAnsi="Times New Roman"/>
        </w:rPr>
        <w:t>nem ismertek.</w:t>
      </w:r>
    </w:p>
    <w:p w14:paraId="7232DED9" w14:textId="1E27340B" w:rsidR="003D468D" w:rsidRPr="00DC2ECE" w:rsidRDefault="001A01BD" w:rsidP="00C46DF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 xml:space="preserve">alkalmazása szoptatás alatt nem javasolt, </w:t>
      </w:r>
      <w:r w:rsidR="00F40A5F">
        <w:rPr>
          <w:rFonts w:ascii="Times New Roman" w:hAnsi="Times New Roman"/>
        </w:rPr>
        <w:t xml:space="preserve">a </w:t>
      </w:r>
      <w:r w:rsidRPr="00DC2ECE">
        <w:rPr>
          <w:rFonts w:ascii="Times New Roman" w:hAnsi="Times New Roman"/>
        </w:rPr>
        <w:t>szoptatás alatt ajánlott átállni olyan készítményre, melynek biztonságossági profilja jobban alátámasztott, különösen újszülöttek és koraszülöttek esetén.</w:t>
      </w:r>
    </w:p>
    <w:p w14:paraId="249C0FEA" w14:textId="77777777" w:rsidR="003D468D" w:rsidRPr="00DC2ECE" w:rsidRDefault="003D468D" w:rsidP="00C46DF0">
      <w:pPr>
        <w:widowControl w:val="0"/>
        <w:autoSpaceDE w:val="0"/>
        <w:autoSpaceDN w:val="0"/>
        <w:adjustRightInd w:val="0"/>
        <w:rPr>
          <w:rFonts w:ascii="Times New Roman" w:hAnsi="Times New Roman"/>
          <w:lang w:val="en-GB"/>
        </w:rPr>
      </w:pPr>
    </w:p>
    <w:p w14:paraId="121B38D6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Termékenység</w:t>
      </w:r>
    </w:p>
    <w:p w14:paraId="39601F64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</w:rPr>
        <w:t>Megfelelően kontrollált klinikai vizsgálatokból nem áll rendelkezésre tapasztalat a lizinopril és az amlodipin termékenységre gyakorolt hatásáról.</w:t>
      </w:r>
    </w:p>
    <w:p w14:paraId="37A11B44" w14:textId="77777777" w:rsidR="003D468D" w:rsidRPr="00DC2ECE" w:rsidRDefault="003D468D" w:rsidP="00C46DF0">
      <w:pPr>
        <w:widowControl w:val="0"/>
        <w:rPr>
          <w:rFonts w:ascii="Times New Roman" w:hAnsi="Times New Roman"/>
          <w:u w:val="single"/>
          <w:lang w:val="en-GB"/>
        </w:rPr>
      </w:pPr>
    </w:p>
    <w:p w14:paraId="3A9FD4AC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Az amlodipinnel kapcsolatosan</w:t>
      </w:r>
    </w:p>
    <w:p w14:paraId="20AEA394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6C6171E" w14:textId="61044D94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Kalciumcsatorna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blokkolókkal kezelt néhány beteg esetében a spermiumok fej</w:t>
      </w:r>
      <w:r w:rsidR="00F40A5F">
        <w:rPr>
          <w:rFonts w:ascii="Times New Roman" w:hAnsi="Times New Roman"/>
        </w:rPr>
        <w:t>i vég</w:t>
      </w:r>
      <w:r w:rsidRPr="00DC2ECE">
        <w:rPr>
          <w:rFonts w:ascii="Times New Roman" w:hAnsi="Times New Roman"/>
        </w:rPr>
        <w:t>ének reverz</w:t>
      </w:r>
      <w:r w:rsidR="00F40A5F">
        <w:rPr>
          <w:rFonts w:ascii="Times New Roman" w:hAnsi="Times New Roman"/>
        </w:rPr>
        <w:t>i</w:t>
      </w:r>
      <w:r w:rsidRPr="00DC2ECE">
        <w:rPr>
          <w:rFonts w:ascii="Times New Roman" w:hAnsi="Times New Roman"/>
        </w:rPr>
        <w:t>bilis biokémiai változásait figyelték meg. Az amlodipin termékenységre gyakorolt lehetséges hatásáról nincs elegendő klinikai adat. Egy patkánykísérletben, a hímek termékenység</w:t>
      </w:r>
      <w:r w:rsidR="008370A5">
        <w:rPr>
          <w:rFonts w:ascii="Times New Roman" w:hAnsi="Times New Roman"/>
        </w:rPr>
        <w:t>é</w:t>
      </w:r>
      <w:r w:rsidRPr="008370A5">
        <w:rPr>
          <w:rFonts w:ascii="Times New Roman" w:hAnsi="Times New Roman"/>
        </w:rPr>
        <w:t>re gyakorolt nemkívánatos hatást tapasztaltak (lásd 5.3</w:t>
      </w:r>
      <w:r w:rsidR="005F24FF" w:rsidRPr="00CB6009">
        <w:rPr>
          <w:rFonts w:ascii="Times New Roman" w:hAnsi="Times New Roman"/>
        </w:rPr>
        <w:t> pont</w:t>
      </w:r>
      <w:r w:rsidRPr="00DC2ECE">
        <w:rPr>
          <w:rFonts w:ascii="Times New Roman" w:hAnsi="Times New Roman"/>
        </w:rPr>
        <w:t>).</w:t>
      </w:r>
    </w:p>
    <w:p w14:paraId="5871B622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1D652732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b/>
          <w:bCs/>
        </w:rPr>
      </w:pPr>
      <w:r w:rsidRPr="00DC2ECE">
        <w:rPr>
          <w:rFonts w:ascii="Times New Roman" w:hAnsi="Times New Roman"/>
          <w:b/>
          <w:bCs/>
        </w:rPr>
        <w:t>4.7</w:t>
      </w:r>
      <w:r w:rsidRPr="00DC2ECE">
        <w:rPr>
          <w:rFonts w:ascii="Times New Roman" w:hAnsi="Times New Roman"/>
          <w:b/>
          <w:bCs/>
        </w:rPr>
        <w:tab/>
        <w:t>A készítmény hatásai a gépjárművezetéshez és a gépek kezeléséhez szükséges képességekre</w:t>
      </w:r>
    </w:p>
    <w:p w14:paraId="4C9D71C5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4F226CC8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 lizinoprillel kapcsolatosan</w:t>
      </w:r>
    </w:p>
    <w:p w14:paraId="76B402CE" w14:textId="7D2120D2" w:rsidR="003D468D" w:rsidRPr="00DC2ECE" w:rsidRDefault="003D468D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Gépjárművezetéskor és gépek kezelésekor </w:t>
      </w:r>
      <w:r w:rsidR="00F40A5F">
        <w:rPr>
          <w:rFonts w:ascii="Times New Roman" w:hAnsi="Times New Roman"/>
        </w:rPr>
        <w:t>figyelembe</w:t>
      </w:r>
      <w:r w:rsidRPr="00DC2ECE">
        <w:rPr>
          <w:rFonts w:ascii="Times New Roman" w:hAnsi="Times New Roman"/>
        </w:rPr>
        <w:t xml:space="preserve"> kell venni, hogy esetenként szédülés és fáradtság jelentkezhet.</w:t>
      </w:r>
    </w:p>
    <w:p w14:paraId="72DC83FB" w14:textId="77777777" w:rsidR="003D468D" w:rsidRPr="00DC2ECE" w:rsidRDefault="003D468D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10C02ACC" w14:textId="77777777" w:rsidR="003D468D" w:rsidRPr="00DC2ECE" w:rsidRDefault="003D468D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Az amlodipinnel kapcsolatosan</w:t>
      </w:r>
    </w:p>
    <w:p w14:paraId="37369C44" w14:textId="77777777" w:rsidR="003D468D" w:rsidRPr="00DC2ECE" w:rsidRDefault="003D468D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kismértékben vagy közepes mértékben befolyásolhatja a gépjárművezetéshez és a gépek kezeléséhez szükséges képességeket. Ha a beteg szédüléstől, fejfájástól, fáradtságtól vagy hányingertől szenved, reakciókészsége romolhat. Javasolt az elővigyázatosság, elsősorban a kezelés elején.</w:t>
      </w:r>
    </w:p>
    <w:p w14:paraId="4515B378" w14:textId="77777777" w:rsidR="003D468D" w:rsidRPr="00DC2ECE" w:rsidRDefault="003D468D" w:rsidP="00C46DF0">
      <w:pPr>
        <w:widowControl w:val="0"/>
        <w:rPr>
          <w:rFonts w:ascii="Times New Roman" w:hAnsi="Times New Roman"/>
          <w:lang w:val="en-GB"/>
        </w:rPr>
      </w:pPr>
    </w:p>
    <w:p w14:paraId="6C92E978" w14:textId="271B528F" w:rsidR="003D468D" w:rsidRPr="008370A5" w:rsidRDefault="008370A5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A f</w:t>
      </w:r>
      <w:r w:rsidR="003D468D" w:rsidRPr="008370A5">
        <w:rPr>
          <w:rFonts w:ascii="Times New Roman" w:hAnsi="Times New Roman"/>
        </w:rPr>
        <w:t xml:space="preserve">entiek alapján a </w:t>
      </w:r>
      <w:r w:rsidR="00542D70">
        <w:rPr>
          <w:rFonts w:ascii="Times New Roman" w:hAnsi="Times New Roman"/>
        </w:rPr>
        <w:t xml:space="preserve">Lisidipin </w:t>
      </w:r>
      <w:r w:rsidR="003D468D" w:rsidRPr="008370A5">
        <w:rPr>
          <w:rFonts w:ascii="Times New Roman" w:hAnsi="Times New Roman"/>
        </w:rPr>
        <w:t>befolyásolhatja a járművezet</w:t>
      </w:r>
      <w:r>
        <w:rPr>
          <w:rFonts w:ascii="Times New Roman" w:hAnsi="Times New Roman"/>
        </w:rPr>
        <w:t>éshez</w:t>
      </w:r>
      <w:r w:rsidR="003D468D" w:rsidRPr="008370A5">
        <w:rPr>
          <w:rFonts w:ascii="Times New Roman" w:hAnsi="Times New Roman"/>
        </w:rPr>
        <w:t xml:space="preserve"> és gép</w:t>
      </w:r>
      <w:r>
        <w:rPr>
          <w:rFonts w:ascii="Times New Roman" w:hAnsi="Times New Roman"/>
        </w:rPr>
        <w:t xml:space="preserve">ek </w:t>
      </w:r>
      <w:r w:rsidR="003D468D" w:rsidRPr="008370A5">
        <w:rPr>
          <w:rFonts w:ascii="Times New Roman" w:hAnsi="Times New Roman"/>
        </w:rPr>
        <w:t>kezel</w:t>
      </w:r>
      <w:r>
        <w:rPr>
          <w:rFonts w:ascii="Times New Roman" w:hAnsi="Times New Roman"/>
        </w:rPr>
        <w:t>éséhez szükséges</w:t>
      </w:r>
      <w:r w:rsidR="003D468D" w:rsidRPr="008370A5">
        <w:rPr>
          <w:rFonts w:ascii="Times New Roman" w:hAnsi="Times New Roman"/>
        </w:rPr>
        <w:t xml:space="preserve"> képességet (különösen a kezelés kezdeti szakaszában).</w:t>
      </w:r>
    </w:p>
    <w:p w14:paraId="5B13897E" w14:textId="77777777" w:rsidR="00342671" w:rsidRPr="00CB6009" w:rsidRDefault="00342671" w:rsidP="00C46DF0">
      <w:pPr>
        <w:widowControl w:val="0"/>
        <w:rPr>
          <w:rFonts w:ascii="Times New Roman" w:hAnsi="Times New Roman"/>
          <w:lang w:val="en-GB"/>
        </w:rPr>
      </w:pPr>
    </w:p>
    <w:p w14:paraId="178E8C01" w14:textId="77777777" w:rsidR="00342671" w:rsidRPr="00DC2ECE" w:rsidRDefault="00342671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4.8</w:t>
      </w:r>
      <w:r w:rsidRPr="00DC2ECE">
        <w:rPr>
          <w:rFonts w:ascii="Times New Roman" w:hAnsi="Times New Roman"/>
          <w:b/>
          <w:bCs/>
        </w:rPr>
        <w:tab/>
        <w:t>Nemkívánatos hatások, mellékhatások</w:t>
      </w:r>
    </w:p>
    <w:p w14:paraId="529DC50C" w14:textId="77777777" w:rsidR="00342671" w:rsidRPr="00DC2ECE" w:rsidRDefault="00342671" w:rsidP="00C46DF0">
      <w:pPr>
        <w:widowControl w:val="0"/>
        <w:rPr>
          <w:rFonts w:ascii="Times New Roman" w:hAnsi="Times New Roman"/>
          <w:lang w:val="en-GB"/>
        </w:rPr>
      </w:pPr>
    </w:p>
    <w:p w14:paraId="099D5087" w14:textId="1A90CAC8" w:rsidR="00D71790" w:rsidRPr="00DC2ECE" w:rsidRDefault="00D71790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Egy kontrollos klinikai vizsgálat (n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 xml:space="preserve">195) során a mellékhatások előfordulási gyakorisága nem volt magasabb a mindkét hatóanyagot </w:t>
      </w:r>
      <w:r w:rsidR="00C23EC0">
        <w:rPr>
          <w:rFonts w:ascii="Times New Roman" w:hAnsi="Times New Roman"/>
        </w:rPr>
        <w:t xml:space="preserve">egyidejűleg </w:t>
      </w:r>
      <w:r w:rsidRPr="00C23EC0">
        <w:rPr>
          <w:rFonts w:ascii="Times New Roman" w:hAnsi="Times New Roman"/>
        </w:rPr>
        <w:t xml:space="preserve">kapó résztvevőknél, mint a monoterápiában részesülő betegek esetében. A mellékhatások megegyeztek az amlodipin és/vagy a lizinopril alkalmazása során korábban már jelentettekkel. A mellékhatások általában enyhék, </w:t>
      </w:r>
      <w:r w:rsidR="004311F5">
        <w:rPr>
          <w:rFonts w:ascii="Times New Roman" w:hAnsi="Times New Roman"/>
        </w:rPr>
        <w:t>átmenetiek</w:t>
      </w:r>
      <w:r w:rsidRPr="00C23EC0">
        <w:rPr>
          <w:rFonts w:ascii="Times New Roman" w:hAnsi="Times New Roman"/>
        </w:rPr>
        <w:t xml:space="preserve"> voltak</w:t>
      </w:r>
      <w:r w:rsidRPr="00CB6009">
        <w:rPr>
          <w:rFonts w:ascii="Times New Roman" w:hAnsi="Times New Roman"/>
        </w:rPr>
        <w:t xml:space="preserve"> és ritkán tették szükségessé a kezelés abbahagyását. A leggyakoribb</w:t>
      </w:r>
      <w:r w:rsidRPr="00DC2ECE">
        <w:rPr>
          <w:rFonts w:ascii="Times New Roman" w:hAnsi="Times New Roman"/>
        </w:rPr>
        <w:t xml:space="preserve"> mellékhatások a kombináció alkalmazása esetén a fejfájás (8%), a köhögés (5%) és a szédülés (3%) voltak.</w:t>
      </w:r>
    </w:p>
    <w:p w14:paraId="7327057C" w14:textId="77777777" w:rsidR="00FB288B" w:rsidRPr="00DC2ECE" w:rsidRDefault="00FB288B" w:rsidP="00C46DF0">
      <w:pPr>
        <w:widowControl w:val="0"/>
        <w:rPr>
          <w:rFonts w:ascii="Times New Roman" w:hAnsi="Times New Roman"/>
          <w:lang w:val="en-GB"/>
        </w:rPr>
      </w:pPr>
    </w:p>
    <w:p w14:paraId="3B0A59F6" w14:textId="4514AFDC" w:rsidR="00D71790" w:rsidRPr="00C23EC0" w:rsidRDefault="00D71790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gyakoriságok meghatározása a következő: nagyon gyakori (≥1/10); gyakori (≥1/100 – &lt;1/10); nem gyakori (≥1/1000 – &lt;1/100); ritka (≥1/10 000 – &lt;1/1000); nagyon ritka (&lt;1/10 000), nem ismert (a </w:t>
      </w:r>
      <w:r w:rsidR="00C23EC0">
        <w:rPr>
          <w:rFonts w:ascii="Times New Roman" w:hAnsi="Times New Roman"/>
        </w:rPr>
        <w:lastRenderedPageBreak/>
        <w:t xml:space="preserve">gyakoriság a </w:t>
      </w:r>
      <w:r w:rsidRPr="00C23EC0">
        <w:rPr>
          <w:rFonts w:ascii="Times New Roman" w:hAnsi="Times New Roman"/>
        </w:rPr>
        <w:t>rendelkezésre álló adatokból nem állapítható meg). Az egyes gyakorisági kategóriákon belül a mellékhatások csökkenő súlyosság szerint kerülnek megadásra.</w:t>
      </w:r>
    </w:p>
    <w:p w14:paraId="172A0C36" w14:textId="77777777" w:rsidR="00A94A33" w:rsidRPr="00CB6009" w:rsidRDefault="00A94A33" w:rsidP="00C46DF0">
      <w:pPr>
        <w:widowControl w:val="0"/>
        <w:rPr>
          <w:rFonts w:ascii="Times New Roman" w:hAnsi="Times New Roman"/>
          <w:lang w:val="en-GB"/>
        </w:rPr>
      </w:pPr>
    </w:p>
    <w:p w14:paraId="43231EED" w14:textId="77777777" w:rsidR="00D71790" w:rsidRPr="00DC2ECE" w:rsidRDefault="00D71790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következő nemkívánatos gyógyszerhatásokról számoltak be a lizinoprillel és amlodipinnel külön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külön végzett kezelés során:</w:t>
      </w:r>
    </w:p>
    <w:p w14:paraId="3566437D" w14:textId="77777777" w:rsidR="00A94A33" w:rsidRPr="00DC2ECE" w:rsidRDefault="00A94A33" w:rsidP="00C46DF0">
      <w:pPr>
        <w:widowControl w:val="0"/>
        <w:rPr>
          <w:rFonts w:ascii="Times New Roman" w:hAnsi="Times New Roman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18"/>
        <w:gridCol w:w="2551"/>
        <w:gridCol w:w="2374"/>
      </w:tblGrid>
      <w:tr w:rsidR="00A2025E" w:rsidRPr="00DC2ECE" w14:paraId="51A788D4" w14:textId="77777777" w:rsidTr="00A2025E">
        <w:tc>
          <w:tcPr>
            <w:tcW w:w="2943" w:type="dxa"/>
            <w:shd w:val="clear" w:color="auto" w:fill="auto"/>
          </w:tcPr>
          <w:p w14:paraId="2F37E0A3" w14:textId="77777777" w:rsidR="00FD67A0" w:rsidRPr="00DC2ECE" w:rsidRDefault="00FD67A0" w:rsidP="001151A2">
            <w:pPr>
              <w:keepNext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Szervrendszer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0DB198F9" w14:textId="77777777" w:rsidR="00FD67A0" w:rsidRPr="00DC2ECE" w:rsidRDefault="00FD67A0" w:rsidP="001151A2">
            <w:pPr>
              <w:keepNext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Gyakoriság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auto"/>
          </w:tcPr>
          <w:p w14:paraId="082D7C2F" w14:textId="49381A00" w:rsidR="00E34737" w:rsidRDefault="00FD67A0" w:rsidP="00E34737">
            <w:pPr>
              <w:keepNext/>
              <w:rPr>
                <w:rFonts w:ascii="Times New Roman" w:hAnsi="Times New Roman"/>
                <w:b/>
                <w:bCs/>
              </w:rPr>
            </w:pPr>
            <w:r w:rsidRPr="00DC2ECE">
              <w:rPr>
                <w:rFonts w:ascii="Times New Roman" w:hAnsi="Times New Roman"/>
                <w:b/>
                <w:bCs/>
              </w:rPr>
              <w:t>Lizinopril</w:t>
            </w:r>
          </w:p>
          <w:p w14:paraId="71462E11" w14:textId="58852D73" w:rsidR="00FD67A0" w:rsidRPr="00C23EC0" w:rsidRDefault="00FD67A0" w:rsidP="00E34737">
            <w:pPr>
              <w:keepNext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mellékhatás</w:t>
            </w:r>
            <w:r w:rsidR="00C23EC0">
              <w:rPr>
                <w:rFonts w:ascii="Times New Roman" w:hAnsi="Times New Roman"/>
                <w:b/>
                <w:bCs/>
              </w:rPr>
              <w:t>ai</w:t>
            </w:r>
          </w:p>
        </w:tc>
        <w:tc>
          <w:tcPr>
            <w:tcW w:w="2374" w:type="dxa"/>
            <w:tcBorders>
              <w:bottom w:val="single" w:sz="4" w:space="0" w:color="000000"/>
            </w:tcBorders>
            <w:shd w:val="clear" w:color="auto" w:fill="auto"/>
          </w:tcPr>
          <w:p w14:paraId="2C62496C" w14:textId="48B1D3B0" w:rsidR="00FD67A0" w:rsidRPr="00C23EC0" w:rsidRDefault="00FD67A0" w:rsidP="001151A2">
            <w:pPr>
              <w:keepNext/>
              <w:rPr>
                <w:rFonts w:ascii="Times New Roman" w:hAnsi="Times New Roman"/>
                <w:b/>
              </w:rPr>
            </w:pPr>
            <w:r w:rsidRPr="00C23EC0">
              <w:rPr>
                <w:rFonts w:ascii="Times New Roman" w:hAnsi="Times New Roman"/>
                <w:b/>
                <w:bCs/>
              </w:rPr>
              <w:t xml:space="preserve">Amlodipin </w:t>
            </w:r>
            <w:r w:rsidRPr="00DC2ECE">
              <w:rPr>
                <w:rFonts w:ascii="Times New Roman" w:hAnsi="Times New Roman"/>
                <w:b/>
                <w:bCs/>
              </w:rPr>
              <w:t>mellékhatás</w:t>
            </w:r>
            <w:r w:rsidR="00C23EC0">
              <w:rPr>
                <w:rFonts w:ascii="Times New Roman" w:hAnsi="Times New Roman"/>
                <w:b/>
                <w:bCs/>
              </w:rPr>
              <w:t>ai</w:t>
            </w:r>
          </w:p>
        </w:tc>
      </w:tr>
      <w:tr w:rsidR="00A2025E" w:rsidRPr="00DC2ECE" w14:paraId="14D4AD3D" w14:textId="77777777" w:rsidTr="00A2025E">
        <w:tc>
          <w:tcPr>
            <w:tcW w:w="2943" w:type="dxa"/>
            <w:vMerge w:val="restart"/>
            <w:shd w:val="clear" w:color="auto" w:fill="auto"/>
          </w:tcPr>
          <w:p w14:paraId="233909A1" w14:textId="77777777" w:rsidR="003D468D" w:rsidRPr="0042224A" w:rsidRDefault="003D468D" w:rsidP="001151A2">
            <w:pPr>
              <w:keepNext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Vérképzőszervi és nyirokrendszeri betegségek és tünetek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E332C72" w14:textId="77777777" w:rsidR="003D468D" w:rsidRPr="00C23EC0" w:rsidRDefault="003D468D" w:rsidP="001151A2">
            <w:pPr>
              <w:keepNext/>
              <w:rPr>
                <w:rFonts w:ascii="Times New Roman" w:hAnsi="Times New Roman"/>
              </w:rPr>
            </w:pPr>
            <w:r w:rsidRPr="00C23EC0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6C3CEBC6" w14:textId="77777777" w:rsidR="003D468D" w:rsidRPr="00DC2ECE" w:rsidRDefault="00A676B7" w:rsidP="001151A2">
            <w:pPr>
              <w:keepNext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a hemoglobinszint csökkenése,</w:t>
            </w:r>
          </w:p>
          <w:p w14:paraId="782E0D60" w14:textId="77777777" w:rsidR="003D468D" w:rsidRPr="00DC2ECE" w:rsidRDefault="00A676B7" w:rsidP="001151A2">
            <w:pPr>
              <w:keepNext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 hematokritérték csökkenése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19C42539" w14:textId="77777777" w:rsidR="003D468D" w:rsidRPr="00DC2ECE" w:rsidRDefault="003D468D" w:rsidP="001151A2">
            <w:pPr>
              <w:keepNext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157119A8" w14:textId="77777777" w:rsidTr="00A2025E">
        <w:tc>
          <w:tcPr>
            <w:tcW w:w="2943" w:type="dxa"/>
            <w:vMerge/>
            <w:shd w:val="clear" w:color="auto" w:fill="auto"/>
          </w:tcPr>
          <w:p w14:paraId="3E06B31C" w14:textId="77777777" w:rsidR="003D468D" w:rsidRPr="00DC2ECE" w:rsidRDefault="003D468D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22120A9F" w14:textId="77777777" w:rsidR="003D468D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292E3A3F" w14:textId="77777777" w:rsidR="004938EB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csontvelő</w:t>
            </w:r>
            <w:r w:rsidR="005F24FF" w:rsidRPr="00DC2ECE">
              <w:rPr>
                <w:rFonts w:ascii="Times New Roman" w:hAnsi="Times New Roman"/>
              </w:rPr>
              <w:noBreakHyphen/>
            </w:r>
            <w:r w:rsidRPr="00DC2ECE">
              <w:rPr>
                <w:rFonts w:ascii="Times New Roman" w:hAnsi="Times New Roman"/>
              </w:rPr>
              <w:t>depressszió,</w:t>
            </w:r>
          </w:p>
          <w:p w14:paraId="6D7D5D79" w14:textId="77777777" w:rsidR="004938EB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agranulocytosis (lásd 4.4</w:t>
            </w:r>
            <w:r w:rsidR="005F24FF" w:rsidRPr="00DC2ECE">
              <w:rPr>
                <w:rFonts w:ascii="Times New Roman" w:hAnsi="Times New Roman"/>
              </w:rPr>
              <w:t> pont</w:t>
            </w:r>
            <w:r w:rsidRPr="00DC2ECE">
              <w:rPr>
                <w:rFonts w:ascii="Times New Roman" w:hAnsi="Times New Roman"/>
              </w:rPr>
              <w:t xml:space="preserve">), leukopenia, </w:t>
            </w:r>
          </w:p>
          <w:p w14:paraId="7D77DBF2" w14:textId="77777777" w:rsidR="004938EB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neutropenia,</w:t>
            </w:r>
          </w:p>
          <w:p w14:paraId="7A3DCFD1" w14:textId="77777777" w:rsidR="004938EB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thrombocytopenia,</w:t>
            </w:r>
          </w:p>
          <w:p w14:paraId="305A7D56" w14:textId="77777777" w:rsidR="004938EB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haemolyticus anaemia,</w:t>
            </w:r>
          </w:p>
          <w:p w14:paraId="1A872230" w14:textId="77777777" w:rsidR="004938EB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anaemia,</w:t>
            </w:r>
          </w:p>
          <w:p w14:paraId="4D374C06" w14:textId="77777777" w:rsidR="003D468D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lymphadenopathia,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auto"/>
          </w:tcPr>
          <w:p w14:paraId="5D6C720C" w14:textId="77777777" w:rsidR="003D468D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thrombocytopenia,</w:t>
            </w:r>
          </w:p>
          <w:p w14:paraId="24601778" w14:textId="77777777" w:rsidR="003D468D" w:rsidRPr="00DC2ECE" w:rsidRDefault="003D46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leukopenia</w:t>
            </w:r>
          </w:p>
        </w:tc>
      </w:tr>
      <w:tr w:rsidR="004906EC" w:rsidRPr="00DC2ECE" w14:paraId="77B9DC35" w14:textId="77777777" w:rsidTr="00A2025E">
        <w:tc>
          <w:tcPr>
            <w:tcW w:w="2943" w:type="dxa"/>
            <w:vMerge w:val="restart"/>
            <w:shd w:val="clear" w:color="auto" w:fill="auto"/>
          </w:tcPr>
          <w:p w14:paraId="2EF20B50" w14:textId="77777777" w:rsidR="004906EC" w:rsidRPr="0042224A" w:rsidRDefault="004906EC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Immunrendszeri betegségek és tünetek</w:t>
            </w:r>
          </w:p>
        </w:tc>
        <w:tc>
          <w:tcPr>
            <w:tcW w:w="1418" w:type="dxa"/>
            <w:shd w:val="clear" w:color="auto" w:fill="auto"/>
          </w:tcPr>
          <w:p w14:paraId="16A8C844" w14:textId="77777777" w:rsidR="004906EC" w:rsidRPr="00DC2ECE" w:rsidRDefault="004906EC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shd w:val="clear" w:color="auto" w:fill="auto"/>
          </w:tcPr>
          <w:p w14:paraId="6417A820" w14:textId="77777777" w:rsidR="004906EC" w:rsidRPr="00DC2ECE" w:rsidRDefault="004906EC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autoimmun betegségek</w:t>
            </w:r>
          </w:p>
        </w:tc>
        <w:tc>
          <w:tcPr>
            <w:tcW w:w="2374" w:type="dxa"/>
            <w:shd w:val="clear" w:color="auto" w:fill="auto"/>
          </w:tcPr>
          <w:p w14:paraId="7A99C224" w14:textId="77777777" w:rsidR="004906EC" w:rsidRPr="00DC2ECE" w:rsidRDefault="004906EC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allergiás reakciók</w:t>
            </w:r>
          </w:p>
        </w:tc>
      </w:tr>
      <w:tr w:rsidR="004906EC" w:rsidRPr="00DC2ECE" w14:paraId="3785D270" w14:textId="77777777" w:rsidTr="00A2025E">
        <w:tc>
          <w:tcPr>
            <w:tcW w:w="2943" w:type="dxa"/>
            <w:vMerge/>
            <w:shd w:val="clear" w:color="auto" w:fill="auto"/>
          </w:tcPr>
          <w:p w14:paraId="3041C448" w14:textId="77777777" w:rsidR="004906EC" w:rsidRPr="00DC2ECE" w:rsidRDefault="004906EC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shd w:val="clear" w:color="auto" w:fill="auto"/>
          </w:tcPr>
          <w:p w14:paraId="6613CEB4" w14:textId="77777777" w:rsidR="004906EC" w:rsidRPr="00DC2ECE" w:rsidRDefault="004906EC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ismert</w:t>
            </w:r>
          </w:p>
        </w:tc>
        <w:tc>
          <w:tcPr>
            <w:tcW w:w="2551" w:type="dxa"/>
            <w:shd w:val="clear" w:color="auto" w:fill="auto"/>
          </w:tcPr>
          <w:p w14:paraId="20EDB359" w14:textId="77777777" w:rsidR="004906EC" w:rsidRPr="00DC2ECE" w:rsidRDefault="006F63EC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anafilaxiás/anafilaktoid reakció</w:t>
            </w:r>
          </w:p>
        </w:tc>
        <w:tc>
          <w:tcPr>
            <w:tcW w:w="2374" w:type="dxa"/>
            <w:shd w:val="clear" w:color="auto" w:fill="auto"/>
          </w:tcPr>
          <w:p w14:paraId="5A061CA5" w14:textId="77777777" w:rsidR="004906EC" w:rsidRPr="00DC2ECE" w:rsidRDefault="004906EC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0A6F54BD" w14:textId="77777777" w:rsidTr="00A2025E">
        <w:tc>
          <w:tcPr>
            <w:tcW w:w="2943" w:type="dxa"/>
            <w:shd w:val="clear" w:color="auto" w:fill="auto"/>
          </w:tcPr>
          <w:p w14:paraId="23E6ED21" w14:textId="77777777" w:rsidR="00FD67A0" w:rsidRPr="0042224A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Endokrin betegségek és tünetek</w:t>
            </w:r>
          </w:p>
        </w:tc>
        <w:tc>
          <w:tcPr>
            <w:tcW w:w="1418" w:type="dxa"/>
            <w:shd w:val="clear" w:color="auto" w:fill="auto"/>
          </w:tcPr>
          <w:p w14:paraId="6D23C7AE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shd w:val="clear" w:color="auto" w:fill="auto"/>
          </w:tcPr>
          <w:p w14:paraId="10B03D00" w14:textId="4F16D8F9" w:rsidR="00FD67A0" w:rsidRPr="00DC2ECE" w:rsidRDefault="006522A6" w:rsidP="006522A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nem megfelelő</w:t>
            </w:r>
            <w:r w:rsidRPr="006522A6">
              <w:rPr>
                <w:rFonts w:ascii="Times New Roman" w:hAnsi="Times New Roman"/>
              </w:rPr>
              <w:t xml:space="preserve"> </w:t>
            </w:r>
            <w:r w:rsidR="00FD67A0" w:rsidRPr="006522A6">
              <w:rPr>
                <w:rFonts w:ascii="Times New Roman" w:hAnsi="Times New Roman"/>
              </w:rPr>
              <w:t>antidiuretikushormon</w:t>
            </w:r>
            <w:r>
              <w:rPr>
                <w:rFonts w:ascii="Times New Roman" w:hAnsi="Times New Roman"/>
              </w:rPr>
              <w:t>-termelés</w:t>
            </w:r>
            <w:r w:rsidR="00FD67A0" w:rsidRPr="006522A6">
              <w:rPr>
                <w:rFonts w:ascii="Times New Roman" w:hAnsi="Times New Roman"/>
              </w:rPr>
              <w:t xml:space="preserve"> szindróma</w:t>
            </w:r>
            <w:r w:rsidR="00FD67A0" w:rsidRPr="00DC2ECE">
              <w:rPr>
                <w:rFonts w:ascii="Times New Roman" w:hAnsi="Times New Roman"/>
              </w:rPr>
              <w:t xml:space="preserve"> (SIADH)</w:t>
            </w:r>
          </w:p>
        </w:tc>
        <w:tc>
          <w:tcPr>
            <w:tcW w:w="2374" w:type="dxa"/>
            <w:shd w:val="clear" w:color="auto" w:fill="auto"/>
          </w:tcPr>
          <w:p w14:paraId="5420D3E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66DCF255" w14:textId="77777777" w:rsidTr="00A2025E">
        <w:tc>
          <w:tcPr>
            <w:tcW w:w="2943" w:type="dxa"/>
            <w:shd w:val="clear" w:color="auto" w:fill="auto"/>
          </w:tcPr>
          <w:p w14:paraId="6C129320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Anyagcsere</w:t>
            </w:r>
            <w:r w:rsidR="005F24FF" w:rsidRPr="00DC2ECE">
              <w:rPr>
                <w:rFonts w:ascii="Times New Roman" w:hAnsi="Times New Roman"/>
                <w:b/>
                <w:bCs/>
              </w:rPr>
              <w:noBreakHyphen/>
            </w:r>
            <w:r w:rsidRPr="0042224A">
              <w:rPr>
                <w:rFonts w:ascii="Times New Roman" w:hAnsi="Times New Roman"/>
                <w:b/>
                <w:bCs/>
              </w:rPr>
              <w:t xml:space="preserve"> és táplálkozási betegségek és tünetek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1FA322D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auto"/>
          </w:tcPr>
          <w:p w14:paraId="507D7C62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hypoglykaemia</w:t>
            </w:r>
          </w:p>
        </w:tc>
        <w:tc>
          <w:tcPr>
            <w:tcW w:w="2374" w:type="dxa"/>
            <w:tcBorders>
              <w:bottom w:val="single" w:sz="4" w:space="0" w:color="000000"/>
            </w:tcBorders>
            <w:shd w:val="clear" w:color="auto" w:fill="auto"/>
          </w:tcPr>
          <w:p w14:paraId="79199E5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hyperglykaemia</w:t>
            </w:r>
          </w:p>
        </w:tc>
      </w:tr>
      <w:tr w:rsidR="00A2025E" w:rsidRPr="00DC2ECE" w14:paraId="202E1E5A" w14:textId="77777777" w:rsidTr="00A2025E">
        <w:tc>
          <w:tcPr>
            <w:tcW w:w="2943" w:type="dxa"/>
            <w:vMerge w:val="restart"/>
            <w:shd w:val="clear" w:color="auto" w:fill="auto"/>
          </w:tcPr>
          <w:p w14:paraId="454988A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Pszichiátriai kórképek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10C96CF" w14:textId="77777777" w:rsidR="00FD67A0" w:rsidRPr="00DB3BB5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42224A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4B024DC1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hangulatváltozás, alvászavarok,</w:t>
            </w:r>
          </w:p>
          <w:p w14:paraId="326DB4B0" w14:textId="77777777" w:rsidR="00FD67A0" w:rsidRPr="00DC2ECE" w:rsidRDefault="009842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hallucináció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35B99A08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álmatlanság,</w:t>
            </w:r>
          </w:p>
          <w:p w14:paraId="2C56F36F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hangulatváltozások (beleértve a szorongást),</w:t>
            </w:r>
          </w:p>
          <w:p w14:paraId="1EC5AA97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depresszió</w:t>
            </w:r>
          </w:p>
        </w:tc>
      </w:tr>
      <w:tr w:rsidR="00A2025E" w:rsidRPr="00DC2ECE" w14:paraId="05F104B0" w14:textId="77777777" w:rsidTr="00A2025E">
        <w:tc>
          <w:tcPr>
            <w:tcW w:w="2943" w:type="dxa"/>
            <w:vMerge/>
            <w:shd w:val="clear" w:color="auto" w:fill="auto"/>
          </w:tcPr>
          <w:p w14:paraId="244F1EB7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5A18E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7A98F5" w14:textId="3A8EB6FA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ment</w:t>
            </w:r>
            <w:r w:rsidR="004311F5">
              <w:rPr>
                <w:rFonts w:ascii="Times New Roman" w:hAnsi="Times New Roman"/>
              </w:rPr>
              <w:t>á</w:t>
            </w:r>
            <w:r w:rsidRPr="00DC2ECE">
              <w:rPr>
                <w:rFonts w:ascii="Times New Roman" w:hAnsi="Times New Roman"/>
              </w:rPr>
              <w:t>lis zavartság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4AC194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zavartság</w:t>
            </w:r>
          </w:p>
        </w:tc>
      </w:tr>
      <w:tr w:rsidR="00A2025E" w:rsidRPr="00DC2ECE" w14:paraId="36AB565C" w14:textId="77777777" w:rsidTr="00A2025E">
        <w:tc>
          <w:tcPr>
            <w:tcW w:w="2943" w:type="dxa"/>
            <w:vMerge/>
            <w:shd w:val="clear" w:color="auto" w:fill="auto"/>
          </w:tcPr>
          <w:p w14:paraId="0A4D9714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DA98426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 xml:space="preserve">Nem ismert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4B3F9440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depresszió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61272B0C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5F9C9870" w14:textId="77777777" w:rsidTr="00A2025E">
        <w:tc>
          <w:tcPr>
            <w:tcW w:w="2943" w:type="dxa"/>
            <w:vMerge w:val="restart"/>
            <w:shd w:val="clear" w:color="auto" w:fill="auto"/>
          </w:tcPr>
          <w:p w14:paraId="661CC995" w14:textId="77777777" w:rsidR="00FD67A0" w:rsidRPr="0042224A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Idegrendszeri betegségek és tünetek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14:paraId="796E41E0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Gyakori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auto"/>
          </w:tcPr>
          <w:p w14:paraId="15E22C08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szédülés,</w:t>
            </w:r>
          </w:p>
          <w:p w14:paraId="20BFF9E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fejfájás</w:t>
            </w:r>
          </w:p>
        </w:tc>
        <w:tc>
          <w:tcPr>
            <w:tcW w:w="2374" w:type="dxa"/>
            <w:tcBorders>
              <w:bottom w:val="nil"/>
            </w:tcBorders>
            <w:shd w:val="clear" w:color="auto" w:fill="auto"/>
          </w:tcPr>
          <w:p w14:paraId="7FE332A9" w14:textId="100E6B97" w:rsidR="004938EB" w:rsidRPr="00DC2ECE" w:rsidRDefault="004311F5" w:rsidP="00C46DF0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álmos</w:t>
            </w:r>
            <w:r w:rsidR="00FD67A0" w:rsidRPr="00DC2ECE">
              <w:rPr>
                <w:rFonts w:ascii="Times New Roman" w:hAnsi="Times New Roman"/>
              </w:rPr>
              <w:t>ság,</w:t>
            </w:r>
          </w:p>
          <w:p w14:paraId="4A1B877D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szédülés,</w:t>
            </w:r>
          </w:p>
          <w:p w14:paraId="1D299743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fejfájás (különösen a kezelés kezdetén)</w:t>
            </w:r>
          </w:p>
        </w:tc>
      </w:tr>
      <w:tr w:rsidR="00A2025E" w:rsidRPr="00DC2ECE" w14:paraId="173B9CCA" w14:textId="77777777" w:rsidTr="00A2025E">
        <w:tc>
          <w:tcPr>
            <w:tcW w:w="2943" w:type="dxa"/>
            <w:vMerge/>
            <w:shd w:val="clear" w:color="auto" w:fill="auto"/>
          </w:tcPr>
          <w:p w14:paraId="1590FC3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29C484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64EEAB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vertigo,</w:t>
            </w:r>
          </w:p>
          <w:p w14:paraId="2A24F38F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paraesthesia,</w:t>
            </w:r>
          </w:p>
          <w:p w14:paraId="66A07BD4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dysgeusia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BB6DC6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ájulás</w:t>
            </w:r>
          </w:p>
          <w:p w14:paraId="726F2523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tremor,</w:t>
            </w:r>
          </w:p>
          <w:p w14:paraId="2CF0923F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dysgeusia,</w:t>
            </w:r>
          </w:p>
          <w:p w14:paraId="24274F55" w14:textId="77777777" w:rsidR="004938EB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hypaesthesia,</w:t>
            </w:r>
          </w:p>
          <w:p w14:paraId="131B3E8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paraesthesia</w:t>
            </w:r>
          </w:p>
        </w:tc>
      </w:tr>
      <w:tr w:rsidR="00A2025E" w:rsidRPr="00DC2ECE" w14:paraId="7EECA3F0" w14:textId="77777777" w:rsidTr="00A2025E">
        <w:tc>
          <w:tcPr>
            <w:tcW w:w="2943" w:type="dxa"/>
            <w:vMerge/>
            <w:shd w:val="clear" w:color="auto" w:fill="auto"/>
          </w:tcPr>
          <w:p w14:paraId="64FAA4A2" w14:textId="77777777" w:rsidR="0098428D" w:rsidRPr="00DC2ECE" w:rsidRDefault="0098428D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8ABDFA" w14:textId="77777777" w:rsidR="0098428D" w:rsidRPr="00DC2ECE" w:rsidRDefault="009842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A72BF0" w14:textId="77777777" w:rsidR="0098428D" w:rsidRPr="00DC2ECE" w:rsidRDefault="009842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parosmia (szagérzés zavara)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4D6370" w14:textId="77777777" w:rsidR="0098428D" w:rsidRPr="00DC2ECE" w:rsidRDefault="0098428D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7FB3E344" w14:textId="77777777" w:rsidTr="00A2025E">
        <w:tc>
          <w:tcPr>
            <w:tcW w:w="2943" w:type="dxa"/>
            <w:vMerge/>
            <w:shd w:val="clear" w:color="auto" w:fill="auto"/>
          </w:tcPr>
          <w:p w14:paraId="575A2FBD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E641B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751F4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3E5119" w14:textId="77777777" w:rsidR="004938EB" w:rsidRPr="00DC2ECE" w:rsidRDefault="004066E3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fokozott izomtónus</w:t>
            </w:r>
          </w:p>
          <w:p w14:paraId="12B9DF30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perifériás neuropathia</w:t>
            </w:r>
          </w:p>
        </w:tc>
      </w:tr>
      <w:tr w:rsidR="00A2025E" w:rsidRPr="00DC2ECE" w14:paraId="37814C70" w14:textId="77777777" w:rsidTr="00A2025E">
        <w:tc>
          <w:tcPr>
            <w:tcW w:w="2943" w:type="dxa"/>
            <w:vMerge/>
            <w:shd w:val="clear" w:color="auto" w:fill="auto"/>
          </w:tcPr>
          <w:p w14:paraId="332295B3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50D5C061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ismert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3342269A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ájulás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auto"/>
          </w:tcPr>
          <w:p w14:paraId="0BCFA1DD" w14:textId="77777777" w:rsidR="00FD67A0" w:rsidRPr="00DC2ECE" w:rsidRDefault="00A86B05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extrapyramidalis zavar</w:t>
            </w:r>
          </w:p>
        </w:tc>
      </w:tr>
      <w:tr w:rsidR="00A2025E" w:rsidRPr="00DC2ECE" w14:paraId="599DCD36" w14:textId="77777777" w:rsidTr="00A2025E">
        <w:tc>
          <w:tcPr>
            <w:tcW w:w="2943" w:type="dxa"/>
            <w:shd w:val="clear" w:color="auto" w:fill="auto"/>
          </w:tcPr>
          <w:p w14:paraId="765E4485" w14:textId="77777777" w:rsidR="00FD67A0" w:rsidRPr="0042224A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Szembetegségek és szemészeti tünetek:</w:t>
            </w:r>
          </w:p>
        </w:tc>
        <w:tc>
          <w:tcPr>
            <w:tcW w:w="1418" w:type="dxa"/>
            <w:shd w:val="clear" w:color="auto" w:fill="auto"/>
          </w:tcPr>
          <w:p w14:paraId="1977885F" w14:textId="77777777" w:rsidR="00FD67A0" w:rsidRPr="00DC2ECE" w:rsidRDefault="00445BDC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Gyakori</w:t>
            </w:r>
          </w:p>
        </w:tc>
        <w:tc>
          <w:tcPr>
            <w:tcW w:w="2551" w:type="dxa"/>
            <w:shd w:val="clear" w:color="auto" w:fill="auto"/>
          </w:tcPr>
          <w:p w14:paraId="19B76747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shd w:val="clear" w:color="auto" w:fill="auto"/>
          </w:tcPr>
          <w:p w14:paraId="2C01BC33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látászavarok (beleértve a kettőslátást is)</w:t>
            </w:r>
          </w:p>
        </w:tc>
      </w:tr>
      <w:tr w:rsidR="00A2025E" w:rsidRPr="00DC2ECE" w14:paraId="5E1F4479" w14:textId="77777777" w:rsidTr="00A2025E">
        <w:tc>
          <w:tcPr>
            <w:tcW w:w="2943" w:type="dxa"/>
            <w:shd w:val="clear" w:color="auto" w:fill="auto"/>
          </w:tcPr>
          <w:p w14:paraId="15D684E9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A fül és az egyensúly</w:t>
            </w:r>
            <w:r w:rsidR="005F24FF" w:rsidRPr="0042224A">
              <w:rPr>
                <w:rFonts w:ascii="Times New Roman" w:hAnsi="Times New Roman"/>
                <w:b/>
                <w:bCs/>
              </w:rPr>
              <w:noBreakHyphen/>
            </w:r>
            <w:r w:rsidRPr="00D66E5C">
              <w:rPr>
                <w:rFonts w:ascii="Times New Roman" w:hAnsi="Times New Roman"/>
                <w:b/>
                <w:bCs/>
              </w:rPr>
              <w:t>érzékelő szerv betegségei és tünetei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61B58E86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auto"/>
          </w:tcPr>
          <w:p w14:paraId="0D298725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bottom w:val="single" w:sz="4" w:space="0" w:color="000000"/>
            </w:tcBorders>
            <w:shd w:val="clear" w:color="auto" w:fill="auto"/>
          </w:tcPr>
          <w:p w14:paraId="0D324F77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tinnitus</w:t>
            </w:r>
          </w:p>
        </w:tc>
      </w:tr>
      <w:tr w:rsidR="00A2025E" w:rsidRPr="00DC2ECE" w14:paraId="6D6E8F67" w14:textId="77777777" w:rsidTr="00A2025E">
        <w:tc>
          <w:tcPr>
            <w:tcW w:w="2943" w:type="dxa"/>
            <w:vMerge w:val="restart"/>
            <w:shd w:val="clear" w:color="auto" w:fill="auto"/>
          </w:tcPr>
          <w:p w14:paraId="7092B14B" w14:textId="77777777" w:rsidR="00FD67A0" w:rsidRPr="0042224A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Szívbetegségek és a szívvel kapcsolatos tünetek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6A87432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Gy</w:t>
            </w:r>
            <w:r w:rsidRPr="00DC2ECE">
              <w:rPr>
                <w:rFonts w:ascii="Times New Roman" w:hAnsi="Times New Roman"/>
              </w:rPr>
              <w:t>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477E7602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59820E61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palpitatio</w:t>
            </w:r>
          </w:p>
        </w:tc>
      </w:tr>
      <w:tr w:rsidR="00A2025E" w:rsidRPr="00DC2ECE" w14:paraId="56C829A0" w14:textId="77777777" w:rsidTr="00A2025E">
        <w:tc>
          <w:tcPr>
            <w:tcW w:w="2943" w:type="dxa"/>
            <w:vMerge/>
            <w:shd w:val="clear" w:color="auto" w:fill="auto"/>
          </w:tcPr>
          <w:p w14:paraId="45805F66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D8A4FE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3E956A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myocardialis infarctus,</w:t>
            </w:r>
          </w:p>
          <w:p w14:paraId="2DF6E7FD" w14:textId="4CAC3F0C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lastRenderedPageBreak/>
              <w:t>feltehetően a túlzott hypot</w:t>
            </w:r>
            <w:r w:rsidR="004311F5">
              <w:rPr>
                <w:rFonts w:ascii="Times New Roman" w:hAnsi="Times New Roman"/>
              </w:rPr>
              <w:t>onia</w:t>
            </w:r>
            <w:r w:rsidRPr="00DC2ECE">
              <w:rPr>
                <w:rFonts w:ascii="Times New Roman" w:hAnsi="Times New Roman"/>
              </w:rPr>
              <w:t xml:space="preserve"> következménye a nagy </w:t>
            </w:r>
            <w:r w:rsidR="004311F5">
              <w:rPr>
                <w:rFonts w:ascii="Times New Roman" w:hAnsi="Times New Roman"/>
              </w:rPr>
              <w:t>kockázat</w:t>
            </w:r>
            <w:r w:rsidR="004311F5" w:rsidRPr="00DC2ECE">
              <w:rPr>
                <w:rFonts w:ascii="Times New Roman" w:hAnsi="Times New Roman"/>
              </w:rPr>
              <w:t xml:space="preserve">ú </w:t>
            </w:r>
            <w:r w:rsidRPr="00DC2ECE">
              <w:rPr>
                <w:rFonts w:ascii="Times New Roman" w:hAnsi="Times New Roman"/>
              </w:rPr>
              <w:t>betegeknél (lásd 4.4</w:t>
            </w:r>
            <w:r w:rsidR="005F24FF" w:rsidRPr="00DC2ECE">
              <w:rPr>
                <w:rFonts w:ascii="Times New Roman" w:hAnsi="Times New Roman"/>
              </w:rPr>
              <w:t> pont</w:t>
            </w:r>
            <w:r w:rsidRPr="00DC2ECE">
              <w:rPr>
                <w:rFonts w:ascii="Times New Roman" w:hAnsi="Times New Roman"/>
              </w:rPr>
              <w:t>),</w:t>
            </w:r>
          </w:p>
          <w:p w14:paraId="742E9EA3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tachycardia,</w:t>
            </w:r>
          </w:p>
          <w:p w14:paraId="3B88C93A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palpitatio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9C9336" w14:textId="77777777" w:rsidR="00FD67A0" w:rsidRPr="00DC2ECE" w:rsidRDefault="002E5DB1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lastRenderedPageBreak/>
              <w:t xml:space="preserve">arrhythmiák </w:t>
            </w:r>
            <w:r w:rsidRPr="00DC2ECE">
              <w:rPr>
                <w:rFonts w:ascii="Times New Roman" w:hAnsi="Times New Roman"/>
              </w:rPr>
              <w:lastRenderedPageBreak/>
              <w:t>(bradycardia, kamrai tachycardia és pitvarfibrilláció)</w:t>
            </w:r>
          </w:p>
        </w:tc>
      </w:tr>
      <w:tr w:rsidR="00A2025E" w:rsidRPr="00DC2ECE" w14:paraId="68AB4CAA" w14:textId="77777777" w:rsidTr="00A2025E">
        <w:tc>
          <w:tcPr>
            <w:tcW w:w="2943" w:type="dxa"/>
            <w:vMerge/>
            <w:shd w:val="clear" w:color="auto" w:fill="auto"/>
          </w:tcPr>
          <w:p w14:paraId="57F1C301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70D2DC12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64518F2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27EDCBAC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myocardialis infarctus</w:t>
            </w:r>
          </w:p>
        </w:tc>
      </w:tr>
      <w:tr w:rsidR="00A2025E" w:rsidRPr="00DC2ECE" w14:paraId="0FF71525" w14:textId="77777777" w:rsidTr="00A2025E">
        <w:tc>
          <w:tcPr>
            <w:tcW w:w="2943" w:type="dxa"/>
            <w:vMerge w:val="restart"/>
            <w:shd w:val="clear" w:color="auto" w:fill="auto"/>
          </w:tcPr>
          <w:p w14:paraId="0EA9050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Érbetegségek és tünetek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532AD45" w14:textId="77777777" w:rsidR="00FD67A0" w:rsidRPr="00DB3BB5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42224A">
              <w:rPr>
                <w:rFonts w:ascii="Times New Roman" w:hAnsi="Times New Roman"/>
              </w:rPr>
              <w:t>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042DEDBD" w14:textId="467C3651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orthostaticus hatás</w:t>
            </w:r>
            <w:r w:rsidR="004311F5">
              <w:rPr>
                <w:rFonts w:ascii="Times New Roman" w:hAnsi="Times New Roman"/>
              </w:rPr>
              <w:t>ok</w:t>
            </w:r>
            <w:r w:rsidRPr="00CB6009">
              <w:rPr>
                <w:rFonts w:ascii="Times New Roman" w:hAnsi="Times New Roman"/>
              </w:rPr>
              <w:t xml:space="preserve"> (a hypotoniát is beleért</w:t>
            </w:r>
            <w:r w:rsidRPr="00DC2ECE">
              <w:rPr>
                <w:rFonts w:ascii="Times New Roman" w:hAnsi="Times New Roman"/>
              </w:rPr>
              <w:t>ve)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71060B94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kipirulás</w:t>
            </w:r>
          </w:p>
        </w:tc>
      </w:tr>
      <w:tr w:rsidR="00A2025E" w:rsidRPr="00DC2ECE" w14:paraId="70F77E40" w14:textId="77777777" w:rsidTr="00A2025E">
        <w:tc>
          <w:tcPr>
            <w:tcW w:w="2943" w:type="dxa"/>
            <w:vMerge/>
            <w:shd w:val="clear" w:color="auto" w:fill="auto"/>
          </w:tcPr>
          <w:p w14:paraId="14F2E0F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AD4A3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05A5DB" w14:textId="06FB9497" w:rsidR="00A2025E" w:rsidRPr="002F2E5A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cerebrovascularis történés, feltehetően a túlzott hypot</w:t>
            </w:r>
            <w:r w:rsidR="00406029">
              <w:rPr>
                <w:rFonts w:ascii="Times New Roman" w:hAnsi="Times New Roman"/>
              </w:rPr>
              <w:t>onia</w:t>
            </w:r>
            <w:r w:rsidRPr="00406029">
              <w:rPr>
                <w:rFonts w:ascii="Times New Roman" w:hAnsi="Times New Roman"/>
              </w:rPr>
              <w:t xml:space="preserve"> következménye a nagy </w:t>
            </w:r>
            <w:r w:rsidR="004311F5">
              <w:rPr>
                <w:rFonts w:ascii="Times New Roman" w:hAnsi="Times New Roman"/>
              </w:rPr>
              <w:t>kockázat</w:t>
            </w:r>
            <w:r w:rsidR="004311F5" w:rsidRPr="00406029">
              <w:rPr>
                <w:rFonts w:ascii="Times New Roman" w:hAnsi="Times New Roman"/>
              </w:rPr>
              <w:t xml:space="preserve">ú </w:t>
            </w:r>
            <w:r w:rsidRPr="00406029">
              <w:rPr>
                <w:rFonts w:ascii="Times New Roman" w:hAnsi="Times New Roman"/>
              </w:rPr>
              <w:t>betegeknél (lásd 4.4</w:t>
            </w:r>
            <w:r w:rsidR="005F24FF" w:rsidRPr="00CB6009">
              <w:rPr>
                <w:rFonts w:ascii="Times New Roman" w:hAnsi="Times New Roman"/>
              </w:rPr>
              <w:t> pont</w:t>
            </w:r>
            <w:r w:rsidRPr="00A97E2A">
              <w:rPr>
                <w:rFonts w:ascii="Times New Roman" w:hAnsi="Times New Roman"/>
              </w:rPr>
              <w:t>),</w:t>
            </w:r>
          </w:p>
          <w:p w14:paraId="3EB89607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Raynaud</w:t>
            </w:r>
            <w:r w:rsidR="005F24FF" w:rsidRPr="00DC2ECE">
              <w:rPr>
                <w:rFonts w:ascii="Times New Roman" w:hAnsi="Times New Roman"/>
              </w:rPr>
              <w:noBreakHyphen/>
            </w:r>
            <w:r w:rsidRPr="00DC2ECE">
              <w:rPr>
                <w:rFonts w:ascii="Times New Roman" w:hAnsi="Times New Roman"/>
              </w:rPr>
              <w:t>jelenség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6071B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hypotonia</w:t>
            </w:r>
          </w:p>
        </w:tc>
      </w:tr>
      <w:tr w:rsidR="00A2025E" w:rsidRPr="00DC2ECE" w14:paraId="17706184" w14:textId="77777777" w:rsidTr="00A2025E">
        <w:tc>
          <w:tcPr>
            <w:tcW w:w="2943" w:type="dxa"/>
            <w:vMerge/>
            <w:shd w:val="clear" w:color="auto" w:fill="auto"/>
          </w:tcPr>
          <w:p w14:paraId="61B3585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85185A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2A825042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644DCAF7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vasculitis</w:t>
            </w:r>
          </w:p>
        </w:tc>
      </w:tr>
      <w:tr w:rsidR="00A2025E" w:rsidRPr="00DC2ECE" w14:paraId="63266BC9" w14:textId="77777777" w:rsidTr="00A2025E">
        <w:tc>
          <w:tcPr>
            <w:tcW w:w="2943" w:type="dxa"/>
            <w:vMerge w:val="restart"/>
            <w:shd w:val="clear" w:color="auto" w:fill="auto"/>
          </w:tcPr>
          <w:p w14:paraId="4D59BB20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Légzőrendszeri, mellkasi és mediastinalis betegségek é</w:t>
            </w:r>
            <w:r w:rsidRPr="0042224A">
              <w:rPr>
                <w:rFonts w:ascii="Times New Roman" w:hAnsi="Times New Roman"/>
                <w:b/>
                <w:bCs/>
              </w:rPr>
              <w:t>s tünetek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66CA0F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1068754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köhögés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12690D0D" w14:textId="77777777" w:rsidR="00FD67A0" w:rsidRPr="00DC2ECE" w:rsidRDefault="002E5DB1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dypnoe</w:t>
            </w:r>
          </w:p>
        </w:tc>
      </w:tr>
      <w:tr w:rsidR="00A2025E" w:rsidRPr="00DC2ECE" w14:paraId="6708DE2C" w14:textId="77777777" w:rsidTr="00A2025E">
        <w:tc>
          <w:tcPr>
            <w:tcW w:w="2943" w:type="dxa"/>
            <w:vMerge/>
            <w:shd w:val="clear" w:color="auto" w:fill="auto"/>
          </w:tcPr>
          <w:p w14:paraId="5401E37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80708C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6A91A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rhinitis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62E254" w14:textId="77777777" w:rsidR="00A2025E" w:rsidRPr="00DC2ECE" w:rsidRDefault="002E5DB1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köhögés,</w:t>
            </w:r>
          </w:p>
          <w:p w14:paraId="00917381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rhinitis</w:t>
            </w:r>
          </w:p>
        </w:tc>
      </w:tr>
      <w:tr w:rsidR="00A2025E" w:rsidRPr="00DC2ECE" w14:paraId="76AF1434" w14:textId="77777777" w:rsidTr="00A2025E">
        <w:tc>
          <w:tcPr>
            <w:tcW w:w="2943" w:type="dxa"/>
            <w:vMerge/>
            <w:shd w:val="clear" w:color="auto" w:fill="auto"/>
          </w:tcPr>
          <w:p w14:paraId="5A4034AC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6C3184F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42C814A9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bronchospasmus,</w:t>
            </w:r>
          </w:p>
          <w:p w14:paraId="10CD7223" w14:textId="77777777" w:rsidR="00A2025E" w:rsidRPr="00DC2ECE" w:rsidRDefault="00F21424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allergiás alveolitis/ eosinophil pneumonia,</w:t>
            </w:r>
          </w:p>
          <w:p w14:paraId="34A05AE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sinusitis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06CCB7AD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3C27BFF7" w14:textId="77777777" w:rsidTr="00A2025E">
        <w:tc>
          <w:tcPr>
            <w:tcW w:w="2943" w:type="dxa"/>
            <w:vMerge w:val="restart"/>
            <w:shd w:val="clear" w:color="auto" w:fill="auto"/>
          </w:tcPr>
          <w:p w14:paraId="35A6FD1C" w14:textId="77777777" w:rsidR="00FD67A0" w:rsidRPr="0042224A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Emésztőrendszeri betegségek és tünetek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248FC81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250BB8D5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hasmenés,</w:t>
            </w:r>
          </w:p>
          <w:p w14:paraId="4DBE804C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hányás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204CB0F0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hasi fájdalom,</w:t>
            </w:r>
          </w:p>
          <w:p w14:paraId="392CAC0C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hányinger,</w:t>
            </w:r>
          </w:p>
          <w:p w14:paraId="01D11F6E" w14:textId="77777777" w:rsidR="00A2025E" w:rsidRPr="00DC2ECE" w:rsidRDefault="002E5DB1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dyspepsia,</w:t>
            </w:r>
          </w:p>
          <w:p w14:paraId="4EAF74FC" w14:textId="5B79CC4C" w:rsidR="00FD67A0" w:rsidRPr="00DC2ECE" w:rsidRDefault="002E5DB1" w:rsidP="006522A6">
            <w:pPr>
              <w:widowControl w:val="0"/>
              <w:rPr>
                <w:rFonts w:ascii="Times New Roman" w:hAnsi="Times New Roman"/>
              </w:rPr>
            </w:pPr>
            <w:r w:rsidRPr="004311F5">
              <w:rPr>
                <w:rFonts w:ascii="Times New Roman" w:hAnsi="Times New Roman"/>
              </w:rPr>
              <w:t>szék</w:t>
            </w:r>
            <w:r w:rsidR="006522A6">
              <w:rPr>
                <w:rFonts w:ascii="Times New Roman" w:hAnsi="Times New Roman"/>
              </w:rPr>
              <w:t>e</w:t>
            </w:r>
            <w:r w:rsidRPr="004311F5">
              <w:rPr>
                <w:rFonts w:ascii="Times New Roman" w:hAnsi="Times New Roman"/>
              </w:rPr>
              <w:t>l</w:t>
            </w:r>
            <w:r w:rsidR="006522A6">
              <w:rPr>
                <w:rFonts w:ascii="Times New Roman" w:hAnsi="Times New Roman"/>
              </w:rPr>
              <w:t xml:space="preserve">ési szokások </w:t>
            </w:r>
            <w:r w:rsidRPr="004311F5">
              <w:rPr>
                <w:rFonts w:ascii="Times New Roman" w:hAnsi="Times New Roman"/>
              </w:rPr>
              <w:t>változás</w:t>
            </w:r>
            <w:r w:rsidR="006522A6">
              <w:rPr>
                <w:rFonts w:ascii="Times New Roman" w:hAnsi="Times New Roman"/>
              </w:rPr>
              <w:t>a</w:t>
            </w:r>
            <w:r w:rsidRPr="00DC2ECE">
              <w:rPr>
                <w:rFonts w:ascii="Times New Roman" w:hAnsi="Times New Roman"/>
              </w:rPr>
              <w:t xml:space="preserve"> (hasmenés és obstipatio)</w:t>
            </w:r>
          </w:p>
        </w:tc>
      </w:tr>
      <w:tr w:rsidR="00A2025E" w:rsidRPr="00DC2ECE" w14:paraId="3B893CEC" w14:textId="77777777" w:rsidTr="00A2025E">
        <w:tc>
          <w:tcPr>
            <w:tcW w:w="2943" w:type="dxa"/>
            <w:vMerge/>
            <w:shd w:val="clear" w:color="auto" w:fill="auto"/>
          </w:tcPr>
          <w:p w14:paraId="5BFC3E1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E716FA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69631E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hasi fájdalom,</w:t>
            </w:r>
          </w:p>
          <w:p w14:paraId="580C37C2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hányinger,</w:t>
            </w:r>
          </w:p>
          <w:p w14:paraId="67C400B7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emésztési zavar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5C5441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hányás,</w:t>
            </w:r>
          </w:p>
          <w:p w14:paraId="2219316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szájszárazság</w:t>
            </w:r>
          </w:p>
        </w:tc>
      </w:tr>
      <w:tr w:rsidR="00A2025E" w:rsidRPr="00DC2ECE" w14:paraId="7898E3D4" w14:textId="77777777" w:rsidTr="00A2025E">
        <w:tc>
          <w:tcPr>
            <w:tcW w:w="2943" w:type="dxa"/>
            <w:vMerge/>
            <w:shd w:val="clear" w:color="auto" w:fill="auto"/>
          </w:tcPr>
          <w:p w14:paraId="1AF2F0E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113046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75E385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szájszárazság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A622F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79C3589B" w14:textId="77777777" w:rsidTr="00A2025E">
        <w:tc>
          <w:tcPr>
            <w:tcW w:w="2943" w:type="dxa"/>
            <w:vMerge/>
            <w:shd w:val="clear" w:color="auto" w:fill="auto"/>
          </w:tcPr>
          <w:p w14:paraId="1C692465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08A5EB3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 xml:space="preserve">Nagyon ritka 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603D837B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pancreatitis,</w:t>
            </w:r>
          </w:p>
          <w:p w14:paraId="32E9F21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intestinalis angiooedema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auto"/>
          </w:tcPr>
          <w:p w14:paraId="53F9C947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pancreatitis,</w:t>
            </w:r>
          </w:p>
          <w:p w14:paraId="30AB8FF8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gastritis,</w:t>
            </w:r>
          </w:p>
          <w:p w14:paraId="40BEFB81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gingiva</w:t>
            </w:r>
            <w:r w:rsidR="005F24FF" w:rsidRPr="00DC2ECE">
              <w:rPr>
                <w:rFonts w:ascii="Times New Roman" w:hAnsi="Times New Roman"/>
              </w:rPr>
              <w:noBreakHyphen/>
            </w:r>
            <w:r w:rsidRPr="00DC2ECE">
              <w:rPr>
                <w:rFonts w:ascii="Times New Roman" w:hAnsi="Times New Roman"/>
              </w:rPr>
              <w:t>hyperplasia</w:t>
            </w:r>
          </w:p>
        </w:tc>
      </w:tr>
      <w:tr w:rsidR="00A2025E" w:rsidRPr="00DC2ECE" w14:paraId="139EFF2A" w14:textId="77777777" w:rsidTr="00A2025E">
        <w:tc>
          <w:tcPr>
            <w:tcW w:w="2943" w:type="dxa"/>
            <w:shd w:val="clear" w:color="auto" w:fill="auto"/>
          </w:tcPr>
          <w:p w14:paraId="562B1CDB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Máj</w:t>
            </w:r>
            <w:r w:rsidR="005F24FF" w:rsidRPr="00DC2ECE">
              <w:rPr>
                <w:rFonts w:ascii="Times New Roman" w:hAnsi="Times New Roman"/>
                <w:b/>
                <w:bCs/>
              </w:rPr>
              <w:noBreakHyphen/>
            </w:r>
            <w:r w:rsidRPr="0042224A">
              <w:rPr>
                <w:rFonts w:ascii="Times New Roman" w:hAnsi="Times New Roman"/>
                <w:b/>
                <w:bCs/>
              </w:rPr>
              <w:t xml:space="preserve"> és epebetegségek, illetve tünetek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14:paraId="4EFEE2C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auto"/>
          </w:tcPr>
          <w:p w14:paraId="234F2212" w14:textId="2BA390E4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hepatocellularis vagy cholestaticus</w:t>
            </w:r>
            <w:r w:rsidR="004311F5" w:rsidRPr="00DC2ECE">
              <w:rPr>
                <w:rFonts w:ascii="Times New Roman" w:hAnsi="Times New Roman"/>
              </w:rPr>
              <w:t xml:space="preserve"> hepatitis</w:t>
            </w:r>
            <w:r w:rsidRPr="00DC2ECE">
              <w:rPr>
                <w:rFonts w:ascii="Times New Roman" w:hAnsi="Times New Roman"/>
              </w:rPr>
              <w:t>;</w:t>
            </w:r>
          </w:p>
          <w:p w14:paraId="2DDAD958" w14:textId="77777777" w:rsidR="00A2025E" w:rsidRPr="00DC2ECE" w:rsidRDefault="0098428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icterus,</w:t>
            </w:r>
          </w:p>
          <w:p w14:paraId="3FD0BF6A" w14:textId="77777777" w:rsidR="00FD67A0" w:rsidRPr="00DC2ECE" w:rsidRDefault="00F7537E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májelégtelenség (lásd 4.4</w:t>
            </w:r>
            <w:r w:rsidR="005F24FF" w:rsidRPr="00DC2ECE">
              <w:rPr>
                <w:rFonts w:ascii="Times New Roman" w:hAnsi="Times New Roman"/>
              </w:rPr>
              <w:t> pont</w:t>
            </w:r>
            <w:r w:rsidRPr="00DC2ECE">
              <w:rPr>
                <w:rFonts w:ascii="Times New Roman" w:hAnsi="Times New Roman"/>
              </w:rPr>
              <w:t>)</w:t>
            </w:r>
          </w:p>
        </w:tc>
        <w:tc>
          <w:tcPr>
            <w:tcW w:w="2374" w:type="dxa"/>
            <w:tcBorders>
              <w:bottom w:val="single" w:sz="4" w:space="0" w:color="000000"/>
            </w:tcBorders>
            <w:shd w:val="clear" w:color="auto" w:fill="auto"/>
          </w:tcPr>
          <w:p w14:paraId="464C130F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hepatitis,</w:t>
            </w:r>
          </w:p>
          <w:p w14:paraId="6F840036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icterus,</w:t>
            </w:r>
          </w:p>
          <w:p w14:paraId="360908AF" w14:textId="77777777" w:rsidR="00FD67A0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májenzimszint</w:t>
            </w:r>
            <w:r w:rsidR="005F24FF" w:rsidRPr="00DC2ECE">
              <w:rPr>
                <w:rFonts w:ascii="Times New Roman" w:hAnsi="Times New Roman"/>
              </w:rPr>
              <w:noBreakHyphen/>
            </w:r>
            <w:r w:rsidRPr="00DC2ECE">
              <w:rPr>
                <w:rFonts w:ascii="Times New Roman" w:hAnsi="Times New Roman"/>
              </w:rPr>
              <w:t>emelkedés**</w:t>
            </w:r>
          </w:p>
        </w:tc>
      </w:tr>
      <w:tr w:rsidR="00A2025E" w:rsidRPr="00DC2ECE" w14:paraId="07BC8D05" w14:textId="77777777" w:rsidTr="00A2025E">
        <w:tc>
          <w:tcPr>
            <w:tcW w:w="2943" w:type="dxa"/>
            <w:vMerge w:val="restart"/>
            <w:shd w:val="clear" w:color="auto" w:fill="auto"/>
          </w:tcPr>
          <w:p w14:paraId="55AF9CB6" w14:textId="77777777" w:rsidR="00FD67A0" w:rsidRPr="0042224A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A bőr és a bőr alatti szövet betegségei és tünetei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D1BE3A2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41F89ECF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bőrkiütés,</w:t>
            </w:r>
          </w:p>
          <w:p w14:paraId="79F146A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vertAlign w:val="superscript"/>
              </w:rPr>
            </w:pPr>
            <w:r w:rsidRPr="00DC2ECE">
              <w:rPr>
                <w:rFonts w:ascii="Times New Roman" w:hAnsi="Times New Roman"/>
              </w:rPr>
              <w:t>viszketés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38319F76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alopecia,</w:t>
            </w:r>
          </w:p>
          <w:p w14:paraId="62BF3D51" w14:textId="77777777" w:rsidR="00A2025E" w:rsidRPr="00DC2ECE" w:rsidRDefault="00281F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bőrkiütés,</w:t>
            </w:r>
          </w:p>
          <w:p w14:paraId="5DA04941" w14:textId="77777777" w:rsidR="00A2025E" w:rsidRPr="00DC2ECE" w:rsidRDefault="00281F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exanthema,</w:t>
            </w:r>
          </w:p>
          <w:p w14:paraId="692733FA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purpura,</w:t>
            </w:r>
          </w:p>
          <w:p w14:paraId="2001F735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 bőr elszíneződése,</w:t>
            </w:r>
          </w:p>
          <w:p w14:paraId="067569A0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hyperhidrosis,</w:t>
            </w:r>
          </w:p>
          <w:p w14:paraId="6161C988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viszketés,</w:t>
            </w:r>
          </w:p>
          <w:p w14:paraId="7F7D5F43" w14:textId="77777777" w:rsidR="00FD67A0" w:rsidRPr="00DC2ECE" w:rsidRDefault="002E5DB1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csalánkiütés</w:t>
            </w:r>
          </w:p>
        </w:tc>
      </w:tr>
      <w:tr w:rsidR="00A2025E" w:rsidRPr="00DC2ECE" w14:paraId="49769FC7" w14:textId="77777777" w:rsidTr="00A2025E">
        <w:tc>
          <w:tcPr>
            <w:tcW w:w="2943" w:type="dxa"/>
            <w:vMerge/>
            <w:shd w:val="clear" w:color="auto" w:fill="auto"/>
          </w:tcPr>
          <w:p w14:paraId="677AC012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B2768C6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1EB65E5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psoriasis,</w:t>
            </w:r>
          </w:p>
          <w:p w14:paraId="1EB0E6AC" w14:textId="77777777" w:rsidR="00A2025E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urticaria,</w:t>
            </w:r>
          </w:p>
          <w:p w14:paraId="038E1E3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alopecia</w:t>
            </w:r>
          </w:p>
          <w:p w14:paraId="7E29F3A0" w14:textId="3CFA45FB" w:rsidR="00FD67A0" w:rsidRPr="00DC2ECE" w:rsidRDefault="00FD67A0" w:rsidP="004311F5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túlérzékenység/</w:t>
            </w:r>
            <w:r w:rsidRPr="006522A6">
              <w:rPr>
                <w:rFonts w:ascii="Times New Roman" w:hAnsi="Times New Roman"/>
              </w:rPr>
              <w:t xml:space="preserve">angioneuroticus oedema: </w:t>
            </w:r>
            <w:r w:rsidRPr="006522A6">
              <w:rPr>
                <w:rFonts w:ascii="Times New Roman" w:hAnsi="Times New Roman"/>
              </w:rPr>
              <w:lastRenderedPageBreak/>
              <w:t>angioneuroticus oedema az arcon, végtagokon</w:t>
            </w:r>
            <w:r w:rsidRPr="00DC2ECE">
              <w:rPr>
                <w:rFonts w:ascii="Times New Roman" w:hAnsi="Times New Roman"/>
              </w:rPr>
              <w:t>, ajkakon, nyelven, g</w:t>
            </w:r>
            <w:r w:rsidR="004311F5">
              <w:rPr>
                <w:rFonts w:ascii="Times New Roman" w:hAnsi="Times New Roman"/>
              </w:rPr>
              <w:t>aratban</w:t>
            </w:r>
            <w:r w:rsidRPr="00DC2ECE">
              <w:rPr>
                <w:rFonts w:ascii="Times New Roman" w:hAnsi="Times New Roman"/>
              </w:rPr>
              <w:t xml:space="preserve"> és/vagy gégén (lásd 4.4</w:t>
            </w:r>
            <w:r w:rsidR="005F24FF" w:rsidRPr="00DC2ECE">
              <w:rPr>
                <w:rFonts w:ascii="Times New Roman" w:hAnsi="Times New Roman"/>
              </w:rPr>
              <w:t> pont</w:t>
            </w:r>
            <w:r w:rsidRPr="00DC2ECE">
              <w:rPr>
                <w:rFonts w:ascii="Times New Roman" w:hAnsi="Times New Roman"/>
              </w:rPr>
              <w:t>)</w:t>
            </w:r>
          </w:p>
        </w:tc>
        <w:tc>
          <w:tcPr>
            <w:tcW w:w="237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A74448D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33F2A28D" w14:textId="77777777" w:rsidTr="0090580B">
        <w:tc>
          <w:tcPr>
            <w:tcW w:w="2943" w:type="dxa"/>
            <w:vMerge/>
            <w:tcBorders>
              <w:bottom w:val="nil"/>
            </w:tcBorders>
            <w:shd w:val="clear" w:color="auto" w:fill="auto"/>
          </w:tcPr>
          <w:p w14:paraId="66DC64DD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0166EBE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67A33D8C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toxicus epidermalis necrolysis,</w:t>
            </w:r>
          </w:p>
          <w:p w14:paraId="021737DB" w14:textId="1B8F3391" w:rsidR="0040602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Stevens</w:t>
            </w:r>
            <w:r w:rsidR="00E34737">
              <w:rPr>
                <w:rFonts w:ascii="Times New Roman" w:hAnsi="Times New Roman"/>
              </w:rPr>
              <w:t>–</w:t>
            </w:r>
            <w:r w:rsidRPr="00DC2ECE">
              <w:rPr>
                <w:rFonts w:ascii="Times New Roman" w:hAnsi="Times New Roman"/>
              </w:rPr>
              <w:t>Johnson</w:t>
            </w:r>
            <w:r w:rsidR="00E34737">
              <w:rPr>
                <w:rFonts w:ascii="Times New Roman" w:hAnsi="Times New Roman"/>
              </w:rPr>
              <w:t>-</w:t>
            </w:r>
          </w:p>
          <w:p w14:paraId="7C7D0B7B" w14:textId="4FC690BE" w:rsidR="00F1460F" w:rsidRPr="0040602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406029">
              <w:rPr>
                <w:rFonts w:ascii="Times New Roman" w:hAnsi="Times New Roman"/>
              </w:rPr>
              <w:t>szindróma,</w:t>
            </w:r>
          </w:p>
          <w:p w14:paraId="642E75E7" w14:textId="77777777" w:rsidR="00F1460F" w:rsidRPr="00CB600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erythema multiforme,</w:t>
            </w:r>
          </w:p>
          <w:p w14:paraId="656E0172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pemphigus,</w:t>
            </w:r>
          </w:p>
          <w:p w14:paraId="483A6D25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hyperhidrosis,</w:t>
            </w:r>
          </w:p>
          <w:p w14:paraId="047A1284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cutan pseudolymphoma*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A24FEE9" w14:textId="77777777" w:rsidR="00F1460F" w:rsidRPr="00DC2ECE" w:rsidRDefault="00FE4C37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erythema multiforme,</w:t>
            </w:r>
          </w:p>
          <w:p w14:paraId="585409E2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angiooedema,</w:t>
            </w:r>
          </w:p>
          <w:p w14:paraId="2B0C09C1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exfoliativ dermatitis,</w:t>
            </w:r>
          </w:p>
          <w:p w14:paraId="178428C0" w14:textId="007F56FC" w:rsidR="0040602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Stevens</w:t>
            </w:r>
            <w:r w:rsidR="00E34737">
              <w:rPr>
                <w:rFonts w:ascii="Times New Roman" w:hAnsi="Times New Roman"/>
              </w:rPr>
              <w:t>–</w:t>
            </w:r>
            <w:r w:rsidRPr="00DC2ECE">
              <w:rPr>
                <w:rFonts w:ascii="Times New Roman" w:hAnsi="Times New Roman"/>
              </w:rPr>
              <w:t>Johnson</w:t>
            </w:r>
            <w:r w:rsidR="00E34737">
              <w:rPr>
                <w:rFonts w:ascii="Times New Roman" w:hAnsi="Times New Roman"/>
              </w:rPr>
              <w:t>-</w:t>
            </w:r>
          </w:p>
          <w:p w14:paraId="07DF051D" w14:textId="090ECABB" w:rsidR="00F1460F" w:rsidRPr="0040602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406029">
              <w:rPr>
                <w:rFonts w:ascii="Times New Roman" w:hAnsi="Times New Roman"/>
              </w:rPr>
              <w:t>szindróma,</w:t>
            </w:r>
          </w:p>
          <w:p w14:paraId="11D3CE67" w14:textId="3038B1A7" w:rsidR="00FD67A0" w:rsidRPr="002F2E5A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Quincke</w:t>
            </w:r>
            <w:r w:rsidR="00E34737">
              <w:rPr>
                <w:rFonts w:ascii="Times New Roman" w:hAnsi="Times New Roman"/>
              </w:rPr>
              <w:t>-</w:t>
            </w:r>
            <w:r w:rsidRPr="00A97E2A">
              <w:rPr>
                <w:rFonts w:ascii="Times New Roman" w:hAnsi="Times New Roman"/>
              </w:rPr>
              <w:t>oedema,</w:t>
            </w:r>
          </w:p>
          <w:p w14:paraId="05A206FC" w14:textId="77777777" w:rsidR="00FD67A0" w:rsidRPr="00DC2ECE" w:rsidRDefault="0038405B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fényérzékenység</w:t>
            </w:r>
          </w:p>
        </w:tc>
      </w:tr>
      <w:tr w:rsidR="001A01BD" w:rsidRPr="00DC2ECE" w14:paraId="011483A7" w14:textId="77777777" w:rsidTr="0090580B">
        <w:tc>
          <w:tcPr>
            <w:tcW w:w="29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E52CD1E" w14:textId="77777777" w:rsidR="001A01BD" w:rsidRPr="00DC2ECE" w:rsidRDefault="001A01BD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4993E631" w14:textId="77777777" w:rsidR="001A01BD" w:rsidRPr="00DB3BB5" w:rsidRDefault="001A01BD" w:rsidP="00C46DF0">
            <w:pPr>
              <w:widowControl w:val="0"/>
              <w:rPr>
                <w:rFonts w:ascii="Times New Roman" w:hAnsi="Times New Roman"/>
              </w:rPr>
            </w:pPr>
            <w:r w:rsidRPr="0042224A">
              <w:rPr>
                <w:rFonts w:ascii="Times New Roman" w:hAnsi="Times New Roman"/>
              </w:rPr>
              <w:t>Nem ismert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49F2CE07" w14:textId="77777777" w:rsidR="001A01BD" w:rsidRPr="00CB6009" w:rsidRDefault="001A01BD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02D6AF6C" w14:textId="77777777" w:rsidR="001A01BD" w:rsidRPr="00DC2ECE" w:rsidRDefault="001A01BD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toxicus epidermalis necrolysis</w:t>
            </w:r>
          </w:p>
        </w:tc>
      </w:tr>
      <w:tr w:rsidR="00A2025E" w:rsidRPr="00DC2ECE" w14:paraId="0F1484EF" w14:textId="77777777" w:rsidTr="0090580B">
        <w:tc>
          <w:tcPr>
            <w:tcW w:w="29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0B0B40BE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A csont</w:t>
            </w:r>
            <w:r w:rsidR="005F24FF" w:rsidRPr="00A6480F">
              <w:rPr>
                <w:rFonts w:ascii="Times New Roman" w:hAnsi="Times New Roman"/>
                <w:b/>
                <w:bCs/>
              </w:rPr>
              <w:noBreakHyphen/>
            </w:r>
            <w:r w:rsidRPr="0042224A">
              <w:rPr>
                <w:rFonts w:ascii="Times New Roman" w:hAnsi="Times New Roman"/>
                <w:b/>
                <w:bCs/>
              </w:rPr>
              <w:t xml:space="preserve"> és izomrendszer, valamint a kötőszövet betegségei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9BF5D6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4D703CAD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65D4A498" w14:textId="77777777" w:rsidR="00F1460F" w:rsidRPr="00DC2ECE" w:rsidRDefault="002E5DB1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bokaduzzanat,</w:t>
            </w:r>
          </w:p>
          <w:p w14:paraId="29BB3CB4" w14:textId="77777777" w:rsidR="00FD67A0" w:rsidRPr="00DC2ECE" w:rsidRDefault="002E5DB1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izomgörcsök</w:t>
            </w:r>
          </w:p>
        </w:tc>
      </w:tr>
      <w:tr w:rsidR="00A2025E" w:rsidRPr="00DC2ECE" w14:paraId="19C65A3D" w14:textId="77777777" w:rsidTr="00A2025E">
        <w:tc>
          <w:tcPr>
            <w:tcW w:w="2943" w:type="dxa"/>
            <w:vMerge/>
            <w:shd w:val="clear" w:color="auto" w:fill="auto"/>
          </w:tcPr>
          <w:p w14:paraId="213C7980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280DF194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9F97895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293C059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ízületi fájdalom,</w:t>
            </w:r>
          </w:p>
          <w:p w14:paraId="6946F676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izomfájdalom,</w:t>
            </w:r>
          </w:p>
          <w:p w14:paraId="626A0ECB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hátfájás</w:t>
            </w:r>
          </w:p>
        </w:tc>
      </w:tr>
      <w:tr w:rsidR="00A2025E" w:rsidRPr="00DC2ECE" w14:paraId="2404328F" w14:textId="77777777" w:rsidTr="00A2025E">
        <w:tc>
          <w:tcPr>
            <w:tcW w:w="2943" w:type="dxa"/>
            <w:vMerge w:val="restart"/>
            <w:shd w:val="clear" w:color="auto" w:fill="auto"/>
          </w:tcPr>
          <w:p w14:paraId="69809D7D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Vese</w:t>
            </w:r>
            <w:r w:rsidR="005F24FF" w:rsidRPr="00A6480F">
              <w:rPr>
                <w:rFonts w:ascii="Times New Roman" w:hAnsi="Times New Roman"/>
                <w:b/>
                <w:bCs/>
              </w:rPr>
              <w:noBreakHyphen/>
            </w:r>
            <w:r w:rsidRPr="0042224A">
              <w:rPr>
                <w:rFonts w:ascii="Times New Roman" w:hAnsi="Times New Roman"/>
                <w:b/>
                <w:bCs/>
              </w:rPr>
              <w:t xml:space="preserve"> és hú</w:t>
            </w:r>
            <w:r w:rsidRPr="00DB3BB5">
              <w:rPr>
                <w:rFonts w:ascii="Times New Roman" w:hAnsi="Times New Roman"/>
                <w:b/>
                <w:bCs/>
              </w:rPr>
              <w:t>gyúti betegségek és tünetek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626C19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17DE91E2" w14:textId="77777777" w:rsidR="00FD67A0" w:rsidRPr="00DC2ECE" w:rsidRDefault="00EC242C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veseműködési zavar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508F4984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075D0DFD" w14:textId="77777777" w:rsidTr="00A2025E">
        <w:tc>
          <w:tcPr>
            <w:tcW w:w="2943" w:type="dxa"/>
            <w:vMerge/>
            <w:shd w:val="clear" w:color="auto" w:fill="auto"/>
          </w:tcPr>
          <w:p w14:paraId="5014571D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5ED21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AEC566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D7BC5D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vizeletürítési zavar,</w:t>
            </w:r>
          </w:p>
          <w:p w14:paraId="1161FB41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nocturia,</w:t>
            </w:r>
          </w:p>
          <w:p w14:paraId="76F09A51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pollakisuria</w:t>
            </w:r>
          </w:p>
        </w:tc>
      </w:tr>
      <w:tr w:rsidR="00A2025E" w:rsidRPr="00DC2ECE" w14:paraId="4C43A81F" w14:textId="77777777" w:rsidTr="00A2025E">
        <w:tc>
          <w:tcPr>
            <w:tcW w:w="2943" w:type="dxa"/>
            <w:vMerge/>
            <w:shd w:val="clear" w:color="auto" w:fill="auto"/>
          </w:tcPr>
          <w:p w14:paraId="17EE606E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F6144F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75E4F4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akut veseelégtelenség,</w:t>
            </w:r>
          </w:p>
          <w:p w14:paraId="12DD3EB5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uraemia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BB65F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7E0D4943" w14:textId="77777777" w:rsidTr="00A2025E">
        <w:tc>
          <w:tcPr>
            <w:tcW w:w="2943" w:type="dxa"/>
            <w:vMerge/>
            <w:shd w:val="clear" w:color="auto" w:fill="auto"/>
          </w:tcPr>
          <w:p w14:paraId="5A957C9C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3DA543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Nagyon 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9DDE99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oliguria/anuria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15752B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5DD26461" w14:textId="77777777" w:rsidTr="00A2025E">
        <w:tc>
          <w:tcPr>
            <w:tcW w:w="2943" w:type="dxa"/>
            <w:vMerge w:val="restart"/>
            <w:shd w:val="clear" w:color="auto" w:fill="auto"/>
          </w:tcPr>
          <w:p w14:paraId="5EC0892C" w14:textId="77777777" w:rsidR="00FD67A0" w:rsidRPr="0042224A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 xml:space="preserve">A nemi </w:t>
            </w:r>
            <w:r w:rsidRPr="00A6480F">
              <w:rPr>
                <w:rFonts w:ascii="Times New Roman" w:hAnsi="Times New Roman"/>
                <w:b/>
                <w:bCs/>
              </w:rPr>
              <w:t>szervekkel és az emlőkkel kapcsolatos betegségek és tünetek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B5B4450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1758770C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impotencia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37DBD3DD" w14:textId="77777777" w:rsidR="00F1460F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impotencia,</w:t>
            </w:r>
          </w:p>
          <w:p w14:paraId="075B8A39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gynaecomastia</w:t>
            </w:r>
          </w:p>
        </w:tc>
      </w:tr>
      <w:tr w:rsidR="00A2025E" w:rsidRPr="00DC2ECE" w14:paraId="4B58912B" w14:textId="77777777" w:rsidTr="00A2025E">
        <w:tc>
          <w:tcPr>
            <w:tcW w:w="2943" w:type="dxa"/>
            <w:vMerge/>
            <w:shd w:val="clear" w:color="auto" w:fill="auto"/>
          </w:tcPr>
          <w:p w14:paraId="6B61B580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1E7CEEA8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9DC5FF3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gynaecomastia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659BA9A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  <w:tr w:rsidR="00A2025E" w:rsidRPr="00DC2ECE" w14:paraId="1C6C8062" w14:textId="77777777" w:rsidTr="00A2025E">
        <w:tc>
          <w:tcPr>
            <w:tcW w:w="2943" w:type="dxa"/>
            <w:vMerge w:val="restart"/>
            <w:shd w:val="clear" w:color="auto" w:fill="auto"/>
          </w:tcPr>
          <w:p w14:paraId="1FC5F5B1" w14:textId="77777777" w:rsidR="006511C6" w:rsidRPr="0042224A" w:rsidRDefault="006511C6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Általános tünetek, az alkalmazás helyén fellépő reakciók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86F3D54" w14:textId="77777777" w:rsidR="006511C6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Nagyon 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2E907192" w14:textId="77777777" w:rsidR="006511C6" w:rsidRPr="00DC2ECE" w:rsidRDefault="006511C6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7661AE66" w14:textId="77777777" w:rsidR="006511C6" w:rsidRPr="00DC2ECE" w:rsidRDefault="00BA0B6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oedema</w:t>
            </w:r>
          </w:p>
        </w:tc>
      </w:tr>
      <w:tr w:rsidR="00A2025E" w:rsidRPr="00DC2ECE" w14:paraId="046547B7" w14:textId="77777777" w:rsidTr="00A2025E">
        <w:tc>
          <w:tcPr>
            <w:tcW w:w="2943" w:type="dxa"/>
            <w:vMerge/>
            <w:shd w:val="clear" w:color="auto" w:fill="auto"/>
          </w:tcPr>
          <w:p w14:paraId="0985F6DD" w14:textId="77777777" w:rsidR="006511C6" w:rsidRPr="00DC2ECE" w:rsidRDefault="006511C6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5C25CB" w14:textId="77777777" w:rsidR="006511C6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22CEB7" w14:textId="77777777" w:rsidR="006511C6" w:rsidRPr="00DC2ECE" w:rsidRDefault="006511C6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610099" w14:textId="77777777" w:rsidR="00F1460F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kimerültség,</w:t>
            </w:r>
          </w:p>
          <w:p w14:paraId="6760B74F" w14:textId="77777777" w:rsidR="006511C6" w:rsidRPr="00DC2ECE" w:rsidRDefault="00BA0B6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asthenia</w:t>
            </w:r>
          </w:p>
        </w:tc>
      </w:tr>
      <w:tr w:rsidR="00A2025E" w:rsidRPr="00DC2ECE" w14:paraId="2FD31A33" w14:textId="77777777" w:rsidTr="00A2025E">
        <w:tc>
          <w:tcPr>
            <w:tcW w:w="2943" w:type="dxa"/>
            <w:vMerge/>
            <w:shd w:val="clear" w:color="auto" w:fill="auto"/>
          </w:tcPr>
          <w:p w14:paraId="3C7CEE2E" w14:textId="77777777" w:rsidR="006511C6" w:rsidRPr="00DC2ECE" w:rsidRDefault="006511C6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1FCA251E" w14:textId="77777777" w:rsidR="006511C6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28FEB18A" w14:textId="77777777" w:rsidR="00F1460F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kimerültség,</w:t>
            </w:r>
          </w:p>
          <w:p w14:paraId="4DEDB31B" w14:textId="77777777" w:rsidR="006511C6" w:rsidRPr="00DC2ECE" w:rsidRDefault="00BA0B6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asthenia</w:t>
            </w:r>
          </w:p>
        </w:tc>
        <w:tc>
          <w:tcPr>
            <w:tcW w:w="2374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2FCE096" w14:textId="77777777" w:rsidR="00F1460F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mellkasi fájdalom,</w:t>
            </w:r>
          </w:p>
          <w:p w14:paraId="2A40A2CD" w14:textId="77777777" w:rsidR="00F1460F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fájdalom,</w:t>
            </w:r>
          </w:p>
          <w:p w14:paraId="0CB250D1" w14:textId="77777777" w:rsidR="006511C6" w:rsidRPr="00DC2ECE" w:rsidRDefault="006511C6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rossz közérzet</w:t>
            </w:r>
          </w:p>
        </w:tc>
      </w:tr>
      <w:tr w:rsidR="00A2025E" w:rsidRPr="00DC2ECE" w14:paraId="1EB2B98C" w14:textId="77777777" w:rsidTr="00A2025E">
        <w:tc>
          <w:tcPr>
            <w:tcW w:w="2943" w:type="dxa"/>
            <w:vMerge w:val="restart"/>
            <w:shd w:val="clear" w:color="auto" w:fill="auto"/>
          </w:tcPr>
          <w:p w14:paraId="50A0D9D0" w14:textId="77777777" w:rsidR="00FD67A0" w:rsidRPr="0042224A" w:rsidRDefault="00FD67A0" w:rsidP="00C46DF0">
            <w:pPr>
              <w:widowControl w:val="0"/>
              <w:rPr>
                <w:rFonts w:ascii="Times New Roman" w:hAnsi="Times New Roman"/>
                <w:b/>
              </w:rPr>
            </w:pPr>
            <w:r w:rsidRPr="00DC2ECE">
              <w:rPr>
                <w:rFonts w:ascii="Times New Roman" w:hAnsi="Times New Roman"/>
                <w:b/>
                <w:bCs/>
              </w:rPr>
              <w:t>Laboratóriumi és egyéb vizsgálatok eredményei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5D0DEBF" w14:textId="77777777" w:rsidR="00FD67A0" w:rsidRPr="00CB6009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CB6009">
              <w:rPr>
                <w:rFonts w:ascii="Times New Roman" w:hAnsi="Times New Roman"/>
              </w:rPr>
              <w:t>Nem gyakori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78FE2B96" w14:textId="77777777" w:rsidR="00A377C0" w:rsidRPr="00DC2ECE" w:rsidRDefault="00A377C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emelkedett vér karbamidszint,</w:t>
            </w:r>
          </w:p>
          <w:p w14:paraId="49DB1067" w14:textId="77777777" w:rsidR="00A377C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 xml:space="preserve">emelkedett szérum kreatininszint, </w:t>
            </w:r>
          </w:p>
          <w:p w14:paraId="74112372" w14:textId="77777777" w:rsidR="00A377C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 xml:space="preserve">hyperkalaemia, </w:t>
            </w:r>
          </w:p>
          <w:p w14:paraId="5089B90F" w14:textId="5567891A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 xml:space="preserve">májenzimek </w:t>
            </w:r>
            <w:r w:rsidR="00D114A8">
              <w:rPr>
                <w:rFonts w:ascii="Times New Roman" w:hAnsi="Times New Roman"/>
              </w:rPr>
              <w:t xml:space="preserve">szintjeinek </w:t>
            </w:r>
            <w:r w:rsidRPr="00DC2ECE">
              <w:rPr>
                <w:rFonts w:ascii="Times New Roman" w:hAnsi="Times New Roman"/>
              </w:rPr>
              <w:t>emelkedése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auto"/>
          </w:tcPr>
          <w:p w14:paraId="4E8D5CF9" w14:textId="0A041EAD" w:rsidR="00A377C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testtömeg</w:t>
            </w:r>
            <w:r w:rsidR="005F24FF" w:rsidRPr="00DC2ECE">
              <w:rPr>
                <w:rFonts w:ascii="Times New Roman" w:hAnsi="Times New Roman"/>
              </w:rPr>
              <w:noBreakHyphen/>
            </w:r>
            <w:r w:rsidR="00D114A8">
              <w:rPr>
                <w:rFonts w:ascii="Times New Roman" w:hAnsi="Times New Roman"/>
              </w:rPr>
              <w:t>növekedés</w:t>
            </w:r>
          </w:p>
          <w:p w14:paraId="2034A536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vagy testtömegcsökkenés</w:t>
            </w:r>
          </w:p>
        </w:tc>
      </w:tr>
      <w:tr w:rsidR="00A2025E" w:rsidRPr="00DC2ECE" w14:paraId="63D16156" w14:textId="77777777" w:rsidTr="00A2025E">
        <w:tc>
          <w:tcPr>
            <w:tcW w:w="2943" w:type="dxa"/>
            <w:vMerge/>
            <w:shd w:val="clear" w:color="auto" w:fill="auto"/>
          </w:tcPr>
          <w:p w14:paraId="4984FACA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0D95E370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Ritka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4A43012D" w14:textId="77777777" w:rsidR="00A377C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emelkedett szérum bilirubinszint,</w:t>
            </w:r>
          </w:p>
          <w:p w14:paraId="0790EBC0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</w:rPr>
            </w:pPr>
            <w:r w:rsidRPr="00DC2ECE">
              <w:rPr>
                <w:rFonts w:ascii="Times New Roman" w:hAnsi="Times New Roman"/>
              </w:rPr>
              <w:t>hyponatraemia</w:t>
            </w:r>
          </w:p>
        </w:tc>
        <w:tc>
          <w:tcPr>
            <w:tcW w:w="2374" w:type="dxa"/>
            <w:tcBorders>
              <w:top w:val="single" w:sz="4" w:space="0" w:color="auto"/>
            </w:tcBorders>
            <w:shd w:val="clear" w:color="auto" w:fill="auto"/>
          </w:tcPr>
          <w:p w14:paraId="5DB0D467" w14:textId="77777777" w:rsidR="00FD67A0" w:rsidRPr="00DC2ECE" w:rsidRDefault="00FD67A0" w:rsidP="00C46DF0">
            <w:pPr>
              <w:widowControl w:val="0"/>
              <w:rPr>
                <w:rFonts w:ascii="Times New Roman" w:hAnsi="Times New Roman"/>
                <w:lang w:val="en-GB"/>
              </w:rPr>
            </w:pPr>
          </w:p>
        </w:tc>
      </w:tr>
    </w:tbl>
    <w:p w14:paraId="72900BFC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1B28CA65" w14:textId="7DF697BD" w:rsidR="007C3F56" w:rsidRPr="00DC2ECE" w:rsidRDefault="007C3F56" w:rsidP="00C46DF0">
      <w:pPr>
        <w:widowControl w:val="0"/>
        <w:rPr>
          <w:rFonts w:ascii="Times New Roman" w:eastAsia="Times New Roman" w:hAnsi="Times New Roman"/>
        </w:rPr>
      </w:pPr>
      <w:r w:rsidRPr="00CB6009">
        <w:rPr>
          <w:rFonts w:ascii="Times New Roman" w:hAnsi="Times New Roman"/>
        </w:rPr>
        <w:t>*</w:t>
      </w:r>
      <w:r w:rsidRPr="00CB6009">
        <w:rPr>
          <w:rFonts w:ascii="Times New Roman" w:hAnsi="Times New Roman"/>
        </w:rPr>
        <w:tab/>
        <w:t xml:space="preserve">Beszámoltak olyan tünetegyüttesről, amely a következők közül egy vagy több </w:t>
      </w:r>
      <w:r w:rsidR="00D114A8">
        <w:rPr>
          <w:rFonts w:ascii="Times New Roman" w:hAnsi="Times New Roman"/>
        </w:rPr>
        <w:t>tünettel járhat</w:t>
      </w:r>
      <w:r w:rsidRPr="00CB6009">
        <w:rPr>
          <w:rFonts w:ascii="Times New Roman" w:hAnsi="Times New Roman"/>
        </w:rPr>
        <w:t>: láz, vasculitis, myalgia, arthralgia/art</w:t>
      </w:r>
      <w:r w:rsidRPr="00DC2ECE">
        <w:rPr>
          <w:rFonts w:ascii="Times New Roman" w:hAnsi="Times New Roman"/>
        </w:rPr>
        <w:t>hritis, pozitív antinuclearis antitest (ANA)</w:t>
      </w:r>
      <w:r w:rsidR="00BC3D25">
        <w:rPr>
          <w:rFonts w:ascii="Times New Roman" w:hAnsi="Times New Roman"/>
        </w:rPr>
        <w:t xml:space="preserve"> eredmény</w:t>
      </w:r>
      <w:r w:rsidRPr="00DC2ECE">
        <w:rPr>
          <w:rFonts w:ascii="Times New Roman" w:hAnsi="Times New Roman"/>
        </w:rPr>
        <w:t>, gyorsult vörösvértest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süllyedés, eosinophilia, leukocytosis, bőrkiütés, fotoszenzitivitás vagy egyéb dermatológiai jelenségek.</w:t>
      </w:r>
    </w:p>
    <w:p w14:paraId="06E9444F" w14:textId="7828253E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**</w:t>
      </w:r>
      <w:r w:rsidRPr="00DC2ECE">
        <w:rPr>
          <w:rFonts w:ascii="Times New Roman" w:hAnsi="Times New Roman"/>
        </w:rPr>
        <w:tab/>
        <w:t>Az esetek többségében cholestasis</w:t>
      </w:r>
      <w:r w:rsidR="00D114A8">
        <w:rPr>
          <w:rFonts w:ascii="Times New Roman" w:hAnsi="Times New Roman"/>
        </w:rPr>
        <w:t>sal</w:t>
      </w:r>
    </w:p>
    <w:p w14:paraId="3DEE4658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790D67EB" w14:textId="40ACA178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Klinikai vizsgálatokból származó biztonságossági adatok azt mutatják, hogy a lizinoprilt általában jól tolerálják a hypertoniás gyermekek és serdülők, és a lizinopril biztonságossága ebben a korcsoportban </w:t>
      </w:r>
      <w:r w:rsidRPr="00DC2ECE">
        <w:rPr>
          <w:rFonts w:ascii="Times New Roman" w:hAnsi="Times New Roman"/>
        </w:rPr>
        <w:lastRenderedPageBreak/>
        <w:t>hasonló a felnőtteké</w:t>
      </w:r>
      <w:r w:rsidR="00D114A8">
        <w:rPr>
          <w:rFonts w:ascii="Times New Roman" w:hAnsi="Times New Roman"/>
        </w:rPr>
        <w:t>hez</w:t>
      </w:r>
      <w:r w:rsidRPr="00DC2ECE">
        <w:rPr>
          <w:rFonts w:ascii="Times New Roman" w:hAnsi="Times New Roman"/>
        </w:rPr>
        <w:t>.</w:t>
      </w:r>
    </w:p>
    <w:p w14:paraId="1258AD4B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EFCC0BA" w14:textId="77777777" w:rsidR="00496523" w:rsidRPr="00DC2ECE" w:rsidRDefault="00496523" w:rsidP="00C46DF0">
      <w:pPr>
        <w:tabs>
          <w:tab w:val="left" w:pos="567"/>
        </w:tabs>
        <w:autoSpaceDE w:val="0"/>
        <w:autoSpaceDN w:val="0"/>
        <w:adjustRightInd w:val="0"/>
        <w:rPr>
          <w:rFonts w:ascii="Times New Roman" w:eastAsia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Feltételezett mellékhatások bejelentése</w:t>
      </w:r>
    </w:p>
    <w:p w14:paraId="717A9F65" w14:textId="77777777" w:rsidR="00496523" w:rsidRPr="00DB3BB5" w:rsidRDefault="00496523" w:rsidP="00C46DF0">
      <w:pPr>
        <w:tabs>
          <w:tab w:val="left" w:pos="567"/>
        </w:tabs>
        <w:autoSpaceDE w:val="0"/>
        <w:autoSpaceDN w:val="0"/>
        <w:adjustRightInd w:val="0"/>
        <w:rPr>
          <w:rFonts w:ascii="Times New Roman" w:eastAsia="Times New Roman" w:hAnsi="Times New Roman"/>
          <w:noProof/>
        </w:rPr>
      </w:pPr>
      <w:r w:rsidRPr="00DC2ECE">
        <w:rPr>
          <w:rFonts w:ascii="Times New Roman" w:hAnsi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  <w:r w:rsidR="005F24FF" w:rsidRPr="00DC2ECE">
        <w:rPr>
          <w:rFonts w:ascii="Times New Roman" w:hAnsi="Times New Roman"/>
        </w:rPr>
        <w:t xml:space="preserve">Az egészségügyi szakembereket kérjük, hogy jelentsék be a feltételezett mellékhatásokat a hatóság részére az </w:t>
      </w:r>
      <w:hyperlink r:id="rId11" w:history="1">
        <w:r w:rsidR="005F24FF" w:rsidRPr="00DC2ECE">
          <w:rPr>
            <w:rStyle w:val="Hiperhivatkozs"/>
            <w:rFonts w:ascii="Times New Roman" w:hAnsi="Times New Roman"/>
            <w:highlight w:val="lightGray"/>
          </w:rPr>
          <w:t>V. függ</w:t>
        </w:r>
        <w:r w:rsidR="005F24FF" w:rsidRPr="00406029">
          <w:rPr>
            <w:rStyle w:val="Hiperhivatkozs"/>
            <w:rFonts w:ascii="Times New Roman" w:hAnsi="Times New Roman"/>
            <w:highlight w:val="lightGray"/>
          </w:rPr>
          <w:t>elékben</w:t>
        </w:r>
      </w:hyperlink>
      <w:r w:rsidR="005F24FF" w:rsidRPr="00DC2ECE">
        <w:rPr>
          <w:rFonts w:ascii="Times New Roman" w:hAnsi="Times New Roman"/>
          <w:highlight w:val="lightGray"/>
        </w:rPr>
        <w:t xml:space="preserve"> található elérhetőségek valamelyikén keresztül</w:t>
      </w:r>
      <w:r w:rsidR="005F24FF" w:rsidRPr="0042224A">
        <w:rPr>
          <w:rFonts w:ascii="Times New Roman" w:hAnsi="Times New Roman"/>
          <w:color w:val="008000"/>
        </w:rPr>
        <w:t>.</w:t>
      </w:r>
    </w:p>
    <w:p w14:paraId="0841E167" w14:textId="77777777" w:rsidR="007C3F56" w:rsidRPr="00CB6009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270DBB2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b/>
        </w:rPr>
      </w:pPr>
      <w:r w:rsidRPr="00CB6009">
        <w:rPr>
          <w:rFonts w:ascii="Times New Roman" w:hAnsi="Times New Roman"/>
          <w:b/>
          <w:bCs/>
        </w:rPr>
        <w:t>4.9</w:t>
      </w:r>
      <w:r w:rsidRPr="00CB6009">
        <w:rPr>
          <w:rFonts w:ascii="Times New Roman" w:hAnsi="Times New Roman"/>
          <w:b/>
          <w:bCs/>
        </w:rPr>
        <w:tab/>
        <w:t>Túladagolás</w:t>
      </w:r>
    </w:p>
    <w:p w14:paraId="1EA92D1C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B343ECC" w14:textId="3922986F" w:rsidR="007C3F56" w:rsidRPr="00DC2ECE" w:rsidRDefault="00542D70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Lisidipin </w:t>
      </w:r>
      <w:r w:rsidR="007C3F56" w:rsidRPr="00DC2ECE">
        <w:rPr>
          <w:rFonts w:ascii="Times New Roman" w:hAnsi="Times New Roman"/>
        </w:rPr>
        <w:t>tablettával történő humán túladagolásról nincs adat.</w:t>
      </w:r>
    </w:p>
    <w:p w14:paraId="7E59F7B7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C811EFD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 lizinopril túladagolásával kapcsolatosan</w:t>
      </w:r>
    </w:p>
    <w:p w14:paraId="608EC552" w14:textId="476FB8CB" w:rsidR="007C3F56" w:rsidRPr="005401E2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túladagolásáról korlátozott mennyiségű humán adat áll rendelkezésre.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túladagolásának tünetei</w:t>
      </w:r>
      <w:r w:rsidR="00C47C88">
        <w:rPr>
          <w:rFonts w:ascii="Times New Roman" w:hAnsi="Times New Roman"/>
        </w:rPr>
        <w:t xml:space="preserve"> többek között a</w:t>
      </w:r>
      <w:r w:rsidRPr="00DC2ECE">
        <w:rPr>
          <w:rFonts w:ascii="Times New Roman" w:hAnsi="Times New Roman"/>
        </w:rPr>
        <w:t xml:space="preserve"> hypot</w:t>
      </w:r>
      <w:r w:rsidR="00406029">
        <w:rPr>
          <w:rFonts w:ascii="Times New Roman" w:hAnsi="Times New Roman"/>
        </w:rPr>
        <w:t>onia</w:t>
      </w:r>
      <w:r w:rsidRPr="00406029">
        <w:rPr>
          <w:rFonts w:ascii="Times New Roman" w:hAnsi="Times New Roman"/>
        </w:rPr>
        <w:t xml:space="preserve">, keringési sokk, elektrolitzavarok, veseelégtelenség, hyperventilatio, tachycardia, palpitatio, bradycardia, szédülés, szorongás és </w:t>
      </w:r>
      <w:r w:rsidRPr="00C47C88">
        <w:rPr>
          <w:rFonts w:ascii="Times New Roman" w:hAnsi="Times New Roman"/>
        </w:rPr>
        <w:t>köhögés.</w:t>
      </w:r>
    </w:p>
    <w:p w14:paraId="6034CCD4" w14:textId="77777777" w:rsidR="007C3F56" w:rsidRPr="00CB6009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4A2CC63" w14:textId="243099D2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javasolt kezelés túladagolás esetén fiziológiás nátrium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klorid oldat intravénás infúziója. Hypotonia jelentkezése esetén a beteget a s</w:t>
      </w:r>
      <w:r w:rsidR="00C47C88">
        <w:rPr>
          <w:rFonts w:ascii="Times New Roman" w:hAnsi="Times New Roman"/>
        </w:rPr>
        <w:t>okk</w:t>
      </w:r>
      <w:r w:rsidR="005F24FF" w:rsidRPr="00C47C88">
        <w:rPr>
          <w:rFonts w:ascii="Times New Roman" w:hAnsi="Times New Roman"/>
        </w:rPr>
        <w:noBreakHyphen/>
      </w:r>
      <w:r w:rsidRPr="00C47C88">
        <w:rPr>
          <w:rFonts w:ascii="Times New Roman" w:hAnsi="Times New Roman"/>
        </w:rPr>
        <w:t>fektetés</w:t>
      </w:r>
      <w:r w:rsidR="00C47C88">
        <w:rPr>
          <w:rFonts w:ascii="Times New Roman" w:hAnsi="Times New Roman"/>
        </w:rPr>
        <w:t>ben kell elhelyezni</w:t>
      </w:r>
      <w:r w:rsidRPr="00C47C88">
        <w:rPr>
          <w:rFonts w:ascii="Times New Roman" w:hAnsi="Times New Roman"/>
        </w:rPr>
        <w:t>. Amennyiben rendelkezésre áll, angiotenzin</w:t>
      </w:r>
      <w:r w:rsidR="005F24FF" w:rsidRPr="00C47C88">
        <w:rPr>
          <w:rFonts w:ascii="Times New Roman" w:hAnsi="Times New Roman"/>
        </w:rPr>
        <w:t> </w:t>
      </w:r>
      <w:r w:rsidRPr="005401E2">
        <w:rPr>
          <w:rFonts w:ascii="Times New Roman" w:hAnsi="Times New Roman"/>
        </w:rPr>
        <w:t>II infúzió és/vagy k</w:t>
      </w:r>
      <w:r w:rsidRPr="00CB6009">
        <w:rPr>
          <w:rFonts w:ascii="Times New Roman" w:hAnsi="Times New Roman"/>
        </w:rPr>
        <w:t xml:space="preserve">atekolaminok intravénás adása is megfontolandó. Ha a </w:t>
      </w:r>
      <w:r w:rsidR="00BC3D25">
        <w:rPr>
          <w:rFonts w:ascii="Times New Roman" w:hAnsi="Times New Roman"/>
        </w:rPr>
        <w:t>bevétel</w:t>
      </w:r>
      <w:r w:rsidR="00BC3D25" w:rsidRPr="00CB6009">
        <w:rPr>
          <w:rFonts w:ascii="Times New Roman" w:hAnsi="Times New Roman"/>
        </w:rPr>
        <w:t xml:space="preserve"> </w:t>
      </w:r>
      <w:r w:rsidRPr="00CB6009">
        <w:rPr>
          <w:rFonts w:ascii="Times New Roman" w:hAnsi="Times New Roman"/>
        </w:rPr>
        <w:t>nemrég történt, a lizinopril eliminációjára k</w:t>
      </w:r>
      <w:r w:rsidRPr="00DC2ECE">
        <w:rPr>
          <w:rFonts w:ascii="Times New Roman" w:hAnsi="Times New Roman"/>
        </w:rPr>
        <w:t>ell törekedni (pl. hánytatás, gyomormosás, abszorbensek és nátrium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szulfát adása). A lizinopril a keringésből hemodialízissel </w:t>
      </w:r>
      <w:r w:rsidR="00C47C88">
        <w:rPr>
          <w:rFonts w:ascii="Times New Roman" w:hAnsi="Times New Roman"/>
        </w:rPr>
        <w:t>el</w:t>
      </w:r>
      <w:r w:rsidRPr="00C47C88">
        <w:rPr>
          <w:rFonts w:ascii="Times New Roman" w:hAnsi="Times New Roman"/>
        </w:rPr>
        <w:t>távolítható (lásd 4.4</w:t>
      </w:r>
      <w:r w:rsidR="005F24FF" w:rsidRPr="00C47C88">
        <w:rPr>
          <w:rFonts w:ascii="Times New Roman" w:hAnsi="Times New Roman"/>
        </w:rPr>
        <w:t> pont</w:t>
      </w:r>
      <w:r w:rsidRPr="00C47C88">
        <w:rPr>
          <w:rFonts w:ascii="Times New Roman" w:hAnsi="Times New Roman"/>
        </w:rPr>
        <w:t>). Terápiarezisztens bradycardia esetén pacemaker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kezelés indokolt. Az életfunkciókat, a szérum ele</w:t>
      </w:r>
      <w:r w:rsidR="00E320CD">
        <w:rPr>
          <w:rFonts w:ascii="Times New Roman" w:hAnsi="Times New Roman"/>
        </w:rPr>
        <w:t>k</w:t>
      </w:r>
      <w:r w:rsidRPr="00DC2ECE">
        <w:rPr>
          <w:rFonts w:ascii="Times New Roman" w:hAnsi="Times New Roman"/>
        </w:rPr>
        <w:t>trolit</w:t>
      </w:r>
      <w:r w:rsidR="00E320CD">
        <w:rPr>
          <w:rFonts w:ascii="Times New Roman" w:hAnsi="Times New Roman"/>
        </w:rPr>
        <w:t>szintjei</w:t>
      </w:r>
      <w:r w:rsidRPr="00DC2ECE">
        <w:rPr>
          <w:rFonts w:ascii="Times New Roman" w:hAnsi="Times New Roman"/>
        </w:rPr>
        <w:t>t és a kreatininkoncentrációt gyakran kell ellenőrizni.</w:t>
      </w:r>
    </w:p>
    <w:p w14:paraId="5487D6F8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7A4EBC3C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Az amlodipin túladagolásával kapcsolatosan</w:t>
      </w:r>
    </w:p>
    <w:p w14:paraId="39984953" w14:textId="7789C3E9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Embern</w:t>
      </w:r>
      <w:r w:rsidR="00E320CD">
        <w:rPr>
          <w:rFonts w:ascii="Times New Roman" w:hAnsi="Times New Roman"/>
        </w:rPr>
        <w:t>él</w:t>
      </w:r>
      <w:r w:rsidRPr="00DC2ECE">
        <w:rPr>
          <w:rFonts w:ascii="Times New Roman" w:hAnsi="Times New Roman"/>
        </w:rPr>
        <w:t xml:space="preserve"> a szándékos túladagolással kapcsolatos tapasztalatok korlátozottak.</w:t>
      </w:r>
    </w:p>
    <w:p w14:paraId="2241D4FD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294AD99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Tünetek</w:t>
      </w:r>
    </w:p>
    <w:p w14:paraId="2CD4AF8F" w14:textId="7B2DAB71" w:rsidR="007C3F56" w:rsidRPr="00C47C88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rendelkezésre álló adatok arra utalnak, hogy a nagymértékű túladagolás fokozott perifériás </w:t>
      </w:r>
      <w:r w:rsidR="006239B1">
        <w:rPr>
          <w:rFonts w:ascii="Times New Roman" w:hAnsi="Times New Roman"/>
        </w:rPr>
        <w:t>vazodilatáció</w:t>
      </w:r>
      <w:r w:rsidR="006239B1" w:rsidRPr="00DC2ECE">
        <w:rPr>
          <w:rFonts w:ascii="Times New Roman" w:hAnsi="Times New Roman"/>
        </w:rPr>
        <w:t>t</w:t>
      </w:r>
      <w:r w:rsidRPr="00DC2ECE">
        <w:rPr>
          <w:rFonts w:ascii="Times New Roman" w:hAnsi="Times New Roman"/>
        </w:rPr>
        <w:t xml:space="preserve">, és valószínűleg reflex tachycardiát okozhat. </w:t>
      </w:r>
      <w:r w:rsidR="00C47C88">
        <w:rPr>
          <w:rFonts w:ascii="Times New Roman" w:hAnsi="Times New Roman"/>
        </w:rPr>
        <w:t>Beszámoltak k</w:t>
      </w:r>
      <w:r w:rsidRPr="00C47C88">
        <w:rPr>
          <w:rFonts w:ascii="Times New Roman" w:hAnsi="Times New Roman"/>
        </w:rPr>
        <w:t>ifejezett és feltehetően tartós, szisztémás hypot</w:t>
      </w:r>
      <w:r w:rsidR="00C47C88">
        <w:rPr>
          <w:rFonts w:ascii="Times New Roman" w:hAnsi="Times New Roman"/>
        </w:rPr>
        <w:t>oniáról</w:t>
      </w:r>
      <w:r w:rsidRPr="00C47C88">
        <w:rPr>
          <w:rFonts w:ascii="Times New Roman" w:hAnsi="Times New Roman"/>
        </w:rPr>
        <w:t xml:space="preserve"> – beleértve a halálos kimenetelű s</w:t>
      </w:r>
      <w:r w:rsidR="00C47C88">
        <w:rPr>
          <w:rFonts w:ascii="Times New Roman" w:hAnsi="Times New Roman"/>
        </w:rPr>
        <w:t>okkot</w:t>
      </w:r>
      <w:r w:rsidRPr="00C47C88">
        <w:rPr>
          <w:rFonts w:ascii="Times New Roman" w:hAnsi="Times New Roman"/>
        </w:rPr>
        <w:t xml:space="preserve"> is</w:t>
      </w:r>
      <w:r w:rsidR="00C47C88">
        <w:rPr>
          <w:rFonts w:ascii="Times New Roman" w:hAnsi="Times New Roman"/>
        </w:rPr>
        <w:t>.</w:t>
      </w:r>
    </w:p>
    <w:p w14:paraId="765FC6C8" w14:textId="1CA2DBA4" w:rsidR="007C3F56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2ED0E9FC" w14:textId="459CB768" w:rsidR="00923478" w:rsidRPr="00EE76CE" w:rsidRDefault="00923478" w:rsidP="00C46DF0">
      <w:pPr>
        <w:widowControl w:val="0"/>
        <w:rPr>
          <w:rFonts w:ascii="Times New Roman" w:hAnsi="Times New Roman"/>
        </w:rPr>
      </w:pPr>
      <w:r w:rsidRPr="00EE76CE">
        <w:rPr>
          <w:rFonts w:ascii="Times New Roman" w:hAnsi="Times New Roman"/>
        </w:rPr>
        <w:t>Ritka előfordulási gyakorisággal nem kardiogén eredetű tüdőödémát jelentettek az amlodipin-túladagolás következményeként, amely késői kezdettel (24-48 órával a bevétel után) jelentkezhet, és légzéstámogatást tesz szükségessé. A perfúzió és a perctérfogat fenntartására irányuló korai újraélesztési intézkedések (beleértve a folyadéktúlterhelést) kiváltó tényezők lehetnek.</w:t>
      </w:r>
    </w:p>
    <w:p w14:paraId="2834E8AD" w14:textId="77777777" w:rsidR="00923478" w:rsidRPr="00CB6009" w:rsidRDefault="00923478" w:rsidP="00C46DF0">
      <w:pPr>
        <w:widowControl w:val="0"/>
        <w:rPr>
          <w:rFonts w:ascii="Times New Roman" w:hAnsi="Times New Roman"/>
          <w:lang w:val="en-GB"/>
        </w:rPr>
      </w:pPr>
    </w:p>
    <w:p w14:paraId="5359CB95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Kezelés</w:t>
      </w:r>
    </w:p>
    <w:p w14:paraId="36E406BE" w14:textId="66884804" w:rsidR="007C3F56" w:rsidRPr="00751788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Túladagolás </w:t>
      </w:r>
      <w:r w:rsidR="00751788">
        <w:rPr>
          <w:rFonts w:ascii="Times New Roman" w:hAnsi="Times New Roman"/>
        </w:rPr>
        <w:t>miatti</w:t>
      </w:r>
      <w:r w:rsidRPr="00751788">
        <w:rPr>
          <w:rFonts w:ascii="Times New Roman" w:hAnsi="Times New Roman"/>
        </w:rPr>
        <w:t>, klinikailag jelentős hypotonia jelentkezésekor aktív cardiovascularis támogatás</w:t>
      </w:r>
      <w:r w:rsidR="00751788">
        <w:rPr>
          <w:rFonts w:ascii="Times New Roman" w:hAnsi="Times New Roman"/>
        </w:rPr>
        <w:t xml:space="preserve"> szükséges</w:t>
      </w:r>
      <w:r w:rsidRPr="00751788">
        <w:rPr>
          <w:rFonts w:ascii="Times New Roman" w:hAnsi="Times New Roman"/>
        </w:rPr>
        <w:t xml:space="preserve">, </w:t>
      </w:r>
      <w:r w:rsidR="00751788">
        <w:rPr>
          <w:rFonts w:ascii="Times New Roman" w:hAnsi="Times New Roman"/>
        </w:rPr>
        <w:t xml:space="preserve">beleértve </w:t>
      </w:r>
      <w:r w:rsidRPr="00751788">
        <w:rPr>
          <w:rFonts w:ascii="Times New Roman" w:hAnsi="Times New Roman"/>
        </w:rPr>
        <w:t>a szívműködés és légzésfunkció gyakori monitorozás</w:t>
      </w:r>
      <w:r w:rsidR="00751788">
        <w:rPr>
          <w:rFonts w:ascii="Times New Roman" w:hAnsi="Times New Roman"/>
        </w:rPr>
        <w:t>át</w:t>
      </w:r>
      <w:r w:rsidRPr="00751788">
        <w:rPr>
          <w:rFonts w:ascii="Times New Roman" w:hAnsi="Times New Roman"/>
        </w:rPr>
        <w:t xml:space="preserve">, a végtagok magasra </w:t>
      </w:r>
      <w:r w:rsidR="006239B1">
        <w:rPr>
          <w:rFonts w:ascii="Times New Roman" w:hAnsi="Times New Roman"/>
        </w:rPr>
        <w:t>emelését</w:t>
      </w:r>
      <w:r w:rsidRPr="00751788">
        <w:rPr>
          <w:rFonts w:ascii="Times New Roman" w:hAnsi="Times New Roman"/>
        </w:rPr>
        <w:t>, a keringő folyadéktérfogat és a vizelet mennyiségének ellenőrzés</w:t>
      </w:r>
      <w:r w:rsidR="00751788">
        <w:rPr>
          <w:rFonts w:ascii="Times New Roman" w:hAnsi="Times New Roman"/>
        </w:rPr>
        <w:t>ét</w:t>
      </w:r>
      <w:r w:rsidRPr="00751788">
        <w:rPr>
          <w:rFonts w:ascii="Times New Roman" w:hAnsi="Times New Roman"/>
        </w:rPr>
        <w:t>.</w:t>
      </w:r>
    </w:p>
    <w:p w14:paraId="64E38B47" w14:textId="3256FBFC" w:rsidR="007C3F56" w:rsidRPr="00DC2ECE" w:rsidRDefault="00751788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C21423">
        <w:rPr>
          <w:rFonts w:ascii="Times New Roman" w:hAnsi="Times New Roman"/>
        </w:rPr>
        <w:t>z értónus és a vérnyomás normalizálására vazokonstriktor adható</w:t>
      </w:r>
      <w:r>
        <w:rPr>
          <w:rFonts w:ascii="Times New Roman" w:hAnsi="Times New Roman"/>
        </w:rPr>
        <w:t>, h</w:t>
      </w:r>
      <w:r w:rsidR="007C3F56" w:rsidRPr="00751788">
        <w:rPr>
          <w:rFonts w:ascii="Times New Roman" w:hAnsi="Times New Roman"/>
        </w:rPr>
        <w:t>a alkalmazása nem ellenjavallt</w:t>
      </w:r>
      <w:r w:rsidR="007C3F56" w:rsidRPr="00DC2ECE">
        <w:rPr>
          <w:rFonts w:ascii="Times New Roman" w:hAnsi="Times New Roman"/>
        </w:rPr>
        <w:t>. A kalciumcsatorna</w:t>
      </w:r>
      <w:r w:rsidR="005F24FF" w:rsidRPr="00DC2ECE">
        <w:rPr>
          <w:rFonts w:ascii="Times New Roman" w:hAnsi="Times New Roman"/>
        </w:rPr>
        <w:noBreakHyphen/>
      </w:r>
      <w:r w:rsidR="007C3F56" w:rsidRPr="00DC2ECE">
        <w:rPr>
          <w:rFonts w:ascii="Times New Roman" w:hAnsi="Times New Roman"/>
        </w:rPr>
        <w:t>blokkoló hatás megszüntetésére intravénás</w:t>
      </w:r>
      <w:r w:rsidR="006239B1">
        <w:rPr>
          <w:rFonts w:ascii="Times New Roman" w:hAnsi="Times New Roman"/>
        </w:rPr>
        <w:t>an</w:t>
      </w:r>
      <w:r w:rsidR="007C3F56" w:rsidRPr="00DC2ECE">
        <w:rPr>
          <w:rFonts w:ascii="Times New Roman" w:hAnsi="Times New Roman"/>
        </w:rPr>
        <w:t xml:space="preserve"> kalcium</w:t>
      </w:r>
      <w:r w:rsidR="005F24FF" w:rsidRPr="00DC2ECE">
        <w:rPr>
          <w:rFonts w:ascii="Times New Roman" w:hAnsi="Times New Roman"/>
        </w:rPr>
        <w:noBreakHyphen/>
      </w:r>
      <w:r w:rsidR="007C3F56" w:rsidRPr="00DC2ECE">
        <w:rPr>
          <w:rFonts w:ascii="Times New Roman" w:hAnsi="Times New Roman"/>
        </w:rPr>
        <w:t>glükonát adása hasznos lehet.</w:t>
      </w:r>
    </w:p>
    <w:p w14:paraId="0862FDFC" w14:textId="2059DC08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Esetenként a gyomormosás hasznos lehet. Egészséges önkénteseknél </w:t>
      </w:r>
      <w:r w:rsidR="00751788">
        <w:rPr>
          <w:rFonts w:ascii="Times New Roman" w:hAnsi="Times New Roman"/>
        </w:rPr>
        <w:t xml:space="preserve">a </w:t>
      </w:r>
      <w:r w:rsidRPr="00751788">
        <w:rPr>
          <w:rFonts w:ascii="Times New Roman" w:hAnsi="Times New Roman"/>
        </w:rPr>
        <w:t>10</w:t>
      </w:r>
      <w:r w:rsidR="005F24FF" w:rsidRPr="00751788">
        <w:rPr>
          <w:rFonts w:ascii="Times New Roman" w:hAnsi="Times New Roman"/>
        </w:rPr>
        <w:t> mg</w:t>
      </w:r>
      <w:r w:rsidRPr="005401E2">
        <w:rPr>
          <w:rFonts w:ascii="Times New Roman" w:hAnsi="Times New Roman"/>
        </w:rPr>
        <w:t xml:space="preserve"> amlodipin bevétele után azonnal vagy 2</w:t>
      </w:r>
      <w:r w:rsidR="005F24FF" w:rsidRPr="00CB6009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>án belül adott aktív szén csökkentette az amlodipin felszívódását.</w:t>
      </w:r>
    </w:p>
    <w:p w14:paraId="58B66232" w14:textId="599B2592" w:rsidR="007C3F56" w:rsidRPr="00751788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Mivel az amlodipin nagymértékben kötődik plazmafehérjékhez, a dialízis alkalmazása valószínűleg nem j</w:t>
      </w:r>
      <w:r w:rsidR="00751788">
        <w:rPr>
          <w:rFonts w:ascii="Times New Roman" w:hAnsi="Times New Roman"/>
        </w:rPr>
        <w:t xml:space="preserve">elent előnyt. </w:t>
      </w:r>
    </w:p>
    <w:p w14:paraId="67E1F419" w14:textId="77777777" w:rsidR="007C3F56" w:rsidRPr="005401E2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25E5E6A" w14:textId="5E1A561B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1151A2">
        <w:rPr>
          <w:rFonts w:ascii="Times New Roman" w:hAnsi="Times New Roman"/>
        </w:rPr>
        <w:t>A</w:t>
      </w:r>
      <w:r w:rsidRPr="00751788">
        <w:rPr>
          <w:rFonts w:ascii="Times New Roman" w:hAnsi="Times New Roman"/>
          <w:i/>
          <w:iCs/>
        </w:rPr>
        <w:t xml:space="preserve"> </w:t>
      </w:r>
      <w:r w:rsidR="00542D70">
        <w:rPr>
          <w:rFonts w:ascii="Times New Roman" w:hAnsi="Times New Roman"/>
          <w:i/>
          <w:iCs/>
        </w:rPr>
        <w:t xml:space="preserve">Lisidipin </w:t>
      </w:r>
      <w:r w:rsidRPr="00A043DC">
        <w:rPr>
          <w:rFonts w:ascii="Times New Roman" w:hAnsi="Times New Roman"/>
          <w:i/>
          <w:iCs/>
        </w:rPr>
        <w:t>túladagolása</w:t>
      </w:r>
      <w:r w:rsidRPr="00A043DC">
        <w:rPr>
          <w:rFonts w:ascii="Times New Roman" w:hAnsi="Times New Roman"/>
        </w:rPr>
        <w:t xml:space="preserve"> </w:t>
      </w:r>
      <w:r w:rsidR="006239B1">
        <w:rPr>
          <w:rFonts w:ascii="Times New Roman" w:hAnsi="Times New Roman"/>
        </w:rPr>
        <w:t>nagy</w:t>
      </w:r>
      <w:r w:rsidRPr="00A043DC">
        <w:rPr>
          <w:rFonts w:ascii="Times New Roman" w:hAnsi="Times New Roman"/>
        </w:rPr>
        <w:t>mértékű perifériás értágulatot eredményezhet jelentős hypotoniával, keringés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összeomlással, elektrolitzavarokkal, veseelégtelenséggel, hyperventilatióval, tachycardiával, szívdobogásérzéssel, bradycardiával, szédüléssel, szorongással és köhögéssel. Tüneti kezelés (a beteg hanyatt fektetése, a szívműködés, légzés, vérnyomás, a folyadék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és elektrolitháztartás, </w:t>
      </w:r>
      <w:r w:rsidR="00A043DC">
        <w:rPr>
          <w:rFonts w:ascii="Times New Roman" w:hAnsi="Times New Roman"/>
        </w:rPr>
        <w:t>valamint</w:t>
      </w:r>
      <w:r w:rsidR="00A043DC" w:rsidRPr="00A043DC">
        <w:rPr>
          <w:rFonts w:ascii="Times New Roman" w:hAnsi="Times New Roman"/>
        </w:rPr>
        <w:t xml:space="preserve"> </w:t>
      </w:r>
      <w:r w:rsidRPr="00A043DC">
        <w:rPr>
          <w:rFonts w:ascii="Times New Roman" w:hAnsi="Times New Roman"/>
        </w:rPr>
        <w:t xml:space="preserve">a kreatininszintek monitorozása és szükség szerinti korrekciója) javasolt. Súlyos hypotonia esetén a </w:t>
      </w:r>
      <w:r w:rsidR="006239B1">
        <w:rPr>
          <w:rFonts w:ascii="Times New Roman" w:hAnsi="Times New Roman"/>
        </w:rPr>
        <w:t>lábakat</w:t>
      </w:r>
      <w:r w:rsidRPr="00A043DC">
        <w:rPr>
          <w:rFonts w:ascii="Times New Roman" w:hAnsi="Times New Roman"/>
        </w:rPr>
        <w:t xml:space="preserve"> fel kell emelni, és ha az intravénás folyadékpótlás nem </w:t>
      </w:r>
      <w:r w:rsidR="00A043DC">
        <w:rPr>
          <w:rFonts w:ascii="Times New Roman" w:hAnsi="Times New Roman"/>
        </w:rPr>
        <w:t>eredményez</w:t>
      </w:r>
      <w:r w:rsidRPr="00A043DC">
        <w:rPr>
          <w:rFonts w:ascii="Times New Roman" w:hAnsi="Times New Roman"/>
        </w:rPr>
        <w:t xml:space="preserve"> kielégítő reakciót, akkor támogató kezelés mellett perifériás vazopresszor adása válhat szükségessé, amennyiben nem áll fenn </w:t>
      </w:r>
      <w:r w:rsidRPr="00A043DC">
        <w:rPr>
          <w:rFonts w:ascii="Times New Roman" w:hAnsi="Times New Roman"/>
        </w:rPr>
        <w:lastRenderedPageBreak/>
        <w:t>ellenjavallat. Ha rendelkezésre áll, angiotenzin</w:t>
      </w:r>
      <w:r w:rsidR="005F24FF" w:rsidRPr="005401E2">
        <w:rPr>
          <w:rFonts w:ascii="Times New Roman" w:hAnsi="Times New Roman"/>
        </w:rPr>
        <w:noBreakHyphen/>
      </w:r>
      <w:r w:rsidRPr="00CB6009">
        <w:rPr>
          <w:rFonts w:ascii="Times New Roman" w:hAnsi="Times New Roman"/>
        </w:rPr>
        <w:t>II infúzió adása is mérlegelhető. Kalcium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glükonát intravénás adása elősegítheti a kalciumcsatorna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blokád megszüntetését.</w:t>
      </w:r>
    </w:p>
    <w:p w14:paraId="5958E199" w14:textId="78A68D58" w:rsidR="007C3F56" w:rsidRPr="00A043DC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lizinopril hemodialízissel eltávolítható a szisztémás keringésből. A </w:t>
      </w:r>
      <w:r w:rsidR="00A043DC">
        <w:rPr>
          <w:rFonts w:ascii="Times New Roman" w:hAnsi="Times New Roman"/>
        </w:rPr>
        <w:t>nagy átáramlási sebességű</w:t>
      </w:r>
      <w:r w:rsidRPr="00A043DC">
        <w:rPr>
          <w:rFonts w:ascii="Times New Roman" w:hAnsi="Times New Roman"/>
        </w:rPr>
        <w:t xml:space="preserve"> poliakrilonitril membrán </w:t>
      </w:r>
      <w:r w:rsidR="00A043DC">
        <w:rPr>
          <w:rFonts w:ascii="Times New Roman" w:hAnsi="Times New Roman"/>
        </w:rPr>
        <w:t xml:space="preserve">alkalmazása </w:t>
      </w:r>
      <w:r w:rsidRPr="00A043DC">
        <w:rPr>
          <w:rFonts w:ascii="Times New Roman" w:hAnsi="Times New Roman"/>
        </w:rPr>
        <w:t>a dialízis alatt kerülendő.</w:t>
      </w:r>
    </w:p>
    <w:p w14:paraId="41D3834C" w14:textId="77777777" w:rsidR="007C3F56" w:rsidRPr="00CB6009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A60D6D8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201F0D50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5.</w:t>
      </w:r>
      <w:r w:rsidRPr="00DC2ECE">
        <w:rPr>
          <w:rFonts w:ascii="Times New Roman" w:hAnsi="Times New Roman"/>
          <w:b/>
          <w:bCs/>
        </w:rPr>
        <w:tab/>
        <w:t>FARMAKOLÓGIAI TULAJDONSÁGOK</w:t>
      </w:r>
    </w:p>
    <w:p w14:paraId="624E7EAB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785E4055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5.1</w:t>
      </w:r>
      <w:r w:rsidRPr="00DC2ECE">
        <w:rPr>
          <w:rFonts w:ascii="Times New Roman" w:hAnsi="Times New Roman"/>
          <w:b/>
          <w:bCs/>
        </w:rPr>
        <w:tab/>
        <w:t>Farmakodinámiás tulajdonságok</w:t>
      </w:r>
    </w:p>
    <w:p w14:paraId="52D6F164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1AF7748E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Farmakoterápiás csoport: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gátlók és kalciumcsatorna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blokkolók, lizinopril és amlodipin, ATC kód: C09BB03</w:t>
      </w:r>
    </w:p>
    <w:p w14:paraId="223F1C4B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A2D1F44" w14:textId="636C4D81" w:rsidR="007C3F56" w:rsidRPr="00DC2ECE" w:rsidRDefault="00B61158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</w:t>
      </w:r>
      <w:r w:rsidR="00542D70">
        <w:rPr>
          <w:rFonts w:ascii="Times New Roman" w:hAnsi="Times New Roman"/>
        </w:rPr>
        <w:t>Lisidipin</w:t>
      </w:r>
      <w:r w:rsidR="009749D6">
        <w:rPr>
          <w:rFonts w:ascii="Times New Roman" w:hAnsi="Times New Roman"/>
        </w:rPr>
        <w:t xml:space="preserve"> </w:t>
      </w:r>
      <w:r w:rsidR="006239B1">
        <w:rPr>
          <w:rFonts w:ascii="Times New Roman" w:hAnsi="Times New Roman"/>
        </w:rPr>
        <w:t>fix</w:t>
      </w:r>
      <w:r w:rsidR="006239B1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dózisú kombináció</w:t>
      </w:r>
      <w:r w:rsidR="006239B1">
        <w:rPr>
          <w:rFonts w:ascii="Times New Roman" w:hAnsi="Times New Roman"/>
        </w:rPr>
        <w:t xml:space="preserve">, </w:t>
      </w:r>
      <w:r w:rsidRPr="00DC2ECE">
        <w:rPr>
          <w:rFonts w:ascii="Times New Roman" w:hAnsi="Times New Roman"/>
        </w:rPr>
        <w:t>a lizinopril és az amlodipin hatóanyagokat</w:t>
      </w:r>
      <w:r w:rsidR="006239B1" w:rsidRPr="006239B1">
        <w:rPr>
          <w:rFonts w:ascii="Times New Roman" w:hAnsi="Times New Roman"/>
        </w:rPr>
        <w:t xml:space="preserve"> </w:t>
      </w:r>
      <w:r w:rsidR="006239B1" w:rsidRPr="00DC2ECE">
        <w:rPr>
          <w:rFonts w:ascii="Times New Roman" w:hAnsi="Times New Roman"/>
        </w:rPr>
        <w:t>tartalmazza</w:t>
      </w:r>
      <w:r w:rsidRPr="00DC2ECE">
        <w:rPr>
          <w:rFonts w:ascii="Times New Roman" w:hAnsi="Times New Roman"/>
        </w:rPr>
        <w:t>.</w:t>
      </w:r>
    </w:p>
    <w:p w14:paraId="6015727B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31D5BF69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Lizinopril</w:t>
      </w:r>
    </w:p>
    <w:p w14:paraId="701CFA1B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22B3CB48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Hatásmechanizmus</w:t>
      </w:r>
    </w:p>
    <w:p w14:paraId="668A4B2B" w14:textId="3562AC7E" w:rsidR="007C3F56" w:rsidRPr="00DC2ECE" w:rsidRDefault="007C3F56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lizinopril egy peptidil</w:t>
      </w:r>
      <w:r w:rsidR="006B0C17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dipeptidáz inhibitor.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Azt az angiotenzin konvertáló enzimet (ACE) gátolja, amely katalizálja az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 átalakulását a vazokonstriktor peptid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vé.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Az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 a mellékvesekéreg aldoszteron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szekrécióját is serkenti. Az ACE</w:t>
      </w:r>
      <w:r w:rsidR="008E2AD1">
        <w:rPr>
          <w:rFonts w:ascii="Times New Roman" w:hAnsi="Times New Roman"/>
        </w:rPr>
        <w:t>-</w:t>
      </w:r>
      <w:r w:rsidRPr="008E2AD1">
        <w:rPr>
          <w:rFonts w:ascii="Times New Roman" w:hAnsi="Times New Roman"/>
        </w:rPr>
        <w:t>gátlás csökkenti az angiotenzin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 koncentrációját, aminek eredménye a csökkent vazopresszor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aktivitás és ugyancsak csökkent aldoszteron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szekréció. Ez utóbbi csökkenése emelkedett szérum</w:t>
      </w:r>
      <w:r w:rsidR="006B0C17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káliumkoncentrációt eredményezhet.</w:t>
      </w:r>
    </w:p>
    <w:p w14:paraId="62728B6F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5F5C00DB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Farmakodinámiás hatások</w:t>
      </w:r>
    </w:p>
    <w:p w14:paraId="6799C219" w14:textId="2580391D" w:rsidR="007C3F56" w:rsidRPr="00B418B6" w:rsidRDefault="007C3F56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Ugyan a lizinopril vérnyomáscsökkentő hatását vélhetően főként a renin</w:t>
      </w:r>
      <w:r w:rsidR="00B418B6">
        <w:rPr>
          <w:rFonts w:ascii="Times New Roman" w:hAnsi="Times New Roman"/>
        </w:rPr>
        <w:t>-</w:t>
      </w:r>
      <w:r w:rsidRPr="00B418B6">
        <w:rPr>
          <w:rFonts w:ascii="Times New Roman" w:hAnsi="Times New Roman"/>
        </w:rPr>
        <w:t>angiotenzin</w:t>
      </w:r>
      <w:r w:rsidR="00B418B6">
        <w:rPr>
          <w:rFonts w:ascii="Times New Roman" w:hAnsi="Times New Roman"/>
        </w:rPr>
        <w:t>-</w:t>
      </w:r>
      <w:r w:rsidRPr="00B418B6">
        <w:rPr>
          <w:rFonts w:ascii="Times New Roman" w:hAnsi="Times New Roman"/>
        </w:rPr>
        <w:t xml:space="preserve">aldoszteron rendszer működésének </w:t>
      </w:r>
      <w:r w:rsidR="006B0C17">
        <w:rPr>
          <w:rFonts w:ascii="Times New Roman" w:hAnsi="Times New Roman"/>
        </w:rPr>
        <w:t>gátlásán</w:t>
      </w:r>
      <w:r w:rsidR="006B0C17" w:rsidRPr="00B418B6">
        <w:rPr>
          <w:rFonts w:ascii="Times New Roman" w:hAnsi="Times New Roman"/>
        </w:rPr>
        <w:t xml:space="preserve"> </w:t>
      </w:r>
      <w:r w:rsidRPr="00B418B6">
        <w:rPr>
          <w:rFonts w:ascii="Times New Roman" w:hAnsi="Times New Roman"/>
        </w:rPr>
        <w:t xml:space="preserve">keresztül éri el, ennek ellenére </w:t>
      </w:r>
      <w:r w:rsidR="00B418B6">
        <w:rPr>
          <w:rFonts w:ascii="Times New Roman" w:hAnsi="Times New Roman"/>
        </w:rPr>
        <w:t xml:space="preserve">a lizinopril </w:t>
      </w:r>
      <w:r w:rsidRPr="00B418B6">
        <w:rPr>
          <w:rFonts w:ascii="Times New Roman" w:hAnsi="Times New Roman"/>
        </w:rPr>
        <w:t xml:space="preserve">az alacsony reninszint miatti hypertoniában is antihipertenzív hatásúnak bizonyult. Az ACE azonos a </w:t>
      </w:r>
      <w:r w:rsidR="00B418B6" w:rsidRPr="00B418B6">
        <w:rPr>
          <w:rFonts w:ascii="Times New Roman" w:hAnsi="Times New Roman"/>
        </w:rPr>
        <w:t>kinináz</w:t>
      </w:r>
      <w:r w:rsidR="00B418B6" w:rsidRPr="00B418B6">
        <w:rPr>
          <w:rFonts w:ascii="Times New Roman" w:hAnsi="Times New Roman"/>
        </w:rPr>
        <w:noBreakHyphen/>
        <w:t>II emzimmel</w:t>
      </w:r>
      <w:r w:rsidR="00B418B6">
        <w:rPr>
          <w:rFonts w:ascii="Times New Roman" w:hAnsi="Times New Roman"/>
        </w:rPr>
        <w:t>, amely lebontja a</w:t>
      </w:r>
      <w:r w:rsidR="00B418B6" w:rsidRPr="00B418B6">
        <w:rPr>
          <w:rFonts w:ascii="Times New Roman" w:hAnsi="Times New Roman"/>
        </w:rPr>
        <w:t xml:space="preserve"> </w:t>
      </w:r>
      <w:r w:rsidRPr="00B418B6">
        <w:rPr>
          <w:rFonts w:ascii="Times New Roman" w:hAnsi="Times New Roman"/>
        </w:rPr>
        <w:t>bradikinint.</w:t>
      </w:r>
      <w:r w:rsidR="005F24FF" w:rsidRPr="00B418B6">
        <w:rPr>
          <w:rFonts w:ascii="Times New Roman" w:hAnsi="Times New Roman"/>
        </w:rPr>
        <w:t xml:space="preserve"> </w:t>
      </w:r>
      <w:r w:rsidRPr="00B418B6">
        <w:rPr>
          <w:rFonts w:ascii="Times New Roman" w:hAnsi="Times New Roman"/>
        </w:rPr>
        <w:t xml:space="preserve">Nem </w:t>
      </w:r>
      <w:r w:rsidR="00B418B6">
        <w:rPr>
          <w:rFonts w:ascii="Times New Roman" w:hAnsi="Times New Roman"/>
        </w:rPr>
        <w:t>tisztázott</w:t>
      </w:r>
      <w:r w:rsidRPr="00B418B6">
        <w:rPr>
          <w:rFonts w:ascii="Times New Roman" w:hAnsi="Times New Roman"/>
        </w:rPr>
        <w:t>, hogy az erős vazodilatátor peptid bradikinin emelkedett szintje szerepet játszik</w:t>
      </w:r>
      <w:r w:rsidR="005F24FF" w:rsidRPr="00B418B6">
        <w:rPr>
          <w:rFonts w:ascii="Times New Roman" w:hAnsi="Times New Roman"/>
        </w:rPr>
        <w:noBreakHyphen/>
      </w:r>
      <w:r w:rsidRPr="00B418B6">
        <w:rPr>
          <w:rFonts w:ascii="Times New Roman" w:hAnsi="Times New Roman"/>
        </w:rPr>
        <w:t>e a lizinopril terápiás hatásában.</w:t>
      </w:r>
    </w:p>
    <w:p w14:paraId="10B8328B" w14:textId="77777777" w:rsidR="007C3F56" w:rsidRPr="00CB6009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0577C2D6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Klinikai hatásosság és biztonságosság</w:t>
      </w:r>
    </w:p>
    <w:p w14:paraId="5E7A3207" w14:textId="433F1581" w:rsidR="007C3F56" w:rsidRPr="00DC2ECE" w:rsidRDefault="007C3F56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 xml:space="preserve">Szívelégtelenségben a lizinopril mortalitásra és morbiditásra gyakorolt hatását </w:t>
      </w:r>
      <w:r w:rsidR="006B0C17">
        <w:rPr>
          <w:rFonts w:ascii="Times New Roman" w:hAnsi="Times New Roman"/>
        </w:rPr>
        <w:t>nagy</w:t>
      </w:r>
      <w:r w:rsidR="006B0C17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(</w:t>
      </w:r>
      <w:r w:rsidR="00B418B6" w:rsidRPr="00AA3D2C">
        <w:rPr>
          <w:rFonts w:ascii="Times New Roman" w:hAnsi="Times New Roman"/>
        </w:rPr>
        <w:t>naponta egyszer</w:t>
      </w:r>
      <w:r w:rsidR="00B418B6" w:rsidRPr="00B418B6">
        <w:rPr>
          <w:rFonts w:ascii="Times New Roman" w:hAnsi="Times New Roman"/>
        </w:rPr>
        <w:t xml:space="preserve"> </w:t>
      </w:r>
      <w:r w:rsidRPr="00B418B6">
        <w:rPr>
          <w:rFonts w:ascii="Times New Roman" w:hAnsi="Times New Roman"/>
        </w:rPr>
        <w:t>32,5</w:t>
      </w:r>
      <w:r w:rsidR="005F24FF" w:rsidRPr="005401E2">
        <w:rPr>
          <w:rFonts w:ascii="Times New Roman" w:hAnsi="Times New Roman"/>
        </w:rPr>
        <w:t> mg</w:t>
      </w:r>
      <w:r w:rsidRPr="005401E2">
        <w:rPr>
          <w:rFonts w:ascii="Times New Roman" w:hAnsi="Times New Roman"/>
        </w:rPr>
        <w:t xml:space="preserve"> vagy 35</w:t>
      </w:r>
      <w:r w:rsidR="005F24FF" w:rsidRPr="00CB6009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 xml:space="preserve">) és </w:t>
      </w:r>
      <w:r w:rsidR="006B0C17">
        <w:rPr>
          <w:rFonts w:ascii="Times New Roman" w:hAnsi="Times New Roman"/>
        </w:rPr>
        <w:t>kis</w:t>
      </w:r>
      <w:r w:rsidR="006B0C17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(</w:t>
      </w:r>
      <w:r w:rsidR="00B418B6" w:rsidRPr="002D6ADF">
        <w:rPr>
          <w:rFonts w:ascii="Times New Roman" w:hAnsi="Times New Roman"/>
        </w:rPr>
        <w:t>naponta egyszer</w:t>
      </w:r>
      <w:r w:rsidR="00B418B6" w:rsidRPr="00B418B6">
        <w:rPr>
          <w:rFonts w:ascii="Times New Roman" w:hAnsi="Times New Roman"/>
        </w:rPr>
        <w:t xml:space="preserve"> </w:t>
      </w:r>
      <w:r w:rsidRPr="005401E2">
        <w:rPr>
          <w:rFonts w:ascii="Times New Roman" w:hAnsi="Times New Roman"/>
        </w:rPr>
        <w:t>2,5</w:t>
      </w:r>
      <w:r w:rsidR="005F24FF" w:rsidRPr="005401E2">
        <w:rPr>
          <w:rFonts w:ascii="Times New Roman" w:hAnsi="Times New Roman"/>
        </w:rPr>
        <w:t> </w:t>
      </w:r>
      <w:r w:rsidR="005F24FF" w:rsidRPr="00CB6009">
        <w:rPr>
          <w:rFonts w:ascii="Times New Roman" w:hAnsi="Times New Roman"/>
        </w:rPr>
        <w:t>mg</w:t>
      </w:r>
      <w:r w:rsidRPr="00DC2ECE">
        <w:rPr>
          <w:rFonts w:ascii="Times New Roman" w:hAnsi="Times New Roman"/>
        </w:rPr>
        <w:t xml:space="preserve"> vagy 5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>) dózisok összehasonlításán keresztül vizsgálták. Egy, 3164 beteg bevonásával végzett, a túlélő betegeket 46</w:t>
      </w:r>
      <w:r w:rsidR="005F24FF" w:rsidRPr="00DC2ECE">
        <w:rPr>
          <w:rFonts w:ascii="Times New Roman" w:hAnsi="Times New Roman"/>
        </w:rPr>
        <w:t> hónap</w:t>
      </w:r>
      <w:r w:rsidRPr="00DC2ECE">
        <w:rPr>
          <w:rFonts w:ascii="Times New Roman" w:hAnsi="Times New Roman"/>
        </w:rPr>
        <w:t>ig</w:t>
      </w:r>
      <w:r w:rsidR="006B0C17">
        <w:rPr>
          <w:rFonts w:ascii="Times New Roman" w:hAnsi="Times New Roman"/>
        </w:rPr>
        <w:t xml:space="preserve"> (medián érték)</w:t>
      </w:r>
      <w:r w:rsidRPr="00DC2ECE">
        <w:rPr>
          <w:rFonts w:ascii="Times New Roman" w:hAnsi="Times New Roman"/>
        </w:rPr>
        <w:t xml:space="preserve"> nyomon követő vizsgálatban a </w:t>
      </w:r>
      <w:r w:rsidR="006B0C17">
        <w:rPr>
          <w:rFonts w:ascii="Times New Roman" w:hAnsi="Times New Roman"/>
        </w:rPr>
        <w:t>kis</w:t>
      </w:r>
      <w:r w:rsidRPr="00DC2ECE">
        <w:rPr>
          <w:rFonts w:ascii="Times New Roman" w:hAnsi="Times New Roman"/>
        </w:rPr>
        <w:t xml:space="preserve"> dózissal történt összehasonlításban a nagydózisú lizinopril</w:t>
      </w:r>
      <w:r w:rsidR="006B0C17">
        <w:rPr>
          <w:rFonts w:ascii="Times New Roman" w:hAnsi="Times New Roman"/>
        </w:rPr>
        <w:t>-kezelés</w:t>
      </w:r>
      <w:r w:rsidRPr="00DC2ECE">
        <w:rPr>
          <w:rFonts w:ascii="Times New Roman" w:hAnsi="Times New Roman"/>
        </w:rPr>
        <w:t xml:space="preserve"> 12%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os kockázatcsökkenést eredményezett az összetett végpont, vagyis a bármilyen okból bekövetkező halálozás, és a szintén bármilyen okból történő hospitalizáció (p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>0,002), illetve 8%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os kockázatcsökkenést a bármilyen okból bekövetkező halálozás és a cardiovascularis esemény miatti hospitalizáció (p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>0,036) tekintetében.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Kockázatcsökkenés volt megfigyelhető a bármilyen ok miatt bekövetkező (8%; 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>0,128), illetve a cardiovascularis mortalitásban (10%; 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>0,073) is. Egy post hoc analízisben a szívelégtelenség miatt hospitalizált betegek száma 24%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kal (p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 xml:space="preserve">0,002) csökkent a nagydózisú lizinopril alkalmazásakor, szemben a </w:t>
      </w:r>
      <w:r w:rsidR="006B0C17">
        <w:rPr>
          <w:rFonts w:ascii="Times New Roman" w:hAnsi="Times New Roman"/>
        </w:rPr>
        <w:t>kis</w:t>
      </w:r>
      <w:r w:rsidRPr="00DC2ECE">
        <w:rPr>
          <w:rFonts w:ascii="Times New Roman" w:hAnsi="Times New Roman"/>
        </w:rPr>
        <w:t xml:space="preserve"> dózisokkal. A tünetek tekintetében az előnyös hatások hasonlóak voltak mind a </w:t>
      </w:r>
      <w:r w:rsidR="006B0C17">
        <w:rPr>
          <w:rFonts w:ascii="Times New Roman" w:hAnsi="Times New Roman"/>
        </w:rPr>
        <w:t>nagy</w:t>
      </w:r>
      <w:r w:rsidRPr="00DC2ECE">
        <w:rPr>
          <w:rFonts w:ascii="Times New Roman" w:hAnsi="Times New Roman"/>
        </w:rPr>
        <w:t xml:space="preserve">, mind a </w:t>
      </w:r>
      <w:r w:rsidR="006B0C17">
        <w:rPr>
          <w:rFonts w:ascii="Times New Roman" w:hAnsi="Times New Roman"/>
        </w:rPr>
        <w:t>kis</w:t>
      </w:r>
      <w:r w:rsidRPr="00DC2ECE">
        <w:rPr>
          <w:rFonts w:ascii="Times New Roman" w:hAnsi="Times New Roman"/>
        </w:rPr>
        <w:t xml:space="preserve"> lizinopril dózisokkal kezelt betegeknél.</w:t>
      </w:r>
    </w:p>
    <w:p w14:paraId="10DE2FC8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36DBBB16" w14:textId="09768DBD" w:rsidR="007C3F56" w:rsidRPr="00DC2ECE" w:rsidRDefault="007C3F56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vizsgálat eredményei szerint az összesített mellékhatás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profilok mind természetükben, mind számukban hasonlóak voltak a </w:t>
      </w:r>
      <w:r w:rsidR="009515A5">
        <w:rPr>
          <w:rFonts w:ascii="Times New Roman" w:hAnsi="Times New Roman"/>
        </w:rPr>
        <w:t>nagy</w:t>
      </w:r>
      <w:r w:rsidRPr="00DC2ECE">
        <w:rPr>
          <w:rFonts w:ascii="Times New Roman" w:hAnsi="Times New Roman"/>
        </w:rPr>
        <w:t xml:space="preserve">, illetve </w:t>
      </w:r>
      <w:r w:rsidR="009515A5">
        <w:rPr>
          <w:rFonts w:ascii="Times New Roman" w:hAnsi="Times New Roman"/>
        </w:rPr>
        <w:t>kis</w:t>
      </w:r>
      <w:r w:rsidRPr="00DC2ECE">
        <w:rPr>
          <w:rFonts w:ascii="Times New Roman" w:hAnsi="Times New Roman"/>
        </w:rPr>
        <w:t xml:space="preserve"> lizinopril d</w:t>
      </w:r>
      <w:r w:rsidR="009515A5">
        <w:rPr>
          <w:rFonts w:ascii="Times New Roman" w:hAnsi="Times New Roman"/>
        </w:rPr>
        <w:t>ózis</w:t>
      </w:r>
      <w:r w:rsidRPr="00DC2ECE">
        <w:rPr>
          <w:rFonts w:ascii="Times New Roman" w:hAnsi="Times New Roman"/>
        </w:rPr>
        <w:t>t kapó betegeknél. Az ACE</w:t>
      </w:r>
      <w:r w:rsidR="00136D47">
        <w:rPr>
          <w:rFonts w:ascii="Times New Roman" w:hAnsi="Times New Roman"/>
        </w:rPr>
        <w:t>-</w:t>
      </w:r>
      <w:r w:rsidRPr="00136D47">
        <w:rPr>
          <w:rFonts w:ascii="Times New Roman" w:hAnsi="Times New Roman"/>
        </w:rPr>
        <w:t>gátlásból eredő, olyan várható események, mint a hyp</w:t>
      </w:r>
      <w:r w:rsidRPr="00CB6009">
        <w:rPr>
          <w:rFonts w:ascii="Times New Roman" w:hAnsi="Times New Roman"/>
        </w:rPr>
        <w:t>otonia vagy a megváltozott vesefunkció jól kezelhetőek voltak és csupá</w:t>
      </w:r>
      <w:r w:rsidRPr="00DC2ECE">
        <w:rPr>
          <w:rFonts w:ascii="Times New Roman" w:hAnsi="Times New Roman"/>
        </w:rPr>
        <w:t xml:space="preserve">n ritkán vezettek a kezelés felfüggesztéséhez. A köhögés kisebb gyakorisággal fordult elő a nagy dózisú lizinoprillel kezelt betegeknél, mint </w:t>
      </w:r>
      <w:r w:rsidR="009515A5">
        <w:rPr>
          <w:rFonts w:ascii="Times New Roman" w:hAnsi="Times New Roman"/>
        </w:rPr>
        <w:t>a kis</w:t>
      </w:r>
      <w:r w:rsidRPr="00DC2ECE">
        <w:rPr>
          <w:rFonts w:ascii="Times New Roman" w:hAnsi="Times New Roman"/>
        </w:rPr>
        <w:t xml:space="preserve"> dózisoknál.</w:t>
      </w:r>
    </w:p>
    <w:p w14:paraId="26A51402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25FD627A" w14:textId="6F65638A" w:rsidR="007C3F56" w:rsidRPr="00DC2ECE" w:rsidRDefault="007C3F56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GISSI 3 vizsgálatban 2</w:t>
      </w:r>
      <w:r w:rsidR="00136D47">
        <w:rPr>
          <w:rFonts w:ascii="Times New Roman" w:hAnsi="Times New Roman"/>
        </w:rPr>
        <w:t> </w:t>
      </w:r>
      <w:r w:rsidRPr="00136D47">
        <w:rPr>
          <w:rFonts w:ascii="Times New Roman" w:hAnsi="Times New Roman"/>
        </w:rPr>
        <w:t>×</w:t>
      </w:r>
      <w:r w:rsidR="00136D47">
        <w:rPr>
          <w:rFonts w:ascii="Times New Roman" w:hAnsi="Times New Roman"/>
        </w:rPr>
        <w:t> </w:t>
      </w:r>
      <w:r w:rsidRPr="00136D47">
        <w:rPr>
          <w:rFonts w:ascii="Times New Roman" w:hAnsi="Times New Roman"/>
        </w:rPr>
        <w:t>2</w:t>
      </w:r>
      <w:r w:rsidR="00136D47">
        <w:rPr>
          <w:rFonts w:ascii="Times New Roman" w:hAnsi="Times New Roman"/>
        </w:rPr>
        <w:t> </w:t>
      </w:r>
      <w:r w:rsidRPr="00136D47">
        <w:rPr>
          <w:rFonts w:ascii="Times New Roman" w:hAnsi="Times New Roman"/>
        </w:rPr>
        <w:t>faktoriális elrendezést alkalmaztak a 6</w:t>
      </w:r>
      <w:r w:rsidR="00136D47">
        <w:rPr>
          <w:rFonts w:ascii="Times New Roman" w:hAnsi="Times New Roman"/>
        </w:rPr>
        <w:t> </w:t>
      </w:r>
      <w:r w:rsidRPr="00136D47">
        <w:rPr>
          <w:rFonts w:ascii="Times New Roman" w:hAnsi="Times New Roman"/>
        </w:rPr>
        <w:t>héten keresztül önmagában, illetve kombinációs kezelésben alkalmazott lizinopril és gliceril</w:t>
      </w:r>
      <w:r w:rsidR="00136D47">
        <w:rPr>
          <w:rFonts w:ascii="Times New Roman" w:hAnsi="Times New Roman"/>
        </w:rPr>
        <w:t>-</w:t>
      </w:r>
      <w:r w:rsidRPr="00136D47">
        <w:rPr>
          <w:rFonts w:ascii="Times New Roman" w:hAnsi="Times New Roman"/>
        </w:rPr>
        <w:t>trinitrát hatásainak összehasonlítására a kontroll</w:t>
      </w:r>
      <w:r w:rsidR="005F24FF" w:rsidRPr="00136D47">
        <w:rPr>
          <w:rFonts w:ascii="Times New Roman" w:hAnsi="Times New Roman"/>
        </w:rPr>
        <w:noBreakHyphen/>
      </w:r>
      <w:r w:rsidRPr="00136D47">
        <w:rPr>
          <w:rFonts w:ascii="Times New Roman" w:hAnsi="Times New Roman"/>
        </w:rPr>
        <w:t>csoporttal, melynek során 19</w:t>
      </w:r>
      <w:r w:rsidR="00136D47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394 beteget részesítettek kezelésben az a</w:t>
      </w:r>
      <w:r w:rsidR="00136D47">
        <w:rPr>
          <w:rFonts w:ascii="Times New Roman" w:hAnsi="Times New Roman"/>
        </w:rPr>
        <w:t>k</w:t>
      </w:r>
      <w:r w:rsidRPr="00136D47">
        <w:rPr>
          <w:rFonts w:ascii="Times New Roman" w:hAnsi="Times New Roman"/>
        </w:rPr>
        <w:t>ut myocardialis infarctus bekövetkezte utáni 24</w:t>
      </w:r>
      <w:r w:rsidR="005F24FF" w:rsidRPr="00CB6009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>án belül, és melynek eredményeként a lizinopril 11%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os, statisztikailag szignifikáns kockázatcsökkenést ért el a mortalitásban a kontroll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csoporttal szemben </w:t>
      </w:r>
      <w:r w:rsidRPr="00DC2ECE">
        <w:rPr>
          <w:rFonts w:ascii="Times New Roman" w:hAnsi="Times New Roman"/>
        </w:rPr>
        <w:lastRenderedPageBreak/>
        <w:t>(2p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>0,03). A gliceril</w:t>
      </w:r>
      <w:r w:rsidR="00136D47">
        <w:rPr>
          <w:rFonts w:ascii="Times New Roman" w:hAnsi="Times New Roman"/>
        </w:rPr>
        <w:t>-</w:t>
      </w:r>
      <w:r w:rsidRPr="00136D47">
        <w:rPr>
          <w:rFonts w:ascii="Times New Roman" w:hAnsi="Times New Roman"/>
        </w:rPr>
        <w:t>trinitrátnál tapasztalható kockázatcsökkenés nem volt szignifikáns, viszont a lizinopril és gliceril</w:t>
      </w:r>
      <w:r w:rsidR="00136D47">
        <w:rPr>
          <w:rFonts w:ascii="Times New Roman" w:hAnsi="Times New Roman"/>
        </w:rPr>
        <w:t>-</w:t>
      </w:r>
      <w:r w:rsidRPr="00136D47">
        <w:rPr>
          <w:rFonts w:ascii="Times New Roman" w:hAnsi="Times New Roman"/>
        </w:rPr>
        <w:t>trinitrát kombináció a mortalitás 17%</w:t>
      </w:r>
      <w:r w:rsidR="005F24FF" w:rsidRPr="00136D47">
        <w:rPr>
          <w:rFonts w:ascii="Times New Roman" w:hAnsi="Times New Roman"/>
        </w:rPr>
        <w:noBreakHyphen/>
      </w:r>
      <w:r w:rsidRPr="00136D47">
        <w:rPr>
          <w:rFonts w:ascii="Times New Roman" w:hAnsi="Times New Roman"/>
        </w:rPr>
        <w:t xml:space="preserve">os, </w:t>
      </w:r>
      <w:r w:rsidR="00CF2DAB">
        <w:rPr>
          <w:rFonts w:ascii="Times New Roman" w:hAnsi="Times New Roman"/>
        </w:rPr>
        <w:t>szignifikáns</w:t>
      </w:r>
      <w:r w:rsidR="00CF2DAB" w:rsidRPr="00136D47">
        <w:rPr>
          <w:rFonts w:ascii="Times New Roman" w:hAnsi="Times New Roman"/>
        </w:rPr>
        <w:t xml:space="preserve"> </w:t>
      </w:r>
      <w:r w:rsidRPr="00136D47">
        <w:rPr>
          <w:rFonts w:ascii="Times New Roman" w:hAnsi="Times New Roman"/>
        </w:rPr>
        <w:t>kockázatcsökkenés</w:t>
      </w:r>
      <w:r w:rsidRPr="005401E2">
        <w:rPr>
          <w:rFonts w:ascii="Times New Roman" w:hAnsi="Times New Roman"/>
        </w:rPr>
        <w:t>ét eredményezte a kontroll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csoporthoz viszonyítva (2p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 xml:space="preserve">0,02). A mortalitás </w:t>
      </w:r>
      <w:r w:rsidR="00CF2DAB">
        <w:rPr>
          <w:rFonts w:ascii="Times New Roman" w:hAnsi="Times New Roman"/>
        </w:rPr>
        <w:t>szempontjából</w:t>
      </w:r>
      <w:r w:rsidRPr="00DC2ECE">
        <w:rPr>
          <w:rFonts w:ascii="Times New Roman" w:hAnsi="Times New Roman"/>
        </w:rPr>
        <w:t xml:space="preserve"> előzetesen magas kockázatúnak tekintett idősek (70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 xml:space="preserve"> feletti életkor) és a nők alcsoportjaiban szignifikáns előnyt figyeltek meg a mortalitás és cardialis funkció kombinált végpontja tekintetében. Hat hónap után a minden betegre, továbbá a magas kockázatú alcsoportokra vonatkozó kombinált végpontban szignifikáns előnyök mutatkoztak a lizinoprillel vagy lizinopril és gliceril</w:t>
      </w:r>
      <w:r w:rsidR="00CF2DAB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trinitrát kombinációjával 6</w:t>
      </w:r>
      <w:r w:rsidR="0015377B">
        <w:rPr>
          <w:rFonts w:ascii="Times New Roman" w:hAnsi="Times New Roman"/>
        </w:rPr>
        <w:t> </w:t>
      </w:r>
      <w:r w:rsidRPr="0015377B">
        <w:rPr>
          <w:rFonts w:ascii="Times New Roman" w:hAnsi="Times New Roman"/>
        </w:rPr>
        <w:t>hétig kezelt betegeknél, ami a lizinopril preventív hatását bizonyítja. Ahogyan az bármilyen vazodilatátor kezelésnél várható, a lizinopril</w:t>
      </w:r>
      <w:r w:rsidR="0015377B">
        <w:rPr>
          <w:rFonts w:ascii="Times New Roman" w:hAnsi="Times New Roman"/>
        </w:rPr>
        <w:t>-</w:t>
      </w:r>
      <w:r w:rsidRPr="0015377B">
        <w:rPr>
          <w:rFonts w:ascii="Times New Roman" w:hAnsi="Times New Roman"/>
        </w:rPr>
        <w:t>terápia a hypotonia és renalis diszfunkció eseteinek megnövekedett előfordulási gyakoriságával volt összefüggésbe hozható, de ezek az</w:t>
      </w:r>
      <w:r w:rsidRPr="00CB6009">
        <w:rPr>
          <w:rFonts w:ascii="Times New Roman" w:hAnsi="Times New Roman"/>
        </w:rPr>
        <w:t xml:space="preserve"> események nem okoztak arányos mortalitás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növekedést.</w:t>
      </w:r>
    </w:p>
    <w:p w14:paraId="04B79C52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12F49988" w14:textId="22299972" w:rsidR="007C3F56" w:rsidRPr="00CB6009" w:rsidRDefault="007C3F56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Egy kettős vak, randomizált, multicentrikus vizsgálatban, amelynek során a lizinoprilt hasonlították össze egy kalciumcsatorna</w:t>
      </w:r>
      <w:r w:rsidR="0015377B">
        <w:rPr>
          <w:rFonts w:ascii="Times New Roman" w:hAnsi="Times New Roman"/>
        </w:rPr>
        <w:t>-</w:t>
      </w:r>
      <w:r w:rsidRPr="0015377B">
        <w:rPr>
          <w:rFonts w:ascii="Times New Roman" w:hAnsi="Times New Roman"/>
        </w:rPr>
        <w:t>blokkolóval, a résztvevő 335</w:t>
      </w:r>
      <w:r w:rsidR="0015377B">
        <w:rPr>
          <w:rFonts w:ascii="Times New Roman" w:hAnsi="Times New Roman"/>
        </w:rPr>
        <w:t>,</w:t>
      </w:r>
      <w:r w:rsidRPr="0015377B">
        <w:rPr>
          <w:rFonts w:ascii="Times New Roman" w:hAnsi="Times New Roman"/>
        </w:rPr>
        <w:t xml:space="preserve"> hypertoniás, mikroalbuminuriával együtt fennálló inci</w:t>
      </w:r>
      <w:r w:rsidR="005F24FF" w:rsidRPr="00ED2BFB">
        <w:rPr>
          <w:rFonts w:ascii="Times New Roman" w:hAnsi="Times New Roman"/>
        </w:rPr>
        <w:t xml:space="preserve">piens nephropathiával </w:t>
      </w:r>
      <w:r w:rsidR="00CF2DAB">
        <w:rPr>
          <w:rFonts w:ascii="Times New Roman" w:hAnsi="Times New Roman"/>
        </w:rPr>
        <w:t>egyidejűleg</w:t>
      </w:r>
      <w:r w:rsidR="005F24FF" w:rsidRPr="00ED2BFB">
        <w:rPr>
          <w:rFonts w:ascii="Times New Roman" w:hAnsi="Times New Roman"/>
        </w:rPr>
        <w:t>, 2</w:t>
      </w:r>
      <w:r w:rsidR="005F24FF" w:rsidRPr="00ED2BFB">
        <w:rPr>
          <w:rFonts w:ascii="Times New Roman" w:hAnsi="Times New Roman"/>
        </w:rPr>
        <w:noBreakHyphen/>
      </w:r>
      <w:r w:rsidRPr="00ED2BFB">
        <w:rPr>
          <w:rFonts w:ascii="Times New Roman" w:hAnsi="Times New Roman"/>
        </w:rPr>
        <w:t>es típusú diabetes mellitusban szenvedő</w:t>
      </w:r>
      <w:r w:rsidR="005F24FF" w:rsidRPr="005401E2">
        <w:rPr>
          <w:rFonts w:ascii="Times New Roman" w:hAnsi="Times New Roman"/>
        </w:rPr>
        <w:t xml:space="preserve"> betegnél a </w:t>
      </w:r>
      <w:r w:rsidR="0015377B" w:rsidRPr="00D774DE">
        <w:rPr>
          <w:rFonts w:ascii="Times New Roman" w:hAnsi="Times New Roman"/>
        </w:rPr>
        <w:t>12 hónapon keresztül</w:t>
      </w:r>
      <w:r w:rsidR="0015377B">
        <w:rPr>
          <w:rFonts w:ascii="Times New Roman" w:hAnsi="Times New Roman"/>
        </w:rPr>
        <w:t xml:space="preserve">, </w:t>
      </w:r>
      <w:r w:rsidR="005F24FF" w:rsidRPr="0015377B">
        <w:rPr>
          <w:rFonts w:ascii="Times New Roman" w:hAnsi="Times New Roman"/>
        </w:rPr>
        <w:t xml:space="preserve">naponta egyszer </w:t>
      </w:r>
      <w:r w:rsidRPr="00DC2ECE">
        <w:rPr>
          <w:rFonts w:ascii="Times New Roman" w:hAnsi="Times New Roman"/>
        </w:rPr>
        <w:t>adott 10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20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 xml:space="preserve"> közötti lizinopril dózis a szisztolés/diasztolés vérnyomást 13/10</w:t>
      </w:r>
      <w:r w:rsidR="005F24FF" w:rsidRPr="00DC2ECE">
        <w:rPr>
          <w:rFonts w:ascii="Times New Roman" w:hAnsi="Times New Roman"/>
        </w:rPr>
        <w:t> Hgmm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rel, a vizeletbe történő albumin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exkréciós rátát pedig 40%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kal csökkentette.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A hasonló arányú vérnyomáscsökkenést előidéző kalciumcsatorna</w:t>
      </w:r>
      <w:r w:rsidR="0015377B">
        <w:rPr>
          <w:rFonts w:ascii="Times New Roman" w:hAnsi="Times New Roman"/>
        </w:rPr>
        <w:t>-</w:t>
      </w:r>
      <w:r w:rsidRPr="0015377B">
        <w:rPr>
          <w:rFonts w:ascii="Times New Roman" w:hAnsi="Times New Roman"/>
        </w:rPr>
        <w:t xml:space="preserve">blokkolóval történő összehasonlítás során a lizinoprillel kezelt betegeknél a vizeletbe </w:t>
      </w:r>
      <w:r w:rsidR="00CF2DAB">
        <w:rPr>
          <w:rFonts w:ascii="Times New Roman" w:hAnsi="Times New Roman"/>
        </w:rPr>
        <w:t>történő</w:t>
      </w:r>
      <w:r w:rsidR="00CF2DAB" w:rsidRPr="0015377B">
        <w:rPr>
          <w:rFonts w:ascii="Times New Roman" w:hAnsi="Times New Roman"/>
        </w:rPr>
        <w:t xml:space="preserve"> </w:t>
      </w:r>
      <w:r w:rsidRPr="0015377B">
        <w:rPr>
          <w:rFonts w:ascii="Times New Roman" w:hAnsi="Times New Roman"/>
        </w:rPr>
        <w:t>albumin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kiválasztás szignifikánsan nagyobb mértékű csökkenése volt tapasztalható, ami bizonyítja, hogy a lizinopril ACE</w:t>
      </w:r>
      <w:r w:rsidR="0015377B">
        <w:rPr>
          <w:rFonts w:ascii="Times New Roman" w:hAnsi="Times New Roman"/>
        </w:rPr>
        <w:noBreakHyphen/>
      </w:r>
      <w:r w:rsidRPr="0015377B">
        <w:rPr>
          <w:rFonts w:ascii="Times New Roman" w:hAnsi="Times New Roman"/>
        </w:rPr>
        <w:t>gátló hatása a vérnyomáscsökkentő hatáson felül a veseszövetekre gyakorolt közvetlen mechanizmuson keresztül csökkenti a mikroalbuminuriát.</w:t>
      </w:r>
    </w:p>
    <w:p w14:paraId="4CB2C288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00DDCA3B" w14:textId="2C76BF01" w:rsidR="007C3F56" w:rsidRPr="00CB6009" w:rsidRDefault="007C3F56" w:rsidP="00C46DF0">
      <w:pPr>
        <w:widowControl w:val="0"/>
        <w:rPr>
          <w:rFonts w:ascii="Times New Roman" w:eastAsia="Times New Roman" w:hAnsi="Times New Roman"/>
        </w:rPr>
      </w:pPr>
      <w:r w:rsidRPr="00DC2ECE">
        <w:rPr>
          <w:rFonts w:ascii="Times New Roman" w:hAnsi="Times New Roman"/>
        </w:rPr>
        <w:t>A lizinopril</w:t>
      </w:r>
      <w:r w:rsidR="0015377B">
        <w:rPr>
          <w:rFonts w:ascii="Times New Roman" w:hAnsi="Times New Roman"/>
        </w:rPr>
        <w:t>-</w:t>
      </w:r>
      <w:r w:rsidRPr="0015377B">
        <w:rPr>
          <w:rFonts w:ascii="Times New Roman" w:hAnsi="Times New Roman"/>
        </w:rPr>
        <w:t>kezelés nem befolyásolja a glikémiás kontrollt, amit a glikált hemoglobinra (HbA1c) gyakorolt szignifikáns hatás hiánya is alátámaszt.</w:t>
      </w:r>
    </w:p>
    <w:p w14:paraId="57A3DF59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44BC2FBA" w14:textId="628A5EB4" w:rsidR="007C3F56" w:rsidRPr="009C543B" w:rsidRDefault="007C3F56" w:rsidP="00C46DF0">
      <w:pPr>
        <w:widowControl w:val="0"/>
        <w:rPr>
          <w:rFonts w:ascii="Times New Roman" w:eastAsia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A renin</w:t>
      </w:r>
      <w:r w:rsidR="005F24FF" w:rsidRPr="00DC2ECE">
        <w:rPr>
          <w:rFonts w:ascii="Times New Roman" w:hAnsi="Times New Roman"/>
          <w:i/>
          <w:iCs/>
        </w:rPr>
        <w:noBreakHyphen/>
      </w:r>
      <w:r w:rsidRPr="00DC2ECE">
        <w:rPr>
          <w:rFonts w:ascii="Times New Roman" w:hAnsi="Times New Roman"/>
          <w:i/>
          <w:iCs/>
        </w:rPr>
        <w:t>angiotenzin rendsze</w:t>
      </w:r>
      <w:r w:rsidR="009C543B">
        <w:rPr>
          <w:rFonts w:ascii="Times New Roman" w:hAnsi="Times New Roman"/>
          <w:i/>
          <w:iCs/>
        </w:rPr>
        <w:t>r</w:t>
      </w:r>
      <w:r w:rsidRPr="009C543B">
        <w:rPr>
          <w:rFonts w:ascii="Times New Roman" w:hAnsi="Times New Roman"/>
          <w:i/>
          <w:iCs/>
        </w:rPr>
        <w:t>re ható szerek</w:t>
      </w:r>
    </w:p>
    <w:p w14:paraId="027FC213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CB6009">
        <w:rPr>
          <w:rFonts w:ascii="Times New Roman" w:hAnsi="Times New Roman"/>
        </w:rPr>
        <w:t>Két</w:t>
      </w:r>
      <w:r w:rsidRPr="00DC2ECE">
        <w:rPr>
          <w:rFonts w:ascii="Times New Roman" w:hAnsi="Times New Roman"/>
        </w:rPr>
        <w:t xml:space="preserve"> nagy, randomizált, kontrollos vizsgálatban (ONTARGET [ONgoing Telmisartan Alone and in combination with Ramipril Global Endpoint Trial] és VA NEPHRON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D [The Veterans Affairs Nephropathy in Diabetes]) vizsgálták 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 és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receptor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blokkoló kombinált alkalmazását.</w:t>
      </w:r>
    </w:p>
    <w:p w14:paraId="7A44FBA9" w14:textId="118257AA" w:rsidR="007C3F56" w:rsidRPr="00CB6009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Az ONTARGET vizsgálatot olyan betegeken végezték, akiknek a kórtörténetében cardiovascularis vagy cerebrovascularis betegség, </w:t>
      </w:r>
      <w:r w:rsidR="005F24FF" w:rsidRPr="00DC2ECE">
        <w:rPr>
          <w:rFonts w:ascii="Times New Roman" w:hAnsi="Times New Roman"/>
        </w:rPr>
        <w:t>vagy szervkárosodással járó</w:t>
      </w:r>
      <w:r w:rsidR="009C543B">
        <w:rPr>
          <w:rFonts w:ascii="Times New Roman" w:hAnsi="Times New Roman"/>
        </w:rPr>
        <w:t>,</w:t>
      </w:r>
      <w:r w:rsidR="005F24FF" w:rsidRPr="009C543B">
        <w:rPr>
          <w:rFonts w:ascii="Times New Roman" w:hAnsi="Times New Roman"/>
        </w:rPr>
        <w:t xml:space="preserve"> II</w:t>
      </w:r>
      <w:r w:rsidR="00860794">
        <w:rPr>
          <w:rFonts w:ascii="Times New Roman" w:hAnsi="Times New Roman"/>
        </w:rPr>
        <w:noBreakHyphen/>
      </w:r>
      <w:r w:rsidR="009C543B">
        <w:rPr>
          <w:rFonts w:ascii="Times New Roman" w:hAnsi="Times New Roman"/>
        </w:rPr>
        <w:t>es</w:t>
      </w:r>
      <w:r w:rsidR="005F24FF" w:rsidRPr="009C543B">
        <w:rPr>
          <w:rFonts w:ascii="Times New Roman" w:hAnsi="Times New Roman"/>
        </w:rPr>
        <w:t> </w:t>
      </w:r>
      <w:r w:rsidRPr="009C543B">
        <w:rPr>
          <w:rFonts w:ascii="Times New Roman" w:hAnsi="Times New Roman"/>
        </w:rPr>
        <w:t>típusú diabetes mellitus szerepelt. A VA NEPHRON</w:t>
      </w:r>
      <w:r w:rsidR="005F24FF" w:rsidRPr="009C543B">
        <w:rPr>
          <w:rFonts w:ascii="Times New Roman" w:hAnsi="Times New Roman"/>
        </w:rPr>
        <w:noBreakHyphen/>
        <w:t>D vizsgálatot II</w:t>
      </w:r>
      <w:r w:rsidR="00860794">
        <w:rPr>
          <w:rFonts w:ascii="Times New Roman" w:hAnsi="Times New Roman"/>
        </w:rPr>
        <w:noBreakHyphen/>
      </w:r>
      <w:r w:rsidR="009C543B">
        <w:rPr>
          <w:rFonts w:ascii="Times New Roman" w:hAnsi="Times New Roman"/>
        </w:rPr>
        <w:t>es</w:t>
      </w:r>
      <w:r w:rsidR="005F24FF" w:rsidRPr="009C543B">
        <w:rPr>
          <w:rFonts w:ascii="Times New Roman" w:hAnsi="Times New Roman"/>
        </w:rPr>
        <w:t> </w:t>
      </w:r>
      <w:r w:rsidRPr="009C543B">
        <w:rPr>
          <w:rFonts w:ascii="Times New Roman" w:hAnsi="Times New Roman"/>
        </w:rPr>
        <w:t>típusú diabetesben és diabeteses nephropathiában szenvedő betegeken végezték.</w:t>
      </w:r>
    </w:p>
    <w:p w14:paraId="43777B68" w14:textId="4FFAB7A6" w:rsidR="007C3F56" w:rsidRPr="009C543B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Ezek a vizsgálatok nem mutattak ki szignifikánsan előnyös hatásokat a renalis és/vagy cardiovascularis kimenetel és a mortalitás vonatkozásában, miközben a monoterápia esetén megfigyelthez képest nőtt a hyperkalaemia, az akut vese</w:t>
      </w:r>
      <w:r w:rsidR="009C543B">
        <w:rPr>
          <w:rFonts w:ascii="Times New Roman" w:hAnsi="Times New Roman"/>
        </w:rPr>
        <w:t>károsodás</w:t>
      </w:r>
      <w:r w:rsidRPr="009C543B">
        <w:rPr>
          <w:rFonts w:ascii="Times New Roman" w:hAnsi="Times New Roman"/>
        </w:rPr>
        <w:t xml:space="preserve"> és/vagy a hypotonia kockázata. A hasonló farmakodinámiás tulajdonságok alapján ezek az eredmények más ACE</w:t>
      </w:r>
      <w:r w:rsidR="005F24FF" w:rsidRPr="00ED2BFB">
        <w:rPr>
          <w:rFonts w:ascii="Times New Roman" w:hAnsi="Times New Roman"/>
        </w:rPr>
        <w:noBreakHyphen/>
      </w:r>
      <w:r w:rsidRPr="00ED2BFB">
        <w:rPr>
          <w:rFonts w:ascii="Times New Roman" w:hAnsi="Times New Roman"/>
        </w:rPr>
        <w:t>gátlók és angiotenzin</w:t>
      </w:r>
      <w:r w:rsidR="009C543B">
        <w:rPr>
          <w:rFonts w:ascii="Times New Roman" w:hAnsi="Times New Roman"/>
        </w:rPr>
        <w:t>-</w:t>
      </w:r>
      <w:r w:rsidRPr="009C543B">
        <w:rPr>
          <w:rFonts w:ascii="Times New Roman" w:hAnsi="Times New Roman"/>
        </w:rPr>
        <w:t>II</w:t>
      </w:r>
      <w:r w:rsidR="009C543B">
        <w:rPr>
          <w:rFonts w:ascii="Times New Roman" w:hAnsi="Times New Roman"/>
        </w:rPr>
        <w:t>-</w:t>
      </w:r>
      <w:r w:rsidRPr="009C543B">
        <w:rPr>
          <w:rFonts w:ascii="Times New Roman" w:hAnsi="Times New Roman"/>
        </w:rPr>
        <w:t>receptor</w:t>
      </w:r>
      <w:r w:rsidR="005F24FF" w:rsidRPr="009C543B">
        <w:rPr>
          <w:rFonts w:ascii="Times New Roman" w:hAnsi="Times New Roman"/>
        </w:rPr>
        <w:noBreakHyphen/>
      </w:r>
      <w:r w:rsidRPr="009C543B">
        <w:rPr>
          <w:rFonts w:ascii="Times New Roman" w:hAnsi="Times New Roman"/>
        </w:rPr>
        <w:t>blokkolók esetében is relevánsak.</w:t>
      </w:r>
    </w:p>
    <w:p w14:paraId="59C61CAC" w14:textId="708588D0" w:rsidR="007C3F56" w:rsidRPr="00CB6009" w:rsidRDefault="007C3F56" w:rsidP="00C46DF0">
      <w:pPr>
        <w:widowControl w:val="0"/>
        <w:rPr>
          <w:rFonts w:ascii="Times New Roman" w:hAnsi="Times New Roman"/>
        </w:rPr>
      </w:pPr>
      <w:r w:rsidRPr="009C543B">
        <w:rPr>
          <w:rFonts w:ascii="Times New Roman" w:hAnsi="Times New Roman"/>
        </w:rPr>
        <w:t>Ezért az ACE</w:t>
      </w:r>
      <w:r w:rsidR="005F24FF" w:rsidRPr="009C543B">
        <w:rPr>
          <w:rFonts w:ascii="Times New Roman" w:hAnsi="Times New Roman"/>
        </w:rPr>
        <w:noBreakHyphen/>
      </w:r>
      <w:r w:rsidRPr="00C5152B">
        <w:rPr>
          <w:rFonts w:ascii="Times New Roman" w:hAnsi="Times New Roman"/>
        </w:rPr>
        <w:t>gátlók és angiotenzin</w:t>
      </w:r>
      <w:r w:rsidR="005F24FF" w:rsidRPr="00ED2BFB">
        <w:rPr>
          <w:rFonts w:ascii="Times New Roman" w:hAnsi="Times New Roman"/>
        </w:rPr>
        <w:noBreakHyphen/>
      </w:r>
      <w:r w:rsidRPr="00ED2BFB">
        <w:rPr>
          <w:rFonts w:ascii="Times New Roman" w:hAnsi="Times New Roman"/>
        </w:rPr>
        <w:t>II</w:t>
      </w:r>
      <w:r w:rsidR="005F24FF" w:rsidRPr="005401E2">
        <w:rPr>
          <w:rFonts w:ascii="Times New Roman" w:hAnsi="Times New Roman"/>
        </w:rPr>
        <w:noBreakHyphen/>
      </w:r>
      <w:r w:rsidRPr="00C5152B">
        <w:rPr>
          <w:rFonts w:ascii="Times New Roman" w:hAnsi="Times New Roman"/>
        </w:rPr>
        <w:t>receptor</w:t>
      </w:r>
      <w:r w:rsidR="005F24FF" w:rsidRPr="00C5152B">
        <w:rPr>
          <w:rFonts w:ascii="Times New Roman" w:hAnsi="Times New Roman"/>
        </w:rPr>
        <w:noBreakHyphen/>
      </w:r>
      <w:r w:rsidRPr="00C5152B">
        <w:rPr>
          <w:rFonts w:ascii="Times New Roman" w:hAnsi="Times New Roman"/>
        </w:rPr>
        <w:t>blokkolók nem adhatók együtt diabeteses nephropathiában szenvedő betegeknek.</w:t>
      </w:r>
    </w:p>
    <w:p w14:paraId="2046CECC" w14:textId="080AB6C1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ALTITUDE (Aliskiren Trial in Type 2 Diabetes Using Cardiovascular and Renal Disease Endpoints) vizsgálat célja az volt, hogy megállapítsák, előnyös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e a standard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vagy angiotenzin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II</w:t>
      </w:r>
      <w:r w:rsidR="005F24FF" w:rsidRPr="00DC2ECE">
        <w:rPr>
          <w:rFonts w:ascii="Times New Roman" w:hAnsi="Times New Roman"/>
        </w:rPr>
        <w:noBreakHyphen/>
      </w:r>
      <w:r w:rsidRPr="00C5152B">
        <w:rPr>
          <w:rFonts w:ascii="Times New Roman" w:hAnsi="Times New Roman"/>
        </w:rPr>
        <w:t>receptor</w:t>
      </w:r>
      <w:r w:rsidR="005F24FF" w:rsidRPr="00C5152B">
        <w:rPr>
          <w:rFonts w:ascii="Times New Roman" w:hAnsi="Times New Roman"/>
        </w:rPr>
        <w:noBreakHyphen/>
      </w:r>
      <w:r w:rsidRPr="00C5152B">
        <w:rPr>
          <w:rFonts w:ascii="Times New Roman" w:hAnsi="Times New Roman"/>
        </w:rPr>
        <w:t>blokkoló</w:t>
      </w:r>
      <w:r w:rsidR="005F24FF" w:rsidRPr="00C5152B">
        <w:rPr>
          <w:rFonts w:ascii="Times New Roman" w:hAnsi="Times New Roman"/>
        </w:rPr>
        <w:noBreakHyphen/>
      </w:r>
      <w:r w:rsidRPr="00C5152B">
        <w:rPr>
          <w:rFonts w:ascii="Times New Roman" w:hAnsi="Times New Roman"/>
        </w:rPr>
        <w:t>kezelés kiegészítése aliszkirénnel II</w:t>
      </w:r>
      <w:r w:rsidR="00C5152B">
        <w:rPr>
          <w:rFonts w:ascii="Times New Roman" w:hAnsi="Times New Roman"/>
        </w:rPr>
        <w:noBreakHyphen/>
        <w:t>es </w:t>
      </w:r>
      <w:r w:rsidRPr="00C5152B">
        <w:rPr>
          <w:rFonts w:ascii="Times New Roman" w:hAnsi="Times New Roman"/>
        </w:rPr>
        <w:t xml:space="preserve">típusú diabetesben és krónikus vesebetegségben, illetve cardiovascularis betegségben vagy mindkettőben szenvedő betegeknél. </w:t>
      </w:r>
      <w:r w:rsidRPr="00CB6009">
        <w:rPr>
          <w:rFonts w:ascii="Times New Roman" w:hAnsi="Times New Roman"/>
        </w:rPr>
        <w:t>A vizsgál</w:t>
      </w:r>
      <w:r w:rsidRPr="00DC2ECE">
        <w:rPr>
          <w:rFonts w:ascii="Times New Roman" w:hAnsi="Times New Roman"/>
        </w:rPr>
        <w:t>atot idő előtt leállították, mert nőtt a mellékhatások kockázata. A cardiovascularis eredetű halál és a stroke szám szerint gyakoribb volt az aliszkirén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csoportban, mint a placebo</w:t>
      </w:r>
      <w:r w:rsidRPr="00C5152B">
        <w:rPr>
          <w:rFonts w:ascii="Times New Roman" w:hAnsi="Times New Roman"/>
        </w:rPr>
        <w:t>csoportban, és a jelentős mellékhatások</w:t>
      </w:r>
      <w:r w:rsidR="009C543B">
        <w:rPr>
          <w:rFonts w:ascii="Times New Roman" w:hAnsi="Times New Roman"/>
        </w:rPr>
        <w:t>,</w:t>
      </w:r>
      <w:r w:rsidRPr="009C543B">
        <w:rPr>
          <w:rFonts w:ascii="Times New Roman" w:hAnsi="Times New Roman"/>
        </w:rPr>
        <w:t xml:space="preserve"> illetve súlyos mellékhatások</w:t>
      </w:r>
      <w:r w:rsidRPr="00C5152B">
        <w:rPr>
          <w:rFonts w:ascii="Times New Roman" w:hAnsi="Times New Roman"/>
        </w:rPr>
        <w:t xml:space="preserve"> (hyperkalaemia, hypotonia és veseműködési zavar) is gyakoribbak voltak az aliszkirén</w:t>
      </w:r>
      <w:r w:rsidR="005F24FF" w:rsidRPr="00CB6009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csoportban, mint a placebocsoportban.</w:t>
      </w:r>
    </w:p>
    <w:p w14:paraId="5778398E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3A44E76F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Gyermekek és serdülők</w:t>
      </w:r>
    </w:p>
    <w:p w14:paraId="006F67EB" w14:textId="288C4813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Egy klinikai vizsgálatban, amelybe 115, 6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16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>es, hypertoniás gyermeket és serdülőt vontak be, az 50</w:t>
      </w:r>
      <w:r w:rsidR="00C5152B">
        <w:rPr>
          <w:rFonts w:ascii="Times New Roman" w:hAnsi="Times New Roman"/>
        </w:rPr>
        <w:t> </w:t>
      </w:r>
      <w:r w:rsidRPr="00C5152B">
        <w:rPr>
          <w:rFonts w:ascii="Times New Roman" w:hAnsi="Times New Roman"/>
        </w:rPr>
        <w:t>kg testtömeg alatti gyermekek és serdülők 0,625</w:t>
      </w:r>
      <w:r w:rsidR="005F24FF" w:rsidRPr="00ED2BFB">
        <w:rPr>
          <w:rFonts w:ascii="Times New Roman" w:hAnsi="Times New Roman"/>
        </w:rPr>
        <w:t> mg</w:t>
      </w:r>
      <w:r w:rsidRPr="00ED2BFB">
        <w:rPr>
          <w:rFonts w:ascii="Times New Roman" w:hAnsi="Times New Roman"/>
        </w:rPr>
        <w:t>, 2,5</w:t>
      </w:r>
      <w:r w:rsidR="005F24FF" w:rsidRPr="005401E2">
        <w:rPr>
          <w:rFonts w:ascii="Times New Roman" w:hAnsi="Times New Roman"/>
        </w:rPr>
        <w:t> mg</w:t>
      </w:r>
      <w:r w:rsidRPr="00CB6009">
        <w:rPr>
          <w:rFonts w:ascii="Times New Roman" w:hAnsi="Times New Roman"/>
        </w:rPr>
        <w:t xml:space="preserve"> vagy 20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 xml:space="preserve"> lizinoprilt kaptak naponta egyszer, </w:t>
      </w:r>
      <w:r w:rsidR="00C5152B">
        <w:rPr>
          <w:rFonts w:ascii="Times New Roman" w:hAnsi="Times New Roman"/>
        </w:rPr>
        <w:t>míg</w:t>
      </w:r>
      <w:r w:rsidR="00C5152B" w:rsidRPr="00C5152B">
        <w:rPr>
          <w:rFonts w:ascii="Times New Roman" w:hAnsi="Times New Roman"/>
        </w:rPr>
        <w:t xml:space="preserve"> </w:t>
      </w:r>
      <w:r w:rsidRPr="00C5152B">
        <w:rPr>
          <w:rFonts w:ascii="Times New Roman" w:hAnsi="Times New Roman"/>
        </w:rPr>
        <w:t>az 50</w:t>
      </w:r>
      <w:r w:rsidR="00C5152B">
        <w:rPr>
          <w:rFonts w:ascii="Times New Roman" w:hAnsi="Times New Roman"/>
        </w:rPr>
        <w:t> </w:t>
      </w:r>
      <w:r w:rsidRPr="00C5152B">
        <w:rPr>
          <w:rFonts w:ascii="Times New Roman" w:hAnsi="Times New Roman"/>
        </w:rPr>
        <w:t xml:space="preserve">kg vagy </w:t>
      </w:r>
      <w:r w:rsidR="00852DF8">
        <w:rPr>
          <w:rFonts w:ascii="Times New Roman" w:hAnsi="Times New Roman"/>
        </w:rPr>
        <w:t>annál nagyobb</w:t>
      </w:r>
      <w:r w:rsidRPr="00C5152B">
        <w:rPr>
          <w:rFonts w:ascii="Times New Roman" w:hAnsi="Times New Roman"/>
        </w:rPr>
        <w:t xml:space="preserve"> testtömegű gyermekek és serdülők 1,25</w:t>
      </w:r>
      <w:r w:rsidR="005F24FF" w:rsidRPr="00C5152B">
        <w:rPr>
          <w:rFonts w:ascii="Times New Roman" w:hAnsi="Times New Roman"/>
        </w:rPr>
        <w:t> mg</w:t>
      </w:r>
      <w:r w:rsidRPr="00C5152B">
        <w:rPr>
          <w:rFonts w:ascii="Times New Roman" w:hAnsi="Times New Roman"/>
        </w:rPr>
        <w:t>, 5</w:t>
      </w:r>
      <w:r w:rsidR="005F24FF" w:rsidRPr="00C5152B">
        <w:rPr>
          <w:rFonts w:ascii="Times New Roman" w:hAnsi="Times New Roman"/>
        </w:rPr>
        <w:t> mg</w:t>
      </w:r>
      <w:r w:rsidRPr="00C5152B">
        <w:rPr>
          <w:rFonts w:ascii="Times New Roman" w:hAnsi="Times New Roman"/>
        </w:rPr>
        <w:t xml:space="preserve"> vagy 40</w:t>
      </w:r>
      <w:r w:rsidR="005F24FF" w:rsidRPr="00CB6009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 xml:space="preserve"> lizinoprilt kaptak naponta egyszer. A 2</w:t>
      </w:r>
      <w:r w:rsidR="005F24FF" w:rsidRPr="00DC2ECE">
        <w:rPr>
          <w:rFonts w:ascii="Times New Roman" w:hAnsi="Times New Roman"/>
        </w:rPr>
        <w:t> het</w:t>
      </w:r>
      <w:r w:rsidRPr="00DC2ECE">
        <w:rPr>
          <w:rFonts w:ascii="Times New Roman" w:hAnsi="Times New Roman"/>
        </w:rPr>
        <w:t xml:space="preserve">es kezelés végén a naponta egyszer alkalmazott </w:t>
      </w:r>
      <w:r w:rsidRPr="00DC2ECE">
        <w:rPr>
          <w:rFonts w:ascii="Times New Roman" w:hAnsi="Times New Roman"/>
        </w:rPr>
        <w:lastRenderedPageBreak/>
        <w:t>lizinopril dózisfüggő módon csökkentette a vérnyomás mélyponti („trough blood pressure”) értékét</w:t>
      </w:r>
      <w:r w:rsidR="00852DF8">
        <w:rPr>
          <w:rFonts w:ascii="Times New Roman" w:hAnsi="Times New Roman"/>
        </w:rPr>
        <w:t>,</w:t>
      </w:r>
      <w:r w:rsidRPr="00DC2ECE">
        <w:rPr>
          <w:rFonts w:ascii="Times New Roman" w:hAnsi="Times New Roman"/>
        </w:rPr>
        <w:t xml:space="preserve"> az 1,25</w:t>
      </w:r>
      <w:r w:rsidR="005F24FF" w:rsidRPr="00DC2ECE">
        <w:rPr>
          <w:rFonts w:ascii="Times New Roman" w:hAnsi="Times New Roman"/>
        </w:rPr>
        <w:t> mg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nál </w:t>
      </w:r>
      <w:r w:rsidR="00852DF8">
        <w:rPr>
          <w:rFonts w:ascii="Times New Roman" w:hAnsi="Times New Roman"/>
        </w:rPr>
        <w:t>nagyo</w:t>
      </w:r>
      <w:r w:rsidR="00852DF8" w:rsidRPr="00DC2ECE">
        <w:rPr>
          <w:rFonts w:ascii="Times New Roman" w:hAnsi="Times New Roman"/>
        </w:rPr>
        <w:t xml:space="preserve">bb </w:t>
      </w:r>
      <w:r w:rsidRPr="00DC2ECE">
        <w:rPr>
          <w:rFonts w:ascii="Times New Roman" w:hAnsi="Times New Roman"/>
        </w:rPr>
        <w:t>dózisoknál tapasztalt tartós antihipertenzív hatás mellett.</w:t>
      </w:r>
    </w:p>
    <w:p w14:paraId="4CF246A3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058CB1C3" w14:textId="7FE603DF" w:rsidR="007C3F56" w:rsidRPr="00C5152B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Ez a hatás beigazolódott a kezelés </w:t>
      </w:r>
      <w:r w:rsidR="00852DF8">
        <w:rPr>
          <w:rFonts w:ascii="Times New Roman" w:hAnsi="Times New Roman"/>
        </w:rPr>
        <w:t>meg</w:t>
      </w:r>
      <w:r w:rsidRPr="00DC2ECE">
        <w:rPr>
          <w:rFonts w:ascii="Times New Roman" w:hAnsi="Times New Roman"/>
        </w:rPr>
        <w:t>vonás</w:t>
      </w:r>
      <w:r w:rsidR="00852DF8">
        <w:rPr>
          <w:rFonts w:ascii="Times New Roman" w:hAnsi="Times New Roman"/>
        </w:rPr>
        <w:t>i szakaszában</w:t>
      </w:r>
      <w:r w:rsidRPr="00DC2ECE">
        <w:rPr>
          <w:rFonts w:ascii="Times New Roman" w:hAnsi="Times New Roman"/>
        </w:rPr>
        <w:t>, amikor a diasztolés nyomás kb. 9</w:t>
      </w:r>
      <w:r w:rsidR="005F24FF" w:rsidRPr="00DC2ECE">
        <w:rPr>
          <w:rFonts w:ascii="Times New Roman" w:hAnsi="Times New Roman"/>
        </w:rPr>
        <w:t> Hgmm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rel magasabbra emelkedett a placebo</w:t>
      </w:r>
      <w:r w:rsidRPr="00C5152B">
        <w:rPr>
          <w:rFonts w:ascii="Times New Roman" w:hAnsi="Times New Roman"/>
        </w:rPr>
        <w:t>csoportban, mint a közepes vagy nagy dózisú lizinoprilt kapó betegek csoportjában. A lizinopril dózisfüggő antihipertenzív hatása kiegyensúlyozott volt a különböző demográfiai alcsoportokban</w:t>
      </w:r>
      <w:r w:rsidR="00C5152B">
        <w:rPr>
          <w:rFonts w:ascii="Times New Roman" w:hAnsi="Times New Roman"/>
        </w:rPr>
        <w:t>, úgymint</w:t>
      </w:r>
      <w:r w:rsidRPr="00C5152B">
        <w:rPr>
          <w:rFonts w:ascii="Times New Roman" w:hAnsi="Times New Roman"/>
        </w:rPr>
        <w:t>: életkor, Tanner</w:t>
      </w:r>
      <w:r w:rsidR="005F24FF" w:rsidRPr="00C5152B">
        <w:rPr>
          <w:rFonts w:ascii="Times New Roman" w:hAnsi="Times New Roman"/>
        </w:rPr>
        <w:noBreakHyphen/>
      </w:r>
      <w:r w:rsidRPr="00C5152B">
        <w:rPr>
          <w:rFonts w:ascii="Times New Roman" w:hAnsi="Times New Roman"/>
        </w:rPr>
        <w:t xml:space="preserve">stádium, nem és </w:t>
      </w:r>
      <w:r w:rsidR="00852DF8">
        <w:rPr>
          <w:rFonts w:ascii="Times New Roman" w:hAnsi="Times New Roman"/>
        </w:rPr>
        <w:t>rassz</w:t>
      </w:r>
      <w:r w:rsidRPr="00C5152B">
        <w:rPr>
          <w:rFonts w:ascii="Times New Roman" w:hAnsi="Times New Roman"/>
        </w:rPr>
        <w:t>.</w:t>
      </w:r>
    </w:p>
    <w:p w14:paraId="018C3CEB" w14:textId="77777777" w:rsidR="007C3F56" w:rsidRPr="00CB6009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7C09A3E3" w14:textId="77777777" w:rsidR="007C3F56" w:rsidRPr="00D1674F" w:rsidRDefault="007C3F56" w:rsidP="00C46DF0">
      <w:pPr>
        <w:widowControl w:val="0"/>
        <w:rPr>
          <w:rFonts w:ascii="Times New Roman" w:hAnsi="Times New Roman"/>
          <w:u w:val="single"/>
        </w:rPr>
      </w:pPr>
      <w:r w:rsidRPr="00CB6009">
        <w:rPr>
          <w:rFonts w:ascii="Times New Roman" w:hAnsi="Times New Roman"/>
          <w:u w:val="single"/>
        </w:rPr>
        <w:t>Amlodipin</w:t>
      </w:r>
    </w:p>
    <w:p w14:paraId="18E1353A" w14:textId="77777777" w:rsidR="00CA7FA1" w:rsidRPr="00DC2ECE" w:rsidRDefault="00CA7FA1" w:rsidP="00C46DF0">
      <w:pPr>
        <w:widowControl w:val="0"/>
        <w:rPr>
          <w:rFonts w:ascii="Times New Roman" w:eastAsia="Times New Roman" w:hAnsi="Times New Roman"/>
          <w:lang w:val="en-GB"/>
        </w:rPr>
      </w:pPr>
    </w:p>
    <w:p w14:paraId="12C3B788" w14:textId="362F6D16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a dihidropiridinek csoportjába tartozó kalciumionok beáramlását gátló</w:t>
      </w:r>
      <w:r w:rsidR="00852DF8">
        <w:rPr>
          <w:rFonts w:ascii="Times New Roman" w:hAnsi="Times New Roman"/>
        </w:rPr>
        <w:t xml:space="preserve"> szer</w:t>
      </w:r>
      <w:r w:rsidRPr="00DC2ECE">
        <w:rPr>
          <w:rFonts w:ascii="Times New Roman" w:hAnsi="Times New Roman"/>
        </w:rPr>
        <w:t xml:space="preserve"> (ún. lassú kalciumcsatorna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blokkoló) és gátolja a kalciumionok beáramlását a sejtmembránon keresztül a szívizomsejtekbe és az erek simaizomsejtjeibe.</w:t>
      </w:r>
    </w:p>
    <w:p w14:paraId="79649E7D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a vérnyomáscsökkentő hatását az erek simaizomzatának direkt relaxálása révén fejti ki.</w:t>
      </w:r>
    </w:p>
    <w:p w14:paraId="2421298F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anginaellenes hatásának pontos mechanizmusa nem teljesen ismert, de az amlodipin a teljes ischaemiás terhelést a következő két hatása útján csökkenti:</w:t>
      </w:r>
    </w:p>
    <w:p w14:paraId="27440813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77F6926C" w14:textId="37D67843" w:rsidR="007C3F56" w:rsidRPr="00DC2ECE" w:rsidRDefault="00B54759" w:rsidP="001151A2">
      <w:pPr>
        <w:pStyle w:val="Szvegtrzsbehzssal"/>
        <w:widowControl w:val="0"/>
        <w:numPr>
          <w:ilvl w:val="0"/>
          <w:numId w:val="10"/>
        </w:numPr>
        <w:spacing w:after="0"/>
        <w:ind w:left="567" w:hanging="567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tágítja a perifériás arteriolákat, és ezáltal csökkenti a teljes perifériás ellenállást (afterload), amivel szemben a szív dolgozik. Mivel a szívritmus nem változik, a szív kisebb terhelése csökkenti a szívizom energiafelhasználását és oxigénigényét.</w:t>
      </w:r>
    </w:p>
    <w:p w14:paraId="495C2B0D" w14:textId="77777777" w:rsidR="007C3F56" w:rsidRPr="00DC2ECE" w:rsidRDefault="007C3F56" w:rsidP="001151A2">
      <w:pPr>
        <w:pStyle w:val="Szvegtrzsbehzssal"/>
        <w:widowControl w:val="0"/>
        <w:spacing w:after="0"/>
        <w:ind w:left="567" w:hanging="567"/>
        <w:rPr>
          <w:rFonts w:ascii="Times New Roman" w:hAnsi="Times New Roman"/>
          <w:lang w:val="en-GB"/>
        </w:rPr>
      </w:pPr>
    </w:p>
    <w:p w14:paraId="6FEC6843" w14:textId="0FB71130" w:rsidR="007C3F56" w:rsidRPr="00ED2BFB" w:rsidRDefault="00B54759" w:rsidP="001151A2">
      <w:pPr>
        <w:pStyle w:val="Listaszerbekezds"/>
        <w:widowControl w:val="0"/>
        <w:numPr>
          <w:ilvl w:val="0"/>
          <w:numId w:val="10"/>
        </w:numPr>
        <w:ind w:left="567" w:hanging="567"/>
        <w:rPr>
          <w:rFonts w:ascii="Times New Roman" w:hAnsi="Times New Roman"/>
        </w:rPr>
      </w:pPr>
      <w:r w:rsidRPr="00ED2BFB">
        <w:rPr>
          <w:rFonts w:ascii="Times New Roman" w:hAnsi="Times New Roman"/>
        </w:rPr>
        <w:t>Az amlodipin hatásmechanizmusához valószínűleg hozzátartozik, hogy tágítja a fő koszorúereket és a coronaria</w:t>
      </w:r>
      <w:r w:rsidR="005F24FF" w:rsidRPr="00ED2BFB">
        <w:rPr>
          <w:rFonts w:ascii="Times New Roman" w:hAnsi="Times New Roman"/>
        </w:rPr>
        <w:noBreakHyphen/>
      </w:r>
      <w:r w:rsidRPr="00ED2BFB">
        <w:rPr>
          <w:rFonts w:ascii="Times New Roman" w:hAnsi="Times New Roman"/>
        </w:rPr>
        <w:t>arteriolákat mind az egészséges, mind az ischaemiás területeken. Az erek dilatációja növeli a szívizomzat oxigénellátását a coronariák spasmusa esetén (Prinzmetal vagy variáns angina).</w:t>
      </w:r>
    </w:p>
    <w:p w14:paraId="5B68CAAC" w14:textId="77777777" w:rsidR="007C3F56" w:rsidRPr="00DC2ECE" w:rsidRDefault="007C3F56" w:rsidP="00C46DF0">
      <w:pPr>
        <w:pStyle w:val="ListParagraph1"/>
        <w:widowControl w:val="0"/>
        <w:suppressAutoHyphens w:val="0"/>
        <w:spacing w:line="240" w:lineRule="auto"/>
        <w:ind w:left="0"/>
        <w:rPr>
          <w:szCs w:val="22"/>
          <w:lang w:val="en-GB"/>
        </w:rPr>
      </w:pPr>
    </w:p>
    <w:p w14:paraId="5E341DE5" w14:textId="5478AE32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Hypertoniás betegek esetén a napi egyszeri </w:t>
      </w:r>
      <w:r w:rsidR="00852DF8">
        <w:rPr>
          <w:rFonts w:ascii="Times New Roman" w:hAnsi="Times New Roman"/>
        </w:rPr>
        <w:t>dózis</w:t>
      </w:r>
      <w:r w:rsidR="00852DF8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klinikailag szignifikáns mértékben, 24</w:t>
      </w:r>
      <w:r w:rsidR="005F24FF" w:rsidRPr="00DC2ECE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 xml:space="preserve">án át csökkenti a vérnyomást mind fekvő, mind álló helyzetben. A hatás lassan alakul ki, ezért </w:t>
      </w:r>
      <w:r w:rsidR="00ED2BFB" w:rsidRPr="00DC2B95">
        <w:rPr>
          <w:rFonts w:ascii="Times New Roman" w:hAnsi="Times New Roman"/>
        </w:rPr>
        <w:t>az amlodipin alkalmazásakor nem jellemző</w:t>
      </w:r>
      <w:r w:rsidR="00ED2BFB" w:rsidRPr="00ED2BFB">
        <w:rPr>
          <w:rFonts w:ascii="Times New Roman" w:hAnsi="Times New Roman"/>
        </w:rPr>
        <w:t xml:space="preserve"> </w:t>
      </w:r>
      <w:r w:rsidRPr="005401E2">
        <w:rPr>
          <w:rFonts w:ascii="Times New Roman" w:hAnsi="Times New Roman"/>
        </w:rPr>
        <w:t>akut hypoto</w:t>
      </w:r>
      <w:r w:rsidRPr="00CB6009">
        <w:rPr>
          <w:rFonts w:ascii="Times New Roman" w:hAnsi="Times New Roman"/>
        </w:rPr>
        <w:t>nia kialakulása</w:t>
      </w:r>
      <w:r w:rsidRPr="00DC2ECE">
        <w:rPr>
          <w:rFonts w:ascii="Times New Roman" w:hAnsi="Times New Roman"/>
        </w:rPr>
        <w:t>.</w:t>
      </w:r>
    </w:p>
    <w:p w14:paraId="106BCC3C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1286DECF" w14:textId="13D01668" w:rsidR="007C3F56" w:rsidRPr="00CB6009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Angina pectorisban szenvedő betegeknél az amlodipin napi egyszeri adagja növeli a teljes terhelhetőségi időt, és az anginás roham, illetve az 1</w:t>
      </w:r>
      <w:r w:rsidR="00ED2BFB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mm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es ST depresszió </w:t>
      </w:r>
      <w:r w:rsidR="00ED2BFB">
        <w:rPr>
          <w:rFonts w:ascii="Times New Roman" w:hAnsi="Times New Roman"/>
        </w:rPr>
        <w:t>megjelenéséig</w:t>
      </w:r>
      <w:r w:rsidR="00ED2BFB" w:rsidRPr="00ED2BFB">
        <w:rPr>
          <w:rFonts w:ascii="Times New Roman" w:hAnsi="Times New Roman"/>
        </w:rPr>
        <w:t xml:space="preserve"> </w:t>
      </w:r>
      <w:r w:rsidRPr="00ED2BFB">
        <w:rPr>
          <w:rFonts w:ascii="Times New Roman" w:hAnsi="Times New Roman"/>
        </w:rPr>
        <w:t>eltelt időtartamot, valamint csökkenti az anginás rohamok gyakoriságát és a nitroglicerin tabletta szükségletet.</w:t>
      </w:r>
    </w:p>
    <w:p w14:paraId="5B1E69D7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38CF3140" w14:textId="7F97B773" w:rsidR="007C3F56" w:rsidRPr="00ED2BFB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nem hozható összefüggésbe káros metabolikus hatásokkal vagy a plazma</w:t>
      </w:r>
      <w:r w:rsidR="00852DF8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lipid</w:t>
      </w:r>
      <w:r w:rsidR="00852DF8">
        <w:rPr>
          <w:rFonts w:ascii="Times New Roman" w:hAnsi="Times New Roman"/>
        </w:rPr>
        <w:t>szintjein</w:t>
      </w:r>
      <w:r w:rsidRPr="00DC2ECE">
        <w:rPr>
          <w:rFonts w:ascii="Times New Roman" w:hAnsi="Times New Roman"/>
        </w:rPr>
        <w:t xml:space="preserve">ek változásával, </w:t>
      </w:r>
      <w:r w:rsidR="00ED2BFB">
        <w:rPr>
          <w:rFonts w:ascii="Times New Roman" w:hAnsi="Times New Roman"/>
        </w:rPr>
        <w:t xml:space="preserve">így </w:t>
      </w:r>
      <w:r w:rsidRPr="00ED2BFB">
        <w:rPr>
          <w:rFonts w:ascii="Times New Roman" w:hAnsi="Times New Roman"/>
        </w:rPr>
        <w:t>asthma bronchialéban, diabetesben és köszvényben szenvedő betegeknek is adható.</w:t>
      </w:r>
    </w:p>
    <w:p w14:paraId="7FA13D69" w14:textId="77777777" w:rsidR="007C3F56" w:rsidRPr="00CB6009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7BDEB30" w14:textId="77777777" w:rsidR="007C3F56" w:rsidRPr="00DC2ECE" w:rsidRDefault="007C3F56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Szívelégtelenség</w:t>
      </w:r>
    </w:p>
    <w:p w14:paraId="7BF48EFD" w14:textId="3660CF63" w:rsidR="007C3F56" w:rsidRPr="00ED2BFB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Hemodinamikai vizsgálatok, valamint NYHA II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IV.</w:t>
      </w:r>
      <w:r w:rsidR="00A96D3B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stádiumú szívelégtelenségben szenvedő betegek</w:t>
      </w:r>
      <w:r w:rsidR="00852DF8">
        <w:rPr>
          <w:rFonts w:ascii="Times New Roman" w:hAnsi="Times New Roman"/>
        </w:rPr>
        <w:t>né</w:t>
      </w:r>
      <w:r w:rsidR="00ED2BFB">
        <w:rPr>
          <w:rFonts w:ascii="Times New Roman" w:hAnsi="Times New Roman"/>
        </w:rPr>
        <w:t>l</w:t>
      </w:r>
      <w:r w:rsidRPr="00ED2BFB">
        <w:rPr>
          <w:rFonts w:ascii="Times New Roman" w:hAnsi="Times New Roman"/>
        </w:rPr>
        <w:t xml:space="preserve"> terheléssel végzett kontrollos klinikai vizsgálatok szerint, az amlodipin a betegek klinikai állapotát a terhelhetőség, a balkamrai ejekciós frakció és a klinikai tünetek alapján megítélve, nem rontotta.</w:t>
      </w:r>
    </w:p>
    <w:p w14:paraId="701E7818" w14:textId="77777777" w:rsidR="007C3F56" w:rsidRPr="00CB6009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BF2180B" w14:textId="3E6106F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Egy placebo</w:t>
      </w:r>
      <w:r w:rsidRPr="00ED2BFB">
        <w:rPr>
          <w:rFonts w:ascii="Times New Roman" w:hAnsi="Times New Roman"/>
        </w:rPr>
        <w:t>kontrollos vizsgálat (PRAISE) során, amit NYHA III</w:t>
      </w:r>
      <w:r w:rsidR="005F24FF" w:rsidRPr="005401E2">
        <w:rPr>
          <w:rFonts w:ascii="Times New Roman" w:hAnsi="Times New Roman"/>
        </w:rPr>
        <w:noBreakHyphen/>
      </w:r>
      <w:r w:rsidRPr="00CB6009">
        <w:rPr>
          <w:rFonts w:ascii="Times New Roman" w:hAnsi="Times New Roman"/>
        </w:rPr>
        <w:t>IV.</w:t>
      </w:r>
      <w:r w:rsidR="00A96D3B">
        <w:rPr>
          <w:rFonts w:ascii="Times New Roman" w:hAnsi="Times New Roman"/>
        </w:rPr>
        <w:t> </w:t>
      </w:r>
      <w:r w:rsidRPr="00CB6009">
        <w:rPr>
          <w:rFonts w:ascii="Times New Roman" w:hAnsi="Times New Roman"/>
        </w:rPr>
        <w:t>stádiumú szívelégtelenségben szenvedő, digoxint, diuretikumot és a</w:t>
      </w:r>
      <w:r w:rsidRPr="00DC2ECE">
        <w:rPr>
          <w:rFonts w:ascii="Times New Roman" w:hAnsi="Times New Roman"/>
        </w:rPr>
        <w:t>ngiotenzin konvertáló enzim (ACE)</w:t>
      </w:r>
      <w:r w:rsidR="00A96D3B">
        <w:rPr>
          <w:rFonts w:ascii="Times New Roman" w:hAnsi="Times New Roman"/>
        </w:rPr>
        <w:noBreakHyphen/>
      </w:r>
      <w:r w:rsidRPr="00ED2BFB">
        <w:rPr>
          <w:rFonts w:ascii="Times New Roman" w:hAnsi="Times New Roman"/>
        </w:rPr>
        <w:t>gátlót szedő betegek</w:t>
      </w:r>
      <w:r w:rsidR="00ED2BFB">
        <w:rPr>
          <w:rFonts w:ascii="Times New Roman" w:hAnsi="Times New Roman"/>
        </w:rPr>
        <w:t>kel</w:t>
      </w:r>
      <w:r w:rsidRPr="00ED2BFB">
        <w:rPr>
          <w:rFonts w:ascii="Times New Roman" w:hAnsi="Times New Roman"/>
        </w:rPr>
        <w:t xml:space="preserve"> végeztek, az amlodipin kiegészítő adása nem vezetett a szívelégtel</w:t>
      </w:r>
      <w:r w:rsidRPr="00CB6009">
        <w:rPr>
          <w:rFonts w:ascii="Times New Roman" w:hAnsi="Times New Roman"/>
        </w:rPr>
        <w:t>enségben szenvedő betegek mortalitásának, illetve a komb</w:t>
      </w:r>
      <w:r w:rsidRPr="00DC2ECE">
        <w:rPr>
          <w:rFonts w:ascii="Times New Roman" w:hAnsi="Times New Roman"/>
        </w:rPr>
        <w:t>inált mortalitás és morbiditás kockázatának növekedéséhez.</w:t>
      </w:r>
    </w:p>
    <w:p w14:paraId="71914A6A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DE0BE57" w14:textId="7630386B" w:rsidR="007C3F56" w:rsidRPr="00CB6009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Egy</w:t>
      </w:r>
      <w:r w:rsidR="00ED2BFB">
        <w:rPr>
          <w:rFonts w:ascii="Times New Roman" w:hAnsi="Times New Roman"/>
        </w:rPr>
        <w:t>,</w:t>
      </w:r>
      <w:r w:rsidRPr="00ED2BFB">
        <w:rPr>
          <w:rFonts w:ascii="Times New Roman" w:hAnsi="Times New Roman"/>
        </w:rPr>
        <w:t xml:space="preserve"> amlodipinel végzett hosszú távú, placebokontrollos</w:t>
      </w:r>
      <w:r w:rsidR="004E67DB">
        <w:rPr>
          <w:rFonts w:ascii="Times New Roman" w:hAnsi="Times New Roman"/>
        </w:rPr>
        <w:t>,</w:t>
      </w:r>
      <w:r w:rsidRPr="00ED2BFB">
        <w:rPr>
          <w:rFonts w:ascii="Times New Roman" w:hAnsi="Times New Roman"/>
        </w:rPr>
        <w:t xml:space="preserve"> utánkövetéses vizsgálatban (PRAISE</w:t>
      </w:r>
      <w:r w:rsidR="005F24FF" w:rsidRPr="005401E2">
        <w:rPr>
          <w:rFonts w:ascii="Times New Roman" w:hAnsi="Times New Roman"/>
        </w:rPr>
        <w:noBreakHyphen/>
      </w:r>
      <w:r w:rsidRPr="00CB6009">
        <w:rPr>
          <w:rFonts w:ascii="Times New Roman" w:hAnsi="Times New Roman"/>
        </w:rPr>
        <w:t>2) ischaemiás</w:t>
      </w:r>
      <w:r w:rsidRPr="00DC2ECE">
        <w:rPr>
          <w:rFonts w:ascii="Times New Roman" w:hAnsi="Times New Roman"/>
        </w:rPr>
        <w:t xml:space="preserve"> szívbetegség meglétére utaló klinikai tünetek vagy vizsgálati </w:t>
      </w:r>
      <w:r w:rsidR="004E67DB">
        <w:rPr>
          <w:rFonts w:ascii="Times New Roman" w:hAnsi="Times New Roman"/>
        </w:rPr>
        <w:t>eredmény</w:t>
      </w:r>
      <w:r w:rsidR="004E67DB" w:rsidRPr="00DC2ECE">
        <w:rPr>
          <w:rFonts w:ascii="Times New Roman" w:hAnsi="Times New Roman"/>
        </w:rPr>
        <w:t xml:space="preserve">ek </w:t>
      </w:r>
      <w:r w:rsidRPr="00DC2ECE">
        <w:rPr>
          <w:rFonts w:ascii="Times New Roman" w:hAnsi="Times New Roman"/>
        </w:rPr>
        <w:t>nélküli, NYHA III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IV.</w:t>
      </w:r>
      <w:r w:rsidR="00A96D3B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stádiumú szívelégtelenségben szenvedő betegek</w:t>
      </w:r>
      <w:r w:rsidR="00ED2BFB">
        <w:rPr>
          <w:rFonts w:ascii="Times New Roman" w:hAnsi="Times New Roman"/>
        </w:rPr>
        <w:t>nél</w:t>
      </w:r>
      <w:r w:rsidR="00463C51">
        <w:rPr>
          <w:rFonts w:ascii="Times New Roman" w:hAnsi="Times New Roman"/>
        </w:rPr>
        <w:t>,</w:t>
      </w:r>
      <w:r w:rsidRPr="00ED2BFB">
        <w:rPr>
          <w:rFonts w:ascii="Times New Roman" w:hAnsi="Times New Roman"/>
        </w:rPr>
        <w:t xml:space="preserve"> ACE</w:t>
      </w:r>
      <w:r w:rsidR="005F24FF" w:rsidRPr="00ED2BFB">
        <w:rPr>
          <w:rFonts w:ascii="Times New Roman" w:hAnsi="Times New Roman"/>
        </w:rPr>
        <w:noBreakHyphen/>
      </w:r>
      <w:r w:rsidRPr="00ED2BFB">
        <w:rPr>
          <w:rFonts w:ascii="Times New Roman" w:hAnsi="Times New Roman"/>
        </w:rPr>
        <w:t xml:space="preserve">gátlók, szívglikozidok és diuretikumok állandó dózisának szedése mellett az amlodipinnek nem volt hatása </w:t>
      </w:r>
      <w:r w:rsidRPr="00463C51">
        <w:rPr>
          <w:rFonts w:ascii="Times New Roman" w:hAnsi="Times New Roman"/>
        </w:rPr>
        <w:t>a</w:t>
      </w:r>
      <w:r w:rsidR="004E67DB">
        <w:rPr>
          <w:rFonts w:ascii="Times New Roman" w:hAnsi="Times New Roman"/>
        </w:rPr>
        <w:t xml:space="preserve"> teljes</w:t>
      </w:r>
      <w:r w:rsidRPr="00463C51">
        <w:rPr>
          <w:rFonts w:ascii="Times New Roman" w:hAnsi="Times New Roman"/>
        </w:rPr>
        <w:t xml:space="preserve"> cardiovascularis mortalitásra. Ugyanebben a betegcsoportban az amlodipinhez a tüdőödémáról szóló jelentések megnövekedett száma társult.</w:t>
      </w:r>
    </w:p>
    <w:p w14:paraId="61F2F6EE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40F7F4E2" w14:textId="2B9496FD" w:rsidR="007C3F56" w:rsidRPr="00DC2ECE" w:rsidRDefault="00463C51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lastRenderedPageBreak/>
        <w:t xml:space="preserve">Az </w:t>
      </w:r>
      <w:r w:rsidR="007C3F56" w:rsidRPr="00463C51">
        <w:rPr>
          <w:rFonts w:ascii="Times New Roman" w:hAnsi="Times New Roman"/>
          <w:i/>
          <w:iCs/>
        </w:rPr>
        <w:t xml:space="preserve">„Antihipertenzív és lipidcsökkentő kezelés szerepe a szívroham megelőzésében” elnevezésű vizsgálat </w:t>
      </w:r>
      <w:r w:rsidR="007C3F56" w:rsidRPr="005401E2">
        <w:rPr>
          <w:rFonts w:ascii="Times New Roman" w:hAnsi="Times New Roman"/>
          <w:i/>
          <w:iCs/>
        </w:rPr>
        <w:t>(Antihypertensive and Lipid</w:t>
      </w:r>
      <w:r w:rsidR="005F24FF" w:rsidRPr="00CB6009">
        <w:rPr>
          <w:rFonts w:ascii="Times New Roman" w:hAnsi="Times New Roman"/>
          <w:i/>
          <w:iCs/>
        </w:rPr>
        <w:noBreakHyphen/>
      </w:r>
      <w:r w:rsidR="007C3F56" w:rsidRPr="00DC2ECE">
        <w:rPr>
          <w:rFonts w:ascii="Times New Roman" w:hAnsi="Times New Roman"/>
          <w:i/>
          <w:iCs/>
        </w:rPr>
        <w:t xml:space="preserve">Lowering Treatment to Prevent Heart Attack Trial </w:t>
      </w:r>
      <w:r w:rsidR="005F24FF" w:rsidRPr="00DC2ECE">
        <w:rPr>
          <w:rFonts w:ascii="Times New Roman" w:hAnsi="Times New Roman"/>
          <w:i/>
          <w:iCs/>
        </w:rPr>
        <w:noBreakHyphen/>
      </w:r>
      <w:r w:rsidR="007C3F56" w:rsidRPr="00DC2ECE">
        <w:rPr>
          <w:rFonts w:ascii="Times New Roman" w:hAnsi="Times New Roman"/>
          <w:i/>
          <w:iCs/>
        </w:rPr>
        <w:t xml:space="preserve"> ALLHAT)</w:t>
      </w:r>
    </w:p>
    <w:p w14:paraId="037A5593" w14:textId="2F31F188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„Antihipertenzív és lipidcsökkentő kezelés szerepe a szívroham megelőzésében” elnevezésű randomizált, kettős vak, morbiditást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mortalitást elemző klinikai vizsgálatban enyhe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közepes</w:t>
      </w:r>
      <w:r w:rsidR="004E67DB">
        <w:rPr>
          <w:rFonts w:ascii="Times New Roman" w:hAnsi="Times New Roman"/>
        </w:rPr>
        <w:t>en súlyos</w:t>
      </w:r>
      <w:r w:rsidRPr="00DC2ECE">
        <w:rPr>
          <w:rFonts w:ascii="Times New Roman" w:hAnsi="Times New Roman"/>
        </w:rPr>
        <w:t xml:space="preserve"> fokú hypertoniában hasonlították össze az újabb terápiás protokollokat: 2,5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10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>/nap amlodipin (kalciumcsatorna</w:t>
      </w:r>
      <w:r w:rsidR="004E67DB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blokkoló) vagy 10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40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>/nap lizinopril (ACE</w:t>
      </w:r>
      <w:r w:rsidR="00463C51">
        <w:rPr>
          <w:rFonts w:ascii="Times New Roman" w:hAnsi="Times New Roman"/>
        </w:rPr>
        <w:noBreakHyphen/>
      </w:r>
      <w:r w:rsidRPr="00463C51">
        <w:rPr>
          <w:rFonts w:ascii="Times New Roman" w:hAnsi="Times New Roman"/>
        </w:rPr>
        <w:t>gátló), mint lehetséges elsővonalbeli kezelés</w:t>
      </w:r>
      <w:r w:rsidR="004E67DB">
        <w:rPr>
          <w:rFonts w:ascii="Times New Roman" w:hAnsi="Times New Roman"/>
        </w:rPr>
        <w:t>eke</w:t>
      </w:r>
      <w:r w:rsidRPr="00463C51">
        <w:rPr>
          <w:rFonts w:ascii="Times New Roman" w:hAnsi="Times New Roman"/>
        </w:rPr>
        <w:t>t</w:t>
      </w:r>
      <w:r w:rsidR="00463C51">
        <w:rPr>
          <w:rFonts w:ascii="Times New Roman" w:hAnsi="Times New Roman"/>
        </w:rPr>
        <w:t>,</w:t>
      </w:r>
      <w:r w:rsidRPr="00463C51">
        <w:rPr>
          <w:rFonts w:ascii="Times New Roman" w:hAnsi="Times New Roman"/>
        </w:rPr>
        <w:t xml:space="preserve"> a tiazid típusú diuretikum (12,5</w:t>
      </w:r>
      <w:r w:rsidR="005F24FF" w:rsidRPr="00463C51">
        <w:rPr>
          <w:rFonts w:ascii="Times New Roman" w:hAnsi="Times New Roman"/>
        </w:rPr>
        <w:noBreakHyphen/>
      </w:r>
      <w:r w:rsidRPr="005401E2">
        <w:rPr>
          <w:rFonts w:ascii="Times New Roman" w:hAnsi="Times New Roman"/>
        </w:rPr>
        <w:t>25</w:t>
      </w:r>
      <w:r w:rsidR="005F24FF" w:rsidRPr="00CB6009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>/nap klórtalidon) hagyományos kezeléssel.</w:t>
      </w:r>
    </w:p>
    <w:p w14:paraId="0731A938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17358165" w14:textId="6B502D74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Összesen 33</w:t>
      </w:r>
      <w:r w:rsidR="00463C51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357, 55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>es vagy idősebb hypertoniás beteget randomizáltak a vizsgálatban, és átlagosan 4,9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 xml:space="preserve">ig követték őket. </w:t>
      </w:r>
      <w:proofErr w:type="gramStart"/>
      <w:r w:rsidRPr="00DC2ECE">
        <w:rPr>
          <w:rFonts w:ascii="Times New Roman" w:hAnsi="Times New Roman"/>
        </w:rPr>
        <w:t>A betegeknek legalább még egy (coronaria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betegségre hajlamosító) rizikófaktora volt: korábbi myocardialis infarctus vagy stroke (a beválasztást megelőzően </w:t>
      </w:r>
      <w:r w:rsidR="007E17DF" w:rsidRPr="00DC2ECE">
        <w:rPr>
          <w:rFonts w:ascii="Times New Roman" w:hAnsi="Times New Roman"/>
        </w:rPr>
        <w:t>6 hónapnál</w:t>
      </w:r>
      <w:r w:rsidRPr="00DC2ECE">
        <w:rPr>
          <w:rFonts w:ascii="Times New Roman" w:hAnsi="Times New Roman"/>
        </w:rPr>
        <w:t xml:space="preserve"> korábbi) vagy egyéb más, dokumentált atheroscleroticus cardiovascularis betegség (összesen 51,5%), II</w:t>
      </w:r>
      <w:r w:rsidR="00463C51">
        <w:rPr>
          <w:rFonts w:ascii="Times New Roman" w:hAnsi="Times New Roman"/>
        </w:rPr>
        <w:noBreakHyphen/>
        <w:t>es</w:t>
      </w:r>
      <w:r w:rsidRPr="00463C51">
        <w:rPr>
          <w:rFonts w:ascii="Times New Roman" w:hAnsi="Times New Roman"/>
        </w:rPr>
        <w:t xml:space="preserve"> típusú diabetes mellitus (36,1%); HDL</w:t>
      </w:r>
      <w:r w:rsidR="005F24FF" w:rsidRPr="00463C51">
        <w:rPr>
          <w:rFonts w:ascii="Times New Roman" w:hAnsi="Times New Roman"/>
        </w:rPr>
        <w:noBreakHyphen/>
      </w:r>
      <w:r w:rsidRPr="00463C51">
        <w:rPr>
          <w:rFonts w:ascii="Times New Roman" w:hAnsi="Times New Roman"/>
        </w:rPr>
        <w:t>koleszterin</w:t>
      </w:r>
      <w:r w:rsidR="004E67DB">
        <w:rPr>
          <w:rFonts w:ascii="Times New Roman" w:hAnsi="Times New Roman"/>
        </w:rPr>
        <w:t xml:space="preserve"> szintje</w:t>
      </w:r>
      <w:r w:rsidRPr="00463C51">
        <w:rPr>
          <w:rFonts w:ascii="Times New Roman" w:hAnsi="Times New Roman"/>
        </w:rPr>
        <w:t xml:space="preserve"> &lt;</w:t>
      </w:r>
      <w:r w:rsidR="00463C51">
        <w:rPr>
          <w:rFonts w:ascii="Times New Roman" w:hAnsi="Times New Roman"/>
        </w:rPr>
        <w:t> </w:t>
      </w:r>
      <w:r w:rsidRPr="00463C51">
        <w:rPr>
          <w:rFonts w:ascii="Times New Roman" w:hAnsi="Times New Roman"/>
        </w:rPr>
        <w:t>35</w:t>
      </w:r>
      <w:r w:rsidR="005F24FF" w:rsidRPr="00463C51">
        <w:rPr>
          <w:rFonts w:ascii="Times New Roman" w:hAnsi="Times New Roman"/>
        </w:rPr>
        <w:t> mg</w:t>
      </w:r>
      <w:r w:rsidRPr="00463C51">
        <w:rPr>
          <w:rFonts w:ascii="Times New Roman" w:hAnsi="Times New Roman"/>
        </w:rPr>
        <w:t>/dl (11,6%), EKG</w:t>
      </w:r>
      <w:r w:rsidR="005F24FF" w:rsidRPr="00463C51">
        <w:rPr>
          <w:rFonts w:ascii="Times New Roman" w:hAnsi="Times New Roman"/>
        </w:rPr>
        <w:noBreakHyphen/>
      </w:r>
      <w:r w:rsidRPr="005401E2">
        <w:rPr>
          <w:rFonts w:ascii="Times New Roman" w:hAnsi="Times New Roman"/>
        </w:rPr>
        <w:t xml:space="preserve">val vagy </w:t>
      </w:r>
      <w:r w:rsidR="00273BE3">
        <w:rPr>
          <w:rFonts w:ascii="Times New Roman" w:hAnsi="Times New Roman"/>
        </w:rPr>
        <w:t>echocardiographiával</w:t>
      </w:r>
      <w:r w:rsidRPr="004A5798">
        <w:rPr>
          <w:rFonts w:ascii="Times New Roman" w:hAnsi="Times New Roman"/>
        </w:rPr>
        <w:t xml:space="preserve"> diagnosztizált balkamra hypert</w:t>
      </w:r>
      <w:r w:rsidRPr="00DC2ECE">
        <w:rPr>
          <w:rFonts w:ascii="Times New Roman" w:hAnsi="Times New Roman"/>
        </w:rPr>
        <w:t xml:space="preserve">rophia (20,9%) ill. </w:t>
      </w:r>
      <w:r w:rsidR="004E67DB">
        <w:rPr>
          <w:rFonts w:ascii="Times New Roman" w:hAnsi="Times New Roman"/>
        </w:rPr>
        <w:t xml:space="preserve">aktuális </w:t>
      </w:r>
      <w:r w:rsidRPr="00DC2ECE">
        <w:rPr>
          <w:rFonts w:ascii="Times New Roman" w:hAnsi="Times New Roman"/>
        </w:rPr>
        <w:t>dohányzás (21,9%).</w:t>
      </w:r>
      <w:proofErr w:type="gramEnd"/>
    </w:p>
    <w:p w14:paraId="7AB1AE12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0D6FD317" w14:textId="1F8089ED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elsődleges végpont a halálos kimenetelű coronaria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betegség, vagy nem</w:t>
      </w:r>
      <w:r w:rsidR="004E67DB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halálos kimenetelű myocardialis infarctus események </w:t>
      </w:r>
      <w:r w:rsidR="004E67DB">
        <w:rPr>
          <w:rFonts w:ascii="Times New Roman" w:hAnsi="Times New Roman"/>
        </w:rPr>
        <w:t>á</w:t>
      </w:r>
      <w:r w:rsidRPr="00DC2ECE">
        <w:rPr>
          <w:rFonts w:ascii="Times New Roman" w:hAnsi="Times New Roman"/>
        </w:rPr>
        <w:t>ltal alkotott összetett végpont volt. Az elsődleges végpont tekintetében nem volt szignifikáns különbség az amlodipin alapú, ill. a klórtalidon alapú kezelés között (RR: 0,98; 95%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os CI: 0,90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1,07; 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 xml:space="preserve">0,65). </w:t>
      </w:r>
      <w:proofErr w:type="gramStart"/>
      <w:r w:rsidRPr="00DC2ECE">
        <w:rPr>
          <w:rFonts w:ascii="Times New Roman" w:hAnsi="Times New Roman"/>
        </w:rPr>
        <w:t>A másodlagos végpontok közül a szívelégtelenség (része az összetett cardivoscularis végpontnak) előfordulása szignifikánsan magasabb volt az amlodipin</w:t>
      </w:r>
      <w:r w:rsidR="004E67DB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csoportban a klórtalidon</w:t>
      </w:r>
      <w:r w:rsidR="004E67DB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 xml:space="preserve">csoporthoz hasonlítva (10,2% vs. 7,7%; RR: </w:t>
      </w:r>
      <w:r w:rsidR="005F24FF" w:rsidRPr="00DC2ECE">
        <w:rPr>
          <w:rFonts w:ascii="Times New Roman" w:hAnsi="Times New Roman"/>
        </w:rPr>
        <w:t>1,38; 95%</w:t>
      </w:r>
      <w:r w:rsidR="005F24FF" w:rsidRPr="00DC2ECE">
        <w:rPr>
          <w:rFonts w:ascii="Times New Roman" w:hAnsi="Times New Roman"/>
        </w:rPr>
        <w:noBreakHyphen/>
        <w:t>os CI: 1,25</w:t>
      </w:r>
      <w:r w:rsidR="005F24FF" w:rsidRPr="00DC2ECE">
        <w:rPr>
          <w:rFonts w:ascii="Times New Roman" w:hAnsi="Times New Roman"/>
        </w:rPr>
        <w:noBreakHyphen/>
        <w:t>1,52; p &lt; </w:t>
      </w:r>
      <w:r w:rsidRPr="00DC2ECE">
        <w:rPr>
          <w:rFonts w:ascii="Times New Roman" w:hAnsi="Times New Roman"/>
        </w:rPr>
        <w:t>0,001). Nem volt szignifikáns különbség továbbá a bármilyen eredetű mortalitás tekintetében sem az amlodipin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, ill. a klórtalidon alapú kezelés között (RR: 0,96; 95%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os CI: 0,89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1,02; p</w:t>
      </w:r>
      <w:r w:rsidR="005F24FF" w:rsidRPr="00DC2ECE">
        <w:rPr>
          <w:rFonts w:ascii="Times New Roman" w:hAnsi="Times New Roman"/>
        </w:rPr>
        <w:t> = </w:t>
      </w:r>
      <w:r w:rsidRPr="00DC2ECE">
        <w:rPr>
          <w:rFonts w:ascii="Times New Roman" w:hAnsi="Times New Roman"/>
        </w:rPr>
        <w:t>0,20).</w:t>
      </w:r>
      <w:proofErr w:type="gramEnd"/>
    </w:p>
    <w:p w14:paraId="1601D839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FD0C564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Gyermekek és serdülők (6</w:t>
      </w:r>
      <w:r w:rsidR="005F24FF" w:rsidRPr="00DC2ECE">
        <w:rPr>
          <w:rFonts w:ascii="Times New Roman" w:hAnsi="Times New Roman"/>
          <w:u w:val="single"/>
        </w:rPr>
        <w:t> év</w:t>
      </w:r>
      <w:r w:rsidRPr="00DC2ECE">
        <w:rPr>
          <w:rFonts w:ascii="Times New Roman" w:hAnsi="Times New Roman"/>
          <w:u w:val="single"/>
        </w:rPr>
        <w:t>es és annál idősebb)</w:t>
      </w:r>
    </w:p>
    <w:p w14:paraId="6731807E" w14:textId="21380B7D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Egy, 268</w:t>
      </w:r>
      <w:r w:rsidR="005401E2">
        <w:rPr>
          <w:rFonts w:ascii="Times New Roman" w:hAnsi="Times New Roman"/>
        </w:rPr>
        <w:t>,</w:t>
      </w:r>
      <w:r w:rsidRPr="005401E2">
        <w:rPr>
          <w:rFonts w:ascii="Times New Roman" w:hAnsi="Times New Roman"/>
        </w:rPr>
        <w:t xml:space="preserve"> túlnyomórészt secundaer hypertoniában szenvedő, 6</w:t>
      </w:r>
      <w:r w:rsidR="005F24FF" w:rsidRPr="00CB6009">
        <w:rPr>
          <w:rFonts w:ascii="Times New Roman" w:hAnsi="Times New Roman"/>
        </w:rPr>
        <w:noBreakHyphen/>
      </w:r>
      <w:r w:rsidRPr="004A5798">
        <w:rPr>
          <w:rFonts w:ascii="Times New Roman" w:hAnsi="Times New Roman"/>
        </w:rPr>
        <w:t>17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 xml:space="preserve">es gyermek </w:t>
      </w:r>
      <w:r w:rsidR="000E1AD4">
        <w:rPr>
          <w:rFonts w:ascii="Times New Roman" w:hAnsi="Times New Roman"/>
        </w:rPr>
        <w:t xml:space="preserve">és serdülő </w:t>
      </w:r>
      <w:r w:rsidRPr="00DC2ECE">
        <w:rPr>
          <w:rFonts w:ascii="Times New Roman" w:hAnsi="Times New Roman"/>
        </w:rPr>
        <w:t>részvételével végzett vizsgálatban az amlodipin 2,5</w:t>
      </w:r>
      <w:r w:rsidR="005F24FF" w:rsidRPr="00DC2ECE">
        <w:rPr>
          <w:rFonts w:ascii="Times New Roman" w:hAnsi="Times New Roman"/>
        </w:rPr>
        <w:t> mg</w:t>
      </w:r>
      <w:r w:rsidR="00860794">
        <w:rPr>
          <w:rFonts w:ascii="Times New Roman" w:hAnsi="Times New Roman"/>
        </w:rPr>
        <w:noBreakHyphen/>
      </w:r>
      <w:r w:rsidR="000E1AD4">
        <w:rPr>
          <w:rFonts w:ascii="Times New Roman" w:hAnsi="Times New Roman"/>
        </w:rPr>
        <w:t>os</w:t>
      </w:r>
      <w:r w:rsidRPr="00DC2ECE">
        <w:rPr>
          <w:rFonts w:ascii="Times New Roman" w:hAnsi="Times New Roman"/>
        </w:rPr>
        <w:t xml:space="preserve"> és 5,0</w:t>
      </w:r>
      <w:r w:rsidR="005F24FF" w:rsidRPr="00DC2ECE">
        <w:rPr>
          <w:rFonts w:ascii="Times New Roman" w:hAnsi="Times New Roman"/>
        </w:rPr>
        <w:t> mg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os dózisainak placebóval történő összehasonlítása azt mutatta, hogy mindkét dózis a placebóhoz képest szignifikánsan nagyobb mértékben csökkentette a szisztolés vérnyomást. A két dózis közötti különbség nem volt statisztikailag szignifikáns.</w:t>
      </w:r>
    </w:p>
    <w:p w14:paraId="711B4294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hosszú távú hatását a növekedésre, a pubertásra és az általános fejlődésre nem vizsgálták. Az amlodipin hosszú távú hatásossága a felnőttkori cardiovascularis morbiditás és mortalitás csökkentésében, a gyermekkorban történt kezelés esetén nem bizonyított.</w:t>
      </w:r>
    </w:p>
    <w:p w14:paraId="3DD61BAE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9F0BC0C" w14:textId="77777777" w:rsidR="007C3F56" w:rsidRPr="00DC2ECE" w:rsidRDefault="007C3F56" w:rsidP="001151A2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5.2</w:t>
      </w:r>
      <w:r w:rsidRPr="00DC2ECE">
        <w:rPr>
          <w:rFonts w:ascii="Times New Roman" w:hAnsi="Times New Roman"/>
          <w:b/>
          <w:bCs/>
        </w:rPr>
        <w:tab/>
        <w:t>Farmakokinetikai tulajdonságok</w:t>
      </w:r>
    </w:p>
    <w:p w14:paraId="036B1066" w14:textId="77777777" w:rsidR="007C3F56" w:rsidRPr="00DC2ECE" w:rsidRDefault="007C3F56" w:rsidP="001151A2">
      <w:pPr>
        <w:widowControl w:val="0"/>
        <w:rPr>
          <w:rFonts w:ascii="Times New Roman" w:hAnsi="Times New Roman"/>
          <w:lang w:val="en-GB"/>
        </w:rPr>
      </w:pPr>
    </w:p>
    <w:p w14:paraId="3D60CC15" w14:textId="77777777" w:rsidR="007C3F56" w:rsidRPr="00DC2ECE" w:rsidRDefault="007C3F56" w:rsidP="001151A2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Lizinopril</w:t>
      </w:r>
    </w:p>
    <w:p w14:paraId="45820FDB" w14:textId="77777777" w:rsidR="00DF3E55" w:rsidRPr="00DC2ECE" w:rsidRDefault="00DF3E55" w:rsidP="00C46DF0">
      <w:pPr>
        <w:widowControl w:val="0"/>
        <w:rPr>
          <w:rFonts w:ascii="Times New Roman" w:hAnsi="Times New Roman"/>
          <w:lang w:val="en-GB"/>
        </w:rPr>
      </w:pPr>
    </w:p>
    <w:p w14:paraId="29A71050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lizinopril orálisan aktív, szulfhidril csoportot nem tartalmazó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gátló.</w:t>
      </w:r>
    </w:p>
    <w:p w14:paraId="0929990B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  <w:lang w:val="en-GB"/>
        </w:rPr>
      </w:pPr>
    </w:p>
    <w:p w14:paraId="1BE0F585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Felszívódás</w:t>
      </w:r>
    </w:p>
    <w:p w14:paraId="20379D79" w14:textId="4B64EFAF" w:rsidR="007C3F56" w:rsidRPr="00DC2ECE" w:rsidRDefault="005401E2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L</w:t>
      </w:r>
      <w:r w:rsidRPr="00A00137">
        <w:rPr>
          <w:rFonts w:ascii="Times New Roman" w:hAnsi="Times New Roman"/>
        </w:rPr>
        <w:t xml:space="preserve">izinopril </w:t>
      </w:r>
      <w:r w:rsidRPr="004954C2">
        <w:rPr>
          <w:rFonts w:ascii="Times New Roman" w:hAnsi="Times New Roman"/>
          <w:i/>
        </w:rPr>
        <w:t>p</w:t>
      </w:r>
      <w:r w:rsidR="007C3F56" w:rsidRPr="004954C2">
        <w:rPr>
          <w:rFonts w:ascii="Times New Roman" w:hAnsi="Times New Roman"/>
          <w:i/>
        </w:rPr>
        <w:t>er os</w:t>
      </w:r>
      <w:r w:rsidR="007C3F56" w:rsidRPr="005401E2">
        <w:rPr>
          <w:rFonts w:ascii="Times New Roman" w:hAnsi="Times New Roman"/>
        </w:rPr>
        <w:t xml:space="preserve"> alkalmazás</w:t>
      </w:r>
      <w:r>
        <w:rPr>
          <w:rFonts w:ascii="Times New Roman" w:hAnsi="Times New Roman"/>
        </w:rPr>
        <w:t>a</w:t>
      </w:r>
      <w:r w:rsidR="007C3F56" w:rsidRPr="005401E2">
        <w:rPr>
          <w:rFonts w:ascii="Times New Roman" w:hAnsi="Times New Roman"/>
        </w:rPr>
        <w:t xml:space="preserve"> után </w:t>
      </w:r>
      <w:r w:rsidR="007C3F56" w:rsidRPr="00DC2ECE">
        <w:rPr>
          <w:rFonts w:ascii="Times New Roman" w:hAnsi="Times New Roman"/>
        </w:rPr>
        <w:t>a maximális plazmakoncentráció kb. 7</w:t>
      </w:r>
      <w:r w:rsidR="005F24FF" w:rsidRPr="00DC2ECE">
        <w:rPr>
          <w:rFonts w:ascii="Times New Roman" w:hAnsi="Times New Roman"/>
        </w:rPr>
        <w:t> óra</w:t>
      </w:r>
      <w:r w:rsidR="007C3F56" w:rsidRPr="00DC2ECE">
        <w:rPr>
          <w:rFonts w:ascii="Times New Roman" w:hAnsi="Times New Roman"/>
        </w:rPr>
        <w:t xml:space="preserve"> múlva ér</w:t>
      </w:r>
      <w:r>
        <w:rPr>
          <w:rFonts w:ascii="Times New Roman" w:hAnsi="Times New Roman"/>
        </w:rPr>
        <w:t>het</w:t>
      </w:r>
      <w:r w:rsidR="000E1AD4">
        <w:rPr>
          <w:rFonts w:ascii="Times New Roman" w:hAnsi="Times New Roman"/>
        </w:rPr>
        <w:t>ő</w:t>
      </w:r>
      <w:r w:rsidR="007C3F56" w:rsidRPr="005401E2">
        <w:rPr>
          <w:rFonts w:ascii="Times New Roman" w:hAnsi="Times New Roman"/>
        </w:rPr>
        <w:t xml:space="preserve"> el, bár akut myocardialis infarctusban szenvedő betegeknél a plazmakoncentráció maximuma némi késéssel volt megfigyelhető. A vizelettel kiürített mennyiség alapján a lizinopr</w:t>
      </w:r>
      <w:r w:rsidR="007C3F56" w:rsidRPr="00CB6009">
        <w:rPr>
          <w:rFonts w:ascii="Times New Roman" w:hAnsi="Times New Roman"/>
        </w:rPr>
        <w:t>il felszívódásának átlagos mértéke kb. 25%</w:t>
      </w:r>
      <w:r>
        <w:rPr>
          <w:rFonts w:ascii="Times New Roman" w:hAnsi="Times New Roman"/>
        </w:rPr>
        <w:t>,</w:t>
      </w:r>
      <w:r w:rsidR="007C3F56" w:rsidRPr="005401E2">
        <w:rPr>
          <w:rFonts w:ascii="Times New Roman" w:hAnsi="Times New Roman"/>
        </w:rPr>
        <w:t xml:space="preserve"> a vizsgált 5</w:t>
      </w:r>
      <w:r w:rsidR="005F24FF" w:rsidRPr="00CB6009">
        <w:rPr>
          <w:rFonts w:ascii="Times New Roman" w:hAnsi="Times New Roman"/>
        </w:rPr>
        <w:noBreakHyphen/>
      </w:r>
      <w:r w:rsidR="007C3F56" w:rsidRPr="004A5798">
        <w:rPr>
          <w:rFonts w:ascii="Times New Roman" w:hAnsi="Times New Roman"/>
        </w:rPr>
        <w:t>80</w:t>
      </w:r>
      <w:r w:rsidR="005F24FF" w:rsidRPr="00DC2ECE">
        <w:rPr>
          <w:rFonts w:ascii="Times New Roman" w:hAnsi="Times New Roman"/>
        </w:rPr>
        <w:t> mg</w:t>
      </w:r>
      <w:r w:rsidR="007C3F56" w:rsidRPr="00DC2ECE">
        <w:rPr>
          <w:rFonts w:ascii="Times New Roman" w:hAnsi="Times New Roman"/>
        </w:rPr>
        <w:t xml:space="preserve"> dózistartományban. Az egyén</w:t>
      </w:r>
      <w:r w:rsidR="000E1AD4">
        <w:rPr>
          <w:rFonts w:ascii="Times New Roman" w:hAnsi="Times New Roman"/>
        </w:rPr>
        <w:t>ek közötti variabilitás miatt az</w:t>
      </w:r>
      <w:r w:rsidR="007C3F56" w:rsidRPr="00DC2ECE">
        <w:rPr>
          <w:rFonts w:ascii="Times New Roman" w:hAnsi="Times New Roman"/>
        </w:rPr>
        <w:t xml:space="preserve"> értékek 6</w:t>
      </w:r>
      <w:r w:rsidR="005F24FF" w:rsidRPr="00DC2ECE">
        <w:rPr>
          <w:rFonts w:ascii="Times New Roman" w:hAnsi="Times New Roman"/>
        </w:rPr>
        <w:noBreakHyphen/>
      </w:r>
      <w:r w:rsidR="007C3F56" w:rsidRPr="00DC2ECE">
        <w:rPr>
          <w:rFonts w:ascii="Times New Roman" w:hAnsi="Times New Roman"/>
        </w:rPr>
        <w:t>60% között változhatnak. A lizinopril abszolút biohasznosulása kb. 16%</w:t>
      </w:r>
      <w:r w:rsidR="005F24FF" w:rsidRPr="00DC2ECE">
        <w:rPr>
          <w:rFonts w:ascii="Times New Roman" w:hAnsi="Times New Roman"/>
        </w:rPr>
        <w:noBreakHyphen/>
      </w:r>
      <w:r w:rsidR="007C3F56" w:rsidRPr="00DC2ECE">
        <w:rPr>
          <w:rFonts w:ascii="Times New Roman" w:hAnsi="Times New Roman"/>
        </w:rPr>
        <w:t xml:space="preserve">ra csökken </w:t>
      </w:r>
      <w:r w:rsidR="00F60423">
        <w:rPr>
          <w:rFonts w:ascii="Times New Roman" w:hAnsi="Times New Roman"/>
        </w:rPr>
        <w:t xml:space="preserve">a </w:t>
      </w:r>
      <w:r w:rsidR="007C3F56" w:rsidRPr="00F60423">
        <w:rPr>
          <w:rFonts w:ascii="Times New Roman" w:hAnsi="Times New Roman"/>
        </w:rPr>
        <w:t>szívelégtelenségben szenv</w:t>
      </w:r>
      <w:r w:rsidR="007C3F56" w:rsidRPr="00CB6009">
        <w:rPr>
          <w:rFonts w:ascii="Times New Roman" w:hAnsi="Times New Roman"/>
        </w:rPr>
        <w:t>edő betegeknél. A lizinopril felszívódásá</w:t>
      </w:r>
      <w:r w:rsidR="007C3F56" w:rsidRPr="004A5798">
        <w:rPr>
          <w:rFonts w:ascii="Times New Roman" w:hAnsi="Times New Roman"/>
        </w:rPr>
        <w:t>t a táplálék nem befolyásolja.</w:t>
      </w:r>
    </w:p>
    <w:p w14:paraId="10A1009A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  <w:lang w:val="en-GB"/>
        </w:rPr>
      </w:pPr>
    </w:p>
    <w:p w14:paraId="0BA0DF07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Eloszlás</w:t>
      </w:r>
    </w:p>
    <w:p w14:paraId="3598C32B" w14:textId="4C100881" w:rsidR="007C3F56" w:rsidRPr="004A5798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lizinopril </w:t>
      </w:r>
      <w:r w:rsidR="00F60423" w:rsidRPr="00FE384A">
        <w:rPr>
          <w:rFonts w:ascii="Times New Roman" w:hAnsi="Times New Roman"/>
        </w:rPr>
        <w:t>a keringő ACE</w:t>
      </w:r>
      <w:r w:rsidR="00F60423" w:rsidRPr="00FE384A">
        <w:rPr>
          <w:rFonts w:ascii="Times New Roman" w:hAnsi="Times New Roman"/>
        </w:rPr>
        <w:noBreakHyphen/>
      </w:r>
      <w:r w:rsidR="00F60423">
        <w:rPr>
          <w:rFonts w:ascii="Times New Roman" w:hAnsi="Times New Roman"/>
        </w:rPr>
        <w:t>k</w:t>
      </w:r>
      <w:r w:rsidR="00F60423" w:rsidRPr="00F60423">
        <w:rPr>
          <w:rFonts w:ascii="Times New Roman" w:hAnsi="Times New Roman"/>
        </w:rPr>
        <w:t xml:space="preserve">en kívül </w:t>
      </w:r>
      <w:r w:rsidRPr="00F60423">
        <w:rPr>
          <w:rFonts w:ascii="Times New Roman" w:hAnsi="Times New Roman"/>
        </w:rPr>
        <w:t>nem kötődik más szérumfehérjéhez. Patkányokon végzett kísérletek alapján a lizinopril csak kismértékben jut át a vér</w:t>
      </w:r>
      <w:r w:rsidR="005F24FF" w:rsidRPr="00F60423">
        <w:rPr>
          <w:rFonts w:ascii="Times New Roman" w:hAnsi="Times New Roman"/>
        </w:rPr>
        <w:noBreakHyphen/>
      </w:r>
      <w:r w:rsidRPr="00CB6009">
        <w:rPr>
          <w:rFonts w:ascii="Times New Roman" w:hAnsi="Times New Roman"/>
        </w:rPr>
        <w:t>agy gáton.</w:t>
      </w:r>
    </w:p>
    <w:p w14:paraId="4084283B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  <w:lang w:val="en-GB"/>
        </w:rPr>
      </w:pPr>
    </w:p>
    <w:p w14:paraId="29083095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Elimináció</w:t>
      </w:r>
    </w:p>
    <w:p w14:paraId="3A3C931B" w14:textId="4AD39933" w:rsidR="007C3F56" w:rsidRPr="00CB6009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lizinopril nem metabolizálódik, és változatlan formában </w:t>
      </w:r>
      <w:r w:rsidR="00F60423" w:rsidRPr="00D741E8">
        <w:rPr>
          <w:rFonts w:ascii="Times New Roman" w:hAnsi="Times New Roman"/>
        </w:rPr>
        <w:t>ürül</w:t>
      </w:r>
      <w:r w:rsidR="00F60423" w:rsidRPr="00F60423">
        <w:rPr>
          <w:rFonts w:ascii="Times New Roman" w:hAnsi="Times New Roman"/>
        </w:rPr>
        <w:t xml:space="preserve"> </w:t>
      </w:r>
      <w:r w:rsidRPr="00CB6009">
        <w:rPr>
          <w:rFonts w:ascii="Times New Roman" w:hAnsi="Times New Roman"/>
        </w:rPr>
        <w:t>a vizelettel</w:t>
      </w:r>
      <w:r w:rsidRPr="00DC2ECE">
        <w:rPr>
          <w:rFonts w:ascii="Times New Roman" w:hAnsi="Times New Roman"/>
        </w:rPr>
        <w:t>.</w:t>
      </w:r>
      <w:r w:rsidR="005F24FF" w:rsidRPr="00DC2ECE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 xml:space="preserve">Többszöri </w:t>
      </w:r>
      <w:r w:rsidR="00F60423">
        <w:rPr>
          <w:rFonts w:ascii="Times New Roman" w:hAnsi="Times New Roman"/>
        </w:rPr>
        <w:t>alkalmazás</w:t>
      </w:r>
      <w:r w:rsidR="00F60423" w:rsidRPr="00F60423">
        <w:rPr>
          <w:rFonts w:ascii="Times New Roman" w:hAnsi="Times New Roman"/>
        </w:rPr>
        <w:t xml:space="preserve"> </w:t>
      </w:r>
      <w:r w:rsidRPr="00F60423">
        <w:rPr>
          <w:rFonts w:ascii="Times New Roman" w:hAnsi="Times New Roman"/>
        </w:rPr>
        <w:t>után a lizinopril akkumulációs effektív f</w:t>
      </w:r>
      <w:r w:rsidR="00F60423">
        <w:rPr>
          <w:rFonts w:ascii="Times New Roman" w:hAnsi="Times New Roman"/>
        </w:rPr>
        <w:t xml:space="preserve">elezési </w:t>
      </w:r>
      <w:r w:rsidRPr="00F60423">
        <w:rPr>
          <w:rFonts w:ascii="Times New Roman" w:hAnsi="Times New Roman"/>
        </w:rPr>
        <w:t>ideje 12,6</w:t>
      </w:r>
      <w:r w:rsidR="005F24FF" w:rsidRPr="00F60423">
        <w:rPr>
          <w:rFonts w:ascii="Times New Roman" w:hAnsi="Times New Roman"/>
        </w:rPr>
        <w:t> óra</w:t>
      </w:r>
      <w:r w:rsidRPr="00F60423">
        <w:rPr>
          <w:rFonts w:ascii="Times New Roman" w:hAnsi="Times New Roman"/>
        </w:rPr>
        <w:t>. Egészséges emberekn</w:t>
      </w:r>
      <w:r w:rsidR="000E1AD4">
        <w:rPr>
          <w:rFonts w:ascii="Times New Roman" w:hAnsi="Times New Roman"/>
        </w:rPr>
        <w:t>él</w:t>
      </w:r>
      <w:r w:rsidRPr="00F60423">
        <w:rPr>
          <w:rFonts w:ascii="Times New Roman" w:hAnsi="Times New Roman"/>
        </w:rPr>
        <w:t xml:space="preserve"> a lizinopril</w:t>
      </w:r>
      <w:r w:rsidR="00F60423">
        <w:rPr>
          <w:rFonts w:ascii="Times New Roman" w:hAnsi="Times New Roman"/>
        </w:rPr>
        <w:t>-</w:t>
      </w:r>
      <w:r w:rsidRPr="00F60423">
        <w:rPr>
          <w:rFonts w:ascii="Times New Roman" w:hAnsi="Times New Roman"/>
        </w:rPr>
        <w:t>clearence hozzávetőleg 50</w:t>
      </w:r>
      <w:r w:rsidR="00F60423">
        <w:rPr>
          <w:rFonts w:ascii="Times New Roman" w:hAnsi="Times New Roman"/>
        </w:rPr>
        <w:t> </w:t>
      </w:r>
      <w:r w:rsidRPr="00F60423">
        <w:rPr>
          <w:rFonts w:ascii="Times New Roman" w:hAnsi="Times New Roman"/>
        </w:rPr>
        <w:t xml:space="preserve">ml/perc. A csökkenő szérumkoncentrációk elnyújtott terminális fázist </w:t>
      </w:r>
      <w:r w:rsidRPr="00F60423">
        <w:rPr>
          <w:rFonts w:ascii="Times New Roman" w:hAnsi="Times New Roman"/>
        </w:rPr>
        <w:lastRenderedPageBreak/>
        <w:t>eredményeznek, de ez nem okoz hatóanyag</w:t>
      </w:r>
      <w:r w:rsidR="00F60423">
        <w:rPr>
          <w:rFonts w:ascii="Times New Roman" w:hAnsi="Times New Roman"/>
        </w:rPr>
        <w:t>-ak</w:t>
      </w:r>
      <w:r w:rsidRPr="00F60423">
        <w:rPr>
          <w:rFonts w:ascii="Times New Roman" w:hAnsi="Times New Roman"/>
        </w:rPr>
        <w:t>kumulációt. Ez a terminális fázis valószínűleg a szaturálható ACE</w:t>
      </w:r>
      <w:r w:rsidR="005F24FF" w:rsidRPr="00F60423">
        <w:rPr>
          <w:rFonts w:ascii="Times New Roman" w:hAnsi="Times New Roman"/>
        </w:rPr>
        <w:noBreakHyphen/>
      </w:r>
      <w:r w:rsidRPr="00F60423">
        <w:rPr>
          <w:rFonts w:ascii="Times New Roman" w:hAnsi="Times New Roman"/>
        </w:rPr>
        <w:t>kötéseket mutatja, és nem arányos a dózissal.</w:t>
      </w:r>
    </w:p>
    <w:p w14:paraId="40E43785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0E32B273" w14:textId="77777777" w:rsidR="007C3F56" w:rsidRPr="00DC2ECE" w:rsidRDefault="007C3F56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Farmakokinetikai jellemzők különleges betegcsoportokban</w:t>
      </w:r>
    </w:p>
    <w:p w14:paraId="49F4A40B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494611A9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Májkárosodás</w:t>
      </w:r>
    </w:p>
    <w:p w14:paraId="20206E2B" w14:textId="32A91790" w:rsidR="007C3F56" w:rsidRPr="004A5798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Cirrhosisos betegekn</w:t>
      </w:r>
      <w:r w:rsidR="000E1AD4">
        <w:rPr>
          <w:rFonts w:ascii="Times New Roman" w:hAnsi="Times New Roman"/>
        </w:rPr>
        <w:t>él</w:t>
      </w:r>
      <w:r w:rsidRPr="00DC2ECE">
        <w:rPr>
          <w:rFonts w:ascii="Times New Roman" w:hAnsi="Times New Roman"/>
        </w:rPr>
        <w:t xml:space="preserve"> a rossz májfunkció következtében csökken a lizinopril abszorpciója (a vizelettel tör</w:t>
      </w:r>
      <w:r w:rsidR="00F60423">
        <w:rPr>
          <w:rFonts w:ascii="Times New Roman" w:hAnsi="Times New Roman"/>
        </w:rPr>
        <w:t>t</w:t>
      </w:r>
      <w:r w:rsidRPr="00F60423">
        <w:rPr>
          <w:rFonts w:ascii="Times New Roman" w:hAnsi="Times New Roman"/>
        </w:rPr>
        <w:t xml:space="preserve">énő kiválasztás alapján </w:t>
      </w:r>
      <w:r w:rsidR="00F60423">
        <w:rPr>
          <w:rFonts w:ascii="Times New Roman" w:hAnsi="Times New Roman"/>
        </w:rPr>
        <w:t>meghatározva</w:t>
      </w:r>
      <w:r w:rsidR="00F60423" w:rsidRPr="00F60423">
        <w:rPr>
          <w:rFonts w:ascii="Times New Roman" w:hAnsi="Times New Roman"/>
        </w:rPr>
        <w:t xml:space="preserve"> </w:t>
      </w:r>
      <w:r w:rsidRPr="00F60423">
        <w:rPr>
          <w:rFonts w:ascii="Times New Roman" w:hAnsi="Times New Roman"/>
        </w:rPr>
        <w:t>kb. 30%</w:t>
      </w:r>
      <w:r w:rsidR="005F24FF" w:rsidRPr="00F60423">
        <w:rPr>
          <w:rFonts w:ascii="Times New Roman" w:hAnsi="Times New Roman"/>
        </w:rPr>
        <w:noBreakHyphen/>
      </w:r>
      <w:r w:rsidRPr="00F60423">
        <w:rPr>
          <w:rFonts w:ascii="Times New Roman" w:hAnsi="Times New Roman"/>
        </w:rPr>
        <w:t>kal), ugyanakkor a csökkent kiürülés eredményeként nő a lizinopril</w:t>
      </w:r>
      <w:r w:rsidR="005F24FF" w:rsidRPr="00F60423">
        <w:rPr>
          <w:rFonts w:ascii="Times New Roman" w:hAnsi="Times New Roman"/>
        </w:rPr>
        <w:noBreakHyphen/>
      </w:r>
      <w:r w:rsidRPr="00F60423">
        <w:rPr>
          <w:rFonts w:ascii="Times New Roman" w:hAnsi="Times New Roman"/>
        </w:rPr>
        <w:t>expozíció (közel 50%</w:t>
      </w:r>
      <w:r w:rsidR="005F24FF" w:rsidRPr="00CB6009">
        <w:rPr>
          <w:rFonts w:ascii="Times New Roman" w:hAnsi="Times New Roman"/>
        </w:rPr>
        <w:noBreakHyphen/>
      </w:r>
      <w:r w:rsidRPr="00A97E2A">
        <w:rPr>
          <w:rFonts w:ascii="Times New Roman" w:hAnsi="Times New Roman"/>
        </w:rPr>
        <w:t>kal) az egészséges emberekéhez képest.</w:t>
      </w:r>
    </w:p>
    <w:p w14:paraId="172F1F12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05C7B8E7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Vesekárosodás</w:t>
      </w:r>
    </w:p>
    <w:p w14:paraId="5A0D34B5" w14:textId="4C5E8DCA" w:rsidR="007C3F56" w:rsidRPr="00B12416" w:rsidRDefault="00B12416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r w:rsidR="000E1AD4">
        <w:rPr>
          <w:rFonts w:ascii="Times New Roman" w:hAnsi="Times New Roman"/>
        </w:rPr>
        <w:t>veesekárosodás</w:t>
      </w:r>
      <w:r w:rsidR="007C3F56" w:rsidRPr="00B12416">
        <w:rPr>
          <w:rFonts w:ascii="Times New Roman" w:hAnsi="Times New Roman"/>
        </w:rPr>
        <w:t xml:space="preserve"> csökkenti a lizinopril eliminációját, mely a vesén keresztül ürül. Ez a csökkenés csak akkor válik klinikailag jelentőssé, ha a glomeruláris filtráció</w:t>
      </w:r>
      <w:r w:rsidR="000E1AD4">
        <w:rPr>
          <w:rFonts w:ascii="Times New Roman" w:hAnsi="Times New Roman"/>
        </w:rPr>
        <w:t>s ráta értéke</w:t>
      </w:r>
      <w:r w:rsidR="007C3F56" w:rsidRPr="00B12416">
        <w:rPr>
          <w:rFonts w:ascii="Times New Roman" w:hAnsi="Times New Roman"/>
        </w:rPr>
        <w:t xml:space="preserve"> 30</w:t>
      </w:r>
      <w:r>
        <w:rPr>
          <w:rFonts w:ascii="Times New Roman" w:hAnsi="Times New Roman"/>
        </w:rPr>
        <w:t> </w:t>
      </w:r>
      <w:r w:rsidR="007C3F56" w:rsidRPr="00B12416">
        <w:rPr>
          <w:rFonts w:ascii="Times New Roman" w:hAnsi="Times New Roman"/>
        </w:rPr>
        <w:t>ml/percnél kisebb. Enyhe és közepes</w:t>
      </w:r>
      <w:r>
        <w:rPr>
          <w:rFonts w:ascii="Times New Roman" w:hAnsi="Times New Roman"/>
        </w:rPr>
        <w:t>en súlyos</w:t>
      </w:r>
      <w:r w:rsidR="007C3F56" w:rsidRPr="00B12416">
        <w:rPr>
          <w:rFonts w:ascii="Times New Roman" w:hAnsi="Times New Roman"/>
        </w:rPr>
        <w:t xml:space="preserve"> vesekárosodás (kreatinin</w:t>
      </w:r>
      <w:r>
        <w:rPr>
          <w:rFonts w:ascii="Times New Roman" w:hAnsi="Times New Roman"/>
        </w:rPr>
        <w:t>-</w:t>
      </w:r>
      <w:r w:rsidR="007C3F56" w:rsidRPr="00B12416">
        <w:rPr>
          <w:rFonts w:ascii="Times New Roman" w:hAnsi="Times New Roman"/>
        </w:rPr>
        <w:t>clearence: 30</w:t>
      </w:r>
      <w:r w:rsidR="005F24FF" w:rsidRPr="00B12416">
        <w:rPr>
          <w:rFonts w:ascii="Times New Roman" w:hAnsi="Times New Roman"/>
        </w:rPr>
        <w:noBreakHyphen/>
      </w:r>
      <w:r w:rsidR="007C3F56" w:rsidRPr="00B12416">
        <w:rPr>
          <w:rFonts w:ascii="Times New Roman" w:hAnsi="Times New Roman"/>
        </w:rPr>
        <w:t>80</w:t>
      </w:r>
      <w:r>
        <w:rPr>
          <w:rFonts w:ascii="Times New Roman" w:hAnsi="Times New Roman"/>
        </w:rPr>
        <w:t> </w:t>
      </w:r>
      <w:r w:rsidR="007C3F56" w:rsidRPr="00B12416">
        <w:rPr>
          <w:rFonts w:ascii="Times New Roman" w:hAnsi="Times New Roman"/>
        </w:rPr>
        <w:t>ml/perc) esetén az átlagos AUC csak 13%</w:t>
      </w:r>
      <w:r w:rsidR="005F24FF" w:rsidRPr="00B12416">
        <w:rPr>
          <w:rFonts w:ascii="Times New Roman" w:hAnsi="Times New Roman"/>
        </w:rPr>
        <w:noBreakHyphen/>
      </w:r>
      <w:r w:rsidR="007C3F56" w:rsidRPr="00B12416">
        <w:rPr>
          <w:rFonts w:ascii="Times New Roman" w:hAnsi="Times New Roman"/>
        </w:rPr>
        <w:t>kal emelkedett, míg súlyos vesekárosodás (kreatinin</w:t>
      </w:r>
      <w:r>
        <w:rPr>
          <w:rFonts w:ascii="Times New Roman" w:hAnsi="Times New Roman"/>
        </w:rPr>
        <w:t>-</w:t>
      </w:r>
      <w:r w:rsidR="007C3F56" w:rsidRPr="00B12416">
        <w:rPr>
          <w:rFonts w:ascii="Times New Roman" w:hAnsi="Times New Roman"/>
        </w:rPr>
        <w:t>clearence: 5</w:t>
      </w:r>
      <w:r w:rsidR="005F24FF" w:rsidRPr="00B12416">
        <w:rPr>
          <w:rFonts w:ascii="Times New Roman" w:hAnsi="Times New Roman"/>
        </w:rPr>
        <w:noBreakHyphen/>
      </w:r>
      <w:r w:rsidR="007C3F56" w:rsidRPr="00B12416">
        <w:rPr>
          <w:rFonts w:ascii="Times New Roman" w:hAnsi="Times New Roman"/>
        </w:rPr>
        <w:t>30</w:t>
      </w:r>
      <w:r>
        <w:rPr>
          <w:rFonts w:ascii="Times New Roman" w:hAnsi="Times New Roman"/>
        </w:rPr>
        <w:t> </w:t>
      </w:r>
      <w:r w:rsidR="007C3F56" w:rsidRPr="00B12416">
        <w:rPr>
          <w:rFonts w:ascii="Times New Roman" w:hAnsi="Times New Roman"/>
        </w:rPr>
        <w:t>ml/perc) esetén az AUC</w:t>
      </w:r>
      <w:r w:rsidR="000E1AD4">
        <w:rPr>
          <w:rFonts w:ascii="Times New Roman" w:hAnsi="Times New Roman"/>
        </w:rPr>
        <w:t>-</w:t>
      </w:r>
      <w:r w:rsidR="007C3F56" w:rsidRPr="00B12416">
        <w:rPr>
          <w:rFonts w:ascii="Times New Roman" w:hAnsi="Times New Roman"/>
        </w:rPr>
        <w:t>érték átlaga a normális 4,5</w:t>
      </w:r>
      <w:r w:rsidR="005F24FF" w:rsidRPr="00CB6009">
        <w:rPr>
          <w:rFonts w:ascii="Times New Roman" w:hAnsi="Times New Roman"/>
        </w:rPr>
        <w:noBreakHyphen/>
      </w:r>
      <w:r w:rsidR="007C3F56" w:rsidRPr="00A97E2A">
        <w:rPr>
          <w:rFonts w:ascii="Times New Roman" w:hAnsi="Times New Roman"/>
        </w:rPr>
        <w:t>szeresére nőtt. A lizinopril dialízi</w:t>
      </w:r>
      <w:r w:rsidR="007C3F56" w:rsidRPr="004A5798">
        <w:rPr>
          <w:rFonts w:ascii="Times New Roman" w:hAnsi="Times New Roman"/>
        </w:rPr>
        <w:t>ssel eltávolítható. 4</w:t>
      </w:r>
      <w:r w:rsidR="005F24FF" w:rsidRPr="00DC2ECE">
        <w:rPr>
          <w:rFonts w:ascii="Times New Roman" w:hAnsi="Times New Roman"/>
        </w:rPr>
        <w:t> ór</w:t>
      </w:r>
      <w:r w:rsidR="007C3F56" w:rsidRPr="00DC2ECE">
        <w:rPr>
          <w:rFonts w:ascii="Times New Roman" w:hAnsi="Times New Roman"/>
        </w:rPr>
        <w:t>ás dialízis során a plazma lizinopril</w:t>
      </w:r>
      <w:r w:rsidR="000E1AD4">
        <w:rPr>
          <w:rFonts w:ascii="Times New Roman" w:hAnsi="Times New Roman"/>
        </w:rPr>
        <w:t>-</w:t>
      </w:r>
      <w:r w:rsidR="007C3F56" w:rsidRPr="00DC2ECE">
        <w:rPr>
          <w:rFonts w:ascii="Times New Roman" w:hAnsi="Times New Roman"/>
        </w:rPr>
        <w:t>koncentrációja átlagosan 60%</w:t>
      </w:r>
      <w:r w:rsidR="005F24FF" w:rsidRPr="00DC2ECE">
        <w:rPr>
          <w:rFonts w:ascii="Times New Roman" w:hAnsi="Times New Roman"/>
        </w:rPr>
        <w:noBreakHyphen/>
      </w:r>
      <w:r w:rsidR="007C3F56" w:rsidRPr="00DC2ECE">
        <w:rPr>
          <w:rFonts w:ascii="Times New Roman" w:hAnsi="Times New Roman"/>
        </w:rPr>
        <w:t>kal csökken, a dialízis</w:t>
      </w:r>
      <w:r w:rsidR="005F24FF" w:rsidRPr="00DC2ECE">
        <w:rPr>
          <w:rFonts w:ascii="Times New Roman" w:hAnsi="Times New Roman"/>
        </w:rPr>
        <w:noBreakHyphen/>
      </w:r>
      <w:r w:rsidR="007C3F56" w:rsidRPr="00DC2ECE">
        <w:rPr>
          <w:rFonts w:ascii="Times New Roman" w:hAnsi="Times New Roman"/>
        </w:rPr>
        <w:t>clearance 40</w:t>
      </w:r>
      <w:r w:rsidR="005F24FF" w:rsidRPr="00DC2ECE">
        <w:rPr>
          <w:rFonts w:ascii="Times New Roman" w:hAnsi="Times New Roman"/>
        </w:rPr>
        <w:noBreakHyphen/>
      </w:r>
      <w:r w:rsidR="007C3F56" w:rsidRPr="00DC2ECE">
        <w:rPr>
          <w:rFonts w:ascii="Times New Roman" w:hAnsi="Times New Roman"/>
        </w:rPr>
        <w:t>55</w:t>
      </w:r>
      <w:r>
        <w:rPr>
          <w:rFonts w:ascii="Times New Roman" w:hAnsi="Times New Roman"/>
        </w:rPr>
        <w:t> </w:t>
      </w:r>
      <w:r w:rsidR="007C3F56" w:rsidRPr="00B12416">
        <w:rPr>
          <w:rFonts w:ascii="Times New Roman" w:hAnsi="Times New Roman"/>
        </w:rPr>
        <w:t>ml/perc.</w:t>
      </w:r>
    </w:p>
    <w:p w14:paraId="47ABE5D6" w14:textId="77777777" w:rsidR="007C3F56" w:rsidRPr="00CB6009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289D13AB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Szívelégtelenség</w:t>
      </w:r>
    </w:p>
    <w:p w14:paraId="2D084131" w14:textId="53B2AD5C" w:rsidR="007C3F56" w:rsidRPr="00CB6009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Szívelégtelenségben 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expozíció az egészséges emberekéhez képest nő (az AUC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érték kb. 125%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kal nagyobb). Ugyanakkor, a </w:t>
      </w:r>
      <w:r w:rsidR="00B12416">
        <w:rPr>
          <w:rFonts w:ascii="Times New Roman" w:hAnsi="Times New Roman"/>
        </w:rPr>
        <w:t>vizeletből visszanyer</w:t>
      </w:r>
      <w:r w:rsidR="00CB6009">
        <w:rPr>
          <w:rFonts w:ascii="Times New Roman" w:hAnsi="Times New Roman"/>
        </w:rPr>
        <w:t>t</w:t>
      </w:r>
      <w:r w:rsidR="00B12416">
        <w:rPr>
          <w:rFonts w:ascii="Times New Roman" w:hAnsi="Times New Roman"/>
        </w:rPr>
        <w:t xml:space="preserve"> </w:t>
      </w:r>
      <w:r w:rsidRPr="00B12416">
        <w:rPr>
          <w:rFonts w:ascii="Times New Roman" w:hAnsi="Times New Roman"/>
        </w:rPr>
        <w:t>lizinopril alapján</w:t>
      </w:r>
      <w:r w:rsidRPr="00DC2ECE">
        <w:rPr>
          <w:rFonts w:ascii="Times New Roman" w:hAnsi="Times New Roman"/>
        </w:rPr>
        <w:t>, a felszívódás kb. 16%</w:t>
      </w:r>
      <w:r w:rsidR="005F24FF" w:rsidRPr="00DC2ECE">
        <w:rPr>
          <w:rFonts w:ascii="Times New Roman" w:hAnsi="Times New Roman"/>
        </w:rPr>
        <w:noBreakHyphen/>
      </w:r>
      <w:r w:rsidRPr="00CB6009">
        <w:rPr>
          <w:rFonts w:ascii="Times New Roman" w:hAnsi="Times New Roman"/>
        </w:rPr>
        <w:t>ra csökken az egészséges emberekéhez képest.</w:t>
      </w:r>
    </w:p>
    <w:p w14:paraId="30B9C5E0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1E8EA61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Gyermekek és serdülők</w:t>
      </w:r>
    </w:p>
    <w:p w14:paraId="3F747A6F" w14:textId="3C1E368A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lizinopril farmakokinetikai tulajdonságait 29, 6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16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>es korú, hypertoniás gyermek és serdülő esetében vizsgálták, akiknek a glomeruláris filtrációs rátája 30</w:t>
      </w:r>
      <w:r w:rsidR="00CB6009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ml/perc/1,73 m</w:t>
      </w:r>
      <w:r w:rsidRPr="00DC2ECE">
        <w:rPr>
          <w:rFonts w:ascii="Times New Roman" w:hAnsi="Times New Roman"/>
          <w:vertAlign w:val="superscript"/>
        </w:rPr>
        <w:t>2</w:t>
      </w:r>
      <w:r w:rsidRPr="00DC2ECE">
        <w:rPr>
          <w:rFonts w:ascii="Times New Roman" w:hAnsi="Times New Roman"/>
        </w:rPr>
        <w:t xml:space="preserve"> fölött volt. </w:t>
      </w:r>
      <w:r w:rsidR="00CB6009">
        <w:rPr>
          <w:rFonts w:ascii="Times New Roman" w:hAnsi="Times New Roman"/>
        </w:rPr>
        <w:t xml:space="preserve">A </w:t>
      </w:r>
      <w:r w:rsidRPr="00CB6009">
        <w:rPr>
          <w:rFonts w:ascii="Times New Roman" w:hAnsi="Times New Roman"/>
        </w:rPr>
        <w:t>0,1</w:t>
      </w:r>
      <w:r w:rsidR="005F24FF" w:rsidRPr="00CB6009">
        <w:rPr>
          <w:rFonts w:ascii="Times New Roman" w:hAnsi="Times New Roman"/>
        </w:rPr>
        <w:noBreakHyphen/>
      </w:r>
      <w:r w:rsidRPr="00CB6009">
        <w:rPr>
          <w:rFonts w:ascii="Times New Roman" w:hAnsi="Times New Roman"/>
        </w:rPr>
        <w:t>0,2</w:t>
      </w:r>
      <w:r w:rsidR="005F24FF" w:rsidRPr="00CB6009">
        <w:rPr>
          <w:rFonts w:ascii="Times New Roman" w:hAnsi="Times New Roman"/>
        </w:rPr>
        <w:t> mg</w:t>
      </w:r>
      <w:r w:rsidRPr="00CB6009">
        <w:rPr>
          <w:rFonts w:ascii="Times New Roman" w:hAnsi="Times New Roman"/>
        </w:rPr>
        <w:t>/</w:t>
      </w:r>
      <w:r w:rsidR="000E1AD4">
        <w:rPr>
          <w:rFonts w:ascii="Times New Roman" w:hAnsi="Times New Roman"/>
        </w:rPr>
        <w:t>tt</w:t>
      </w:r>
      <w:r w:rsidRPr="00CB6009">
        <w:rPr>
          <w:rFonts w:ascii="Times New Roman" w:hAnsi="Times New Roman"/>
        </w:rPr>
        <w:t>kg dózisok alkalmazását követően, a lizinopril a</w:t>
      </w:r>
      <w:r w:rsidR="00CB6009">
        <w:rPr>
          <w:rFonts w:ascii="Times New Roman" w:hAnsi="Times New Roman"/>
        </w:rPr>
        <w:t xml:space="preserve"> dinamikus</w:t>
      </w:r>
      <w:r w:rsidRPr="00CB6009">
        <w:rPr>
          <w:rFonts w:ascii="Times New Roman" w:hAnsi="Times New Roman"/>
        </w:rPr>
        <w:t xml:space="preserve"> egyensúlyi állapotban mért maximális plazmakoncentrációt 6</w:t>
      </w:r>
      <w:r w:rsidR="005F24FF" w:rsidRPr="00CB6009">
        <w:rPr>
          <w:rFonts w:ascii="Times New Roman" w:hAnsi="Times New Roman"/>
        </w:rPr>
        <w:t> óra</w:t>
      </w:r>
      <w:r w:rsidRPr="00A97E2A">
        <w:rPr>
          <w:rFonts w:ascii="Times New Roman" w:hAnsi="Times New Roman"/>
        </w:rPr>
        <w:t xml:space="preserve"> múlva érte el</w:t>
      </w:r>
      <w:r w:rsidRPr="004A5798">
        <w:rPr>
          <w:rFonts w:ascii="Times New Roman" w:hAnsi="Times New Roman"/>
        </w:rPr>
        <w:t xml:space="preserve">. A vizelettel kiürített </w:t>
      </w:r>
      <w:r w:rsidRPr="00DC2ECE">
        <w:rPr>
          <w:rFonts w:ascii="Times New Roman" w:hAnsi="Times New Roman"/>
        </w:rPr>
        <w:t>mennyiség alapján a lizinopril felszívódásának mértéke kb. 28% volt. Ezek az értékek hasonlóak a felnőtteknél korábban kapott értékekhez.</w:t>
      </w:r>
    </w:p>
    <w:p w14:paraId="7289BD14" w14:textId="0C2E73B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AUC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és a C</w:t>
      </w:r>
      <w:r w:rsidRPr="00DC2ECE">
        <w:rPr>
          <w:rFonts w:ascii="Times New Roman" w:hAnsi="Times New Roman"/>
          <w:vertAlign w:val="subscript"/>
        </w:rPr>
        <w:t>max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értékek gyermekek </w:t>
      </w:r>
      <w:r w:rsidR="000E1AD4">
        <w:rPr>
          <w:rFonts w:ascii="Times New Roman" w:hAnsi="Times New Roman"/>
        </w:rPr>
        <w:t xml:space="preserve">és serdülők </w:t>
      </w:r>
      <w:r w:rsidRPr="00DC2ECE">
        <w:rPr>
          <w:rFonts w:ascii="Times New Roman" w:hAnsi="Times New Roman"/>
        </w:rPr>
        <w:t>esetében ebben a vizsgálatban megegyeztek a felnőttek esetében megfigyelt értékekkel.</w:t>
      </w:r>
    </w:p>
    <w:p w14:paraId="2927906B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DDC1EED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Idősek</w:t>
      </w:r>
    </w:p>
    <w:p w14:paraId="309B63EF" w14:textId="528D2B4E" w:rsidR="007C3F56" w:rsidRPr="004A5798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Időseknél magasabbak a vérszintek és nagyobb a </w:t>
      </w:r>
      <w:r w:rsidR="000E1AD4">
        <w:rPr>
          <w:rFonts w:ascii="Times New Roman" w:hAnsi="Times New Roman"/>
        </w:rPr>
        <w:t>plazma</w:t>
      </w:r>
      <w:r w:rsidRPr="00DC2ECE">
        <w:rPr>
          <w:rFonts w:ascii="Times New Roman" w:hAnsi="Times New Roman"/>
        </w:rPr>
        <w:t>koncentráció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idő görbe alatti terület is (körülbelül 60%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kal)</w:t>
      </w:r>
      <w:r w:rsidR="00D1674F">
        <w:rPr>
          <w:rFonts w:ascii="Times New Roman" w:hAnsi="Times New Roman"/>
        </w:rPr>
        <w:t>,</w:t>
      </w:r>
      <w:r w:rsidRPr="00D1674F">
        <w:rPr>
          <w:rFonts w:ascii="Times New Roman" w:hAnsi="Times New Roman"/>
        </w:rPr>
        <w:t xml:space="preserve"> a fiatalokkal </w:t>
      </w:r>
      <w:r w:rsidRPr="00A97E2A">
        <w:rPr>
          <w:rFonts w:ascii="Times New Roman" w:hAnsi="Times New Roman"/>
        </w:rPr>
        <w:t>összehasonlítva.</w:t>
      </w:r>
    </w:p>
    <w:p w14:paraId="545588C9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706D735D" w14:textId="77777777" w:rsidR="007C3F56" w:rsidRPr="00DC2ECE" w:rsidRDefault="007C3F56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Amlodipin</w:t>
      </w:r>
    </w:p>
    <w:p w14:paraId="31EFA9A7" w14:textId="77777777" w:rsidR="00DF3E55" w:rsidRPr="00DC2ECE" w:rsidRDefault="00DF3E55" w:rsidP="00C46DF0">
      <w:pPr>
        <w:widowControl w:val="0"/>
        <w:rPr>
          <w:rFonts w:ascii="Times New Roman" w:hAnsi="Times New Roman"/>
          <w:lang w:val="en-GB"/>
        </w:rPr>
      </w:pPr>
    </w:p>
    <w:p w14:paraId="524C30AD" w14:textId="62726C13" w:rsidR="007C3F56" w:rsidRPr="00DC2ECE" w:rsidRDefault="007C3F56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Felszívódás, eloszlás</w:t>
      </w:r>
      <w:r w:rsidR="00F87C24">
        <w:rPr>
          <w:rFonts w:ascii="Times New Roman" w:hAnsi="Times New Roman"/>
          <w:u w:val="single"/>
        </w:rPr>
        <w:t xml:space="preserve"> és</w:t>
      </w:r>
      <w:r w:rsidRPr="00DC2ECE">
        <w:rPr>
          <w:rFonts w:ascii="Times New Roman" w:hAnsi="Times New Roman"/>
          <w:u w:val="single"/>
        </w:rPr>
        <w:t xml:space="preserve"> plazmafehérje</w:t>
      </w:r>
      <w:r w:rsidR="005F24FF" w:rsidRPr="00DC2ECE">
        <w:rPr>
          <w:rFonts w:ascii="Times New Roman" w:hAnsi="Times New Roman"/>
          <w:u w:val="single"/>
        </w:rPr>
        <w:noBreakHyphen/>
      </w:r>
      <w:r w:rsidRPr="00DC2ECE">
        <w:rPr>
          <w:rFonts w:ascii="Times New Roman" w:hAnsi="Times New Roman"/>
          <w:u w:val="single"/>
        </w:rPr>
        <w:t>kötődés</w:t>
      </w:r>
    </w:p>
    <w:p w14:paraId="4FF441DA" w14:textId="644F8272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Terápiás </w:t>
      </w:r>
      <w:r w:rsidR="000E1AD4">
        <w:rPr>
          <w:rFonts w:ascii="Times New Roman" w:hAnsi="Times New Roman"/>
        </w:rPr>
        <w:t>dózis</w:t>
      </w:r>
      <w:r w:rsidR="000E1AD4" w:rsidRPr="00DC2ECE">
        <w:rPr>
          <w:rFonts w:ascii="Times New Roman" w:hAnsi="Times New Roman"/>
        </w:rPr>
        <w:t xml:space="preserve">ok </w:t>
      </w:r>
      <w:r w:rsidRPr="001151A2">
        <w:rPr>
          <w:rFonts w:ascii="Times New Roman" w:hAnsi="Times New Roman"/>
          <w:i/>
          <w:iCs/>
        </w:rPr>
        <w:t>per os</w:t>
      </w:r>
      <w:r w:rsidRPr="00D1674F">
        <w:rPr>
          <w:rFonts w:ascii="Times New Roman" w:hAnsi="Times New Roman"/>
        </w:rPr>
        <w:t xml:space="preserve"> adását követően az amlod</w:t>
      </w:r>
      <w:r w:rsidRPr="00A97E2A">
        <w:rPr>
          <w:rFonts w:ascii="Times New Roman" w:hAnsi="Times New Roman"/>
        </w:rPr>
        <w:t>ipin jól felszívódik, a plazma csúcskoncentráció</w:t>
      </w:r>
      <w:r w:rsidR="00F87C24">
        <w:rPr>
          <w:rFonts w:ascii="Times New Roman" w:hAnsi="Times New Roman"/>
        </w:rPr>
        <w:t>t</w:t>
      </w:r>
      <w:r w:rsidRPr="00A97E2A">
        <w:rPr>
          <w:rFonts w:ascii="Times New Roman" w:hAnsi="Times New Roman"/>
        </w:rPr>
        <w:t xml:space="preserve"> a bevétel után 6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12</w:t>
      </w:r>
      <w:r w:rsidR="005F24FF" w:rsidRPr="00DC2ECE">
        <w:rPr>
          <w:rFonts w:ascii="Times New Roman" w:hAnsi="Times New Roman"/>
        </w:rPr>
        <w:t> ór</w:t>
      </w:r>
      <w:r w:rsidRPr="00DC2ECE">
        <w:rPr>
          <w:rFonts w:ascii="Times New Roman" w:hAnsi="Times New Roman"/>
        </w:rPr>
        <w:t xml:space="preserve">án belül </w:t>
      </w:r>
      <w:r w:rsidR="00F87C24">
        <w:rPr>
          <w:rFonts w:ascii="Times New Roman" w:hAnsi="Times New Roman"/>
        </w:rPr>
        <w:t>éri el</w:t>
      </w:r>
      <w:r w:rsidRPr="00DC2ECE">
        <w:rPr>
          <w:rFonts w:ascii="Times New Roman" w:hAnsi="Times New Roman"/>
        </w:rPr>
        <w:t>. Abszolút biohasznosulása 64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80%. Eloszlási térfogata megközelítőleg 21</w:t>
      </w:r>
      <w:r w:rsidR="005F24FF" w:rsidRPr="00DC2ECE">
        <w:rPr>
          <w:rFonts w:ascii="Times New Roman" w:hAnsi="Times New Roman"/>
        </w:rPr>
        <w:t> l/</w:t>
      </w:r>
      <w:r w:rsidRPr="00DC2ECE">
        <w:rPr>
          <w:rFonts w:ascii="Times New Roman" w:hAnsi="Times New Roman"/>
        </w:rPr>
        <w:t>kg.</w:t>
      </w:r>
      <w:r w:rsidRPr="00DC2ECE">
        <w:rPr>
          <w:rFonts w:ascii="Times New Roman" w:hAnsi="Times New Roman"/>
          <w:i/>
          <w:iCs/>
        </w:rPr>
        <w:t xml:space="preserve"> In vitro</w:t>
      </w:r>
      <w:r w:rsidRPr="00DC2ECE">
        <w:rPr>
          <w:rFonts w:ascii="Times New Roman" w:hAnsi="Times New Roman"/>
        </w:rPr>
        <w:t xml:space="preserve"> vizsgálatok szerint a keringő amlodipin 97,5%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 kötődik plazmafehérjékhez.</w:t>
      </w:r>
    </w:p>
    <w:p w14:paraId="688F1C56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amlodipin biohasznosulása nincs összefüggésben az étkezéssel.</w:t>
      </w:r>
    </w:p>
    <w:p w14:paraId="553F0EC5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F267B3F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Biotranszformáció és elimináció</w:t>
      </w:r>
    </w:p>
    <w:p w14:paraId="32531E5E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terminális felezési idő 35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50</w:t>
      </w:r>
      <w:r w:rsidR="005F24FF" w:rsidRPr="00DC2ECE">
        <w:rPr>
          <w:rFonts w:ascii="Times New Roman" w:hAnsi="Times New Roman"/>
        </w:rPr>
        <w:t> óra</w:t>
      </w:r>
      <w:r w:rsidRPr="00DC2ECE">
        <w:rPr>
          <w:rFonts w:ascii="Times New Roman" w:hAnsi="Times New Roman"/>
        </w:rPr>
        <w:t>, ez megfelel a napi egyszeri alkalmazásnak. A májban nagymértékben metabolizálódik inaktív metabolitokká. A változatlan forma 10%</w:t>
      </w:r>
      <w:r w:rsidR="005F24FF" w:rsidRPr="00DC2ECE">
        <w:rPr>
          <w:rFonts w:ascii="Times New Roman" w:hAnsi="Times New Roman"/>
        </w:rPr>
        <w:noBreakHyphen/>
      </w:r>
      <w:proofErr w:type="gramStart"/>
      <w:r w:rsidRPr="00DC2ECE">
        <w:rPr>
          <w:rFonts w:ascii="Times New Roman" w:hAnsi="Times New Roman"/>
        </w:rPr>
        <w:t>a</w:t>
      </w:r>
      <w:proofErr w:type="gramEnd"/>
      <w:r w:rsidRPr="00DC2ECE">
        <w:rPr>
          <w:rFonts w:ascii="Times New Roman" w:hAnsi="Times New Roman"/>
        </w:rPr>
        <w:t>, az inaktív metabolitok 60%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 a vizelettel választódik ki.</w:t>
      </w:r>
    </w:p>
    <w:p w14:paraId="39C0C701" w14:textId="77777777" w:rsidR="007C3F56" w:rsidRPr="00DC2ECE" w:rsidRDefault="007C3F56" w:rsidP="00C46DF0">
      <w:pPr>
        <w:widowControl w:val="0"/>
        <w:rPr>
          <w:rFonts w:ascii="Times New Roman" w:eastAsia="Lucida Sans Unicode" w:hAnsi="Times New Roman"/>
          <w:u w:val="single"/>
          <w:lang w:val="en-GB"/>
        </w:rPr>
      </w:pPr>
    </w:p>
    <w:p w14:paraId="339F3673" w14:textId="77777777" w:rsidR="007C3F56" w:rsidRPr="00DC2ECE" w:rsidRDefault="007C3F56" w:rsidP="00C46DF0">
      <w:pPr>
        <w:widowControl w:val="0"/>
        <w:rPr>
          <w:rFonts w:ascii="Times New Roman" w:hAnsi="Times New Roman"/>
          <w:i/>
          <w:u w:val="single"/>
        </w:rPr>
      </w:pPr>
      <w:r w:rsidRPr="00DC2ECE">
        <w:rPr>
          <w:rFonts w:ascii="Times New Roman" w:hAnsi="Times New Roman"/>
          <w:i/>
          <w:iCs/>
          <w:u w:val="single"/>
        </w:rPr>
        <w:t>Farmakokinetikai jellemzők különleges betegcsoportokban</w:t>
      </w:r>
    </w:p>
    <w:p w14:paraId="7DF89F62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bCs/>
          <w:iCs/>
          <w:lang w:val="en-GB"/>
        </w:rPr>
      </w:pPr>
    </w:p>
    <w:p w14:paraId="460768FD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bCs/>
          <w:i/>
          <w:iCs/>
        </w:rPr>
      </w:pPr>
      <w:r w:rsidRPr="00DC2ECE">
        <w:rPr>
          <w:rFonts w:ascii="Times New Roman" w:hAnsi="Times New Roman"/>
          <w:i/>
          <w:iCs/>
        </w:rPr>
        <w:t>Májkárosodás</w:t>
      </w:r>
    </w:p>
    <w:p w14:paraId="25538B74" w14:textId="01B574CD" w:rsidR="007C3F56" w:rsidRPr="00DC2ECE" w:rsidRDefault="007C3F56" w:rsidP="00C46DF0">
      <w:pPr>
        <w:widowControl w:val="0"/>
        <w:rPr>
          <w:rFonts w:ascii="Times New Roman" w:eastAsia="Times New Roman" w:hAnsi="Times New Roman"/>
          <w:bCs/>
          <w:iCs/>
        </w:rPr>
      </w:pPr>
      <w:r w:rsidRPr="00DC2ECE">
        <w:rPr>
          <w:rFonts w:ascii="Times New Roman" w:hAnsi="Times New Roman"/>
        </w:rPr>
        <w:t xml:space="preserve">Az amlodipin májkárosodásban szenvedő betegeknél történő alkalmazásáról nagyon kevés klinikai adat áll rendelkezésre. Májelégtelenségben szenvedő betegek esetében csökken az </w:t>
      </w:r>
      <w:r w:rsidRPr="00DC2ECE">
        <w:rPr>
          <w:rFonts w:ascii="Times New Roman" w:hAnsi="Times New Roman"/>
        </w:rPr>
        <w:lastRenderedPageBreak/>
        <w:t>amlodipin</w:t>
      </w:r>
      <w:r w:rsidR="00D1674F">
        <w:rPr>
          <w:rFonts w:ascii="Times New Roman" w:hAnsi="Times New Roman"/>
        </w:rPr>
        <w:noBreakHyphen/>
      </w:r>
      <w:r w:rsidRPr="00D1674F">
        <w:rPr>
          <w:rFonts w:ascii="Times New Roman" w:hAnsi="Times New Roman"/>
        </w:rPr>
        <w:t>clearence, ami hosszabb felezési időt és körülbelül 40</w:t>
      </w:r>
      <w:r w:rsidR="005F24FF" w:rsidRPr="00D1674F">
        <w:rPr>
          <w:rFonts w:ascii="Times New Roman" w:hAnsi="Times New Roman"/>
        </w:rPr>
        <w:noBreakHyphen/>
      </w:r>
      <w:r w:rsidRPr="00A97E2A">
        <w:rPr>
          <w:rFonts w:ascii="Times New Roman" w:hAnsi="Times New Roman"/>
        </w:rPr>
        <w:t>60%</w:t>
      </w:r>
      <w:r w:rsidR="005F24FF" w:rsidRPr="004A5798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kal magasabb AUC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értéket eredményez.</w:t>
      </w:r>
    </w:p>
    <w:p w14:paraId="111996F1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bCs/>
          <w:iCs/>
          <w:lang w:val="en-GB"/>
        </w:rPr>
      </w:pPr>
    </w:p>
    <w:p w14:paraId="1DC05F10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Idősek</w:t>
      </w:r>
    </w:p>
    <w:p w14:paraId="780BB589" w14:textId="594C3504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plazma csúcskoncentráció kialakulásának ideje idős és fiatalabb személyeknél hasonló. Időseknél az amlodipin</w:t>
      </w:r>
      <w:r w:rsidR="00D1674F">
        <w:rPr>
          <w:rFonts w:ascii="Times New Roman" w:hAnsi="Times New Roman"/>
        </w:rPr>
        <w:noBreakHyphen/>
      </w:r>
      <w:r w:rsidRPr="00D1674F">
        <w:rPr>
          <w:rFonts w:ascii="Times New Roman" w:hAnsi="Times New Roman"/>
        </w:rPr>
        <w:t>clearance valamelyest csökken, az AUC és az eliminációs felezési idő nő. Pangásos szívelégtelenségben az AUC és a felez</w:t>
      </w:r>
      <w:r w:rsidRPr="00DC2ECE">
        <w:rPr>
          <w:rFonts w:ascii="Times New Roman" w:hAnsi="Times New Roman"/>
        </w:rPr>
        <w:t>ési idő növekedése a vizsgált korosztálynak megfelelő volt.</w:t>
      </w:r>
    </w:p>
    <w:p w14:paraId="744048F8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613C4A34" w14:textId="77777777" w:rsidR="007C3F56" w:rsidRPr="00DC2ECE" w:rsidRDefault="007C3F56" w:rsidP="00C46DF0">
      <w:pPr>
        <w:widowControl w:val="0"/>
        <w:rPr>
          <w:rFonts w:ascii="Times New Roman" w:hAnsi="Times New Roman"/>
          <w:i/>
        </w:rPr>
      </w:pPr>
      <w:r w:rsidRPr="00DC2ECE">
        <w:rPr>
          <w:rFonts w:ascii="Times New Roman" w:hAnsi="Times New Roman"/>
          <w:i/>
          <w:iCs/>
        </w:rPr>
        <w:t>Gyermekek és serdülők</w:t>
      </w:r>
    </w:p>
    <w:p w14:paraId="60F78D52" w14:textId="7C46B7D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Egy populációs farmakokinetikai vizsgálatot végeztek 74, hypertoniában szenvedő, 1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17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 xml:space="preserve">es gyermek </w:t>
      </w:r>
      <w:r w:rsidR="00E209AD">
        <w:rPr>
          <w:rFonts w:ascii="Times New Roman" w:hAnsi="Times New Roman"/>
        </w:rPr>
        <w:t xml:space="preserve">és serdülő </w:t>
      </w:r>
      <w:r w:rsidRPr="00DC2ECE">
        <w:rPr>
          <w:rFonts w:ascii="Times New Roman" w:hAnsi="Times New Roman"/>
        </w:rPr>
        <w:t>részvételével (34</w:t>
      </w:r>
      <w:r w:rsidR="00D1674F">
        <w:rPr>
          <w:rFonts w:ascii="Times New Roman" w:hAnsi="Times New Roman"/>
        </w:rPr>
        <w:t> </w:t>
      </w:r>
      <w:r w:rsidRPr="00D1674F">
        <w:rPr>
          <w:rFonts w:ascii="Times New Roman" w:hAnsi="Times New Roman"/>
        </w:rPr>
        <w:t>beteg 6</w:t>
      </w:r>
      <w:r w:rsidR="005F24FF" w:rsidRPr="00D1674F">
        <w:rPr>
          <w:rFonts w:ascii="Times New Roman" w:hAnsi="Times New Roman"/>
        </w:rPr>
        <w:noBreakHyphen/>
      </w:r>
      <w:r w:rsidRPr="00D1674F">
        <w:rPr>
          <w:rFonts w:ascii="Times New Roman" w:hAnsi="Times New Roman"/>
        </w:rPr>
        <w:t>12</w:t>
      </w:r>
      <w:r w:rsidR="005F24FF" w:rsidRPr="00D1674F">
        <w:rPr>
          <w:rFonts w:ascii="Times New Roman" w:hAnsi="Times New Roman"/>
        </w:rPr>
        <w:t> év</w:t>
      </w:r>
      <w:r w:rsidRPr="00D1674F">
        <w:rPr>
          <w:rFonts w:ascii="Times New Roman" w:hAnsi="Times New Roman"/>
        </w:rPr>
        <w:t>es korú és 28</w:t>
      </w:r>
      <w:r w:rsidR="00D1674F">
        <w:rPr>
          <w:rFonts w:ascii="Times New Roman" w:hAnsi="Times New Roman"/>
        </w:rPr>
        <w:t> </w:t>
      </w:r>
      <w:r w:rsidRPr="00D1674F">
        <w:rPr>
          <w:rFonts w:ascii="Times New Roman" w:hAnsi="Times New Roman"/>
        </w:rPr>
        <w:t>beteg 13</w:t>
      </w:r>
      <w:r w:rsidR="005F24FF" w:rsidRPr="00D1674F">
        <w:rPr>
          <w:rFonts w:ascii="Times New Roman" w:hAnsi="Times New Roman"/>
        </w:rPr>
        <w:noBreakHyphen/>
      </w:r>
      <w:r w:rsidRPr="00D1674F">
        <w:rPr>
          <w:rFonts w:ascii="Times New Roman" w:hAnsi="Times New Roman"/>
        </w:rPr>
        <w:t>17</w:t>
      </w:r>
      <w:r w:rsidR="005F24FF" w:rsidRPr="00D1674F">
        <w:rPr>
          <w:rFonts w:ascii="Times New Roman" w:hAnsi="Times New Roman"/>
        </w:rPr>
        <w:t> év</w:t>
      </w:r>
      <w:r w:rsidRPr="00D1674F">
        <w:rPr>
          <w:rFonts w:ascii="Times New Roman" w:hAnsi="Times New Roman"/>
        </w:rPr>
        <w:t>es korú</w:t>
      </w:r>
      <w:r w:rsidR="00D1674F">
        <w:rPr>
          <w:rFonts w:ascii="Times New Roman" w:hAnsi="Times New Roman"/>
        </w:rPr>
        <w:t xml:space="preserve"> volt</w:t>
      </w:r>
      <w:r w:rsidRPr="00D1674F">
        <w:rPr>
          <w:rFonts w:ascii="Times New Roman" w:hAnsi="Times New Roman"/>
        </w:rPr>
        <w:t>), akik naponta egyszer vagy kétszer 1,25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 xml:space="preserve"> és 20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 xml:space="preserve"> közötti </w:t>
      </w:r>
      <w:r w:rsidR="00E209AD">
        <w:rPr>
          <w:rFonts w:ascii="Times New Roman" w:hAnsi="Times New Roman"/>
        </w:rPr>
        <w:t>dózis</w:t>
      </w:r>
      <w:r w:rsidR="00E209AD" w:rsidRPr="00DC2ECE">
        <w:rPr>
          <w:rFonts w:ascii="Times New Roman" w:hAnsi="Times New Roman"/>
        </w:rPr>
        <w:t xml:space="preserve">ban </w:t>
      </w:r>
      <w:r w:rsidRPr="00DC2ECE">
        <w:rPr>
          <w:rFonts w:ascii="Times New Roman" w:hAnsi="Times New Roman"/>
        </w:rPr>
        <w:t>kaptak amlodipint. A 6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12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>es gyermekeknél a jellemző orális clearance (Cl/F) fiúkn</w:t>
      </w:r>
      <w:r w:rsidR="00E209AD">
        <w:rPr>
          <w:rFonts w:ascii="Times New Roman" w:hAnsi="Times New Roman"/>
        </w:rPr>
        <w:t>ál</w:t>
      </w:r>
      <w:r w:rsidRPr="00DC2ECE">
        <w:rPr>
          <w:rFonts w:ascii="Times New Roman" w:hAnsi="Times New Roman"/>
        </w:rPr>
        <w:t xml:space="preserve"> 22,5</w:t>
      </w:r>
      <w:r w:rsidR="005F24FF" w:rsidRPr="00DC2ECE">
        <w:rPr>
          <w:rFonts w:ascii="Times New Roman" w:hAnsi="Times New Roman"/>
        </w:rPr>
        <w:t> l/</w:t>
      </w:r>
      <w:r w:rsidRPr="00DC2ECE">
        <w:rPr>
          <w:rFonts w:ascii="Times New Roman" w:hAnsi="Times New Roman"/>
        </w:rPr>
        <w:t>ór</w:t>
      </w:r>
      <w:r w:rsidR="005F24FF" w:rsidRPr="00DC2ECE">
        <w:rPr>
          <w:rFonts w:ascii="Times New Roman" w:hAnsi="Times New Roman"/>
        </w:rPr>
        <w:t>a és lányokn</w:t>
      </w:r>
      <w:r w:rsidR="00E209AD">
        <w:rPr>
          <w:rFonts w:ascii="Times New Roman" w:hAnsi="Times New Roman"/>
        </w:rPr>
        <w:t>ál</w:t>
      </w:r>
      <w:r w:rsidR="005F24FF" w:rsidRPr="00DC2ECE">
        <w:rPr>
          <w:rFonts w:ascii="Times New Roman" w:hAnsi="Times New Roman"/>
        </w:rPr>
        <w:t xml:space="preserve"> 16,4 l/óra, </w:t>
      </w:r>
      <w:r w:rsidR="00D1674F">
        <w:rPr>
          <w:rFonts w:ascii="Times New Roman" w:hAnsi="Times New Roman"/>
        </w:rPr>
        <w:t xml:space="preserve">míg </w:t>
      </w:r>
      <w:r w:rsidR="005F24FF" w:rsidRPr="00D1674F">
        <w:rPr>
          <w:rFonts w:ascii="Times New Roman" w:hAnsi="Times New Roman"/>
        </w:rPr>
        <w:t>a 13</w:t>
      </w:r>
      <w:r w:rsidR="005F24FF" w:rsidRPr="00D1674F">
        <w:rPr>
          <w:rFonts w:ascii="Times New Roman" w:hAnsi="Times New Roman"/>
        </w:rPr>
        <w:noBreakHyphen/>
      </w:r>
      <w:r w:rsidRPr="00D1674F">
        <w:rPr>
          <w:rFonts w:ascii="Times New Roman" w:hAnsi="Times New Roman"/>
        </w:rPr>
        <w:t>17</w:t>
      </w:r>
      <w:r w:rsidR="005F24FF" w:rsidRPr="00D1674F">
        <w:rPr>
          <w:rFonts w:ascii="Times New Roman" w:hAnsi="Times New Roman"/>
        </w:rPr>
        <w:t> év</w:t>
      </w:r>
      <w:r w:rsidRPr="00D1674F">
        <w:rPr>
          <w:rFonts w:ascii="Times New Roman" w:hAnsi="Times New Roman"/>
        </w:rPr>
        <w:t xml:space="preserve"> közötti serdülők</w:t>
      </w:r>
      <w:r w:rsidR="00D1674F">
        <w:rPr>
          <w:rFonts w:ascii="Times New Roman" w:hAnsi="Times New Roman"/>
        </w:rPr>
        <w:t>nél</w:t>
      </w:r>
      <w:r w:rsidRPr="00D1674F">
        <w:rPr>
          <w:rFonts w:ascii="Times New Roman" w:hAnsi="Times New Roman"/>
        </w:rPr>
        <w:t xml:space="preserve"> ez az érték a fiúkn</w:t>
      </w:r>
      <w:r w:rsidR="00E209AD">
        <w:rPr>
          <w:rFonts w:ascii="Times New Roman" w:hAnsi="Times New Roman"/>
        </w:rPr>
        <w:t>ál</w:t>
      </w:r>
      <w:r w:rsidRPr="00D1674F">
        <w:rPr>
          <w:rFonts w:ascii="Times New Roman" w:hAnsi="Times New Roman"/>
        </w:rPr>
        <w:t xml:space="preserve"> 27,4</w:t>
      </w:r>
      <w:r w:rsidR="005F24FF" w:rsidRPr="00D1674F">
        <w:rPr>
          <w:rFonts w:ascii="Times New Roman" w:hAnsi="Times New Roman"/>
        </w:rPr>
        <w:t> l/</w:t>
      </w:r>
      <w:r w:rsidRPr="00D1674F">
        <w:rPr>
          <w:rFonts w:ascii="Times New Roman" w:hAnsi="Times New Roman"/>
        </w:rPr>
        <w:t>óra és a lányokn</w:t>
      </w:r>
      <w:r w:rsidR="00E209AD">
        <w:rPr>
          <w:rFonts w:ascii="Times New Roman" w:hAnsi="Times New Roman"/>
        </w:rPr>
        <w:t>ál</w:t>
      </w:r>
      <w:r w:rsidRPr="00D1674F">
        <w:rPr>
          <w:rFonts w:ascii="Times New Roman" w:hAnsi="Times New Roman"/>
        </w:rPr>
        <w:t xml:space="preserve"> 21,3</w:t>
      </w:r>
      <w:r w:rsidR="005F24FF" w:rsidRPr="00D1674F">
        <w:rPr>
          <w:rFonts w:ascii="Times New Roman" w:hAnsi="Times New Roman"/>
        </w:rPr>
        <w:t> l/</w:t>
      </w:r>
      <w:r w:rsidRPr="00D1674F">
        <w:rPr>
          <w:rFonts w:ascii="Times New Roman" w:hAnsi="Times New Roman"/>
        </w:rPr>
        <w:t>óra</w:t>
      </w:r>
      <w:r w:rsidR="00D1674F">
        <w:rPr>
          <w:rFonts w:ascii="Times New Roman" w:hAnsi="Times New Roman"/>
        </w:rPr>
        <w:t xml:space="preserve"> volt</w:t>
      </w:r>
      <w:r w:rsidRPr="00D1674F">
        <w:rPr>
          <w:rFonts w:ascii="Times New Roman" w:hAnsi="Times New Roman"/>
        </w:rPr>
        <w:t>.</w:t>
      </w:r>
      <w:r w:rsidR="005F24FF" w:rsidRPr="00D1674F">
        <w:rPr>
          <w:rFonts w:ascii="Times New Roman" w:hAnsi="Times New Roman"/>
        </w:rPr>
        <w:t xml:space="preserve"> </w:t>
      </w:r>
      <w:r w:rsidRPr="00D1674F">
        <w:rPr>
          <w:rFonts w:ascii="Times New Roman" w:hAnsi="Times New Roman"/>
        </w:rPr>
        <w:t>Az egyének között</w:t>
      </w:r>
      <w:r w:rsidR="00E209AD">
        <w:rPr>
          <w:rFonts w:ascii="Times New Roman" w:hAnsi="Times New Roman"/>
        </w:rPr>
        <w:t>, az</w:t>
      </w:r>
      <w:r w:rsidRPr="00D1674F">
        <w:rPr>
          <w:rFonts w:ascii="Times New Roman" w:hAnsi="Times New Roman"/>
        </w:rPr>
        <w:t xml:space="preserve"> expozíció tekintetében nagy variabilit</w:t>
      </w:r>
      <w:r w:rsidRPr="00DC2ECE">
        <w:rPr>
          <w:rFonts w:ascii="Times New Roman" w:hAnsi="Times New Roman"/>
        </w:rPr>
        <w:t>ást figyeltek meg. A 6</w:t>
      </w:r>
      <w:r w:rsidR="005F24FF" w:rsidRPr="00DC2ECE">
        <w:rPr>
          <w:rFonts w:ascii="Times New Roman" w:hAnsi="Times New Roman"/>
        </w:rPr>
        <w:t> év</w:t>
      </w:r>
      <w:r w:rsidRPr="00DC2ECE">
        <w:rPr>
          <w:rFonts w:ascii="Times New Roman" w:hAnsi="Times New Roman"/>
        </w:rPr>
        <w:t xml:space="preserve"> alatti gyermekekre vonatkozóan jelentett adatok korlátozottak.</w:t>
      </w:r>
    </w:p>
    <w:p w14:paraId="13F57A3A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  <w:lang w:val="en-GB"/>
        </w:rPr>
      </w:pPr>
    </w:p>
    <w:p w14:paraId="4B5ECB13" w14:textId="4007ABAA" w:rsidR="007C3F56" w:rsidRPr="00DC2ECE" w:rsidRDefault="00E209AD" w:rsidP="00C46DF0">
      <w:pPr>
        <w:widowControl w:val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Fix</w:t>
      </w:r>
      <w:r w:rsidRPr="00DC2ECE">
        <w:rPr>
          <w:rFonts w:ascii="Times New Roman" w:hAnsi="Times New Roman"/>
          <w:u w:val="single"/>
        </w:rPr>
        <w:t xml:space="preserve"> </w:t>
      </w:r>
      <w:r w:rsidR="007C3F56" w:rsidRPr="00DC2ECE">
        <w:rPr>
          <w:rFonts w:ascii="Times New Roman" w:hAnsi="Times New Roman"/>
          <w:u w:val="single"/>
        </w:rPr>
        <w:t>dózisú kombináció</w:t>
      </w:r>
    </w:p>
    <w:p w14:paraId="0EA18719" w14:textId="2E2757ED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>hatóanyagai között nem írtak le farmakokinetikai kölcsönhatásokat. A farmakokinetikai paraméterek (AUC, C</w:t>
      </w:r>
      <w:r w:rsidRPr="00DC2ECE">
        <w:rPr>
          <w:rFonts w:ascii="Times New Roman" w:hAnsi="Times New Roman"/>
          <w:vertAlign w:val="subscript"/>
        </w:rPr>
        <w:t>max</w:t>
      </w:r>
      <w:r w:rsidRPr="00DC2ECE">
        <w:rPr>
          <w:rFonts w:ascii="Times New Roman" w:hAnsi="Times New Roman"/>
        </w:rPr>
        <w:t>, t</w:t>
      </w:r>
      <w:r w:rsidRPr="00DC2ECE">
        <w:rPr>
          <w:rFonts w:ascii="Times New Roman" w:hAnsi="Times New Roman"/>
          <w:vertAlign w:val="subscript"/>
        </w:rPr>
        <w:t>max</w:t>
      </w:r>
      <w:r w:rsidRPr="00DC2ECE">
        <w:rPr>
          <w:rFonts w:ascii="Times New Roman" w:hAnsi="Times New Roman"/>
        </w:rPr>
        <w:t>, felezési idő) nem különböztek a külön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külön adott összetevők értékeitől.</w:t>
      </w:r>
    </w:p>
    <w:p w14:paraId="65C892D6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AB603E4" w14:textId="6A78642A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táplálék nem befolyásolja a </w:t>
      </w:r>
      <w:r w:rsidR="00542D70">
        <w:rPr>
          <w:rFonts w:ascii="Times New Roman" w:hAnsi="Times New Roman"/>
        </w:rPr>
        <w:t xml:space="preserve">Lisidipin </w:t>
      </w:r>
      <w:r w:rsidRPr="00DC2ECE">
        <w:rPr>
          <w:rFonts w:ascii="Times New Roman" w:hAnsi="Times New Roman"/>
        </w:rPr>
        <w:t xml:space="preserve">hatóanyagainak a felszívódását a tápcsatornából. </w:t>
      </w:r>
    </w:p>
    <w:p w14:paraId="13C02E1A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4EB560FA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5.3</w:t>
      </w:r>
      <w:r w:rsidRPr="00DC2ECE">
        <w:rPr>
          <w:rFonts w:ascii="Times New Roman" w:hAnsi="Times New Roman"/>
          <w:b/>
          <w:bCs/>
        </w:rPr>
        <w:tab/>
        <w:t>A preklinikai biztonságossági vizsgálatok eredményei</w:t>
      </w:r>
    </w:p>
    <w:p w14:paraId="1F56463E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4BD16FD2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Preklinikai vizsgálatokat nem végeztek a lizinopril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amlodipin kombinációval.</w:t>
      </w:r>
    </w:p>
    <w:p w14:paraId="3CBBA714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0605714D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u w:val="single"/>
        </w:rPr>
        <w:t>Lizinopril</w:t>
      </w:r>
    </w:p>
    <w:p w14:paraId="19D851F2" w14:textId="410FF464" w:rsidR="007C3F56" w:rsidRPr="00A97E2A" w:rsidRDefault="007C3F56" w:rsidP="00C46DF0">
      <w:pPr>
        <w:widowControl w:val="0"/>
        <w:rPr>
          <w:rFonts w:ascii="Times New Roman" w:hAnsi="Times New Roman"/>
        </w:rPr>
      </w:pPr>
      <w:r w:rsidRPr="00A97E2A">
        <w:rPr>
          <w:rFonts w:ascii="Times New Roman" w:hAnsi="Times New Roman"/>
        </w:rPr>
        <w:t xml:space="preserve">A hagyományos – általános farmakológiai, ismételt adagolású dózistoxicitási, genotoxicitási és karcinogenitási – vizsgálatokból származó nem klinikai jellegű adatok azt igazolták, hogy </w:t>
      </w:r>
      <w:r w:rsidR="00A97E2A" w:rsidRPr="001151A2">
        <w:rPr>
          <w:rFonts w:ascii="Times New Roman" w:hAnsi="Times New Roman"/>
          <w:noProof/>
        </w:rPr>
        <w:t>a készítmény alkalmazásakor humán vonatkozásban különleges kockázat nem várható</w:t>
      </w:r>
      <w:r w:rsidRPr="00A97E2A">
        <w:rPr>
          <w:rFonts w:ascii="Times New Roman" w:hAnsi="Times New Roman"/>
        </w:rPr>
        <w:t>.</w:t>
      </w:r>
    </w:p>
    <w:p w14:paraId="1ACC6285" w14:textId="20701565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Az ACE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gátlókról, mint gyógyszerhatástani csoportról kimutatták, hogy a magzati fejlődés késői szakaszában magzati halált és magzati fejlődési rendellenességeket okoz, </w:t>
      </w:r>
      <w:r w:rsidR="002F2E5A">
        <w:rPr>
          <w:rFonts w:ascii="Times New Roman" w:hAnsi="Times New Roman"/>
        </w:rPr>
        <w:t xml:space="preserve">amelyek </w:t>
      </w:r>
      <w:r w:rsidRPr="002F2E5A">
        <w:rPr>
          <w:rFonts w:ascii="Times New Roman" w:hAnsi="Times New Roman"/>
        </w:rPr>
        <w:t>különösen a kopony</w:t>
      </w:r>
      <w:r w:rsidR="002F2E5A">
        <w:rPr>
          <w:rFonts w:ascii="Times New Roman" w:hAnsi="Times New Roman"/>
        </w:rPr>
        <w:t>át érintik</w:t>
      </w:r>
      <w:r w:rsidRPr="002F2E5A">
        <w:rPr>
          <w:rFonts w:ascii="Times New Roman" w:hAnsi="Times New Roman"/>
        </w:rPr>
        <w:t xml:space="preserve">. </w:t>
      </w:r>
      <w:r w:rsidR="002F2E5A">
        <w:rPr>
          <w:rFonts w:ascii="Times New Roman" w:hAnsi="Times New Roman"/>
        </w:rPr>
        <w:t>Foetotoxicitásról,</w:t>
      </w:r>
      <w:r w:rsidRPr="002F2E5A">
        <w:rPr>
          <w:rFonts w:ascii="Times New Roman" w:hAnsi="Times New Roman"/>
        </w:rPr>
        <w:t xml:space="preserve"> az intrauterin növekedés csökkenéséről és a ductus arteriosus záródásának elmaradásáról is beszámoltak. Ezek a fejlődési rendellenességek valószínűleg részben az ACE</w:t>
      </w:r>
      <w:r w:rsidR="005F24FF" w:rsidRPr="002F2E5A">
        <w:rPr>
          <w:rFonts w:ascii="Times New Roman" w:hAnsi="Times New Roman"/>
        </w:rPr>
        <w:noBreakHyphen/>
      </w:r>
      <w:r w:rsidRPr="008062B5">
        <w:rPr>
          <w:rFonts w:ascii="Times New Roman" w:hAnsi="Times New Roman"/>
        </w:rPr>
        <w:t>gátlók közvetlenül a magzati renin</w:t>
      </w:r>
      <w:r w:rsidR="005F24FF" w:rsidRPr="004A5798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angiotenzin rendszerre kifejtett hatásának, részben pedig az anyai hypot</w:t>
      </w:r>
      <w:r w:rsidR="008062B5">
        <w:rPr>
          <w:rFonts w:ascii="Times New Roman" w:hAnsi="Times New Roman"/>
        </w:rPr>
        <w:t>onia</w:t>
      </w:r>
      <w:r w:rsidRPr="008062B5">
        <w:rPr>
          <w:rFonts w:ascii="Times New Roman" w:hAnsi="Times New Roman"/>
        </w:rPr>
        <w:t xml:space="preserve"> következtében csökkenő magzati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placentalis véráramlás miatt jelentkező ishaemiának és a csökkenő oxigén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/tápanyag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ellátásnak a következményei.</w:t>
      </w:r>
    </w:p>
    <w:p w14:paraId="2DEC453C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C28DC1F" w14:textId="77777777" w:rsidR="007C3F56" w:rsidRPr="00DC2ECE" w:rsidRDefault="007C3F56" w:rsidP="00C46DF0">
      <w:pPr>
        <w:widowControl w:val="0"/>
        <w:rPr>
          <w:rFonts w:ascii="Times New Roman" w:hAnsi="Times New Roman"/>
          <w:u w:val="single"/>
        </w:rPr>
      </w:pPr>
      <w:r w:rsidRPr="00DC2ECE">
        <w:rPr>
          <w:rFonts w:ascii="Times New Roman" w:hAnsi="Times New Roman"/>
          <w:u w:val="single"/>
        </w:rPr>
        <w:t>Amlodipin</w:t>
      </w:r>
    </w:p>
    <w:p w14:paraId="26917C7C" w14:textId="77777777" w:rsidR="007C3F56" w:rsidRPr="00DC2ECE" w:rsidRDefault="007C3F56" w:rsidP="00C46DF0">
      <w:pPr>
        <w:widowControl w:val="0"/>
        <w:rPr>
          <w:rFonts w:ascii="Times New Roman" w:eastAsia="Times New Roman" w:hAnsi="Times New Roman"/>
          <w:i/>
          <w:iCs/>
        </w:rPr>
      </w:pPr>
      <w:r w:rsidRPr="00DC2ECE">
        <w:rPr>
          <w:rFonts w:ascii="Times New Roman" w:hAnsi="Times New Roman"/>
          <w:i/>
          <w:iCs/>
        </w:rPr>
        <w:t>Reproduktív toxicitás</w:t>
      </w:r>
    </w:p>
    <w:p w14:paraId="3661781D" w14:textId="29E6ED1C" w:rsidR="007C3F56" w:rsidRPr="00DC2ECE" w:rsidRDefault="007C3F56" w:rsidP="00C46DF0">
      <w:pPr>
        <w:widowControl w:val="0"/>
        <w:rPr>
          <w:rFonts w:ascii="Times New Roman" w:eastAsia="Times New Roman" w:hAnsi="Times New Roman"/>
          <w:iCs/>
        </w:rPr>
      </w:pPr>
      <w:r w:rsidRPr="00DC2ECE">
        <w:rPr>
          <w:rFonts w:ascii="Times New Roman" w:hAnsi="Times New Roman"/>
        </w:rPr>
        <w:t>Patkányokkal és egerekkel végzett reprodukciós vizsgálatok a szülés időpontjának későbbre tolódását, a vajúdás időtartamának megnyúlását és az utódok alacsonyabb túlélését mutatták, az ember számára maximálisan javasolt</w:t>
      </w:r>
      <w:r w:rsidRPr="009C2C40">
        <w:rPr>
          <w:rFonts w:ascii="Times New Roman" w:hAnsi="Times New Roman"/>
        </w:rPr>
        <w:t xml:space="preserve"> dózis 50</w:t>
      </w:r>
      <w:r w:rsidR="005F24FF" w:rsidRPr="009C2C40">
        <w:rPr>
          <w:rFonts w:ascii="Times New Roman" w:hAnsi="Times New Roman"/>
        </w:rPr>
        <w:noBreakHyphen/>
      </w:r>
      <w:r w:rsidRPr="009C2C40">
        <w:rPr>
          <w:rFonts w:ascii="Times New Roman" w:hAnsi="Times New Roman"/>
        </w:rPr>
        <w:t>szeresét alkalmazva</w:t>
      </w:r>
      <w:r w:rsidR="008A44AB">
        <w:rPr>
          <w:rFonts w:ascii="Times New Roman" w:hAnsi="Times New Roman"/>
        </w:rPr>
        <w:t>,</w:t>
      </w:r>
      <w:r w:rsidR="008A44AB" w:rsidRPr="008A44AB">
        <w:rPr>
          <w:rFonts w:ascii="Times New Roman" w:hAnsi="Times New Roman"/>
        </w:rPr>
        <w:t xml:space="preserve"> </w:t>
      </w:r>
      <w:r w:rsidR="008A44AB" w:rsidRPr="0096332C">
        <w:rPr>
          <w:rFonts w:ascii="Times New Roman" w:hAnsi="Times New Roman"/>
        </w:rPr>
        <w:t>mg/ttkg</w:t>
      </w:r>
      <w:r w:rsidR="008A44AB">
        <w:rPr>
          <w:rFonts w:ascii="Times New Roman" w:hAnsi="Times New Roman"/>
        </w:rPr>
        <w:t xml:space="preserve"> alapon</w:t>
      </w:r>
      <w:r w:rsidRPr="00DC2ECE">
        <w:rPr>
          <w:rFonts w:ascii="Times New Roman" w:hAnsi="Times New Roman"/>
        </w:rPr>
        <w:t>.</w:t>
      </w:r>
    </w:p>
    <w:p w14:paraId="5449CCEC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2E475227" w14:textId="1B23125B" w:rsidR="007C3F56" w:rsidRPr="00DC2ECE" w:rsidRDefault="008A44AB" w:rsidP="00C46DF0">
      <w:pPr>
        <w:widowControl w:val="0"/>
        <w:rPr>
          <w:rFonts w:ascii="Times New Roman" w:hAnsi="Times New Roman"/>
          <w:i/>
        </w:rPr>
      </w:pPr>
      <w:r>
        <w:rPr>
          <w:rFonts w:ascii="Times New Roman" w:hAnsi="Times New Roman"/>
          <w:i/>
          <w:iCs/>
        </w:rPr>
        <w:t>Termékenység</w:t>
      </w:r>
      <w:r w:rsidRPr="00DC2ECE">
        <w:rPr>
          <w:rFonts w:ascii="Times New Roman" w:hAnsi="Times New Roman"/>
          <w:i/>
          <w:iCs/>
        </w:rPr>
        <w:t xml:space="preserve"> </w:t>
      </w:r>
      <w:r w:rsidR="007C3F56" w:rsidRPr="00DC2ECE">
        <w:rPr>
          <w:rFonts w:ascii="Times New Roman" w:hAnsi="Times New Roman"/>
          <w:i/>
          <w:iCs/>
        </w:rPr>
        <w:t>károsodása</w:t>
      </w:r>
    </w:p>
    <w:p w14:paraId="01276289" w14:textId="007FD475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Legfeljebb 10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>/ttkg/napi dózisú (ami a</w:t>
      </w:r>
      <w:r w:rsidR="009C2C40">
        <w:rPr>
          <w:rFonts w:ascii="Times New Roman" w:hAnsi="Times New Roman"/>
        </w:rPr>
        <w:t xml:space="preserve"> </w:t>
      </w:r>
      <w:r w:rsidR="005F24FF" w:rsidRPr="009C2C40">
        <w:rPr>
          <w:rFonts w:ascii="Times New Roman" w:hAnsi="Times New Roman"/>
        </w:rPr>
        <w:t>mg</w:t>
      </w:r>
      <w:r w:rsidRPr="009C2C40">
        <w:rPr>
          <w:rFonts w:ascii="Times New Roman" w:hAnsi="Times New Roman"/>
        </w:rPr>
        <w:t>/m</w:t>
      </w:r>
      <w:r w:rsidRPr="004A5798">
        <w:rPr>
          <w:rFonts w:ascii="Times New Roman" w:hAnsi="Times New Roman"/>
          <w:vertAlign w:val="superscript"/>
        </w:rPr>
        <w:t>2</w:t>
      </w:r>
      <w:r w:rsidRPr="00DC2ECE">
        <w:rPr>
          <w:rFonts w:ascii="Times New Roman" w:hAnsi="Times New Roman"/>
        </w:rPr>
        <w:t xml:space="preserve"> alapon számolt maximálisan javasolt 10</w:t>
      </w:r>
      <w:r w:rsidR="005F24FF" w:rsidRPr="00DC2ECE">
        <w:rPr>
          <w:rFonts w:ascii="Times New Roman" w:hAnsi="Times New Roman"/>
        </w:rPr>
        <w:t> mg</w:t>
      </w:r>
      <w:r w:rsidRPr="00DC2ECE">
        <w:rPr>
          <w:rFonts w:ascii="Times New Roman" w:hAnsi="Times New Roman"/>
        </w:rPr>
        <w:t>/nap javasolt humán dózis 8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szorosa*) amlodipinnel kezelt patkányoknál (hímek 64</w:t>
      </w:r>
      <w:r w:rsidR="005F24FF" w:rsidRPr="00DC2ECE">
        <w:rPr>
          <w:rFonts w:ascii="Times New Roman" w:hAnsi="Times New Roman"/>
        </w:rPr>
        <w:t> nap</w:t>
      </w:r>
      <w:r w:rsidRPr="00DC2ECE">
        <w:rPr>
          <w:rFonts w:ascii="Times New Roman" w:hAnsi="Times New Roman"/>
        </w:rPr>
        <w:t>on át, nőstények 14</w:t>
      </w:r>
      <w:r w:rsidR="005F24FF" w:rsidRPr="00DC2ECE">
        <w:rPr>
          <w:rFonts w:ascii="Times New Roman" w:hAnsi="Times New Roman"/>
        </w:rPr>
        <w:t> nap</w:t>
      </w:r>
      <w:r w:rsidRPr="00DC2ECE">
        <w:rPr>
          <w:rFonts w:ascii="Times New Roman" w:hAnsi="Times New Roman"/>
        </w:rPr>
        <w:t>on át</w:t>
      </w:r>
      <w:r w:rsidR="009C2C40">
        <w:rPr>
          <w:rFonts w:ascii="Times New Roman" w:hAnsi="Times New Roman"/>
        </w:rPr>
        <w:t>,</w:t>
      </w:r>
      <w:r w:rsidRPr="009C2C40">
        <w:rPr>
          <w:rFonts w:ascii="Times New Roman" w:hAnsi="Times New Roman"/>
        </w:rPr>
        <w:t xml:space="preserve"> párzás előtt) termékenységre gyakorolt hatás nem volt.</w:t>
      </w:r>
      <w:r w:rsidR="005F24FF" w:rsidRPr="004A5798">
        <w:rPr>
          <w:rFonts w:ascii="Times New Roman" w:hAnsi="Times New Roman"/>
        </w:rPr>
        <w:t xml:space="preserve"> </w:t>
      </w:r>
      <w:r w:rsidRPr="00DC2ECE">
        <w:rPr>
          <w:rFonts w:ascii="Times New Roman" w:hAnsi="Times New Roman"/>
        </w:rPr>
        <w:t>Egy másik</w:t>
      </w:r>
      <w:r w:rsidR="009C2C40">
        <w:rPr>
          <w:rFonts w:ascii="Times New Roman" w:hAnsi="Times New Roman"/>
        </w:rPr>
        <w:t>,</w:t>
      </w:r>
      <w:r w:rsidRPr="009C2C40">
        <w:rPr>
          <w:rFonts w:ascii="Times New Roman" w:hAnsi="Times New Roman"/>
        </w:rPr>
        <w:t xml:space="preserve"> patkányok</w:t>
      </w:r>
      <w:r w:rsidRPr="004A5798">
        <w:rPr>
          <w:rFonts w:ascii="Times New Roman" w:hAnsi="Times New Roman"/>
        </w:rPr>
        <w:t>kal végzett vizsgálatban, amiben hí</w:t>
      </w:r>
      <w:r w:rsidRPr="00DC2ECE">
        <w:rPr>
          <w:rFonts w:ascii="Times New Roman" w:hAnsi="Times New Roman"/>
        </w:rPr>
        <w:t>m patkányokat kezeltek 30</w:t>
      </w:r>
      <w:r w:rsidR="005F24FF" w:rsidRPr="00DC2ECE">
        <w:rPr>
          <w:rFonts w:ascii="Times New Roman" w:hAnsi="Times New Roman"/>
        </w:rPr>
        <w:t> nap</w:t>
      </w:r>
      <w:r w:rsidRPr="00DC2ECE">
        <w:rPr>
          <w:rFonts w:ascii="Times New Roman" w:hAnsi="Times New Roman"/>
        </w:rPr>
        <w:t>on keresztül,</w:t>
      </w:r>
      <w:r w:rsidR="009C2C40">
        <w:rPr>
          <w:rFonts w:ascii="Times New Roman" w:hAnsi="Times New Roman"/>
        </w:rPr>
        <w:t xml:space="preserve"> </w:t>
      </w:r>
      <w:r w:rsidR="005F24FF" w:rsidRPr="00DC2ECE">
        <w:rPr>
          <w:rFonts w:ascii="Times New Roman" w:hAnsi="Times New Roman"/>
        </w:rPr>
        <w:t>mg</w:t>
      </w:r>
      <w:r w:rsidRPr="00DC2ECE">
        <w:rPr>
          <w:rFonts w:ascii="Times New Roman" w:hAnsi="Times New Roman"/>
        </w:rPr>
        <w:t>/</w:t>
      </w:r>
      <w:r w:rsidR="008A44AB">
        <w:rPr>
          <w:rFonts w:ascii="Times New Roman" w:hAnsi="Times New Roman"/>
        </w:rPr>
        <w:t>tt</w:t>
      </w:r>
      <w:r w:rsidRPr="00DC2ECE">
        <w:rPr>
          <w:rFonts w:ascii="Times New Roman" w:hAnsi="Times New Roman"/>
        </w:rPr>
        <w:t>kg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ra vonatkoztatva az embernél alkalmazott dózisokhoz hasonló amlodipin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bezilát </w:t>
      </w:r>
      <w:r w:rsidR="008A44AB">
        <w:rPr>
          <w:rFonts w:ascii="Times New Roman" w:hAnsi="Times New Roman"/>
        </w:rPr>
        <w:t>dózis</w:t>
      </w:r>
      <w:r w:rsidR="008A44AB" w:rsidRPr="00DC2ECE">
        <w:rPr>
          <w:rFonts w:ascii="Times New Roman" w:hAnsi="Times New Roman"/>
        </w:rPr>
        <w:t>okkal</w:t>
      </w:r>
      <w:r w:rsidRPr="00DC2ECE">
        <w:rPr>
          <w:rFonts w:ascii="Times New Roman" w:hAnsi="Times New Roman"/>
        </w:rPr>
        <w:t>, csökkent a plazma folliculus</w:t>
      </w:r>
      <w:r w:rsidR="009C2C40">
        <w:rPr>
          <w:rFonts w:ascii="Times New Roman" w:hAnsi="Times New Roman"/>
        </w:rPr>
        <w:t>-</w:t>
      </w:r>
      <w:r w:rsidRPr="009C2C40">
        <w:rPr>
          <w:rFonts w:ascii="Times New Roman" w:hAnsi="Times New Roman"/>
        </w:rPr>
        <w:t>stimuláló hormon</w:t>
      </w:r>
      <w:r w:rsidR="005F24FF" w:rsidRPr="004A5798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 (FSH) és tesztoszteron</w:t>
      </w:r>
      <w:r w:rsidR="008A44AB">
        <w:rPr>
          <w:rFonts w:ascii="Times New Roman" w:hAnsi="Times New Roman"/>
        </w:rPr>
        <w:t>-</w:t>
      </w:r>
      <w:r w:rsidRPr="00DC2ECE">
        <w:rPr>
          <w:rFonts w:ascii="Times New Roman" w:hAnsi="Times New Roman"/>
        </w:rPr>
        <w:t>szintje, valamint a spermiumok denzitásának, az érett spermiumok számának és a Sertolli sejtek számának csökkenését tapasztalták.</w:t>
      </w:r>
    </w:p>
    <w:p w14:paraId="5EFBD65E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7E5BC19E" w14:textId="77777777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i/>
          <w:iCs/>
        </w:rPr>
        <w:t>Karcinogenitás, mutagenitás</w:t>
      </w:r>
    </w:p>
    <w:p w14:paraId="211FBE2A" w14:textId="4BA6648B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9C2C40">
        <w:rPr>
          <w:rFonts w:ascii="Times New Roman" w:hAnsi="Times New Roman"/>
        </w:rPr>
        <w:t>Patkányok és egerek 2</w:t>
      </w:r>
      <w:r w:rsidR="005F24FF" w:rsidRPr="009C2C40">
        <w:rPr>
          <w:rFonts w:ascii="Times New Roman" w:hAnsi="Times New Roman"/>
        </w:rPr>
        <w:t> év</w:t>
      </w:r>
      <w:r w:rsidRPr="009C2C40">
        <w:rPr>
          <w:rFonts w:ascii="Times New Roman" w:hAnsi="Times New Roman"/>
        </w:rPr>
        <w:t>es táplálékhoz adott amlodipin</w:t>
      </w:r>
      <w:r w:rsidR="005F24FF" w:rsidRPr="009C2C40">
        <w:rPr>
          <w:rFonts w:ascii="Times New Roman" w:hAnsi="Times New Roman"/>
        </w:rPr>
        <w:noBreakHyphen/>
      </w:r>
      <w:r w:rsidRPr="009C2C40">
        <w:rPr>
          <w:rFonts w:ascii="Times New Roman" w:hAnsi="Times New Roman"/>
        </w:rPr>
        <w:t>kezelése 0,5, 1,25 és 2,5</w:t>
      </w:r>
      <w:r w:rsidR="005F24FF" w:rsidRPr="009C2C40">
        <w:rPr>
          <w:rFonts w:ascii="Times New Roman" w:hAnsi="Times New Roman"/>
        </w:rPr>
        <w:t> mg</w:t>
      </w:r>
      <w:r w:rsidRPr="009C2C40">
        <w:rPr>
          <w:rFonts w:ascii="Times New Roman" w:hAnsi="Times New Roman"/>
        </w:rPr>
        <w:t xml:space="preserve">/ttkg/nap </w:t>
      </w:r>
      <w:r w:rsidRPr="009C2C40">
        <w:rPr>
          <w:rFonts w:ascii="Times New Roman" w:hAnsi="Times New Roman"/>
        </w:rPr>
        <w:lastRenderedPageBreak/>
        <w:t>dózisszintet biztosító számolt koncentrációnál nem mutatott karcinogenitást.</w:t>
      </w:r>
      <w:r w:rsidRPr="009C2C40">
        <w:rPr>
          <w:rFonts w:ascii="Times New Roman" w:hAnsi="Times New Roman"/>
        </w:rPr>
        <w:cr/>
      </w:r>
      <w:r w:rsidRPr="00DC2ECE">
        <w:rPr>
          <w:rFonts w:ascii="Times New Roman" w:hAnsi="Times New Roman"/>
        </w:rPr>
        <w:t>A leg</w:t>
      </w:r>
      <w:r w:rsidR="00FF304F">
        <w:rPr>
          <w:rFonts w:ascii="Times New Roman" w:hAnsi="Times New Roman"/>
        </w:rPr>
        <w:t>nagyo</w:t>
      </w:r>
      <w:r w:rsidRPr="00DC2ECE">
        <w:rPr>
          <w:rFonts w:ascii="Times New Roman" w:hAnsi="Times New Roman"/>
        </w:rPr>
        <w:t xml:space="preserve">bb </w:t>
      </w:r>
      <w:r w:rsidR="00FF304F">
        <w:rPr>
          <w:rFonts w:ascii="Times New Roman" w:hAnsi="Times New Roman"/>
        </w:rPr>
        <w:t>dózis</w:t>
      </w:r>
      <w:r w:rsidRPr="00DC2ECE">
        <w:rPr>
          <w:rFonts w:ascii="Times New Roman" w:hAnsi="Times New Roman"/>
        </w:rPr>
        <w:t xml:space="preserve"> (egereknél hasonló, patkányoknál a kétszerese* a</w:t>
      </w:r>
      <w:r w:rsidR="009C2C40">
        <w:rPr>
          <w:rFonts w:ascii="Times New Roman" w:hAnsi="Times New Roman"/>
        </w:rPr>
        <w:t xml:space="preserve"> </w:t>
      </w:r>
      <w:r w:rsidR="005F24FF" w:rsidRPr="009C2C40">
        <w:rPr>
          <w:rFonts w:ascii="Times New Roman" w:hAnsi="Times New Roman"/>
        </w:rPr>
        <w:t>mg</w:t>
      </w:r>
      <w:r w:rsidRPr="009C2C40">
        <w:rPr>
          <w:rFonts w:ascii="Times New Roman" w:hAnsi="Times New Roman"/>
        </w:rPr>
        <w:t>/m</w:t>
      </w:r>
      <w:r w:rsidRPr="001151A2">
        <w:rPr>
          <w:rFonts w:ascii="Times New Roman" w:hAnsi="Times New Roman"/>
          <w:vertAlign w:val="superscript"/>
        </w:rPr>
        <w:t xml:space="preserve">2 </w:t>
      </w:r>
      <w:r w:rsidRPr="009C2C40">
        <w:rPr>
          <w:rFonts w:ascii="Times New Roman" w:hAnsi="Times New Roman"/>
        </w:rPr>
        <w:t>alapon javasolt napi 10</w:t>
      </w:r>
      <w:r w:rsidR="005F24FF" w:rsidRPr="00DC2ECE">
        <w:rPr>
          <w:rFonts w:ascii="Times New Roman" w:hAnsi="Times New Roman"/>
        </w:rPr>
        <w:t> mg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 xml:space="preserve">os maximális klinikai dózisszintnek) megközelítette az egereknél mért maximális tolerálható </w:t>
      </w:r>
      <w:r w:rsidR="00FF304F">
        <w:rPr>
          <w:rFonts w:ascii="Times New Roman" w:hAnsi="Times New Roman"/>
        </w:rPr>
        <w:t>dózis</w:t>
      </w:r>
      <w:r w:rsidR="00FF304F" w:rsidRPr="00DC2ECE">
        <w:rPr>
          <w:rFonts w:ascii="Times New Roman" w:hAnsi="Times New Roman"/>
        </w:rPr>
        <w:t>t</w:t>
      </w:r>
      <w:r w:rsidRPr="00DC2ECE">
        <w:rPr>
          <w:rFonts w:ascii="Times New Roman" w:hAnsi="Times New Roman"/>
        </w:rPr>
        <w:t xml:space="preserve">, </w:t>
      </w:r>
      <w:r w:rsidR="009C2C40" w:rsidRPr="003E68A2">
        <w:rPr>
          <w:rFonts w:ascii="Times New Roman" w:hAnsi="Times New Roman"/>
        </w:rPr>
        <w:t xml:space="preserve">a patkányoknál </w:t>
      </w:r>
      <w:r w:rsidRPr="009C2C40">
        <w:rPr>
          <w:rFonts w:ascii="Times New Roman" w:hAnsi="Times New Roman"/>
        </w:rPr>
        <w:t xml:space="preserve">azonban </w:t>
      </w:r>
      <w:r w:rsidRPr="00DC2ECE">
        <w:rPr>
          <w:rFonts w:ascii="Times New Roman" w:hAnsi="Times New Roman"/>
        </w:rPr>
        <w:t>nem.</w:t>
      </w:r>
    </w:p>
    <w:p w14:paraId="59CF1D29" w14:textId="77777777" w:rsidR="007C3F56" w:rsidRPr="00DC2ECE" w:rsidRDefault="00852065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mutagenitási vizsgálatok hatóanyaggal kapcsolatos hatást sem gén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, sem kromoszómaszinten nem mutattak.</w:t>
      </w:r>
    </w:p>
    <w:p w14:paraId="799E87CE" w14:textId="77777777" w:rsidR="007C3F56" w:rsidRPr="00DC2ECE" w:rsidRDefault="007C3F56" w:rsidP="00C46DF0">
      <w:pPr>
        <w:widowControl w:val="0"/>
        <w:rPr>
          <w:rFonts w:ascii="Times New Roman" w:hAnsi="Times New Roman"/>
          <w:lang w:val="en-GB"/>
        </w:rPr>
      </w:pPr>
    </w:p>
    <w:p w14:paraId="51CCE8D7" w14:textId="496BFB4B" w:rsidR="007C3F56" w:rsidRPr="00DC2ECE" w:rsidRDefault="007C3F5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*50</w:t>
      </w:r>
      <w:r w:rsidR="00860794">
        <w:rPr>
          <w:rFonts w:ascii="Times New Roman" w:hAnsi="Times New Roman"/>
        </w:rPr>
        <w:t> </w:t>
      </w:r>
      <w:r w:rsidRPr="00DC2ECE">
        <w:rPr>
          <w:rFonts w:ascii="Times New Roman" w:hAnsi="Times New Roman"/>
        </w:rPr>
        <w:t>kg</w:t>
      </w:r>
      <w:r w:rsidR="005F24FF" w:rsidRPr="00DC2ECE">
        <w:rPr>
          <w:rFonts w:ascii="Times New Roman" w:hAnsi="Times New Roman"/>
        </w:rPr>
        <w:noBreakHyphen/>
      </w:r>
      <w:r w:rsidRPr="00DC2ECE">
        <w:rPr>
          <w:rFonts w:ascii="Times New Roman" w:hAnsi="Times New Roman"/>
        </w:rPr>
        <w:t>os testtömeget véve alapul.</w:t>
      </w:r>
    </w:p>
    <w:p w14:paraId="3D0D5573" w14:textId="77777777" w:rsidR="003C26BB" w:rsidRPr="00DC2ECE" w:rsidRDefault="003C26BB" w:rsidP="00C46DF0">
      <w:pPr>
        <w:widowControl w:val="0"/>
        <w:rPr>
          <w:rFonts w:ascii="Times New Roman" w:hAnsi="Times New Roman"/>
          <w:lang w:val="en-GB"/>
        </w:rPr>
      </w:pPr>
    </w:p>
    <w:p w14:paraId="4393F258" w14:textId="77777777" w:rsidR="005D22C2" w:rsidRPr="00DC2ECE" w:rsidRDefault="005D22C2" w:rsidP="00C46DF0">
      <w:pPr>
        <w:widowControl w:val="0"/>
        <w:rPr>
          <w:rFonts w:ascii="Times New Roman" w:hAnsi="Times New Roman"/>
          <w:lang w:val="en-GB"/>
        </w:rPr>
      </w:pPr>
    </w:p>
    <w:p w14:paraId="1DC50472" w14:textId="77777777" w:rsidR="005C07F6" w:rsidRPr="00DC2ECE" w:rsidRDefault="005C07F6" w:rsidP="00C46DF0">
      <w:pPr>
        <w:widowControl w:val="0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6.</w:t>
      </w:r>
      <w:r w:rsidRPr="00DC2ECE">
        <w:rPr>
          <w:rFonts w:ascii="Times New Roman" w:hAnsi="Times New Roman"/>
          <w:b/>
          <w:bCs/>
        </w:rPr>
        <w:tab/>
        <w:t>GYÓGYSZERÉSZETI JELLEMZŐK</w:t>
      </w:r>
    </w:p>
    <w:p w14:paraId="2A48412A" w14:textId="77777777" w:rsidR="005C07F6" w:rsidRPr="00DC2ECE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30F8A121" w14:textId="77777777" w:rsidR="005C07F6" w:rsidRPr="00DC2ECE" w:rsidRDefault="005C07F6" w:rsidP="00C46DF0">
      <w:pPr>
        <w:widowControl w:val="0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6.1</w:t>
      </w:r>
      <w:r w:rsidRPr="00DC2ECE">
        <w:rPr>
          <w:rFonts w:ascii="Times New Roman" w:hAnsi="Times New Roman"/>
          <w:b/>
          <w:bCs/>
        </w:rPr>
        <w:tab/>
        <w:t>Segédanyagok felsorolása</w:t>
      </w:r>
    </w:p>
    <w:p w14:paraId="4D4A43A8" w14:textId="77777777" w:rsidR="005C07F6" w:rsidRPr="00DC2ECE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3512679D" w14:textId="2985A876" w:rsidR="0038144B" w:rsidRPr="00DC2ECE" w:rsidRDefault="009C2C40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38144B" w:rsidRPr="00DC2ECE">
        <w:rPr>
          <w:rFonts w:ascii="Times New Roman" w:hAnsi="Times New Roman"/>
        </w:rPr>
        <w:t>alcium</w:t>
      </w:r>
      <w:r w:rsidR="005F24FF" w:rsidRPr="00DC2ECE">
        <w:rPr>
          <w:rFonts w:ascii="Times New Roman" w:hAnsi="Times New Roman"/>
        </w:rPr>
        <w:noBreakHyphen/>
      </w:r>
      <w:r w:rsidR="0038144B" w:rsidRPr="00DC2ECE">
        <w:rPr>
          <w:rFonts w:ascii="Times New Roman" w:hAnsi="Times New Roman"/>
        </w:rPr>
        <w:t>hidrogén</w:t>
      </w:r>
      <w:r w:rsidR="005F24FF" w:rsidRPr="00DC2ECE">
        <w:rPr>
          <w:rFonts w:ascii="Times New Roman" w:hAnsi="Times New Roman"/>
        </w:rPr>
        <w:noBreakHyphen/>
      </w:r>
      <w:r w:rsidR="0038144B" w:rsidRPr="00DC2ECE">
        <w:rPr>
          <w:rFonts w:ascii="Times New Roman" w:hAnsi="Times New Roman"/>
        </w:rPr>
        <w:t>foszfát</w:t>
      </w:r>
    </w:p>
    <w:p w14:paraId="1E1DB4E0" w14:textId="079C7C68" w:rsidR="0038144B" w:rsidRPr="00DC2ECE" w:rsidRDefault="009C2C40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8144B" w:rsidRPr="00DC2ECE">
        <w:rPr>
          <w:rFonts w:ascii="Times New Roman" w:hAnsi="Times New Roman"/>
        </w:rPr>
        <w:t>annit</w:t>
      </w:r>
    </w:p>
    <w:p w14:paraId="74B0A9BF" w14:textId="10AF9030" w:rsidR="0038144B" w:rsidRPr="00DC2ECE" w:rsidRDefault="002C57D5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hidegen duzzadó</w:t>
      </w:r>
      <w:r w:rsidR="0038144B" w:rsidRPr="00DC2ECE">
        <w:rPr>
          <w:rFonts w:ascii="Times New Roman" w:hAnsi="Times New Roman"/>
        </w:rPr>
        <w:t xml:space="preserve"> kukoricakeményítő</w:t>
      </w:r>
    </w:p>
    <w:p w14:paraId="386D0351" w14:textId="4E943B12" w:rsidR="0038144B" w:rsidRPr="00DC2ECE" w:rsidRDefault="009C2C40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38144B" w:rsidRPr="00DC2ECE">
        <w:rPr>
          <w:rFonts w:ascii="Times New Roman" w:hAnsi="Times New Roman"/>
        </w:rPr>
        <w:t>átrium</w:t>
      </w:r>
      <w:r w:rsidR="005F24FF" w:rsidRPr="00DC2ECE">
        <w:rPr>
          <w:rFonts w:ascii="Times New Roman" w:hAnsi="Times New Roman"/>
        </w:rPr>
        <w:noBreakHyphen/>
      </w:r>
      <w:r w:rsidR="0038144B" w:rsidRPr="00DC2ECE">
        <w:rPr>
          <w:rFonts w:ascii="Times New Roman" w:hAnsi="Times New Roman"/>
        </w:rPr>
        <w:t>keményítő</w:t>
      </w:r>
      <w:r w:rsidR="005F24FF" w:rsidRPr="00DC2ECE">
        <w:rPr>
          <w:rFonts w:ascii="Times New Roman" w:hAnsi="Times New Roman"/>
        </w:rPr>
        <w:noBreakHyphen/>
      </w:r>
      <w:r w:rsidR="0038144B" w:rsidRPr="00DC2ECE">
        <w:rPr>
          <w:rFonts w:ascii="Times New Roman" w:hAnsi="Times New Roman"/>
        </w:rPr>
        <w:t>glikolát (A</w:t>
      </w:r>
      <w:r w:rsidR="00A96D3B">
        <w:rPr>
          <w:rFonts w:ascii="Times New Roman" w:hAnsi="Times New Roman"/>
        </w:rPr>
        <w:t> </w:t>
      </w:r>
      <w:r w:rsidR="0038144B" w:rsidRPr="00DC2ECE">
        <w:rPr>
          <w:rFonts w:ascii="Times New Roman" w:hAnsi="Times New Roman"/>
        </w:rPr>
        <w:t>típus</w:t>
      </w:r>
      <w:r>
        <w:rPr>
          <w:rFonts w:ascii="Times New Roman" w:hAnsi="Times New Roman"/>
        </w:rPr>
        <w:t>ú</w:t>
      </w:r>
      <w:r w:rsidR="0038144B" w:rsidRPr="009C2C40">
        <w:rPr>
          <w:rFonts w:ascii="Times New Roman" w:hAnsi="Times New Roman"/>
        </w:rPr>
        <w:t>)</w:t>
      </w:r>
    </w:p>
    <w:p w14:paraId="492508E0" w14:textId="0F5804EE" w:rsidR="0038144B" w:rsidRPr="00DC2ECE" w:rsidRDefault="009C2C40" w:rsidP="00C46DF0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38144B" w:rsidRPr="00DC2ECE">
        <w:rPr>
          <w:rFonts w:ascii="Times New Roman" w:hAnsi="Times New Roman"/>
        </w:rPr>
        <w:t>agnézium</w:t>
      </w:r>
      <w:r w:rsidR="005F24FF" w:rsidRPr="00DC2ECE">
        <w:rPr>
          <w:rFonts w:ascii="Times New Roman" w:hAnsi="Times New Roman"/>
        </w:rPr>
        <w:noBreakHyphen/>
      </w:r>
      <w:r w:rsidR="0038144B" w:rsidRPr="00DC2ECE">
        <w:rPr>
          <w:rFonts w:ascii="Times New Roman" w:hAnsi="Times New Roman"/>
        </w:rPr>
        <w:t>sztearát</w:t>
      </w:r>
    </w:p>
    <w:p w14:paraId="2CD25A09" w14:textId="77777777" w:rsidR="0038144B" w:rsidRPr="00DC2ECE" w:rsidRDefault="0038144B" w:rsidP="00C46DF0">
      <w:pPr>
        <w:widowControl w:val="0"/>
        <w:rPr>
          <w:rFonts w:ascii="Times New Roman" w:hAnsi="Times New Roman"/>
        </w:rPr>
      </w:pPr>
    </w:p>
    <w:p w14:paraId="1CD4CAE3" w14:textId="169A1016" w:rsidR="005C07F6" w:rsidRPr="00DC2ECE" w:rsidRDefault="005C07F6" w:rsidP="00C46DF0">
      <w:pPr>
        <w:widowControl w:val="0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6.2</w:t>
      </w:r>
      <w:r w:rsidRPr="00DC2ECE">
        <w:rPr>
          <w:rFonts w:ascii="Times New Roman" w:hAnsi="Times New Roman"/>
          <w:b/>
          <w:bCs/>
        </w:rPr>
        <w:tab/>
        <w:t>Inkompatibilitások</w:t>
      </w:r>
    </w:p>
    <w:p w14:paraId="2A78221C" w14:textId="77777777" w:rsidR="005C07F6" w:rsidRPr="00DC2ECE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5DC15620" w14:textId="77777777" w:rsidR="00B85091" w:rsidRPr="00C85D60" w:rsidRDefault="0038144B" w:rsidP="00C46DF0">
      <w:pPr>
        <w:tabs>
          <w:tab w:val="left" w:pos="567"/>
        </w:tabs>
        <w:rPr>
          <w:rFonts w:ascii="Times New Roman" w:eastAsia="Times New Roman" w:hAnsi="Times New Roman"/>
        </w:rPr>
      </w:pPr>
      <w:r w:rsidRPr="00910FBD">
        <w:rPr>
          <w:rFonts w:ascii="Times New Roman" w:hAnsi="Times New Roman"/>
        </w:rPr>
        <w:t>Nem értelmezhető.</w:t>
      </w:r>
    </w:p>
    <w:p w14:paraId="5D11EE2D" w14:textId="77777777" w:rsidR="00B85091" w:rsidRPr="000A39E3" w:rsidRDefault="00B85091" w:rsidP="00C46DF0">
      <w:pPr>
        <w:tabs>
          <w:tab w:val="left" w:pos="567"/>
        </w:tabs>
        <w:rPr>
          <w:rFonts w:ascii="Times New Roman" w:eastAsia="Times New Roman" w:hAnsi="Times New Roman"/>
          <w:lang w:val="en-GB"/>
        </w:rPr>
      </w:pPr>
    </w:p>
    <w:p w14:paraId="13EB2B69" w14:textId="77777777" w:rsidR="005C07F6" w:rsidRPr="00DC2ECE" w:rsidRDefault="005C07F6" w:rsidP="00C46DF0">
      <w:pPr>
        <w:widowControl w:val="0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6.3</w:t>
      </w:r>
      <w:r w:rsidRPr="00DC2ECE">
        <w:rPr>
          <w:rFonts w:ascii="Times New Roman" w:hAnsi="Times New Roman"/>
          <w:b/>
          <w:bCs/>
        </w:rPr>
        <w:tab/>
        <w:t>Felhasználhatósági időtartam</w:t>
      </w:r>
    </w:p>
    <w:p w14:paraId="3FED26AC" w14:textId="77777777" w:rsidR="005C07F6" w:rsidRPr="00DC2ECE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07F171EC" w14:textId="6D4617E8" w:rsidR="00E91222" w:rsidRPr="000A39E3" w:rsidRDefault="007157F7" w:rsidP="00C46DF0">
      <w:pPr>
        <w:tabs>
          <w:tab w:val="left" w:pos="567"/>
        </w:tabs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3</w:t>
      </w:r>
      <w:r w:rsidR="005F24FF" w:rsidRPr="00C85D60">
        <w:rPr>
          <w:rFonts w:ascii="Times New Roman" w:hAnsi="Times New Roman"/>
        </w:rPr>
        <w:t> év</w:t>
      </w:r>
    </w:p>
    <w:p w14:paraId="54AC319E" w14:textId="77777777" w:rsidR="00E91222" w:rsidRPr="00114EB9" w:rsidRDefault="00E91222" w:rsidP="00C46DF0">
      <w:pPr>
        <w:tabs>
          <w:tab w:val="left" w:pos="567"/>
        </w:tabs>
        <w:rPr>
          <w:rFonts w:ascii="Times New Roman" w:eastAsia="Times New Roman" w:hAnsi="Times New Roman"/>
          <w:lang w:val="en-GB"/>
        </w:rPr>
      </w:pPr>
    </w:p>
    <w:p w14:paraId="6CF84DCB" w14:textId="77777777" w:rsidR="005C07F6" w:rsidRPr="00DC2ECE" w:rsidRDefault="005C07F6" w:rsidP="00C46DF0">
      <w:pPr>
        <w:widowControl w:val="0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6.4</w:t>
      </w:r>
      <w:r w:rsidRPr="00DC2ECE">
        <w:rPr>
          <w:rFonts w:ascii="Times New Roman" w:hAnsi="Times New Roman"/>
          <w:b/>
          <w:bCs/>
        </w:rPr>
        <w:tab/>
        <w:t>Különleges tárolási előírások</w:t>
      </w:r>
    </w:p>
    <w:p w14:paraId="0CCD44F5" w14:textId="77777777" w:rsidR="005C07F6" w:rsidRPr="00DC2ECE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39DB272C" w14:textId="77777777" w:rsidR="0038144B" w:rsidRPr="00C85D60" w:rsidRDefault="0038144B" w:rsidP="00C46DF0">
      <w:pPr>
        <w:tabs>
          <w:tab w:val="left" w:pos="567"/>
        </w:tabs>
        <w:rPr>
          <w:rFonts w:ascii="Times New Roman" w:eastAsia="Times New Roman" w:hAnsi="Times New Roman"/>
          <w:noProof/>
        </w:rPr>
      </w:pPr>
      <w:r w:rsidRPr="00910FBD">
        <w:rPr>
          <w:rFonts w:ascii="Times New Roman" w:hAnsi="Times New Roman"/>
        </w:rPr>
        <w:t>A fénytől való védelem érdekében az eredeti csomagolásban tárolandó.</w:t>
      </w:r>
    </w:p>
    <w:p w14:paraId="277A975B" w14:textId="77777777" w:rsidR="0038144B" w:rsidRPr="00114EB9" w:rsidRDefault="0038144B" w:rsidP="00C46DF0">
      <w:pPr>
        <w:tabs>
          <w:tab w:val="left" w:pos="567"/>
        </w:tabs>
        <w:rPr>
          <w:rFonts w:ascii="Times New Roman" w:eastAsia="Times New Roman" w:hAnsi="Times New Roman"/>
          <w:noProof/>
        </w:rPr>
      </w:pPr>
      <w:r w:rsidRPr="000A39E3">
        <w:rPr>
          <w:rFonts w:ascii="Times New Roman" w:hAnsi="Times New Roman"/>
        </w:rPr>
        <w:t>Ez a gyógyszer különleges tárolási hőmérsékletet nem igényel.</w:t>
      </w:r>
    </w:p>
    <w:p w14:paraId="250D45C4" w14:textId="77777777" w:rsidR="005C07F6" w:rsidRPr="00DC2ECE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093A4387" w14:textId="77777777" w:rsidR="005C07F6" w:rsidRPr="00DC2ECE" w:rsidRDefault="005C07F6" w:rsidP="001151A2">
      <w:pPr>
        <w:widowControl w:val="0"/>
        <w:tabs>
          <w:tab w:val="left" w:pos="567"/>
        </w:tabs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6.5</w:t>
      </w:r>
      <w:r w:rsidRPr="00DC2ECE">
        <w:rPr>
          <w:rFonts w:ascii="Times New Roman" w:hAnsi="Times New Roman"/>
          <w:b/>
          <w:bCs/>
        </w:rPr>
        <w:tab/>
        <w:t>Csomagolás típusa és kiszerelése</w:t>
      </w:r>
    </w:p>
    <w:p w14:paraId="1B3D44EC" w14:textId="77777777" w:rsidR="00F322D7" w:rsidRPr="00DC2ECE" w:rsidRDefault="00F322D7" w:rsidP="00C46DF0">
      <w:pPr>
        <w:widowControl w:val="0"/>
        <w:rPr>
          <w:rFonts w:ascii="Times New Roman" w:hAnsi="Times New Roman"/>
          <w:lang w:val="en-GB"/>
        </w:rPr>
      </w:pPr>
    </w:p>
    <w:p w14:paraId="7A4B042C" w14:textId="48EF7092" w:rsidR="0038144B" w:rsidRPr="00DC2ECE" w:rsidRDefault="0038144B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>A tabletta PVC/PVDC/alumínium buborékcsomagolásban</w:t>
      </w:r>
      <w:r w:rsidR="007E6E1C">
        <w:rPr>
          <w:rFonts w:ascii="Times New Roman" w:hAnsi="Times New Roman"/>
        </w:rPr>
        <w:t xml:space="preserve"> és dobozban</w:t>
      </w:r>
      <w:r w:rsidRPr="00DC2ECE">
        <w:rPr>
          <w:rFonts w:ascii="Times New Roman" w:hAnsi="Times New Roman"/>
        </w:rPr>
        <w:t xml:space="preserve"> kerül forgalomba.</w:t>
      </w:r>
    </w:p>
    <w:p w14:paraId="2AEBFD94" w14:textId="2C57D918" w:rsidR="002957E3" w:rsidRPr="00DC2ECE" w:rsidRDefault="002957E3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</w:rPr>
        <w:t xml:space="preserve">A doboz 20, 30, 60 vagy 90 db tablettát tartalmaz buborékcsomagolásokban, valamint egy </w:t>
      </w:r>
      <w:r w:rsidR="004A5798">
        <w:rPr>
          <w:rFonts w:ascii="Times New Roman" w:hAnsi="Times New Roman"/>
        </w:rPr>
        <w:t>b</w:t>
      </w:r>
      <w:r w:rsidRPr="00DC2ECE">
        <w:rPr>
          <w:rFonts w:ascii="Times New Roman" w:hAnsi="Times New Roman"/>
        </w:rPr>
        <w:t>etegtájékoztatót.</w:t>
      </w:r>
    </w:p>
    <w:p w14:paraId="3A6BD854" w14:textId="77777777" w:rsidR="0038144B" w:rsidRPr="00DC2ECE" w:rsidRDefault="0038144B" w:rsidP="00C46DF0">
      <w:pPr>
        <w:widowControl w:val="0"/>
        <w:rPr>
          <w:rFonts w:ascii="Times New Roman" w:hAnsi="Times New Roman"/>
        </w:rPr>
      </w:pPr>
    </w:p>
    <w:p w14:paraId="40E15754" w14:textId="697E57CE" w:rsidR="00F064EF" w:rsidRPr="00DC2ECE" w:rsidRDefault="00F064EF" w:rsidP="001151A2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 xml:space="preserve">6.6 </w:t>
      </w:r>
      <w:r w:rsidRPr="00DC2ECE">
        <w:rPr>
          <w:rFonts w:ascii="Times New Roman" w:hAnsi="Times New Roman"/>
          <w:b/>
          <w:bCs/>
        </w:rPr>
        <w:tab/>
        <w:t>A megsemmisítésre vonatkozó különleges óvintézkedések és egyéb, a készítmény kezelésével kapcsolatos információk</w:t>
      </w:r>
    </w:p>
    <w:p w14:paraId="1FE000F1" w14:textId="77777777" w:rsidR="00217959" w:rsidRPr="00DC2ECE" w:rsidRDefault="00217959" w:rsidP="00C46DF0">
      <w:pPr>
        <w:widowControl w:val="0"/>
        <w:autoSpaceDE w:val="0"/>
        <w:autoSpaceDN w:val="0"/>
        <w:adjustRightInd w:val="0"/>
        <w:rPr>
          <w:rFonts w:ascii="Times New Roman" w:hAnsi="Times New Roman"/>
          <w:lang w:val="en-GB"/>
        </w:rPr>
      </w:pPr>
    </w:p>
    <w:p w14:paraId="6F90E5B4" w14:textId="77777777" w:rsidR="0038144B" w:rsidRPr="00C85D60" w:rsidRDefault="0038144B" w:rsidP="004954C2">
      <w:pPr>
        <w:tabs>
          <w:tab w:val="left" w:pos="567"/>
        </w:tabs>
        <w:rPr>
          <w:rFonts w:ascii="Times New Roman" w:eastAsia="Times New Roman" w:hAnsi="Times New Roman"/>
        </w:rPr>
      </w:pPr>
      <w:r w:rsidRPr="00910FBD">
        <w:rPr>
          <w:rFonts w:ascii="Times New Roman" w:hAnsi="Times New Roman"/>
        </w:rPr>
        <w:t>Bármilyen fel nem használt gyógyszer, illetve hulladékanyag megsemmisítését a gyógyszerekre vonatkozó előírások szerint kell végrehajtani.</w:t>
      </w:r>
    </w:p>
    <w:p w14:paraId="24C92786" w14:textId="180678C8" w:rsidR="005C07F6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0D878A93" w14:textId="77777777" w:rsidR="00E76084" w:rsidRPr="006C2F67" w:rsidRDefault="00E76084" w:rsidP="00E76084">
      <w:pPr>
        <w:widowControl w:val="0"/>
        <w:rPr>
          <w:rFonts w:ascii="Times New Roman" w:hAnsi="Times New Roman"/>
        </w:rPr>
      </w:pPr>
      <w:r w:rsidRPr="00B06B97">
        <w:rPr>
          <w:rFonts w:ascii="Times New Roman" w:hAnsi="Times New Roman"/>
          <w:b/>
          <w:bCs/>
        </w:rPr>
        <w:t>Megjegyzés</w:t>
      </w:r>
      <w:r w:rsidRPr="00B06B97">
        <w:rPr>
          <w:rFonts w:ascii="Times New Roman" w:hAnsi="Times New Roman"/>
        </w:rPr>
        <w:t xml:space="preserve">: </w:t>
      </w:r>
      <w:r w:rsidRPr="009218FF">
        <w:rPr>
          <w:rFonts w:ascii="Times New Roman" w:hAnsi="Times New Roman"/>
        </w:rPr>
        <w:sym w:font="Wingdings" w:char="F058"/>
      </w:r>
      <w:r w:rsidRPr="009218FF">
        <w:rPr>
          <w:rFonts w:ascii="Times New Roman" w:hAnsi="Times New Roman"/>
        </w:rPr>
        <w:t xml:space="preserve"> </w:t>
      </w:r>
      <w:r w:rsidRPr="006C2F67">
        <w:rPr>
          <w:rFonts w:ascii="Times New Roman" w:hAnsi="Times New Roman"/>
        </w:rPr>
        <w:t>(egy keresztes)</w:t>
      </w:r>
    </w:p>
    <w:p w14:paraId="23DBE2CD" w14:textId="77777777" w:rsidR="00E76084" w:rsidRPr="006C2F67" w:rsidRDefault="00E76084" w:rsidP="00E76084">
      <w:pPr>
        <w:widowControl w:val="0"/>
        <w:rPr>
          <w:rFonts w:ascii="Times New Roman" w:hAnsi="Times New Roman"/>
        </w:rPr>
      </w:pPr>
      <w:r w:rsidRPr="006A7D62">
        <w:rPr>
          <w:rFonts w:ascii="Times New Roman" w:hAnsi="Times New Roman"/>
          <w:b/>
        </w:rPr>
        <w:t>Osztályozás</w:t>
      </w:r>
      <w:r w:rsidRPr="006C2F67">
        <w:rPr>
          <w:rFonts w:ascii="Times New Roman" w:hAnsi="Times New Roman"/>
        </w:rPr>
        <w:t>: II. csoport</w:t>
      </w:r>
    </w:p>
    <w:p w14:paraId="45988B32" w14:textId="77777777" w:rsidR="00E76084" w:rsidRPr="00ED7273" w:rsidRDefault="00E76084" w:rsidP="00E76084">
      <w:pPr>
        <w:widowControl w:val="0"/>
        <w:rPr>
          <w:rFonts w:ascii="Times New Roman" w:hAnsi="Times New Roman"/>
        </w:rPr>
      </w:pPr>
      <w:r w:rsidRPr="00ED7273">
        <w:rPr>
          <w:rFonts w:ascii="Times New Roman" w:hAnsi="Times New Roman"/>
        </w:rPr>
        <w:t>Kizárólag orvosi rendelvényhez kötött gyógyszer (V).</w:t>
      </w:r>
    </w:p>
    <w:p w14:paraId="4B544DCC" w14:textId="77777777" w:rsidR="00E76084" w:rsidRPr="00DC2ECE" w:rsidRDefault="00E76084" w:rsidP="00C46DF0">
      <w:pPr>
        <w:widowControl w:val="0"/>
        <w:rPr>
          <w:rFonts w:ascii="Times New Roman" w:hAnsi="Times New Roman"/>
          <w:lang w:val="en-GB"/>
        </w:rPr>
      </w:pPr>
    </w:p>
    <w:p w14:paraId="53FE0058" w14:textId="77777777" w:rsidR="0038144B" w:rsidRPr="00DC2ECE" w:rsidRDefault="0038144B" w:rsidP="00C46DF0">
      <w:pPr>
        <w:widowControl w:val="0"/>
        <w:rPr>
          <w:rFonts w:ascii="Times New Roman" w:hAnsi="Times New Roman"/>
          <w:lang w:val="en-GB"/>
        </w:rPr>
      </w:pPr>
    </w:p>
    <w:p w14:paraId="52600071" w14:textId="77777777" w:rsidR="005C07F6" w:rsidRPr="00DC2ECE" w:rsidRDefault="005C07F6" w:rsidP="00C46DF0">
      <w:pPr>
        <w:widowControl w:val="0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7.</w:t>
      </w:r>
      <w:r w:rsidRPr="00DC2ECE">
        <w:rPr>
          <w:rFonts w:ascii="Times New Roman" w:hAnsi="Times New Roman"/>
          <w:b/>
          <w:bCs/>
        </w:rPr>
        <w:tab/>
        <w:t>A FORGALOMBA HOZATALI ENGEDÉLY JOGOSULTJA</w:t>
      </w:r>
    </w:p>
    <w:p w14:paraId="47FDCC09" w14:textId="77777777" w:rsidR="005C07F6" w:rsidRPr="00DC2ECE" w:rsidRDefault="005C07F6" w:rsidP="00C53A14">
      <w:pPr>
        <w:rPr>
          <w:rFonts w:ascii="Times New Roman" w:hAnsi="Times New Roman"/>
        </w:rPr>
      </w:pPr>
    </w:p>
    <w:p w14:paraId="523C7967" w14:textId="77777777" w:rsidR="002667BE" w:rsidRDefault="002667BE" w:rsidP="002667BE">
      <w:pPr>
        <w:pStyle w:val="Nincstrkz"/>
        <w:rPr>
          <w:lang w:eastAsia="zh-CN"/>
        </w:rPr>
      </w:pPr>
      <w:r>
        <w:rPr>
          <w:lang w:eastAsia="zh-CN"/>
        </w:rPr>
        <w:t>Teva B.V.</w:t>
      </w:r>
    </w:p>
    <w:p w14:paraId="750A3A5C" w14:textId="77777777" w:rsidR="002667BE" w:rsidRDefault="002667BE" w:rsidP="002667BE">
      <w:pPr>
        <w:pStyle w:val="Nincstrkz"/>
        <w:rPr>
          <w:szCs w:val="20"/>
        </w:rPr>
      </w:pPr>
      <w:r>
        <w:rPr>
          <w:lang w:eastAsia="zh-CN"/>
        </w:rPr>
        <w:t>Swensweg 5, 2031GA, Haarlem</w:t>
      </w:r>
    </w:p>
    <w:p w14:paraId="246DC260" w14:textId="77777777" w:rsidR="002667BE" w:rsidRDefault="002667BE" w:rsidP="002667BE">
      <w:pPr>
        <w:pStyle w:val="Nincstrkz"/>
        <w:rPr>
          <w:lang w:eastAsia="zh-CN"/>
        </w:rPr>
      </w:pPr>
      <w:r>
        <w:rPr>
          <w:lang w:eastAsia="zh-CN"/>
        </w:rPr>
        <w:t>Hollandia</w:t>
      </w:r>
    </w:p>
    <w:p w14:paraId="5FF33A3F" w14:textId="77777777" w:rsidR="00C53A14" w:rsidRPr="00DC2ECE" w:rsidRDefault="00C53A14" w:rsidP="00C53A14">
      <w:pPr>
        <w:rPr>
          <w:rFonts w:ascii="Times New Roman" w:hAnsi="Times New Roman"/>
        </w:rPr>
      </w:pPr>
    </w:p>
    <w:p w14:paraId="110E723C" w14:textId="77777777" w:rsidR="00215B12" w:rsidRPr="00DC2ECE" w:rsidRDefault="00215B12" w:rsidP="00C53A14">
      <w:pPr>
        <w:rPr>
          <w:rFonts w:ascii="Times New Roman" w:hAnsi="Times New Roman"/>
        </w:rPr>
      </w:pPr>
    </w:p>
    <w:p w14:paraId="7241181F" w14:textId="77777777" w:rsidR="005C07F6" w:rsidRPr="00DC2ECE" w:rsidRDefault="005C07F6" w:rsidP="00C46DF0">
      <w:pPr>
        <w:widowControl w:val="0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lastRenderedPageBreak/>
        <w:t>8.</w:t>
      </w:r>
      <w:r w:rsidRPr="00DC2ECE">
        <w:rPr>
          <w:rFonts w:ascii="Times New Roman" w:hAnsi="Times New Roman"/>
          <w:b/>
          <w:bCs/>
        </w:rPr>
        <w:tab/>
        <w:t>A FORGALOMBA HOZATALI ENGEDÉLY SZÁMA(I)</w:t>
      </w:r>
    </w:p>
    <w:p w14:paraId="46476388" w14:textId="77777777" w:rsidR="004E5FFA" w:rsidRPr="00DC2ECE" w:rsidRDefault="004E5FFA" w:rsidP="00C46DF0">
      <w:pPr>
        <w:widowControl w:val="0"/>
        <w:rPr>
          <w:rFonts w:ascii="Times New Roman" w:hAnsi="Times New Roman"/>
          <w:lang w:val="en-GB"/>
        </w:rPr>
      </w:pPr>
    </w:p>
    <w:p w14:paraId="65F64673" w14:textId="35101F09" w:rsidR="005367BC" w:rsidRPr="005367BC" w:rsidRDefault="005367BC" w:rsidP="009B053B">
      <w:pPr>
        <w:tabs>
          <w:tab w:val="left" w:pos="2552"/>
        </w:tabs>
        <w:jc w:val="both"/>
        <w:rPr>
          <w:rFonts w:ascii="Times New Roman" w:hAnsi="Times New Roman"/>
        </w:rPr>
      </w:pPr>
      <w:r w:rsidRPr="005367BC">
        <w:rPr>
          <w:rFonts w:ascii="Times New Roman" w:hAnsi="Times New Roman"/>
        </w:rPr>
        <w:t>OGYI-T-23772/</w:t>
      </w:r>
      <w:r w:rsidR="00454CB7" w:rsidRPr="005367BC">
        <w:rPr>
          <w:rFonts w:ascii="Times New Roman" w:hAnsi="Times New Roman"/>
        </w:rPr>
        <w:t>05</w:t>
      </w:r>
      <w:r w:rsidR="00454CB7">
        <w:rPr>
          <w:rFonts w:ascii="Times New Roman" w:hAnsi="Times New Roman"/>
        </w:rPr>
        <w:tab/>
      </w:r>
      <w:r w:rsidRPr="005367BC">
        <w:rPr>
          <w:rFonts w:ascii="Times New Roman" w:hAnsi="Times New Roman"/>
        </w:rPr>
        <w:t>20×</w:t>
      </w:r>
    </w:p>
    <w:p w14:paraId="33F98989" w14:textId="46836A92" w:rsidR="005367BC" w:rsidRPr="005367BC" w:rsidRDefault="005367BC" w:rsidP="009B053B">
      <w:pPr>
        <w:tabs>
          <w:tab w:val="left" w:pos="2552"/>
        </w:tabs>
        <w:jc w:val="both"/>
        <w:rPr>
          <w:rFonts w:ascii="Times New Roman" w:hAnsi="Times New Roman"/>
        </w:rPr>
      </w:pPr>
      <w:r w:rsidRPr="005367BC">
        <w:rPr>
          <w:rFonts w:ascii="Times New Roman" w:hAnsi="Times New Roman"/>
        </w:rPr>
        <w:t>OGYI-T-23772/</w:t>
      </w:r>
      <w:r w:rsidR="00454CB7" w:rsidRPr="005367BC">
        <w:rPr>
          <w:rFonts w:ascii="Times New Roman" w:hAnsi="Times New Roman"/>
        </w:rPr>
        <w:t>06</w:t>
      </w:r>
      <w:r w:rsidR="00454CB7">
        <w:rPr>
          <w:rFonts w:ascii="Times New Roman" w:hAnsi="Times New Roman"/>
        </w:rPr>
        <w:tab/>
      </w:r>
      <w:r w:rsidRPr="005367BC">
        <w:rPr>
          <w:rFonts w:ascii="Times New Roman" w:hAnsi="Times New Roman"/>
        </w:rPr>
        <w:t>30×</w:t>
      </w:r>
    </w:p>
    <w:p w14:paraId="071E2BDB" w14:textId="3A9C35C3" w:rsidR="005367BC" w:rsidRPr="005367BC" w:rsidRDefault="005367BC" w:rsidP="009B053B">
      <w:pPr>
        <w:tabs>
          <w:tab w:val="left" w:pos="2552"/>
        </w:tabs>
        <w:jc w:val="both"/>
        <w:rPr>
          <w:rFonts w:ascii="Times New Roman" w:hAnsi="Times New Roman"/>
        </w:rPr>
      </w:pPr>
      <w:r w:rsidRPr="005367BC">
        <w:rPr>
          <w:rFonts w:ascii="Times New Roman" w:hAnsi="Times New Roman"/>
        </w:rPr>
        <w:t>OGYI-T-23772/</w:t>
      </w:r>
      <w:r w:rsidR="00454CB7" w:rsidRPr="005367BC">
        <w:rPr>
          <w:rFonts w:ascii="Times New Roman" w:hAnsi="Times New Roman"/>
        </w:rPr>
        <w:t>07</w:t>
      </w:r>
      <w:r w:rsidR="00454CB7">
        <w:rPr>
          <w:rFonts w:ascii="Times New Roman" w:hAnsi="Times New Roman"/>
        </w:rPr>
        <w:tab/>
      </w:r>
      <w:r w:rsidRPr="005367BC">
        <w:rPr>
          <w:rFonts w:ascii="Times New Roman" w:hAnsi="Times New Roman"/>
        </w:rPr>
        <w:t>60×</w:t>
      </w:r>
    </w:p>
    <w:p w14:paraId="2B85374B" w14:textId="15C741B3" w:rsidR="005367BC" w:rsidRPr="005367BC" w:rsidRDefault="005367BC" w:rsidP="009B053B">
      <w:pPr>
        <w:tabs>
          <w:tab w:val="left" w:pos="2552"/>
        </w:tabs>
        <w:rPr>
          <w:rFonts w:ascii="Times New Roman" w:hAnsi="Times New Roman"/>
          <w:noProof/>
        </w:rPr>
      </w:pPr>
      <w:r w:rsidRPr="005367BC">
        <w:rPr>
          <w:rFonts w:ascii="Times New Roman" w:hAnsi="Times New Roman"/>
        </w:rPr>
        <w:t>OGYI-T-23772/</w:t>
      </w:r>
      <w:r w:rsidR="00454CB7" w:rsidRPr="005367BC">
        <w:rPr>
          <w:rFonts w:ascii="Times New Roman" w:hAnsi="Times New Roman"/>
        </w:rPr>
        <w:t>08</w:t>
      </w:r>
      <w:r w:rsidR="00454CB7">
        <w:rPr>
          <w:rFonts w:ascii="Times New Roman" w:hAnsi="Times New Roman"/>
        </w:rPr>
        <w:tab/>
      </w:r>
      <w:r w:rsidRPr="005367BC">
        <w:rPr>
          <w:rFonts w:ascii="Times New Roman" w:hAnsi="Times New Roman"/>
        </w:rPr>
        <w:t>90×</w:t>
      </w:r>
    </w:p>
    <w:p w14:paraId="3BC2456D" w14:textId="06A7344E" w:rsidR="008D7FEC" w:rsidRDefault="008D7FEC" w:rsidP="00C46DF0">
      <w:pPr>
        <w:widowControl w:val="0"/>
        <w:rPr>
          <w:rFonts w:ascii="Times New Roman" w:hAnsi="Times New Roman"/>
          <w:lang w:val="en-GB"/>
        </w:rPr>
      </w:pPr>
    </w:p>
    <w:p w14:paraId="578E3F92" w14:textId="77777777" w:rsidR="005367BC" w:rsidRPr="00DC2ECE" w:rsidRDefault="005367BC" w:rsidP="00C46DF0">
      <w:pPr>
        <w:widowControl w:val="0"/>
        <w:rPr>
          <w:rFonts w:ascii="Times New Roman" w:hAnsi="Times New Roman"/>
          <w:lang w:val="en-GB"/>
        </w:rPr>
      </w:pPr>
    </w:p>
    <w:p w14:paraId="26EE4B74" w14:textId="77777777" w:rsidR="005C07F6" w:rsidRPr="00DC2ECE" w:rsidRDefault="005C07F6" w:rsidP="00C46DF0">
      <w:pPr>
        <w:widowControl w:val="0"/>
        <w:rPr>
          <w:rFonts w:ascii="Times New Roman" w:hAnsi="Times New Roman"/>
          <w:b/>
        </w:rPr>
      </w:pPr>
      <w:r w:rsidRPr="00DC2ECE">
        <w:rPr>
          <w:rFonts w:ascii="Times New Roman" w:hAnsi="Times New Roman"/>
          <w:b/>
          <w:bCs/>
        </w:rPr>
        <w:t>9.</w:t>
      </w:r>
      <w:r w:rsidRPr="00DC2ECE">
        <w:rPr>
          <w:rFonts w:ascii="Times New Roman" w:hAnsi="Times New Roman"/>
          <w:b/>
          <w:bCs/>
        </w:rPr>
        <w:tab/>
        <w:t>A FORGALOMBA HOZATALI ENGEDÉLY ELSŐ KIADÁSÁNAK/MEGÚJÍTÁSÁNAK DÁTUMA</w:t>
      </w:r>
    </w:p>
    <w:p w14:paraId="1ED1675A" w14:textId="77777777" w:rsidR="005C07F6" w:rsidRPr="00DC2ECE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6276A2BD" w14:textId="78F018B4" w:rsidR="0037692B" w:rsidRPr="00DC2ECE" w:rsidRDefault="0037692B" w:rsidP="00C46DF0">
      <w:pPr>
        <w:tabs>
          <w:tab w:val="left" w:pos="567"/>
        </w:tabs>
        <w:rPr>
          <w:rFonts w:ascii="Times New Roman" w:eastAsia="Times New Roman" w:hAnsi="Times New Roman"/>
          <w:i/>
          <w:noProof/>
        </w:rPr>
      </w:pPr>
      <w:r w:rsidRPr="00DC2ECE">
        <w:rPr>
          <w:rFonts w:ascii="Times New Roman" w:hAnsi="Times New Roman"/>
        </w:rPr>
        <w:t xml:space="preserve">A forgalomba hozatali engedély első kiadásának dátuma: </w:t>
      </w:r>
      <w:r w:rsidR="005367BC">
        <w:rPr>
          <w:rFonts w:ascii="Times New Roman" w:hAnsi="Times New Roman"/>
        </w:rPr>
        <w:t>2020. október 27.</w:t>
      </w:r>
    </w:p>
    <w:p w14:paraId="749269A0" w14:textId="77777777" w:rsidR="00A1286D" w:rsidRPr="00DC2ECE" w:rsidRDefault="00A1286D" w:rsidP="00C46DF0">
      <w:pPr>
        <w:widowControl w:val="0"/>
        <w:rPr>
          <w:rFonts w:ascii="Times New Roman" w:hAnsi="Times New Roman"/>
          <w:lang w:val="en-GB"/>
        </w:rPr>
      </w:pPr>
    </w:p>
    <w:p w14:paraId="2FEB2612" w14:textId="77777777" w:rsidR="00E84945" w:rsidRPr="00DC2ECE" w:rsidRDefault="00E84945" w:rsidP="00C46DF0">
      <w:pPr>
        <w:widowControl w:val="0"/>
        <w:rPr>
          <w:rFonts w:ascii="Times New Roman" w:hAnsi="Times New Roman"/>
          <w:lang w:val="en-GB"/>
        </w:rPr>
      </w:pPr>
    </w:p>
    <w:p w14:paraId="6B205F9F" w14:textId="77777777" w:rsidR="005C07F6" w:rsidRPr="00DC2ECE" w:rsidRDefault="005C07F6" w:rsidP="00C46DF0">
      <w:pPr>
        <w:widowControl w:val="0"/>
        <w:rPr>
          <w:rFonts w:ascii="Times New Roman" w:hAnsi="Times New Roman"/>
        </w:rPr>
      </w:pPr>
      <w:r w:rsidRPr="00DC2ECE">
        <w:rPr>
          <w:rFonts w:ascii="Times New Roman" w:hAnsi="Times New Roman"/>
          <w:b/>
          <w:bCs/>
        </w:rPr>
        <w:t>10.</w:t>
      </w:r>
      <w:r w:rsidRPr="00DC2ECE">
        <w:rPr>
          <w:rFonts w:ascii="Times New Roman" w:hAnsi="Times New Roman"/>
          <w:b/>
          <w:bCs/>
        </w:rPr>
        <w:tab/>
        <w:t>A SZÖVEG ELLENŐRZÉSÉNEK DÁTUMA</w:t>
      </w:r>
    </w:p>
    <w:p w14:paraId="540143DB" w14:textId="77777777" w:rsidR="005C07F6" w:rsidRPr="00DC2ECE" w:rsidRDefault="005C07F6" w:rsidP="00C46DF0">
      <w:pPr>
        <w:widowControl w:val="0"/>
        <w:rPr>
          <w:rFonts w:ascii="Times New Roman" w:hAnsi="Times New Roman"/>
          <w:lang w:val="en-GB"/>
        </w:rPr>
      </w:pPr>
    </w:p>
    <w:p w14:paraId="537C3688" w14:textId="0AEB70BC" w:rsidR="0037692B" w:rsidRPr="000A39E3" w:rsidRDefault="002667BE" w:rsidP="00C46DF0">
      <w:pPr>
        <w:numPr>
          <w:ilvl w:val="12"/>
          <w:numId w:val="0"/>
        </w:numPr>
        <w:tabs>
          <w:tab w:val="left" w:pos="567"/>
        </w:tabs>
        <w:ind w:right="-2"/>
        <w:rPr>
          <w:rFonts w:ascii="Times New Roman" w:eastAsia="Times New Roman" w:hAnsi="Times New Roman"/>
          <w:iCs/>
        </w:rPr>
      </w:pPr>
      <w:r>
        <w:rPr>
          <w:rFonts w:ascii="Times New Roman" w:eastAsia="Times New Roman" w:hAnsi="Times New Roman"/>
          <w:iCs/>
        </w:rPr>
        <w:t>202</w:t>
      </w:r>
      <w:r w:rsidR="007157F7">
        <w:rPr>
          <w:rFonts w:ascii="Times New Roman" w:eastAsia="Times New Roman" w:hAnsi="Times New Roman"/>
          <w:iCs/>
        </w:rPr>
        <w:t xml:space="preserve">4. </w:t>
      </w:r>
      <w:r w:rsidR="00454CB7">
        <w:rPr>
          <w:rFonts w:ascii="Times New Roman" w:eastAsia="Times New Roman" w:hAnsi="Times New Roman"/>
          <w:iCs/>
        </w:rPr>
        <w:t>március</w:t>
      </w:r>
      <w:r w:rsidR="00545192">
        <w:rPr>
          <w:rFonts w:ascii="Times New Roman" w:eastAsia="Times New Roman" w:hAnsi="Times New Roman"/>
          <w:iCs/>
        </w:rPr>
        <w:t xml:space="preserve"> </w:t>
      </w:r>
      <w:r w:rsidR="00454CB7">
        <w:rPr>
          <w:rFonts w:ascii="Times New Roman" w:eastAsia="Times New Roman" w:hAnsi="Times New Roman"/>
          <w:iCs/>
        </w:rPr>
        <w:t>17</w:t>
      </w:r>
      <w:r w:rsidR="007157F7">
        <w:rPr>
          <w:rFonts w:ascii="Times New Roman" w:eastAsia="Times New Roman" w:hAnsi="Times New Roman"/>
          <w:iCs/>
        </w:rPr>
        <w:t>.</w:t>
      </w:r>
    </w:p>
    <w:sectPr w:rsidR="0037692B" w:rsidRPr="000A39E3" w:rsidSect="00C46DF0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7A4F2" w14:textId="77777777" w:rsidR="00FB7DBB" w:rsidRDefault="00FB7DBB">
      <w:r>
        <w:separator/>
      </w:r>
    </w:p>
  </w:endnote>
  <w:endnote w:type="continuationSeparator" w:id="0">
    <w:p w14:paraId="1BE765F2" w14:textId="77777777" w:rsidR="00FB7DBB" w:rsidRDefault="00FB7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51298" w14:textId="77777777" w:rsidR="004954C2" w:rsidRDefault="004954C2" w:rsidP="0004715A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8373960" w14:textId="77777777" w:rsidR="004954C2" w:rsidRDefault="004954C2" w:rsidP="008E341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BE811" w14:textId="77777777" w:rsidR="004954C2" w:rsidRPr="001509C0" w:rsidRDefault="004954C2" w:rsidP="008E3415">
    <w:pPr>
      <w:pStyle w:val="llb"/>
      <w:ind w:right="360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8AF69" w14:textId="0FBCE33A" w:rsidR="00454CB7" w:rsidRPr="009B053B" w:rsidRDefault="00454CB7">
    <w:pPr>
      <w:pStyle w:val="llb"/>
      <w:rPr>
        <w:rFonts w:ascii="Times New Roman" w:hAnsi="Times New Roman"/>
        <w:sz w:val="18"/>
        <w:szCs w:val="18"/>
      </w:rPr>
    </w:pPr>
    <w:r w:rsidRPr="009B053B">
      <w:rPr>
        <w:rFonts w:ascii="Times New Roman" w:hAnsi="Times New Roman"/>
        <w:sz w:val="18"/>
        <w:szCs w:val="18"/>
      </w:rPr>
      <w:t>NNGYK/GYSZ/8584/2024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DC798" w14:textId="77777777" w:rsidR="00FB7DBB" w:rsidRDefault="00FB7DBB">
      <w:r>
        <w:separator/>
      </w:r>
    </w:p>
  </w:footnote>
  <w:footnote w:type="continuationSeparator" w:id="0">
    <w:p w14:paraId="4AA7941B" w14:textId="77777777" w:rsidR="00FB7DBB" w:rsidRDefault="00FB7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492BF" w14:textId="77777777" w:rsidR="004954C2" w:rsidRDefault="004954C2" w:rsidP="005C5AC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F0E6375" w14:textId="77777777" w:rsidR="004954C2" w:rsidRDefault="004954C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205C5" w14:textId="495C4CD7" w:rsidR="004954C2" w:rsidRPr="0090580B" w:rsidRDefault="004954C2" w:rsidP="0090580B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fldChar w:fldCharType="begin"/>
    </w:r>
    <w:r>
      <w:rPr>
        <w:rFonts w:ascii="Times New Roman" w:hAnsi="Times New Roman"/>
        <w:sz w:val="18"/>
        <w:szCs w:val="18"/>
      </w:rPr>
      <w:instrText>PAGE   \* MERGEFORMAT</w:instrText>
    </w:r>
    <w:r>
      <w:rPr>
        <w:rFonts w:ascii="Times New Roman" w:hAnsi="Times New Roman"/>
        <w:sz w:val="18"/>
        <w:szCs w:val="18"/>
      </w:rPr>
      <w:fldChar w:fldCharType="separate"/>
    </w:r>
    <w:r w:rsidR="009B053B">
      <w:rPr>
        <w:rFonts w:ascii="Times New Roman" w:hAnsi="Times New Roman"/>
        <w:noProof/>
        <w:sz w:val="18"/>
        <w:szCs w:val="18"/>
      </w:rPr>
      <w:t>22</w:t>
    </w:r>
    <w:r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73A5F0B"/>
    <w:multiLevelType w:val="hybridMultilevel"/>
    <w:tmpl w:val="8178811A"/>
    <w:lvl w:ilvl="0" w:tplc="4B7AFA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40F7C"/>
    <w:multiLevelType w:val="hybridMultilevel"/>
    <w:tmpl w:val="54C0B59C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12578C"/>
    <w:multiLevelType w:val="hybridMultilevel"/>
    <w:tmpl w:val="CAE09E90"/>
    <w:lvl w:ilvl="0" w:tplc="04B04DFA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05B13"/>
    <w:multiLevelType w:val="hybridMultilevel"/>
    <w:tmpl w:val="82EAEA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E0776"/>
    <w:multiLevelType w:val="hybridMultilevel"/>
    <w:tmpl w:val="337229AE"/>
    <w:lvl w:ilvl="0" w:tplc="90E29A0C">
      <w:start w:val="4"/>
      <w:numFmt w:val="bullet"/>
      <w:lvlText w:val="-"/>
      <w:lvlJc w:val="left"/>
      <w:pPr>
        <w:ind w:left="7589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pStyle w:val="Cmsor2"/>
      <w:lvlText w:val="o"/>
      <w:lvlJc w:val="left"/>
      <w:pPr>
        <w:ind w:left="830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902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974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1046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1118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1190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262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3349" w:hanging="360"/>
      </w:pPr>
      <w:rPr>
        <w:rFonts w:ascii="Wingdings" w:hAnsi="Wingdings" w:hint="default"/>
      </w:rPr>
    </w:lvl>
  </w:abstractNum>
  <w:abstractNum w:abstractNumId="7" w15:restartNumberingAfterBreak="0">
    <w:nsid w:val="57DE3B5F"/>
    <w:multiLevelType w:val="hybridMultilevel"/>
    <w:tmpl w:val="E23CAD64"/>
    <w:lvl w:ilvl="0" w:tplc="DAD25D4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F36A4"/>
    <w:multiLevelType w:val="hybridMultilevel"/>
    <w:tmpl w:val="1B62C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16E07"/>
    <w:multiLevelType w:val="hybridMultilevel"/>
    <w:tmpl w:val="B4C4436E"/>
    <w:lvl w:ilvl="0" w:tplc="DAD25D46">
      <w:start w:val="1"/>
      <w:numFmt w:val="bullet"/>
      <w:lvlText w:val="­"/>
      <w:lvlJc w:val="left"/>
      <w:pPr>
        <w:ind w:left="3555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0" w15:restartNumberingAfterBreak="0">
    <w:nsid w:val="699F35D4"/>
    <w:multiLevelType w:val="hybridMultilevel"/>
    <w:tmpl w:val="54B66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9"/>
  </w:num>
  <w:num w:numId="7">
    <w:abstractNumId w:val="0"/>
  </w:num>
  <w:num w:numId="8">
    <w:abstractNumId w:val="3"/>
  </w:num>
  <w:num w:numId="9">
    <w:abstractNumId w:val="0"/>
    <w:lvlOverride w:ilvl="0">
      <w:startOverride w:val="1"/>
    </w:lvlOverride>
  </w:num>
  <w:num w:numId="10">
    <w:abstractNumId w:val="7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SortMethod w:val="00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BFA99444-D71A-4B2B-95F7-D1F74C2C2CFD}"/>
    <w:docVar w:name="dgnword-eventsink" w:val="211987912"/>
    <w:docVar w:name="vault_nd_5d5ba21c-a980-4f42-bfc1-a254e474a099" w:val=" "/>
  </w:docVars>
  <w:rsids>
    <w:rsidRoot w:val="00D71790"/>
    <w:rsid w:val="000001FB"/>
    <w:rsid w:val="00000430"/>
    <w:rsid w:val="00003B8F"/>
    <w:rsid w:val="00005612"/>
    <w:rsid w:val="0001075F"/>
    <w:rsid w:val="00011FD3"/>
    <w:rsid w:val="00014152"/>
    <w:rsid w:val="0001485A"/>
    <w:rsid w:val="000159CF"/>
    <w:rsid w:val="00016900"/>
    <w:rsid w:val="000170BA"/>
    <w:rsid w:val="0002196B"/>
    <w:rsid w:val="000237DF"/>
    <w:rsid w:val="00025F2A"/>
    <w:rsid w:val="00027DD4"/>
    <w:rsid w:val="00031B36"/>
    <w:rsid w:val="00036E53"/>
    <w:rsid w:val="00036F1E"/>
    <w:rsid w:val="00040CCB"/>
    <w:rsid w:val="000426BD"/>
    <w:rsid w:val="000431D1"/>
    <w:rsid w:val="00045411"/>
    <w:rsid w:val="0004715A"/>
    <w:rsid w:val="000479A8"/>
    <w:rsid w:val="000479B5"/>
    <w:rsid w:val="00052346"/>
    <w:rsid w:val="0005353C"/>
    <w:rsid w:val="00056CE3"/>
    <w:rsid w:val="00057517"/>
    <w:rsid w:val="00057FB4"/>
    <w:rsid w:val="000637BF"/>
    <w:rsid w:val="00064650"/>
    <w:rsid w:val="00065A2D"/>
    <w:rsid w:val="00065EE2"/>
    <w:rsid w:val="000670F7"/>
    <w:rsid w:val="00067C34"/>
    <w:rsid w:val="000718BD"/>
    <w:rsid w:val="00073A0B"/>
    <w:rsid w:val="00074538"/>
    <w:rsid w:val="0008302C"/>
    <w:rsid w:val="0008396F"/>
    <w:rsid w:val="00086CEF"/>
    <w:rsid w:val="00090ACD"/>
    <w:rsid w:val="000917C0"/>
    <w:rsid w:val="00095ECD"/>
    <w:rsid w:val="00096552"/>
    <w:rsid w:val="00096B96"/>
    <w:rsid w:val="000A2B49"/>
    <w:rsid w:val="000A3299"/>
    <w:rsid w:val="000A374A"/>
    <w:rsid w:val="000A39E3"/>
    <w:rsid w:val="000A6059"/>
    <w:rsid w:val="000B1D2B"/>
    <w:rsid w:val="000B20C6"/>
    <w:rsid w:val="000B37CF"/>
    <w:rsid w:val="000B3957"/>
    <w:rsid w:val="000B466D"/>
    <w:rsid w:val="000C1AA3"/>
    <w:rsid w:val="000C1D00"/>
    <w:rsid w:val="000C2226"/>
    <w:rsid w:val="000C4C32"/>
    <w:rsid w:val="000C4D67"/>
    <w:rsid w:val="000D0557"/>
    <w:rsid w:val="000D1419"/>
    <w:rsid w:val="000D420D"/>
    <w:rsid w:val="000D6272"/>
    <w:rsid w:val="000E0918"/>
    <w:rsid w:val="000E1AD4"/>
    <w:rsid w:val="000E3FC6"/>
    <w:rsid w:val="000E50E6"/>
    <w:rsid w:val="000E5663"/>
    <w:rsid w:val="000E6D60"/>
    <w:rsid w:val="000F1089"/>
    <w:rsid w:val="000F229E"/>
    <w:rsid w:val="000F5EE0"/>
    <w:rsid w:val="000F69BE"/>
    <w:rsid w:val="00102E87"/>
    <w:rsid w:val="0010494A"/>
    <w:rsid w:val="00104E5B"/>
    <w:rsid w:val="00107F0A"/>
    <w:rsid w:val="00112B31"/>
    <w:rsid w:val="00113526"/>
    <w:rsid w:val="0011419A"/>
    <w:rsid w:val="00114EB9"/>
    <w:rsid w:val="001151A2"/>
    <w:rsid w:val="001154CD"/>
    <w:rsid w:val="00115944"/>
    <w:rsid w:val="00121009"/>
    <w:rsid w:val="00121AE9"/>
    <w:rsid w:val="001232D8"/>
    <w:rsid w:val="00124E21"/>
    <w:rsid w:val="00125EE0"/>
    <w:rsid w:val="00127A53"/>
    <w:rsid w:val="00130FAF"/>
    <w:rsid w:val="0013434B"/>
    <w:rsid w:val="001353F9"/>
    <w:rsid w:val="00136D47"/>
    <w:rsid w:val="00141FB8"/>
    <w:rsid w:val="00142ADC"/>
    <w:rsid w:val="00142EA7"/>
    <w:rsid w:val="00144107"/>
    <w:rsid w:val="00144413"/>
    <w:rsid w:val="0014525D"/>
    <w:rsid w:val="00146CE3"/>
    <w:rsid w:val="001509C0"/>
    <w:rsid w:val="0015377B"/>
    <w:rsid w:val="00154543"/>
    <w:rsid w:val="00155B46"/>
    <w:rsid w:val="00156CBB"/>
    <w:rsid w:val="00160009"/>
    <w:rsid w:val="00160798"/>
    <w:rsid w:val="001607DF"/>
    <w:rsid w:val="00161758"/>
    <w:rsid w:val="00163689"/>
    <w:rsid w:val="00170F59"/>
    <w:rsid w:val="001728B0"/>
    <w:rsid w:val="00172E78"/>
    <w:rsid w:val="00176121"/>
    <w:rsid w:val="0018048F"/>
    <w:rsid w:val="00184D2B"/>
    <w:rsid w:val="001904C2"/>
    <w:rsid w:val="00195749"/>
    <w:rsid w:val="0019705D"/>
    <w:rsid w:val="0019738C"/>
    <w:rsid w:val="001A01BD"/>
    <w:rsid w:val="001A10FF"/>
    <w:rsid w:val="001A1A04"/>
    <w:rsid w:val="001A1B92"/>
    <w:rsid w:val="001A29CD"/>
    <w:rsid w:val="001A4391"/>
    <w:rsid w:val="001A7CF6"/>
    <w:rsid w:val="001B7493"/>
    <w:rsid w:val="001C065F"/>
    <w:rsid w:val="001C0C01"/>
    <w:rsid w:val="001C21B2"/>
    <w:rsid w:val="001C23E6"/>
    <w:rsid w:val="001C25AF"/>
    <w:rsid w:val="001C298F"/>
    <w:rsid w:val="001C363A"/>
    <w:rsid w:val="001C5B77"/>
    <w:rsid w:val="001D0396"/>
    <w:rsid w:val="001D1E05"/>
    <w:rsid w:val="001D20EB"/>
    <w:rsid w:val="001D2555"/>
    <w:rsid w:val="001D439B"/>
    <w:rsid w:val="001D5A0B"/>
    <w:rsid w:val="001D5C13"/>
    <w:rsid w:val="001D738B"/>
    <w:rsid w:val="001E0FF8"/>
    <w:rsid w:val="001E1616"/>
    <w:rsid w:val="001E398E"/>
    <w:rsid w:val="001E66B6"/>
    <w:rsid w:val="001F0AEA"/>
    <w:rsid w:val="001F11E5"/>
    <w:rsid w:val="001F2E11"/>
    <w:rsid w:val="001F2F38"/>
    <w:rsid w:val="001F5F6E"/>
    <w:rsid w:val="001F741B"/>
    <w:rsid w:val="00203B56"/>
    <w:rsid w:val="00203F00"/>
    <w:rsid w:val="0020539F"/>
    <w:rsid w:val="00206420"/>
    <w:rsid w:val="00207297"/>
    <w:rsid w:val="002075DA"/>
    <w:rsid w:val="00211113"/>
    <w:rsid w:val="00213C57"/>
    <w:rsid w:val="00214E36"/>
    <w:rsid w:val="00215B12"/>
    <w:rsid w:val="00217959"/>
    <w:rsid w:val="00223CCC"/>
    <w:rsid w:val="00223E5B"/>
    <w:rsid w:val="00224CBF"/>
    <w:rsid w:val="00241341"/>
    <w:rsid w:val="002439EE"/>
    <w:rsid w:val="00250084"/>
    <w:rsid w:val="002506A0"/>
    <w:rsid w:val="00250950"/>
    <w:rsid w:val="0025255C"/>
    <w:rsid w:val="00252DD5"/>
    <w:rsid w:val="00253653"/>
    <w:rsid w:val="00253B38"/>
    <w:rsid w:val="002540EE"/>
    <w:rsid w:val="002547DB"/>
    <w:rsid w:val="00254D53"/>
    <w:rsid w:val="00255D24"/>
    <w:rsid w:val="002569EF"/>
    <w:rsid w:val="002608D0"/>
    <w:rsid w:val="002618BE"/>
    <w:rsid w:val="002657AA"/>
    <w:rsid w:val="002667BE"/>
    <w:rsid w:val="00271E22"/>
    <w:rsid w:val="00273BE3"/>
    <w:rsid w:val="00275C44"/>
    <w:rsid w:val="00276F74"/>
    <w:rsid w:val="00277C92"/>
    <w:rsid w:val="002804FD"/>
    <w:rsid w:val="00281144"/>
    <w:rsid w:val="0028191C"/>
    <w:rsid w:val="00281FA0"/>
    <w:rsid w:val="002846AE"/>
    <w:rsid w:val="00284BCD"/>
    <w:rsid w:val="00290F54"/>
    <w:rsid w:val="002911DE"/>
    <w:rsid w:val="002931A6"/>
    <w:rsid w:val="00293464"/>
    <w:rsid w:val="002940F1"/>
    <w:rsid w:val="002957E3"/>
    <w:rsid w:val="00295C34"/>
    <w:rsid w:val="002A3329"/>
    <w:rsid w:val="002A3576"/>
    <w:rsid w:val="002A5968"/>
    <w:rsid w:val="002A62AD"/>
    <w:rsid w:val="002B017C"/>
    <w:rsid w:val="002B19B6"/>
    <w:rsid w:val="002B27D8"/>
    <w:rsid w:val="002B3AFB"/>
    <w:rsid w:val="002B6995"/>
    <w:rsid w:val="002C3AED"/>
    <w:rsid w:val="002C4B7A"/>
    <w:rsid w:val="002C51DC"/>
    <w:rsid w:val="002C57D5"/>
    <w:rsid w:val="002D798E"/>
    <w:rsid w:val="002E27DC"/>
    <w:rsid w:val="002E2893"/>
    <w:rsid w:val="002E2D27"/>
    <w:rsid w:val="002E5DB1"/>
    <w:rsid w:val="002E7E63"/>
    <w:rsid w:val="002F1227"/>
    <w:rsid w:val="002F2261"/>
    <w:rsid w:val="002F2A3A"/>
    <w:rsid w:val="002F2E5A"/>
    <w:rsid w:val="002F384E"/>
    <w:rsid w:val="002F585A"/>
    <w:rsid w:val="002F71F2"/>
    <w:rsid w:val="003008DE"/>
    <w:rsid w:val="00301026"/>
    <w:rsid w:val="00302B1E"/>
    <w:rsid w:val="00304233"/>
    <w:rsid w:val="00304F52"/>
    <w:rsid w:val="0030667C"/>
    <w:rsid w:val="00312907"/>
    <w:rsid w:val="00314BD3"/>
    <w:rsid w:val="00315CF2"/>
    <w:rsid w:val="00316663"/>
    <w:rsid w:val="003203A7"/>
    <w:rsid w:val="00320FEA"/>
    <w:rsid w:val="00321066"/>
    <w:rsid w:val="003229B8"/>
    <w:rsid w:val="003230B8"/>
    <w:rsid w:val="00324A38"/>
    <w:rsid w:val="00326D90"/>
    <w:rsid w:val="00326E2A"/>
    <w:rsid w:val="00340A64"/>
    <w:rsid w:val="00342671"/>
    <w:rsid w:val="00346BD5"/>
    <w:rsid w:val="00351588"/>
    <w:rsid w:val="00351FCC"/>
    <w:rsid w:val="003535F0"/>
    <w:rsid w:val="0036162C"/>
    <w:rsid w:val="0036208B"/>
    <w:rsid w:val="00362A93"/>
    <w:rsid w:val="00362F88"/>
    <w:rsid w:val="003666EE"/>
    <w:rsid w:val="00366B48"/>
    <w:rsid w:val="003672FF"/>
    <w:rsid w:val="003721D3"/>
    <w:rsid w:val="003749EB"/>
    <w:rsid w:val="0037692B"/>
    <w:rsid w:val="0038144B"/>
    <w:rsid w:val="00381A55"/>
    <w:rsid w:val="00382AF9"/>
    <w:rsid w:val="0038405B"/>
    <w:rsid w:val="0038582F"/>
    <w:rsid w:val="00385A9C"/>
    <w:rsid w:val="00386CD4"/>
    <w:rsid w:val="00387FE8"/>
    <w:rsid w:val="00390EE2"/>
    <w:rsid w:val="00393665"/>
    <w:rsid w:val="0039583E"/>
    <w:rsid w:val="003A38B9"/>
    <w:rsid w:val="003A4965"/>
    <w:rsid w:val="003A5DBD"/>
    <w:rsid w:val="003A5E60"/>
    <w:rsid w:val="003A62A2"/>
    <w:rsid w:val="003A6E7C"/>
    <w:rsid w:val="003B48BD"/>
    <w:rsid w:val="003B4C76"/>
    <w:rsid w:val="003B4CDB"/>
    <w:rsid w:val="003B4D1A"/>
    <w:rsid w:val="003B5735"/>
    <w:rsid w:val="003C26BB"/>
    <w:rsid w:val="003C4B2B"/>
    <w:rsid w:val="003C573F"/>
    <w:rsid w:val="003C6229"/>
    <w:rsid w:val="003C65F7"/>
    <w:rsid w:val="003D016D"/>
    <w:rsid w:val="003D0885"/>
    <w:rsid w:val="003D1883"/>
    <w:rsid w:val="003D43F0"/>
    <w:rsid w:val="003D468D"/>
    <w:rsid w:val="003D6388"/>
    <w:rsid w:val="003D74D3"/>
    <w:rsid w:val="003E3477"/>
    <w:rsid w:val="003E6F6D"/>
    <w:rsid w:val="003E758A"/>
    <w:rsid w:val="003F0947"/>
    <w:rsid w:val="003F1C82"/>
    <w:rsid w:val="003F252D"/>
    <w:rsid w:val="003F267E"/>
    <w:rsid w:val="003F327D"/>
    <w:rsid w:val="003F35E7"/>
    <w:rsid w:val="003F5C66"/>
    <w:rsid w:val="003F62F0"/>
    <w:rsid w:val="004017AD"/>
    <w:rsid w:val="00401BEE"/>
    <w:rsid w:val="00402571"/>
    <w:rsid w:val="004027F3"/>
    <w:rsid w:val="00402DC3"/>
    <w:rsid w:val="00406029"/>
    <w:rsid w:val="0040651F"/>
    <w:rsid w:val="004066E3"/>
    <w:rsid w:val="00407697"/>
    <w:rsid w:val="00414BE7"/>
    <w:rsid w:val="00417818"/>
    <w:rsid w:val="00420A5F"/>
    <w:rsid w:val="00420EFC"/>
    <w:rsid w:val="0042224A"/>
    <w:rsid w:val="0042360A"/>
    <w:rsid w:val="004251E7"/>
    <w:rsid w:val="004311F5"/>
    <w:rsid w:val="0043307F"/>
    <w:rsid w:val="00436C7F"/>
    <w:rsid w:val="0044183D"/>
    <w:rsid w:val="00441FB0"/>
    <w:rsid w:val="004427DD"/>
    <w:rsid w:val="00443AFE"/>
    <w:rsid w:val="0044404A"/>
    <w:rsid w:val="00445BDC"/>
    <w:rsid w:val="004503B7"/>
    <w:rsid w:val="004517D6"/>
    <w:rsid w:val="00451D2D"/>
    <w:rsid w:val="00454B1F"/>
    <w:rsid w:val="00454CB7"/>
    <w:rsid w:val="00454D0C"/>
    <w:rsid w:val="00455736"/>
    <w:rsid w:val="00457A81"/>
    <w:rsid w:val="00461C3C"/>
    <w:rsid w:val="00462D69"/>
    <w:rsid w:val="004631FF"/>
    <w:rsid w:val="00463509"/>
    <w:rsid w:val="00463C0F"/>
    <w:rsid w:val="00463C51"/>
    <w:rsid w:val="0046446F"/>
    <w:rsid w:val="00465EF2"/>
    <w:rsid w:val="004668AA"/>
    <w:rsid w:val="00467396"/>
    <w:rsid w:val="004715C4"/>
    <w:rsid w:val="0047219B"/>
    <w:rsid w:val="00474A2D"/>
    <w:rsid w:val="004760C4"/>
    <w:rsid w:val="004764F8"/>
    <w:rsid w:val="004803D2"/>
    <w:rsid w:val="00482612"/>
    <w:rsid w:val="00486A53"/>
    <w:rsid w:val="004906EC"/>
    <w:rsid w:val="0049207F"/>
    <w:rsid w:val="004938EB"/>
    <w:rsid w:val="004938EE"/>
    <w:rsid w:val="00493C61"/>
    <w:rsid w:val="00494AE4"/>
    <w:rsid w:val="004954C2"/>
    <w:rsid w:val="00495943"/>
    <w:rsid w:val="00496523"/>
    <w:rsid w:val="00496E73"/>
    <w:rsid w:val="004A2DAC"/>
    <w:rsid w:val="004A2E27"/>
    <w:rsid w:val="004A484A"/>
    <w:rsid w:val="004A55C1"/>
    <w:rsid w:val="004A5798"/>
    <w:rsid w:val="004A66A7"/>
    <w:rsid w:val="004B0A70"/>
    <w:rsid w:val="004B122C"/>
    <w:rsid w:val="004B29CB"/>
    <w:rsid w:val="004B319B"/>
    <w:rsid w:val="004B4A15"/>
    <w:rsid w:val="004C3E3B"/>
    <w:rsid w:val="004C7E04"/>
    <w:rsid w:val="004D1AB3"/>
    <w:rsid w:val="004D5315"/>
    <w:rsid w:val="004E10B0"/>
    <w:rsid w:val="004E274C"/>
    <w:rsid w:val="004E3F70"/>
    <w:rsid w:val="004E5FFA"/>
    <w:rsid w:val="004E67DB"/>
    <w:rsid w:val="004F18D8"/>
    <w:rsid w:val="004F337F"/>
    <w:rsid w:val="004F352F"/>
    <w:rsid w:val="004F53E3"/>
    <w:rsid w:val="004F7A15"/>
    <w:rsid w:val="005006D9"/>
    <w:rsid w:val="00500A4F"/>
    <w:rsid w:val="005031B8"/>
    <w:rsid w:val="005034A3"/>
    <w:rsid w:val="0050387F"/>
    <w:rsid w:val="0051140A"/>
    <w:rsid w:val="00513B8F"/>
    <w:rsid w:val="00515BB6"/>
    <w:rsid w:val="00516C30"/>
    <w:rsid w:val="005201D2"/>
    <w:rsid w:val="00523CD6"/>
    <w:rsid w:val="00525530"/>
    <w:rsid w:val="005259EF"/>
    <w:rsid w:val="00531921"/>
    <w:rsid w:val="005319AF"/>
    <w:rsid w:val="00532F1F"/>
    <w:rsid w:val="005336A5"/>
    <w:rsid w:val="00535F3D"/>
    <w:rsid w:val="005367BC"/>
    <w:rsid w:val="00537A04"/>
    <w:rsid w:val="005401E2"/>
    <w:rsid w:val="00540616"/>
    <w:rsid w:val="0054132D"/>
    <w:rsid w:val="00542D70"/>
    <w:rsid w:val="00542F01"/>
    <w:rsid w:val="00544ECA"/>
    <w:rsid w:val="00545192"/>
    <w:rsid w:val="00550F69"/>
    <w:rsid w:val="00552009"/>
    <w:rsid w:val="00552BFB"/>
    <w:rsid w:val="00552D8F"/>
    <w:rsid w:val="00552E26"/>
    <w:rsid w:val="00557305"/>
    <w:rsid w:val="00557FE1"/>
    <w:rsid w:val="00560280"/>
    <w:rsid w:val="00567947"/>
    <w:rsid w:val="00570747"/>
    <w:rsid w:val="00570974"/>
    <w:rsid w:val="00570F94"/>
    <w:rsid w:val="00571254"/>
    <w:rsid w:val="00571CCF"/>
    <w:rsid w:val="00572B57"/>
    <w:rsid w:val="00572DB2"/>
    <w:rsid w:val="00573729"/>
    <w:rsid w:val="00574D95"/>
    <w:rsid w:val="00574FF0"/>
    <w:rsid w:val="005828D2"/>
    <w:rsid w:val="005850AA"/>
    <w:rsid w:val="005860AB"/>
    <w:rsid w:val="00587BC9"/>
    <w:rsid w:val="005908E2"/>
    <w:rsid w:val="0059207D"/>
    <w:rsid w:val="00594C4E"/>
    <w:rsid w:val="005955FC"/>
    <w:rsid w:val="00595D97"/>
    <w:rsid w:val="00596B12"/>
    <w:rsid w:val="00596F44"/>
    <w:rsid w:val="00597201"/>
    <w:rsid w:val="00597A7A"/>
    <w:rsid w:val="00597AAE"/>
    <w:rsid w:val="005A1703"/>
    <w:rsid w:val="005A17D6"/>
    <w:rsid w:val="005B1112"/>
    <w:rsid w:val="005B5009"/>
    <w:rsid w:val="005B6C8E"/>
    <w:rsid w:val="005C07F6"/>
    <w:rsid w:val="005C0EFD"/>
    <w:rsid w:val="005C2416"/>
    <w:rsid w:val="005C28E8"/>
    <w:rsid w:val="005C4FC1"/>
    <w:rsid w:val="005C5ACA"/>
    <w:rsid w:val="005D00D8"/>
    <w:rsid w:val="005D186D"/>
    <w:rsid w:val="005D22C2"/>
    <w:rsid w:val="005D2F64"/>
    <w:rsid w:val="005D328F"/>
    <w:rsid w:val="005D388C"/>
    <w:rsid w:val="005D3A65"/>
    <w:rsid w:val="005D40A2"/>
    <w:rsid w:val="005D5B8E"/>
    <w:rsid w:val="005D77C7"/>
    <w:rsid w:val="005E012C"/>
    <w:rsid w:val="005E0699"/>
    <w:rsid w:val="005E1F8F"/>
    <w:rsid w:val="005E4282"/>
    <w:rsid w:val="005E56E3"/>
    <w:rsid w:val="005E638F"/>
    <w:rsid w:val="005E6BC6"/>
    <w:rsid w:val="005E7081"/>
    <w:rsid w:val="005E7878"/>
    <w:rsid w:val="005E7F4E"/>
    <w:rsid w:val="005F18C6"/>
    <w:rsid w:val="005F1A29"/>
    <w:rsid w:val="005F24FF"/>
    <w:rsid w:val="005F4032"/>
    <w:rsid w:val="005F4240"/>
    <w:rsid w:val="005F6BA5"/>
    <w:rsid w:val="006004EC"/>
    <w:rsid w:val="006043DD"/>
    <w:rsid w:val="006062EF"/>
    <w:rsid w:val="00606E17"/>
    <w:rsid w:val="00607763"/>
    <w:rsid w:val="00613E62"/>
    <w:rsid w:val="006142D8"/>
    <w:rsid w:val="006216AD"/>
    <w:rsid w:val="006239B1"/>
    <w:rsid w:val="00625672"/>
    <w:rsid w:val="00633980"/>
    <w:rsid w:val="006349C0"/>
    <w:rsid w:val="006355E0"/>
    <w:rsid w:val="006361FD"/>
    <w:rsid w:val="00636355"/>
    <w:rsid w:val="00637B4B"/>
    <w:rsid w:val="00640F11"/>
    <w:rsid w:val="00643235"/>
    <w:rsid w:val="00643FF1"/>
    <w:rsid w:val="0064612E"/>
    <w:rsid w:val="006511C6"/>
    <w:rsid w:val="006522A6"/>
    <w:rsid w:val="00653854"/>
    <w:rsid w:val="00654783"/>
    <w:rsid w:val="00654ECE"/>
    <w:rsid w:val="00655A99"/>
    <w:rsid w:val="00657075"/>
    <w:rsid w:val="00657260"/>
    <w:rsid w:val="0065763E"/>
    <w:rsid w:val="00660867"/>
    <w:rsid w:val="006643E4"/>
    <w:rsid w:val="0066639A"/>
    <w:rsid w:val="0067177A"/>
    <w:rsid w:val="00673980"/>
    <w:rsid w:val="00675EBD"/>
    <w:rsid w:val="0067614D"/>
    <w:rsid w:val="00676DA2"/>
    <w:rsid w:val="00677348"/>
    <w:rsid w:val="00681871"/>
    <w:rsid w:val="00685A7D"/>
    <w:rsid w:val="00687B5C"/>
    <w:rsid w:val="00690F2A"/>
    <w:rsid w:val="00692E28"/>
    <w:rsid w:val="00694D87"/>
    <w:rsid w:val="006956A9"/>
    <w:rsid w:val="00697C9E"/>
    <w:rsid w:val="006A0761"/>
    <w:rsid w:val="006A08C3"/>
    <w:rsid w:val="006A20DD"/>
    <w:rsid w:val="006A2EF4"/>
    <w:rsid w:val="006A4DC6"/>
    <w:rsid w:val="006A59C4"/>
    <w:rsid w:val="006A78AC"/>
    <w:rsid w:val="006B0C17"/>
    <w:rsid w:val="006B184C"/>
    <w:rsid w:val="006B2682"/>
    <w:rsid w:val="006B56AD"/>
    <w:rsid w:val="006B6C77"/>
    <w:rsid w:val="006C297C"/>
    <w:rsid w:val="006C2F67"/>
    <w:rsid w:val="006C3BF7"/>
    <w:rsid w:val="006C5F67"/>
    <w:rsid w:val="006C7130"/>
    <w:rsid w:val="006D26E6"/>
    <w:rsid w:val="006D40D4"/>
    <w:rsid w:val="006D422F"/>
    <w:rsid w:val="006E1C6C"/>
    <w:rsid w:val="006E2A4A"/>
    <w:rsid w:val="006E41F1"/>
    <w:rsid w:val="006E6047"/>
    <w:rsid w:val="006E6B3E"/>
    <w:rsid w:val="006F2515"/>
    <w:rsid w:val="006F264D"/>
    <w:rsid w:val="006F63EC"/>
    <w:rsid w:val="006F7876"/>
    <w:rsid w:val="0070033D"/>
    <w:rsid w:val="00701EA3"/>
    <w:rsid w:val="00703B35"/>
    <w:rsid w:val="00711C11"/>
    <w:rsid w:val="00714DB7"/>
    <w:rsid w:val="007157F7"/>
    <w:rsid w:val="00720EB3"/>
    <w:rsid w:val="007238B4"/>
    <w:rsid w:val="00725281"/>
    <w:rsid w:val="00731AD2"/>
    <w:rsid w:val="00734397"/>
    <w:rsid w:val="00742E86"/>
    <w:rsid w:val="007430DE"/>
    <w:rsid w:val="00744521"/>
    <w:rsid w:val="00746C5E"/>
    <w:rsid w:val="0075019D"/>
    <w:rsid w:val="00751788"/>
    <w:rsid w:val="00752785"/>
    <w:rsid w:val="00752B5A"/>
    <w:rsid w:val="007532D3"/>
    <w:rsid w:val="00753E80"/>
    <w:rsid w:val="00754833"/>
    <w:rsid w:val="007552AA"/>
    <w:rsid w:val="00760C22"/>
    <w:rsid w:val="00761539"/>
    <w:rsid w:val="00761C0B"/>
    <w:rsid w:val="00762726"/>
    <w:rsid w:val="0077168C"/>
    <w:rsid w:val="00771E55"/>
    <w:rsid w:val="007723D2"/>
    <w:rsid w:val="00774B16"/>
    <w:rsid w:val="007760CC"/>
    <w:rsid w:val="00777083"/>
    <w:rsid w:val="007805FB"/>
    <w:rsid w:val="007813A3"/>
    <w:rsid w:val="00782F9B"/>
    <w:rsid w:val="0078356C"/>
    <w:rsid w:val="007840E8"/>
    <w:rsid w:val="007843B0"/>
    <w:rsid w:val="007854AE"/>
    <w:rsid w:val="00787E11"/>
    <w:rsid w:val="00795D7D"/>
    <w:rsid w:val="007967B8"/>
    <w:rsid w:val="007972C5"/>
    <w:rsid w:val="007972CF"/>
    <w:rsid w:val="007973F9"/>
    <w:rsid w:val="00797A79"/>
    <w:rsid w:val="00797EB5"/>
    <w:rsid w:val="00797FDB"/>
    <w:rsid w:val="007A1BCC"/>
    <w:rsid w:val="007A29B7"/>
    <w:rsid w:val="007A4344"/>
    <w:rsid w:val="007A61A2"/>
    <w:rsid w:val="007B2C6E"/>
    <w:rsid w:val="007B33DF"/>
    <w:rsid w:val="007B4BFF"/>
    <w:rsid w:val="007B6796"/>
    <w:rsid w:val="007C386C"/>
    <w:rsid w:val="007C3F56"/>
    <w:rsid w:val="007C4C8E"/>
    <w:rsid w:val="007C6A7D"/>
    <w:rsid w:val="007C6AA8"/>
    <w:rsid w:val="007C7457"/>
    <w:rsid w:val="007C7D74"/>
    <w:rsid w:val="007D490B"/>
    <w:rsid w:val="007D65FF"/>
    <w:rsid w:val="007D6DD8"/>
    <w:rsid w:val="007E1303"/>
    <w:rsid w:val="007E17DF"/>
    <w:rsid w:val="007E4A75"/>
    <w:rsid w:val="007E53FA"/>
    <w:rsid w:val="007E6820"/>
    <w:rsid w:val="007E6E1C"/>
    <w:rsid w:val="007F5BAE"/>
    <w:rsid w:val="007F6C42"/>
    <w:rsid w:val="008016BA"/>
    <w:rsid w:val="00801FE8"/>
    <w:rsid w:val="008062B5"/>
    <w:rsid w:val="008109BA"/>
    <w:rsid w:val="00810D79"/>
    <w:rsid w:val="008112B0"/>
    <w:rsid w:val="00811DA9"/>
    <w:rsid w:val="00811E46"/>
    <w:rsid w:val="008157D8"/>
    <w:rsid w:val="0081620C"/>
    <w:rsid w:val="00816845"/>
    <w:rsid w:val="00817128"/>
    <w:rsid w:val="00817843"/>
    <w:rsid w:val="008201FF"/>
    <w:rsid w:val="00822F1B"/>
    <w:rsid w:val="008232AD"/>
    <w:rsid w:val="0082343B"/>
    <w:rsid w:val="0082376F"/>
    <w:rsid w:val="008242C1"/>
    <w:rsid w:val="008245FC"/>
    <w:rsid w:val="00825D79"/>
    <w:rsid w:val="00826F30"/>
    <w:rsid w:val="00827EBE"/>
    <w:rsid w:val="00833827"/>
    <w:rsid w:val="00834640"/>
    <w:rsid w:val="0083632F"/>
    <w:rsid w:val="00836F1A"/>
    <w:rsid w:val="008370A5"/>
    <w:rsid w:val="00837499"/>
    <w:rsid w:val="00840220"/>
    <w:rsid w:val="00840C97"/>
    <w:rsid w:val="00841465"/>
    <w:rsid w:val="00841D8E"/>
    <w:rsid w:val="008432B8"/>
    <w:rsid w:val="00844240"/>
    <w:rsid w:val="00844F0C"/>
    <w:rsid w:val="008503AB"/>
    <w:rsid w:val="00850837"/>
    <w:rsid w:val="008510F4"/>
    <w:rsid w:val="0085166F"/>
    <w:rsid w:val="00852065"/>
    <w:rsid w:val="00852DF8"/>
    <w:rsid w:val="00853638"/>
    <w:rsid w:val="00854E25"/>
    <w:rsid w:val="00854F6D"/>
    <w:rsid w:val="00860794"/>
    <w:rsid w:val="008629B5"/>
    <w:rsid w:val="00863A8B"/>
    <w:rsid w:val="00871657"/>
    <w:rsid w:val="008746DE"/>
    <w:rsid w:val="00874A68"/>
    <w:rsid w:val="00876A81"/>
    <w:rsid w:val="0088082A"/>
    <w:rsid w:val="00882EE5"/>
    <w:rsid w:val="00885182"/>
    <w:rsid w:val="00887F49"/>
    <w:rsid w:val="00890515"/>
    <w:rsid w:val="008910FF"/>
    <w:rsid w:val="00891BB6"/>
    <w:rsid w:val="00891D0C"/>
    <w:rsid w:val="00892ED3"/>
    <w:rsid w:val="0089491F"/>
    <w:rsid w:val="00895B82"/>
    <w:rsid w:val="008A22E7"/>
    <w:rsid w:val="008A44AB"/>
    <w:rsid w:val="008A44E0"/>
    <w:rsid w:val="008A4B01"/>
    <w:rsid w:val="008A4F84"/>
    <w:rsid w:val="008A554F"/>
    <w:rsid w:val="008A5BFF"/>
    <w:rsid w:val="008A5F7B"/>
    <w:rsid w:val="008B22AA"/>
    <w:rsid w:val="008B2E5B"/>
    <w:rsid w:val="008B2F78"/>
    <w:rsid w:val="008B2F91"/>
    <w:rsid w:val="008B45CF"/>
    <w:rsid w:val="008B506D"/>
    <w:rsid w:val="008C2813"/>
    <w:rsid w:val="008C2932"/>
    <w:rsid w:val="008C2D70"/>
    <w:rsid w:val="008C3E1D"/>
    <w:rsid w:val="008C488A"/>
    <w:rsid w:val="008D09E8"/>
    <w:rsid w:val="008D0BB3"/>
    <w:rsid w:val="008D0CD5"/>
    <w:rsid w:val="008D0ED7"/>
    <w:rsid w:val="008D2EC4"/>
    <w:rsid w:val="008D4F35"/>
    <w:rsid w:val="008D67C1"/>
    <w:rsid w:val="008D7FEC"/>
    <w:rsid w:val="008E0A91"/>
    <w:rsid w:val="008E2AD1"/>
    <w:rsid w:val="008E3415"/>
    <w:rsid w:val="008E4B3D"/>
    <w:rsid w:val="008E5000"/>
    <w:rsid w:val="008F0AAC"/>
    <w:rsid w:val="008F2B5E"/>
    <w:rsid w:val="008F6A97"/>
    <w:rsid w:val="008F7A38"/>
    <w:rsid w:val="00900B33"/>
    <w:rsid w:val="00901A4F"/>
    <w:rsid w:val="0090242D"/>
    <w:rsid w:val="009031B0"/>
    <w:rsid w:val="0090363C"/>
    <w:rsid w:val="00905696"/>
    <w:rsid w:val="0090580B"/>
    <w:rsid w:val="00905911"/>
    <w:rsid w:val="00906EB5"/>
    <w:rsid w:val="00910FBD"/>
    <w:rsid w:val="00911073"/>
    <w:rsid w:val="00911258"/>
    <w:rsid w:val="0091494C"/>
    <w:rsid w:val="009208B3"/>
    <w:rsid w:val="00920F07"/>
    <w:rsid w:val="009218FF"/>
    <w:rsid w:val="00922608"/>
    <w:rsid w:val="0092302B"/>
    <w:rsid w:val="00923478"/>
    <w:rsid w:val="00926944"/>
    <w:rsid w:val="0092703C"/>
    <w:rsid w:val="00927EAC"/>
    <w:rsid w:val="0093276D"/>
    <w:rsid w:val="0093316F"/>
    <w:rsid w:val="0094369E"/>
    <w:rsid w:val="009455C8"/>
    <w:rsid w:val="009502C0"/>
    <w:rsid w:val="009515A5"/>
    <w:rsid w:val="00952CAB"/>
    <w:rsid w:val="00952EFD"/>
    <w:rsid w:val="009543E9"/>
    <w:rsid w:val="00955369"/>
    <w:rsid w:val="009561E6"/>
    <w:rsid w:val="009604C5"/>
    <w:rsid w:val="009615E5"/>
    <w:rsid w:val="00961B3C"/>
    <w:rsid w:val="0096300F"/>
    <w:rsid w:val="00966A8D"/>
    <w:rsid w:val="0097188C"/>
    <w:rsid w:val="009721DC"/>
    <w:rsid w:val="00972FC7"/>
    <w:rsid w:val="00974760"/>
    <w:rsid w:val="009749D6"/>
    <w:rsid w:val="009777B9"/>
    <w:rsid w:val="00982684"/>
    <w:rsid w:val="00982989"/>
    <w:rsid w:val="00983382"/>
    <w:rsid w:val="0098428D"/>
    <w:rsid w:val="0098492E"/>
    <w:rsid w:val="009855E7"/>
    <w:rsid w:val="00986C4B"/>
    <w:rsid w:val="0099050E"/>
    <w:rsid w:val="0099097B"/>
    <w:rsid w:val="00991598"/>
    <w:rsid w:val="00993280"/>
    <w:rsid w:val="00996123"/>
    <w:rsid w:val="009A076A"/>
    <w:rsid w:val="009A7CCC"/>
    <w:rsid w:val="009B053B"/>
    <w:rsid w:val="009B0813"/>
    <w:rsid w:val="009B1D8C"/>
    <w:rsid w:val="009B2567"/>
    <w:rsid w:val="009B57B1"/>
    <w:rsid w:val="009B5DDB"/>
    <w:rsid w:val="009B5E12"/>
    <w:rsid w:val="009B62FC"/>
    <w:rsid w:val="009C2C40"/>
    <w:rsid w:val="009C543B"/>
    <w:rsid w:val="009C58CC"/>
    <w:rsid w:val="009C6AB0"/>
    <w:rsid w:val="009C71D0"/>
    <w:rsid w:val="009D144E"/>
    <w:rsid w:val="009D29DB"/>
    <w:rsid w:val="009D3389"/>
    <w:rsid w:val="009D4B57"/>
    <w:rsid w:val="009D503D"/>
    <w:rsid w:val="009D7C61"/>
    <w:rsid w:val="009D7D1A"/>
    <w:rsid w:val="009E29D5"/>
    <w:rsid w:val="009E32F4"/>
    <w:rsid w:val="009E4CDD"/>
    <w:rsid w:val="009E5673"/>
    <w:rsid w:val="009E6E68"/>
    <w:rsid w:val="009F1E68"/>
    <w:rsid w:val="009F42C1"/>
    <w:rsid w:val="009F4554"/>
    <w:rsid w:val="009F797B"/>
    <w:rsid w:val="00A00755"/>
    <w:rsid w:val="00A00838"/>
    <w:rsid w:val="00A0163C"/>
    <w:rsid w:val="00A01B15"/>
    <w:rsid w:val="00A026A4"/>
    <w:rsid w:val="00A03150"/>
    <w:rsid w:val="00A03722"/>
    <w:rsid w:val="00A03D51"/>
    <w:rsid w:val="00A043DC"/>
    <w:rsid w:val="00A06F31"/>
    <w:rsid w:val="00A10B62"/>
    <w:rsid w:val="00A10F40"/>
    <w:rsid w:val="00A11457"/>
    <w:rsid w:val="00A11E2C"/>
    <w:rsid w:val="00A1286D"/>
    <w:rsid w:val="00A14DF4"/>
    <w:rsid w:val="00A151D0"/>
    <w:rsid w:val="00A15D3C"/>
    <w:rsid w:val="00A15EC4"/>
    <w:rsid w:val="00A165BB"/>
    <w:rsid w:val="00A16C2F"/>
    <w:rsid w:val="00A2025E"/>
    <w:rsid w:val="00A20349"/>
    <w:rsid w:val="00A21874"/>
    <w:rsid w:val="00A228DE"/>
    <w:rsid w:val="00A22E0A"/>
    <w:rsid w:val="00A247B1"/>
    <w:rsid w:val="00A274C2"/>
    <w:rsid w:val="00A31D51"/>
    <w:rsid w:val="00A32EC7"/>
    <w:rsid w:val="00A339CC"/>
    <w:rsid w:val="00A3448D"/>
    <w:rsid w:val="00A347CD"/>
    <w:rsid w:val="00A35DC8"/>
    <w:rsid w:val="00A36124"/>
    <w:rsid w:val="00A377C0"/>
    <w:rsid w:val="00A37CC0"/>
    <w:rsid w:val="00A40B67"/>
    <w:rsid w:val="00A40E32"/>
    <w:rsid w:val="00A467A3"/>
    <w:rsid w:val="00A47B74"/>
    <w:rsid w:val="00A5210F"/>
    <w:rsid w:val="00A53D7C"/>
    <w:rsid w:val="00A5527F"/>
    <w:rsid w:val="00A55CCC"/>
    <w:rsid w:val="00A5645B"/>
    <w:rsid w:val="00A640FC"/>
    <w:rsid w:val="00A6480F"/>
    <w:rsid w:val="00A65E0B"/>
    <w:rsid w:val="00A676B7"/>
    <w:rsid w:val="00A71A92"/>
    <w:rsid w:val="00A71C0D"/>
    <w:rsid w:val="00A747B5"/>
    <w:rsid w:val="00A74ACC"/>
    <w:rsid w:val="00A75336"/>
    <w:rsid w:val="00A75576"/>
    <w:rsid w:val="00A75BEE"/>
    <w:rsid w:val="00A80A44"/>
    <w:rsid w:val="00A8205C"/>
    <w:rsid w:val="00A822ED"/>
    <w:rsid w:val="00A846B9"/>
    <w:rsid w:val="00A84D8A"/>
    <w:rsid w:val="00A86B05"/>
    <w:rsid w:val="00A90ABE"/>
    <w:rsid w:val="00A90BD7"/>
    <w:rsid w:val="00A91D36"/>
    <w:rsid w:val="00A93E91"/>
    <w:rsid w:val="00A943AD"/>
    <w:rsid w:val="00A94A33"/>
    <w:rsid w:val="00A95519"/>
    <w:rsid w:val="00A96B69"/>
    <w:rsid w:val="00A96D3B"/>
    <w:rsid w:val="00A971B2"/>
    <w:rsid w:val="00A9720A"/>
    <w:rsid w:val="00A978B2"/>
    <w:rsid w:val="00A97E2A"/>
    <w:rsid w:val="00A97FA8"/>
    <w:rsid w:val="00AA132E"/>
    <w:rsid w:val="00AA2FF9"/>
    <w:rsid w:val="00AB5196"/>
    <w:rsid w:val="00AC01EB"/>
    <w:rsid w:val="00AC1156"/>
    <w:rsid w:val="00AC20C5"/>
    <w:rsid w:val="00AC20F5"/>
    <w:rsid w:val="00AC4630"/>
    <w:rsid w:val="00AC5ABF"/>
    <w:rsid w:val="00AC6500"/>
    <w:rsid w:val="00AD1ACF"/>
    <w:rsid w:val="00AD24D8"/>
    <w:rsid w:val="00AD3255"/>
    <w:rsid w:val="00AD32D1"/>
    <w:rsid w:val="00AD60E7"/>
    <w:rsid w:val="00AD6735"/>
    <w:rsid w:val="00AE0717"/>
    <w:rsid w:val="00AE266E"/>
    <w:rsid w:val="00AE2B59"/>
    <w:rsid w:val="00AE3229"/>
    <w:rsid w:val="00AF13B4"/>
    <w:rsid w:val="00AF13B7"/>
    <w:rsid w:val="00AF1C6C"/>
    <w:rsid w:val="00AF26FE"/>
    <w:rsid w:val="00AF4646"/>
    <w:rsid w:val="00AF4E57"/>
    <w:rsid w:val="00AF6371"/>
    <w:rsid w:val="00AF7A2A"/>
    <w:rsid w:val="00AF7B54"/>
    <w:rsid w:val="00B010B1"/>
    <w:rsid w:val="00B01529"/>
    <w:rsid w:val="00B0206A"/>
    <w:rsid w:val="00B05016"/>
    <w:rsid w:val="00B06090"/>
    <w:rsid w:val="00B06844"/>
    <w:rsid w:val="00B06B97"/>
    <w:rsid w:val="00B06D11"/>
    <w:rsid w:val="00B077D5"/>
    <w:rsid w:val="00B1090C"/>
    <w:rsid w:val="00B10F57"/>
    <w:rsid w:val="00B12416"/>
    <w:rsid w:val="00B13BE6"/>
    <w:rsid w:val="00B16C72"/>
    <w:rsid w:val="00B170E6"/>
    <w:rsid w:val="00B170F5"/>
    <w:rsid w:val="00B20D70"/>
    <w:rsid w:val="00B2251F"/>
    <w:rsid w:val="00B23B64"/>
    <w:rsid w:val="00B245EB"/>
    <w:rsid w:val="00B30C51"/>
    <w:rsid w:val="00B32D8E"/>
    <w:rsid w:val="00B34EDA"/>
    <w:rsid w:val="00B35A4F"/>
    <w:rsid w:val="00B35ED4"/>
    <w:rsid w:val="00B400C6"/>
    <w:rsid w:val="00B418B6"/>
    <w:rsid w:val="00B429E4"/>
    <w:rsid w:val="00B43E6D"/>
    <w:rsid w:val="00B44B29"/>
    <w:rsid w:val="00B47FE5"/>
    <w:rsid w:val="00B529A1"/>
    <w:rsid w:val="00B52B01"/>
    <w:rsid w:val="00B5405B"/>
    <w:rsid w:val="00B542B3"/>
    <w:rsid w:val="00B543C9"/>
    <w:rsid w:val="00B54759"/>
    <w:rsid w:val="00B567B2"/>
    <w:rsid w:val="00B573B6"/>
    <w:rsid w:val="00B610B0"/>
    <w:rsid w:val="00B61158"/>
    <w:rsid w:val="00B61400"/>
    <w:rsid w:val="00B61ECA"/>
    <w:rsid w:val="00B62EAD"/>
    <w:rsid w:val="00B63566"/>
    <w:rsid w:val="00B64310"/>
    <w:rsid w:val="00B64C92"/>
    <w:rsid w:val="00B6594E"/>
    <w:rsid w:val="00B6628D"/>
    <w:rsid w:val="00B665DB"/>
    <w:rsid w:val="00B66E06"/>
    <w:rsid w:val="00B727A9"/>
    <w:rsid w:val="00B73150"/>
    <w:rsid w:val="00B77658"/>
    <w:rsid w:val="00B7792B"/>
    <w:rsid w:val="00B804CF"/>
    <w:rsid w:val="00B825C6"/>
    <w:rsid w:val="00B85091"/>
    <w:rsid w:val="00B91A2C"/>
    <w:rsid w:val="00B96B8B"/>
    <w:rsid w:val="00B97BFD"/>
    <w:rsid w:val="00BA006F"/>
    <w:rsid w:val="00BA0B66"/>
    <w:rsid w:val="00BA200E"/>
    <w:rsid w:val="00BA3423"/>
    <w:rsid w:val="00BA4915"/>
    <w:rsid w:val="00BB2C07"/>
    <w:rsid w:val="00BB3CAB"/>
    <w:rsid w:val="00BB4E2B"/>
    <w:rsid w:val="00BB6A96"/>
    <w:rsid w:val="00BB6DBC"/>
    <w:rsid w:val="00BB748D"/>
    <w:rsid w:val="00BC1DE9"/>
    <w:rsid w:val="00BC34DF"/>
    <w:rsid w:val="00BC3D25"/>
    <w:rsid w:val="00BC50C0"/>
    <w:rsid w:val="00BC55E7"/>
    <w:rsid w:val="00BC6CC3"/>
    <w:rsid w:val="00BC736F"/>
    <w:rsid w:val="00BC7949"/>
    <w:rsid w:val="00BD1A0D"/>
    <w:rsid w:val="00BD235B"/>
    <w:rsid w:val="00BD558F"/>
    <w:rsid w:val="00BD6041"/>
    <w:rsid w:val="00BD74CC"/>
    <w:rsid w:val="00BE473D"/>
    <w:rsid w:val="00BE48BB"/>
    <w:rsid w:val="00BF2BFE"/>
    <w:rsid w:val="00BF4368"/>
    <w:rsid w:val="00BF534F"/>
    <w:rsid w:val="00C01634"/>
    <w:rsid w:val="00C016DD"/>
    <w:rsid w:val="00C0348D"/>
    <w:rsid w:val="00C06B80"/>
    <w:rsid w:val="00C12506"/>
    <w:rsid w:val="00C166B3"/>
    <w:rsid w:val="00C22239"/>
    <w:rsid w:val="00C22249"/>
    <w:rsid w:val="00C22F32"/>
    <w:rsid w:val="00C23345"/>
    <w:rsid w:val="00C234C3"/>
    <w:rsid w:val="00C23EC0"/>
    <w:rsid w:val="00C24096"/>
    <w:rsid w:val="00C26B34"/>
    <w:rsid w:val="00C308EB"/>
    <w:rsid w:val="00C3234E"/>
    <w:rsid w:val="00C32BC2"/>
    <w:rsid w:val="00C334E7"/>
    <w:rsid w:val="00C351FB"/>
    <w:rsid w:val="00C36BF0"/>
    <w:rsid w:val="00C41212"/>
    <w:rsid w:val="00C42717"/>
    <w:rsid w:val="00C436B0"/>
    <w:rsid w:val="00C43A5A"/>
    <w:rsid w:val="00C44127"/>
    <w:rsid w:val="00C44896"/>
    <w:rsid w:val="00C44A11"/>
    <w:rsid w:val="00C45E82"/>
    <w:rsid w:val="00C4634D"/>
    <w:rsid w:val="00C46A80"/>
    <w:rsid w:val="00C46DB7"/>
    <w:rsid w:val="00C46DF0"/>
    <w:rsid w:val="00C47C88"/>
    <w:rsid w:val="00C5152B"/>
    <w:rsid w:val="00C51B73"/>
    <w:rsid w:val="00C53A14"/>
    <w:rsid w:val="00C562E7"/>
    <w:rsid w:val="00C62A56"/>
    <w:rsid w:val="00C636D7"/>
    <w:rsid w:val="00C63DE4"/>
    <w:rsid w:val="00C72891"/>
    <w:rsid w:val="00C82933"/>
    <w:rsid w:val="00C82F2B"/>
    <w:rsid w:val="00C85D49"/>
    <w:rsid w:val="00C85D60"/>
    <w:rsid w:val="00C8798C"/>
    <w:rsid w:val="00C91A36"/>
    <w:rsid w:val="00C91AE7"/>
    <w:rsid w:val="00C92761"/>
    <w:rsid w:val="00C92C34"/>
    <w:rsid w:val="00C93D40"/>
    <w:rsid w:val="00C93E68"/>
    <w:rsid w:val="00C94263"/>
    <w:rsid w:val="00C95911"/>
    <w:rsid w:val="00C95B5A"/>
    <w:rsid w:val="00C97269"/>
    <w:rsid w:val="00CA0286"/>
    <w:rsid w:val="00CA3F37"/>
    <w:rsid w:val="00CA5CD2"/>
    <w:rsid w:val="00CA5E25"/>
    <w:rsid w:val="00CA7295"/>
    <w:rsid w:val="00CA7FA1"/>
    <w:rsid w:val="00CB0BFE"/>
    <w:rsid w:val="00CB3A38"/>
    <w:rsid w:val="00CB5C5E"/>
    <w:rsid w:val="00CB6009"/>
    <w:rsid w:val="00CB6996"/>
    <w:rsid w:val="00CB7886"/>
    <w:rsid w:val="00CC0A3A"/>
    <w:rsid w:val="00CC2111"/>
    <w:rsid w:val="00CC2E0E"/>
    <w:rsid w:val="00CC3F81"/>
    <w:rsid w:val="00CC6B78"/>
    <w:rsid w:val="00CD14AB"/>
    <w:rsid w:val="00CD3BE9"/>
    <w:rsid w:val="00CD7133"/>
    <w:rsid w:val="00CD7333"/>
    <w:rsid w:val="00CD7BE1"/>
    <w:rsid w:val="00CE0BDA"/>
    <w:rsid w:val="00CE2E4E"/>
    <w:rsid w:val="00CE451C"/>
    <w:rsid w:val="00CE4C70"/>
    <w:rsid w:val="00CE58F4"/>
    <w:rsid w:val="00CF292F"/>
    <w:rsid w:val="00CF2DAB"/>
    <w:rsid w:val="00CF4047"/>
    <w:rsid w:val="00CF5D96"/>
    <w:rsid w:val="00CF7F97"/>
    <w:rsid w:val="00D01637"/>
    <w:rsid w:val="00D01F5E"/>
    <w:rsid w:val="00D025A5"/>
    <w:rsid w:val="00D03381"/>
    <w:rsid w:val="00D0515E"/>
    <w:rsid w:val="00D07786"/>
    <w:rsid w:val="00D114A8"/>
    <w:rsid w:val="00D11F2B"/>
    <w:rsid w:val="00D136BE"/>
    <w:rsid w:val="00D1674F"/>
    <w:rsid w:val="00D219F3"/>
    <w:rsid w:val="00D2270E"/>
    <w:rsid w:val="00D25151"/>
    <w:rsid w:val="00D25664"/>
    <w:rsid w:val="00D25D48"/>
    <w:rsid w:val="00D26D98"/>
    <w:rsid w:val="00D2722A"/>
    <w:rsid w:val="00D27EFC"/>
    <w:rsid w:val="00D31610"/>
    <w:rsid w:val="00D32A18"/>
    <w:rsid w:val="00D35F5D"/>
    <w:rsid w:val="00D37153"/>
    <w:rsid w:val="00D40D26"/>
    <w:rsid w:val="00D41081"/>
    <w:rsid w:val="00D41913"/>
    <w:rsid w:val="00D41EC6"/>
    <w:rsid w:val="00D4280C"/>
    <w:rsid w:val="00D46262"/>
    <w:rsid w:val="00D46319"/>
    <w:rsid w:val="00D47985"/>
    <w:rsid w:val="00D51FDB"/>
    <w:rsid w:val="00D54B44"/>
    <w:rsid w:val="00D5585E"/>
    <w:rsid w:val="00D55C79"/>
    <w:rsid w:val="00D6048A"/>
    <w:rsid w:val="00D63C6C"/>
    <w:rsid w:val="00D6522F"/>
    <w:rsid w:val="00D65345"/>
    <w:rsid w:val="00D654EB"/>
    <w:rsid w:val="00D66734"/>
    <w:rsid w:val="00D6674E"/>
    <w:rsid w:val="00D66B48"/>
    <w:rsid w:val="00D66E5C"/>
    <w:rsid w:val="00D71790"/>
    <w:rsid w:val="00D72098"/>
    <w:rsid w:val="00D74673"/>
    <w:rsid w:val="00D74B8E"/>
    <w:rsid w:val="00D810E1"/>
    <w:rsid w:val="00D81488"/>
    <w:rsid w:val="00D81DE4"/>
    <w:rsid w:val="00D831A2"/>
    <w:rsid w:val="00D85B63"/>
    <w:rsid w:val="00D931BF"/>
    <w:rsid w:val="00D933BA"/>
    <w:rsid w:val="00D93AA3"/>
    <w:rsid w:val="00D93E1D"/>
    <w:rsid w:val="00D9638C"/>
    <w:rsid w:val="00D97F1C"/>
    <w:rsid w:val="00DA2ECD"/>
    <w:rsid w:val="00DA3972"/>
    <w:rsid w:val="00DA3EC5"/>
    <w:rsid w:val="00DA4349"/>
    <w:rsid w:val="00DA53E7"/>
    <w:rsid w:val="00DA621B"/>
    <w:rsid w:val="00DA64E0"/>
    <w:rsid w:val="00DB0EE3"/>
    <w:rsid w:val="00DB2464"/>
    <w:rsid w:val="00DB36FC"/>
    <w:rsid w:val="00DB3BB5"/>
    <w:rsid w:val="00DB5CE3"/>
    <w:rsid w:val="00DB6B13"/>
    <w:rsid w:val="00DB7721"/>
    <w:rsid w:val="00DC0DBC"/>
    <w:rsid w:val="00DC1AA5"/>
    <w:rsid w:val="00DC279F"/>
    <w:rsid w:val="00DC299F"/>
    <w:rsid w:val="00DC2ECE"/>
    <w:rsid w:val="00DC3930"/>
    <w:rsid w:val="00DC4309"/>
    <w:rsid w:val="00DC4B7B"/>
    <w:rsid w:val="00DC725B"/>
    <w:rsid w:val="00DC7DE9"/>
    <w:rsid w:val="00DD28EF"/>
    <w:rsid w:val="00DD2D5A"/>
    <w:rsid w:val="00DD3A14"/>
    <w:rsid w:val="00DD5A3F"/>
    <w:rsid w:val="00DD74EB"/>
    <w:rsid w:val="00DD7C6D"/>
    <w:rsid w:val="00DE0575"/>
    <w:rsid w:val="00DE209F"/>
    <w:rsid w:val="00DE35BB"/>
    <w:rsid w:val="00DE796B"/>
    <w:rsid w:val="00DE7D5C"/>
    <w:rsid w:val="00DF1861"/>
    <w:rsid w:val="00DF2B0A"/>
    <w:rsid w:val="00DF3E55"/>
    <w:rsid w:val="00DF587B"/>
    <w:rsid w:val="00DF5FBA"/>
    <w:rsid w:val="00E01EAD"/>
    <w:rsid w:val="00E04AFD"/>
    <w:rsid w:val="00E07783"/>
    <w:rsid w:val="00E107CA"/>
    <w:rsid w:val="00E110E1"/>
    <w:rsid w:val="00E15B04"/>
    <w:rsid w:val="00E209AD"/>
    <w:rsid w:val="00E213AB"/>
    <w:rsid w:val="00E23009"/>
    <w:rsid w:val="00E2512D"/>
    <w:rsid w:val="00E25CC1"/>
    <w:rsid w:val="00E260AC"/>
    <w:rsid w:val="00E309DB"/>
    <w:rsid w:val="00E30D91"/>
    <w:rsid w:val="00E32060"/>
    <w:rsid w:val="00E320CD"/>
    <w:rsid w:val="00E34737"/>
    <w:rsid w:val="00E36E90"/>
    <w:rsid w:val="00E414D7"/>
    <w:rsid w:val="00E435FA"/>
    <w:rsid w:val="00E471DB"/>
    <w:rsid w:val="00E54118"/>
    <w:rsid w:val="00E554AA"/>
    <w:rsid w:val="00E56175"/>
    <w:rsid w:val="00E62017"/>
    <w:rsid w:val="00E63972"/>
    <w:rsid w:val="00E65DD2"/>
    <w:rsid w:val="00E66D98"/>
    <w:rsid w:val="00E72CB6"/>
    <w:rsid w:val="00E74617"/>
    <w:rsid w:val="00E76084"/>
    <w:rsid w:val="00E7747B"/>
    <w:rsid w:val="00E813AA"/>
    <w:rsid w:val="00E83CA3"/>
    <w:rsid w:val="00E84945"/>
    <w:rsid w:val="00E91222"/>
    <w:rsid w:val="00E94192"/>
    <w:rsid w:val="00E96C85"/>
    <w:rsid w:val="00E97E9A"/>
    <w:rsid w:val="00E97F7A"/>
    <w:rsid w:val="00EA1AE5"/>
    <w:rsid w:val="00EA4D40"/>
    <w:rsid w:val="00EA5431"/>
    <w:rsid w:val="00EA758E"/>
    <w:rsid w:val="00EA7AB4"/>
    <w:rsid w:val="00EB0580"/>
    <w:rsid w:val="00EB0B4F"/>
    <w:rsid w:val="00EB28E2"/>
    <w:rsid w:val="00EB3C30"/>
    <w:rsid w:val="00EB4A74"/>
    <w:rsid w:val="00EB4DDA"/>
    <w:rsid w:val="00EB56E5"/>
    <w:rsid w:val="00EB6B56"/>
    <w:rsid w:val="00EC242C"/>
    <w:rsid w:val="00EC2A35"/>
    <w:rsid w:val="00EC475D"/>
    <w:rsid w:val="00ED2BFB"/>
    <w:rsid w:val="00ED69A3"/>
    <w:rsid w:val="00ED7273"/>
    <w:rsid w:val="00EE5962"/>
    <w:rsid w:val="00EE76CE"/>
    <w:rsid w:val="00EF0DE4"/>
    <w:rsid w:val="00EF267E"/>
    <w:rsid w:val="00EF3F5C"/>
    <w:rsid w:val="00F008E2"/>
    <w:rsid w:val="00F064EF"/>
    <w:rsid w:val="00F07FD7"/>
    <w:rsid w:val="00F12F3D"/>
    <w:rsid w:val="00F12F57"/>
    <w:rsid w:val="00F135BA"/>
    <w:rsid w:val="00F135C7"/>
    <w:rsid w:val="00F1460F"/>
    <w:rsid w:val="00F15881"/>
    <w:rsid w:val="00F15A47"/>
    <w:rsid w:val="00F15A8F"/>
    <w:rsid w:val="00F163AD"/>
    <w:rsid w:val="00F168AE"/>
    <w:rsid w:val="00F177C4"/>
    <w:rsid w:val="00F17B6F"/>
    <w:rsid w:val="00F20460"/>
    <w:rsid w:val="00F21343"/>
    <w:rsid w:val="00F21424"/>
    <w:rsid w:val="00F24408"/>
    <w:rsid w:val="00F25159"/>
    <w:rsid w:val="00F25D76"/>
    <w:rsid w:val="00F26BE8"/>
    <w:rsid w:val="00F3090C"/>
    <w:rsid w:val="00F3181C"/>
    <w:rsid w:val="00F322D7"/>
    <w:rsid w:val="00F3291F"/>
    <w:rsid w:val="00F341E7"/>
    <w:rsid w:val="00F34264"/>
    <w:rsid w:val="00F35AFB"/>
    <w:rsid w:val="00F36D01"/>
    <w:rsid w:val="00F373A5"/>
    <w:rsid w:val="00F40256"/>
    <w:rsid w:val="00F406B0"/>
    <w:rsid w:val="00F40A5F"/>
    <w:rsid w:val="00F429EE"/>
    <w:rsid w:val="00F44104"/>
    <w:rsid w:val="00F453C1"/>
    <w:rsid w:val="00F46885"/>
    <w:rsid w:val="00F468D2"/>
    <w:rsid w:val="00F479FB"/>
    <w:rsid w:val="00F47B66"/>
    <w:rsid w:val="00F5235A"/>
    <w:rsid w:val="00F525BD"/>
    <w:rsid w:val="00F54342"/>
    <w:rsid w:val="00F554B9"/>
    <w:rsid w:val="00F55A41"/>
    <w:rsid w:val="00F60004"/>
    <w:rsid w:val="00F60423"/>
    <w:rsid w:val="00F6077C"/>
    <w:rsid w:val="00F61E9B"/>
    <w:rsid w:val="00F62D76"/>
    <w:rsid w:val="00F62DBE"/>
    <w:rsid w:val="00F63E2F"/>
    <w:rsid w:val="00F65182"/>
    <w:rsid w:val="00F66E63"/>
    <w:rsid w:val="00F70A74"/>
    <w:rsid w:val="00F71924"/>
    <w:rsid w:val="00F73FB6"/>
    <w:rsid w:val="00F7537E"/>
    <w:rsid w:val="00F768C6"/>
    <w:rsid w:val="00F8096D"/>
    <w:rsid w:val="00F80CF3"/>
    <w:rsid w:val="00F80EA2"/>
    <w:rsid w:val="00F80FDA"/>
    <w:rsid w:val="00F813EE"/>
    <w:rsid w:val="00F81763"/>
    <w:rsid w:val="00F81E2E"/>
    <w:rsid w:val="00F82FED"/>
    <w:rsid w:val="00F83AFD"/>
    <w:rsid w:val="00F85818"/>
    <w:rsid w:val="00F87C24"/>
    <w:rsid w:val="00F903C5"/>
    <w:rsid w:val="00F945E0"/>
    <w:rsid w:val="00F95D64"/>
    <w:rsid w:val="00F96391"/>
    <w:rsid w:val="00FA0D52"/>
    <w:rsid w:val="00FA3FD8"/>
    <w:rsid w:val="00FA4487"/>
    <w:rsid w:val="00FA5377"/>
    <w:rsid w:val="00FA5629"/>
    <w:rsid w:val="00FB04D2"/>
    <w:rsid w:val="00FB07A6"/>
    <w:rsid w:val="00FB1891"/>
    <w:rsid w:val="00FB288B"/>
    <w:rsid w:val="00FB3CCA"/>
    <w:rsid w:val="00FB7DBB"/>
    <w:rsid w:val="00FC21D9"/>
    <w:rsid w:val="00FD4AB1"/>
    <w:rsid w:val="00FD5E36"/>
    <w:rsid w:val="00FD67A0"/>
    <w:rsid w:val="00FD6D8D"/>
    <w:rsid w:val="00FE1305"/>
    <w:rsid w:val="00FE1E48"/>
    <w:rsid w:val="00FE4C37"/>
    <w:rsid w:val="00FE4E92"/>
    <w:rsid w:val="00FE5CC0"/>
    <w:rsid w:val="00FE6314"/>
    <w:rsid w:val="00FE6983"/>
    <w:rsid w:val="00FE6BBB"/>
    <w:rsid w:val="00FE73F1"/>
    <w:rsid w:val="00FF1082"/>
    <w:rsid w:val="00FF11EA"/>
    <w:rsid w:val="00FF304F"/>
    <w:rsid w:val="00FF511F"/>
    <w:rsid w:val="00FF5A48"/>
    <w:rsid w:val="00FF67E0"/>
    <w:rsid w:val="00FF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61B067D"/>
  <w15:chartTrackingRefBased/>
  <w15:docId w15:val="{78F7EEF5-BA49-4D35-8917-58307A5CF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5166F"/>
    <w:rPr>
      <w:sz w:val="22"/>
      <w:szCs w:val="22"/>
      <w:lang w:eastAsia="en-US"/>
    </w:rPr>
  </w:style>
  <w:style w:type="paragraph" w:styleId="Cmsor2">
    <w:name w:val="heading 2"/>
    <w:basedOn w:val="Norml"/>
    <w:next w:val="Norml"/>
    <w:qFormat/>
    <w:rsid w:val="001E66B6"/>
    <w:pPr>
      <w:keepNext/>
      <w:widowControl w:val="0"/>
      <w:numPr>
        <w:ilvl w:val="1"/>
        <w:numId w:val="4"/>
      </w:numPr>
      <w:tabs>
        <w:tab w:val="left" w:pos="288"/>
        <w:tab w:val="left" w:pos="432"/>
      </w:tabs>
      <w:suppressAutoHyphens/>
      <w:spacing w:before="120"/>
      <w:outlineLvl w:val="1"/>
    </w:pPr>
    <w:rPr>
      <w:rFonts w:ascii="Times New Roman" w:eastAsia="Lucida Sans Unicode" w:hAnsi="Times New Roman"/>
      <w:sz w:val="20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2671"/>
    <w:pPr>
      <w:ind w:left="720"/>
      <w:contextualSpacing/>
    </w:pPr>
  </w:style>
  <w:style w:type="character" w:styleId="Jegyzethivatkozs">
    <w:name w:val="annotation reference"/>
    <w:semiHidden/>
    <w:unhideWhenUsed/>
    <w:rsid w:val="00982989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qFormat/>
    <w:rsid w:val="0085166F"/>
    <w:rPr>
      <w:rFonts w:ascii="Times New Roman" w:hAnsi="Times New Roman"/>
      <w:sz w:val="20"/>
      <w:szCs w:val="20"/>
      <w:lang w:eastAsia="x-none"/>
    </w:rPr>
  </w:style>
  <w:style w:type="character" w:customStyle="1" w:styleId="JegyzetszvegChar">
    <w:name w:val="Jegyzetszöveg Char"/>
    <w:link w:val="Jegyzetszveg"/>
    <w:rsid w:val="0085166F"/>
    <w:rPr>
      <w:rFonts w:ascii="Times New Roman" w:hAnsi="Times New Roman"/>
      <w:lang w:val="hu-HU" w:eastAsia="x-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8298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982989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82989"/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uiPriority w:val="99"/>
    <w:semiHidden/>
    <w:rsid w:val="0098298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B068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,Élőláb1"/>
    <w:basedOn w:val="Norml"/>
    <w:uiPriority w:val="99"/>
    <w:rsid w:val="008E341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E3415"/>
  </w:style>
  <w:style w:type="paragraph" w:styleId="lfej">
    <w:name w:val="header"/>
    <w:basedOn w:val="Norml"/>
    <w:link w:val="lfejChar"/>
    <w:uiPriority w:val="99"/>
    <w:rsid w:val="008E3415"/>
    <w:pPr>
      <w:tabs>
        <w:tab w:val="center" w:pos="4536"/>
        <w:tab w:val="right" w:pos="9072"/>
      </w:tabs>
    </w:pPr>
  </w:style>
  <w:style w:type="paragraph" w:customStyle="1" w:styleId="Normal1">
    <w:name w:val="Normal1"/>
    <w:basedOn w:val="Norml"/>
    <w:rsid w:val="005C07F6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hu-HU" w:bidi="hu-HU"/>
    </w:rPr>
  </w:style>
  <w:style w:type="paragraph" w:styleId="Dokumentumtrkp">
    <w:name w:val="Document Map"/>
    <w:basedOn w:val="Norml"/>
    <w:semiHidden/>
    <w:rsid w:val="00E414D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Vltozat">
    <w:name w:val="Revision"/>
    <w:hidden/>
    <w:uiPriority w:val="99"/>
    <w:semiHidden/>
    <w:rsid w:val="00C92761"/>
    <w:rPr>
      <w:sz w:val="22"/>
      <w:szCs w:val="22"/>
      <w:lang w:eastAsia="en-US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797A79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uiPriority w:val="99"/>
    <w:semiHidden/>
    <w:rsid w:val="00797A79"/>
    <w:rPr>
      <w:sz w:val="22"/>
      <w:szCs w:val="22"/>
      <w:lang w:eastAsia="en-US"/>
    </w:rPr>
  </w:style>
  <w:style w:type="paragraph" w:customStyle="1" w:styleId="Default">
    <w:name w:val="Default"/>
    <w:rsid w:val="003A38B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,Hiperhivatkozás1"/>
    <w:uiPriority w:val="99"/>
    <w:rsid w:val="00A640FC"/>
    <w:rPr>
      <w:rFonts w:cs="Times New Roman"/>
      <w:color w:val="0000FF"/>
      <w:u w:val="single"/>
    </w:rPr>
  </w:style>
  <w:style w:type="paragraph" w:styleId="Szvegtrzs">
    <w:name w:val="Body Text"/>
    <w:basedOn w:val="Norml"/>
    <w:link w:val="SzvegtrzsChar"/>
    <w:uiPriority w:val="99"/>
    <w:semiHidden/>
    <w:unhideWhenUsed/>
    <w:rsid w:val="008E5000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8E5000"/>
    <w:rPr>
      <w:sz w:val="22"/>
      <w:szCs w:val="22"/>
      <w:lang w:eastAsia="en-US"/>
    </w:rPr>
  </w:style>
  <w:style w:type="paragraph" w:customStyle="1" w:styleId="ListParagraph1">
    <w:name w:val="List Paragraph1"/>
    <w:basedOn w:val="Norml"/>
    <w:uiPriority w:val="34"/>
    <w:qFormat/>
    <w:rsid w:val="00113526"/>
    <w:pPr>
      <w:suppressAutoHyphens/>
      <w:spacing w:line="260" w:lineRule="exact"/>
      <w:ind w:left="708"/>
    </w:pPr>
    <w:rPr>
      <w:rFonts w:ascii="Times New Roman" w:eastAsia="Times New Roman" w:hAnsi="Times New Roman"/>
      <w:szCs w:val="20"/>
      <w:lang w:eastAsia="hu-HU"/>
    </w:rPr>
  </w:style>
  <w:style w:type="paragraph" w:customStyle="1" w:styleId="TableText">
    <w:name w:val="TableText"/>
    <w:rsid w:val="00113526"/>
    <w:rPr>
      <w:rFonts w:ascii="Times New Roman" w:eastAsia="Times New Roman" w:hAnsi="Times New Roman" w:cs="Arial"/>
      <w:lang w:eastAsia="en-US"/>
    </w:rPr>
  </w:style>
  <w:style w:type="character" w:customStyle="1" w:styleId="ParagraphChar">
    <w:name w:val="Paragraph Char"/>
    <w:link w:val="Paragraph"/>
    <w:locked/>
    <w:rsid w:val="00113526"/>
    <w:rPr>
      <w:sz w:val="24"/>
      <w:szCs w:val="24"/>
      <w:lang w:val="hu-HU" w:eastAsia="ru-RU" w:bidi="ar-SA"/>
    </w:rPr>
  </w:style>
  <w:style w:type="paragraph" w:customStyle="1" w:styleId="Paragraph">
    <w:name w:val="Paragraph"/>
    <w:link w:val="ParagraphChar"/>
    <w:rsid w:val="00113526"/>
    <w:pPr>
      <w:spacing w:after="240"/>
    </w:pPr>
    <w:rPr>
      <w:sz w:val="24"/>
      <w:szCs w:val="24"/>
      <w:lang w:eastAsia="ru-RU"/>
    </w:rPr>
  </w:style>
  <w:style w:type="paragraph" w:customStyle="1" w:styleId="TableTextFootnote">
    <w:name w:val="TableText Footnote"/>
    <w:rsid w:val="00113526"/>
    <w:rPr>
      <w:rFonts w:ascii="Times New Roman" w:eastAsia="Times New Roman" w:hAnsi="Times New Roman"/>
      <w:lang w:eastAsia="en-US"/>
    </w:rPr>
  </w:style>
  <w:style w:type="character" w:customStyle="1" w:styleId="TableText9">
    <w:name w:val="TableText 9"/>
    <w:rsid w:val="00113526"/>
    <w:rPr>
      <w:rFonts w:ascii="Times New Roman" w:hAnsi="Times New Roman" w:cs="Times New Roman" w:hint="default"/>
      <w:sz w:val="18"/>
    </w:rPr>
  </w:style>
  <w:style w:type="character" w:customStyle="1" w:styleId="lfejChar">
    <w:name w:val="Élőfej Char"/>
    <w:link w:val="lfej"/>
    <w:uiPriority w:val="99"/>
    <w:rsid w:val="00F373A5"/>
    <w:rPr>
      <w:sz w:val="22"/>
      <w:szCs w:val="22"/>
      <w:lang w:eastAsia="en-US"/>
    </w:rPr>
  </w:style>
  <w:style w:type="paragraph" w:styleId="Nincstrkz">
    <w:name w:val="No Spacing"/>
    <w:uiPriority w:val="1"/>
    <w:qFormat/>
    <w:rsid w:val="00AF1C6C"/>
    <w:rPr>
      <w:rFonts w:ascii="Times New Roman" w:hAnsi="Times New Roman"/>
      <w:sz w:val="22"/>
      <w:szCs w:val="22"/>
      <w:lang w:eastAsia="en-US"/>
    </w:rPr>
  </w:style>
  <w:style w:type="paragraph" w:styleId="Cm">
    <w:name w:val="Title"/>
    <w:basedOn w:val="Norml"/>
    <w:next w:val="Norml"/>
    <w:link w:val="CmChar"/>
    <w:uiPriority w:val="10"/>
    <w:qFormat/>
    <w:rsid w:val="00C728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7289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2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5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50B10-AE20-4E14-BC7B-41016E3A85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7C7552-9B6D-4651-ABEB-968E0EF5094A}">
  <ds:schemaRefs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987B5E9-FCFA-4405-ADCC-8927BCD79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9E7040E-870A-4F58-B773-F014570A3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7792</Words>
  <Characters>59628</Characters>
  <Application>Microsoft Office Word</Application>
  <DocSecurity>0</DocSecurity>
  <Lines>496</Lines>
  <Paragraphs>134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Richter Gedeon Nyrt.</Company>
  <LinksUpToDate>false</LinksUpToDate>
  <CharactersWithSpaces>67286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RG Rt.</dc:creator>
  <cp:keywords/>
  <dc:description/>
  <cp:lastModifiedBy>HU OGYI 49.1</cp:lastModifiedBy>
  <cp:revision>3</cp:revision>
  <cp:lastPrinted>2009-08-28T08:34:00Z</cp:lastPrinted>
  <dcterms:created xsi:type="dcterms:W3CDTF">2024-03-18T16:24:00Z</dcterms:created>
  <dcterms:modified xsi:type="dcterms:W3CDTF">2024-03-18T16:24:00Z</dcterms:modified>
</cp:coreProperties>
</file>