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7914A8" w14:textId="77777777" w:rsidR="00821515" w:rsidRPr="00445457" w:rsidRDefault="00821515" w:rsidP="00F372B2">
      <w:pPr>
        <w:jc w:val="left"/>
        <w:rPr>
          <w:sz w:val="22"/>
          <w:szCs w:val="22"/>
        </w:rPr>
      </w:pPr>
    </w:p>
    <w:p w14:paraId="021A3299" w14:textId="08CA5857" w:rsidR="00821515" w:rsidRDefault="0084446C" w:rsidP="00F372B2">
      <w:pPr>
        <w:pStyle w:val="Cmsor1"/>
        <w:tabs>
          <w:tab w:val="clear" w:pos="1140"/>
        </w:tabs>
        <w:spacing w:after="0" w:line="240" w:lineRule="auto"/>
        <w:ind w:left="0" w:firstLine="0"/>
        <w:jc w:val="left"/>
        <w:rPr>
          <w:caps/>
          <w:sz w:val="22"/>
        </w:rPr>
      </w:pPr>
      <w:r w:rsidRPr="0084446C">
        <w:rPr>
          <w:bCs w:val="0"/>
          <w:caps/>
          <w:sz w:val="22"/>
        </w:rPr>
        <w:t>1.</w:t>
      </w:r>
      <w:r>
        <w:rPr>
          <w:caps/>
          <w:sz w:val="22"/>
        </w:rPr>
        <w:tab/>
      </w:r>
      <w:r w:rsidR="00C92F76">
        <w:rPr>
          <w:caps/>
          <w:sz w:val="22"/>
        </w:rPr>
        <w:t>A gyógyszer neve</w:t>
      </w:r>
    </w:p>
    <w:p w14:paraId="55ABBDC6" w14:textId="77777777" w:rsidR="0084446C" w:rsidRPr="00F372B2" w:rsidRDefault="0084446C" w:rsidP="00F372B2"/>
    <w:p w14:paraId="4213C896" w14:textId="5AD7835F" w:rsidR="00821515" w:rsidRPr="00532BBA" w:rsidRDefault="00532BBA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Sunitinib-AZR 12,5 mg </w:t>
      </w:r>
      <w:r w:rsidR="00C92F76" w:rsidRPr="00532BBA">
        <w:rPr>
          <w:sz w:val="22"/>
        </w:rPr>
        <w:t>kemény kapszula</w:t>
      </w:r>
    </w:p>
    <w:p w14:paraId="0C02F465" w14:textId="18899B47" w:rsidR="003F03A1" w:rsidRPr="00532BBA" w:rsidRDefault="00532BBA" w:rsidP="00F372B2">
      <w:pPr>
        <w:spacing w:line="240" w:lineRule="auto"/>
        <w:jc w:val="left"/>
        <w:rPr>
          <w:sz w:val="22"/>
        </w:rPr>
      </w:pPr>
      <w:r>
        <w:rPr>
          <w:sz w:val="22"/>
        </w:rPr>
        <w:t>Sunitinib</w:t>
      </w:r>
      <w:r w:rsidR="00C1798B" w:rsidRPr="00532BBA">
        <w:rPr>
          <w:sz w:val="22"/>
        </w:rPr>
        <w:t xml:space="preserve">-AZR </w:t>
      </w:r>
      <w:r w:rsidR="00C92F76" w:rsidRPr="00532BBA">
        <w:rPr>
          <w:sz w:val="22"/>
        </w:rPr>
        <w:t>25 mg kemény kapszula</w:t>
      </w:r>
    </w:p>
    <w:p w14:paraId="68667F43" w14:textId="25CE9F9C" w:rsidR="003F03A1" w:rsidRPr="00532BBA" w:rsidRDefault="00532BBA" w:rsidP="00F372B2">
      <w:pPr>
        <w:spacing w:line="240" w:lineRule="auto"/>
        <w:jc w:val="left"/>
        <w:rPr>
          <w:sz w:val="22"/>
        </w:rPr>
      </w:pPr>
      <w:r>
        <w:rPr>
          <w:sz w:val="22"/>
        </w:rPr>
        <w:t>Sunitinib</w:t>
      </w:r>
      <w:r w:rsidR="00C1798B" w:rsidRPr="00532BBA">
        <w:rPr>
          <w:sz w:val="22"/>
        </w:rPr>
        <w:t xml:space="preserve">-AZR </w:t>
      </w:r>
      <w:r w:rsidR="00C92F76" w:rsidRPr="00532BBA">
        <w:rPr>
          <w:sz w:val="22"/>
        </w:rPr>
        <w:t>37</w:t>
      </w:r>
      <w:r>
        <w:rPr>
          <w:sz w:val="22"/>
        </w:rPr>
        <w:t>,</w:t>
      </w:r>
      <w:r w:rsidR="00C92F76" w:rsidRPr="00532BBA">
        <w:rPr>
          <w:sz w:val="22"/>
        </w:rPr>
        <w:t>5 mg kemény kapszula</w:t>
      </w:r>
    </w:p>
    <w:p w14:paraId="3F2D0C80" w14:textId="1D2D442B" w:rsidR="003F03A1" w:rsidRPr="00532BBA" w:rsidRDefault="00532BBA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Sunitinib</w:t>
      </w:r>
      <w:r w:rsidR="00C1798B" w:rsidRPr="00532BBA">
        <w:rPr>
          <w:sz w:val="22"/>
        </w:rPr>
        <w:t xml:space="preserve">-AZR </w:t>
      </w:r>
      <w:r w:rsidR="00C92F76" w:rsidRPr="00532BBA">
        <w:rPr>
          <w:sz w:val="22"/>
        </w:rPr>
        <w:t>50 mg kemény kapszula</w:t>
      </w:r>
    </w:p>
    <w:p w14:paraId="3E455833" w14:textId="77777777" w:rsidR="003F03A1" w:rsidRPr="00532BBA" w:rsidRDefault="003F03A1" w:rsidP="00F372B2">
      <w:pPr>
        <w:spacing w:line="240" w:lineRule="auto"/>
        <w:jc w:val="left"/>
        <w:rPr>
          <w:sz w:val="22"/>
          <w:szCs w:val="22"/>
        </w:rPr>
      </w:pPr>
    </w:p>
    <w:p w14:paraId="0555843B" w14:textId="77777777" w:rsidR="00821515" w:rsidRPr="00532BBA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3CBE8DE5" w14:textId="690048F7" w:rsidR="00821515" w:rsidRDefault="0084446C" w:rsidP="00F372B2">
      <w:pPr>
        <w:pStyle w:val="Cmsor1"/>
        <w:tabs>
          <w:tab w:val="clear" w:pos="1140"/>
        </w:tabs>
        <w:spacing w:after="0" w:line="240" w:lineRule="auto"/>
        <w:ind w:left="-6" w:firstLine="0"/>
        <w:jc w:val="left"/>
        <w:rPr>
          <w:caps/>
          <w:sz w:val="22"/>
        </w:rPr>
      </w:pPr>
      <w:r>
        <w:rPr>
          <w:caps/>
          <w:sz w:val="22"/>
        </w:rPr>
        <w:t>2.</w:t>
      </w:r>
      <w:r>
        <w:rPr>
          <w:caps/>
          <w:sz w:val="22"/>
        </w:rPr>
        <w:tab/>
      </w:r>
      <w:r w:rsidR="00C92F76" w:rsidRPr="00532BBA">
        <w:rPr>
          <w:caps/>
          <w:sz w:val="22"/>
        </w:rPr>
        <w:t>Minőségi és mennyiségi összetétel</w:t>
      </w:r>
    </w:p>
    <w:p w14:paraId="4AFC245D" w14:textId="77777777" w:rsidR="0084446C" w:rsidRPr="00F372B2" w:rsidRDefault="0084446C" w:rsidP="00F372B2"/>
    <w:p w14:paraId="79288B69" w14:textId="21308677" w:rsidR="00B00CA3" w:rsidRPr="00F372B2" w:rsidRDefault="00B00CA3" w:rsidP="00F372B2">
      <w:pPr>
        <w:spacing w:line="240" w:lineRule="auto"/>
        <w:jc w:val="left"/>
        <w:rPr>
          <w:sz w:val="22"/>
          <w:szCs w:val="22"/>
          <w:u w:val="single"/>
        </w:rPr>
      </w:pPr>
      <w:r w:rsidRPr="00F372B2">
        <w:rPr>
          <w:sz w:val="22"/>
          <w:u w:val="single"/>
        </w:rPr>
        <w:t>Sunitinib-AZR 12,5 mg kemény kapszula</w:t>
      </w:r>
    </w:p>
    <w:p w14:paraId="75566873" w14:textId="0383F982" w:rsidR="008071A1" w:rsidRDefault="00C92F76" w:rsidP="00F372B2">
      <w:pPr>
        <w:spacing w:line="240" w:lineRule="auto"/>
        <w:jc w:val="left"/>
        <w:rPr>
          <w:sz w:val="22"/>
        </w:rPr>
      </w:pPr>
      <w:r w:rsidRPr="00532BBA">
        <w:rPr>
          <w:sz w:val="22"/>
        </w:rPr>
        <w:t>12,5 mg szunitinib</w:t>
      </w:r>
      <w:r w:rsidR="00B00CA3">
        <w:rPr>
          <w:sz w:val="22"/>
        </w:rPr>
        <w:t>et tartalmaz</w:t>
      </w:r>
      <w:r w:rsidRPr="00532BBA">
        <w:rPr>
          <w:sz w:val="22"/>
        </w:rPr>
        <w:t xml:space="preserve"> </w:t>
      </w:r>
      <w:r w:rsidR="00B00CA3">
        <w:rPr>
          <w:sz w:val="22"/>
        </w:rPr>
        <w:t>(</w:t>
      </w:r>
      <w:r w:rsidRPr="00532BBA">
        <w:rPr>
          <w:sz w:val="22"/>
        </w:rPr>
        <w:t>szunitinib-malát</w:t>
      </w:r>
      <w:r w:rsidR="00B00CA3">
        <w:rPr>
          <w:sz w:val="22"/>
        </w:rPr>
        <w:t xml:space="preserve"> formájában)</w:t>
      </w:r>
      <w:r w:rsidRPr="00532BBA">
        <w:rPr>
          <w:sz w:val="22"/>
        </w:rPr>
        <w:t xml:space="preserve"> kapszulánként. </w:t>
      </w:r>
    </w:p>
    <w:p w14:paraId="7D3A4303" w14:textId="77777777" w:rsidR="00B00CA3" w:rsidRPr="00532BBA" w:rsidRDefault="00B00CA3" w:rsidP="00F372B2">
      <w:pPr>
        <w:spacing w:line="240" w:lineRule="auto"/>
        <w:jc w:val="left"/>
        <w:rPr>
          <w:sz w:val="22"/>
          <w:szCs w:val="22"/>
        </w:rPr>
      </w:pPr>
    </w:p>
    <w:p w14:paraId="50466E11" w14:textId="3E007A07" w:rsidR="00B00CA3" w:rsidRPr="005372CD" w:rsidRDefault="00B00CA3" w:rsidP="00B00CA3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>Sunitinib-AZR 2</w:t>
      </w:r>
      <w:r w:rsidRPr="005372CD">
        <w:rPr>
          <w:sz w:val="22"/>
          <w:u w:val="single"/>
        </w:rPr>
        <w:t>5 mg kemény kapszula</w:t>
      </w:r>
    </w:p>
    <w:p w14:paraId="0EF1F0F4" w14:textId="36B82FB3" w:rsidR="008071A1" w:rsidRDefault="00C92F76" w:rsidP="00F372B2">
      <w:pPr>
        <w:spacing w:line="240" w:lineRule="auto"/>
        <w:jc w:val="left"/>
        <w:rPr>
          <w:sz w:val="22"/>
        </w:rPr>
      </w:pPr>
      <w:r w:rsidRPr="00532BBA">
        <w:rPr>
          <w:sz w:val="22"/>
        </w:rPr>
        <w:t>25 mg szunitinib</w:t>
      </w:r>
      <w:r w:rsidR="00B00CA3">
        <w:rPr>
          <w:sz w:val="22"/>
        </w:rPr>
        <w:t>et tartalmaz</w:t>
      </w:r>
      <w:r w:rsidRPr="00532BBA">
        <w:rPr>
          <w:sz w:val="22"/>
        </w:rPr>
        <w:t xml:space="preserve"> </w:t>
      </w:r>
      <w:r w:rsidR="00B00CA3">
        <w:rPr>
          <w:sz w:val="22"/>
        </w:rPr>
        <w:t>(</w:t>
      </w:r>
      <w:r w:rsidRPr="00532BBA">
        <w:rPr>
          <w:sz w:val="22"/>
        </w:rPr>
        <w:t>szunitinib-malát</w:t>
      </w:r>
      <w:r w:rsidR="00B00CA3">
        <w:rPr>
          <w:sz w:val="22"/>
        </w:rPr>
        <w:t xml:space="preserve"> formájában)</w:t>
      </w:r>
      <w:r w:rsidRPr="00532BBA">
        <w:rPr>
          <w:sz w:val="22"/>
        </w:rPr>
        <w:t xml:space="preserve"> kapszulánként. </w:t>
      </w:r>
    </w:p>
    <w:p w14:paraId="43397A70" w14:textId="77777777" w:rsidR="00B00CA3" w:rsidRPr="00532BBA" w:rsidRDefault="00B00CA3" w:rsidP="00F372B2">
      <w:pPr>
        <w:spacing w:line="240" w:lineRule="auto"/>
        <w:jc w:val="left"/>
        <w:rPr>
          <w:sz w:val="22"/>
          <w:szCs w:val="22"/>
        </w:rPr>
      </w:pPr>
    </w:p>
    <w:p w14:paraId="38F96A2D" w14:textId="5C8A8AA3" w:rsidR="00B00CA3" w:rsidRPr="005372CD" w:rsidRDefault="00B00CA3" w:rsidP="00B00CA3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>Sunitinib-AZR 37</w:t>
      </w:r>
      <w:r w:rsidRPr="005372CD">
        <w:rPr>
          <w:sz w:val="22"/>
          <w:u w:val="single"/>
        </w:rPr>
        <w:t>,5 mg kemény kapszula</w:t>
      </w:r>
    </w:p>
    <w:p w14:paraId="72B566C7" w14:textId="6025D70C" w:rsidR="008071A1" w:rsidRDefault="00C92F76" w:rsidP="00F372B2">
      <w:pPr>
        <w:spacing w:line="240" w:lineRule="auto"/>
        <w:jc w:val="left"/>
        <w:rPr>
          <w:sz w:val="22"/>
        </w:rPr>
      </w:pPr>
      <w:r w:rsidRPr="00532BBA">
        <w:rPr>
          <w:sz w:val="22"/>
        </w:rPr>
        <w:t>37,5 mg szunitinib</w:t>
      </w:r>
      <w:r w:rsidR="00B00CA3">
        <w:rPr>
          <w:sz w:val="22"/>
        </w:rPr>
        <w:t>et tartalmaz</w:t>
      </w:r>
      <w:r w:rsidRPr="00532BBA">
        <w:rPr>
          <w:sz w:val="22"/>
        </w:rPr>
        <w:t xml:space="preserve"> </w:t>
      </w:r>
      <w:r w:rsidR="00B00CA3">
        <w:rPr>
          <w:sz w:val="22"/>
        </w:rPr>
        <w:t>(</w:t>
      </w:r>
      <w:r w:rsidRPr="00532BBA">
        <w:rPr>
          <w:sz w:val="22"/>
        </w:rPr>
        <w:t>szunitinib-malát</w:t>
      </w:r>
      <w:r w:rsidR="00B00CA3">
        <w:rPr>
          <w:sz w:val="22"/>
        </w:rPr>
        <w:t xml:space="preserve"> formájában)</w:t>
      </w:r>
      <w:r w:rsidRPr="00532BBA">
        <w:rPr>
          <w:sz w:val="22"/>
        </w:rPr>
        <w:t xml:space="preserve"> kapszulánként. </w:t>
      </w:r>
    </w:p>
    <w:p w14:paraId="15916E55" w14:textId="77777777" w:rsidR="00B00CA3" w:rsidRPr="00532BBA" w:rsidRDefault="00B00CA3" w:rsidP="00F372B2">
      <w:pPr>
        <w:spacing w:line="240" w:lineRule="auto"/>
        <w:jc w:val="left"/>
        <w:rPr>
          <w:sz w:val="22"/>
          <w:szCs w:val="22"/>
        </w:rPr>
      </w:pPr>
    </w:p>
    <w:p w14:paraId="536B1EAE" w14:textId="4EF8A16E" w:rsidR="00B00CA3" w:rsidRPr="005372CD" w:rsidRDefault="00B00CA3" w:rsidP="00B00CA3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Sunitinib-AZR </w:t>
      </w:r>
      <w:r w:rsidRPr="005372CD">
        <w:rPr>
          <w:sz w:val="22"/>
          <w:u w:val="single"/>
        </w:rPr>
        <w:t>5</w:t>
      </w:r>
      <w:r>
        <w:rPr>
          <w:sz w:val="22"/>
          <w:u w:val="single"/>
        </w:rPr>
        <w:t>0</w:t>
      </w:r>
      <w:r w:rsidRPr="005372CD">
        <w:rPr>
          <w:sz w:val="22"/>
          <w:u w:val="single"/>
        </w:rPr>
        <w:t xml:space="preserve"> mg kemény kapszula</w:t>
      </w:r>
    </w:p>
    <w:p w14:paraId="3434CB97" w14:textId="749ADAC1" w:rsidR="008071A1" w:rsidRPr="00532BBA" w:rsidRDefault="00C92F76" w:rsidP="00F372B2">
      <w:pPr>
        <w:spacing w:line="240" w:lineRule="auto"/>
        <w:jc w:val="left"/>
        <w:rPr>
          <w:sz w:val="22"/>
          <w:szCs w:val="22"/>
        </w:rPr>
      </w:pPr>
      <w:r w:rsidRPr="00532BBA">
        <w:rPr>
          <w:sz w:val="22"/>
        </w:rPr>
        <w:t>50 mg szunitinib</w:t>
      </w:r>
      <w:r w:rsidR="00B00CA3">
        <w:rPr>
          <w:sz w:val="22"/>
        </w:rPr>
        <w:t>et tartalmaz</w:t>
      </w:r>
      <w:r w:rsidRPr="00532BBA">
        <w:rPr>
          <w:sz w:val="22"/>
        </w:rPr>
        <w:t xml:space="preserve"> </w:t>
      </w:r>
      <w:r w:rsidR="00B00CA3">
        <w:rPr>
          <w:sz w:val="22"/>
        </w:rPr>
        <w:t>(</w:t>
      </w:r>
      <w:r w:rsidRPr="00532BBA">
        <w:rPr>
          <w:sz w:val="22"/>
        </w:rPr>
        <w:t>szunitinib-malát</w:t>
      </w:r>
      <w:r w:rsidR="00B00CA3">
        <w:rPr>
          <w:sz w:val="22"/>
        </w:rPr>
        <w:t xml:space="preserve"> formájában)</w:t>
      </w:r>
      <w:r w:rsidRPr="00532BBA">
        <w:rPr>
          <w:sz w:val="22"/>
        </w:rPr>
        <w:t xml:space="preserve"> kapszulánként. </w:t>
      </w:r>
    </w:p>
    <w:p w14:paraId="68733DE3" w14:textId="77777777" w:rsidR="008071A1" w:rsidRPr="00532BBA" w:rsidRDefault="00C92F76" w:rsidP="00F372B2">
      <w:pPr>
        <w:spacing w:line="240" w:lineRule="auto"/>
        <w:jc w:val="left"/>
        <w:rPr>
          <w:sz w:val="22"/>
          <w:szCs w:val="22"/>
        </w:rPr>
      </w:pPr>
      <w:r w:rsidRPr="00532BBA">
        <w:rPr>
          <w:sz w:val="22"/>
        </w:rPr>
        <w:t xml:space="preserve"> </w:t>
      </w:r>
    </w:p>
    <w:p w14:paraId="281A2C18" w14:textId="77777777" w:rsidR="003F03A1" w:rsidRPr="00532BBA" w:rsidRDefault="00C92F76" w:rsidP="00F372B2">
      <w:pPr>
        <w:spacing w:line="240" w:lineRule="auto"/>
        <w:jc w:val="left"/>
        <w:rPr>
          <w:sz w:val="22"/>
          <w:szCs w:val="22"/>
        </w:rPr>
      </w:pPr>
      <w:r w:rsidRPr="00532BBA">
        <w:rPr>
          <w:sz w:val="22"/>
        </w:rPr>
        <w:t>A segédanyagok teljes listáját lásd a 6.1 pontban.</w:t>
      </w:r>
    </w:p>
    <w:p w14:paraId="0F1A6D83" w14:textId="77777777" w:rsidR="003F03A1" w:rsidRPr="00532BBA" w:rsidRDefault="003F03A1" w:rsidP="00F372B2">
      <w:pPr>
        <w:spacing w:line="240" w:lineRule="auto"/>
        <w:jc w:val="left"/>
        <w:rPr>
          <w:sz w:val="22"/>
          <w:szCs w:val="22"/>
        </w:rPr>
      </w:pPr>
    </w:p>
    <w:p w14:paraId="03E7F770" w14:textId="77777777" w:rsidR="00821515" w:rsidRPr="00532BBA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750C23AE" w14:textId="222EE573" w:rsidR="00821515" w:rsidRDefault="0084446C" w:rsidP="00F372B2">
      <w:pPr>
        <w:pStyle w:val="Cmsor1"/>
        <w:tabs>
          <w:tab w:val="clear" w:pos="1140"/>
        </w:tabs>
        <w:spacing w:after="0" w:line="240" w:lineRule="auto"/>
        <w:ind w:left="0" w:firstLine="0"/>
        <w:jc w:val="left"/>
        <w:rPr>
          <w:caps/>
          <w:sz w:val="22"/>
        </w:rPr>
      </w:pPr>
      <w:r>
        <w:rPr>
          <w:caps/>
          <w:sz w:val="22"/>
        </w:rPr>
        <w:t>3.</w:t>
      </w:r>
      <w:r>
        <w:rPr>
          <w:caps/>
          <w:sz w:val="22"/>
        </w:rPr>
        <w:tab/>
      </w:r>
      <w:r w:rsidR="00C92F76" w:rsidRPr="00532BBA">
        <w:rPr>
          <w:caps/>
          <w:sz w:val="22"/>
        </w:rPr>
        <w:t>Gyógyszerforma</w:t>
      </w:r>
    </w:p>
    <w:p w14:paraId="7C253933" w14:textId="77777777" w:rsidR="0084446C" w:rsidRPr="0084446C" w:rsidRDefault="0084446C" w:rsidP="00F372B2">
      <w:pPr>
        <w:rPr>
          <w:sz w:val="22"/>
          <w:szCs w:val="22"/>
        </w:rPr>
      </w:pPr>
    </w:p>
    <w:p w14:paraId="6DC1B98D" w14:textId="77777777" w:rsidR="00821515" w:rsidRPr="00532BBA" w:rsidRDefault="00C92F76" w:rsidP="00F372B2">
      <w:pPr>
        <w:spacing w:line="240" w:lineRule="auto"/>
        <w:jc w:val="left"/>
        <w:rPr>
          <w:sz w:val="22"/>
          <w:szCs w:val="22"/>
        </w:rPr>
      </w:pPr>
      <w:r w:rsidRPr="00532BBA">
        <w:rPr>
          <w:sz w:val="22"/>
        </w:rPr>
        <w:t>Kemény kapszula (kapszula).</w:t>
      </w:r>
    </w:p>
    <w:p w14:paraId="3BF8536E" w14:textId="77777777" w:rsidR="008071A1" w:rsidRPr="00532BBA" w:rsidRDefault="008071A1" w:rsidP="00F372B2">
      <w:pPr>
        <w:spacing w:line="240" w:lineRule="auto"/>
        <w:jc w:val="left"/>
        <w:rPr>
          <w:iCs/>
          <w:sz w:val="22"/>
          <w:szCs w:val="22"/>
          <w:u w:val="single"/>
        </w:rPr>
      </w:pPr>
    </w:p>
    <w:p w14:paraId="40A56A85" w14:textId="73C71240" w:rsidR="008071A1" w:rsidRPr="00532BBA" w:rsidRDefault="00532BBA" w:rsidP="00F372B2">
      <w:pPr>
        <w:spacing w:line="240" w:lineRule="auto"/>
        <w:jc w:val="left"/>
        <w:rPr>
          <w:iCs/>
          <w:sz w:val="22"/>
          <w:szCs w:val="22"/>
          <w:u w:val="single"/>
        </w:rPr>
      </w:pPr>
      <w:r w:rsidRPr="00532BBA">
        <w:rPr>
          <w:sz w:val="22"/>
          <w:u w:val="single"/>
        </w:rPr>
        <w:t xml:space="preserve">Sunitinib-AZR </w:t>
      </w:r>
      <w:r w:rsidR="00C92F76" w:rsidRPr="00532BBA">
        <w:rPr>
          <w:sz w:val="22"/>
          <w:u w:val="single"/>
        </w:rPr>
        <w:t>12,5 mg</w:t>
      </w:r>
      <w:r w:rsidR="00E679D9">
        <w:rPr>
          <w:sz w:val="22"/>
          <w:u w:val="single"/>
        </w:rPr>
        <w:t xml:space="preserve"> kemény</w:t>
      </w:r>
      <w:r w:rsidR="00C92F76" w:rsidRPr="00532BBA">
        <w:rPr>
          <w:sz w:val="22"/>
          <w:u w:val="single"/>
        </w:rPr>
        <w:t xml:space="preserve"> kapszula</w:t>
      </w:r>
    </w:p>
    <w:p w14:paraId="24F435B4" w14:textId="76D4ABB8" w:rsidR="008071A1" w:rsidRPr="00532BBA" w:rsidRDefault="00C92F76" w:rsidP="00F372B2">
      <w:pPr>
        <w:spacing w:line="240" w:lineRule="auto"/>
        <w:jc w:val="left"/>
        <w:rPr>
          <w:iCs/>
          <w:sz w:val="22"/>
          <w:szCs w:val="22"/>
        </w:rPr>
      </w:pPr>
      <w:r w:rsidRPr="00532BBA">
        <w:rPr>
          <w:sz w:val="22"/>
        </w:rPr>
        <w:t xml:space="preserve">Kemény zselatinkapszula narancssárga felső és alsó résszel, az alsó részen fehér </w:t>
      </w:r>
      <w:r w:rsidRPr="00532BBA">
        <w:rPr>
          <w:sz w:val="22"/>
          <w:cs/>
        </w:rPr>
        <w:t>„</w:t>
      </w:r>
      <w:r w:rsidRPr="00532BBA">
        <w:rPr>
          <w:sz w:val="22"/>
        </w:rPr>
        <w:t>SNB</w:t>
      </w:r>
      <w:r w:rsidRPr="00532BBA">
        <w:rPr>
          <w:sz w:val="22"/>
          <w:cs/>
        </w:rPr>
        <w:t>”</w:t>
      </w:r>
      <w:r w:rsidRPr="00532BBA">
        <w:rPr>
          <w:sz w:val="22"/>
        </w:rPr>
        <w:t xml:space="preserve">és </w:t>
      </w:r>
      <w:r w:rsidRPr="00532BBA">
        <w:rPr>
          <w:sz w:val="22"/>
          <w:cs/>
        </w:rPr>
        <w:t>„</w:t>
      </w:r>
      <w:r w:rsidRPr="00532BBA">
        <w:rPr>
          <w:sz w:val="22"/>
        </w:rPr>
        <w:t>12</w:t>
      </w:r>
      <w:r w:rsidR="00734B8E" w:rsidRPr="00532BBA">
        <w:rPr>
          <w:sz w:val="22"/>
        </w:rPr>
        <w:t>.</w:t>
      </w:r>
      <w:r w:rsidRPr="00532BBA">
        <w:rPr>
          <w:sz w:val="22"/>
        </w:rPr>
        <w:t>5</w:t>
      </w:r>
      <w:r w:rsidRPr="00532BBA">
        <w:rPr>
          <w:sz w:val="22"/>
          <w:cs/>
        </w:rPr>
        <w:t xml:space="preserve">” </w:t>
      </w:r>
      <w:r w:rsidR="00DC3BB6">
        <w:rPr>
          <w:sz w:val="22"/>
        </w:rPr>
        <w:t>jelöléssel</w:t>
      </w:r>
      <w:r w:rsidRPr="00532BBA">
        <w:rPr>
          <w:sz w:val="22"/>
        </w:rPr>
        <w:t xml:space="preserve">. A kapszula narancssárga </w:t>
      </w:r>
      <w:r w:rsidR="00DC3BB6">
        <w:rPr>
          <w:sz w:val="22"/>
        </w:rPr>
        <w:t>granulátumot tartalmaz</w:t>
      </w:r>
      <w:r w:rsidRPr="00532BBA">
        <w:rPr>
          <w:sz w:val="22"/>
        </w:rPr>
        <w:t>. A kapszula mérete: 4 (k</w:t>
      </w:r>
      <w:r w:rsidR="00DC3BB6">
        <w:rPr>
          <w:sz w:val="22"/>
        </w:rPr>
        <w:t>b.</w:t>
      </w:r>
      <w:r w:rsidRPr="00532BBA">
        <w:rPr>
          <w:sz w:val="22"/>
        </w:rPr>
        <w:t xml:space="preserve"> 14 mm hosszú</w:t>
      </w:r>
      <w:r w:rsidR="00DC3BB6">
        <w:rPr>
          <w:sz w:val="22"/>
        </w:rPr>
        <w:t>ságú</w:t>
      </w:r>
      <w:r w:rsidRPr="00532BBA">
        <w:rPr>
          <w:sz w:val="22"/>
        </w:rPr>
        <w:t>).</w:t>
      </w:r>
    </w:p>
    <w:p w14:paraId="47BCF582" w14:textId="77777777" w:rsidR="008071A1" w:rsidRPr="00532BBA" w:rsidRDefault="008071A1" w:rsidP="00F372B2">
      <w:pPr>
        <w:spacing w:line="240" w:lineRule="auto"/>
        <w:jc w:val="left"/>
        <w:rPr>
          <w:iCs/>
          <w:sz w:val="22"/>
          <w:szCs w:val="22"/>
          <w:u w:val="single"/>
        </w:rPr>
      </w:pPr>
    </w:p>
    <w:p w14:paraId="37236221" w14:textId="57CCA1C9" w:rsidR="008071A1" w:rsidRPr="00532BBA" w:rsidRDefault="00532BBA" w:rsidP="00F372B2">
      <w:pPr>
        <w:spacing w:line="240" w:lineRule="auto"/>
        <w:jc w:val="left"/>
        <w:rPr>
          <w:iCs/>
          <w:sz w:val="22"/>
          <w:szCs w:val="22"/>
          <w:u w:val="single"/>
        </w:rPr>
      </w:pPr>
      <w:r w:rsidRPr="00532BBA">
        <w:rPr>
          <w:sz w:val="22"/>
          <w:u w:val="single"/>
        </w:rPr>
        <w:t xml:space="preserve">Sunitinib-AZR </w:t>
      </w:r>
      <w:r w:rsidR="00C92F76" w:rsidRPr="00532BBA">
        <w:rPr>
          <w:sz w:val="22"/>
          <w:u w:val="single"/>
        </w:rPr>
        <w:t>25 mg</w:t>
      </w:r>
      <w:r w:rsidR="00E679D9">
        <w:rPr>
          <w:sz w:val="22"/>
          <w:u w:val="single"/>
        </w:rPr>
        <w:t xml:space="preserve"> kemény</w:t>
      </w:r>
      <w:r w:rsidR="00C92F76" w:rsidRPr="00532BBA">
        <w:rPr>
          <w:sz w:val="22"/>
          <w:u w:val="single"/>
        </w:rPr>
        <w:t xml:space="preserve"> kapszula</w:t>
      </w:r>
    </w:p>
    <w:p w14:paraId="63786706" w14:textId="03D8B898" w:rsidR="008071A1" w:rsidRPr="00532BBA" w:rsidRDefault="00C92F76" w:rsidP="00F372B2">
      <w:pPr>
        <w:spacing w:line="240" w:lineRule="auto"/>
        <w:jc w:val="left"/>
        <w:rPr>
          <w:iCs/>
          <w:sz w:val="22"/>
          <w:szCs w:val="22"/>
        </w:rPr>
      </w:pPr>
      <w:r w:rsidRPr="00532BBA">
        <w:rPr>
          <w:sz w:val="22"/>
        </w:rPr>
        <w:t xml:space="preserve">Kemény zselatinkapszula karamellszínű (világosbarna) felső és </w:t>
      </w:r>
      <w:r w:rsidR="00532902">
        <w:rPr>
          <w:sz w:val="22"/>
        </w:rPr>
        <w:t xml:space="preserve">narancssárga </w:t>
      </w:r>
      <w:r w:rsidRPr="00532BBA">
        <w:rPr>
          <w:sz w:val="22"/>
        </w:rPr>
        <w:t xml:space="preserve">alsó résszel, az alsó részen fehér </w:t>
      </w:r>
      <w:r w:rsidRPr="00532BBA">
        <w:rPr>
          <w:sz w:val="22"/>
          <w:cs/>
        </w:rPr>
        <w:t>„</w:t>
      </w:r>
      <w:r w:rsidRPr="00532BBA">
        <w:rPr>
          <w:sz w:val="22"/>
        </w:rPr>
        <w:t>SNB</w:t>
      </w:r>
      <w:r w:rsidRPr="00532BBA">
        <w:rPr>
          <w:sz w:val="22"/>
          <w:cs/>
        </w:rPr>
        <w:t>”</w:t>
      </w:r>
      <w:r w:rsidRPr="00532BBA">
        <w:rPr>
          <w:sz w:val="22"/>
        </w:rPr>
        <w:t xml:space="preserve">és </w:t>
      </w:r>
      <w:r w:rsidRPr="00532BBA">
        <w:rPr>
          <w:sz w:val="22"/>
          <w:cs/>
        </w:rPr>
        <w:t>„</w:t>
      </w:r>
      <w:r w:rsidRPr="00532BBA">
        <w:rPr>
          <w:sz w:val="22"/>
        </w:rPr>
        <w:t>25</w:t>
      </w:r>
      <w:r w:rsidRPr="00532BBA">
        <w:rPr>
          <w:sz w:val="22"/>
          <w:cs/>
        </w:rPr>
        <w:t xml:space="preserve">” </w:t>
      </w:r>
      <w:r w:rsidR="00532902">
        <w:rPr>
          <w:sz w:val="22"/>
        </w:rPr>
        <w:t>jelöléssel</w:t>
      </w:r>
      <w:r w:rsidRPr="00532BBA">
        <w:rPr>
          <w:sz w:val="22"/>
        </w:rPr>
        <w:t xml:space="preserve">. A kapszula narancssárga </w:t>
      </w:r>
      <w:r w:rsidR="00532902">
        <w:rPr>
          <w:sz w:val="22"/>
        </w:rPr>
        <w:t>granulátumot tartalmaz</w:t>
      </w:r>
      <w:r w:rsidRPr="00532BBA">
        <w:rPr>
          <w:sz w:val="22"/>
        </w:rPr>
        <w:t>. A kapszula mérete: 3 (k</w:t>
      </w:r>
      <w:r w:rsidR="00532902">
        <w:rPr>
          <w:sz w:val="22"/>
        </w:rPr>
        <w:t>b.</w:t>
      </w:r>
      <w:r w:rsidRPr="00532BBA">
        <w:rPr>
          <w:sz w:val="22"/>
        </w:rPr>
        <w:t xml:space="preserve"> 16 mm hosszú</w:t>
      </w:r>
      <w:r w:rsidR="00532902">
        <w:rPr>
          <w:sz w:val="22"/>
        </w:rPr>
        <w:t>ságú</w:t>
      </w:r>
      <w:r w:rsidRPr="00532BBA">
        <w:rPr>
          <w:sz w:val="22"/>
        </w:rPr>
        <w:t>).</w:t>
      </w:r>
    </w:p>
    <w:p w14:paraId="1D15459F" w14:textId="77777777" w:rsidR="008071A1" w:rsidRPr="00532BBA" w:rsidRDefault="008071A1" w:rsidP="00F372B2">
      <w:pPr>
        <w:spacing w:line="240" w:lineRule="auto"/>
        <w:jc w:val="left"/>
        <w:rPr>
          <w:iCs/>
          <w:sz w:val="22"/>
          <w:szCs w:val="22"/>
          <w:u w:val="single"/>
        </w:rPr>
      </w:pPr>
    </w:p>
    <w:p w14:paraId="541CA294" w14:textId="2C2E450F" w:rsidR="008071A1" w:rsidRPr="00532BBA" w:rsidRDefault="00532BBA" w:rsidP="00F372B2">
      <w:pPr>
        <w:spacing w:line="240" w:lineRule="auto"/>
        <w:jc w:val="left"/>
        <w:rPr>
          <w:iCs/>
          <w:sz w:val="22"/>
          <w:szCs w:val="22"/>
          <w:u w:val="single"/>
        </w:rPr>
      </w:pPr>
      <w:r w:rsidRPr="00532BBA">
        <w:rPr>
          <w:sz w:val="22"/>
          <w:u w:val="single"/>
        </w:rPr>
        <w:t xml:space="preserve">Sunitinib-AZR </w:t>
      </w:r>
      <w:r w:rsidR="00C92F76" w:rsidRPr="00532BBA">
        <w:rPr>
          <w:sz w:val="22"/>
          <w:u w:val="single"/>
        </w:rPr>
        <w:t>37,5 mg</w:t>
      </w:r>
      <w:r w:rsidR="00E679D9">
        <w:rPr>
          <w:sz w:val="22"/>
          <w:u w:val="single"/>
        </w:rPr>
        <w:t xml:space="preserve"> kemény</w:t>
      </w:r>
      <w:r w:rsidR="00C92F76" w:rsidRPr="00532BBA">
        <w:rPr>
          <w:sz w:val="22"/>
          <w:u w:val="single"/>
        </w:rPr>
        <w:t xml:space="preserve"> kapszula</w:t>
      </w:r>
    </w:p>
    <w:p w14:paraId="6995DBFC" w14:textId="49BB5426" w:rsidR="008071A1" w:rsidRPr="00532BBA" w:rsidRDefault="00C92F76" w:rsidP="00F372B2">
      <w:pPr>
        <w:spacing w:line="240" w:lineRule="auto"/>
        <w:jc w:val="left"/>
        <w:rPr>
          <w:iCs/>
          <w:sz w:val="22"/>
          <w:szCs w:val="22"/>
        </w:rPr>
      </w:pPr>
      <w:r w:rsidRPr="00532BBA">
        <w:rPr>
          <w:sz w:val="22"/>
        </w:rPr>
        <w:t xml:space="preserve">Kemény zselatinkapszula sárga felső és alsó résszel, az alsó részen fekete </w:t>
      </w:r>
      <w:r w:rsidRPr="00532BBA">
        <w:rPr>
          <w:sz w:val="22"/>
          <w:cs/>
        </w:rPr>
        <w:t>„</w:t>
      </w:r>
      <w:r w:rsidRPr="00532BBA">
        <w:rPr>
          <w:sz w:val="22"/>
        </w:rPr>
        <w:t>SNB</w:t>
      </w:r>
      <w:r w:rsidRPr="00532BBA">
        <w:rPr>
          <w:sz w:val="22"/>
          <w:cs/>
        </w:rPr>
        <w:t>”</w:t>
      </w:r>
      <w:r w:rsidRPr="00532BBA">
        <w:rPr>
          <w:sz w:val="22"/>
        </w:rPr>
        <w:t>és</w:t>
      </w:r>
      <w:r w:rsidR="00471C90" w:rsidRPr="00532BBA">
        <w:rPr>
          <w:sz w:val="22"/>
        </w:rPr>
        <w:t xml:space="preserve"> </w:t>
      </w:r>
      <w:r w:rsidRPr="00532BBA">
        <w:rPr>
          <w:sz w:val="22"/>
          <w:cs/>
        </w:rPr>
        <w:t>„</w:t>
      </w:r>
      <w:r w:rsidRPr="00532BBA">
        <w:rPr>
          <w:sz w:val="22"/>
        </w:rPr>
        <w:t>37</w:t>
      </w:r>
      <w:r w:rsidR="00734B8E" w:rsidRPr="00532BBA">
        <w:rPr>
          <w:sz w:val="22"/>
        </w:rPr>
        <w:t>.</w:t>
      </w:r>
      <w:r w:rsidRPr="00532BBA">
        <w:rPr>
          <w:sz w:val="22"/>
        </w:rPr>
        <w:t>5</w:t>
      </w:r>
      <w:r w:rsidRPr="00532BBA">
        <w:rPr>
          <w:sz w:val="22"/>
          <w:cs/>
        </w:rPr>
        <w:t xml:space="preserve">” </w:t>
      </w:r>
      <w:r w:rsidR="00532902">
        <w:rPr>
          <w:sz w:val="22"/>
        </w:rPr>
        <w:t>jelölésse</w:t>
      </w:r>
      <w:r w:rsidRPr="00532BBA">
        <w:rPr>
          <w:sz w:val="22"/>
        </w:rPr>
        <w:t xml:space="preserve">l. A kapszula narancssárga </w:t>
      </w:r>
      <w:r w:rsidR="00532902">
        <w:rPr>
          <w:sz w:val="22"/>
        </w:rPr>
        <w:t>granulátumot tartalmaz</w:t>
      </w:r>
      <w:r w:rsidRPr="00532BBA">
        <w:rPr>
          <w:sz w:val="22"/>
        </w:rPr>
        <w:t>. A kapszula mérete: 2 (k</w:t>
      </w:r>
      <w:r w:rsidR="00532902">
        <w:rPr>
          <w:sz w:val="22"/>
        </w:rPr>
        <w:t>b.</w:t>
      </w:r>
      <w:r w:rsidRPr="00532BBA">
        <w:rPr>
          <w:sz w:val="22"/>
        </w:rPr>
        <w:t xml:space="preserve"> 18 mm hosszú</w:t>
      </w:r>
      <w:r w:rsidR="00532902">
        <w:rPr>
          <w:sz w:val="22"/>
        </w:rPr>
        <w:t>ságú</w:t>
      </w:r>
      <w:r w:rsidRPr="00532BBA">
        <w:rPr>
          <w:sz w:val="22"/>
        </w:rPr>
        <w:t>).</w:t>
      </w:r>
    </w:p>
    <w:p w14:paraId="352532AE" w14:textId="77777777" w:rsidR="008071A1" w:rsidRPr="00532BBA" w:rsidRDefault="008071A1" w:rsidP="00F372B2">
      <w:pPr>
        <w:spacing w:line="240" w:lineRule="auto"/>
        <w:jc w:val="left"/>
        <w:rPr>
          <w:iCs/>
          <w:sz w:val="22"/>
          <w:szCs w:val="22"/>
          <w:u w:val="single"/>
        </w:rPr>
      </w:pPr>
    </w:p>
    <w:p w14:paraId="6F1618C5" w14:textId="329819AF" w:rsidR="008071A1" w:rsidRPr="00532BBA" w:rsidRDefault="00532BBA" w:rsidP="00F372B2">
      <w:pPr>
        <w:spacing w:line="240" w:lineRule="auto"/>
        <w:jc w:val="left"/>
        <w:rPr>
          <w:iCs/>
          <w:sz w:val="22"/>
          <w:szCs w:val="22"/>
          <w:u w:val="single"/>
        </w:rPr>
      </w:pPr>
      <w:r w:rsidRPr="00532BBA">
        <w:rPr>
          <w:sz w:val="22"/>
          <w:u w:val="single"/>
        </w:rPr>
        <w:t xml:space="preserve">Sunitinib-AZR </w:t>
      </w:r>
      <w:r w:rsidR="00C92F76" w:rsidRPr="00532BBA">
        <w:rPr>
          <w:sz w:val="22"/>
          <w:u w:val="single"/>
        </w:rPr>
        <w:t>50 mg</w:t>
      </w:r>
      <w:r w:rsidR="00E679D9">
        <w:rPr>
          <w:sz w:val="22"/>
          <w:u w:val="single"/>
        </w:rPr>
        <w:t xml:space="preserve"> kemény</w:t>
      </w:r>
      <w:r w:rsidR="00C92F76" w:rsidRPr="00532BBA">
        <w:rPr>
          <w:sz w:val="22"/>
          <w:u w:val="single"/>
        </w:rPr>
        <w:t xml:space="preserve"> kapszula</w:t>
      </w:r>
    </w:p>
    <w:p w14:paraId="3DC13C6C" w14:textId="496B1B0B" w:rsidR="008071A1" w:rsidRPr="00445457" w:rsidRDefault="00C92F76" w:rsidP="00F372B2">
      <w:pPr>
        <w:spacing w:line="240" w:lineRule="auto"/>
        <w:jc w:val="left"/>
        <w:rPr>
          <w:iCs/>
          <w:sz w:val="22"/>
          <w:szCs w:val="22"/>
        </w:rPr>
      </w:pPr>
      <w:r w:rsidRPr="00532BBA">
        <w:rPr>
          <w:sz w:val="22"/>
        </w:rPr>
        <w:t>Kemény zselatinkapszula karamellszínű felső és</w:t>
      </w:r>
      <w:r w:rsidR="00532902" w:rsidRPr="00532902">
        <w:rPr>
          <w:sz w:val="22"/>
        </w:rPr>
        <w:t xml:space="preserve"> </w:t>
      </w:r>
      <w:r w:rsidR="00532902" w:rsidRPr="00532BBA">
        <w:rPr>
          <w:sz w:val="22"/>
        </w:rPr>
        <w:t>karamellszínű (világosbarna</w:t>
      </w:r>
      <w:r w:rsidR="00532902">
        <w:rPr>
          <w:sz w:val="22"/>
        </w:rPr>
        <w:t>)</w:t>
      </w:r>
      <w:r w:rsidRPr="00532BBA">
        <w:rPr>
          <w:sz w:val="22"/>
        </w:rPr>
        <w:t xml:space="preserve"> alsó résszel, az alsó részen fekete </w:t>
      </w:r>
      <w:r w:rsidRPr="00532BBA">
        <w:rPr>
          <w:sz w:val="22"/>
          <w:cs/>
        </w:rPr>
        <w:t>„</w:t>
      </w:r>
      <w:r w:rsidRPr="00532BBA">
        <w:rPr>
          <w:sz w:val="22"/>
        </w:rPr>
        <w:t>SNB</w:t>
      </w:r>
      <w:r w:rsidRPr="00532BBA">
        <w:rPr>
          <w:sz w:val="22"/>
          <w:cs/>
        </w:rPr>
        <w:t>”</w:t>
      </w:r>
      <w:r w:rsidRPr="00532BBA">
        <w:rPr>
          <w:sz w:val="22"/>
        </w:rPr>
        <w:t>és</w:t>
      </w:r>
      <w:r w:rsidR="00471C90" w:rsidRPr="00532BBA">
        <w:rPr>
          <w:sz w:val="22"/>
        </w:rPr>
        <w:t xml:space="preserve"> </w:t>
      </w:r>
      <w:r w:rsidRPr="00532BBA">
        <w:rPr>
          <w:sz w:val="22"/>
          <w:cs/>
        </w:rPr>
        <w:t>„</w:t>
      </w:r>
      <w:r w:rsidRPr="00532BBA">
        <w:rPr>
          <w:sz w:val="22"/>
        </w:rPr>
        <w:t>50</w:t>
      </w:r>
      <w:r w:rsidRPr="00532BBA">
        <w:rPr>
          <w:sz w:val="22"/>
          <w:cs/>
        </w:rPr>
        <w:t xml:space="preserve">” </w:t>
      </w:r>
      <w:r w:rsidR="00532902">
        <w:rPr>
          <w:sz w:val="22"/>
        </w:rPr>
        <w:t>jelöléssel.</w:t>
      </w:r>
      <w:r w:rsidRPr="00532BBA">
        <w:rPr>
          <w:sz w:val="22"/>
        </w:rPr>
        <w:t xml:space="preserve"> A kapszula narancssárga </w:t>
      </w:r>
      <w:r w:rsidR="00532902">
        <w:rPr>
          <w:sz w:val="22"/>
        </w:rPr>
        <w:t>granulátumot tartalmaz</w:t>
      </w:r>
      <w:r w:rsidRPr="00532BBA">
        <w:rPr>
          <w:sz w:val="22"/>
        </w:rPr>
        <w:t>. A kapszula mérete: 1</w:t>
      </w:r>
      <w:r w:rsidR="00532902">
        <w:rPr>
          <w:sz w:val="22"/>
        </w:rPr>
        <w:t xml:space="preserve"> </w:t>
      </w:r>
      <w:r w:rsidRPr="00532BBA">
        <w:rPr>
          <w:sz w:val="22"/>
        </w:rPr>
        <w:t>EL (</w:t>
      </w:r>
      <w:r w:rsidR="00532902">
        <w:rPr>
          <w:sz w:val="22"/>
        </w:rPr>
        <w:t>hosszúkás</w:t>
      </w:r>
      <w:r w:rsidRPr="00532BBA">
        <w:rPr>
          <w:sz w:val="22"/>
        </w:rPr>
        <w:t>, k</w:t>
      </w:r>
      <w:r w:rsidR="00532902">
        <w:rPr>
          <w:sz w:val="22"/>
        </w:rPr>
        <w:t>b.</w:t>
      </w:r>
      <w:r w:rsidRPr="00532BBA">
        <w:rPr>
          <w:sz w:val="22"/>
        </w:rPr>
        <w:t xml:space="preserve"> 20 mm hosszú</w:t>
      </w:r>
      <w:r w:rsidR="00532902">
        <w:rPr>
          <w:sz w:val="22"/>
        </w:rPr>
        <w:t>ságú</w:t>
      </w:r>
      <w:r w:rsidRPr="00532BBA">
        <w:rPr>
          <w:sz w:val="22"/>
        </w:rPr>
        <w:t>).</w:t>
      </w:r>
    </w:p>
    <w:p w14:paraId="3937C2A4" w14:textId="77777777" w:rsidR="008071A1" w:rsidRPr="00445457" w:rsidRDefault="008071A1" w:rsidP="00F372B2">
      <w:pPr>
        <w:spacing w:line="240" w:lineRule="auto"/>
        <w:jc w:val="left"/>
        <w:rPr>
          <w:sz w:val="22"/>
          <w:szCs w:val="22"/>
        </w:rPr>
      </w:pPr>
    </w:p>
    <w:p w14:paraId="2B32EB64" w14:textId="77777777" w:rsidR="00821515" w:rsidRPr="00445457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5B7D1EB0" w14:textId="02497853" w:rsidR="00821515" w:rsidRDefault="0084446C" w:rsidP="00F372B2">
      <w:pPr>
        <w:pStyle w:val="Cmsor1"/>
        <w:tabs>
          <w:tab w:val="clear" w:pos="1140"/>
        </w:tabs>
        <w:spacing w:after="0" w:line="240" w:lineRule="auto"/>
        <w:ind w:left="0" w:firstLine="0"/>
        <w:jc w:val="left"/>
        <w:rPr>
          <w:caps/>
          <w:sz w:val="22"/>
        </w:rPr>
      </w:pPr>
      <w:r>
        <w:rPr>
          <w:caps/>
          <w:sz w:val="22"/>
        </w:rPr>
        <w:t>4.</w:t>
      </w:r>
      <w:r>
        <w:rPr>
          <w:caps/>
          <w:sz w:val="22"/>
        </w:rPr>
        <w:tab/>
      </w:r>
      <w:r w:rsidR="00C92F76">
        <w:rPr>
          <w:caps/>
          <w:sz w:val="22"/>
        </w:rPr>
        <w:t>KLINIKAI JELLEMZŐK</w:t>
      </w:r>
    </w:p>
    <w:p w14:paraId="5799BDCD" w14:textId="77777777" w:rsidR="0084446C" w:rsidRPr="00F372B2" w:rsidRDefault="0084446C" w:rsidP="00F372B2"/>
    <w:p w14:paraId="6A0F2B17" w14:textId="6D00A797" w:rsidR="005F2B47" w:rsidRDefault="0084446C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4.1</w:t>
      </w:r>
      <w:r>
        <w:rPr>
          <w:sz w:val="22"/>
        </w:rPr>
        <w:tab/>
      </w:r>
      <w:r w:rsidR="00C92F76">
        <w:rPr>
          <w:sz w:val="22"/>
        </w:rPr>
        <w:t>Terápiás javallatok</w:t>
      </w:r>
    </w:p>
    <w:p w14:paraId="4D2A35BB" w14:textId="77777777" w:rsidR="0084446C" w:rsidRPr="00F372B2" w:rsidRDefault="0084446C" w:rsidP="00F372B2">
      <w:pPr>
        <w:rPr>
          <w:sz w:val="22"/>
          <w:szCs w:val="22"/>
        </w:rPr>
      </w:pPr>
    </w:p>
    <w:p w14:paraId="62F4F36F" w14:textId="77777777" w:rsidR="00872D6B" w:rsidRPr="00445457" w:rsidRDefault="00C92F76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lastRenderedPageBreak/>
        <w:t xml:space="preserve">Gastrointestinalis stroma tumor (GIST) </w:t>
      </w:r>
    </w:p>
    <w:p w14:paraId="6A2BE09C" w14:textId="17393F74" w:rsidR="00872D6B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 </w:t>
      </w:r>
      <w:r w:rsidR="00532BBA">
        <w:rPr>
          <w:sz w:val="22"/>
        </w:rPr>
        <w:t>Sunitinib</w:t>
      </w:r>
      <w:r w:rsidR="00536232">
        <w:rPr>
          <w:sz w:val="22"/>
        </w:rPr>
        <w:noBreakHyphen/>
        <w:t>AZR</w:t>
      </w:r>
      <w:r>
        <w:rPr>
          <w:sz w:val="22"/>
        </w:rPr>
        <w:t xml:space="preserve"> a gastrointestinalis stromából kiinduló, nem reszekálható és/vagy metasztatizáló malignus tumorok (GIST) kezelésére javallott felnőtteknél, rezisztencia vagy intolerancia miatt sikertelen imatinib</w:t>
      </w:r>
      <w:r w:rsidR="00B00CA3">
        <w:rPr>
          <w:sz w:val="22"/>
        </w:rPr>
        <w:t>-</w:t>
      </w:r>
      <w:r>
        <w:rPr>
          <w:sz w:val="22"/>
        </w:rPr>
        <w:t xml:space="preserve">kezelést követően. </w:t>
      </w:r>
    </w:p>
    <w:p w14:paraId="39B559E2" w14:textId="2CF95521" w:rsidR="00D31813" w:rsidRPr="00445457" w:rsidRDefault="00C92F76" w:rsidP="00B00CA3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</w:rPr>
        <w:t xml:space="preserve"> </w:t>
      </w:r>
    </w:p>
    <w:p w14:paraId="7D45FB1B" w14:textId="77777777" w:rsidR="00872D6B" w:rsidRPr="00445457" w:rsidRDefault="00C92F76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Metasztatizáló vesesejtes carcinoma (metastatic renal cell carcinoma, MRCC) </w:t>
      </w:r>
    </w:p>
    <w:p w14:paraId="00BF2A02" w14:textId="24F9299B" w:rsidR="00872D6B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 </w:t>
      </w:r>
      <w:r w:rsidR="00532BBA">
        <w:rPr>
          <w:sz w:val="22"/>
        </w:rPr>
        <w:t>Sunitinib</w:t>
      </w:r>
      <w:r w:rsidR="00536232">
        <w:rPr>
          <w:sz w:val="22"/>
        </w:rPr>
        <w:noBreakHyphen/>
        <w:t>AZR</w:t>
      </w:r>
      <w:r>
        <w:rPr>
          <w:sz w:val="22"/>
        </w:rPr>
        <w:t xml:space="preserve"> előrehaladott/metasztatizáló vesesejtes carcinoma (MRCC) kezelésére javallott felnőtteknél. </w:t>
      </w:r>
    </w:p>
    <w:p w14:paraId="40BB311E" w14:textId="77777777" w:rsidR="00872D6B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6858340C" w14:textId="77777777" w:rsidR="00872D6B" w:rsidRPr="00445457" w:rsidRDefault="00C92F76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A pancreas neuroendokrin tumorai (pancreatic neuroendocrine tumour, pNET) </w:t>
      </w:r>
    </w:p>
    <w:p w14:paraId="1AD1A819" w14:textId="4F2DCC8A" w:rsidR="0069660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 </w:t>
      </w:r>
      <w:r w:rsidR="00532BBA">
        <w:rPr>
          <w:sz w:val="22"/>
        </w:rPr>
        <w:t>Sunitinib</w:t>
      </w:r>
      <w:r w:rsidR="00536232">
        <w:rPr>
          <w:sz w:val="22"/>
        </w:rPr>
        <w:noBreakHyphen/>
        <w:t>AZR</w:t>
      </w:r>
      <w:r>
        <w:rPr>
          <w:sz w:val="22"/>
        </w:rPr>
        <w:t xml:space="preserve"> a pancreas nem reszekálható vagy metasztatizáló, jól differenciált, progrediáló neuroendokrin tumorainak (pNET) </w:t>
      </w:r>
      <w:r w:rsidR="00B00CA3">
        <w:rPr>
          <w:sz w:val="22"/>
        </w:rPr>
        <w:t xml:space="preserve">a </w:t>
      </w:r>
      <w:r>
        <w:rPr>
          <w:sz w:val="22"/>
        </w:rPr>
        <w:t>kezelésére javallott felnőtteknél.</w:t>
      </w:r>
      <w:r w:rsidR="00471C90">
        <w:rPr>
          <w:sz w:val="22"/>
        </w:rPr>
        <w:t xml:space="preserve"> </w:t>
      </w:r>
    </w:p>
    <w:p w14:paraId="782A8498" w14:textId="77777777" w:rsidR="00872D6B" w:rsidRPr="00445457" w:rsidRDefault="00872D6B" w:rsidP="00B00CA3">
      <w:pPr>
        <w:spacing w:line="240" w:lineRule="auto"/>
        <w:jc w:val="left"/>
        <w:rPr>
          <w:sz w:val="22"/>
          <w:szCs w:val="22"/>
        </w:rPr>
      </w:pPr>
    </w:p>
    <w:p w14:paraId="122DC04B" w14:textId="48564F55" w:rsidR="00696603" w:rsidRDefault="0084446C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4.2</w:t>
      </w:r>
      <w:r>
        <w:rPr>
          <w:sz w:val="22"/>
        </w:rPr>
        <w:tab/>
      </w:r>
      <w:r w:rsidR="00C92F76">
        <w:rPr>
          <w:sz w:val="22"/>
        </w:rPr>
        <w:t>Adagolás és alkalmazás</w:t>
      </w:r>
    </w:p>
    <w:p w14:paraId="322E4500" w14:textId="77777777" w:rsidR="0084446C" w:rsidRPr="0084446C" w:rsidRDefault="0084446C" w:rsidP="00F372B2"/>
    <w:p w14:paraId="0036C781" w14:textId="0E77B2A3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 </w:t>
      </w:r>
      <w:r w:rsidR="00532BBA">
        <w:rPr>
          <w:sz w:val="22"/>
        </w:rPr>
        <w:t>Sunitinib</w:t>
      </w:r>
      <w:r w:rsidR="00536232">
        <w:rPr>
          <w:sz w:val="22"/>
        </w:rPr>
        <w:noBreakHyphen/>
        <w:t>AZR</w:t>
      </w:r>
      <w:r>
        <w:rPr>
          <w:sz w:val="22"/>
        </w:rPr>
        <w:t xml:space="preserve">-kezelést daganatellenes szerek alkalmazásában jártas orvosnak kell elkezdenie. </w:t>
      </w:r>
    </w:p>
    <w:p w14:paraId="50905390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4BE2A1E4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Adagolás </w:t>
      </w:r>
    </w:p>
    <w:p w14:paraId="5069833D" w14:textId="024A3FAB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GIST-ben és MRCC-ben a </w:t>
      </w:r>
      <w:r w:rsidR="00532BBA">
        <w:rPr>
          <w:sz w:val="22"/>
        </w:rPr>
        <w:t>Sunitinib</w:t>
      </w:r>
      <w:r w:rsidR="00536232">
        <w:rPr>
          <w:sz w:val="22"/>
        </w:rPr>
        <w:noBreakHyphen/>
        <w:t>AZR</w:t>
      </w:r>
      <w:r>
        <w:rPr>
          <w:sz w:val="22"/>
        </w:rPr>
        <w:t xml:space="preserve"> ajánlott adagja naponta egyszer 50 mg </w:t>
      </w:r>
      <w:r>
        <w:rPr>
          <w:i/>
          <w:sz w:val="22"/>
        </w:rPr>
        <w:t>per os</w:t>
      </w:r>
      <w:r>
        <w:rPr>
          <w:sz w:val="22"/>
        </w:rPr>
        <w:t xml:space="preserve">, négy egymást követő héten keresztül, amit két hét szünet követ (4/2-es adagolási rend). Ez ad ki egy teljes, 6 hetes kezelési ciklust. </w:t>
      </w:r>
    </w:p>
    <w:p w14:paraId="7ADCAC13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7EC24AD6" w14:textId="448CB023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pNET-ben a </w:t>
      </w:r>
      <w:r w:rsidR="00532BBA">
        <w:rPr>
          <w:sz w:val="22"/>
        </w:rPr>
        <w:t>Sunitinib</w:t>
      </w:r>
      <w:r w:rsidR="00536232">
        <w:rPr>
          <w:sz w:val="22"/>
        </w:rPr>
        <w:noBreakHyphen/>
        <w:t>AZR</w:t>
      </w:r>
      <w:r>
        <w:rPr>
          <w:sz w:val="22"/>
        </w:rPr>
        <w:t xml:space="preserve"> ajánlott adagja naponta egyszer 37,5 mg </w:t>
      </w:r>
      <w:r>
        <w:rPr>
          <w:i/>
          <w:sz w:val="22"/>
        </w:rPr>
        <w:t>per os</w:t>
      </w:r>
      <w:r>
        <w:rPr>
          <w:sz w:val="22"/>
        </w:rPr>
        <w:t xml:space="preserve">, előre meghatározott gyógyszermentes időszak nélkül. </w:t>
      </w:r>
    </w:p>
    <w:p w14:paraId="7EBDF058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57BA62DE" w14:textId="77777777" w:rsidR="0018655A" w:rsidRPr="00445457" w:rsidRDefault="00C92F76" w:rsidP="00F372B2">
      <w:pPr>
        <w:spacing w:line="240" w:lineRule="auto"/>
        <w:jc w:val="left"/>
        <w:rPr>
          <w:i/>
          <w:sz w:val="22"/>
          <w:szCs w:val="22"/>
          <w:u w:val="single"/>
        </w:rPr>
      </w:pPr>
      <w:r>
        <w:rPr>
          <w:i/>
          <w:sz w:val="22"/>
          <w:u w:val="single"/>
        </w:rPr>
        <w:t xml:space="preserve">Dózismódosítások </w:t>
      </w:r>
    </w:p>
    <w:p w14:paraId="246FC514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6EE84F5A" w14:textId="7443AE8C" w:rsidR="0018655A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>Biztonságosság és toler</w:t>
      </w:r>
      <w:r w:rsidR="002201B3">
        <w:rPr>
          <w:i/>
          <w:sz w:val="22"/>
        </w:rPr>
        <w:t>abilitás</w:t>
      </w:r>
      <w:r w:rsidR="00471C90">
        <w:rPr>
          <w:i/>
          <w:sz w:val="22"/>
        </w:rPr>
        <w:t xml:space="preserve"> </w:t>
      </w:r>
    </w:p>
    <w:p w14:paraId="61392DA6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GIST-ben és MRCC-ben a dózis 12,5 mg-os lépésenként módosítható, az egyéni biztonságosság és tolerabilitás alapján. A napi adag nem haladhatja meg a 75 mg-ot, illetve nem csökkenthető 25 mg alá. </w:t>
      </w:r>
    </w:p>
    <w:p w14:paraId="6999202E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32746D9D" w14:textId="638C2FB6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pNET-ben a dózis 12,5 mg-os lépésenként módosítható, az egyéni biztonságosság és tolerabilitás alapján. A pNET III. fázisú vizsgálatában alkalmazott leg</w:t>
      </w:r>
      <w:r w:rsidR="002201B3">
        <w:rPr>
          <w:sz w:val="22"/>
        </w:rPr>
        <w:t>magasabb</w:t>
      </w:r>
      <w:r>
        <w:rPr>
          <w:sz w:val="22"/>
        </w:rPr>
        <w:t xml:space="preserve"> adag naponta 50 mg volt. </w:t>
      </w:r>
    </w:p>
    <w:p w14:paraId="379DDEE7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3E7D069B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Az egyéni biztonságosság és tolerabilitás alapján szükség lehet az adagolás megszakítására. </w:t>
      </w:r>
    </w:p>
    <w:p w14:paraId="5D73351C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27C953FB" w14:textId="3F83CF68" w:rsidR="0018655A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>CYP3A4-inhibitorok/-induktorok</w:t>
      </w:r>
      <w:r w:rsidR="00471C90">
        <w:rPr>
          <w:i/>
          <w:sz w:val="22"/>
        </w:rPr>
        <w:t xml:space="preserve"> </w:t>
      </w:r>
    </w:p>
    <w:p w14:paraId="71A791BB" w14:textId="23D5358E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Erős CYP3A4-enziminduktorok,</w:t>
      </w:r>
      <w:r w:rsidR="002201B3">
        <w:rPr>
          <w:sz w:val="22"/>
        </w:rPr>
        <w:t xml:space="preserve"> mint</w:t>
      </w:r>
      <w:r>
        <w:rPr>
          <w:sz w:val="22"/>
        </w:rPr>
        <w:t xml:space="preserve"> pl. </w:t>
      </w:r>
      <w:r w:rsidR="002201B3">
        <w:rPr>
          <w:sz w:val="22"/>
        </w:rPr>
        <w:t xml:space="preserve">a </w:t>
      </w:r>
      <w:r>
        <w:rPr>
          <w:sz w:val="22"/>
        </w:rPr>
        <w:t>rifampicin szunitinibbel történő egyidejű alkalmazását kerülni kell (lásd 4.4 és 4.5 pont). Ha ez nem lehetséges, a szunitinib adagjának emelése válhat szükségessé 12,5 mg-os lépésekben (GIST-ben és MRCC-ben maximum 87,5 mg/nap adagig, pNET</w:t>
      </w:r>
      <w:r w:rsidR="002201B3">
        <w:rPr>
          <w:sz w:val="22"/>
        </w:rPr>
        <w:t>-</w:t>
      </w:r>
      <w:r>
        <w:rPr>
          <w:sz w:val="22"/>
        </w:rPr>
        <w:t xml:space="preserve">ben pedig 62,5 mg/nap adagig) a tolerabilitás körültekintő ellenőrzése mellett. </w:t>
      </w:r>
    </w:p>
    <w:p w14:paraId="448EB310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317837AB" w14:textId="67FC0E52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Erős CYP3A4-gátlók,</w:t>
      </w:r>
      <w:r w:rsidR="002201B3">
        <w:rPr>
          <w:sz w:val="22"/>
        </w:rPr>
        <w:t xml:space="preserve"> mint</w:t>
      </w:r>
      <w:r>
        <w:rPr>
          <w:sz w:val="22"/>
        </w:rPr>
        <w:t xml:space="preserve"> pl. </w:t>
      </w:r>
      <w:r w:rsidR="002201B3">
        <w:rPr>
          <w:sz w:val="22"/>
        </w:rPr>
        <w:t xml:space="preserve">a </w:t>
      </w:r>
      <w:r>
        <w:rPr>
          <w:sz w:val="22"/>
        </w:rPr>
        <w:t xml:space="preserve">ketokonazol szunitinibbel történő egyidejű alkalmazását kerülni kell (lásd 4.4 és 4.5 pont). Ha ez nem lehetséges, szükség lehet a szunitinib adagjának csökkentésére </w:t>
      </w:r>
      <w:r>
        <w:rPr>
          <w:sz w:val="22"/>
          <w:cs/>
        </w:rPr>
        <w:t xml:space="preserve">– </w:t>
      </w:r>
      <w:r>
        <w:rPr>
          <w:sz w:val="22"/>
        </w:rPr>
        <w:t xml:space="preserve">amely GIST-ben és MRCC-ben nem csökkenthető 37,5 mg/nap alá, pNET-ben pedig 25 mg/nap alá </w:t>
      </w:r>
      <w:r>
        <w:rPr>
          <w:sz w:val="22"/>
          <w:cs/>
        </w:rPr>
        <w:t xml:space="preserve">– </w:t>
      </w:r>
      <w:r>
        <w:rPr>
          <w:sz w:val="22"/>
        </w:rPr>
        <w:t>a tolerabilitás körültekintő ellenőrzése mellett.</w:t>
      </w:r>
      <w:r w:rsidR="00471C90">
        <w:rPr>
          <w:sz w:val="22"/>
        </w:rPr>
        <w:t xml:space="preserve"> </w:t>
      </w:r>
    </w:p>
    <w:p w14:paraId="6BFC6034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4C0396DD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Meg kell fontolni olyan alternatív, egyidejűleg alkalmazható gyógyszer választását, amely nem, illetve alig indukálja vagy gátolja a CYP3A4-et. </w:t>
      </w:r>
    </w:p>
    <w:p w14:paraId="40BF6C62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0AADCC1D" w14:textId="140F46E4" w:rsidR="0018655A" w:rsidRPr="00445457" w:rsidRDefault="002201B3" w:rsidP="00F372B2">
      <w:pPr>
        <w:spacing w:line="240" w:lineRule="auto"/>
        <w:jc w:val="left"/>
        <w:rPr>
          <w:i/>
          <w:sz w:val="22"/>
          <w:szCs w:val="22"/>
          <w:u w:val="single"/>
        </w:rPr>
      </w:pPr>
      <w:r>
        <w:rPr>
          <w:i/>
          <w:sz w:val="22"/>
          <w:u w:val="single"/>
        </w:rPr>
        <w:t>Különlege</w:t>
      </w:r>
      <w:r w:rsidR="00C92F76">
        <w:rPr>
          <w:i/>
          <w:sz w:val="22"/>
          <w:u w:val="single"/>
        </w:rPr>
        <w:t xml:space="preserve">s betegcsoportok </w:t>
      </w:r>
    </w:p>
    <w:p w14:paraId="487C2636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5DD2CFDD" w14:textId="50999963" w:rsidR="0018655A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>Gyermekek és serdülők</w:t>
      </w:r>
      <w:r w:rsidR="00471C90">
        <w:rPr>
          <w:i/>
          <w:sz w:val="22"/>
        </w:rPr>
        <w:t xml:space="preserve"> </w:t>
      </w:r>
    </w:p>
    <w:p w14:paraId="7B7D40DA" w14:textId="31577728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 </w:t>
      </w:r>
      <w:r w:rsidR="002201B3">
        <w:rPr>
          <w:sz w:val="22"/>
        </w:rPr>
        <w:t>sz</w:t>
      </w:r>
      <w:r w:rsidR="00532BBA">
        <w:rPr>
          <w:sz w:val="22"/>
        </w:rPr>
        <w:t>unitinib</w:t>
      </w:r>
      <w:r>
        <w:rPr>
          <w:sz w:val="22"/>
        </w:rPr>
        <w:t xml:space="preserve"> biztonságosságát és hatásosságát 18 évesnél fiatalabb betegek esetében nem igazolták. </w:t>
      </w:r>
    </w:p>
    <w:p w14:paraId="0F2DD6CC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6C95FD4A" w14:textId="2AA192F0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lastRenderedPageBreak/>
        <w:t>A jelenleg rendelkezésre álló adatok le</w:t>
      </w:r>
      <w:r w:rsidR="002201B3">
        <w:rPr>
          <w:sz w:val="22"/>
        </w:rPr>
        <w:t>irat</w:t>
      </w:r>
      <w:r>
        <w:rPr>
          <w:sz w:val="22"/>
        </w:rPr>
        <w:t>a a 4.8, 5.1 és 5.2 pontban található, de adagolásra vonatkozó</w:t>
      </w:r>
      <w:r w:rsidR="002201B3">
        <w:rPr>
          <w:sz w:val="22"/>
        </w:rPr>
        <w:t>an</w:t>
      </w:r>
      <w:r>
        <w:rPr>
          <w:sz w:val="22"/>
        </w:rPr>
        <w:t xml:space="preserve"> javaslat</w:t>
      </w:r>
      <w:r w:rsidR="002201B3">
        <w:rPr>
          <w:sz w:val="22"/>
        </w:rPr>
        <w:t xml:space="preserve"> nem adható</w:t>
      </w:r>
      <w:r>
        <w:rPr>
          <w:sz w:val="22"/>
        </w:rPr>
        <w:t xml:space="preserve">. </w:t>
      </w:r>
    </w:p>
    <w:p w14:paraId="5122EE07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44125CFB" w14:textId="138EBB43" w:rsidR="0018655A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 xml:space="preserve">Idősek </w:t>
      </w:r>
    </w:p>
    <w:p w14:paraId="0F85EC3E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Klinikai vizsgálatokban a szunitinibet kapó betegek kb. egyharmada 65 éves vagy annál idősebb volt. Nem észleltek jelentős különbséget a biztonságosság és a hatásosság vonatkozásában fiatalabb és idősebb betegek között. </w:t>
      </w:r>
    </w:p>
    <w:p w14:paraId="1FC4BEF2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59DE1B23" w14:textId="77777777" w:rsidR="0018655A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 xml:space="preserve">Májkárosodás </w:t>
      </w:r>
    </w:p>
    <w:p w14:paraId="38C3E3A9" w14:textId="24103BF6" w:rsidR="0018655A" w:rsidRPr="00445457" w:rsidRDefault="002201B3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 kezdő adag módosítása nem ajánlott, ha </w:t>
      </w:r>
      <w:r w:rsidR="00C92F76">
        <w:rPr>
          <w:sz w:val="22"/>
        </w:rPr>
        <w:t>a szunitinibet enyhe vagy közepes fokú (Child</w:t>
      </w:r>
      <w:r w:rsidR="00C92F76">
        <w:rPr>
          <w:sz w:val="22"/>
          <w:cs/>
        </w:rPr>
        <w:t>–</w:t>
      </w:r>
      <w:r w:rsidR="00C92F76">
        <w:rPr>
          <w:sz w:val="22"/>
        </w:rPr>
        <w:t xml:space="preserve">Pugh A és B stádiumú) májkárosodásban szenvedő betegeknek adják. A szunitinibet </w:t>
      </w:r>
      <w:r>
        <w:rPr>
          <w:sz w:val="22"/>
        </w:rPr>
        <w:t xml:space="preserve">nem vizsgálták </w:t>
      </w:r>
      <w:r w:rsidR="00C92F76">
        <w:rPr>
          <w:sz w:val="22"/>
        </w:rPr>
        <w:t>súlyos (Child</w:t>
      </w:r>
      <w:r w:rsidR="00C92F76">
        <w:rPr>
          <w:sz w:val="22"/>
          <w:cs/>
        </w:rPr>
        <w:t>–</w:t>
      </w:r>
      <w:r w:rsidR="00C92F76">
        <w:rPr>
          <w:sz w:val="22"/>
        </w:rPr>
        <w:t xml:space="preserve">Pugh C stádiumú) májkárosodásban szenvedő egyéneknél, ezért alkalmazása súlyos májkárosodásban szenvedő betegeknél nem javasolható (lásd 5.2 pont). </w:t>
      </w:r>
    </w:p>
    <w:p w14:paraId="4E018AFB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2C3DAF0E" w14:textId="77777777" w:rsidR="0018655A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 xml:space="preserve">Vesekárosodás </w:t>
      </w:r>
    </w:p>
    <w:p w14:paraId="557166D4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A kezdő dózis módosítása nem szükséges, ha a szunitinibet enyhe</w:t>
      </w:r>
      <w:r>
        <w:rPr>
          <w:sz w:val="22"/>
          <w:cs/>
        </w:rPr>
        <w:t>–</w:t>
      </w:r>
      <w:r>
        <w:rPr>
          <w:sz w:val="22"/>
        </w:rPr>
        <w:t xml:space="preserve">súlyos vesekárosodásban szenvedő betegeknek vagy haemodialysisben részesülő, végstádiumú vesebetegségben (end-stage renal disease, ESDR) szenvedő betegeknek adják. A későbbi dózismódosításoknak az egyéni biztonságosságon és tolerabilitáson kell alapulniuk (lásd 5.2 pont). </w:t>
      </w:r>
    </w:p>
    <w:p w14:paraId="7A82BC70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04840456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Az alkalmazás módja </w:t>
      </w:r>
    </w:p>
    <w:p w14:paraId="57A6FD3B" w14:textId="452832C3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 </w:t>
      </w:r>
      <w:r w:rsidR="00532BBA">
        <w:rPr>
          <w:sz w:val="22"/>
        </w:rPr>
        <w:t>Sunitinib</w:t>
      </w:r>
      <w:r w:rsidR="00536232">
        <w:rPr>
          <w:sz w:val="22"/>
        </w:rPr>
        <w:noBreakHyphen/>
        <w:t>AZR</w:t>
      </w:r>
      <w:r>
        <w:rPr>
          <w:sz w:val="22"/>
        </w:rPr>
        <w:t xml:space="preserve"> készítményt szájon át kell alkalmazni. Étkezés közben vagy étkezéstől függetlenül is bevehető. </w:t>
      </w:r>
    </w:p>
    <w:p w14:paraId="3C4D9DCB" w14:textId="77777777" w:rsidR="0018655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08AB5B07" w14:textId="77777777" w:rsidR="00821515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Ha a beteg kihagy egy adagot, soron kívül ne vegyen be, csak a következő napon, a szokásos előírt adagot.</w:t>
      </w:r>
    </w:p>
    <w:p w14:paraId="30CFCCB2" w14:textId="77777777" w:rsidR="0018655A" w:rsidRPr="00445457" w:rsidRDefault="0018655A" w:rsidP="00B00CA3">
      <w:pPr>
        <w:spacing w:line="240" w:lineRule="auto"/>
        <w:jc w:val="left"/>
        <w:rPr>
          <w:sz w:val="22"/>
          <w:szCs w:val="22"/>
        </w:rPr>
      </w:pPr>
    </w:p>
    <w:p w14:paraId="2EECA880" w14:textId="42D4F09E" w:rsidR="00696603" w:rsidRDefault="0084446C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4.3</w:t>
      </w:r>
      <w:r>
        <w:rPr>
          <w:sz w:val="22"/>
        </w:rPr>
        <w:tab/>
      </w:r>
      <w:r w:rsidR="00C92F76">
        <w:rPr>
          <w:sz w:val="22"/>
        </w:rPr>
        <w:t>Ellenjavallatok</w:t>
      </w:r>
    </w:p>
    <w:p w14:paraId="7E1FC47F" w14:textId="77777777" w:rsidR="0084446C" w:rsidRPr="0084446C" w:rsidRDefault="0084446C" w:rsidP="00F372B2"/>
    <w:p w14:paraId="4808F630" w14:textId="77777777" w:rsidR="00821515" w:rsidRPr="00445457" w:rsidRDefault="00C92F76" w:rsidP="00F372B2">
      <w:pPr>
        <w:tabs>
          <w:tab w:val="left" w:pos="0"/>
        </w:tabs>
        <w:spacing w:line="240" w:lineRule="auto"/>
        <w:jc w:val="left"/>
        <w:rPr>
          <w:sz w:val="22"/>
          <w:szCs w:val="22"/>
        </w:rPr>
      </w:pPr>
      <w:r>
        <w:rPr>
          <w:sz w:val="22"/>
        </w:rPr>
        <w:t>A készítmény hatóanyagával vagy a 6.1 pontban felsorolt bármely segédanyagával szembeni túlérzékenység.</w:t>
      </w:r>
    </w:p>
    <w:p w14:paraId="1AD9786A" w14:textId="77777777" w:rsidR="00821515" w:rsidRPr="00445457" w:rsidRDefault="00821515" w:rsidP="00F372B2">
      <w:pPr>
        <w:tabs>
          <w:tab w:val="left" w:pos="0"/>
        </w:tabs>
        <w:spacing w:line="240" w:lineRule="auto"/>
        <w:jc w:val="left"/>
        <w:rPr>
          <w:sz w:val="22"/>
          <w:szCs w:val="22"/>
        </w:rPr>
      </w:pPr>
    </w:p>
    <w:p w14:paraId="23ED4058" w14:textId="731AFD43" w:rsidR="00696603" w:rsidRDefault="0084446C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4.4</w:t>
      </w:r>
      <w:r>
        <w:rPr>
          <w:sz w:val="22"/>
        </w:rPr>
        <w:tab/>
      </w:r>
      <w:r w:rsidR="00C92F76">
        <w:rPr>
          <w:sz w:val="22"/>
        </w:rPr>
        <w:t>Különleges figyelmeztetések és az alkalmazással kapcsolatos óvintézkedések</w:t>
      </w:r>
    </w:p>
    <w:p w14:paraId="6D72DA4A" w14:textId="77777777" w:rsidR="0084446C" w:rsidRPr="0084446C" w:rsidRDefault="0084446C" w:rsidP="00F372B2"/>
    <w:p w14:paraId="5FCA2E88" w14:textId="1DD90E28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A készítmény erős CYP3A4-induktorokkal történő egyidejű alkalmazását kerülni kell, mert </w:t>
      </w:r>
      <w:r w:rsidR="002201B3">
        <w:rPr>
          <w:color w:val="000000"/>
          <w:sz w:val="22"/>
        </w:rPr>
        <w:t>eze</w:t>
      </w:r>
      <w:r>
        <w:rPr>
          <w:color w:val="000000"/>
          <w:sz w:val="22"/>
        </w:rPr>
        <w:t xml:space="preserve">k csökkenthetik a szunitinib plazmakoncentrációját (lásd 4.2 és 4.5 pont). </w:t>
      </w:r>
    </w:p>
    <w:p w14:paraId="6A680AF2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3478C333" w14:textId="2B00DA71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A készítmény erős CYP3A4-gátlókkal történő egyidejű alkalmazását kerülni kell, mert </w:t>
      </w:r>
      <w:r w:rsidR="002201B3">
        <w:rPr>
          <w:color w:val="000000"/>
          <w:sz w:val="22"/>
        </w:rPr>
        <w:t>eze</w:t>
      </w:r>
      <w:r>
        <w:rPr>
          <w:color w:val="000000"/>
          <w:sz w:val="22"/>
        </w:rPr>
        <w:t xml:space="preserve">k megnövelhetik a szunitinib plazmakoncentrációját (lásd 4.2 és 4.5 pont). </w:t>
      </w:r>
    </w:p>
    <w:p w14:paraId="17E55AD7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54DA9F61" w14:textId="5AC8E695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A bőr és a bőr alatti szövet betegségei </w:t>
      </w:r>
    </w:p>
    <w:p w14:paraId="62212BB2" w14:textId="4596E1D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betegeket tájékoztatni kell, hogy előfordulhat a haj vagy bőr depigmentálódása</w:t>
      </w:r>
      <w:r w:rsidR="00D81E9F">
        <w:rPr>
          <w:color w:val="000000"/>
          <w:sz w:val="22"/>
        </w:rPr>
        <w:t xml:space="preserve"> a szunitinib-kezelés alatt</w:t>
      </w:r>
      <w:r>
        <w:rPr>
          <w:color w:val="000000"/>
          <w:sz w:val="22"/>
        </w:rPr>
        <w:t xml:space="preserve">. Egyéb lehetséges bőrgyógyászati hatások a bőrszárazság, a bőr megvastagodása vagy kirepedezése, hólyagok képződése, vagy kiütések a tenyéren és a talpon. </w:t>
      </w:r>
    </w:p>
    <w:p w14:paraId="2D96353D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76853C60" w14:textId="52410FF2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fenti reakciók nem voltak kumulatívak, jellemzően reverz</w:t>
      </w:r>
      <w:r w:rsidR="00D81E9F">
        <w:rPr>
          <w:color w:val="000000"/>
          <w:sz w:val="22"/>
        </w:rPr>
        <w:t>i</w:t>
      </w:r>
      <w:r>
        <w:rPr>
          <w:color w:val="000000"/>
          <w:sz w:val="22"/>
        </w:rPr>
        <w:t>bilisek voltak és általában nem vezettek a kezelés megszakításához. Beszámoltak pyoderma gangrenosumo</w:t>
      </w:r>
      <w:r w:rsidR="00D81E9F">
        <w:rPr>
          <w:color w:val="000000"/>
          <w:sz w:val="22"/>
        </w:rPr>
        <w:t>t leíró</w:t>
      </w:r>
      <w:r>
        <w:rPr>
          <w:color w:val="000000"/>
          <w:sz w:val="22"/>
        </w:rPr>
        <w:t xml:space="preserve"> esetekről, ami általában reverz</w:t>
      </w:r>
      <w:r w:rsidR="00D81E9F">
        <w:rPr>
          <w:color w:val="000000"/>
          <w:sz w:val="22"/>
        </w:rPr>
        <w:t>i</w:t>
      </w:r>
      <w:r>
        <w:rPr>
          <w:color w:val="000000"/>
          <w:sz w:val="22"/>
        </w:rPr>
        <w:t>bilis volt a szunitinib elhagyását követően. Súlyos bőrreakciókat jelentettek, köztük erythema multiformét (EM)</w:t>
      </w:r>
      <w:r w:rsidR="00D81E9F">
        <w:rPr>
          <w:color w:val="000000"/>
          <w:sz w:val="22"/>
        </w:rPr>
        <w:t xml:space="preserve"> leíró eseteket</w:t>
      </w:r>
      <w:r>
        <w:rPr>
          <w:color w:val="000000"/>
          <w:sz w:val="22"/>
        </w:rPr>
        <w:t>, valamint Stevens</w:t>
      </w:r>
      <w:r>
        <w:rPr>
          <w:color w:val="000000"/>
          <w:sz w:val="22"/>
          <w:cs/>
        </w:rPr>
        <w:t>–</w:t>
      </w:r>
      <w:r>
        <w:rPr>
          <w:color w:val="000000"/>
          <w:sz w:val="22"/>
        </w:rPr>
        <w:t>Johnson-szindrómára (SJS) és toxicus epidermalis necrolysisre (TEN) utaló eseteket, amelyek közül néhány halálos kimenetelű volt. Ha az SJS, TEN vagy EM jelei vagy tünetei (pl. progrediáló, gyakran hólyagokkal vagy nyálkahártya-léziókkal járó bőrkiütések) jelen vannak, a szunitinib</w:t>
      </w:r>
      <w:r w:rsidR="00D81E9F">
        <w:rPr>
          <w:color w:val="000000"/>
          <w:sz w:val="22"/>
        </w:rPr>
        <w:t>-</w:t>
      </w:r>
      <w:r>
        <w:rPr>
          <w:color w:val="000000"/>
          <w:sz w:val="22"/>
        </w:rPr>
        <w:t>kezelést le kell állítani. Ha az SJS vagy TEN diagnózisa beigazolódott, a kezelést tilos újrakezdeni. Néhány feltételezett EM esetében a betegek a reakció elmúlása után, alacsonyabb dózis mellett tolerálták a szunitinib</w:t>
      </w:r>
      <w:r w:rsidR="00D81E9F">
        <w:rPr>
          <w:color w:val="000000"/>
          <w:sz w:val="22"/>
        </w:rPr>
        <w:t>-</w:t>
      </w:r>
      <w:r>
        <w:rPr>
          <w:color w:val="000000"/>
          <w:sz w:val="22"/>
        </w:rPr>
        <w:t>kezelés újrakezdését. Néhány ilyen beteg egyidejűleg kortikoszteroid- vagy antihisztamin</w:t>
      </w:r>
      <w:r w:rsidR="00D81E9F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kezelést is kapott (lásd 4.8 pont). </w:t>
      </w:r>
    </w:p>
    <w:p w14:paraId="706A1932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315589C7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lastRenderedPageBreak/>
        <w:t xml:space="preserve">Vérzés és tumorvérzés </w:t>
      </w:r>
    </w:p>
    <w:p w14:paraId="39935F73" w14:textId="250DAA9B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A szunitinibbel végzett klinikai vizsgálatokban és a forgalomba hozatalt követő felmérések során vérzéses eseteket, köztük gastrointestinalis, légzőrendszeri, húgyúti és agyvérzést jelentettek, melyek néhány esetben halálos kimenetelűek voltak (lásd 4.8 pont). </w:t>
      </w:r>
    </w:p>
    <w:p w14:paraId="65C1958B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4E92DC5F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A vérzéses események értékelésekor rutinszerűen teljes vérkép- és fizikális vizsgálatot is végezni kell. </w:t>
      </w:r>
    </w:p>
    <w:p w14:paraId="731D1169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3D31CE60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Az orrvérzés volt a leggyakoribb vérzéses mellékhatás, amely a vérzéses eseményről beszámoló, szolid tumorban szenvedő betegek kb. felénél előfordult. Ezen vérzéses események közül néhány súlyos volt, de csak nagyon ritkán volt halálos kimenetelű. </w:t>
      </w:r>
    </w:p>
    <w:p w14:paraId="3AC6FBA3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7EB06FFB" w14:textId="1856C12C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Tumorvérzéses eseményeket jelentettek, olykor tumor necrosissal összefüggésben. Eze</w:t>
      </w:r>
      <w:r w:rsidR="00D81E9F">
        <w:rPr>
          <w:color w:val="000000"/>
          <w:sz w:val="22"/>
        </w:rPr>
        <w:t>k közül a</w:t>
      </w:r>
      <w:r>
        <w:rPr>
          <w:color w:val="000000"/>
          <w:sz w:val="22"/>
        </w:rPr>
        <w:t xml:space="preserve"> vérzéses események közül néhány halálos kimenetelű volt. </w:t>
      </w:r>
    </w:p>
    <w:p w14:paraId="51C4F33B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0BB412CD" w14:textId="66D937F6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tumorvérzés hirtelen léphet fel, és tüdőtumorok esetén súlyos, életveszélyes haemoptoéhoz vagy tüdővérzéshez vezethet. Szunitinibbel kezelt, MRCC-ben, GIST-ben és tüdőtumorban szenvedő betegeknél tüdővérzéses eseteket figyeltek meg a klinikai vizsgálatokban, valamint jelentettek a forgalomba hozatalt követően; ezek közül néhány halálos kimenetelű volt. A szunitinib tüdőrákos betegek kezelésére nincs engedélyezve.</w:t>
      </w:r>
      <w:r w:rsidR="00471C90">
        <w:rPr>
          <w:color w:val="000000"/>
          <w:sz w:val="22"/>
        </w:rPr>
        <w:t xml:space="preserve"> </w:t>
      </w:r>
    </w:p>
    <w:p w14:paraId="1641F953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7C069720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Antikoagulánsokkal (pl. warfarinnal, acenokumarollal) egyidejűleg kezelt betegeket a teljes vérkép (vérlemezke) és az alvadási paraméterek (PT/INR) vizsgálatával, valamint fizikális vizsgálattal lehet rendszeresen ellenőrizni. </w:t>
      </w:r>
    </w:p>
    <w:p w14:paraId="23E0ACC0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7D4FFA9E" w14:textId="533D65B0" w:rsidR="00E9384D" w:rsidRPr="00445457" w:rsidRDefault="00FF1F30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>Gastrointestinalis rendellenesség</w:t>
      </w:r>
      <w:r w:rsidR="00C92F76">
        <w:rPr>
          <w:color w:val="000000"/>
          <w:sz w:val="22"/>
          <w:u w:val="single"/>
        </w:rPr>
        <w:t xml:space="preserve">ek </w:t>
      </w:r>
    </w:p>
    <w:p w14:paraId="004E7A6F" w14:textId="1736DE68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leggyakrabban jelentett gastrointestinalis mellékhatások a hasmenés, a hányinger/hányás, a hasi fájdalom, a dyspepsia és a stomatitis/szájfájdalom voltak. Oesophagitis esete</w:t>
      </w:r>
      <w:r w:rsidR="00FF1F30">
        <w:rPr>
          <w:color w:val="000000"/>
          <w:sz w:val="22"/>
        </w:rPr>
        <w:t>it</w:t>
      </w:r>
      <w:r>
        <w:rPr>
          <w:color w:val="000000"/>
          <w:sz w:val="22"/>
        </w:rPr>
        <w:t xml:space="preserve"> szintén </w:t>
      </w:r>
      <w:r w:rsidR="00FF1F30">
        <w:rPr>
          <w:color w:val="000000"/>
          <w:sz w:val="22"/>
        </w:rPr>
        <w:t>jelentetté</w:t>
      </w:r>
      <w:r>
        <w:rPr>
          <w:color w:val="000000"/>
          <w:sz w:val="22"/>
        </w:rPr>
        <w:t>k (lásd 4.8 pont).</w:t>
      </w:r>
      <w:r w:rsidR="00471C90">
        <w:rPr>
          <w:color w:val="000000"/>
          <w:sz w:val="22"/>
        </w:rPr>
        <w:t xml:space="preserve"> </w:t>
      </w:r>
    </w:p>
    <w:p w14:paraId="5DBBB1B0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049CA414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Kezelést igénylő gastrointestinalis mellékhatások szupportív ellátása esetén antiemetikumok, hasmenés elleni gyógyszerek vagy antacidumok adására lehet szükség. </w:t>
      </w:r>
    </w:p>
    <w:p w14:paraId="084F4DCA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6567EC89" w14:textId="0F6EE859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Súlyos, néha halálos kimenetelű gastrointestinalis szövődményekről, köztük gastrointestinalis perforációról számoltak be rosszindulatú hasűri daganat miatt szunitinib</w:t>
      </w:r>
      <w:r w:rsidR="00FF1F30">
        <w:rPr>
          <w:color w:val="000000"/>
          <w:sz w:val="22"/>
        </w:rPr>
        <w:t>-</w:t>
      </w:r>
      <w:r>
        <w:rPr>
          <w:color w:val="000000"/>
          <w:sz w:val="22"/>
        </w:rPr>
        <w:t>kezelésben részesülő betegeknél.</w:t>
      </w:r>
      <w:r w:rsidR="00471C90">
        <w:rPr>
          <w:color w:val="000000"/>
          <w:sz w:val="22"/>
        </w:rPr>
        <w:t xml:space="preserve"> </w:t>
      </w:r>
    </w:p>
    <w:p w14:paraId="5EEA3FC6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5B9D805F" w14:textId="2EFEF062" w:rsidR="00E9384D" w:rsidRPr="00445457" w:rsidRDefault="00FF1F30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>Hypertonia</w:t>
      </w:r>
      <w:r w:rsidR="00C92F76">
        <w:rPr>
          <w:color w:val="000000"/>
          <w:sz w:val="22"/>
          <w:u w:val="single"/>
        </w:rPr>
        <w:t xml:space="preserve"> </w:t>
      </w:r>
    </w:p>
    <w:p w14:paraId="10D9E412" w14:textId="77777777" w:rsidR="00A40CA8" w:rsidRDefault="00C92F76" w:rsidP="00F372B2">
      <w:pPr>
        <w:spacing w:line="240" w:lineRule="auto"/>
        <w:jc w:val="left"/>
        <w:rPr>
          <w:color w:val="000000"/>
          <w:sz w:val="22"/>
        </w:rPr>
      </w:pPr>
      <w:r>
        <w:rPr>
          <w:color w:val="000000"/>
          <w:sz w:val="22"/>
        </w:rPr>
        <w:t xml:space="preserve">A szunitinibbel összefüggésben hypertoniáról számoltak be, beleértve a súlyos hypertoniát is (&gt;200 Hgmm systolés vagy 110 Hgmm diastolés vérnyomás). A betegeket magasvérnyomás-betegségre szűrni és szükség esetén kezelni kell. </w:t>
      </w:r>
    </w:p>
    <w:p w14:paraId="44529680" w14:textId="3500560E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gyógyszerszedés átmeneti szüneteltetése ajánlott súlyos, gyógyszerrel nem kontrollált hypertoniás betegeknél. A kezelést</w:t>
      </w:r>
      <w:r w:rsidR="00FF1F30">
        <w:rPr>
          <w:color w:val="000000"/>
          <w:sz w:val="22"/>
        </w:rPr>
        <w:t xml:space="preserve"> vissza lehet állítani, ha</w:t>
      </w:r>
      <w:r>
        <w:rPr>
          <w:color w:val="000000"/>
          <w:sz w:val="22"/>
        </w:rPr>
        <w:t xml:space="preserve"> a hypertoni</w:t>
      </w:r>
      <w:r w:rsidR="00FF1F30">
        <w:rPr>
          <w:color w:val="000000"/>
          <w:sz w:val="22"/>
        </w:rPr>
        <w:t>át</w:t>
      </w:r>
      <w:r>
        <w:rPr>
          <w:color w:val="000000"/>
          <w:sz w:val="22"/>
        </w:rPr>
        <w:t xml:space="preserve"> megfelelő</w:t>
      </w:r>
      <w:r w:rsidR="00FF1F30">
        <w:rPr>
          <w:color w:val="000000"/>
          <w:sz w:val="22"/>
        </w:rPr>
        <w:t>en sikerül kontrollálni</w:t>
      </w:r>
      <w:r>
        <w:rPr>
          <w:color w:val="000000"/>
          <w:sz w:val="22"/>
        </w:rPr>
        <w:t xml:space="preserve"> (lásd 4.8 pont).</w:t>
      </w:r>
      <w:r w:rsidR="00471C90">
        <w:rPr>
          <w:color w:val="000000"/>
          <w:sz w:val="22"/>
        </w:rPr>
        <w:t xml:space="preserve"> </w:t>
      </w:r>
    </w:p>
    <w:p w14:paraId="2F648C1C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3F5FDF52" w14:textId="2D65D01E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Haematológiai </w:t>
      </w:r>
      <w:r w:rsidR="00FF1F30">
        <w:rPr>
          <w:color w:val="000000"/>
          <w:sz w:val="22"/>
          <w:u w:val="single"/>
        </w:rPr>
        <w:t>rendellenes</w:t>
      </w:r>
      <w:r>
        <w:rPr>
          <w:color w:val="000000"/>
          <w:sz w:val="22"/>
          <w:u w:val="single"/>
        </w:rPr>
        <w:t xml:space="preserve">ségek </w:t>
      </w:r>
    </w:p>
    <w:p w14:paraId="5C071BC3" w14:textId="2FA263E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Abszolút neutrofilszám-csökkenésről és vérlemezkeszám-csökkenésről számoltak be szunitinibbel összefüggésben (lásd 4.8 pont). Ezek az események nem kumulatívak, többnyire reverz</w:t>
      </w:r>
      <w:r w:rsidR="00FF1F30">
        <w:rPr>
          <w:color w:val="000000"/>
          <w:sz w:val="22"/>
        </w:rPr>
        <w:t>i</w:t>
      </w:r>
      <w:r>
        <w:rPr>
          <w:color w:val="000000"/>
          <w:sz w:val="22"/>
        </w:rPr>
        <w:t xml:space="preserve">bilisek voltak és általában nem vezettek a kezelés megszakításához. A III. fázisú vizsgálatokban egyik esemény sem volt halálos kimenetelű, </w:t>
      </w:r>
      <w:r w:rsidR="00407171">
        <w:rPr>
          <w:color w:val="000000"/>
          <w:sz w:val="22"/>
        </w:rPr>
        <w:t xml:space="preserve">de </w:t>
      </w:r>
      <w:r>
        <w:rPr>
          <w:color w:val="000000"/>
          <w:sz w:val="22"/>
        </w:rPr>
        <w:t>ritka, fatális h</w:t>
      </w:r>
      <w:r w:rsidR="00FF1F30">
        <w:rPr>
          <w:color w:val="000000"/>
          <w:sz w:val="22"/>
        </w:rPr>
        <w:t>a</w:t>
      </w:r>
      <w:r>
        <w:rPr>
          <w:color w:val="000000"/>
          <w:sz w:val="22"/>
        </w:rPr>
        <w:t>ematológiai eseményekről, köztük thrombocytopeniához társuló vérzésről és neutropeniás fertőzésekről</w:t>
      </w:r>
      <w:r w:rsidR="00FF1F30">
        <w:rPr>
          <w:color w:val="000000"/>
          <w:sz w:val="22"/>
        </w:rPr>
        <w:t xml:space="preserve"> számoltak be a forgalomba hozatalt követő megfigyelések során</w:t>
      </w:r>
      <w:r>
        <w:rPr>
          <w:color w:val="000000"/>
          <w:sz w:val="22"/>
        </w:rPr>
        <w:t xml:space="preserve">. </w:t>
      </w:r>
    </w:p>
    <w:p w14:paraId="17C0F2EA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6033C423" w14:textId="092C904B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Anaemia előfordulását a szunitinib</w:t>
      </w:r>
      <w:r w:rsidR="00FF1F30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 korai és késői szakaszában is megfigyelték. </w:t>
      </w:r>
    </w:p>
    <w:p w14:paraId="3CF85758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1E3BA2A3" w14:textId="03DF5E94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Szunitinib</w:t>
      </w:r>
      <w:r w:rsidR="00FF1F30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kezelésben részesülő betegek minden egyes kezelési ciklusának </w:t>
      </w:r>
      <w:r w:rsidR="00FF1F30">
        <w:rPr>
          <w:color w:val="000000"/>
          <w:sz w:val="22"/>
        </w:rPr>
        <w:t>el</w:t>
      </w:r>
      <w:r>
        <w:rPr>
          <w:color w:val="000000"/>
          <w:sz w:val="22"/>
        </w:rPr>
        <w:t xml:space="preserve">kezdése előtt teljes vérképvizsgálatot kell végezni (lásd 4.8 pont). </w:t>
      </w:r>
    </w:p>
    <w:p w14:paraId="70DB0E9E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1ECCC793" w14:textId="2B3BF616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lastRenderedPageBreak/>
        <w:t xml:space="preserve">Szívbetegségek </w:t>
      </w:r>
    </w:p>
    <w:p w14:paraId="311115C4" w14:textId="365C64D0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Szunitinibbel kezelt betegeknél cardiovascularis eseményeket, köztük szívelégtelenséget, cardiomyopathiát, a bal kamrai ejekciós frakciónak (</w:t>
      </w:r>
      <w:r w:rsidRPr="00F372B2">
        <w:rPr>
          <w:i/>
          <w:color w:val="000000"/>
          <w:sz w:val="22"/>
        </w:rPr>
        <w:t>left ventricular ejection fraction</w:t>
      </w:r>
      <w:r>
        <w:rPr>
          <w:color w:val="000000"/>
          <w:sz w:val="22"/>
        </w:rPr>
        <w:t xml:space="preserve">, LVEF) a normálérték alsó határa alá történő csökkenését, myocarditist, myocardialis ischaemiát és myocardialis infarctust jelentettek, melyek néhány esetben halálos kimenetelűek voltak. Ezek az adatok arra utalnak, hogy a szunitinib fokozza a cardiomyopathia kockázatát. A kezelt betegeknél a gyógyszerspecifikus hatáson kívül a szunitinib által kiváltott cardiomyopathia további, specifikus kockázati tényezőjét nem azonosították. A szunitinibet körültekintéssel kell alkalmazni az olyan betegeknél, akiknél fennáll az ilyen események kockázata, vagy akiknek a kórtörténetében ilyen esemény szerepel (lásd 4.8 pont). </w:t>
      </w:r>
    </w:p>
    <w:p w14:paraId="777CBEFD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07B7F85C" w14:textId="16F4B95E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szunitinib összes klinikai vizsgálatából kizárták azokat a betegeket, akiknél a szunitinib</w:t>
      </w:r>
      <w:r w:rsidR="00FF1F30">
        <w:rPr>
          <w:color w:val="000000"/>
          <w:sz w:val="22"/>
        </w:rPr>
        <w:t>-</w:t>
      </w:r>
      <w:r>
        <w:rPr>
          <w:color w:val="000000"/>
          <w:sz w:val="22"/>
        </w:rPr>
        <w:t>kezelést megelőző 12 hónapban cardialis esemény,</w:t>
      </w:r>
      <w:r w:rsidR="00FF1F30">
        <w:rPr>
          <w:color w:val="000000"/>
          <w:sz w:val="22"/>
        </w:rPr>
        <w:t xml:space="preserve"> mint</w:t>
      </w:r>
      <w:r>
        <w:rPr>
          <w:color w:val="000000"/>
          <w:sz w:val="22"/>
        </w:rPr>
        <w:t xml:space="preserve"> például myocardialis infarctus (beleértve a súlyos vagy instabil anginát), coronaria/perifériás arteria bypass graft műtét, tünetekkel járó pangásos szívelégtelenség (</w:t>
      </w:r>
      <w:r w:rsidRPr="00F372B2">
        <w:rPr>
          <w:i/>
          <w:color w:val="000000"/>
          <w:sz w:val="22"/>
        </w:rPr>
        <w:t>congestive heart failure</w:t>
      </w:r>
      <w:r>
        <w:rPr>
          <w:color w:val="000000"/>
          <w:sz w:val="22"/>
        </w:rPr>
        <w:t xml:space="preserve">, CHF), cerebrovascularis történés vagy tranziens ischaemiás attack (TIA) vagy tüdőembólia fordult elő. Nem ismert, hogy azoknál a betegeknél, akiknél ezek a betegségek egyidejűleg fennállnak, magasabb-e a szunitinibbel összefüggő bal kamrai diszfunkció kialakulásának a kockázata. </w:t>
      </w:r>
    </w:p>
    <w:p w14:paraId="37BF8C0F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270DAD20" w14:textId="11944998" w:rsidR="00655557" w:rsidRDefault="00C92F76" w:rsidP="00F372B2">
      <w:pPr>
        <w:spacing w:line="240" w:lineRule="auto"/>
        <w:jc w:val="left"/>
        <w:rPr>
          <w:color w:val="000000"/>
          <w:sz w:val="22"/>
        </w:rPr>
      </w:pPr>
      <w:r>
        <w:rPr>
          <w:color w:val="000000"/>
          <w:sz w:val="22"/>
        </w:rPr>
        <w:t>A kezelőorvosnak tanácsos mérlegelnie ezen kockázatot a gyógyszertől várt potenciális előnnyel szemben. A betegeknél gondosan monitorozni kell a pangásos szívelégtelenség klinikai jeleit és tüneteit a szunitinib</w:t>
      </w:r>
      <w:r w:rsidR="00FF1F30">
        <w:rPr>
          <w:color w:val="000000"/>
          <w:sz w:val="22"/>
        </w:rPr>
        <w:t>-</w:t>
      </w:r>
      <w:r>
        <w:rPr>
          <w:color w:val="000000"/>
          <w:sz w:val="22"/>
        </w:rPr>
        <w:t>kezelés alatt, különös tekintettel azokra a betegekre, akiknél kardiológiai kockázati tényezők állnak fenn és/vagy a kórelőzményükben koszorúérbetegség szerepel. Tanácsos a szunitinib</w:t>
      </w:r>
      <w:r w:rsidR="00FF1F30">
        <w:rPr>
          <w:color w:val="000000"/>
          <w:sz w:val="22"/>
        </w:rPr>
        <w:t>-</w:t>
      </w:r>
      <w:r>
        <w:rPr>
          <w:color w:val="000000"/>
          <w:sz w:val="22"/>
        </w:rPr>
        <w:t>kezelés elkezdése előtt, illetve időszakosan a kezelés alatt a</w:t>
      </w:r>
      <w:r w:rsidR="00FF1F30">
        <w:rPr>
          <w:color w:val="000000"/>
          <w:sz w:val="22"/>
        </w:rPr>
        <w:t>z</w:t>
      </w:r>
      <w:r>
        <w:rPr>
          <w:color w:val="000000"/>
          <w:sz w:val="22"/>
        </w:rPr>
        <w:t xml:space="preserve"> </w:t>
      </w:r>
      <w:r w:rsidR="00FF1F30">
        <w:rPr>
          <w:color w:val="000000"/>
          <w:sz w:val="22"/>
        </w:rPr>
        <w:t>LVEF</w:t>
      </w:r>
      <w:r>
        <w:rPr>
          <w:color w:val="000000"/>
          <w:sz w:val="22"/>
        </w:rPr>
        <w:t xml:space="preserve"> mérése. </w:t>
      </w:r>
    </w:p>
    <w:p w14:paraId="4A6CDC7D" w14:textId="3BD64B25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Cardialis rizikófaktorok hiánya esetén a kezelés elkezdése előtt ajánlott megmérni az ejekciós frakciót. </w:t>
      </w:r>
    </w:p>
    <w:p w14:paraId="4D53745C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15A3DC2B" w14:textId="3C38458B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pangásos szívelégtelenség tüneteinek megjelenése esetén javasolt a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 megszakítása. A szunitinib alkalmazását akkor is szüneteltetni kell </w:t>
      </w:r>
      <w:r w:rsidR="00655557">
        <w:rPr>
          <w:color w:val="000000"/>
          <w:sz w:val="22"/>
        </w:rPr>
        <w:t>és/vagy</w:t>
      </w:r>
      <w:r>
        <w:rPr>
          <w:color w:val="000000"/>
          <w:sz w:val="22"/>
        </w:rPr>
        <w:t xml:space="preserve"> a dózist csökkenteni, ha a pangásos szívelégtelenség </w:t>
      </w:r>
      <w:r w:rsidR="00655557">
        <w:rPr>
          <w:color w:val="000000"/>
          <w:sz w:val="22"/>
        </w:rPr>
        <w:t>tünetei</w:t>
      </w:r>
      <w:r>
        <w:rPr>
          <w:color w:val="000000"/>
          <w:sz w:val="22"/>
        </w:rPr>
        <w:t xml:space="preserve"> nem </w:t>
      </w:r>
      <w:r w:rsidR="00655557">
        <w:rPr>
          <w:color w:val="000000"/>
          <w:sz w:val="22"/>
        </w:rPr>
        <w:t>észlelhetők</w:t>
      </w:r>
      <w:r>
        <w:rPr>
          <w:color w:val="000000"/>
          <w:sz w:val="22"/>
        </w:rPr>
        <w:t>, de az ejekciós frakció 20</w:t>
      </w:r>
      <w:r>
        <w:rPr>
          <w:color w:val="000000"/>
          <w:sz w:val="22"/>
          <w:cs/>
        </w:rPr>
        <w:t>–</w:t>
      </w:r>
      <w:r>
        <w:rPr>
          <w:color w:val="000000"/>
          <w:sz w:val="22"/>
        </w:rPr>
        <w:t xml:space="preserve">50%-kal a kiindulási érték alá csökken. </w:t>
      </w:r>
    </w:p>
    <w:p w14:paraId="4A4222EE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6642DEF9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A QT-távolság megnyúlása </w:t>
      </w:r>
    </w:p>
    <w:p w14:paraId="2E70E07B" w14:textId="55D0C40E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A QT-távolság megnyúlását és </w:t>
      </w:r>
      <w:r w:rsidRPr="00F372B2">
        <w:rPr>
          <w:i/>
          <w:color w:val="000000"/>
          <w:sz w:val="22"/>
        </w:rPr>
        <w:t>torsade de pointes</w:t>
      </w:r>
      <w:r>
        <w:rPr>
          <w:color w:val="000000"/>
          <w:sz w:val="22"/>
        </w:rPr>
        <w:t>-t figyeltek meg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kezelésben részesülő betegeknél. A QT-távolság megnyúlása ventricularis arrhythmiák </w:t>
      </w:r>
      <w:r>
        <w:rPr>
          <w:color w:val="000000"/>
          <w:sz w:val="22"/>
          <w:cs/>
        </w:rPr>
        <w:t xml:space="preserve">– </w:t>
      </w:r>
      <w:r>
        <w:rPr>
          <w:color w:val="000000"/>
          <w:sz w:val="22"/>
        </w:rPr>
        <w:t xml:space="preserve">köztük a </w:t>
      </w:r>
      <w:r w:rsidRPr="00F372B2">
        <w:rPr>
          <w:i/>
          <w:color w:val="000000"/>
          <w:sz w:val="22"/>
        </w:rPr>
        <w:t>torsade de pointes</w:t>
      </w:r>
      <w:r>
        <w:rPr>
          <w:color w:val="000000"/>
          <w:sz w:val="22"/>
        </w:rPr>
        <w:t xml:space="preserve"> </w:t>
      </w:r>
      <w:r>
        <w:rPr>
          <w:color w:val="000000"/>
          <w:sz w:val="22"/>
          <w:cs/>
        </w:rPr>
        <w:t xml:space="preserve">– </w:t>
      </w:r>
      <w:r>
        <w:rPr>
          <w:color w:val="000000"/>
          <w:sz w:val="22"/>
        </w:rPr>
        <w:t>kialakulásának fokozott kockázatához vezethet.</w:t>
      </w:r>
      <w:r w:rsidR="00471C90">
        <w:rPr>
          <w:color w:val="000000"/>
          <w:sz w:val="22"/>
        </w:rPr>
        <w:t xml:space="preserve"> </w:t>
      </w:r>
    </w:p>
    <w:p w14:paraId="3B60A959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064D8CEF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A szunitinibet megfelelő körültekintéssel kell adni olyan betegnek, akinek az anamnézisében ismert QT-távolságmegnyúlás szerepel, illetőleg antiarrhythmiás szereket vagy olyan gyógyszereket szed, amelyek megnyújthatják a QT-távolságot, illetve jelentős szívbetegség, bradycardia vagy elektrolitzavar áll fenn nála. A szunitinib erős CYP3A4-inhibitorokkal történő egyidejű alkalmazását a szunitinib plazmakoncentrációjának lehetséges megnövekedése miatt korlátozni kell (lásd 4.2, 4.5 és 4.8 pont). </w:t>
      </w:r>
    </w:p>
    <w:p w14:paraId="682458E1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5572A872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Vénás thromboemboliás események </w:t>
      </w:r>
    </w:p>
    <w:p w14:paraId="2AB50F28" w14:textId="667B5482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Kezeléssel összefüggő vénás thromboemboliás eseményeket jelentettek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>kezelésben részesülő betegeknél, beleértve a mélyvénás thrombosist és a tüdőembóliát is (lásd 4.8 pont). A forgalomba hozatalt követő megfigyelések során halálos kimenetelű tüdőembólia esetei</w:t>
      </w:r>
      <w:r w:rsidR="00655557">
        <w:rPr>
          <w:color w:val="000000"/>
          <w:sz w:val="22"/>
        </w:rPr>
        <w:t>t</w:t>
      </w:r>
      <w:r>
        <w:rPr>
          <w:color w:val="000000"/>
          <w:sz w:val="22"/>
        </w:rPr>
        <w:t xml:space="preserve"> is </w:t>
      </w:r>
      <w:r w:rsidR="00655557">
        <w:rPr>
          <w:color w:val="000000"/>
          <w:sz w:val="22"/>
        </w:rPr>
        <w:t>jelentetté</w:t>
      </w:r>
      <w:r>
        <w:rPr>
          <w:color w:val="000000"/>
          <w:sz w:val="22"/>
        </w:rPr>
        <w:t>k.</w:t>
      </w:r>
      <w:r w:rsidR="00471C90">
        <w:rPr>
          <w:color w:val="000000"/>
          <w:sz w:val="22"/>
        </w:rPr>
        <w:t xml:space="preserve"> </w:t>
      </w:r>
    </w:p>
    <w:p w14:paraId="7F134107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20B29F08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Artériás thromboemboliás események </w:t>
      </w:r>
    </w:p>
    <w:p w14:paraId="7F8BC88C" w14:textId="4FBEB6BA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szunitinibbel kezelt betegeknél artériás thromboemboliás események (</w:t>
      </w:r>
      <w:r w:rsidRPr="00F372B2">
        <w:rPr>
          <w:i/>
          <w:color w:val="000000"/>
          <w:sz w:val="22"/>
        </w:rPr>
        <w:t>arterial thromboembolic events</w:t>
      </w:r>
      <w:r>
        <w:rPr>
          <w:color w:val="000000"/>
          <w:sz w:val="22"/>
        </w:rPr>
        <w:t>, ATE) eseteit jelentették, melyek néha halálos kimenetelűek voltak. A leggyakoribb események közé tartoztak a cerebrovascularis történések, a tranziens ischaemiás attack és a cerebralis infarctus. A fennálló malignus betegség és a 65 éves vagy e f</w:t>
      </w:r>
      <w:r w:rsidR="00655557">
        <w:rPr>
          <w:color w:val="000000"/>
          <w:sz w:val="22"/>
        </w:rPr>
        <w:t>e</w:t>
      </w:r>
      <w:r>
        <w:rPr>
          <w:color w:val="000000"/>
          <w:sz w:val="22"/>
        </w:rPr>
        <w:t>l</w:t>
      </w:r>
      <w:r w:rsidR="00655557">
        <w:rPr>
          <w:color w:val="000000"/>
          <w:sz w:val="22"/>
        </w:rPr>
        <w:t>e</w:t>
      </w:r>
      <w:r>
        <w:rPr>
          <w:color w:val="000000"/>
          <w:sz w:val="22"/>
        </w:rPr>
        <w:t xml:space="preserve">tti életkor mellett az artériás thromboemboliás események kockázati tényezői közé tartozott a hypertonia, a diabetes mellitus és a korábbi thromboemboliás betegség. </w:t>
      </w:r>
    </w:p>
    <w:p w14:paraId="3099B07A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1313F77D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lastRenderedPageBreak/>
        <w:t xml:space="preserve">Aneurysma és arteria-dissectio </w:t>
      </w:r>
    </w:p>
    <w:p w14:paraId="000A2E9C" w14:textId="3C3C73D2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vascularis endothelialis növekedési faktor- (</w:t>
      </w:r>
      <w:r w:rsidRPr="00F372B2">
        <w:rPr>
          <w:i/>
          <w:color w:val="000000"/>
          <w:sz w:val="22"/>
        </w:rPr>
        <w:t>vascular endothelial growth factor</w:t>
      </w:r>
      <w:r>
        <w:rPr>
          <w:color w:val="000000"/>
          <w:sz w:val="22"/>
        </w:rPr>
        <w:t>, VEGF) jelút gátlóinak alkalmazása a hypertoniás és a nem magas vérnyomású betegeknél egyaránt aneurysmák és/vagy arteria-dissectiók kialakulását</w:t>
      </w:r>
      <w:r w:rsidR="00655557">
        <w:rPr>
          <w:color w:val="000000"/>
          <w:sz w:val="22"/>
        </w:rPr>
        <w:t xml:space="preserve"> segítheti elő</w:t>
      </w:r>
      <w:r>
        <w:rPr>
          <w:color w:val="000000"/>
          <w:sz w:val="22"/>
        </w:rPr>
        <w:t>. A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 megkezdése előtt ezt a kockázatot gondosan mérlegelni kell az olyan </w:t>
      </w:r>
      <w:r w:rsidR="00655557">
        <w:rPr>
          <w:color w:val="000000"/>
          <w:sz w:val="22"/>
        </w:rPr>
        <w:t>rizikófaktorokkal</w:t>
      </w:r>
      <w:r>
        <w:rPr>
          <w:color w:val="000000"/>
          <w:sz w:val="22"/>
        </w:rPr>
        <w:t xml:space="preserve"> rendelkező betegeknél, mint a hypertonia vagy a kórtörténetben előforduló aneurysma. </w:t>
      </w:r>
    </w:p>
    <w:p w14:paraId="21AAD2FE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316D1638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Thromboticus microangiopathia (TMA) </w:t>
      </w:r>
    </w:p>
    <w:p w14:paraId="40FA2F72" w14:textId="4BB3C3B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Gondolni kell a TMA diagnózisára </w:t>
      </w:r>
      <w:r>
        <w:rPr>
          <w:color w:val="000000"/>
          <w:sz w:val="22"/>
          <w:cs/>
        </w:rPr>
        <w:t xml:space="preserve">– </w:t>
      </w:r>
      <w:r>
        <w:rPr>
          <w:color w:val="000000"/>
          <w:sz w:val="22"/>
        </w:rPr>
        <w:t xml:space="preserve">beleértve a thromboticus thrombocytopeniás purpurát (TTP) és a haemolyticus uraemiás szindrómát (HUS) is, amelyek néha veseelégtelenséghez vagy halálos kimenetelhez vezettek </w:t>
      </w:r>
      <w:r>
        <w:rPr>
          <w:color w:val="000000"/>
          <w:sz w:val="22"/>
          <w:cs/>
        </w:rPr>
        <w:t xml:space="preserve">– </w:t>
      </w:r>
      <w:r>
        <w:rPr>
          <w:color w:val="000000"/>
          <w:sz w:val="22"/>
        </w:rPr>
        <w:t>haemolyticus anaemia, thrombocytopenia, fáradtság, fluktuáló neurológiai manifesztáció, vesekárosodás és láz előfordulása esetén. TMA kialakulása esetén a beteg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kezelését le kell állítani, és azonnal megfelelő kezelést kell kezdeni. A kezelés leállítása után a TMA hatásainak megszűnését figyelték meg (lásd 4.8 pont). </w:t>
      </w:r>
    </w:p>
    <w:p w14:paraId="58FAFEBB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300B2F5D" w14:textId="5CB8AA1F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>Pajzsmirigy diszfunkció</w:t>
      </w:r>
      <w:r w:rsidR="00471C90">
        <w:rPr>
          <w:color w:val="000000"/>
          <w:sz w:val="22"/>
          <w:u w:val="single"/>
        </w:rPr>
        <w:t xml:space="preserve"> </w:t>
      </w:r>
    </w:p>
    <w:p w14:paraId="3824DE0C" w14:textId="438C8172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kezelés előtt minden betegnél javasolt a pajzsmirigyfunkció laboratóriumi vizsgálata. A már meglévő hypothyreosisban vagy hyperthyreosisban szenvedő betegeket a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>kezelés megkezdése előtt a standard klinikai gyakorlat szerinti kezelésben kell részesíteni. A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 ideje alatt a pajzsmirigyfunkció 3 havonta végzett rutinszerű ellenőrzése szükséges. Továbbá, a pajzsmirigyfunkció zavarainak jeleit és tüneteit szorosan figyelni kell a betegeknél a kezelés során, és a pajzsmirigy diszfunkciójára utaló bármilyen jel és/vagy tünet megjelenésekor a betegeknél a pajzsmirigyfunkciót ellenőrző laboratóriumi vizsgálatot kell végezni, ahogy az klinikailag indokolt. Azoknál a betegeknél, akiknél a pajzsmirigy diszfunkció megjelenik, a standard klinikai gyakorlat szerinti kezelést kell alkalmazni. </w:t>
      </w:r>
    </w:p>
    <w:p w14:paraId="79675556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0C41C26D" w14:textId="004ED3E6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 korai és késői szakaszában is megfigyelték hypothyreosis kialakulását (lásd 4.8 pont). </w:t>
      </w:r>
    </w:p>
    <w:p w14:paraId="51CC7E94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2D20C956" w14:textId="04F5AF64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>Pancreatitis</w:t>
      </w:r>
      <w:r w:rsidR="00471C90">
        <w:rPr>
          <w:color w:val="000000"/>
          <w:sz w:val="22"/>
          <w:u w:val="single"/>
        </w:rPr>
        <w:t xml:space="preserve"> </w:t>
      </w:r>
    </w:p>
    <w:p w14:paraId="5DD8AC5A" w14:textId="4A681E5E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A </w:t>
      </w:r>
      <w:r w:rsidR="00655557">
        <w:rPr>
          <w:color w:val="000000"/>
          <w:sz w:val="22"/>
        </w:rPr>
        <w:t xml:space="preserve">szérum lipáz és amiláz aktivitásának emelkedését észlelték </w:t>
      </w:r>
      <w:r>
        <w:rPr>
          <w:color w:val="000000"/>
          <w:sz w:val="22"/>
        </w:rPr>
        <w:t>különböző szolid tumorokban szenvedő,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>kezelésben részesülő betegeknél. Ezen betegeknél a lipázaktivitás emelkedése átmeneti volt és pancreatitis klinikai jelei vagy tünetei általában nem kísérték (lásd 4.8 pont).</w:t>
      </w:r>
      <w:r w:rsidR="00471C90">
        <w:rPr>
          <w:color w:val="000000"/>
          <w:sz w:val="22"/>
        </w:rPr>
        <w:t xml:space="preserve"> </w:t>
      </w:r>
    </w:p>
    <w:p w14:paraId="5C58D6CE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57357C12" w14:textId="2140E6BA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Beszámoltak a hasnyálmirigyet érintő súlyos eseményekről, amelyek némelyike halálos kimenetellel járt. Ha pancreatitis tünetei jelentkeznek, a szunitinib adását abba kell hagyni, és a beteget megfelelő </w:t>
      </w:r>
      <w:r w:rsidR="00655557">
        <w:rPr>
          <w:color w:val="000000"/>
          <w:sz w:val="22"/>
        </w:rPr>
        <w:t>támogató</w:t>
      </w:r>
      <w:r>
        <w:rPr>
          <w:color w:val="000000"/>
          <w:sz w:val="22"/>
        </w:rPr>
        <w:t xml:space="preserve"> kezelésben kell részesíteni. </w:t>
      </w:r>
    </w:p>
    <w:p w14:paraId="39E59335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374D3BD6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Hepatotoxicitás </w:t>
      </w:r>
    </w:p>
    <w:p w14:paraId="28FD4394" w14:textId="568D076A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szunitinibbel kezelt betegeknél hepatotoxicitást észleltek. A szunitinibbel kezelt szolid tumoros betegek kevesebb mint 1%-ánál májelégtelenség eseteit figyelték meg, melyek közül néhány halálos kimenetelű volt. A májfunkciós értékeket (</w:t>
      </w:r>
      <w:r w:rsidR="00655557">
        <w:rPr>
          <w:color w:val="000000"/>
          <w:sz w:val="22"/>
        </w:rPr>
        <w:t>glutamát-piruvát</w:t>
      </w:r>
      <w:r>
        <w:rPr>
          <w:color w:val="000000"/>
          <w:sz w:val="22"/>
        </w:rPr>
        <w:t>-transzamináz- [</w:t>
      </w:r>
      <w:r w:rsidR="00655557">
        <w:rPr>
          <w:color w:val="000000"/>
          <w:sz w:val="22"/>
        </w:rPr>
        <w:t>GPT/</w:t>
      </w:r>
      <w:r>
        <w:rPr>
          <w:color w:val="000000"/>
          <w:sz w:val="22"/>
        </w:rPr>
        <w:t xml:space="preserve">ALAT], </w:t>
      </w:r>
      <w:r w:rsidR="00655557">
        <w:rPr>
          <w:color w:val="000000"/>
          <w:sz w:val="22"/>
        </w:rPr>
        <w:t>glutamát-oxálacet</w:t>
      </w:r>
      <w:r>
        <w:rPr>
          <w:color w:val="000000"/>
          <w:sz w:val="22"/>
        </w:rPr>
        <w:t>át-transzamináz- [</w:t>
      </w:r>
      <w:r w:rsidR="00655557">
        <w:rPr>
          <w:color w:val="000000"/>
          <w:sz w:val="22"/>
        </w:rPr>
        <w:t>GOT/</w:t>
      </w:r>
      <w:r>
        <w:rPr>
          <w:color w:val="000000"/>
          <w:sz w:val="22"/>
        </w:rPr>
        <w:t xml:space="preserve">ASAT], bilirubinszint) a kezelés megkezdése előtt, minden kezelési ciklus alatt és klinikailag indokolt esetekben ellenőrizni kell. Ha májelégtelenség jelei vagy tünetei jelentkeznek, a szunitinib szedését abba kell hagyni, és megfelelő </w:t>
      </w:r>
      <w:r w:rsidR="00655557">
        <w:rPr>
          <w:color w:val="000000"/>
          <w:sz w:val="22"/>
        </w:rPr>
        <w:t>támogató</w:t>
      </w:r>
      <w:r>
        <w:rPr>
          <w:color w:val="000000"/>
          <w:sz w:val="22"/>
        </w:rPr>
        <w:t xml:space="preserve"> kezelést kell biztosítani (lásd 4.8 pont).</w:t>
      </w:r>
      <w:r w:rsidR="00471C90">
        <w:rPr>
          <w:color w:val="000000"/>
          <w:sz w:val="22"/>
        </w:rPr>
        <w:t xml:space="preserve"> </w:t>
      </w:r>
    </w:p>
    <w:p w14:paraId="17165F82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505AB06E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Vesefunkció </w:t>
      </w:r>
    </w:p>
    <w:p w14:paraId="422F3A43" w14:textId="7B62580D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Vesekárosodás, veseelégtelenség és/vagy akut veseelégtelenség eseteit jelentették, melyek néhány esetben halálos kimenetelűek voltak (lásd 4.8 pont). </w:t>
      </w:r>
    </w:p>
    <w:p w14:paraId="28DAEF10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721200AA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szunitinibet kapó betegeknél a fennálló vesesejtes carcinoma (</w:t>
      </w:r>
      <w:r w:rsidRPr="00F372B2">
        <w:rPr>
          <w:i/>
          <w:color w:val="000000"/>
          <w:sz w:val="22"/>
        </w:rPr>
        <w:t>renal cell carcinoma</w:t>
      </w:r>
      <w:r>
        <w:rPr>
          <w:color w:val="000000"/>
          <w:sz w:val="22"/>
        </w:rPr>
        <w:t xml:space="preserve">, RCC) mellett a vesekárosodás/veseelégtelenség kockázati tényezői közé tartoztak az idősebb kor, a diabetes mellitus, a fennálló vesekárosodás, a szívelégtelenség, a hypertonia, a sepsis, a dehydratio/hypovolaemia és a rhabdomyolysis. </w:t>
      </w:r>
    </w:p>
    <w:p w14:paraId="37B08161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09603764" w14:textId="66ED35ED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lastRenderedPageBreak/>
        <w:t>A folyamatos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>kezelés biztonságosságát közepesen súlyos és súlyos proteinuriában szenvedő betegeknél módszeresen nem vizsgálták.</w:t>
      </w:r>
      <w:r w:rsidR="00471C90">
        <w:rPr>
          <w:color w:val="000000"/>
          <w:sz w:val="22"/>
        </w:rPr>
        <w:t xml:space="preserve"> </w:t>
      </w:r>
    </w:p>
    <w:p w14:paraId="4B399FF0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7CB9A542" w14:textId="06D8F62B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Proteinuriát, valamint ritkán nephrosis-szindrómát leíró eseteket jelentettek. A kezelés megkezdésekor vizeletvizsgálat javasolt, és a betegeket ellenőrizni kell a proteinuria kialakulásának vagy súlyosbodásának tekintetében. A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>kezelést</w:t>
      </w:r>
      <w:r w:rsidR="00655557">
        <w:rPr>
          <w:color w:val="000000"/>
          <w:sz w:val="22"/>
        </w:rPr>
        <w:t xml:space="preserve"> abba kell hagyni</w:t>
      </w:r>
      <w:r>
        <w:rPr>
          <w:color w:val="000000"/>
          <w:sz w:val="22"/>
        </w:rPr>
        <w:t xml:space="preserve"> nephrosis-szindrómában szenvedő betegeknél. </w:t>
      </w:r>
    </w:p>
    <w:p w14:paraId="7905C477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6D4F1438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Fistula </w:t>
      </w:r>
    </w:p>
    <w:p w14:paraId="0DC7A674" w14:textId="69F4D0B3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Fistulaképződés esetén a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>kezelést fel kell függeszteni. Csak korlátozott mennyiségű adat áll rendelkezésre a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 folytatásáról olyan betegek esetében, akiknél fistula alakult ki (lásd 4.8 pont). </w:t>
      </w:r>
    </w:p>
    <w:p w14:paraId="3F49583A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7BCA89B9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Sebgyógyulási zavar </w:t>
      </w:r>
    </w:p>
    <w:p w14:paraId="24128A8D" w14:textId="4C688472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>kezelés alatt sebgyógyulási zavarral járó esetek</w:t>
      </w:r>
      <w:r w:rsidR="00655557">
        <w:rPr>
          <w:color w:val="000000"/>
          <w:sz w:val="22"/>
        </w:rPr>
        <w:t>et jelentettek</w:t>
      </w:r>
      <w:r>
        <w:rPr>
          <w:color w:val="000000"/>
          <w:sz w:val="22"/>
        </w:rPr>
        <w:t xml:space="preserve">. </w:t>
      </w:r>
    </w:p>
    <w:p w14:paraId="7659FEF0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75963478" w14:textId="6F9BF6BC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A szunitinib sebgyógyulásra kifejtett hatását vizsgáló, szabályszerű klinikai vizsgálatokat nem végeztek. </w:t>
      </w:r>
      <w:r w:rsidR="00655557">
        <w:rPr>
          <w:color w:val="000000"/>
          <w:sz w:val="22"/>
        </w:rPr>
        <w:t>Jelentős</w:t>
      </w:r>
      <w:r>
        <w:rPr>
          <w:color w:val="000000"/>
          <w:sz w:val="22"/>
        </w:rPr>
        <w:t xml:space="preserve"> sebészeti beavatkozáson áteső betegeknél elővigyázatosságból javasolt a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 átmeneti megszakítása. Korlátozott klinikai tapasztalat áll rendelkezésre arról, hogy mikor lehet újrakezdeni a kezelést </w:t>
      </w:r>
      <w:r w:rsidR="00655557">
        <w:rPr>
          <w:color w:val="000000"/>
          <w:sz w:val="22"/>
        </w:rPr>
        <w:t>jelentős</w:t>
      </w:r>
      <w:r>
        <w:rPr>
          <w:color w:val="000000"/>
          <w:sz w:val="22"/>
        </w:rPr>
        <w:t xml:space="preserve"> sebészeti beavatkozást követően. Ezért </w:t>
      </w:r>
      <w:r w:rsidR="00407171">
        <w:rPr>
          <w:color w:val="000000"/>
          <w:sz w:val="22"/>
        </w:rPr>
        <w:t>jelentős</w:t>
      </w:r>
      <w:r>
        <w:rPr>
          <w:color w:val="000000"/>
          <w:sz w:val="22"/>
        </w:rPr>
        <w:t xml:space="preserve"> sebészeti beavatkozást követően a szunitinib</w:t>
      </w:r>
      <w:r w:rsidR="00655557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 folytatására vonatkozó döntésnek a műtétből való felépülés klinikai megítélésén kell alapulnia. </w:t>
      </w:r>
    </w:p>
    <w:p w14:paraId="1E67E664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12FE5B7B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>Az állkapocs osteonecrosisa (</w:t>
      </w:r>
      <w:r w:rsidRPr="00F372B2">
        <w:rPr>
          <w:i/>
          <w:color w:val="000000"/>
          <w:sz w:val="22"/>
          <w:u w:val="single"/>
        </w:rPr>
        <w:t>osteonecrosis of the jaw</w:t>
      </w:r>
      <w:r>
        <w:rPr>
          <w:color w:val="000000"/>
          <w:sz w:val="22"/>
          <w:u w:val="single"/>
        </w:rPr>
        <w:t xml:space="preserve">, ONJ) </w:t>
      </w:r>
    </w:p>
    <w:p w14:paraId="4308264B" w14:textId="1CE567D0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Szunitinibbel kezelt betegeknél ONJ esete</w:t>
      </w:r>
      <w:r w:rsidR="00655557">
        <w:rPr>
          <w:color w:val="000000"/>
          <w:sz w:val="22"/>
        </w:rPr>
        <w:t>it jelentették</w:t>
      </w:r>
      <w:r>
        <w:rPr>
          <w:color w:val="000000"/>
          <w:sz w:val="22"/>
        </w:rPr>
        <w:t xml:space="preserve">. Az esetek többsége azoknál a betegeknél </w:t>
      </w:r>
      <w:r w:rsidR="00655557">
        <w:rPr>
          <w:color w:val="000000"/>
          <w:sz w:val="22"/>
        </w:rPr>
        <w:t>jelentkezett</w:t>
      </w:r>
      <w:r>
        <w:rPr>
          <w:color w:val="000000"/>
          <w:sz w:val="22"/>
        </w:rPr>
        <w:t>, akik korábban vagy egyidejűleg intravénás biszfoszfonát</w:t>
      </w:r>
      <w:r w:rsidR="00D36EBE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kezelésben részesültek, mely esetén az ONJ kockázata ismert. Ezért a </w:t>
      </w:r>
      <w:r w:rsidR="00D36EBE">
        <w:rPr>
          <w:color w:val="000000"/>
          <w:sz w:val="22"/>
        </w:rPr>
        <w:t>szunitinib</w:t>
      </w:r>
      <w:r>
        <w:rPr>
          <w:color w:val="000000"/>
          <w:sz w:val="22"/>
        </w:rPr>
        <w:t xml:space="preserve"> és az intravénás biszfoszfonátok egyidejű vagy </w:t>
      </w:r>
      <w:r w:rsidR="00D36EBE">
        <w:rPr>
          <w:color w:val="000000"/>
          <w:sz w:val="22"/>
        </w:rPr>
        <w:t>szekvenciális</w:t>
      </w:r>
      <w:r>
        <w:rPr>
          <w:color w:val="000000"/>
          <w:sz w:val="22"/>
        </w:rPr>
        <w:t xml:space="preserve"> alkalmazása óvatosságot igényel. </w:t>
      </w:r>
    </w:p>
    <w:p w14:paraId="2AB1F652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084370EC" w14:textId="29E7FBC3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Az invazív fogászati beavatkozás szintén ismert kockázati tényező. A </w:t>
      </w:r>
      <w:r w:rsidR="00D36EBE">
        <w:rPr>
          <w:color w:val="000000"/>
          <w:sz w:val="22"/>
        </w:rPr>
        <w:t>sz</w:t>
      </w:r>
      <w:r w:rsidR="00532BBA">
        <w:rPr>
          <w:color w:val="000000"/>
          <w:sz w:val="22"/>
        </w:rPr>
        <w:t>unitinib</w:t>
      </w:r>
      <w:r>
        <w:rPr>
          <w:color w:val="000000"/>
          <w:sz w:val="22"/>
        </w:rPr>
        <w:t>-kezelés előtt a fogászati vizsgálat</w:t>
      </w:r>
      <w:r w:rsidR="00D36EBE">
        <w:rPr>
          <w:color w:val="000000"/>
          <w:sz w:val="22"/>
        </w:rPr>
        <w:t>ot</w:t>
      </w:r>
      <w:r>
        <w:rPr>
          <w:color w:val="000000"/>
          <w:sz w:val="22"/>
        </w:rPr>
        <w:t xml:space="preserve"> és a megfelelő preventív fogászati beavatkozás elvégzését</w:t>
      </w:r>
      <w:r w:rsidR="00D36EBE">
        <w:rPr>
          <w:color w:val="000000"/>
          <w:sz w:val="22"/>
        </w:rPr>
        <w:t xml:space="preserve"> mérlegelni kell</w:t>
      </w:r>
      <w:r>
        <w:rPr>
          <w:color w:val="000000"/>
          <w:sz w:val="22"/>
        </w:rPr>
        <w:t xml:space="preserve">. Azoknál a betegeknél, akik korábban intravénás biszfoszfonátokat kaptak vagy éppen azt kapnak, az invazív fogászati beavatkozásokat lehetőség szerint kerülni kell (lásd 4.8 pont). </w:t>
      </w:r>
    </w:p>
    <w:p w14:paraId="1E4FCC01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7651F3AA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Túlérzékenység/angiooedema </w:t>
      </w:r>
    </w:p>
    <w:p w14:paraId="40FDAE87" w14:textId="7E3FC16B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Ha túlérzékenység miatt angiooedema alakul ki, akkor a szunitinib</w:t>
      </w:r>
      <w:r w:rsidR="00D36EBE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kezelést fel kell függeszteni és gondoskodni kell a klinikai gyakorlatnak megfelelő kezelésről (lásd 4.8 pont). </w:t>
      </w:r>
    </w:p>
    <w:p w14:paraId="5F1D4EED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0269CACB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Görcsrohamok </w:t>
      </w:r>
    </w:p>
    <w:p w14:paraId="2F95886B" w14:textId="5290B9EB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szunitinib klinikai vizsgálataiban és a forgalomba hozatalt követő megfigyelés során görcsrohamokról számoltak be. Görcsrohamok, valamint reverz</w:t>
      </w:r>
      <w:r w:rsidR="00934508">
        <w:rPr>
          <w:color w:val="000000"/>
          <w:sz w:val="22"/>
        </w:rPr>
        <w:t>i</w:t>
      </w:r>
      <w:r>
        <w:rPr>
          <w:color w:val="000000"/>
          <w:sz w:val="22"/>
        </w:rPr>
        <w:t>bilis posterior leucoencephalopathia szindrómára (RPLS) jellemző tünetek, mint hypertonia, fejfájás, csökkent éberség, megváltozott mentális funkció, látásvesztés (</w:t>
      </w:r>
      <w:r w:rsidR="00934508">
        <w:rPr>
          <w:color w:val="000000"/>
          <w:sz w:val="22"/>
        </w:rPr>
        <w:t>beleértve a</w:t>
      </w:r>
      <w:r>
        <w:rPr>
          <w:color w:val="000000"/>
          <w:sz w:val="22"/>
        </w:rPr>
        <w:t xml:space="preserve"> </w:t>
      </w:r>
      <w:r w:rsidR="00934508">
        <w:rPr>
          <w:color w:val="000000"/>
          <w:sz w:val="22"/>
        </w:rPr>
        <w:t>corticalis</w:t>
      </w:r>
      <w:r>
        <w:rPr>
          <w:color w:val="000000"/>
          <w:sz w:val="22"/>
        </w:rPr>
        <w:t xml:space="preserve"> vakság</w:t>
      </w:r>
      <w:r w:rsidR="00934508">
        <w:rPr>
          <w:color w:val="000000"/>
          <w:sz w:val="22"/>
        </w:rPr>
        <w:t>ot is</w:t>
      </w:r>
      <w:r>
        <w:rPr>
          <w:color w:val="000000"/>
          <w:sz w:val="22"/>
        </w:rPr>
        <w:t>) jelentkezése esetén megfelelő kezelést kell alkalmazni,</w:t>
      </w:r>
      <w:r w:rsidR="00934508">
        <w:rPr>
          <w:color w:val="000000"/>
          <w:sz w:val="22"/>
        </w:rPr>
        <w:t xml:space="preserve"> beleértve</w:t>
      </w:r>
      <w:r>
        <w:rPr>
          <w:color w:val="000000"/>
          <w:sz w:val="22"/>
        </w:rPr>
        <w:t xml:space="preserve"> a hypertonia rendezését. A szunitinib</w:t>
      </w:r>
      <w:r w:rsidR="00934508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 átmeneti felfüggesztése javasolt, majd a tünetek megszűnése után a kezelést a kezelőorvos döntése alapján vissza lehet állítani (lásd 4.8 pont). </w:t>
      </w:r>
    </w:p>
    <w:p w14:paraId="169F2CF8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738CE422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Tumorlízis-szindróma (TLS) </w:t>
      </w:r>
    </w:p>
    <w:p w14:paraId="7F18D579" w14:textId="66797074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Szunitinibbel kezelt betegeknél ritkán TLS eseteket (amelyek némelyike halálos kimenetelű volt) figyeltek meg klinikai vizsgálatokban, valamint jelentettek a forgalomba hozatalt követően. A TLS kockázati tényezői közé tartozik a nagy tumorterhelés, korábban fennálló krónikus veseelégtelenség, oliguria, kiszáradás, hypotonia és savas vizelet. Ezeket a betegeket szoros monitorozás mellett, a klinikai javallatnak megfelelő kezelésben kell részesíteni, emellett meg kell fontolni a profilaktikus hidrálást. </w:t>
      </w:r>
    </w:p>
    <w:p w14:paraId="76C27D29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1E4897FD" w14:textId="787D513A" w:rsidR="00E9384D" w:rsidRPr="00445457" w:rsidRDefault="00934508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>Infekció</w:t>
      </w:r>
      <w:r w:rsidR="00C92F76">
        <w:rPr>
          <w:color w:val="000000"/>
          <w:sz w:val="22"/>
          <w:u w:val="single"/>
        </w:rPr>
        <w:t xml:space="preserve">k </w:t>
      </w:r>
    </w:p>
    <w:p w14:paraId="61FB95C2" w14:textId="36AA099C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lastRenderedPageBreak/>
        <w:t xml:space="preserve">Súlyos infekciókat (neutropeniával vagy anélkül) jelentettek, köztük néhány esetben halálos kimenetelűeket is. </w:t>
      </w:r>
      <w:r>
        <w:rPr>
          <w:color w:val="000000"/>
          <w:sz w:val="22"/>
          <w:cs/>
        </w:rPr>
        <w:t>„</w:t>
      </w:r>
      <w:r>
        <w:rPr>
          <w:color w:val="000000"/>
          <w:sz w:val="22"/>
        </w:rPr>
        <w:t>Nem gyakori</w:t>
      </w:r>
      <w:r>
        <w:rPr>
          <w:color w:val="000000"/>
          <w:sz w:val="22"/>
          <w:cs/>
        </w:rPr>
        <w:t xml:space="preserve">” </w:t>
      </w:r>
      <w:r>
        <w:rPr>
          <w:color w:val="000000"/>
          <w:sz w:val="22"/>
        </w:rPr>
        <w:t>gyakorisággal beszámoltak fasciitis necrotisans eseteiről, amely a gátra is kiterjedhetett, és esetenként halálos volt (lásd 4.8 pont).</w:t>
      </w:r>
      <w:r w:rsidR="00471C90">
        <w:rPr>
          <w:color w:val="000000"/>
          <w:sz w:val="22"/>
        </w:rPr>
        <w:t xml:space="preserve"> </w:t>
      </w:r>
    </w:p>
    <w:p w14:paraId="0BAD0CF2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08D64EBF" w14:textId="29C8CF33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Azoknál a betegeknél, akiknél fasciitis necrotisans megjelenik, a szunitinib</w:t>
      </w:r>
      <w:r w:rsidR="00934508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kezelést meg kell szakítani, és azonnal megfelelő kezelést kell kezdeni. </w:t>
      </w:r>
    </w:p>
    <w:p w14:paraId="2097BD05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783B352A" w14:textId="77777777" w:rsidR="00E9384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Hypoglykaemia </w:t>
      </w:r>
    </w:p>
    <w:p w14:paraId="12738FFC" w14:textId="4EEAFDA3" w:rsidR="00471005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szunitinib</w:t>
      </w:r>
      <w:r w:rsidR="00407171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 alatt a vércukorszint csökkenéséről számoltak be, amely néhány esetben klinikai tüneteket okozott, és eszméletvesztés miatt </w:t>
      </w:r>
      <w:r w:rsidR="00407171">
        <w:rPr>
          <w:color w:val="000000"/>
          <w:sz w:val="22"/>
        </w:rPr>
        <w:t>hospitalizációt</w:t>
      </w:r>
      <w:r>
        <w:rPr>
          <w:color w:val="000000"/>
          <w:sz w:val="22"/>
        </w:rPr>
        <w:t xml:space="preserve"> tett szükségessé. Tüneteket okozó hypoglykaemia esetén a szunitinib adagolását ideiglenesen fel kell függeszteni. A diabetesben szenvedő betegek vércukorszintjét rendszeresen ellenőrizni kell annak megállapítására, hogy a hypoglykaemia kockázatának minimalizálása érdekében szükséges-e módosítani az antidiabetiku</w:t>
      </w:r>
      <w:r w:rsidR="00407171">
        <w:rPr>
          <w:color w:val="000000"/>
          <w:sz w:val="22"/>
        </w:rPr>
        <w:t>s gyógyszerük</w:t>
      </w:r>
      <w:r>
        <w:rPr>
          <w:color w:val="000000"/>
          <w:sz w:val="22"/>
        </w:rPr>
        <w:t xml:space="preserve"> adagolásá</w:t>
      </w:r>
      <w:r w:rsidR="00407171">
        <w:rPr>
          <w:color w:val="000000"/>
          <w:sz w:val="22"/>
        </w:rPr>
        <w:t>t</w:t>
      </w:r>
      <w:r>
        <w:rPr>
          <w:color w:val="000000"/>
          <w:sz w:val="22"/>
        </w:rPr>
        <w:t xml:space="preserve"> (lásd 4.8 pont).</w:t>
      </w:r>
    </w:p>
    <w:p w14:paraId="7667769C" w14:textId="77777777" w:rsidR="00E9384D" w:rsidRPr="00445457" w:rsidRDefault="00E9384D" w:rsidP="00F372B2">
      <w:pPr>
        <w:spacing w:line="240" w:lineRule="auto"/>
        <w:jc w:val="left"/>
        <w:rPr>
          <w:color w:val="000000"/>
          <w:sz w:val="22"/>
          <w:szCs w:val="22"/>
        </w:rPr>
      </w:pPr>
    </w:p>
    <w:p w14:paraId="7A3E241F" w14:textId="2811402A" w:rsidR="00E9384D" w:rsidRPr="00F372B2" w:rsidRDefault="00407171" w:rsidP="00F372B2">
      <w:pPr>
        <w:pStyle w:val="Default"/>
        <w:rPr>
          <w:rFonts w:ascii="Times New Roman" w:hAnsi="Times New Roman" w:cs="Times New Roman"/>
          <w:i/>
          <w:sz w:val="22"/>
          <w:szCs w:val="22"/>
          <w:u w:val="single"/>
        </w:rPr>
      </w:pPr>
      <w:r w:rsidRPr="00F372B2">
        <w:rPr>
          <w:rFonts w:ascii="Times New Roman" w:hAnsi="Times New Roman"/>
          <w:i/>
          <w:sz w:val="22"/>
          <w:u w:val="single"/>
        </w:rPr>
        <w:t>Nátrium</w:t>
      </w:r>
    </w:p>
    <w:p w14:paraId="3CFCB75E" w14:textId="77777777" w:rsidR="00471005" w:rsidRPr="00445457" w:rsidRDefault="00C92F76" w:rsidP="00F372B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</w:rPr>
        <w:t>A készítmény kevesebb mint 1 mmol (23 mg) nátriumot tartalmaz kapszulánként, azaz gyakorlatilag nátriummentes.</w:t>
      </w:r>
    </w:p>
    <w:p w14:paraId="46135F99" w14:textId="77777777" w:rsidR="00821515" w:rsidRPr="00445457" w:rsidRDefault="00821515" w:rsidP="00F372B2">
      <w:pPr>
        <w:spacing w:line="240" w:lineRule="auto"/>
        <w:jc w:val="left"/>
        <w:rPr>
          <w:color w:val="000000"/>
          <w:sz w:val="22"/>
          <w:szCs w:val="22"/>
        </w:rPr>
      </w:pPr>
    </w:p>
    <w:p w14:paraId="7047513D" w14:textId="79E5B7E9" w:rsidR="00696603" w:rsidRDefault="0084446C" w:rsidP="00F372B2">
      <w:pPr>
        <w:pStyle w:val="Cmsor2"/>
        <w:numPr>
          <w:ilvl w:val="0"/>
          <w:numId w:val="0"/>
        </w:numPr>
        <w:spacing w:after="0" w:line="240" w:lineRule="auto"/>
        <w:ind w:left="-6"/>
        <w:jc w:val="left"/>
        <w:rPr>
          <w:sz w:val="22"/>
        </w:rPr>
      </w:pPr>
      <w:r>
        <w:rPr>
          <w:sz w:val="22"/>
        </w:rPr>
        <w:t>4.5</w:t>
      </w:r>
      <w:r>
        <w:rPr>
          <w:sz w:val="22"/>
        </w:rPr>
        <w:tab/>
      </w:r>
      <w:r w:rsidR="00C92F76">
        <w:rPr>
          <w:sz w:val="22"/>
        </w:rPr>
        <w:t>Gyógyszerkölcsönhatások és egyéb interakciók</w:t>
      </w:r>
    </w:p>
    <w:p w14:paraId="35DCD7DD" w14:textId="77777777" w:rsidR="00BE0EBF" w:rsidRPr="00BE0EBF" w:rsidRDefault="00BE0EBF" w:rsidP="00F372B2"/>
    <w:p w14:paraId="7B047722" w14:textId="77777777" w:rsidR="00821515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Interakciós vizsgálatokat csak felnőttek körében végeztek.</w:t>
      </w:r>
    </w:p>
    <w:p w14:paraId="755B5BCB" w14:textId="77777777" w:rsidR="00A07813" w:rsidRPr="00445457" w:rsidRDefault="00A07813" w:rsidP="00F372B2">
      <w:pPr>
        <w:spacing w:line="240" w:lineRule="auto"/>
        <w:jc w:val="left"/>
        <w:rPr>
          <w:sz w:val="22"/>
          <w:szCs w:val="22"/>
        </w:rPr>
      </w:pPr>
    </w:p>
    <w:p w14:paraId="4CDD721B" w14:textId="77777777" w:rsidR="00A07813" w:rsidRPr="00445457" w:rsidRDefault="00C92F76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Gyógyszerek, amelyek megemelhetik a szunitinib plazmakoncentrációját </w:t>
      </w:r>
    </w:p>
    <w:p w14:paraId="666F5D48" w14:textId="77777777" w:rsidR="00A07813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 xml:space="preserve">CYP3A4-inhibitorok hatása </w:t>
      </w:r>
    </w:p>
    <w:p w14:paraId="595A8D70" w14:textId="14AF7779" w:rsidR="00A07813" w:rsidRPr="00F372B2" w:rsidRDefault="00C92F76" w:rsidP="00F372B2">
      <w:pPr>
        <w:spacing w:line="240" w:lineRule="auto"/>
        <w:jc w:val="left"/>
        <w:rPr>
          <w:sz w:val="22"/>
          <w:vertAlign w:val="subscript"/>
        </w:rPr>
      </w:pPr>
      <w:r>
        <w:rPr>
          <w:sz w:val="22"/>
        </w:rPr>
        <w:t>Egészséges önkénteseknél a szunitinib egyszeri dózisának az erős CYP3A4-gátló ketokonazollal történő egyidejű alkalmazása azt eredményezte, hogy 49%-kal megnőtt az egyesített (szunitinib + fő metabolit) maximális koncentráció (C</w:t>
      </w:r>
      <w:r>
        <w:rPr>
          <w:sz w:val="22"/>
          <w:vertAlign w:val="subscript"/>
        </w:rPr>
        <w:t>max</w:t>
      </w:r>
      <w:r>
        <w:rPr>
          <w:sz w:val="22"/>
        </w:rPr>
        <w:t>) és 51%-kal megnőtt a görbe alatti terület (AUC</w:t>
      </w:r>
      <w:r>
        <w:rPr>
          <w:sz w:val="22"/>
          <w:vertAlign w:val="subscript"/>
        </w:rPr>
        <w:t>0</w:t>
      </w:r>
      <w:r w:rsidR="00BE0EBF">
        <w:rPr>
          <w:sz w:val="22"/>
          <w:vertAlign w:val="subscript"/>
        </w:rPr>
        <w:t xml:space="preserve"> </w:t>
      </w:r>
      <w:r w:rsidR="00A72CAD">
        <w:rPr>
          <w:sz w:val="22"/>
          <w:vertAlign w:val="subscript"/>
        </w:rPr>
        <w:t>-</w:t>
      </w:r>
      <w:r w:rsidR="00A40CA8">
        <w:rPr>
          <w:sz w:val="22"/>
          <w:vertAlign w:val="subscript"/>
        </w:rPr>
        <w:t xml:space="preserve"> </w:t>
      </w:r>
      <w:r>
        <w:rPr>
          <w:sz w:val="22"/>
          <w:vertAlign w:val="subscript"/>
          <w:cs/>
        </w:rPr>
        <w:t>∞</w:t>
      </w:r>
      <w:r>
        <w:rPr>
          <w:sz w:val="22"/>
        </w:rPr>
        <w:t xml:space="preserve">). </w:t>
      </w:r>
    </w:p>
    <w:p w14:paraId="01F0EC51" w14:textId="77777777" w:rsidR="00A0781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12A67EC0" w14:textId="2A870C77" w:rsidR="00A0781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A szunitinib és az erős CYP3A4-gátlók (pl. ritonavir, itrakonazol, eritromicin, klaritromicin, grépf</w:t>
      </w:r>
      <w:r w:rsidR="00BE0EBF">
        <w:rPr>
          <w:sz w:val="22"/>
        </w:rPr>
        <w:t>r</w:t>
      </w:r>
      <w:r>
        <w:rPr>
          <w:sz w:val="22"/>
        </w:rPr>
        <w:t xml:space="preserve">útlé) egyidejű alkalmazása megemelheti a szunitinib koncentrációját. </w:t>
      </w:r>
    </w:p>
    <w:p w14:paraId="18593C62" w14:textId="77777777" w:rsidR="00A0781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326E41A9" w14:textId="77777777" w:rsidR="00A0781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Ezért a CYP3A4-gátlók egyidejű alkalmazása kerülendő, illetve olyan gyógyszereket kell választani, amelyeknek nincs vagy alig van gátló hatásuk a CYP3A4 enzimre. </w:t>
      </w:r>
    </w:p>
    <w:p w14:paraId="4AD9C3DD" w14:textId="77777777" w:rsidR="00A0781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1F3BDC77" w14:textId="6E610E75" w:rsidR="00A0781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Ha ez nem lehetséges, szükség lehet a </w:t>
      </w:r>
      <w:r w:rsidR="00532BBA">
        <w:rPr>
          <w:sz w:val="22"/>
        </w:rPr>
        <w:t>Sunitinib</w:t>
      </w:r>
      <w:r w:rsidR="00536232">
        <w:rPr>
          <w:sz w:val="22"/>
        </w:rPr>
        <w:noBreakHyphen/>
        <w:t>AZR</w:t>
      </w:r>
      <w:r>
        <w:rPr>
          <w:sz w:val="22"/>
        </w:rPr>
        <w:t xml:space="preserve"> adagjának csökkentésére (a minimális adag GIST-ben és MRCC-ben 37,5 mg/nap, pNET-ben pedig 25 mg/nap) a tolerálhatóság szoros ellenőrzése mellett (lásd 4.2 pont). </w:t>
      </w:r>
    </w:p>
    <w:p w14:paraId="56857947" w14:textId="77777777" w:rsidR="00A0781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598A6D89" w14:textId="77777777" w:rsidR="00A07813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 xml:space="preserve">Az emlőrák-rezisztencia fehérje (breast cancer resistance protein, BCRP) inhibitorainak hatása </w:t>
      </w:r>
    </w:p>
    <w:p w14:paraId="2E990B52" w14:textId="19F5EADA" w:rsidR="00A0781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Korlátozott klinikai adat áll rendelkezésre a szunitinib és a BCRP-inhibitorok közötti interakciókról, </w:t>
      </w:r>
      <w:r w:rsidR="00BE0EBF">
        <w:rPr>
          <w:sz w:val="22"/>
        </w:rPr>
        <w:t>ennek ellenére</w:t>
      </w:r>
      <w:r>
        <w:rPr>
          <w:sz w:val="22"/>
        </w:rPr>
        <w:t xml:space="preserve"> a szunitinib és a BCRP-inhibitorok közötti interakciókat nem lehet kizárni (lásd 5.2 pont). </w:t>
      </w:r>
    </w:p>
    <w:p w14:paraId="40540781" w14:textId="77777777" w:rsidR="00A0781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72B0BAF9" w14:textId="77777777" w:rsidR="00A07813" w:rsidRPr="00445457" w:rsidRDefault="00C92F76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Gyógyszerek, amelyek csökkenthetik a szunitinib plazmakoncentrációját </w:t>
      </w:r>
    </w:p>
    <w:p w14:paraId="0101DDDE" w14:textId="77777777" w:rsidR="00A07813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 xml:space="preserve">CYP3A4-induktorok hatása </w:t>
      </w:r>
    </w:p>
    <w:p w14:paraId="3FA9476B" w14:textId="0A3F7AD3" w:rsidR="00A0781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Egészséges önkénteseknél a szunitinib egyszeri dózisának a CYP3A4-enziminduktor hatású rifampicinnel történő egyidejű alkalmazása azt eredményezte, hogy 23%-kal csökkent az egyesített (szunitinib + fő metabolit) C</w:t>
      </w:r>
      <w:r>
        <w:rPr>
          <w:sz w:val="22"/>
          <w:vertAlign w:val="subscript"/>
        </w:rPr>
        <w:t>max</w:t>
      </w:r>
      <w:r>
        <w:rPr>
          <w:sz w:val="22"/>
        </w:rPr>
        <w:t>-érték és 46%-kal csökkent az AUC</w:t>
      </w:r>
      <w:r>
        <w:rPr>
          <w:sz w:val="22"/>
          <w:vertAlign w:val="subscript"/>
        </w:rPr>
        <w:t>0</w:t>
      </w:r>
      <w:r w:rsidR="00A72CAD">
        <w:rPr>
          <w:sz w:val="22"/>
          <w:vertAlign w:val="subscript"/>
        </w:rPr>
        <w:t xml:space="preserve"> - </w:t>
      </w:r>
      <w:r>
        <w:rPr>
          <w:sz w:val="22"/>
          <w:vertAlign w:val="subscript"/>
          <w:cs/>
        </w:rPr>
        <w:t>∞</w:t>
      </w:r>
      <w:r>
        <w:rPr>
          <w:sz w:val="22"/>
          <w:cs/>
        </w:rPr>
        <w:t xml:space="preserve"> </w:t>
      </w:r>
      <w:r>
        <w:rPr>
          <w:sz w:val="22"/>
        </w:rPr>
        <w:t xml:space="preserve">értéke. </w:t>
      </w:r>
    </w:p>
    <w:p w14:paraId="5C25AF6F" w14:textId="77777777" w:rsidR="00A0781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2CC81948" w14:textId="12BD0AFA" w:rsidR="00A07813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A szunitinib és az erős CYP3A4-induktorok (pl. dexametazon, fenitoin, karbamazepin, rifampicin, fenobarbitál vagy közönséges orbáncfüvet</w:t>
      </w:r>
      <w:r w:rsidR="00BE0EBF">
        <w:rPr>
          <w:sz w:val="22"/>
        </w:rPr>
        <w:t xml:space="preserve"> </w:t>
      </w:r>
      <w:r w:rsidR="00BE0EBF">
        <w:t>[</w:t>
      </w:r>
      <w:r>
        <w:rPr>
          <w:i/>
          <w:sz w:val="22"/>
        </w:rPr>
        <w:t>Hypericum perforatum</w:t>
      </w:r>
      <w:r w:rsidR="00BE0EBF" w:rsidRPr="00706095">
        <w:t>]</w:t>
      </w:r>
      <w:r>
        <w:rPr>
          <w:sz w:val="22"/>
        </w:rPr>
        <w:t xml:space="preserve"> tartalmazó gyógynövény</w:t>
      </w:r>
      <w:r w:rsidR="00BE0EBF">
        <w:rPr>
          <w:sz w:val="22"/>
        </w:rPr>
        <w:t>-</w:t>
      </w:r>
      <w:r>
        <w:rPr>
          <w:sz w:val="22"/>
        </w:rPr>
        <w:t xml:space="preserve">készítmények) egyidejű alkalmazása csökkentheti a szunitinib koncentrációját. Ezért a CYP3A4-induktorok egyidejű alkalmazása kerülendő, illetve olyan gyógyszereket kell választani, amelyek nem vagy alig indukálják a CYP3A4 enzimet. Ha ez nem lehetséges, szükség lehet a </w:t>
      </w:r>
      <w:r w:rsidR="00532BBA">
        <w:rPr>
          <w:sz w:val="22"/>
        </w:rPr>
        <w:t>Sunitinib</w:t>
      </w:r>
      <w:r w:rsidR="00536232">
        <w:rPr>
          <w:sz w:val="22"/>
        </w:rPr>
        <w:noBreakHyphen/>
        <w:t>AZR</w:t>
      </w:r>
      <w:r>
        <w:rPr>
          <w:sz w:val="22"/>
        </w:rPr>
        <w:t xml:space="preserve"> </w:t>
      </w:r>
      <w:r>
        <w:rPr>
          <w:sz w:val="22"/>
        </w:rPr>
        <w:lastRenderedPageBreak/>
        <w:t xml:space="preserve">adagjának emelésére 12,5 mg-os </w:t>
      </w:r>
      <w:r w:rsidR="00BE0EBF">
        <w:rPr>
          <w:sz w:val="22"/>
        </w:rPr>
        <w:t>részlet</w:t>
      </w:r>
      <w:r>
        <w:rPr>
          <w:sz w:val="22"/>
        </w:rPr>
        <w:t>ekben (GIST-ben és MRCC-ben maximum 87,5 mg/nap adagig, pNET-ben</w:t>
      </w:r>
      <w:r w:rsidR="00BE0EBF">
        <w:rPr>
          <w:sz w:val="22"/>
        </w:rPr>
        <w:t xml:space="preserve"> pedig</w:t>
      </w:r>
      <w:r>
        <w:rPr>
          <w:sz w:val="22"/>
        </w:rPr>
        <w:t xml:space="preserve"> 62,5 mg/nap adagig), a tolerabilitás szoros ellenőrzése mellett (lásd 4.2 pont).</w:t>
      </w:r>
    </w:p>
    <w:p w14:paraId="137E9E79" w14:textId="77777777" w:rsidR="00821515" w:rsidRPr="00445457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7B924E16" w14:textId="2E497279" w:rsidR="00696603" w:rsidRDefault="0084446C" w:rsidP="00F372B2">
      <w:pPr>
        <w:pStyle w:val="Cmsor2"/>
        <w:numPr>
          <w:ilvl w:val="0"/>
          <w:numId w:val="0"/>
        </w:numPr>
        <w:spacing w:after="0" w:line="240" w:lineRule="auto"/>
        <w:ind w:left="-6"/>
        <w:jc w:val="left"/>
        <w:rPr>
          <w:sz w:val="22"/>
        </w:rPr>
      </w:pPr>
      <w:r>
        <w:rPr>
          <w:sz w:val="22"/>
        </w:rPr>
        <w:t>4.6</w:t>
      </w:r>
      <w:r>
        <w:rPr>
          <w:sz w:val="22"/>
        </w:rPr>
        <w:tab/>
      </w:r>
      <w:r w:rsidR="00C92F76">
        <w:rPr>
          <w:sz w:val="22"/>
        </w:rPr>
        <w:t>Termékenység, terhesség és szoptatás</w:t>
      </w:r>
    </w:p>
    <w:p w14:paraId="52B95CBB" w14:textId="77777777" w:rsidR="0084446C" w:rsidRPr="0084446C" w:rsidRDefault="0084446C" w:rsidP="00F372B2"/>
    <w:p w14:paraId="36CAA2CB" w14:textId="2D7B98D7" w:rsidR="006E531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>F</w:t>
      </w:r>
      <w:r w:rsidR="00072651">
        <w:rPr>
          <w:color w:val="000000"/>
          <w:sz w:val="22"/>
          <w:u w:val="single"/>
        </w:rPr>
        <w:t>ogamzásgátlás f</w:t>
      </w:r>
      <w:r>
        <w:rPr>
          <w:color w:val="000000"/>
          <w:sz w:val="22"/>
          <w:u w:val="single"/>
        </w:rPr>
        <w:t>érfi</w:t>
      </w:r>
      <w:r w:rsidR="00072651">
        <w:rPr>
          <w:color w:val="000000"/>
          <w:sz w:val="22"/>
          <w:u w:val="single"/>
        </w:rPr>
        <w:t>aknál</w:t>
      </w:r>
      <w:r>
        <w:rPr>
          <w:color w:val="000000"/>
          <w:sz w:val="22"/>
          <w:u w:val="single"/>
        </w:rPr>
        <w:t xml:space="preserve"> és nő</w:t>
      </w:r>
      <w:r w:rsidR="00072651">
        <w:rPr>
          <w:color w:val="000000"/>
          <w:sz w:val="22"/>
          <w:u w:val="single"/>
        </w:rPr>
        <w:t>knél</w:t>
      </w:r>
      <w:r>
        <w:rPr>
          <w:color w:val="000000"/>
          <w:sz w:val="22"/>
          <w:u w:val="single"/>
        </w:rPr>
        <w:t xml:space="preserve"> </w:t>
      </w:r>
    </w:p>
    <w:p w14:paraId="16D428E1" w14:textId="12A5FBF3" w:rsidR="006E531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fogamzóképes nőknek azt kell tanácsolni, hogy a szunitinib</w:t>
      </w:r>
      <w:r w:rsidR="00BE0EBF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 alatt alkalmazzanak hatékony fogamzásgátló módszert, és kerüljék el a teherbeesést. </w:t>
      </w:r>
    </w:p>
    <w:p w14:paraId="6430FF20" w14:textId="77777777" w:rsidR="006E531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46B86217" w14:textId="09DFEAD9" w:rsidR="006E531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>Terhesség</w:t>
      </w:r>
      <w:r w:rsidR="00471C90">
        <w:rPr>
          <w:color w:val="000000"/>
          <w:sz w:val="22"/>
          <w:u w:val="single"/>
        </w:rPr>
        <w:t xml:space="preserve"> </w:t>
      </w:r>
    </w:p>
    <w:p w14:paraId="2A97E2AD" w14:textId="79A33DF4" w:rsidR="006E531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Terhes nőknél nem végeztek vizsgálatokat szunitinibbel. Állatkísérletekben reprodukciós toxicitást, köztük magzati malformációkat észleltek (lásd 5.3 pont). A </w:t>
      </w:r>
      <w:r w:rsidR="00BE0EBF">
        <w:rPr>
          <w:color w:val="000000"/>
          <w:sz w:val="22"/>
        </w:rPr>
        <w:t>S</w:t>
      </w:r>
      <w:r>
        <w:rPr>
          <w:color w:val="000000"/>
          <w:sz w:val="22"/>
        </w:rPr>
        <w:t>unitinib</w:t>
      </w:r>
      <w:r w:rsidR="00BE0EBF">
        <w:rPr>
          <w:color w:val="000000"/>
          <w:sz w:val="22"/>
        </w:rPr>
        <w:t>-AZR</w:t>
      </w:r>
      <w:r>
        <w:rPr>
          <w:color w:val="000000"/>
          <w:sz w:val="22"/>
        </w:rPr>
        <w:t xml:space="preserve"> nem adható terhesség alatt, vagy olyan nőknek, akik nem alkalmaznak hatékony fogamzásgátlást, kivéve, ha a várható előny meghaladja a lehetséges magzati károsodás kockázatát. Ha a szunitinibet terhesség alatt alkalmazzák, vagy ha a beteg a szunitinib</w:t>
      </w:r>
      <w:r w:rsidR="00BE0EBF">
        <w:rPr>
          <w:color w:val="000000"/>
          <w:sz w:val="22"/>
        </w:rPr>
        <w:t xml:space="preserve">bel történő </w:t>
      </w:r>
      <w:r>
        <w:rPr>
          <w:color w:val="000000"/>
          <w:sz w:val="22"/>
        </w:rPr>
        <w:t xml:space="preserve">kezelés alatt esik teherbe, tájékoztatni kell a beteget a lehetséges magzati károsodás veszélyéről. </w:t>
      </w:r>
    </w:p>
    <w:p w14:paraId="1FDFC3EB" w14:textId="77777777" w:rsidR="006E531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666BC345" w14:textId="77777777" w:rsidR="006E531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Szoptatás </w:t>
      </w:r>
    </w:p>
    <w:p w14:paraId="4F2F110C" w14:textId="69BECFB4" w:rsidR="006E531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A szunitinib és/vagy a metabolitjai patkányokban kiválasztódnak az anyatejbe. Nem ismert, hogy a szunitinib vagy fő aktív metabolitja kiválasztódik-e a humán anyatejbe. Mivel a hatóanyagok gyakran kiválasztódnak az anyatejbe, és a szoptatott csecsemőknél akár súlyos mellékhatásokat is okozhatnak, a szunitinib</w:t>
      </w:r>
      <w:r w:rsidR="00BE0EBF">
        <w:rPr>
          <w:color w:val="000000"/>
          <w:sz w:val="22"/>
        </w:rPr>
        <w:t>-</w:t>
      </w:r>
      <w:r>
        <w:rPr>
          <w:color w:val="000000"/>
          <w:sz w:val="22"/>
        </w:rPr>
        <w:t xml:space="preserve">kezelés alatt nem szabad szoptatni. </w:t>
      </w:r>
    </w:p>
    <w:p w14:paraId="5BADD12D" w14:textId="77777777" w:rsidR="006E531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363E80B1" w14:textId="77777777" w:rsidR="006E531D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u w:val="single"/>
        </w:rPr>
        <w:t xml:space="preserve">Termékenység </w:t>
      </w:r>
    </w:p>
    <w:p w14:paraId="16DBDBDF" w14:textId="068CAF48" w:rsidR="00821515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Nem klinikai </w:t>
      </w:r>
      <w:r w:rsidR="00072651">
        <w:rPr>
          <w:color w:val="000000"/>
          <w:sz w:val="22"/>
        </w:rPr>
        <w:t>megfigyelések</w:t>
      </w:r>
      <w:r>
        <w:rPr>
          <w:color w:val="000000"/>
          <w:sz w:val="22"/>
        </w:rPr>
        <w:t xml:space="preserve"> arra utalnak, hogy a szunitinib</w:t>
      </w:r>
      <w:r w:rsidR="00072651">
        <w:rPr>
          <w:color w:val="000000"/>
          <w:sz w:val="22"/>
        </w:rPr>
        <w:t>-</w:t>
      </w:r>
      <w:r>
        <w:rPr>
          <w:color w:val="000000"/>
          <w:sz w:val="22"/>
        </w:rPr>
        <w:t>kezelés veszélyeztetheti a férfi és női termékenységet (lásd 5.3 pont).</w:t>
      </w:r>
    </w:p>
    <w:p w14:paraId="0B8EBE20" w14:textId="77777777" w:rsidR="006E531D" w:rsidRPr="00445457" w:rsidRDefault="006E531D" w:rsidP="00F372B2">
      <w:pPr>
        <w:spacing w:line="240" w:lineRule="auto"/>
        <w:jc w:val="left"/>
        <w:rPr>
          <w:color w:val="000000"/>
          <w:sz w:val="22"/>
          <w:szCs w:val="22"/>
        </w:rPr>
      </w:pPr>
    </w:p>
    <w:p w14:paraId="7E20895E" w14:textId="12FB7070" w:rsidR="00696603" w:rsidRDefault="0084446C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4.7</w:t>
      </w:r>
      <w:r>
        <w:rPr>
          <w:sz w:val="22"/>
        </w:rPr>
        <w:tab/>
      </w:r>
      <w:r w:rsidR="00C92F76">
        <w:rPr>
          <w:sz w:val="22"/>
        </w:rPr>
        <w:t>A készítmény hatásai a gépjárművezetéshez és a gépek kezeléséhez szükséges képességekre</w:t>
      </w:r>
    </w:p>
    <w:p w14:paraId="531542F1" w14:textId="77777777" w:rsidR="0084446C" w:rsidRPr="00F372B2" w:rsidRDefault="0084446C" w:rsidP="00F372B2">
      <w:pPr>
        <w:rPr>
          <w:sz w:val="22"/>
          <w:szCs w:val="22"/>
        </w:rPr>
      </w:pPr>
    </w:p>
    <w:p w14:paraId="4142E0BF" w14:textId="4BE6815B" w:rsidR="00821515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A szunitinib kismértékben befolyásolja a gépjárművezetéshez és a gépek kezeléséhez szükséges képességeket. A betegeket figyelmeztetni kell arra, hogy szunitinib</w:t>
      </w:r>
      <w:r w:rsidR="00BE0EBF">
        <w:rPr>
          <w:sz w:val="22"/>
        </w:rPr>
        <w:t>-</w:t>
      </w:r>
      <w:r>
        <w:rPr>
          <w:sz w:val="22"/>
        </w:rPr>
        <w:t>kezelés alatt szédülést tapasztalhatnak.</w:t>
      </w:r>
    </w:p>
    <w:p w14:paraId="3DB4D422" w14:textId="77777777" w:rsidR="000C6813" w:rsidRPr="00445457" w:rsidRDefault="000C6813" w:rsidP="00F372B2">
      <w:pPr>
        <w:spacing w:line="240" w:lineRule="auto"/>
        <w:jc w:val="left"/>
        <w:rPr>
          <w:sz w:val="22"/>
          <w:szCs w:val="22"/>
        </w:rPr>
      </w:pPr>
    </w:p>
    <w:p w14:paraId="5D3AE089" w14:textId="1DE1D730" w:rsidR="00696603" w:rsidRDefault="0084446C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4.8</w:t>
      </w:r>
      <w:r>
        <w:rPr>
          <w:sz w:val="22"/>
        </w:rPr>
        <w:tab/>
      </w:r>
      <w:r w:rsidR="00C92F76">
        <w:rPr>
          <w:sz w:val="22"/>
        </w:rPr>
        <w:t>Nemkívánatos hatások, mellékhatások</w:t>
      </w:r>
    </w:p>
    <w:p w14:paraId="7C090CB9" w14:textId="77777777" w:rsidR="0084446C" w:rsidRPr="00F372B2" w:rsidRDefault="0084446C" w:rsidP="00F372B2">
      <w:pPr>
        <w:rPr>
          <w:sz w:val="22"/>
          <w:szCs w:val="22"/>
        </w:rPr>
      </w:pPr>
    </w:p>
    <w:p w14:paraId="36C4CCD9" w14:textId="77777777" w:rsidR="000C6813" w:rsidRPr="00445457" w:rsidRDefault="00C92F76" w:rsidP="00F372B2">
      <w:pPr>
        <w:spacing w:line="240" w:lineRule="auto"/>
        <w:jc w:val="left"/>
        <w:rPr>
          <w:iCs/>
          <w:sz w:val="22"/>
          <w:szCs w:val="22"/>
          <w:u w:val="single"/>
        </w:rPr>
      </w:pPr>
      <w:r>
        <w:rPr>
          <w:sz w:val="22"/>
          <w:u w:val="single"/>
        </w:rPr>
        <w:t xml:space="preserve">A biztonságossági profil összefoglalása </w:t>
      </w:r>
    </w:p>
    <w:p w14:paraId="36F37BF2" w14:textId="2340B959" w:rsidR="000C6813" w:rsidRPr="00445457" w:rsidRDefault="00C92F76" w:rsidP="00F372B2">
      <w:pPr>
        <w:spacing w:line="240" w:lineRule="auto"/>
        <w:jc w:val="left"/>
        <w:rPr>
          <w:iCs/>
          <w:sz w:val="22"/>
          <w:szCs w:val="22"/>
        </w:rPr>
      </w:pPr>
      <w:r>
        <w:rPr>
          <w:sz w:val="22"/>
        </w:rPr>
        <w:t>A szunitinibbel összefüggő legsúlyosabb, olykor halált okozó mellékhatások a veseelégtelenség, szívelégtelenség, tüdőembólia, gastrointestinalis perforáció és vérzések (pl. légzőrendszeri, gastrointestinalis, tumor-, húgyúti és agyvérzések). A leggyakoribb (RCC-ben, GIST-ben és pNET</w:t>
      </w:r>
      <w:r w:rsidR="00BE0EBF">
        <w:rPr>
          <w:sz w:val="22"/>
        </w:rPr>
        <w:t>-</w:t>
      </w:r>
      <w:r>
        <w:rPr>
          <w:sz w:val="22"/>
        </w:rPr>
        <w:t>ben szenvedő betegek bevonásával végzett törzskönyvezési célú vizsgálatokban előforduló), bármilyen súlyosságú mellékhatások az étvágycsökkenés,</w:t>
      </w:r>
      <w:r w:rsidR="00BE0EBF">
        <w:rPr>
          <w:sz w:val="22"/>
        </w:rPr>
        <w:t xml:space="preserve"> </w:t>
      </w:r>
      <w:r>
        <w:rPr>
          <w:sz w:val="22"/>
        </w:rPr>
        <w:t>dysgeusia, hypertonia, fáradtság, gastrointestinalis zavarok (vagyis hasmenés, émelygés, stomatitis, dyspepsia és hányás), bőrelszíneződés, és palmo-plantaris erythrodysaesthesia szindróma voltak. Ezek a tünetek a kezelés előrehaladtával csökkenhetnek. A kezelés alatt hypothyreosis alakulhat ki. A leggyakoribb mellékhatások közé tartoznak a haematológiai rendellene</w:t>
      </w:r>
      <w:r w:rsidR="00A12F76">
        <w:rPr>
          <w:sz w:val="22"/>
        </w:rPr>
        <w:t>s</w:t>
      </w:r>
      <w:r>
        <w:rPr>
          <w:sz w:val="22"/>
        </w:rPr>
        <w:t xml:space="preserve">ségek (pl. neutropenia, thrombocytopenia és anaemia). </w:t>
      </w:r>
    </w:p>
    <w:p w14:paraId="35E6C7F5" w14:textId="77777777" w:rsidR="000C6813" w:rsidRPr="00445457" w:rsidRDefault="00C92F76" w:rsidP="00F372B2">
      <w:pPr>
        <w:spacing w:line="240" w:lineRule="auto"/>
        <w:jc w:val="left"/>
        <w:rPr>
          <w:iCs/>
          <w:sz w:val="22"/>
          <w:szCs w:val="22"/>
        </w:rPr>
      </w:pPr>
      <w:r>
        <w:rPr>
          <w:sz w:val="22"/>
        </w:rPr>
        <w:t xml:space="preserve"> </w:t>
      </w:r>
    </w:p>
    <w:p w14:paraId="7191E20F" w14:textId="77777777" w:rsidR="000C6813" w:rsidRPr="00445457" w:rsidRDefault="00C92F76" w:rsidP="00F372B2">
      <w:pPr>
        <w:spacing w:line="240" w:lineRule="auto"/>
        <w:jc w:val="left"/>
        <w:rPr>
          <w:iCs/>
          <w:sz w:val="22"/>
          <w:szCs w:val="22"/>
        </w:rPr>
      </w:pPr>
      <w:r>
        <w:rPr>
          <w:sz w:val="22"/>
        </w:rPr>
        <w:t xml:space="preserve">A fenti 4.4 és az alábbi 4.8 pontban felsorolt halálos kimenetelű eseményeken kívül a szunitinibbel való összefüggés valószínűsíthető többek között sokszervi elégtelenség, disszeminált intravascularis coagulatio, peritonealis haemorrhagia, mellékvese-elégtelenség, pneumothorax, shock és hirtelen halál esetében. </w:t>
      </w:r>
    </w:p>
    <w:p w14:paraId="049A5469" w14:textId="77777777" w:rsidR="000C6813" w:rsidRPr="00445457" w:rsidRDefault="00C92F76" w:rsidP="00F372B2">
      <w:pPr>
        <w:spacing w:line="240" w:lineRule="auto"/>
        <w:jc w:val="left"/>
        <w:rPr>
          <w:iCs/>
          <w:sz w:val="22"/>
          <w:szCs w:val="22"/>
        </w:rPr>
      </w:pPr>
      <w:r>
        <w:rPr>
          <w:sz w:val="22"/>
        </w:rPr>
        <w:t xml:space="preserve"> </w:t>
      </w:r>
    </w:p>
    <w:p w14:paraId="2FA4F678" w14:textId="77777777" w:rsidR="000C6813" w:rsidRPr="00445457" w:rsidRDefault="00C92F76" w:rsidP="00F372B2">
      <w:pPr>
        <w:spacing w:line="240" w:lineRule="auto"/>
        <w:jc w:val="left"/>
        <w:rPr>
          <w:iCs/>
          <w:sz w:val="22"/>
          <w:szCs w:val="22"/>
          <w:u w:val="single"/>
        </w:rPr>
      </w:pPr>
      <w:r>
        <w:rPr>
          <w:sz w:val="22"/>
          <w:u w:val="single"/>
        </w:rPr>
        <w:t xml:space="preserve">A mellékhatások táblázatos felsorolása </w:t>
      </w:r>
    </w:p>
    <w:p w14:paraId="66902784" w14:textId="51E6D422" w:rsidR="000C6813" w:rsidRPr="00445457" w:rsidRDefault="00C92F76" w:rsidP="00F372B2">
      <w:pPr>
        <w:spacing w:line="240" w:lineRule="auto"/>
        <w:jc w:val="left"/>
        <w:rPr>
          <w:iCs/>
          <w:sz w:val="22"/>
          <w:szCs w:val="22"/>
        </w:rPr>
      </w:pPr>
      <w:r>
        <w:rPr>
          <w:sz w:val="22"/>
        </w:rPr>
        <w:t xml:space="preserve">A GIST-ben, MRCC-ben és pNET-ben szenvedő betegeknél 7115 beteg összesített adathalmazában előforduló mellékhatások az alábbi táblázatban szervrendszerek, gyakoriság és súlyossági fokozat szerint kerültek felsorolásra (NCI-CTCAE). A klinikai vizsgálatok során </w:t>
      </w:r>
      <w:r w:rsidR="00A12F76">
        <w:rPr>
          <w:sz w:val="22"/>
        </w:rPr>
        <w:t>megh</w:t>
      </w:r>
      <w:r w:rsidR="00072651">
        <w:rPr>
          <w:sz w:val="22"/>
        </w:rPr>
        <w:t>a</w:t>
      </w:r>
      <w:r w:rsidR="00A12F76">
        <w:rPr>
          <w:sz w:val="22"/>
        </w:rPr>
        <w:t>tároz</w:t>
      </w:r>
      <w:r>
        <w:rPr>
          <w:sz w:val="22"/>
        </w:rPr>
        <w:t xml:space="preserve">ott, forgalomba </w:t>
      </w:r>
      <w:r>
        <w:rPr>
          <w:sz w:val="22"/>
        </w:rPr>
        <w:lastRenderedPageBreak/>
        <w:t>hozatal után</w:t>
      </w:r>
      <w:r w:rsidR="00A12F76">
        <w:rPr>
          <w:sz w:val="22"/>
        </w:rPr>
        <w:t>i</w:t>
      </w:r>
      <w:r>
        <w:rPr>
          <w:sz w:val="22"/>
        </w:rPr>
        <w:t xml:space="preserve"> mellékhatások is felsorolásra kerültek. Az egyes gyakorisági kategóriákon belül a mellékhatások csökkenő súlyosság szerint kerülnek megadásra. </w:t>
      </w:r>
    </w:p>
    <w:p w14:paraId="4348EF8F" w14:textId="77777777" w:rsidR="000C6813" w:rsidRPr="00445457" w:rsidRDefault="00C92F76" w:rsidP="00F372B2">
      <w:pPr>
        <w:spacing w:line="240" w:lineRule="auto"/>
        <w:jc w:val="left"/>
        <w:rPr>
          <w:iCs/>
          <w:sz w:val="22"/>
          <w:szCs w:val="22"/>
        </w:rPr>
      </w:pPr>
      <w:r>
        <w:rPr>
          <w:sz w:val="22"/>
        </w:rPr>
        <w:t xml:space="preserve"> </w:t>
      </w:r>
    </w:p>
    <w:p w14:paraId="601B1D69" w14:textId="77777777" w:rsidR="00821515" w:rsidRPr="00445457" w:rsidRDefault="00C92F76" w:rsidP="00F372B2">
      <w:pPr>
        <w:spacing w:line="240" w:lineRule="auto"/>
        <w:jc w:val="left"/>
        <w:rPr>
          <w:iCs/>
          <w:sz w:val="22"/>
          <w:szCs w:val="22"/>
        </w:rPr>
      </w:pPr>
      <w:r>
        <w:rPr>
          <w:sz w:val="22"/>
        </w:rPr>
        <w:t>A gyakorisági kategóriák meghatározásai a következők: nagyon gyakori (</w:t>
      </w:r>
      <w:r>
        <w:rPr>
          <w:sz w:val="22"/>
          <w:cs/>
        </w:rPr>
        <w:t>≥</w:t>
      </w:r>
      <w:r>
        <w:rPr>
          <w:sz w:val="22"/>
        </w:rPr>
        <w:t>1/10), gyakori (</w:t>
      </w:r>
      <w:r>
        <w:rPr>
          <w:sz w:val="22"/>
          <w:cs/>
        </w:rPr>
        <w:t>≥</w:t>
      </w:r>
      <w:r>
        <w:rPr>
          <w:sz w:val="22"/>
        </w:rPr>
        <w:t xml:space="preserve">1/100 </w:t>
      </w:r>
      <w:r>
        <w:rPr>
          <w:sz w:val="22"/>
          <w:cs/>
        </w:rPr>
        <w:t xml:space="preserve">– </w:t>
      </w:r>
      <w:r>
        <w:rPr>
          <w:sz w:val="22"/>
        </w:rPr>
        <w:t>&lt;1/10), nem gyakori (</w:t>
      </w:r>
      <w:r>
        <w:rPr>
          <w:sz w:val="22"/>
          <w:cs/>
        </w:rPr>
        <w:t>≥</w:t>
      </w:r>
      <w:r>
        <w:rPr>
          <w:sz w:val="22"/>
        </w:rPr>
        <w:t xml:space="preserve">1/1000 </w:t>
      </w:r>
      <w:r>
        <w:rPr>
          <w:sz w:val="22"/>
          <w:cs/>
        </w:rPr>
        <w:t xml:space="preserve">– </w:t>
      </w:r>
      <w:r>
        <w:rPr>
          <w:sz w:val="22"/>
        </w:rPr>
        <w:t>&lt;1/100), ritka (</w:t>
      </w:r>
      <w:r>
        <w:rPr>
          <w:sz w:val="22"/>
          <w:cs/>
        </w:rPr>
        <w:t>≥</w:t>
      </w:r>
      <w:r>
        <w:rPr>
          <w:sz w:val="22"/>
        </w:rPr>
        <w:t xml:space="preserve">1/10 000 </w:t>
      </w:r>
      <w:r>
        <w:rPr>
          <w:sz w:val="22"/>
          <w:cs/>
        </w:rPr>
        <w:t xml:space="preserve">– </w:t>
      </w:r>
      <w:r>
        <w:rPr>
          <w:sz w:val="22"/>
        </w:rPr>
        <w:t>&lt;1/1000), nagyon ritka (&lt;1/10 000), nem ismert (a gyakoriság a rendelkezésre álló adatokból nem állapítható meg).</w:t>
      </w:r>
    </w:p>
    <w:p w14:paraId="0B442488" w14:textId="77777777" w:rsidR="000C6813" w:rsidRPr="00445457" w:rsidRDefault="000C6813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  <w:u w:val="single"/>
        </w:rPr>
      </w:pPr>
    </w:p>
    <w:p w14:paraId="503A31A6" w14:textId="1F64FBF6" w:rsidR="000C6813" w:rsidRPr="00445457" w:rsidRDefault="00C92F76" w:rsidP="00F372B2">
      <w:pPr>
        <w:pStyle w:val="Kpalrs"/>
        <w:ind w:hanging="1077"/>
        <w:jc w:val="left"/>
        <w:rPr>
          <w:b/>
          <w:sz w:val="20"/>
          <w:szCs w:val="22"/>
        </w:rPr>
      </w:pPr>
      <w:r>
        <w:rPr>
          <w:b/>
          <w:sz w:val="22"/>
        </w:rPr>
        <w:fldChar w:fldCharType="begin"/>
      </w:r>
      <w:r>
        <w:rPr>
          <w:b/>
          <w:sz w:val="22"/>
        </w:rPr>
        <w:instrText xml:space="preserve"> SEQ Table \* ARABIC </w:instrText>
      </w:r>
      <w:r>
        <w:rPr>
          <w:b/>
          <w:sz w:val="22"/>
        </w:rPr>
        <w:fldChar w:fldCharType="separate"/>
      </w:r>
      <w:r>
        <w:rPr>
          <w:b/>
          <w:sz w:val="22"/>
        </w:rPr>
        <w:t>1</w:t>
      </w:r>
      <w:r>
        <w:rPr>
          <w:b/>
          <w:sz w:val="22"/>
        </w:rPr>
        <w:fldChar w:fldCharType="end"/>
      </w:r>
      <w:r>
        <w:rPr>
          <w:b/>
          <w:sz w:val="20"/>
        </w:rPr>
        <w:t xml:space="preserve">. </w:t>
      </w:r>
      <w:r w:rsidRPr="00F372B2">
        <w:rPr>
          <w:b/>
          <w:sz w:val="22"/>
          <w:szCs w:val="22"/>
        </w:rPr>
        <w:t>táblázat</w:t>
      </w:r>
      <w:r w:rsidR="0084446C">
        <w:rPr>
          <w:b/>
          <w:sz w:val="22"/>
          <w:szCs w:val="22"/>
        </w:rPr>
        <w:t>.</w:t>
      </w:r>
      <w:r w:rsidR="00A12F76">
        <w:rPr>
          <w:b/>
          <w:sz w:val="20"/>
        </w:rPr>
        <w:t xml:space="preserve"> </w:t>
      </w:r>
      <w:r>
        <w:rPr>
          <w:b/>
          <w:sz w:val="22"/>
        </w:rPr>
        <w:t>Klinikai vizsgálatokban jelentett mellékhatások</w:t>
      </w:r>
      <w:r w:rsidR="00471C90">
        <w:rPr>
          <w:b/>
          <w:sz w:val="20"/>
        </w:rPr>
        <w:t xml:space="preserve"> </w:t>
      </w:r>
    </w:p>
    <w:tbl>
      <w:tblPr>
        <w:tblW w:w="9919" w:type="dxa"/>
        <w:tblInd w:w="-8" w:type="dxa"/>
        <w:tblLayout w:type="fixed"/>
        <w:tblCellMar>
          <w:top w:w="11" w:type="dxa"/>
          <w:left w:w="8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744"/>
        <w:gridCol w:w="1653"/>
        <w:gridCol w:w="1653"/>
        <w:gridCol w:w="1653"/>
        <w:gridCol w:w="1656"/>
      </w:tblGrid>
      <w:tr w:rsidR="005F28FE" w:rsidRPr="00445457" w14:paraId="30C4CC23" w14:textId="77777777" w:rsidTr="00F42D79">
        <w:trPr>
          <w:trHeight w:val="432"/>
          <w:tblHeader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F88A4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Szervrendszer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9E588" w14:textId="77777777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Nagyon gyakori </w:t>
            </w:r>
          </w:p>
          <w:p w14:paraId="23673FBD" w14:textId="77777777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50B61" w14:textId="77777777" w:rsidR="000C6813" w:rsidRPr="00F42D79" w:rsidRDefault="00C92F76" w:rsidP="00D81E9F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Gyakori </w:t>
            </w:r>
          </w:p>
          <w:p w14:paraId="1B925A4A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E7863" w14:textId="77777777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Nem gyakori </w:t>
            </w:r>
          </w:p>
          <w:p w14:paraId="527D4DF2" w14:textId="77777777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430E8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Ritka </w:t>
            </w:r>
          </w:p>
          <w:p w14:paraId="0374EEA8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44340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Nem ismert </w:t>
            </w:r>
          </w:p>
        </w:tc>
      </w:tr>
      <w:tr w:rsidR="005F28FE" w:rsidRPr="00445457" w14:paraId="56EB9533" w14:textId="77777777" w:rsidTr="00F42D79">
        <w:trPr>
          <w:trHeight w:val="1872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8250C" w14:textId="24D06CC3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Fertőző betegségek és parazita</w:t>
            </w:r>
            <w:r w:rsidR="00A12F76">
              <w:rPr>
                <w:b/>
                <w:color w:val="000000"/>
                <w:sz w:val="20"/>
              </w:rPr>
              <w:t>-</w:t>
            </w:r>
            <w:r>
              <w:rPr>
                <w:b/>
                <w:color w:val="000000"/>
                <w:sz w:val="20"/>
              </w:rPr>
              <w:t xml:space="preserve">fertőzések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1F807" w14:textId="77777777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7330D" w14:textId="0022DD85" w:rsidR="00DC6831" w:rsidRDefault="00C92F76" w:rsidP="002201B3">
            <w:pPr>
              <w:spacing w:after="26" w:line="274" w:lineRule="auto"/>
              <w:jc w:val="left"/>
              <w:rPr>
                <w:color w:val="000000"/>
                <w:sz w:val="20"/>
                <w:vertAlign w:val="superscript"/>
              </w:rPr>
            </w:pPr>
            <w:r>
              <w:rPr>
                <w:color w:val="000000"/>
                <w:sz w:val="20"/>
              </w:rPr>
              <w:t>Vírusfertőzés</w:t>
            </w:r>
            <w:r>
              <w:rPr>
                <w:color w:val="000000"/>
                <w:sz w:val="20"/>
                <w:vertAlign w:val="superscript"/>
              </w:rPr>
              <w:t>a</w:t>
            </w:r>
          </w:p>
          <w:p w14:paraId="37650700" w14:textId="07D3722D" w:rsidR="000C6813" w:rsidRPr="00F42D79" w:rsidRDefault="00C92F76" w:rsidP="002201B3">
            <w:pPr>
              <w:spacing w:after="26" w:line="274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Légúti fertőzés</w:t>
            </w:r>
            <w:r>
              <w:rPr>
                <w:color w:val="000000"/>
                <w:sz w:val="20"/>
                <w:vertAlign w:val="superscript"/>
              </w:rPr>
              <w:t>b,</w:t>
            </w:r>
            <w:r>
              <w:rPr>
                <w:color w:val="000000"/>
                <w:sz w:val="20"/>
              </w:rPr>
              <w:t>*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39CA5867" w14:textId="55CFD980" w:rsidR="000C6813" w:rsidRPr="00F42D79" w:rsidRDefault="00A12F76" w:rsidP="00D81E9F">
            <w:pPr>
              <w:spacing w:after="42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Abscessus</w:t>
            </w:r>
            <w:r w:rsidR="00C92F76">
              <w:rPr>
                <w:color w:val="000000"/>
                <w:sz w:val="20"/>
                <w:vertAlign w:val="superscript"/>
              </w:rPr>
              <w:t>c,</w:t>
            </w:r>
            <w:r w:rsidR="00C92F76">
              <w:rPr>
                <w:color w:val="000000"/>
                <w:sz w:val="20"/>
              </w:rPr>
              <w:t>*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64CEEA96" w14:textId="723919EE" w:rsidR="00DC6831" w:rsidRDefault="00C92F76">
            <w:pPr>
              <w:spacing w:after="3" w:line="263" w:lineRule="auto"/>
              <w:ind w:right="232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Gombás fertőzés</w:t>
            </w:r>
            <w:r>
              <w:rPr>
                <w:color w:val="000000"/>
                <w:sz w:val="20"/>
                <w:vertAlign w:val="superscript"/>
              </w:rPr>
              <w:t>d</w:t>
            </w:r>
            <w:r>
              <w:rPr>
                <w:color w:val="000000"/>
                <w:sz w:val="20"/>
              </w:rPr>
              <w:t xml:space="preserve"> </w:t>
            </w:r>
          </w:p>
          <w:p w14:paraId="22AE333F" w14:textId="722732A5" w:rsidR="000C6813" w:rsidRPr="00F42D79" w:rsidRDefault="00C92F76">
            <w:pPr>
              <w:spacing w:after="3" w:line="263" w:lineRule="auto"/>
              <w:ind w:right="232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Húgyúti fertőzés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0FF0CAD6" w14:textId="13A4A870" w:rsidR="000C6813" w:rsidRPr="00F42D79" w:rsidRDefault="00C92F76">
            <w:pPr>
              <w:spacing w:after="35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Bőrfertőzés</w:t>
            </w:r>
            <w:r>
              <w:rPr>
                <w:color w:val="000000"/>
                <w:sz w:val="20"/>
                <w:vertAlign w:val="superscript"/>
              </w:rPr>
              <w:t>e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23A22A24" w14:textId="48B8F65A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Sepsis</w:t>
            </w:r>
            <w:r>
              <w:rPr>
                <w:color w:val="000000"/>
                <w:sz w:val="20"/>
                <w:vertAlign w:val="superscript"/>
              </w:rPr>
              <w:t>f,*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77BF9" w14:textId="77777777" w:rsidR="005F28FE" w:rsidRPr="00F42D79" w:rsidRDefault="00C92F76">
            <w:pPr>
              <w:spacing w:line="259" w:lineRule="auto"/>
              <w:ind w:left="16" w:right="43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Fasciitis necrotisans*</w:t>
            </w:r>
          </w:p>
          <w:p w14:paraId="2E9BD194" w14:textId="2EDE9699" w:rsidR="000C6813" w:rsidRPr="00F42D79" w:rsidRDefault="00C92F76">
            <w:pPr>
              <w:spacing w:line="259" w:lineRule="auto"/>
              <w:ind w:left="16" w:right="43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Bakteriális fertőzés</w:t>
            </w:r>
            <w:r>
              <w:rPr>
                <w:color w:val="000000"/>
                <w:sz w:val="20"/>
                <w:vertAlign w:val="superscript"/>
              </w:rPr>
              <w:t>g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3F79A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EAACF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3F66C6D7" w14:textId="77777777" w:rsidTr="00F42D79">
        <w:trPr>
          <w:trHeight w:val="832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7A2BD" w14:textId="0B1D4DAB" w:rsidR="000C6813" w:rsidRPr="00F42D79" w:rsidRDefault="00C92F76" w:rsidP="00B00CA3">
            <w:pPr>
              <w:spacing w:line="259" w:lineRule="auto"/>
              <w:ind w:left="16" w:right="22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Vérképzőszervi és nyirokrendszeri betegségek és tünetek</w:t>
            </w:r>
            <w:r w:rsidR="00471C90"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B0500" w14:textId="2C44311E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Neutropenia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48BBB0C2" w14:textId="4F1D14F4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Thrombocytopenia </w:t>
            </w:r>
          </w:p>
          <w:p w14:paraId="6378E18F" w14:textId="69F46395" w:rsidR="000C6813" w:rsidRPr="00F42D79" w:rsidRDefault="00C92F76" w:rsidP="00D81E9F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Anaemia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2F72180C" w14:textId="29B9B24D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Leukopenia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149D1" w14:textId="53FA0FC2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Lymphopenia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9BF5F" w14:textId="3B3B72DF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Pancytopenia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FA7A9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Thromboticus microangiopathia</w:t>
            </w:r>
            <w:r>
              <w:rPr>
                <w:color w:val="000000"/>
                <w:sz w:val="20"/>
                <w:vertAlign w:val="superscript"/>
              </w:rPr>
              <w:t>h,*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FB385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37808939" w14:textId="77777777" w:rsidTr="00F42D79">
        <w:trPr>
          <w:trHeight w:val="432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6F18E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Immunrendszeri betegségek és tünetek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DD16C" w14:textId="77777777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7C0E1" w14:textId="77777777" w:rsidR="000C6813" w:rsidRPr="00F42D79" w:rsidRDefault="00C92F76" w:rsidP="002201B3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F2466" w14:textId="77777777" w:rsidR="000C6813" w:rsidRPr="00F42D79" w:rsidRDefault="00C92F76" w:rsidP="00D81E9F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Túlérzékenység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41A6C" w14:textId="6A99451E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Angiooedema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67203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599895D6" w14:textId="77777777" w:rsidTr="00F42D79">
        <w:trPr>
          <w:trHeight w:val="416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D2905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Endokrin betegségek és tünetek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B9270" w14:textId="5E90E6FC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Hypothyreosis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DA291" w14:textId="77777777" w:rsidR="000C6813" w:rsidRPr="00F42D79" w:rsidRDefault="00C92F76" w:rsidP="002201B3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239EB" w14:textId="77777777" w:rsidR="000C6813" w:rsidRPr="00F42D79" w:rsidRDefault="00C92F76" w:rsidP="00D81E9F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Hyperthyreosis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4AA6A" w14:textId="4D0A25EF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Thyr</w:t>
            </w:r>
            <w:r w:rsidR="00A12F76">
              <w:rPr>
                <w:color w:val="000000"/>
                <w:sz w:val="20"/>
              </w:rPr>
              <w:t>e</w:t>
            </w:r>
            <w:r>
              <w:rPr>
                <w:color w:val="000000"/>
                <w:sz w:val="20"/>
              </w:rPr>
              <w:t>oiditis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A6746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20D3DBB5" w14:textId="77777777" w:rsidTr="00F42D79">
        <w:trPr>
          <w:trHeight w:val="640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90F6E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Anyagcsere és táplálkozási betegségek és tünetek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1BCE3" w14:textId="560297DA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Étvágycsökkenés</w:t>
            </w:r>
            <w:r>
              <w:rPr>
                <w:color w:val="000000"/>
                <w:sz w:val="20"/>
                <w:vertAlign w:val="superscript"/>
              </w:rPr>
              <w:t>i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826B6" w14:textId="195E2542" w:rsidR="000C6813" w:rsidRPr="00F42D79" w:rsidRDefault="00A12F76" w:rsidP="002201B3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Dehidráció</w:t>
            </w:r>
            <w:r w:rsidR="00C92F76">
              <w:rPr>
                <w:color w:val="000000"/>
                <w:sz w:val="20"/>
              </w:rPr>
              <w:t xml:space="preserve"> </w:t>
            </w:r>
          </w:p>
          <w:p w14:paraId="44C1CA37" w14:textId="579102AA" w:rsidR="000C6813" w:rsidRPr="00F42D79" w:rsidRDefault="00C92F76" w:rsidP="00D81E9F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Hypoglykaemia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77F5D" w14:textId="77777777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DF564" w14:textId="765D30C0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Tumorlízis-szindróma*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BD8AB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421AA2A0" w14:textId="77777777" w:rsidTr="00F42D79">
        <w:trPr>
          <w:trHeight w:val="416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08272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Pszichiátriai kórképek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94B7E" w14:textId="36D2336D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Insomnia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2192F" w14:textId="0E7759FD" w:rsidR="000C6813" w:rsidRPr="00F42D79" w:rsidRDefault="00C92F76" w:rsidP="002201B3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Depresszió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CF604" w14:textId="77777777" w:rsidR="000C6813" w:rsidRPr="00F42D79" w:rsidRDefault="00C92F76" w:rsidP="00D81E9F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6DE67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F0548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48531A29" w14:textId="77777777" w:rsidTr="00F42D79">
        <w:trPr>
          <w:trHeight w:val="1264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DBD8D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Idegrendszeri betegségek és tünetek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0424D" w14:textId="77777777" w:rsidR="00954911" w:rsidRDefault="00C92F76" w:rsidP="002201B3">
            <w:pPr>
              <w:spacing w:after="19" w:line="245" w:lineRule="auto"/>
              <w:ind w:left="16" w:right="158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Szédülés</w:t>
            </w:r>
          </w:p>
          <w:p w14:paraId="5FBD9380" w14:textId="4BC809E0" w:rsidR="000C6813" w:rsidRPr="00F42D79" w:rsidRDefault="00C92F76" w:rsidP="002201B3">
            <w:pPr>
              <w:spacing w:after="19" w:line="245" w:lineRule="auto"/>
              <w:ind w:left="16" w:right="158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Fejfájás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06D08812" w14:textId="542FB95B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Ízérzé</w:t>
            </w:r>
            <w:r w:rsidR="00A12F76">
              <w:rPr>
                <w:color w:val="000000"/>
                <w:sz w:val="20"/>
              </w:rPr>
              <w:t>s</w:t>
            </w:r>
            <w:r>
              <w:rPr>
                <w:color w:val="000000"/>
                <w:sz w:val="20"/>
              </w:rPr>
              <w:t>zavar</w:t>
            </w:r>
            <w:r>
              <w:rPr>
                <w:color w:val="000000"/>
                <w:sz w:val="20"/>
                <w:vertAlign w:val="superscript"/>
              </w:rPr>
              <w:t>j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2C82B" w14:textId="77777777" w:rsidR="00A12F76" w:rsidRDefault="00C92F76" w:rsidP="00D81E9F">
            <w:pPr>
              <w:spacing w:line="245" w:lineRule="auto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Perifériás neuropathia</w:t>
            </w:r>
          </w:p>
          <w:p w14:paraId="0900C39A" w14:textId="45E6AFE0" w:rsidR="000C6813" w:rsidRPr="00F42D79" w:rsidRDefault="00C92F76" w:rsidP="00D81E9F">
            <w:pPr>
              <w:spacing w:line="245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Paraesthesia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7D5CB319" w14:textId="6BBE8D7B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Hypaesthesia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684FC336" w14:textId="147EFC72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Hyperaesthesia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41F66" w14:textId="3DF5F9B8" w:rsidR="0045599E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Cerebralis </w:t>
            </w:r>
            <w:r w:rsidR="00A12F76">
              <w:rPr>
                <w:color w:val="000000"/>
                <w:sz w:val="20"/>
              </w:rPr>
              <w:t>vérzés</w:t>
            </w:r>
            <w:r>
              <w:rPr>
                <w:color w:val="000000"/>
                <w:sz w:val="20"/>
                <w:vertAlign w:val="superscript"/>
              </w:rPr>
              <w:t>*</w:t>
            </w:r>
          </w:p>
          <w:p w14:paraId="5700D5A4" w14:textId="7E2FEF9D" w:rsidR="005F28FE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Cerebrovascularis </w:t>
            </w:r>
            <w:r w:rsidR="00A12F76">
              <w:rPr>
                <w:color w:val="000000"/>
                <w:sz w:val="20"/>
              </w:rPr>
              <w:t>történés</w:t>
            </w:r>
            <w:r>
              <w:rPr>
                <w:color w:val="000000"/>
                <w:sz w:val="20"/>
                <w:vertAlign w:val="superscript"/>
              </w:rPr>
              <w:t>*</w:t>
            </w:r>
            <w:r>
              <w:rPr>
                <w:color w:val="000000"/>
                <w:sz w:val="20"/>
              </w:rPr>
              <w:t xml:space="preserve"> </w:t>
            </w:r>
          </w:p>
          <w:p w14:paraId="5610EB6A" w14:textId="10085E83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Tranziens ischaemiás attack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41E7E" w14:textId="2C1E8076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Posterior revez</w:t>
            </w:r>
            <w:r w:rsidR="00A12F76">
              <w:rPr>
                <w:color w:val="000000"/>
                <w:sz w:val="20"/>
              </w:rPr>
              <w:t>i</w:t>
            </w:r>
            <w:r>
              <w:rPr>
                <w:color w:val="000000"/>
                <w:sz w:val="20"/>
              </w:rPr>
              <w:t>bilis encephalopathia szindróma</w:t>
            </w:r>
            <w:r>
              <w:rPr>
                <w:color w:val="000000"/>
                <w:sz w:val="20"/>
                <w:vertAlign w:val="superscript"/>
              </w:rPr>
              <w:t>*</w:t>
            </w:r>
            <w:r w:rsidR="00471C90">
              <w:rPr>
                <w:color w:val="000000"/>
                <w:sz w:val="20"/>
                <w:vertAlign w:val="superscript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2B193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2DAC979A" w14:textId="77777777" w:rsidTr="00F42D79">
        <w:trPr>
          <w:trHeight w:val="832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F74DB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Szembetegségek és szemészeti tünetek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2C6DB" w14:textId="77777777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39C78" w14:textId="29073A61" w:rsidR="000C6813" w:rsidRPr="00F42D79" w:rsidRDefault="00C92F76" w:rsidP="002201B3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Periorbitalis oedema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6A368A6C" w14:textId="431F50D5" w:rsidR="000C6813" w:rsidRPr="00F42D79" w:rsidRDefault="00C92F76" w:rsidP="00D81E9F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Szemhéj</w:t>
            </w:r>
            <w:r w:rsidR="00A12F76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oedema</w:t>
            </w:r>
            <w:r w:rsidR="00471C90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Fokozott könnyezés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9417A" w14:textId="77777777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1C2E7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F1319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66A45436" w14:textId="77777777" w:rsidTr="00F42D79">
        <w:trPr>
          <w:trHeight w:val="2080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0A99D" w14:textId="77777777" w:rsidR="000C6813" w:rsidRPr="00F42D79" w:rsidRDefault="00C92F76" w:rsidP="00B00CA3">
            <w:pPr>
              <w:spacing w:line="259" w:lineRule="auto"/>
              <w:ind w:left="16" w:right="-13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Szívbetegségek és a szívvel kapcsolatos tünetek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7CE7E" w14:textId="364C1DDC" w:rsidR="000C6813" w:rsidRPr="00F42D79" w:rsidRDefault="00471C90" w:rsidP="002201B3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40909" w14:textId="77777777" w:rsidR="00BB4256" w:rsidRDefault="00C92F76" w:rsidP="002201B3">
            <w:pPr>
              <w:spacing w:line="259" w:lineRule="auto"/>
              <w:ind w:right="84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Myocardialis isch</w:t>
            </w:r>
            <w:r w:rsidR="00A12F76">
              <w:rPr>
                <w:color w:val="000000"/>
                <w:sz w:val="20"/>
              </w:rPr>
              <w:t>a</w:t>
            </w:r>
            <w:r>
              <w:rPr>
                <w:color w:val="000000"/>
                <w:sz w:val="20"/>
              </w:rPr>
              <w:t>emia</w:t>
            </w:r>
            <w:r>
              <w:rPr>
                <w:color w:val="000000"/>
                <w:sz w:val="20"/>
                <w:vertAlign w:val="superscript"/>
              </w:rPr>
              <w:t>k,*</w:t>
            </w:r>
          </w:p>
          <w:p w14:paraId="7E79852C" w14:textId="2933038A" w:rsidR="000C6813" w:rsidRPr="00F42D79" w:rsidRDefault="00C92F76" w:rsidP="002201B3">
            <w:pPr>
              <w:spacing w:line="259" w:lineRule="auto"/>
              <w:ind w:right="8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Csökkent ejekciós frakció</w:t>
            </w:r>
            <w:r>
              <w:rPr>
                <w:color w:val="000000"/>
                <w:sz w:val="20"/>
                <w:vertAlign w:val="superscript"/>
              </w:rPr>
              <w:t>l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6DB2E" w14:textId="2B647988" w:rsidR="000C6813" w:rsidRPr="00F42D79" w:rsidRDefault="00A12F76" w:rsidP="00D81E9F">
            <w:pPr>
              <w:spacing w:after="35" w:line="262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Pangásos</w:t>
            </w:r>
            <w:r w:rsidR="00C92F76">
              <w:rPr>
                <w:color w:val="000000"/>
                <w:sz w:val="20"/>
              </w:rPr>
              <w:t xml:space="preserve"> szívelégtelenség Myocardialis infarctus</w:t>
            </w:r>
            <w:r w:rsidR="00C92F76">
              <w:rPr>
                <w:color w:val="000000"/>
                <w:sz w:val="20"/>
                <w:vertAlign w:val="superscript"/>
              </w:rPr>
              <w:t>m,*</w:t>
            </w:r>
            <w:r w:rsidR="00C92F76">
              <w:rPr>
                <w:color w:val="000000"/>
                <w:sz w:val="20"/>
              </w:rPr>
              <w:t xml:space="preserve"> Szívelégtelenség</w:t>
            </w:r>
            <w:r w:rsidR="00C92F76">
              <w:rPr>
                <w:color w:val="000000"/>
                <w:sz w:val="20"/>
                <w:vertAlign w:val="superscript"/>
              </w:rPr>
              <w:t>*</w:t>
            </w:r>
            <w:r w:rsidR="00C92F76">
              <w:rPr>
                <w:color w:val="000000"/>
                <w:sz w:val="20"/>
              </w:rPr>
              <w:t xml:space="preserve"> </w:t>
            </w:r>
          </w:p>
          <w:p w14:paraId="1743204C" w14:textId="77777777" w:rsidR="000C6813" w:rsidRPr="00F42D79" w:rsidRDefault="00C92F76">
            <w:pPr>
              <w:spacing w:after="19"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Cardiomyopathia</w:t>
            </w:r>
            <w:r>
              <w:rPr>
                <w:color w:val="000000"/>
                <w:sz w:val="20"/>
                <w:vertAlign w:val="superscript"/>
              </w:rPr>
              <w:t>*</w:t>
            </w:r>
            <w:r>
              <w:rPr>
                <w:color w:val="000000"/>
                <w:sz w:val="20"/>
              </w:rPr>
              <w:t xml:space="preserve"> </w:t>
            </w:r>
          </w:p>
          <w:p w14:paraId="053ABA03" w14:textId="77777777" w:rsidR="000C6813" w:rsidRPr="00F42D79" w:rsidRDefault="00C92F76">
            <w:pPr>
              <w:spacing w:line="245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Pericardialis folyadékgyülem </w:t>
            </w:r>
          </w:p>
          <w:p w14:paraId="38FEB39F" w14:textId="0809333C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Elektrokardio</w:t>
            </w:r>
            <w:r w:rsidR="00A12F76">
              <w:rPr>
                <w:color w:val="000000"/>
                <w:sz w:val="20"/>
              </w:rPr>
              <w:t>-</w:t>
            </w:r>
            <w:r>
              <w:rPr>
                <w:color w:val="000000"/>
                <w:sz w:val="20"/>
              </w:rPr>
              <w:t>gram</w:t>
            </w:r>
            <w:r w:rsidR="00A12F76">
              <w:rPr>
                <w:color w:val="000000"/>
                <w:sz w:val="20"/>
              </w:rPr>
              <w:t>on megnyúlt</w:t>
            </w:r>
            <w:r>
              <w:rPr>
                <w:color w:val="000000"/>
                <w:sz w:val="20"/>
              </w:rPr>
              <w:t xml:space="preserve"> </w:t>
            </w:r>
          </w:p>
          <w:p w14:paraId="1E3DACE3" w14:textId="48973125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QT</w:t>
            </w:r>
            <w:r w:rsidR="00A12F76">
              <w:rPr>
                <w:color w:val="000000"/>
                <w:sz w:val="20"/>
              </w:rPr>
              <w:t>-szakasz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E36F0" w14:textId="5875E80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Bal</w:t>
            </w:r>
            <w:r w:rsidR="00BB4256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kamra</w:t>
            </w:r>
            <w:r w:rsidR="00A12F76">
              <w:rPr>
                <w:color w:val="000000"/>
                <w:sz w:val="20"/>
              </w:rPr>
              <w:t>i</w:t>
            </w:r>
            <w:r>
              <w:rPr>
                <w:color w:val="000000"/>
                <w:sz w:val="20"/>
              </w:rPr>
              <w:t xml:space="preserve"> </w:t>
            </w:r>
          </w:p>
          <w:p w14:paraId="052E710E" w14:textId="3E2E2464" w:rsidR="000C6813" w:rsidRPr="00F42D79" w:rsidRDefault="00C92F76">
            <w:pPr>
              <w:spacing w:after="24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elégtelenség</w:t>
            </w:r>
            <w:r>
              <w:rPr>
                <w:color w:val="000000"/>
                <w:sz w:val="20"/>
                <w:vertAlign w:val="superscript"/>
              </w:rPr>
              <w:t>*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61B3CDB9" w14:textId="56B94EA9" w:rsidR="000C6813" w:rsidRPr="00F372B2" w:rsidRDefault="00C92F76">
            <w:pPr>
              <w:spacing w:line="259" w:lineRule="auto"/>
              <w:jc w:val="left"/>
              <w:rPr>
                <w:i/>
                <w:color w:val="000000"/>
                <w:sz w:val="20"/>
                <w:szCs w:val="20"/>
              </w:rPr>
            </w:pPr>
            <w:r w:rsidRPr="00F372B2">
              <w:rPr>
                <w:i/>
                <w:color w:val="000000"/>
                <w:sz w:val="20"/>
              </w:rPr>
              <w:t>Torsade de pointes</w:t>
            </w:r>
            <w:r w:rsidR="00471C90" w:rsidRPr="00F372B2">
              <w:rPr>
                <w:i/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80F6B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0F66450A" w14:textId="77777777" w:rsidTr="00F42D79">
        <w:trPr>
          <w:trHeight w:val="832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F7B60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lastRenderedPageBreak/>
              <w:t xml:space="preserve">Érbetegségek és tünetek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CF0F6" w14:textId="3E532757" w:rsidR="000C6813" w:rsidRPr="00F42D79" w:rsidRDefault="00A1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Hypertonia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4D41A" w14:textId="254C0F71" w:rsidR="000C6813" w:rsidRPr="00F42D79" w:rsidRDefault="00C92F76" w:rsidP="002201B3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Mélyvénás thrombosis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2829AEE8" w14:textId="77777777" w:rsidR="005F28FE" w:rsidRPr="00F42D79" w:rsidRDefault="00C92F76" w:rsidP="00D81E9F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Hőhullám</w:t>
            </w:r>
          </w:p>
          <w:p w14:paraId="6227BC5E" w14:textId="77777777" w:rsidR="005F28FE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Kipirulás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243EE" w14:textId="77777777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Tumorvérzés</w:t>
            </w:r>
            <w:r>
              <w:rPr>
                <w:color w:val="000000"/>
                <w:sz w:val="20"/>
                <w:vertAlign w:val="superscript"/>
              </w:rPr>
              <w:t>*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4DCE0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A47EF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Aneurysma és arteria-dissectio</w:t>
            </w:r>
            <w:r>
              <w:rPr>
                <w:color w:val="000000"/>
                <w:sz w:val="20"/>
                <w:vertAlign w:val="superscript"/>
              </w:rPr>
              <w:t xml:space="preserve">* </w:t>
            </w:r>
          </w:p>
        </w:tc>
      </w:tr>
      <w:tr w:rsidR="005F28FE" w:rsidRPr="00445457" w14:paraId="6A176D16" w14:textId="77777777" w:rsidTr="00F42D79">
        <w:trPr>
          <w:trHeight w:val="1664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3405C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Légzőrendszeri, mellkasi és mediastinalis betegségek és tünetek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8FE50" w14:textId="7FEBDD79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Dyspnoe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45C10453" w14:textId="35A57019" w:rsidR="000C6813" w:rsidRPr="00F42D79" w:rsidRDefault="00A1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Orrvérzés </w:t>
            </w:r>
          </w:p>
          <w:p w14:paraId="18CFC603" w14:textId="24183D2F" w:rsidR="000C6813" w:rsidRPr="00F42D79" w:rsidRDefault="00C92F76" w:rsidP="00D81E9F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Köhögés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C1D1B" w14:textId="2061A913" w:rsidR="000C6813" w:rsidRPr="00F42D79" w:rsidRDefault="00C92F76">
            <w:pPr>
              <w:spacing w:after="40" w:line="262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Tüdőembólia</w:t>
            </w:r>
            <w:r>
              <w:rPr>
                <w:color w:val="000000"/>
                <w:sz w:val="20"/>
                <w:vertAlign w:val="superscript"/>
              </w:rPr>
              <w:t>*</w:t>
            </w:r>
            <w:r w:rsidR="00471C90">
              <w:rPr>
                <w:color w:val="000000"/>
                <w:sz w:val="20"/>
                <w:vertAlign w:val="superscript"/>
              </w:rPr>
              <w:t xml:space="preserve"> </w:t>
            </w:r>
          </w:p>
          <w:p w14:paraId="7E25819A" w14:textId="26CA4075" w:rsidR="000C6813" w:rsidRPr="00F42D79" w:rsidRDefault="00A12F76">
            <w:pPr>
              <w:spacing w:after="19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Mellkasi </w:t>
            </w:r>
            <w:r w:rsidR="00C92F76">
              <w:rPr>
                <w:color w:val="000000"/>
                <w:sz w:val="20"/>
              </w:rPr>
              <w:t>folyadékgyülem</w:t>
            </w:r>
            <w:r w:rsidR="00C92F76">
              <w:rPr>
                <w:color w:val="000000"/>
                <w:sz w:val="20"/>
                <w:vertAlign w:val="superscript"/>
              </w:rPr>
              <w:t>*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7FE9E741" w14:textId="38178605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Haemop</w:t>
            </w:r>
            <w:r w:rsidR="00A12F76">
              <w:rPr>
                <w:color w:val="000000"/>
                <w:sz w:val="20"/>
              </w:rPr>
              <w:t>toe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4B59A19F" w14:textId="166E6F98" w:rsidR="000C6813" w:rsidRPr="00F42D79" w:rsidRDefault="00C92F76">
            <w:pPr>
              <w:spacing w:after="13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Terheléses dyspnoe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489A3816" w14:textId="33C8B511" w:rsidR="000C6813" w:rsidRPr="00F42D79" w:rsidRDefault="00C92F76">
            <w:pPr>
              <w:spacing w:after="11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Oropharyngealis fájdalom</w:t>
            </w:r>
            <w:r>
              <w:rPr>
                <w:color w:val="000000"/>
                <w:sz w:val="20"/>
                <w:vertAlign w:val="superscript"/>
              </w:rPr>
              <w:t>n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5F669056" w14:textId="174055D0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Orrdugulás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7CBC261B" w14:textId="56EDA14C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Orrszára</w:t>
            </w:r>
            <w:r w:rsidR="000C5397">
              <w:rPr>
                <w:color w:val="000000"/>
                <w:sz w:val="20"/>
              </w:rPr>
              <w:t>zság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893A0" w14:textId="7551BABF" w:rsidR="00BB4256" w:rsidRDefault="000C5397">
            <w:pPr>
              <w:spacing w:line="259" w:lineRule="auto"/>
              <w:ind w:left="16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Tüdővérzés</w:t>
            </w:r>
            <w:r w:rsidR="00C92F76">
              <w:rPr>
                <w:color w:val="000000"/>
                <w:sz w:val="20"/>
                <w:vertAlign w:val="superscript"/>
              </w:rPr>
              <w:t>*</w:t>
            </w:r>
          </w:p>
          <w:p w14:paraId="590EC51B" w14:textId="5B761EEE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Légzési elégtelenség</w:t>
            </w:r>
            <w:r>
              <w:rPr>
                <w:color w:val="000000"/>
                <w:sz w:val="20"/>
                <w:vertAlign w:val="superscript"/>
              </w:rPr>
              <w:t>*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C7AD8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188BC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009A012F" w14:textId="77777777" w:rsidTr="00F42D79">
        <w:trPr>
          <w:trHeight w:val="4576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0C833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Emésztőrendszeri betegségek és tünetek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D12E3" w14:textId="750BFBA0" w:rsidR="000C6813" w:rsidRPr="00F42D79" w:rsidRDefault="00C92F76" w:rsidP="002201B3">
            <w:pPr>
              <w:spacing w:after="32"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Stomatitis</w:t>
            </w:r>
            <w:r>
              <w:rPr>
                <w:color w:val="000000"/>
                <w:sz w:val="20"/>
                <w:vertAlign w:val="superscript"/>
              </w:rPr>
              <w:t>o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735A5771" w14:textId="79A01E92" w:rsidR="000C6813" w:rsidRPr="00F42D79" w:rsidRDefault="00C92F76" w:rsidP="002201B3">
            <w:pPr>
              <w:spacing w:after="19"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Hasi fájdalom</w:t>
            </w:r>
            <w:r>
              <w:rPr>
                <w:color w:val="000000"/>
                <w:sz w:val="20"/>
                <w:vertAlign w:val="superscript"/>
              </w:rPr>
              <w:t>p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6BD9871B" w14:textId="3A28114E" w:rsidR="000C6813" w:rsidRPr="00F42D79" w:rsidRDefault="00C92F76" w:rsidP="00D81E9F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Hányás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1320F6CB" w14:textId="186FB867" w:rsidR="000C6813" w:rsidRPr="00F42D79" w:rsidRDefault="000C5397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Hasmenés </w:t>
            </w:r>
          </w:p>
          <w:p w14:paraId="72A89772" w14:textId="45B68059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Dyspepsia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48C6D81D" w14:textId="4F366F03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Hányinger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0F5DB95D" w14:textId="1C72EE53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Székrekedés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DD92A" w14:textId="1101FCD8" w:rsidR="00BB4256" w:rsidRDefault="00C92F76">
            <w:pPr>
              <w:spacing w:line="256" w:lineRule="auto"/>
              <w:ind w:right="4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Gastro</w:t>
            </w:r>
            <w:r w:rsidR="000C5397">
              <w:rPr>
                <w:color w:val="000000"/>
                <w:sz w:val="20"/>
              </w:rPr>
              <w:t>-</w:t>
            </w:r>
            <w:r>
              <w:rPr>
                <w:color w:val="000000"/>
                <w:sz w:val="20"/>
              </w:rPr>
              <w:t>oesophagealis refluxbetegség</w:t>
            </w:r>
          </w:p>
          <w:p w14:paraId="1A83BD0D" w14:textId="039F5CD6" w:rsidR="00BB4256" w:rsidRDefault="00C92F76">
            <w:pPr>
              <w:spacing w:line="256" w:lineRule="auto"/>
              <w:ind w:right="4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Dysphagia</w:t>
            </w:r>
            <w:r w:rsidR="00471C90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Gastrointestinalis </w:t>
            </w:r>
            <w:r w:rsidR="000C5397">
              <w:rPr>
                <w:color w:val="000000"/>
                <w:sz w:val="20"/>
              </w:rPr>
              <w:t>vérzés</w:t>
            </w:r>
            <w:r>
              <w:rPr>
                <w:color w:val="000000"/>
                <w:sz w:val="20"/>
                <w:vertAlign w:val="superscript"/>
              </w:rPr>
              <w:t>*</w:t>
            </w:r>
          </w:p>
          <w:p w14:paraId="0473F081" w14:textId="13B92F59" w:rsidR="000C5397" w:rsidRDefault="00C92F76">
            <w:pPr>
              <w:spacing w:line="256" w:lineRule="auto"/>
              <w:ind w:right="4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Oesophagitis</w:t>
            </w:r>
            <w:r>
              <w:rPr>
                <w:color w:val="000000"/>
                <w:sz w:val="20"/>
                <w:vertAlign w:val="superscript"/>
              </w:rPr>
              <w:t>*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15EA944C" w14:textId="77777777" w:rsidR="000C5397" w:rsidRDefault="00C92F76">
            <w:pPr>
              <w:spacing w:line="256" w:lineRule="auto"/>
              <w:ind w:right="4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Hasi </w:t>
            </w:r>
            <w:r w:rsidR="000C5397">
              <w:rPr>
                <w:color w:val="000000"/>
                <w:sz w:val="20"/>
              </w:rPr>
              <w:t>distensio</w:t>
            </w:r>
          </w:p>
          <w:p w14:paraId="199CDCAF" w14:textId="177A3294" w:rsidR="000C6813" w:rsidRPr="00F42D79" w:rsidRDefault="00C92F76">
            <w:pPr>
              <w:spacing w:line="256" w:lineRule="auto"/>
              <w:ind w:right="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Hasi diszkomfort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31CAEC62" w14:textId="1A9DFD32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Rectalis </w:t>
            </w:r>
            <w:r w:rsidR="000C5397">
              <w:rPr>
                <w:color w:val="000000"/>
                <w:sz w:val="20"/>
              </w:rPr>
              <w:t xml:space="preserve">vérzés </w:t>
            </w:r>
          </w:p>
          <w:p w14:paraId="50DB3807" w14:textId="7413B1E2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Ínyvérzés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050148E0" w14:textId="528E8708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Száj</w:t>
            </w:r>
            <w:r w:rsidR="000C5397">
              <w:rPr>
                <w:color w:val="000000"/>
                <w:sz w:val="20"/>
              </w:rPr>
              <w:t xml:space="preserve">üregi </w:t>
            </w:r>
            <w:r>
              <w:rPr>
                <w:color w:val="000000"/>
                <w:sz w:val="20"/>
              </w:rPr>
              <w:t>fekélyek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1D55752C" w14:textId="23086B0A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Proctalgia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727CCA82" w14:textId="19E4DCA5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Cheilitis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3871DFE7" w14:textId="3DF792DA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Arany</w:t>
            </w:r>
            <w:r w:rsidR="000C5397">
              <w:rPr>
                <w:color w:val="000000"/>
                <w:sz w:val="20"/>
              </w:rPr>
              <w:t>é</w:t>
            </w:r>
            <w:r>
              <w:rPr>
                <w:color w:val="000000"/>
                <w:sz w:val="20"/>
              </w:rPr>
              <w:t>r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03A7725E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Glossodynia </w:t>
            </w:r>
          </w:p>
          <w:p w14:paraId="49DB44A2" w14:textId="26F7EB6E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Szájfájdalom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7BE4D570" w14:textId="442ADE92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Szájszárazság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14DD1AAF" w14:textId="1A6F87B3" w:rsidR="000C6813" w:rsidRPr="00F42D79" w:rsidRDefault="000C5397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Flatulencia </w:t>
            </w:r>
          </w:p>
          <w:p w14:paraId="01555BC2" w14:textId="4A47B1AC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Oralis diszkomfort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42ADCD16" w14:textId="02C15BDD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Eructatio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7076F" w14:textId="2A8CF1A7" w:rsidR="0045599E" w:rsidRDefault="00C92F76">
            <w:pPr>
              <w:spacing w:line="276" w:lineRule="auto"/>
              <w:ind w:left="16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Gastrointestinalis perfor</w:t>
            </w:r>
            <w:r w:rsidR="000C5397">
              <w:rPr>
                <w:color w:val="000000"/>
                <w:sz w:val="20"/>
              </w:rPr>
              <w:t>ác</w:t>
            </w:r>
            <w:r>
              <w:rPr>
                <w:color w:val="000000"/>
                <w:sz w:val="20"/>
              </w:rPr>
              <w:t>i</w:t>
            </w:r>
            <w:r w:rsidR="000C5397">
              <w:rPr>
                <w:color w:val="000000"/>
                <w:sz w:val="20"/>
              </w:rPr>
              <w:t>ó</w:t>
            </w:r>
            <w:r>
              <w:rPr>
                <w:color w:val="000000"/>
                <w:sz w:val="20"/>
                <w:vertAlign w:val="superscript"/>
              </w:rPr>
              <w:t>q,*</w:t>
            </w:r>
          </w:p>
          <w:p w14:paraId="20A193E5" w14:textId="7C1F6782" w:rsidR="000C6813" w:rsidRPr="00F42D79" w:rsidRDefault="00C92F76">
            <w:pPr>
              <w:spacing w:line="276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Pancreatitis </w:t>
            </w:r>
          </w:p>
          <w:p w14:paraId="71B38165" w14:textId="5BD2F03E" w:rsidR="000C6813" w:rsidRPr="00F42D79" w:rsidRDefault="000C5397">
            <w:pPr>
              <w:spacing w:after="4"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Végbélsipoly</w:t>
            </w:r>
            <w:r w:rsidR="00C92F76">
              <w:rPr>
                <w:color w:val="000000"/>
                <w:sz w:val="20"/>
              </w:rPr>
              <w:t xml:space="preserve"> </w:t>
            </w:r>
          </w:p>
          <w:p w14:paraId="0E77EB4B" w14:textId="77777777" w:rsidR="000C6813" w:rsidRPr="00F42D79" w:rsidRDefault="00C92F76">
            <w:pPr>
              <w:spacing w:after="21"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Colitis</w:t>
            </w:r>
            <w:r>
              <w:rPr>
                <w:color w:val="000000"/>
                <w:sz w:val="20"/>
                <w:vertAlign w:val="superscript"/>
              </w:rPr>
              <w:t>r</w:t>
            </w:r>
            <w:r>
              <w:rPr>
                <w:color w:val="000000"/>
                <w:sz w:val="20"/>
              </w:rPr>
              <w:t xml:space="preserve"> </w:t>
            </w:r>
          </w:p>
          <w:p w14:paraId="298A496E" w14:textId="77777777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FC8BE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4FB4F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2320AF72" w14:textId="77777777" w:rsidTr="00F42D79">
        <w:trPr>
          <w:trHeight w:val="832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C28BD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Máj- és epebetegségek, illetve tünetek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3AB22" w14:textId="77777777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91FD8" w14:textId="77777777" w:rsidR="000C6813" w:rsidRPr="00F42D79" w:rsidRDefault="00C92F76" w:rsidP="002201B3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40298" w14:textId="77777777" w:rsidR="00BB4256" w:rsidRDefault="00C92F76" w:rsidP="00D81E9F">
            <w:pPr>
              <w:spacing w:line="259" w:lineRule="auto"/>
              <w:ind w:left="16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Májelégtelenség</w:t>
            </w:r>
            <w:r>
              <w:rPr>
                <w:color w:val="000000"/>
                <w:sz w:val="20"/>
                <w:vertAlign w:val="superscript"/>
              </w:rPr>
              <w:t>*</w:t>
            </w:r>
          </w:p>
          <w:p w14:paraId="5B249D6C" w14:textId="46576AD7" w:rsidR="00BB4256" w:rsidRDefault="00C92F76" w:rsidP="00D81E9F">
            <w:pPr>
              <w:spacing w:line="259" w:lineRule="auto"/>
              <w:ind w:left="16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Cholecystitis</w:t>
            </w:r>
            <w:r>
              <w:rPr>
                <w:color w:val="000000"/>
                <w:sz w:val="20"/>
                <w:vertAlign w:val="superscript"/>
              </w:rPr>
              <w:t>s,*</w:t>
            </w:r>
          </w:p>
          <w:p w14:paraId="4EF74D3A" w14:textId="22AA9EA9" w:rsidR="000C6813" w:rsidRPr="00F42D79" w:rsidRDefault="00C92F76" w:rsidP="00D81E9F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Kóros májfunkció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A86E9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Hepatitis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64E25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679ECCB5" w14:textId="77777777" w:rsidTr="00F42D79">
        <w:trPr>
          <w:trHeight w:val="2912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76DA6" w14:textId="73CC7F01" w:rsidR="000C6813" w:rsidRPr="00F42D79" w:rsidRDefault="00C92F76" w:rsidP="00B00CA3">
            <w:pPr>
              <w:spacing w:line="259" w:lineRule="auto"/>
              <w:ind w:left="16" w:right="163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A bőr és a bőr</w:t>
            </w:r>
            <w:r w:rsidR="000C5397">
              <w:rPr>
                <w:b/>
                <w:color w:val="000000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 xml:space="preserve">alatti szövet betegségei és tünetei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8D7FC" w14:textId="77777777" w:rsidR="00BB4256" w:rsidRDefault="00C92F76" w:rsidP="002201B3">
            <w:pPr>
              <w:spacing w:line="258" w:lineRule="auto"/>
              <w:ind w:left="16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Bőrelszíneződés</w:t>
            </w:r>
            <w:r>
              <w:rPr>
                <w:color w:val="000000"/>
                <w:sz w:val="20"/>
                <w:vertAlign w:val="superscript"/>
              </w:rPr>
              <w:t>t</w:t>
            </w:r>
          </w:p>
          <w:p w14:paraId="2A364CDA" w14:textId="31DF863F" w:rsidR="000C6813" w:rsidRPr="00F42D79" w:rsidRDefault="00C92F76" w:rsidP="002201B3">
            <w:pPr>
              <w:spacing w:line="258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Palm</w:t>
            </w:r>
            <w:r w:rsidR="000C5397">
              <w:rPr>
                <w:color w:val="000000"/>
                <w:sz w:val="20"/>
              </w:rPr>
              <w:t>o</w:t>
            </w:r>
            <w:r>
              <w:rPr>
                <w:color w:val="000000"/>
                <w:sz w:val="20"/>
              </w:rPr>
              <w:t>plantaris erythro</w:t>
            </w:r>
            <w:r w:rsidR="00BB4256">
              <w:rPr>
                <w:color w:val="000000"/>
                <w:sz w:val="20"/>
              </w:rPr>
              <w:t>-</w:t>
            </w:r>
            <w:r>
              <w:rPr>
                <w:color w:val="000000"/>
                <w:sz w:val="20"/>
              </w:rPr>
              <w:t xml:space="preserve">dysaesthesia </w:t>
            </w:r>
          </w:p>
          <w:p w14:paraId="002F0EFB" w14:textId="2B8803AB" w:rsidR="000C6813" w:rsidRPr="00F42D79" w:rsidRDefault="000C5397" w:rsidP="002201B3">
            <w:pPr>
              <w:spacing w:after="26" w:line="261" w:lineRule="auto"/>
              <w:ind w:left="16" w:right="44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Bőrkiütés</w:t>
            </w:r>
            <w:r w:rsidR="00C92F76">
              <w:rPr>
                <w:color w:val="000000"/>
                <w:sz w:val="20"/>
                <w:vertAlign w:val="superscript"/>
              </w:rPr>
              <w:t>u</w:t>
            </w:r>
            <w:r w:rsidR="00C92F76">
              <w:rPr>
                <w:color w:val="000000"/>
                <w:sz w:val="20"/>
              </w:rPr>
              <w:t xml:space="preserve"> </w:t>
            </w:r>
          </w:p>
          <w:p w14:paraId="285E671C" w14:textId="4D8A0914" w:rsidR="000C6813" w:rsidRPr="00F42D79" w:rsidRDefault="00C92F76" w:rsidP="00D81E9F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Hajszínváltozás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48A6724B" w14:textId="4C2B56AD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Bőrszárazság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B764C" w14:textId="322DEE34" w:rsidR="000C6813" w:rsidRPr="00F42D79" w:rsidRDefault="00C92F76">
            <w:pPr>
              <w:spacing w:after="5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Bőrhámlás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7F760D49" w14:textId="602887BD" w:rsidR="000C6813" w:rsidRPr="00F42D79" w:rsidRDefault="00C92F76">
            <w:pPr>
              <w:spacing w:after="20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Bőrreakció</w:t>
            </w:r>
            <w:r>
              <w:rPr>
                <w:color w:val="000000"/>
                <w:sz w:val="20"/>
                <w:vertAlign w:val="superscript"/>
              </w:rPr>
              <w:t>v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6EE894E4" w14:textId="1C0170F8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E</w:t>
            </w:r>
            <w:r w:rsidR="000C5397">
              <w:rPr>
                <w:color w:val="000000"/>
                <w:sz w:val="20"/>
              </w:rPr>
              <w:t>kcé</w:t>
            </w:r>
            <w:r>
              <w:rPr>
                <w:color w:val="000000"/>
                <w:sz w:val="20"/>
              </w:rPr>
              <w:t>ma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6BA4D3E7" w14:textId="035522EE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Vesicula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2D624678" w14:textId="7E689088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Erythema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2E3645AF" w14:textId="4DBFF7A9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Alopecia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731C071D" w14:textId="012C5CB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A</w:t>
            </w:r>
            <w:r w:rsidR="000C5397">
              <w:rPr>
                <w:color w:val="000000"/>
                <w:sz w:val="20"/>
              </w:rPr>
              <w:t>c</w:t>
            </w:r>
            <w:r>
              <w:rPr>
                <w:color w:val="000000"/>
                <w:sz w:val="20"/>
              </w:rPr>
              <w:t>n</w:t>
            </w:r>
            <w:r w:rsidR="000C5397">
              <w:rPr>
                <w:color w:val="000000"/>
                <w:sz w:val="20"/>
              </w:rPr>
              <w:t>e</w:t>
            </w:r>
            <w:r>
              <w:rPr>
                <w:color w:val="000000"/>
                <w:sz w:val="20"/>
              </w:rPr>
              <w:t xml:space="preserve"> </w:t>
            </w:r>
          </w:p>
          <w:p w14:paraId="47DA5F9A" w14:textId="1DED79FA" w:rsidR="000C5397" w:rsidRDefault="000C5397">
            <w:pPr>
              <w:spacing w:after="16" w:line="226" w:lineRule="auto"/>
              <w:ind w:right="612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Viszketés</w:t>
            </w:r>
          </w:p>
          <w:p w14:paraId="4D59AAED" w14:textId="78501ED7" w:rsidR="000C6813" w:rsidRPr="00F42D79" w:rsidRDefault="000C5397" w:rsidP="00F372B2">
            <w:pPr>
              <w:spacing w:after="16" w:line="226" w:lineRule="auto"/>
              <w:ind w:right="612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A b</w:t>
            </w:r>
            <w:r w:rsidR="00C92F76">
              <w:rPr>
                <w:color w:val="000000"/>
                <w:sz w:val="20"/>
              </w:rPr>
              <w:t>őr h</w:t>
            </w:r>
            <w:r w:rsidR="00BB4256">
              <w:rPr>
                <w:color w:val="000000"/>
                <w:sz w:val="20"/>
              </w:rPr>
              <w:t>y</w:t>
            </w:r>
            <w:r w:rsidR="00C92F76">
              <w:rPr>
                <w:color w:val="000000"/>
                <w:sz w:val="20"/>
              </w:rPr>
              <w:t>perpig</w:t>
            </w:r>
            <w:r>
              <w:rPr>
                <w:color w:val="000000"/>
                <w:sz w:val="20"/>
              </w:rPr>
              <w:t>-</w:t>
            </w:r>
            <w:r w:rsidR="00C92F76">
              <w:rPr>
                <w:color w:val="000000"/>
                <w:sz w:val="20"/>
              </w:rPr>
              <w:t>ment</w:t>
            </w:r>
            <w:r w:rsidR="0045599E">
              <w:rPr>
                <w:color w:val="000000"/>
                <w:sz w:val="20"/>
              </w:rPr>
              <w:t>at</w:t>
            </w:r>
            <w:r>
              <w:rPr>
                <w:color w:val="000000"/>
                <w:sz w:val="20"/>
              </w:rPr>
              <w:t>iója</w:t>
            </w:r>
          </w:p>
          <w:p w14:paraId="03FF2243" w14:textId="34BC0B4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Bő</w:t>
            </w:r>
            <w:r w:rsidR="000C5397">
              <w:rPr>
                <w:color w:val="000000"/>
                <w:sz w:val="20"/>
              </w:rPr>
              <w:t>rlézió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6DD227D9" w14:textId="06D02ABF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Hyperkeratosis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324FA2EC" w14:textId="7B87802B" w:rsidR="000C6813" w:rsidRPr="00F42D79" w:rsidRDefault="00C92F76">
            <w:pPr>
              <w:spacing w:after="2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Dermatitis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342A1193" w14:textId="6723DF86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Köröm</w:t>
            </w:r>
            <w:r w:rsidR="000C5397">
              <w:rPr>
                <w:color w:val="000000"/>
                <w:sz w:val="20"/>
              </w:rPr>
              <w:t>-</w:t>
            </w:r>
            <w:r>
              <w:rPr>
                <w:color w:val="000000"/>
                <w:sz w:val="20"/>
              </w:rPr>
              <w:t>rendellenesség</w:t>
            </w:r>
            <w:r>
              <w:rPr>
                <w:color w:val="000000"/>
                <w:sz w:val="20"/>
                <w:vertAlign w:val="superscript"/>
              </w:rPr>
              <w:t>w</w:t>
            </w:r>
            <w:r w:rsidR="00471C90">
              <w:rPr>
                <w:color w:val="000000"/>
                <w:sz w:val="20"/>
                <w:vertAlign w:val="superscript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10613" w14:textId="77777777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439A9" w14:textId="77777777" w:rsidR="000C5397" w:rsidRDefault="00C92F76">
            <w:pPr>
              <w:spacing w:line="259" w:lineRule="auto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Erythema multiforme</w:t>
            </w:r>
            <w:r>
              <w:rPr>
                <w:color w:val="000000"/>
                <w:sz w:val="20"/>
                <w:vertAlign w:val="superscript"/>
              </w:rPr>
              <w:t>*</w:t>
            </w:r>
          </w:p>
          <w:p w14:paraId="20B54A34" w14:textId="2D096F4C" w:rsidR="000C5397" w:rsidRDefault="00C92F76">
            <w:pPr>
              <w:spacing w:line="259" w:lineRule="auto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Stevens</w:t>
            </w:r>
            <w:r>
              <w:rPr>
                <w:color w:val="000000"/>
                <w:sz w:val="20"/>
                <w:cs/>
              </w:rPr>
              <w:t>–</w:t>
            </w:r>
            <w:r>
              <w:rPr>
                <w:color w:val="000000"/>
                <w:sz w:val="20"/>
              </w:rPr>
              <w:t>Johnson-szindróma</w:t>
            </w:r>
            <w:r>
              <w:rPr>
                <w:color w:val="000000"/>
                <w:sz w:val="20"/>
                <w:vertAlign w:val="superscript"/>
              </w:rPr>
              <w:t>*</w:t>
            </w:r>
          </w:p>
          <w:p w14:paraId="0D66F464" w14:textId="5DFF7B8B" w:rsidR="000C5397" w:rsidRDefault="00C92F76">
            <w:pPr>
              <w:spacing w:line="259" w:lineRule="auto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Pyoderma gangrenosum</w:t>
            </w:r>
          </w:p>
          <w:p w14:paraId="5582E04A" w14:textId="2D336188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Toxikus epidermalis necrolysis</w:t>
            </w:r>
            <w:r>
              <w:rPr>
                <w:color w:val="000000"/>
                <w:sz w:val="20"/>
                <w:vertAlign w:val="superscript"/>
              </w:rPr>
              <w:t>*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36B79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7B5AB130" w14:textId="77777777" w:rsidTr="00F42D79">
        <w:trPr>
          <w:trHeight w:val="832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02E18" w14:textId="77777777" w:rsidR="000C6813" w:rsidRPr="00F42D79" w:rsidRDefault="00C92F76" w:rsidP="00B00CA3">
            <w:pPr>
              <w:spacing w:line="259" w:lineRule="auto"/>
              <w:ind w:left="16" w:right="119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lastRenderedPageBreak/>
              <w:t xml:space="preserve">A csont- és izomrendszer, valamint a kötőszövet betegségei és tünetei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52F9A" w14:textId="247DD8C6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Végtagfájdalom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714FFB76" w14:textId="7D7F4451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Arthralgia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246ED9E0" w14:textId="273176AC" w:rsidR="000C6813" w:rsidRPr="00F42D79" w:rsidRDefault="00C92F76" w:rsidP="00D81E9F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Hátfáj</w:t>
            </w:r>
            <w:r w:rsidR="000C5397">
              <w:rPr>
                <w:color w:val="000000"/>
                <w:sz w:val="20"/>
              </w:rPr>
              <w:t>dalom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93187" w14:textId="0E1F4DA2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Csont- és izom</w:t>
            </w:r>
            <w:r w:rsidR="000C5397">
              <w:rPr>
                <w:color w:val="000000"/>
                <w:sz w:val="20"/>
              </w:rPr>
              <w:t xml:space="preserve">rendszeri </w:t>
            </w:r>
            <w:r>
              <w:rPr>
                <w:color w:val="000000"/>
                <w:sz w:val="20"/>
              </w:rPr>
              <w:t xml:space="preserve">fájdalom </w:t>
            </w:r>
          </w:p>
          <w:p w14:paraId="34DDE900" w14:textId="2FA27D4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Izom</w:t>
            </w:r>
            <w:r w:rsidR="000C5397">
              <w:rPr>
                <w:color w:val="000000"/>
                <w:sz w:val="20"/>
              </w:rPr>
              <w:t>spazmus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4040807D" w14:textId="1BC602C3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Myalgia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058E0CF0" w14:textId="2EC8DD8A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Izomgyengeség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B9242" w14:textId="07ACC9A3" w:rsidR="005F28FE" w:rsidRPr="00F42D79" w:rsidRDefault="00C92F76" w:rsidP="00F372B2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Az állkapocs osteonecrosisa </w:t>
            </w:r>
          </w:p>
          <w:p w14:paraId="0836DF59" w14:textId="77777777" w:rsidR="000C6813" w:rsidRPr="00F42D79" w:rsidRDefault="00C92F76">
            <w:pPr>
              <w:spacing w:line="259" w:lineRule="auto"/>
              <w:ind w:left="16" w:right="30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Fistula</w:t>
            </w:r>
            <w:r>
              <w:rPr>
                <w:color w:val="000000"/>
                <w:sz w:val="20"/>
                <w:vertAlign w:val="superscript"/>
              </w:rPr>
              <w:t>*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305FD" w14:textId="56A83BE6" w:rsidR="000C6813" w:rsidRPr="00F42D79" w:rsidRDefault="00C92F76">
            <w:pPr>
              <w:spacing w:after="21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Rhabdomyolysis</w:t>
            </w:r>
            <w:r>
              <w:rPr>
                <w:color w:val="000000"/>
                <w:sz w:val="20"/>
                <w:vertAlign w:val="superscript"/>
              </w:rPr>
              <w:t>*</w:t>
            </w:r>
            <w:r w:rsidR="00471C90">
              <w:rPr>
                <w:color w:val="000000"/>
                <w:sz w:val="20"/>
                <w:vertAlign w:val="superscript"/>
              </w:rPr>
              <w:t xml:space="preserve"> </w:t>
            </w:r>
          </w:p>
          <w:p w14:paraId="26A99EA4" w14:textId="47EB86D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Myopathia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7CA5A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4290CDED" w14:textId="77777777" w:rsidTr="00F42D79">
        <w:trPr>
          <w:trHeight w:val="848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C7E1D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Vese és húgyúti betegségek és tünetek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F0C28" w14:textId="77777777" w:rsidR="000C6813" w:rsidRPr="00F42D79" w:rsidRDefault="00C92F76" w:rsidP="002201B3">
            <w:pPr>
              <w:spacing w:after="4"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  <w:p w14:paraId="60D22A67" w14:textId="77777777" w:rsidR="000C6813" w:rsidRPr="00F42D79" w:rsidRDefault="00C92F76" w:rsidP="002201B3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1A361" w14:textId="7FF32CF1" w:rsidR="000C6813" w:rsidRPr="00F42D79" w:rsidRDefault="00C92F76" w:rsidP="00D81E9F">
            <w:pPr>
              <w:spacing w:after="31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Veseelégtelenség</w:t>
            </w:r>
            <w:r>
              <w:rPr>
                <w:color w:val="000000"/>
                <w:sz w:val="20"/>
                <w:vertAlign w:val="superscript"/>
              </w:rPr>
              <w:t>*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2ED5CB02" w14:textId="19903DA7" w:rsidR="000C6813" w:rsidRPr="00F42D79" w:rsidRDefault="00C92F76">
            <w:pPr>
              <w:spacing w:after="18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Akut veseelégtelenség</w:t>
            </w:r>
            <w:r>
              <w:rPr>
                <w:color w:val="000000"/>
                <w:sz w:val="20"/>
                <w:vertAlign w:val="superscript"/>
              </w:rPr>
              <w:t>*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5AD9CE7D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Chromaturia </w:t>
            </w:r>
          </w:p>
          <w:p w14:paraId="70D3652D" w14:textId="0AC03893" w:rsidR="000C6813" w:rsidRPr="00F42D79" w:rsidRDefault="000C5397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P</w:t>
            </w:r>
            <w:r w:rsidR="00C92F76">
              <w:rPr>
                <w:color w:val="000000"/>
                <w:sz w:val="20"/>
              </w:rPr>
              <w:t>roteinuria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A810E" w14:textId="0B472863" w:rsidR="000C6813" w:rsidRPr="00F42D79" w:rsidRDefault="00C92F76" w:rsidP="000C5397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Húgyúti vérzés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5D360" w14:textId="2C7F3CB5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Nephrosis szindróma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AC2D2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015BC76C" w14:textId="77777777" w:rsidTr="00F42D79">
        <w:trPr>
          <w:trHeight w:val="832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21D29" w14:textId="43E50E4B" w:rsidR="000C6813" w:rsidRPr="00F42D79" w:rsidRDefault="00C92F76" w:rsidP="00F372B2">
            <w:pPr>
              <w:spacing w:line="245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Általános tünetek, az alkalmazás helyén fellépő reakciók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5851C" w14:textId="44881138" w:rsidR="000C6813" w:rsidRPr="00F42D79" w:rsidRDefault="00C92F76" w:rsidP="002201B3">
            <w:pPr>
              <w:spacing w:after="14"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Nyálkahártya</w:t>
            </w:r>
            <w:r w:rsidR="000C5397">
              <w:rPr>
                <w:color w:val="000000"/>
                <w:sz w:val="20"/>
              </w:rPr>
              <w:t>-</w:t>
            </w:r>
            <w:r>
              <w:rPr>
                <w:color w:val="000000"/>
                <w:sz w:val="20"/>
              </w:rPr>
              <w:t>gyulladás</w:t>
            </w:r>
          </w:p>
          <w:p w14:paraId="06606D80" w14:textId="08D740A8" w:rsidR="000C6813" w:rsidRPr="00F42D79" w:rsidRDefault="00C92F76" w:rsidP="00D81E9F">
            <w:pPr>
              <w:spacing w:after="39"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Fáradtság</w:t>
            </w:r>
            <w:r>
              <w:rPr>
                <w:color w:val="000000"/>
                <w:sz w:val="20"/>
                <w:vertAlign w:val="superscript"/>
              </w:rPr>
              <w:t>x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3C55714F" w14:textId="31C8B3E2" w:rsidR="000C6813" w:rsidRPr="00F42D79" w:rsidRDefault="00C92F76">
            <w:pPr>
              <w:spacing w:after="22"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Oedema</w:t>
            </w:r>
            <w:r>
              <w:rPr>
                <w:color w:val="000000"/>
                <w:sz w:val="20"/>
                <w:vertAlign w:val="superscript"/>
              </w:rPr>
              <w:t>y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34E8CB2D" w14:textId="63514C30" w:rsidR="000C6813" w:rsidRPr="00F42D79" w:rsidRDefault="000C5397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Láz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75144" w14:textId="2621282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Mellkasi fájdalom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36858854" w14:textId="75FD1CA0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Fájdalom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3BCBC433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Influenzaszerű tünetek </w:t>
            </w:r>
          </w:p>
          <w:p w14:paraId="1332AF86" w14:textId="5878C85E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Hidegrázás</w:t>
            </w:r>
            <w:r w:rsidR="00471C90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456BD" w14:textId="77777777" w:rsidR="000C6813" w:rsidRPr="00F42D79" w:rsidRDefault="00C92F76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Sebgyógyulási zavar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046D5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A3FBB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  <w:tr w:rsidR="005F28FE" w:rsidRPr="00445457" w14:paraId="712AA2E7" w14:textId="77777777" w:rsidTr="00F42D79">
        <w:trPr>
          <w:trHeight w:val="1305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E2F96" w14:textId="77777777" w:rsidR="000C6813" w:rsidRPr="00F42D79" w:rsidRDefault="00C92F76" w:rsidP="00B00CA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 xml:space="preserve">Laboratóriumi és egyéb vizsgálatok eredményei 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44D90" w14:textId="77777777" w:rsidR="000C6813" w:rsidRPr="00F42D79" w:rsidRDefault="00C92F76" w:rsidP="002201B3">
            <w:pPr>
              <w:spacing w:line="259" w:lineRule="auto"/>
              <w:ind w:lef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C9C88" w14:textId="77777777" w:rsidR="000C5397" w:rsidRDefault="00C92F76" w:rsidP="002201B3">
            <w:pPr>
              <w:spacing w:line="240" w:lineRule="auto"/>
              <w:ind w:right="304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Testtömeg-csökkenés</w:t>
            </w:r>
          </w:p>
          <w:p w14:paraId="4056D076" w14:textId="2098AD75" w:rsidR="000C5397" w:rsidRDefault="00C92F76" w:rsidP="002201B3">
            <w:pPr>
              <w:spacing w:line="240" w:lineRule="auto"/>
              <w:ind w:right="304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Csökkent fehérvérsejt</w:t>
            </w:r>
            <w:r w:rsidR="00BB4256">
              <w:rPr>
                <w:color w:val="000000"/>
                <w:sz w:val="20"/>
              </w:rPr>
              <w:t>-</w:t>
            </w:r>
            <w:r>
              <w:rPr>
                <w:color w:val="000000"/>
                <w:sz w:val="20"/>
              </w:rPr>
              <w:t>szám</w:t>
            </w:r>
          </w:p>
          <w:p w14:paraId="2AD03181" w14:textId="1C431C8D" w:rsidR="000C6813" w:rsidRPr="00F42D79" w:rsidRDefault="00C92F76" w:rsidP="002201B3">
            <w:pPr>
              <w:spacing w:line="240" w:lineRule="auto"/>
              <w:ind w:right="30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Lipázszint-emelkedés</w:t>
            </w:r>
            <w:r w:rsidR="00471C90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Csökkent vérlemezkeszám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1007F171" w14:textId="37A619F4" w:rsidR="00B77182" w:rsidRPr="00F42D79" w:rsidRDefault="00C92F76" w:rsidP="00D81E9F">
            <w:pPr>
              <w:spacing w:line="240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Csökkent hemoglobinszint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726CDEDD" w14:textId="77777777" w:rsidR="000C5397" w:rsidRDefault="00C92F76">
            <w:pPr>
              <w:spacing w:line="240" w:lineRule="auto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Emelkedett amilázszint</w:t>
            </w:r>
            <w:r>
              <w:rPr>
                <w:color w:val="000000"/>
                <w:sz w:val="20"/>
                <w:vertAlign w:val="superscript"/>
              </w:rPr>
              <w:t>z</w:t>
            </w:r>
          </w:p>
          <w:p w14:paraId="1BC62BC8" w14:textId="27DD60FC" w:rsidR="00B77182" w:rsidRPr="00F42D79" w:rsidRDefault="00C92F76">
            <w:pPr>
              <w:spacing w:line="240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Emelkedett </w:t>
            </w:r>
            <w:r w:rsidR="000C5397">
              <w:rPr>
                <w:color w:val="000000"/>
                <w:sz w:val="20"/>
              </w:rPr>
              <w:t>glutamát-oxálacetát-transzamináz-</w:t>
            </w:r>
            <w:r>
              <w:rPr>
                <w:color w:val="000000"/>
                <w:sz w:val="20"/>
              </w:rPr>
              <w:t xml:space="preserve">szint </w:t>
            </w:r>
          </w:p>
          <w:p w14:paraId="1C8A662F" w14:textId="72DE64E2" w:rsidR="00B77182" w:rsidRPr="00F42D79" w:rsidRDefault="00C92F76">
            <w:pPr>
              <w:spacing w:line="240" w:lineRule="auto"/>
              <w:ind w:right="238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Emelkedett </w:t>
            </w:r>
            <w:r w:rsidR="000C5397">
              <w:rPr>
                <w:color w:val="000000"/>
                <w:sz w:val="20"/>
              </w:rPr>
              <w:t>glutamát-piruvát-transzamináz-</w:t>
            </w:r>
            <w:r>
              <w:rPr>
                <w:color w:val="000000"/>
                <w:sz w:val="20"/>
              </w:rPr>
              <w:t xml:space="preserve"> </w:t>
            </w:r>
          </w:p>
          <w:p w14:paraId="047EDA57" w14:textId="0F3B4C9E" w:rsidR="00B77182" w:rsidRPr="00F42D79" w:rsidRDefault="00C92F76">
            <w:pPr>
              <w:spacing w:line="240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szint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118AF71A" w14:textId="4FD11DB7" w:rsidR="00B77182" w:rsidRPr="00F42D79" w:rsidRDefault="00C92F76">
            <w:pPr>
              <w:spacing w:line="240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Emelkedett kreatininszint a vérben</w:t>
            </w:r>
            <w:r w:rsidR="00471C90">
              <w:rPr>
                <w:color w:val="000000"/>
                <w:sz w:val="20"/>
              </w:rPr>
              <w:t xml:space="preserve"> </w:t>
            </w:r>
          </w:p>
          <w:p w14:paraId="0F8607AB" w14:textId="7E619773" w:rsidR="000C6813" w:rsidRPr="00F42D79" w:rsidRDefault="000C5397">
            <w:pPr>
              <w:spacing w:line="240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Emelkedett vérnyomás E</w:t>
            </w:r>
            <w:r w:rsidR="00C92F76">
              <w:rPr>
                <w:color w:val="000000"/>
                <w:sz w:val="20"/>
              </w:rPr>
              <w:t>melkedett húgysavszint</w:t>
            </w:r>
            <w:r>
              <w:rPr>
                <w:color w:val="000000"/>
                <w:sz w:val="20"/>
              </w:rPr>
              <w:t xml:space="preserve"> a vérben</w:t>
            </w:r>
            <w:r w:rsidR="00471C90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0D4B5" w14:textId="62C264A7" w:rsidR="005F28FE" w:rsidRPr="00F42D79" w:rsidRDefault="00BB4256">
            <w:pPr>
              <w:spacing w:line="240" w:lineRule="auto"/>
              <w:ind w:left="16" w:righ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K</w:t>
            </w:r>
            <w:r w:rsidR="00C92F76">
              <w:rPr>
                <w:color w:val="000000"/>
                <w:sz w:val="20"/>
              </w:rPr>
              <w:t>reatin-foszfokináz szint</w:t>
            </w:r>
            <w:r>
              <w:rPr>
                <w:color w:val="000000"/>
                <w:sz w:val="20"/>
              </w:rPr>
              <w:t xml:space="preserve"> </w:t>
            </w:r>
            <w:r w:rsidR="00C92F76">
              <w:rPr>
                <w:color w:val="000000"/>
                <w:sz w:val="20"/>
              </w:rPr>
              <w:t>e</w:t>
            </w:r>
            <w:r>
              <w:rPr>
                <w:color w:val="000000"/>
                <w:sz w:val="20"/>
              </w:rPr>
              <w:t>melkedése a vérben</w:t>
            </w:r>
            <w:r w:rsidR="00C92F76">
              <w:rPr>
                <w:color w:val="000000"/>
                <w:sz w:val="20"/>
              </w:rPr>
              <w:t xml:space="preserve"> </w:t>
            </w:r>
          </w:p>
          <w:p w14:paraId="034CF654" w14:textId="77777777" w:rsidR="000C6813" w:rsidRPr="00F42D79" w:rsidRDefault="00C92F76">
            <w:pPr>
              <w:spacing w:line="240" w:lineRule="auto"/>
              <w:ind w:left="16" w:right="16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A pajzsmirigy-stimuláló hormon emelkedett szintje a vérben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2AE70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AC1D4" w14:textId="77777777" w:rsidR="000C6813" w:rsidRPr="00F42D79" w:rsidRDefault="00C92F76">
            <w:pPr>
              <w:spacing w:line="259" w:lineRule="auto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 </w:t>
            </w:r>
          </w:p>
        </w:tc>
      </w:tr>
    </w:tbl>
    <w:p w14:paraId="0BB85D4D" w14:textId="70708F8D" w:rsidR="000C6813" w:rsidRPr="00445457" w:rsidRDefault="00C92F76" w:rsidP="00B00CA3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*</w:t>
      </w:r>
      <w:r>
        <w:rPr>
          <w:color w:val="000000"/>
          <w:sz w:val="20"/>
        </w:rPr>
        <w:tab/>
        <w:t>Beleértve a halálos kimenetelű eseményeket is.</w:t>
      </w:r>
      <w:r w:rsidR="00471C90">
        <w:rPr>
          <w:color w:val="000000"/>
          <w:sz w:val="20"/>
        </w:rPr>
        <w:t xml:space="preserve"> </w:t>
      </w:r>
    </w:p>
    <w:p w14:paraId="3ADFFD4F" w14:textId="15D03FCD" w:rsidR="000C6813" w:rsidRPr="00445457" w:rsidRDefault="00C92F76" w:rsidP="002201B3">
      <w:pPr>
        <w:spacing w:after="3" w:line="250" w:lineRule="auto"/>
        <w:ind w:left="314" w:right="5727" w:hanging="314"/>
        <w:jc w:val="left"/>
        <w:rPr>
          <w:color w:val="000000"/>
          <w:sz w:val="20"/>
          <w:szCs w:val="20"/>
        </w:rPr>
      </w:pPr>
      <w:r>
        <w:rPr>
          <w:color w:val="000000"/>
          <w:sz w:val="20"/>
        </w:rPr>
        <w:t>A következő fogalmakat összevontuk:</w:t>
      </w:r>
      <w:r w:rsidR="00471C90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</w:t>
      </w:r>
    </w:p>
    <w:p w14:paraId="3E058B3A" w14:textId="77777777" w:rsidR="000C6813" w:rsidRPr="00445457" w:rsidRDefault="00C92F76" w:rsidP="002201B3">
      <w:pPr>
        <w:spacing w:after="3" w:line="250" w:lineRule="auto"/>
        <w:ind w:left="314" w:right="5727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a</w:t>
      </w:r>
      <w:r>
        <w:rPr>
          <w:color w:val="000000"/>
          <w:sz w:val="20"/>
        </w:rPr>
        <w:tab/>
        <w:t xml:space="preserve">nasopharyngitis és herpes labialis. </w:t>
      </w:r>
    </w:p>
    <w:p w14:paraId="75BB0D81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b</w:t>
      </w:r>
      <w:r>
        <w:rPr>
          <w:color w:val="000000"/>
          <w:sz w:val="20"/>
        </w:rPr>
        <w:tab/>
        <w:t xml:space="preserve">bronchitis, alsó légúti fertőzés, pneumonia és légúti fertőzés. </w:t>
      </w:r>
    </w:p>
    <w:p w14:paraId="2401FB1C" w14:textId="6D7C02A5" w:rsidR="000C6813" w:rsidRPr="00445457" w:rsidRDefault="00C92F76">
      <w:pPr>
        <w:spacing w:line="259" w:lineRule="auto"/>
        <w:ind w:left="284" w:hanging="284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 xml:space="preserve">c </w:t>
      </w:r>
      <w:r>
        <w:rPr>
          <w:color w:val="000000"/>
          <w:sz w:val="20"/>
          <w:vertAlign w:val="superscript"/>
        </w:rPr>
        <w:tab/>
      </w:r>
      <w:r>
        <w:rPr>
          <w:color w:val="000000"/>
          <w:sz w:val="20"/>
        </w:rPr>
        <w:tab/>
      </w:r>
      <w:r w:rsidR="000C5397">
        <w:rPr>
          <w:color w:val="000000"/>
          <w:sz w:val="20"/>
        </w:rPr>
        <w:t>abscessus</w:t>
      </w:r>
      <w:r>
        <w:rPr>
          <w:color w:val="000000"/>
          <w:sz w:val="20"/>
        </w:rPr>
        <w:t xml:space="preserve">, végtagi tályog, analis abscessus, gingivalis abscessus, májtályog, pancreastályog, perinealis tályog, perirectalis </w:t>
      </w:r>
      <w:r w:rsidR="00F37CBA">
        <w:rPr>
          <w:color w:val="000000"/>
          <w:sz w:val="20"/>
        </w:rPr>
        <w:t>abscessus</w:t>
      </w:r>
      <w:r>
        <w:rPr>
          <w:color w:val="000000"/>
          <w:sz w:val="20"/>
        </w:rPr>
        <w:t xml:space="preserve">, rectalis </w:t>
      </w:r>
      <w:r w:rsidR="00F37CBA">
        <w:rPr>
          <w:color w:val="000000"/>
          <w:sz w:val="20"/>
        </w:rPr>
        <w:t>abscessus</w:t>
      </w:r>
      <w:r>
        <w:rPr>
          <w:color w:val="000000"/>
          <w:sz w:val="20"/>
        </w:rPr>
        <w:t xml:space="preserve">, subcutan tályog és fogtályog. </w:t>
      </w:r>
    </w:p>
    <w:p w14:paraId="7B0B34B7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d</w:t>
      </w:r>
      <w:r>
        <w:rPr>
          <w:color w:val="000000"/>
          <w:sz w:val="20"/>
        </w:rPr>
        <w:tab/>
        <w:t xml:space="preserve">oesophagealis candidiasis és oralis candidiasis. </w:t>
      </w:r>
    </w:p>
    <w:p w14:paraId="77F23E9F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e</w:t>
      </w:r>
      <w:r>
        <w:rPr>
          <w:color w:val="000000"/>
          <w:sz w:val="20"/>
        </w:rPr>
        <w:tab/>
        <w:t xml:space="preserve">cellulitis és bőrfertőzés. </w:t>
      </w:r>
    </w:p>
    <w:p w14:paraId="23595A91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f</w:t>
      </w:r>
      <w:r>
        <w:rPr>
          <w:color w:val="000000"/>
          <w:sz w:val="20"/>
        </w:rPr>
        <w:tab/>
        <w:t xml:space="preserve">sepsis és septicus shock. </w:t>
      </w:r>
    </w:p>
    <w:p w14:paraId="35F42972" w14:textId="497E6A0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g</w:t>
      </w:r>
      <w:r>
        <w:rPr>
          <w:color w:val="000000"/>
          <w:sz w:val="20"/>
        </w:rPr>
        <w:tab/>
        <w:t xml:space="preserve">abdominalis </w:t>
      </w:r>
      <w:r w:rsidR="00F37CBA">
        <w:rPr>
          <w:color w:val="000000"/>
          <w:sz w:val="20"/>
        </w:rPr>
        <w:t>abscessus</w:t>
      </w:r>
      <w:r>
        <w:rPr>
          <w:color w:val="000000"/>
          <w:sz w:val="20"/>
        </w:rPr>
        <w:t xml:space="preserve">, abdominalis sepsis, diverticulitis és osteomyelitis. </w:t>
      </w:r>
    </w:p>
    <w:p w14:paraId="72E6B9CD" w14:textId="11B67293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h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</w:rPr>
        <w:tab/>
        <w:t xml:space="preserve">thromboticus microangiopathia, thromboticus thrombocytopeniás purpura, haemolyticus uraemiás szindróma. </w:t>
      </w:r>
    </w:p>
    <w:p w14:paraId="1872E0F1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lastRenderedPageBreak/>
        <w:t>i</w:t>
      </w:r>
      <w:r>
        <w:rPr>
          <w:color w:val="000000"/>
          <w:sz w:val="20"/>
        </w:rPr>
        <w:tab/>
        <w:t xml:space="preserve">étvágycsökkenés és anorexia. </w:t>
      </w:r>
    </w:p>
    <w:p w14:paraId="0A2C2D95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j</w:t>
      </w:r>
      <w:r>
        <w:rPr>
          <w:color w:val="000000"/>
          <w:sz w:val="20"/>
        </w:rPr>
        <w:tab/>
        <w:t xml:space="preserve">dysgeusia, ageusia és ízérzészavar. </w:t>
      </w:r>
    </w:p>
    <w:p w14:paraId="5BDD712A" w14:textId="4B0BBB64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k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</w:rPr>
        <w:tab/>
        <w:t>akut coronaria szindróma, angina pectoris, instabil angina, arteria coronaria-elzáródás és myocardialis ischaemia.</w:t>
      </w:r>
      <w:r w:rsidR="00471C90">
        <w:rPr>
          <w:color w:val="000000"/>
          <w:sz w:val="20"/>
        </w:rPr>
        <w:t xml:space="preserve"> </w:t>
      </w:r>
    </w:p>
    <w:p w14:paraId="594B2F66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l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</w:rPr>
        <w:tab/>
        <w:t xml:space="preserve">csökkent/kóros ejekciós frakció. </w:t>
      </w:r>
    </w:p>
    <w:p w14:paraId="34663F69" w14:textId="1F5637B0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m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</w:rPr>
        <w:tab/>
        <w:t xml:space="preserve">akut myocardialis infarctus, myocardialis infarctus, </w:t>
      </w:r>
      <w:r w:rsidR="00F37CBA">
        <w:rPr>
          <w:color w:val="000000"/>
          <w:sz w:val="20"/>
        </w:rPr>
        <w:t>néma</w:t>
      </w:r>
      <w:r>
        <w:rPr>
          <w:color w:val="000000"/>
          <w:sz w:val="20"/>
        </w:rPr>
        <w:t xml:space="preserve"> myocardialis infarctus. </w:t>
      </w:r>
    </w:p>
    <w:p w14:paraId="519B7370" w14:textId="2F419F6B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n</w:t>
      </w:r>
      <w:r>
        <w:rPr>
          <w:color w:val="000000"/>
          <w:sz w:val="20"/>
        </w:rPr>
        <w:tab/>
        <w:t>oropharyngealis fájdalom és pharyngolaryngealis fájdalom.</w:t>
      </w:r>
      <w:r w:rsidR="00471C90">
        <w:rPr>
          <w:color w:val="000000"/>
          <w:sz w:val="20"/>
        </w:rPr>
        <w:t xml:space="preserve"> </w:t>
      </w:r>
    </w:p>
    <w:p w14:paraId="53A876CA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 xml:space="preserve">o </w:t>
      </w:r>
      <w:r>
        <w:rPr>
          <w:color w:val="000000"/>
          <w:sz w:val="20"/>
        </w:rPr>
        <w:tab/>
        <w:t xml:space="preserve">stomatitis és stomatitis aphtosa. </w:t>
      </w:r>
    </w:p>
    <w:p w14:paraId="00E1FAD4" w14:textId="49A31CF3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 xml:space="preserve">p </w:t>
      </w:r>
      <w:r>
        <w:rPr>
          <w:color w:val="000000"/>
          <w:sz w:val="20"/>
        </w:rPr>
        <w:tab/>
        <w:t xml:space="preserve">hasi fájdalom, alhasi fájdalom és </w:t>
      </w:r>
      <w:r w:rsidR="0092007E">
        <w:rPr>
          <w:color w:val="000000"/>
          <w:sz w:val="20"/>
        </w:rPr>
        <w:t>gyomortáji</w:t>
      </w:r>
      <w:r>
        <w:rPr>
          <w:color w:val="000000"/>
          <w:sz w:val="20"/>
        </w:rPr>
        <w:t xml:space="preserve"> fájdalom. </w:t>
      </w:r>
    </w:p>
    <w:p w14:paraId="78604984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q</w:t>
      </w:r>
      <w:r>
        <w:rPr>
          <w:color w:val="000000"/>
          <w:sz w:val="20"/>
        </w:rPr>
        <w:tab/>
        <w:t xml:space="preserve">gastrointestinalis perforáció és bélperforáció. </w:t>
      </w:r>
    </w:p>
    <w:p w14:paraId="20F13721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r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</w:rPr>
        <w:tab/>
        <w:t xml:space="preserve">colitis és ischaemiás colitis. </w:t>
      </w:r>
    </w:p>
    <w:p w14:paraId="60DCBAD6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s</w:t>
      </w:r>
      <w:r>
        <w:rPr>
          <w:color w:val="000000"/>
          <w:sz w:val="20"/>
        </w:rPr>
        <w:tab/>
        <w:t xml:space="preserve">cholecystitis és acalculosus cholecystitis. </w:t>
      </w:r>
    </w:p>
    <w:p w14:paraId="0EF89962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t</w:t>
      </w:r>
      <w:r>
        <w:rPr>
          <w:color w:val="000000"/>
          <w:sz w:val="20"/>
        </w:rPr>
        <w:tab/>
        <w:t xml:space="preserve">sárga bőr, bőrelszíneződés és pigmentatiós zavar. </w:t>
      </w:r>
    </w:p>
    <w:p w14:paraId="7220FED1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u</w:t>
      </w:r>
      <w:r>
        <w:rPr>
          <w:color w:val="000000"/>
          <w:sz w:val="20"/>
        </w:rPr>
        <w:tab/>
        <w:t xml:space="preserve">psoriasiform dermatitis, exfoliativ kiütés, kiütés, erythemás kiütés, follicularis kiütés, generalizált kiütés, maculosus kiütés, maculo-papulosus kiütés, papulosus kiütés és viszkető kiütés. </w:t>
      </w:r>
    </w:p>
    <w:p w14:paraId="76DC9D4C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 xml:space="preserve">v </w:t>
      </w:r>
      <w:r>
        <w:rPr>
          <w:color w:val="000000"/>
          <w:sz w:val="20"/>
        </w:rPr>
        <w:tab/>
        <w:t xml:space="preserve">bőrreakció és bőrlézió. </w:t>
      </w:r>
    </w:p>
    <w:p w14:paraId="088B52BE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w</w:t>
      </w:r>
      <w:r>
        <w:rPr>
          <w:color w:val="000000"/>
          <w:sz w:val="20"/>
        </w:rPr>
        <w:tab/>
        <w:t xml:space="preserve">köröm-rendellenességek és -elszíneződés. </w:t>
      </w:r>
    </w:p>
    <w:p w14:paraId="63F1E650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x</w:t>
      </w:r>
      <w:r>
        <w:rPr>
          <w:color w:val="000000"/>
          <w:sz w:val="20"/>
        </w:rPr>
        <w:tab/>
        <w:t xml:space="preserve">fáradtság és asthenia. </w:t>
      </w:r>
    </w:p>
    <w:p w14:paraId="521D7A1B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y</w:t>
      </w:r>
      <w:r>
        <w:rPr>
          <w:color w:val="000000"/>
          <w:sz w:val="20"/>
        </w:rPr>
        <w:tab/>
        <w:t xml:space="preserve">arcoedema, oedema, perifériás oedema. </w:t>
      </w:r>
    </w:p>
    <w:p w14:paraId="4FE23EFD" w14:textId="77777777" w:rsidR="000C6813" w:rsidRPr="00445457" w:rsidRDefault="00C92F76">
      <w:pPr>
        <w:spacing w:line="259" w:lineRule="auto"/>
        <w:ind w:left="299" w:hanging="299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vertAlign w:val="superscript"/>
        </w:rPr>
        <w:t>z</w:t>
      </w:r>
      <w:r>
        <w:rPr>
          <w:color w:val="000000"/>
          <w:sz w:val="20"/>
        </w:rPr>
        <w:tab/>
        <w:t>emelkedett amilázaktivitás.</w:t>
      </w:r>
    </w:p>
    <w:p w14:paraId="3597604E" w14:textId="77777777" w:rsidR="000C6813" w:rsidRPr="00445457" w:rsidRDefault="00C92F76">
      <w:pPr>
        <w:spacing w:line="259" w:lineRule="auto"/>
        <w:ind w:left="304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 </w:t>
      </w:r>
    </w:p>
    <w:p w14:paraId="0B565580" w14:textId="119A7118" w:rsidR="00B42F4D" w:rsidRPr="00445457" w:rsidRDefault="00F37CBA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</w:rPr>
      </w:pPr>
      <w:r>
        <w:rPr>
          <w:rStyle w:val="Hiperhivatkozs"/>
          <w:color w:val="000000"/>
          <w:sz w:val="22"/>
        </w:rPr>
        <w:t>Egyes k</w:t>
      </w:r>
      <w:r w:rsidR="00C92F76">
        <w:rPr>
          <w:rStyle w:val="Hiperhivatkozs"/>
          <w:color w:val="000000"/>
          <w:sz w:val="22"/>
        </w:rPr>
        <w:t xml:space="preserve">iválasztott mellékhatások leírása </w:t>
      </w:r>
    </w:p>
    <w:p w14:paraId="0A1AB5B8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</w:rPr>
      </w:pPr>
      <w:r>
        <w:rPr>
          <w:rStyle w:val="Hiperhivatkozs"/>
          <w:color w:val="000000"/>
          <w:sz w:val="22"/>
        </w:rPr>
        <w:t xml:space="preserve"> </w:t>
      </w:r>
    </w:p>
    <w:p w14:paraId="3DB9F962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 xml:space="preserve">Fertőző betegségek és parazitafertőzések </w:t>
      </w:r>
    </w:p>
    <w:p w14:paraId="22A0FE85" w14:textId="02D21B03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Súlyos fertőzéses (neutropeniás vagy nem neutropeniás) eseteket, köztük halálos kimenetelűeket is jelentettek. Fasciitis necrotisanst (beleértve a perineumét) jelentettek, néhány esetben halálos kimenetellel (lásd még 4.4 pont). </w:t>
      </w:r>
    </w:p>
    <w:p w14:paraId="1550E699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5BAB2A7C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 xml:space="preserve">Vérképzőszervi és nyirokrendszeri betegségek és tünetek </w:t>
      </w:r>
    </w:p>
    <w:p w14:paraId="5089CC02" w14:textId="2803A8FA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Az abszolút neutrofilszám 3. és 4. súlyossági fokozatú csökkenéséről a betegek </w:t>
      </w:r>
      <w:r w:rsidR="00F37CBA">
        <w:rPr>
          <w:rStyle w:val="Hiperhivatkozs"/>
          <w:color w:val="000000"/>
          <w:sz w:val="22"/>
          <w:u w:val="none"/>
        </w:rPr>
        <w:t>sorrendben 10%-ánál és</w:t>
      </w:r>
      <w:r>
        <w:rPr>
          <w:rStyle w:val="Hiperhivatkozs"/>
          <w:color w:val="000000"/>
          <w:sz w:val="22"/>
          <w:u w:val="none"/>
        </w:rPr>
        <w:t xml:space="preserve"> 1,7%-ánál számoltak be a III. fázisú GIST vizsgálatban, 16</w:t>
      </w:r>
      <w:r w:rsidR="00F37CBA">
        <w:rPr>
          <w:rStyle w:val="Hiperhivatkozs"/>
          <w:color w:val="000000"/>
          <w:sz w:val="22"/>
          <w:u w:val="none"/>
        </w:rPr>
        <w:t>%-ánál és</w:t>
      </w:r>
      <w:r>
        <w:rPr>
          <w:rStyle w:val="Hiperhivatkozs"/>
          <w:color w:val="000000"/>
          <w:sz w:val="22"/>
          <w:u w:val="none"/>
        </w:rPr>
        <w:t xml:space="preserve"> 1,6%-ánál a III. fázisú MRCC vizsgálatban, valamint 13</w:t>
      </w:r>
      <w:r w:rsidR="00F37CBA">
        <w:rPr>
          <w:rStyle w:val="Hiperhivatkozs"/>
          <w:color w:val="000000"/>
          <w:sz w:val="22"/>
          <w:u w:val="none"/>
        </w:rPr>
        <w:t>%-ánál és</w:t>
      </w:r>
      <w:r>
        <w:rPr>
          <w:rStyle w:val="Hiperhivatkozs"/>
          <w:color w:val="000000"/>
          <w:sz w:val="22"/>
          <w:u w:val="none"/>
        </w:rPr>
        <w:t xml:space="preserve"> 2,4%-ánál a III. fázisú pNET vizsgálatban. A vérlemezkeszám 3. és 4. súlyossági fokozatú csökkenéséről a betegek 3,7</w:t>
      </w:r>
      <w:r w:rsidR="00F37CBA">
        <w:rPr>
          <w:rStyle w:val="Hiperhivatkozs"/>
          <w:color w:val="000000"/>
          <w:sz w:val="22"/>
          <w:u w:val="none"/>
        </w:rPr>
        <w:t>%-ánál és</w:t>
      </w:r>
      <w:r>
        <w:rPr>
          <w:rStyle w:val="Hiperhivatkozs"/>
          <w:color w:val="000000"/>
          <w:sz w:val="22"/>
          <w:u w:val="none"/>
        </w:rPr>
        <w:t xml:space="preserve"> 0,4%-ánál számoltak be a III. fázisú GIST vizsgálatban, 8,2</w:t>
      </w:r>
      <w:r w:rsidR="006F646A">
        <w:rPr>
          <w:rStyle w:val="Hiperhivatkozs"/>
          <w:color w:val="000000"/>
          <w:sz w:val="22"/>
          <w:u w:val="none"/>
        </w:rPr>
        <w:t>%-ánál és</w:t>
      </w:r>
      <w:r>
        <w:rPr>
          <w:rStyle w:val="Hiperhivatkozs"/>
          <w:color w:val="000000"/>
          <w:sz w:val="22"/>
          <w:u w:val="none"/>
        </w:rPr>
        <w:t xml:space="preserve"> 1,1%-ánál a III. fázisú MRCC vizsgálatban, valamint 3,7</w:t>
      </w:r>
      <w:r w:rsidR="00F37CBA">
        <w:rPr>
          <w:rStyle w:val="Hiperhivatkozs"/>
          <w:color w:val="000000"/>
          <w:sz w:val="22"/>
          <w:u w:val="none"/>
        </w:rPr>
        <w:t>%-ánál és</w:t>
      </w:r>
      <w:r>
        <w:rPr>
          <w:rStyle w:val="Hiperhivatkozs"/>
          <w:color w:val="000000"/>
          <w:sz w:val="22"/>
          <w:u w:val="none"/>
        </w:rPr>
        <w:t xml:space="preserve"> 1,2%-ánál a III. fázisú pNET vizsgálatban (lásd 4.4 pont). </w:t>
      </w:r>
    </w:p>
    <w:p w14:paraId="51645752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1176C287" w14:textId="68821098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A III. fázisú GIST vizsgálatban a szunitinib</w:t>
      </w:r>
      <w:r w:rsidR="00F37CBA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 xml:space="preserve">kezelésben részesülő betegek 18%-ánál, míg a placebocsoportban a betegek 17%-ánál fordult elő vérzéses esemény. </w:t>
      </w:r>
      <w:r w:rsidR="00F37CBA">
        <w:rPr>
          <w:rStyle w:val="Hiperhivatkozs"/>
          <w:color w:val="000000"/>
          <w:sz w:val="22"/>
          <w:u w:val="none"/>
        </w:rPr>
        <w:t xml:space="preserve">Előzőleg </w:t>
      </w:r>
      <w:r>
        <w:rPr>
          <w:rStyle w:val="Hiperhivatkozs"/>
          <w:color w:val="000000"/>
          <w:sz w:val="22"/>
          <w:u w:val="none"/>
        </w:rPr>
        <w:t>nem kezelt, szunitinib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>kezelés alatt álló MRCC-s betegek 39%-ánál, míg az interferon-α (IFN-α) kezelés alatt álló betegek 11%-ánál fordult elő vérzéses esemény. A szunitinib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>csoportban 17 betegnél (4,5%), ezzel szemben az IFN-α-kezelésben részesülő csoportban 5 betegnél (1,7%) tapasztaltak 3. vagy magasabb fokozatú vérzéses eseményt. Szunitinib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>kezelés alatt álló citokinrefrakter MRCC-s betegek 26%-ánál tapasztaltak vérzéses eseményt. A III. fázisú pNET vizsgálatban a szunitinibet kapó betegek 21,7%-ánál, a placebót kapó betegek 9,85%-ánál jelentkezett vérzéses esemény,</w:t>
      </w:r>
      <w:r w:rsidR="0029390F">
        <w:rPr>
          <w:rStyle w:val="Hiperhivatkozs"/>
          <w:color w:val="000000"/>
          <w:sz w:val="22"/>
          <w:u w:val="none"/>
        </w:rPr>
        <w:t xml:space="preserve"> beleértve</w:t>
      </w:r>
      <w:r>
        <w:rPr>
          <w:rStyle w:val="Hiperhivatkozs"/>
          <w:color w:val="000000"/>
          <w:sz w:val="22"/>
          <w:u w:val="none"/>
        </w:rPr>
        <w:t xml:space="preserve"> az orrvérzé</w:t>
      </w:r>
      <w:r w:rsidR="0029390F">
        <w:rPr>
          <w:rStyle w:val="Hiperhivatkozs"/>
          <w:color w:val="000000"/>
          <w:sz w:val="22"/>
          <w:u w:val="none"/>
        </w:rPr>
        <w:t>st is</w:t>
      </w:r>
      <w:r>
        <w:rPr>
          <w:rStyle w:val="Hiperhivatkozs"/>
          <w:color w:val="000000"/>
          <w:sz w:val="22"/>
          <w:u w:val="none"/>
        </w:rPr>
        <w:t xml:space="preserve"> (lásd 4.4 pont). </w:t>
      </w:r>
    </w:p>
    <w:p w14:paraId="14117170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7C399898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Klinikai vizsgálatokban tumorvérzés a GIST-ben szenvedő betegek kb. 2%-ánál fordult elő. </w:t>
      </w:r>
    </w:p>
    <w:p w14:paraId="48A0074A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3E447654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 xml:space="preserve">Immunrendszeri betegségek és tünetek </w:t>
      </w:r>
    </w:p>
    <w:p w14:paraId="637C4330" w14:textId="4608B048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Túlérzékenységi reakciókat, köztük angio</w:t>
      </w:r>
      <w:r w:rsidR="0029390F">
        <w:rPr>
          <w:rStyle w:val="Hiperhivatkozs"/>
          <w:color w:val="000000"/>
          <w:sz w:val="22"/>
          <w:u w:val="none"/>
        </w:rPr>
        <w:t>ö</w:t>
      </w:r>
      <w:r>
        <w:rPr>
          <w:rStyle w:val="Hiperhivatkozs"/>
          <w:color w:val="000000"/>
          <w:sz w:val="22"/>
          <w:u w:val="none"/>
        </w:rPr>
        <w:t>d</w:t>
      </w:r>
      <w:r w:rsidR="0029390F">
        <w:rPr>
          <w:rStyle w:val="Hiperhivatkozs"/>
          <w:color w:val="000000"/>
          <w:sz w:val="22"/>
          <w:u w:val="none"/>
        </w:rPr>
        <w:t>é</w:t>
      </w:r>
      <w:r>
        <w:rPr>
          <w:rStyle w:val="Hiperhivatkozs"/>
          <w:color w:val="000000"/>
          <w:sz w:val="22"/>
          <w:u w:val="none"/>
        </w:rPr>
        <w:t xml:space="preserve">mát írtak le (lásd 4.4 pont). </w:t>
      </w:r>
    </w:p>
    <w:p w14:paraId="312A7E00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46309F9D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 xml:space="preserve">Endokrin betegségek és tünetek </w:t>
      </w:r>
    </w:p>
    <w:p w14:paraId="52682D2A" w14:textId="565FA6F3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A citokinrefrakter MRCC két vizsgálatában 7, szunitinibet kapó beteg esetében (4%), míg a</w:t>
      </w:r>
      <w:r w:rsidR="0029390F">
        <w:rPr>
          <w:rStyle w:val="Hiperhivatkozs"/>
          <w:color w:val="000000"/>
          <w:sz w:val="22"/>
          <w:u w:val="none"/>
        </w:rPr>
        <w:t>z</w:t>
      </w:r>
      <w:r>
        <w:rPr>
          <w:rStyle w:val="Hiperhivatkozs"/>
          <w:color w:val="000000"/>
          <w:sz w:val="22"/>
          <w:u w:val="none"/>
        </w:rPr>
        <w:t xml:space="preserve"> </w:t>
      </w:r>
      <w:r w:rsidR="0029390F">
        <w:rPr>
          <w:rStyle w:val="Hiperhivatkozs"/>
          <w:color w:val="000000"/>
          <w:sz w:val="22"/>
          <w:u w:val="none"/>
        </w:rPr>
        <w:t>előzőleg</w:t>
      </w:r>
      <w:r>
        <w:rPr>
          <w:rStyle w:val="Hiperhivatkozs"/>
          <w:color w:val="000000"/>
          <w:sz w:val="22"/>
          <w:u w:val="none"/>
        </w:rPr>
        <w:t xml:space="preserve"> nem kezelt MRCC-s betegeken végzett vizsgálatban a szunitinib-karon 61 beteg (16%), az IFN-α karon 3 beteg (&lt;1%) esetében jelentettek hypothyreosis mellékhatást.</w:t>
      </w:r>
      <w:r w:rsidR="00471C90">
        <w:rPr>
          <w:rStyle w:val="Hiperhivatkozs"/>
          <w:color w:val="000000"/>
          <w:sz w:val="22"/>
          <w:u w:val="none"/>
        </w:rPr>
        <w:t xml:space="preserve"> </w:t>
      </w:r>
    </w:p>
    <w:p w14:paraId="01998A04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7A506230" w14:textId="5C740621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lastRenderedPageBreak/>
        <w:t>Továbbá a pajzsmirigyserkentő hormon (TSH) emelkedett szintjét mérték 4 citokinrefrakter MRCC-s betegnél (2%). Összességében az MRCC-betegpopuláció 7%-ánál észlelték a kezeléssel összefüggő hypothyreosis klinikai vagy laboratóriumi jeleit. Szerzett hypothyreosist a GIST tumoros, szunitinib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 xml:space="preserve">kezelésben részesülő betegek 6,2%-ánál észleltek, míg a placebokezelést kapó betegek 1%-ánál. A III. fázisú pNET vizsgálatban 6 szunitinibet kapó betegnél (7,2%) és 1 placebót kapó betegnél (1,2%) jelentettek hypothyreosist. </w:t>
      </w:r>
    </w:p>
    <w:p w14:paraId="78D3C81E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709FE298" w14:textId="77777777" w:rsidR="0029390F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Emlőrákos betegeknél két vizsgálatban prospektív pajzsmirigyfunkció-monitorozást végeztek. </w:t>
      </w:r>
      <w:r w:rsidR="0029390F">
        <w:rPr>
          <w:rStyle w:val="Hiperhivatkozs"/>
          <w:color w:val="000000"/>
          <w:sz w:val="22"/>
          <w:u w:val="none"/>
        </w:rPr>
        <w:t xml:space="preserve">A szunitinibet emlőrák kezelésére nem engedélyezték. </w:t>
      </w:r>
      <w:r>
        <w:rPr>
          <w:rStyle w:val="Hiperhivatkozs"/>
          <w:color w:val="000000"/>
          <w:sz w:val="22"/>
          <w:u w:val="none"/>
        </w:rPr>
        <w:t xml:space="preserve">Az egyik vizsgálatban 15 (13,6%) szunitinibbel kezelt betegnél, valamint 3 (2,9%) standard kezelésben részesülő betegnél jelentettek hypothyreosist. Emelkedett TSH-szintet 1 (0,9%) szunitinibbel kezelt betegnél jelentettek, és nem jelentettek emelkedett TSH-szintet standard terápián lévő betegeknél. Hyperthyreosist szunitinibbel kezelt betegnél nem jelentettek, jelentettek viszont 1 (1,0%) standard kezelésben részesülő betegnél. A másik vizsgálatban hypothyreosist összesen 31 (13%) szunitinibbel kezelt betegnél és 2 (0,8%) kapecitabinnal kezelt betegnél jelentettek. Emelkedett TSH-vérszintet 12 (5,0%) szunitinibbel kezelt betegnél jelentettek, és nem jelentettek kapecitabinnal kezelt betegeknél. </w:t>
      </w:r>
    </w:p>
    <w:p w14:paraId="6FB115DD" w14:textId="79594458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Hyperthyreosist 4 (1,7%) szunitinibbel kezelt betegnél jelentettek, és nem jelentettek kapecitabinnal kezelt betegeknél. Csökkent TSH-szintet 3 (1,3%), szunitinibbel kezelt betegnél jelentettek, és nem jelentettek kapecitabinnal kezelt betegeknél. Emelkedett T4-szintet 2 (0,8%) szunitinibbel kezelt betegnél és 1 (0,4%) kapecitabinnal kezelt betegnél jelentettek. Emelkedett T3-szintet 1 (0,8%) szunitinibbel kezelt betegnél jelentettek, és nem jelentettek kapecitabinnal kezelt betegeknél. Minden jelentett, pajzsmiriggyel kapcsolatos esemény 1</w:t>
      </w:r>
      <w:r>
        <w:rPr>
          <w:rStyle w:val="Hiperhivatkozs"/>
          <w:color w:val="000000"/>
          <w:sz w:val="22"/>
          <w:u w:val="none"/>
          <w:cs/>
        </w:rPr>
        <w:t>–</w:t>
      </w:r>
      <w:r>
        <w:rPr>
          <w:rStyle w:val="Hiperhivatkozs"/>
          <w:color w:val="000000"/>
          <w:sz w:val="22"/>
          <w:u w:val="none"/>
        </w:rPr>
        <w:t xml:space="preserve">2. fokozatú volt (lásd 4.4 pont). </w:t>
      </w:r>
    </w:p>
    <w:p w14:paraId="77A0BFEF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6CF02F61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 xml:space="preserve">Anyagcsere és táplálkozási betegségek és tünetek </w:t>
      </w:r>
    </w:p>
    <w:p w14:paraId="55568A4F" w14:textId="18FAA96E" w:rsidR="00B42F4D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A hypoglykaemia magasabb előfordulási arányáról számoltak be pNET-ben szenvedő betegeknél, összehasonlítva a MRCC-ben és GIST-ben szenvedő betegekével. A klinikai vizsgálatok során megfigyelt ezen mellékhatások nagy része azonban nem volt a vizsgálati kezeléssel </w:t>
      </w:r>
      <w:r w:rsidR="0029390F">
        <w:rPr>
          <w:rStyle w:val="Hiperhivatkozs"/>
          <w:color w:val="000000"/>
          <w:sz w:val="22"/>
          <w:u w:val="none"/>
        </w:rPr>
        <w:t xml:space="preserve">összefüggésbe hozható </w:t>
      </w:r>
      <w:r>
        <w:rPr>
          <w:rStyle w:val="Hiperhivatkozs"/>
          <w:color w:val="000000"/>
          <w:sz w:val="22"/>
          <w:u w:val="none"/>
        </w:rPr>
        <w:t xml:space="preserve">(lásd 4.4 pont). </w:t>
      </w:r>
    </w:p>
    <w:p w14:paraId="203D40A4" w14:textId="77777777" w:rsidR="0029390F" w:rsidRPr="00445457" w:rsidRDefault="0029390F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</w:p>
    <w:p w14:paraId="385C2AA1" w14:textId="50ACBB5C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  <w:r>
        <w:rPr>
          <w:rStyle w:val="Hiperhivatkozs"/>
          <w:i/>
          <w:color w:val="000000"/>
          <w:sz w:val="22"/>
          <w:u w:val="none"/>
        </w:rPr>
        <w:t xml:space="preserve">Idegrendszeri betegségek és tünetek </w:t>
      </w:r>
    </w:p>
    <w:p w14:paraId="42DC36EF" w14:textId="0FB5A62C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A szunitinibbel végzett klinikai vizsgálatokban és a forgalomba hozatalt követő felmérésekben néhány esetben (&lt;1%) beszámoltak olyan résztvevőkről, akiknél görcsrohamok jelentkeztek és képalkotó módszerekkel RPLS-t igazoltak. </w:t>
      </w:r>
      <w:r w:rsidR="0029390F">
        <w:rPr>
          <w:rStyle w:val="Hiperhivatkozs"/>
          <w:color w:val="000000"/>
          <w:sz w:val="22"/>
          <w:u w:val="none"/>
        </w:rPr>
        <w:t xml:space="preserve">Néhány ilyen eset halálos kimenetelű volt. </w:t>
      </w:r>
      <w:r>
        <w:rPr>
          <w:rStyle w:val="Hiperhivatkozs"/>
          <w:color w:val="000000"/>
          <w:sz w:val="22"/>
          <w:u w:val="none"/>
        </w:rPr>
        <w:t xml:space="preserve">Görcsrohamokat agyi áttétekre utaló radiológiai bizonyítékkal rendelkező és nem rendelkező betegeknél is észleltek (lásd 4.4 pont). </w:t>
      </w:r>
    </w:p>
    <w:p w14:paraId="15343D80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102826B4" w14:textId="63429AE1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>Szívbetegségek</w:t>
      </w:r>
    </w:p>
    <w:p w14:paraId="6F617AA4" w14:textId="7E649339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Klinikai vizsgálatokban a bal kamrai ejekciós frakció (LVEF) 20%-os vagy annál nagyobb, valamint a normálérték alsó határa alá való csökkenése fordult elő a szunitinib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>kezelésben részesülő, GIST-ben szenvedő betegek kb. 2%-ánál, a citokinrefrakter MRCC-ben szenvedő betegek 4%-ánál, és a placebóval kezelt, GIST-ben szenvedő betegek 2%-ánál. Az LVEF ezen csökkenése nem tűnt progresszívnek, és gyakran javult a kezelés folytatása során. A</w:t>
      </w:r>
      <w:r w:rsidR="0029390F">
        <w:rPr>
          <w:rStyle w:val="Hiperhivatkozs"/>
          <w:color w:val="000000"/>
          <w:sz w:val="22"/>
          <w:u w:val="none"/>
        </w:rPr>
        <w:t>z előzőleg</w:t>
      </w:r>
      <w:r>
        <w:rPr>
          <w:rStyle w:val="Hiperhivatkozs"/>
          <w:color w:val="000000"/>
          <w:sz w:val="22"/>
          <w:u w:val="none"/>
        </w:rPr>
        <w:t xml:space="preserve"> nem </w:t>
      </w:r>
      <w:r w:rsidR="0029390F">
        <w:rPr>
          <w:rStyle w:val="Hiperhivatkozs"/>
          <w:color w:val="000000"/>
          <w:sz w:val="22"/>
          <w:u w:val="none"/>
        </w:rPr>
        <w:t>kezel</w:t>
      </w:r>
      <w:r>
        <w:rPr>
          <w:rStyle w:val="Hiperhivatkozs"/>
          <w:color w:val="000000"/>
          <w:sz w:val="22"/>
          <w:u w:val="none"/>
        </w:rPr>
        <w:t>t, MRCC-ben szenvedő betegekkel végzett vizsgálatban a szunitinib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>kezelés alatt álló betegek 27%-ánál és az IFN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>α-kezelés alatt álló betegek 15%-ánál észlelték az LVEF-nek a normálérték alsó határa alá történő csökkenését. Két (&lt;1%), szunitinib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>kezelésben részesülő betegnél diagnosztizáltak CHF-et.</w:t>
      </w:r>
      <w:r w:rsidR="00471C90">
        <w:rPr>
          <w:rStyle w:val="Hiperhivatkozs"/>
          <w:color w:val="000000"/>
          <w:sz w:val="22"/>
          <w:u w:val="none"/>
        </w:rPr>
        <w:t xml:space="preserve"> </w:t>
      </w:r>
    </w:p>
    <w:p w14:paraId="09AAC8B6" w14:textId="57C24BBE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Szívelégtelenségről, pangásos szívelégtelenségről vagy bal kamrai elégtelenségről a GIST-ben szenvedő betegek 1,2%-ánál számoltak be, míg placebóval kezelt betegeknél ez az arány 1% volt. A </w:t>
      </w:r>
      <w:r w:rsidR="0029390F">
        <w:rPr>
          <w:rStyle w:val="Hiperhivatkozs"/>
          <w:color w:val="000000"/>
          <w:sz w:val="22"/>
          <w:u w:val="none"/>
        </w:rPr>
        <w:t xml:space="preserve">pivotális </w:t>
      </w:r>
      <w:r>
        <w:rPr>
          <w:rStyle w:val="Hiperhivatkozs"/>
          <w:color w:val="000000"/>
          <w:sz w:val="22"/>
          <w:u w:val="none"/>
        </w:rPr>
        <w:t xml:space="preserve">III. fázisú GIST-vizsgálatban (n = 312) kezeléssel összefüggő, halálos kimenetelű cardiovascularis reakciók </w:t>
      </w:r>
      <w:r w:rsidR="0029390F">
        <w:rPr>
          <w:rStyle w:val="Hiperhivatkozs"/>
          <w:color w:val="000000"/>
          <w:sz w:val="22"/>
          <w:u w:val="none"/>
        </w:rPr>
        <w:t xml:space="preserve">fordultak elő </w:t>
      </w:r>
      <w:r>
        <w:rPr>
          <w:rStyle w:val="Hiperhivatkozs"/>
          <w:color w:val="000000"/>
          <w:sz w:val="22"/>
          <w:u w:val="none"/>
        </w:rPr>
        <w:t>mindkét karon (azaz a szunitinib- és a placebokaron). A II. fázisú vizsgálatban citokinrefrakter MRCC-betegek 0,9%-ánál kezeléssel összefüggő, halálos kimenetelű myocardialis infarctus fordult elő. A</w:t>
      </w:r>
      <w:r w:rsidR="0029390F">
        <w:rPr>
          <w:rStyle w:val="Hiperhivatkozs"/>
          <w:color w:val="000000"/>
          <w:sz w:val="22"/>
          <w:u w:val="none"/>
        </w:rPr>
        <w:t>z</w:t>
      </w:r>
      <w:r>
        <w:rPr>
          <w:rStyle w:val="Hiperhivatkozs"/>
          <w:color w:val="000000"/>
          <w:sz w:val="22"/>
          <w:u w:val="none"/>
        </w:rPr>
        <w:t xml:space="preserve"> </w:t>
      </w:r>
      <w:r w:rsidR="0029390F">
        <w:rPr>
          <w:rStyle w:val="Hiperhivatkozs"/>
          <w:color w:val="000000"/>
          <w:sz w:val="22"/>
          <w:u w:val="none"/>
        </w:rPr>
        <w:t>előzőleg</w:t>
      </w:r>
      <w:r>
        <w:rPr>
          <w:rStyle w:val="Hiperhivatkozs"/>
          <w:color w:val="000000"/>
          <w:sz w:val="22"/>
          <w:u w:val="none"/>
        </w:rPr>
        <w:t xml:space="preserve"> kezelésben nem részesülő, MRCC-betegeken végzett III. fázisú vizsgálatban az IFN-α-karon a betegek 0,6%-ánál és a szunitinib-karon a betegek 0%-ánál tapasztaltak halálos kimenetelű cardialis eseményeket. A III. fázisú pNET vizsgálatban egy szunitinibet kapó betegnél (1%) kezeléssel összefüggő, halálos kimenetelű szívelégtelenség jelentkezett.</w:t>
      </w:r>
      <w:r w:rsidR="00471C90">
        <w:rPr>
          <w:rStyle w:val="Hiperhivatkozs"/>
          <w:color w:val="000000"/>
          <w:sz w:val="22"/>
          <w:u w:val="none"/>
        </w:rPr>
        <w:t xml:space="preserve"> </w:t>
      </w:r>
    </w:p>
    <w:p w14:paraId="77E2AD94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4E2A0133" w14:textId="685727D1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>Érbetegségek</w:t>
      </w:r>
    </w:p>
    <w:p w14:paraId="3C7CD3E0" w14:textId="729F7D93" w:rsidR="00B42F4D" w:rsidRPr="00F372B2" w:rsidRDefault="0029390F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</w:rPr>
      </w:pPr>
      <w:r w:rsidRPr="00F372B2">
        <w:rPr>
          <w:rStyle w:val="Hiperhivatkozs"/>
          <w:color w:val="000000"/>
          <w:sz w:val="22"/>
        </w:rPr>
        <w:lastRenderedPageBreak/>
        <w:t>Hypertonia</w:t>
      </w:r>
      <w:r w:rsidR="00C92F76" w:rsidRPr="00F372B2">
        <w:rPr>
          <w:rStyle w:val="Hiperhivatkozs"/>
          <w:color w:val="000000"/>
          <w:sz w:val="22"/>
        </w:rPr>
        <w:t xml:space="preserve"> </w:t>
      </w:r>
    </w:p>
    <w:p w14:paraId="1BD903C1" w14:textId="29010409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A hypertoniát nagyon gyakori mellékhatásként jelentették a klinikai vizsgálatok során. A hypertoniát tapasztaló betegek kb. 2,7%-ánál csökkentették a szunitinib dózisát, vagy az alkalmazását átmenetileg szüneteltették. Egyik betegnél sem kellett a szunitinib alkalmazását tartósan abbahagyni. Súlyos, 200 Hgmm feletti systolés vagy 110 Hgmm feletti diastolés hypertonia a szolid tumorokban szenvedő betegek 4,7%-ánál fordult elő. Hypertoniát jelentettek előzőleg nem kezelt MRCC-betegek kb. 33,9%-ánál a szunitinib-csoportban, az IFN-α-kezelés alatt álló betegek 3,6%-ával szemben. Súlyos hypertonia a szunitinibet kapó, </w:t>
      </w:r>
      <w:r w:rsidR="0029390F">
        <w:rPr>
          <w:rStyle w:val="Hiperhivatkozs"/>
          <w:color w:val="000000"/>
          <w:sz w:val="22"/>
          <w:u w:val="none"/>
        </w:rPr>
        <w:t xml:space="preserve">előzőleg </w:t>
      </w:r>
      <w:r>
        <w:rPr>
          <w:rStyle w:val="Hiperhivatkozs"/>
          <w:color w:val="000000"/>
          <w:sz w:val="22"/>
          <w:u w:val="none"/>
        </w:rPr>
        <w:t xml:space="preserve">kezelésben nem részesülő a betegek 12%-ánál, valamint az IFN-α-kezelést kapó betegek &lt;1%-ánál fordult elő. Egy III. fázisú pNET vizsgálatban a szunitinibet kapó betegek 26,5%-ánál, a placebót kapó betegek 4,9%-ánál </w:t>
      </w:r>
      <w:r w:rsidR="0029390F">
        <w:rPr>
          <w:rStyle w:val="Hiperhivatkozs"/>
          <w:color w:val="000000"/>
          <w:sz w:val="22"/>
          <w:u w:val="none"/>
        </w:rPr>
        <w:t>jelentettek</w:t>
      </w:r>
      <w:r>
        <w:rPr>
          <w:rStyle w:val="Hiperhivatkozs"/>
          <w:color w:val="000000"/>
          <w:sz w:val="22"/>
          <w:u w:val="none"/>
        </w:rPr>
        <w:t xml:space="preserve"> hypertoniá</w:t>
      </w:r>
      <w:r w:rsidR="0029390F">
        <w:rPr>
          <w:rStyle w:val="Hiperhivatkozs"/>
          <w:color w:val="000000"/>
          <w:sz w:val="22"/>
          <w:u w:val="none"/>
        </w:rPr>
        <w:t>t</w:t>
      </w:r>
      <w:r>
        <w:rPr>
          <w:rStyle w:val="Hiperhivatkozs"/>
          <w:color w:val="000000"/>
          <w:sz w:val="22"/>
          <w:u w:val="none"/>
        </w:rPr>
        <w:t>. Súlyos hypertoniá</w:t>
      </w:r>
      <w:r w:rsidR="0029390F">
        <w:rPr>
          <w:rStyle w:val="Hiperhivatkozs"/>
          <w:color w:val="000000"/>
          <w:sz w:val="22"/>
          <w:u w:val="none"/>
        </w:rPr>
        <w:t>ról</w:t>
      </w:r>
      <w:r>
        <w:rPr>
          <w:rStyle w:val="Hiperhivatkozs"/>
          <w:color w:val="000000"/>
          <w:sz w:val="22"/>
          <w:u w:val="none"/>
        </w:rPr>
        <w:t xml:space="preserve"> a szunitinibet kapó betegek 10%-ánál, míg a placebót kapó betegek 3%-ánál </w:t>
      </w:r>
      <w:r w:rsidR="0029390F">
        <w:rPr>
          <w:rStyle w:val="Hiperhivatkozs"/>
          <w:color w:val="000000"/>
          <w:sz w:val="22"/>
          <w:u w:val="none"/>
        </w:rPr>
        <w:t>számoltak be</w:t>
      </w:r>
      <w:r>
        <w:rPr>
          <w:rStyle w:val="Hiperhivatkozs"/>
          <w:color w:val="000000"/>
          <w:sz w:val="22"/>
          <w:u w:val="none"/>
        </w:rPr>
        <w:t xml:space="preserve">. </w:t>
      </w:r>
    </w:p>
    <w:p w14:paraId="6F71D29C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7CA9A028" w14:textId="77777777" w:rsidR="00B42F4D" w:rsidRPr="00F372B2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u w:val="none"/>
        </w:rPr>
      </w:pPr>
      <w:r w:rsidRPr="00F372B2">
        <w:rPr>
          <w:rStyle w:val="Hiperhivatkozs"/>
          <w:color w:val="000000"/>
          <w:sz w:val="22"/>
        </w:rPr>
        <w:t>Vénás thromboemboliás események</w:t>
      </w:r>
      <w:r w:rsidRPr="00F372B2">
        <w:rPr>
          <w:rStyle w:val="Hiperhivatkozs"/>
          <w:color w:val="000000"/>
          <w:sz w:val="22"/>
          <w:u w:val="none"/>
        </w:rPr>
        <w:t xml:space="preserve"> </w:t>
      </w:r>
    </w:p>
    <w:p w14:paraId="1272178B" w14:textId="0326861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A klinikai vizsgálatok, köztük a GIST és az RCC vizsgálatai során szunitinib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 xml:space="preserve">kezelésben részesülő, szolid tumoros betegek kb. 1,0%-ánál jelentettek kezeléssel összefüggő vénás thromboemboliás eseményeket. </w:t>
      </w:r>
    </w:p>
    <w:p w14:paraId="3DFDF076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51FEA4D9" w14:textId="278CD970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A GIST III. fázisú vizsgálatában 7, szunitinib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>kezelésben részesülő betegnél (3%) fordult elő vénás thromboemboliás esemény, a placebocsoportban pedig egy betegnél sem. A 7 eset közül 5 volt 3-as fokozatú és 2 volt 1-es vagy 2-es fokozatú mélyvénás thrombosis (MVT).</w:t>
      </w:r>
      <w:r w:rsidR="00471C90">
        <w:rPr>
          <w:rStyle w:val="Hiperhivatkozs"/>
          <w:color w:val="000000"/>
          <w:sz w:val="22"/>
          <w:u w:val="none"/>
        </w:rPr>
        <w:t xml:space="preserve"> </w:t>
      </w:r>
      <w:r>
        <w:rPr>
          <w:rStyle w:val="Hiperhivatkozs"/>
          <w:color w:val="000000"/>
          <w:sz w:val="22"/>
          <w:u w:val="none"/>
        </w:rPr>
        <w:t xml:space="preserve">Ezen 7, GIST-ben szenvedő beteg közül 4 beteg hagyta abba a kezelést a mélyvénás thrombosis első észlelésekor. </w:t>
      </w:r>
    </w:p>
    <w:p w14:paraId="31070BB3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765896F5" w14:textId="2704A15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A</w:t>
      </w:r>
      <w:r w:rsidR="0029390F">
        <w:rPr>
          <w:rStyle w:val="Hiperhivatkozs"/>
          <w:color w:val="000000"/>
          <w:sz w:val="22"/>
          <w:u w:val="none"/>
        </w:rPr>
        <w:t xml:space="preserve">z előzőleg </w:t>
      </w:r>
      <w:r>
        <w:rPr>
          <w:rStyle w:val="Hiperhivatkozs"/>
          <w:color w:val="000000"/>
          <w:sz w:val="22"/>
          <w:u w:val="none"/>
        </w:rPr>
        <w:t xml:space="preserve">nem kezelt MRCC III. fázisú vizsgálatában 13 szunitinibbel kezelt betegnél (3%), a citokinrefrakter MRCC 2 vizsgálatában pedig 4 betegnél (2%) észleltek vénás thromboemboliás eseményt. Ezen betegek közül 9-nek volt tüdőembóliája: 1-nek 2-es, 8-nak 4-es fokozatú. Ezen betegek közül nyolcnak volt mélyvénás thrombosisa: 1-nek 1-es fokozatú, 2-nek 2-es fokozatú, 4-nek 3-as fokozatú és 1-nek 4-es fokozatú. A citokinrefrakter MRCC vizsgálatban egy tüdőembóliás betegnél szakították meg az adagolást. </w:t>
      </w:r>
    </w:p>
    <w:p w14:paraId="3FA43967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1A3AFCC3" w14:textId="77AE58CC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Az IFN-α-kezelésben részesülő, </w:t>
      </w:r>
      <w:r w:rsidR="0029390F">
        <w:rPr>
          <w:rStyle w:val="Hiperhivatkozs"/>
          <w:color w:val="000000"/>
          <w:sz w:val="22"/>
          <w:u w:val="none"/>
        </w:rPr>
        <w:t xml:space="preserve">előzőleg </w:t>
      </w:r>
      <w:r>
        <w:rPr>
          <w:rStyle w:val="Hiperhivatkozs"/>
          <w:color w:val="000000"/>
          <w:sz w:val="22"/>
          <w:u w:val="none"/>
        </w:rPr>
        <w:t xml:space="preserve">nem kezelt MRCC betegeknél 6 (2%) vénás thromboemboliás esemény jelentkezett. Egy betegnek (&lt;1%) 3-as fokozatú mélyvénás thrombosisa volt, 5 betegnek (1%) volt tüdőemboliája, amelyek mindegyike 4-es fokozatú volt. </w:t>
      </w:r>
    </w:p>
    <w:p w14:paraId="63FF7E3C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5B9AA2E1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A III. fázisú pNET vizsgálatban a szunitinib-karon 1 betegnél (1,2%), a placebokaron pedig 5 betegnél (6,1%) jelentettek vénás thromboemboliás eseményt. A placebót kapó betegek közül kettőnél alakult ki mélyvénás thrombosis: az egyiknél 2-es fokozatú, a másiknál 3-as fokozatú. </w:t>
      </w:r>
    </w:p>
    <w:p w14:paraId="56677ED5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5B799D33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Halálos kimenetelű eseteket a GIST, az MRCC és a pNET törzskönyvezési célú vizsgálatokban nem jelentettek. A forgalomba hozatalt követően megfigyeltek halálos kimenetelű eseteket. </w:t>
      </w:r>
    </w:p>
    <w:p w14:paraId="639095FA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3CD6799A" w14:textId="14CBCB6F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Pulmonalis embolia eseteit figyelték meg azoknak a GIST-ben szenvedő betegeknek a kb. 3,1%-ánál, és azoknak az MRCC-ben szenvedő betegeknek a kb. 1,2%-ánál, akik a III. fázisú vizsgálatokban szunitinib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 xml:space="preserve">kezelésben részesültek. Nem számoltak be pulmonalis emboliáról olyan pNET-es betegeknél, akik a III. fázisú vizsgálatban szunitinibet kaptak. Ritka esetekben halálos kimenetelű eseteket figyeltek meg a forgalomba hozatalt követő megfigyelések során. </w:t>
      </w:r>
    </w:p>
    <w:p w14:paraId="0B03E45D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2F5C67FA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Azokat a betegeket, akiknek az elmúlt 12 hónapban pulmonalis emboliájuk volt, kizárták a szunitinibbal végzett klinikai vizsgálatokból. </w:t>
      </w:r>
    </w:p>
    <w:p w14:paraId="070DB166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335B45C9" w14:textId="0740785D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A törzskönyvezési célú III. fázisú vizsgálatokban szunitinibet kapott betegek körében pulmonalis eseményeket (azaz dyspnoét, mellkasi folyadékgyülemet, pulmonalis emboliát vagy tüdőödémát) jelentettek a GIST-ben szenvedő betegek kb. 17,8%-ánál, az MRCC-ben szenvedő betegek kb. 26,7%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 xml:space="preserve">ánál és a pNET-ben szenvedő betegek 12%-ánál. </w:t>
      </w:r>
    </w:p>
    <w:p w14:paraId="4F90FE8B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08820220" w14:textId="51ABFA00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lastRenderedPageBreak/>
        <w:t>Klinikai vizsgálatok során szunitinib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 xml:space="preserve">kezelésben részesülő szolid tumoros betegségben </w:t>
      </w:r>
      <w:r>
        <w:rPr>
          <w:rStyle w:val="Hiperhivatkozs"/>
          <w:color w:val="000000"/>
          <w:sz w:val="22"/>
          <w:u w:val="none"/>
          <w:cs/>
        </w:rPr>
        <w:t xml:space="preserve">– </w:t>
      </w:r>
      <w:r w:rsidR="0029390F">
        <w:rPr>
          <w:rStyle w:val="Hiperhivatkozs"/>
          <w:color w:val="000000"/>
          <w:sz w:val="22"/>
          <w:u w:val="none"/>
        </w:rPr>
        <w:t xml:space="preserve">ideértve a </w:t>
      </w:r>
      <w:r>
        <w:rPr>
          <w:rStyle w:val="Hiperhivatkozs"/>
          <w:color w:val="000000"/>
          <w:sz w:val="22"/>
          <w:u w:val="none"/>
        </w:rPr>
        <w:t>GIST-e</w:t>
      </w:r>
      <w:r w:rsidR="0029390F">
        <w:rPr>
          <w:rStyle w:val="Hiperhivatkozs"/>
          <w:color w:val="000000"/>
          <w:sz w:val="22"/>
          <w:u w:val="none"/>
        </w:rPr>
        <w:t>t</w:t>
      </w:r>
      <w:r>
        <w:rPr>
          <w:rStyle w:val="Hiperhivatkozs"/>
          <w:color w:val="000000"/>
          <w:sz w:val="22"/>
          <w:u w:val="none"/>
        </w:rPr>
        <w:t xml:space="preserve"> és </w:t>
      </w:r>
      <w:r w:rsidR="0029390F">
        <w:rPr>
          <w:rStyle w:val="Hiperhivatkozs"/>
          <w:color w:val="000000"/>
          <w:sz w:val="22"/>
          <w:u w:val="none"/>
        </w:rPr>
        <w:t xml:space="preserve">az </w:t>
      </w:r>
      <w:r>
        <w:rPr>
          <w:rStyle w:val="Hiperhivatkozs"/>
          <w:color w:val="000000"/>
          <w:sz w:val="22"/>
          <w:u w:val="none"/>
        </w:rPr>
        <w:t>MRCC-</w:t>
      </w:r>
      <w:r w:rsidR="0029390F">
        <w:rPr>
          <w:rStyle w:val="Hiperhivatkozs"/>
          <w:color w:val="000000"/>
          <w:sz w:val="22"/>
          <w:u w:val="none"/>
        </w:rPr>
        <w:t>t is</w:t>
      </w:r>
      <w:r>
        <w:rPr>
          <w:rStyle w:val="Hiperhivatkozs"/>
          <w:color w:val="000000"/>
          <w:sz w:val="22"/>
          <w:u w:val="none"/>
        </w:rPr>
        <w:t xml:space="preserve"> </w:t>
      </w:r>
      <w:r>
        <w:rPr>
          <w:rStyle w:val="Hiperhivatkozs"/>
          <w:color w:val="000000"/>
          <w:sz w:val="22"/>
          <w:u w:val="none"/>
          <w:cs/>
        </w:rPr>
        <w:t xml:space="preserve">– </w:t>
      </w:r>
      <w:r>
        <w:rPr>
          <w:rStyle w:val="Hiperhivatkozs"/>
          <w:color w:val="000000"/>
          <w:sz w:val="22"/>
          <w:u w:val="none"/>
        </w:rPr>
        <w:t xml:space="preserve">szenvedő betegek kb. 22,2%-ánál tapasztaltak pulmonalis eseményt. </w:t>
      </w:r>
    </w:p>
    <w:p w14:paraId="7E98411D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3206FE48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 xml:space="preserve">Emésztőrendszeri betegségek és tünetek </w:t>
      </w:r>
    </w:p>
    <w:p w14:paraId="5155D6AA" w14:textId="767E9391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Pancreatitis nem gyakran (&lt;1%) volt megfigyelhető szunitinib</w:t>
      </w:r>
      <w:r w:rsidR="0029390F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>kezelésben részesülő, GIST-ben vagy MRCC-ben szenvedő betegek</w:t>
      </w:r>
      <w:r w:rsidR="0029390F">
        <w:rPr>
          <w:rStyle w:val="Hiperhivatkozs"/>
          <w:color w:val="000000"/>
          <w:sz w:val="22"/>
          <w:u w:val="none"/>
        </w:rPr>
        <w:t>nél</w:t>
      </w:r>
      <w:r>
        <w:rPr>
          <w:rStyle w:val="Hiperhivatkozs"/>
          <w:color w:val="000000"/>
          <w:sz w:val="22"/>
          <w:u w:val="none"/>
        </w:rPr>
        <w:t xml:space="preserve">. A III. fázisú pNET vizsgálatban nem jelentettek kezeléssel összefüggő pancreatitist (lásd 4.4 pont). </w:t>
      </w:r>
    </w:p>
    <w:p w14:paraId="65190EAC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0D54D14D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A III. fázisú GIST vizsgálatban a placebót kapó betegek 0,98%-ánál fordult elő halálos kimenetelű gastrointestinalis vérzés. </w:t>
      </w:r>
    </w:p>
    <w:p w14:paraId="09EE3145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11E4E3AF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 xml:space="preserve">Máj- és epebetegségek, illetve tünetek </w:t>
      </w:r>
    </w:p>
    <w:p w14:paraId="14FF6C38" w14:textId="42B2F2B0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A májműködés zavar</w:t>
      </w:r>
      <w:r w:rsidR="00935A5E">
        <w:rPr>
          <w:rStyle w:val="Hiperhivatkozs"/>
          <w:color w:val="000000"/>
          <w:sz w:val="22"/>
          <w:u w:val="none"/>
        </w:rPr>
        <w:t>át jelentették</w:t>
      </w:r>
      <w:r>
        <w:rPr>
          <w:rStyle w:val="Hiperhivatkozs"/>
          <w:color w:val="000000"/>
          <w:sz w:val="22"/>
          <w:u w:val="none"/>
        </w:rPr>
        <w:t>, melynek része lehet a kóros májfunkciós vizsgálati eredmény, a hepatitis vagy a májelégtelenség (lásd 4.4 pont).</w:t>
      </w:r>
      <w:r w:rsidR="00471C90">
        <w:rPr>
          <w:rStyle w:val="Hiperhivatkozs"/>
          <w:color w:val="000000"/>
          <w:sz w:val="22"/>
          <w:u w:val="none"/>
        </w:rPr>
        <w:t xml:space="preserve"> </w:t>
      </w:r>
    </w:p>
    <w:p w14:paraId="25E76A4D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39E5CA2A" w14:textId="3F51AB43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>A bőr és a bőr</w:t>
      </w:r>
      <w:r w:rsidR="00935A5E">
        <w:rPr>
          <w:rStyle w:val="Hiperhivatkozs"/>
          <w:i/>
          <w:color w:val="000000"/>
          <w:sz w:val="22"/>
          <w:u w:val="none"/>
        </w:rPr>
        <w:t xml:space="preserve"> </w:t>
      </w:r>
      <w:r>
        <w:rPr>
          <w:rStyle w:val="Hiperhivatkozs"/>
          <w:i/>
          <w:color w:val="000000"/>
          <w:sz w:val="22"/>
          <w:u w:val="none"/>
        </w:rPr>
        <w:t xml:space="preserve">alatti szövet betegségei és tünetei </w:t>
      </w:r>
    </w:p>
    <w:p w14:paraId="3F897DF5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Beszámoltak pyoderma gangrenosum eseteiről, amely a szunitinib elhagyását követően általában reverzibilis volt (lásd még 4.4 pont). </w:t>
      </w:r>
    </w:p>
    <w:p w14:paraId="18B1EB89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7CA59DD7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 xml:space="preserve">A csont- és izomrendszer, valamint a kötőszövet betegségei és tünetei </w:t>
      </w:r>
    </w:p>
    <w:p w14:paraId="78A52E59" w14:textId="661515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Myopathia és/vagy rhabdomyolysis eseteit jelentették, melyek némelyike akut veseelégtelenséggel járt. Az izomtoxicitás tüneteit és jeleit mutató betegeket a bevett klinikai gyakorlatnak megfelelően kell kezelni (lásd 4.4 pont). </w:t>
      </w:r>
    </w:p>
    <w:p w14:paraId="73F0063D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5A2C4061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Beszámoltak fistulaképződésről, amely néha tumornecrosissal és regresszióval társult, egyes esetekben azonban halálos kimenetelű volt (lásd 4.4 pont). </w:t>
      </w:r>
    </w:p>
    <w:p w14:paraId="6EAEAA91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3DD27B01" w14:textId="51E553AA" w:rsidR="00B42F4D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u w:val="none"/>
        </w:rPr>
      </w:pPr>
      <w:r>
        <w:rPr>
          <w:rStyle w:val="Hiperhivatkozs"/>
          <w:color w:val="000000"/>
          <w:sz w:val="22"/>
          <w:u w:val="none"/>
        </w:rPr>
        <w:t>Szunitinibbel kezelt betegeknél ONJ eseteit jelentették, melyek többsége azoknál a betegeknél jelentkezett, akiknél fennálltak az ONJ ismert kockázati tényezői, különösen az intravénás biszfoszfonát</w:t>
      </w:r>
      <w:r w:rsidR="00935A5E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 xml:space="preserve">expozíció és/vagy invazív fogászati beavatkozást igénylő fogászati betegség az anamnézisben (lásd még 4.4 pont). </w:t>
      </w:r>
    </w:p>
    <w:p w14:paraId="48D51AD5" w14:textId="32734215" w:rsidR="007262C6" w:rsidRDefault="007262C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u w:val="none"/>
        </w:rPr>
      </w:pPr>
    </w:p>
    <w:p w14:paraId="006572B6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i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 xml:space="preserve">Laboratóriumi és egyéb vizsgálatok eredményei </w:t>
      </w:r>
    </w:p>
    <w:p w14:paraId="4EEE6192" w14:textId="10CA7DFB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Az ajánlott humán dózisnál magasabb dózisokkal végzett nem klinikai (</w:t>
      </w:r>
      <w:r>
        <w:rPr>
          <w:rStyle w:val="Hiperhivatkozs"/>
          <w:i/>
          <w:color w:val="000000"/>
          <w:sz w:val="22"/>
          <w:u w:val="none"/>
        </w:rPr>
        <w:t>in vitro</w:t>
      </w:r>
      <w:r>
        <w:rPr>
          <w:rStyle w:val="Hiperhivatkozs"/>
          <w:color w:val="000000"/>
          <w:sz w:val="22"/>
          <w:u w:val="none"/>
        </w:rPr>
        <w:t xml:space="preserve"> és </w:t>
      </w:r>
      <w:r>
        <w:rPr>
          <w:rStyle w:val="Hiperhivatkozs"/>
          <w:i/>
          <w:color w:val="000000"/>
          <w:sz w:val="22"/>
          <w:u w:val="none"/>
        </w:rPr>
        <w:t>in vivo</w:t>
      </w:r>
      <w:r>
        <w:rPr>
          <w:rStyle w:val="Hiperhivatkozs"/>
          <w:color w:val="000000"/>
          <w:sz w:val="22"/>
          <w:u w:val="none"/>
        </w:rPr>
        <w:t>) vizsgálatok adatai azt mutatták, hogy a szunitinibnek a cardialis akciós potenciál repolarizációs folyamatát gátló hatása van (pl. a QT-szakasz megnyúlása).</w:t>
      </w:r>
      <w:r w:rsidR="00471C90">
        <w:rPr>
          <w:rStyle w:val="Hiperhivatkozs"/>
          <w:color w:val="000000"/>
          <w:sz w:val="22"/>
          <w:u w:val="none"/>
        </w:rPr>
        <w:t xml:space="preserve"> </w:t>
      </w:r>
    </w:p>
    <w:p w14:paraId="2A21F363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7382DA8E" w14:textId="7865E67E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A 450 szolid tumoros beteg 0,5%-ánál számoltak be arról, hogy a QTc-szakasz 500 ms fölé emelkedett, és 1,1%-uknál következett be 60 ms-ot meghaladó változás a kiinduláshoz képest.</w:t>
      </w:r>
      <w:r w:rsidR="00935A5E">
        <w:rPr>
          <w:rStyle w:val="Hiperhivatkozs"/>
          <w:color w:val="000000"/>
          <w:sz w:val="22"/>
          <w:u w:val="none"/>
        </w:rPr>
        <w:t xml:space="preserve"> Mindkét paraméter potenciálisan jelentős változásnak minősül.</w:t>
      </w:r>
      <w:r>
        <w:rPr>
          <w:rStyle w:val="Hiperhivatkozs"/>
          <w:color w:val="000000"/>
          <w:sz w:val="22"/>
          <w:u w:val="none"/>
        </w:rPr>
        <w:t xml:space="preserve"> A terápiás koncentráció körülbelül kétszeresénél a szunitinibről kimutatták, hogy megnyújtja a QTcF-szakaszt (Fridericia szerint korrigált QT-szakasz). </w:t>
      </w:r>
    </w:p>
    <w:p w14:paraId="7E075F43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7BDE79E8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A QTc-távolság megnyúlását egy klinikai vizsgálatban tanulmányozták 24 előrehaladott malignus betegségben szenvedő, 20</w:t>
      </w:r>
      <w:r>
        <w:rPr>
          <w:rStyle w:val="Hiperhivatkozs"/>
          <w:color w:val="000000"/>
          <w:sz w:val="22"/>
          <w:u w:val="none"/>
          <w:cs/>
        </w:rPr>
        <w:t>–</w:t>
      </w:r>
      <w:r>
        <w:rPr>
          <w:rStyle w:val="Hiperhivatkozs"/>
          <w:color w:val="000000"/>
          <w:sz w:val="22"/>
          <w:u w:val="none"/>
        </w:rPr>
        <w:t xml:space="preserve">87 év közötti betegnél. A vizsgálat eredményei azt igazolták, hogy a szunitinib hatással volt a QTc-szakaszra (meghatározása: a placebóval korrigált változás átlaga &gt;10 ms 90%-os konfidencia intervallummal (CI), a felső határérték &gt;15 ms) a terápiás koncentráció mellett (a 3. napon) az egy napon belüli kiindulási érték korrekciós módszert alkalmazva, valamint a terápiásnál magasabb koncentrációk mellett (a 9. napon) mindkét kiindulási érték szerinti korrekciós módszert alkalmazva. Egy betegnél sem volt 500 ms-nál hosszabb QTc-érték. Bár a 3. napon, 24 órával az alkalmazást követően (azaz a javasolt 50 mg-os kezdő dózist követően várható terápiás plazmakoncentrációnál) a vizsgálat megkezdésétől számított egy napon belüli korrekciós eljárással a QTcF-távolságra kifejtett hatást észleltek, ennek a klinikai jelentősége nem tisztázott. </w:t>
      </w:r>
    </w:p>
    <w:p w14:paraId="20F7C121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5BB8CE9A" w14:textId="66B7615D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Mind a terápiás, mind a terápiásnál magasabb dózisoknak megfelelő időben átfogó sorozatos EKG-értékelést használva, a beválogatás szerinti (</w:t>
      </w:r>
      <w:r w:rsidRPr="00F372B2">
        <w:rPr>
          <w:rStyle w:val="Hiperhivatkozs"/>
          <w:i/>
          <w:color w:val="000000"/>
          <w:sz w:val="22"/>
          <w:u w:val="none"/>
        </w:rPr>
        <w:t>intent-to-treat</w:t>
      </w:r>
      <w:r>
        <w:rPr>
          <w:rStyle w:val="Hiperhivatkozs"/>
          <w:color w:val="000000"/>
          <w:sz w:val="22"/>
          <w:u w:val="none"/>
        </w:rPr>
        <w:t xml:space="preserve">, ITT) betegcsoport betegei közül egynél </w:t>
      </w:r>
      <w:r>
        <w:rPr>
          <w:rStyle w:val="Hiperhivatkozs"/>
          <w:color w:val="000000"/>
          <w:sz w:val="22"/>
          <w:u w:val="none"/>
        </w:rPr>
        <w:lastRenderedPageBreak/>
        <w:t>sem figyeltek meg súlyosnak ítélt QTc-távolságmegnyúlást (azaz a nemkívánatos események általános terminológiai kritériumai [Common Terminology Criteria for Adverse Events, CTCAE] 3.0 verziója szerinti 3-as fokozatút vagy annál súlyosabbat).</w:t>
      </w:r>
      <w:r w:rsidR="00471C90">
        <w:rPr>
          <w:rStyle w:val="Hiperhivatkozs"/>
          <w:color w:val="000000"/>
          <w:sz w:val="22"/>
          <w:u w:val="none"/>
        </w:rPr>
        <w:t xml:space="preserve"> </w:t>
      </w:r>
    </w:p>
    <w:p w14:paraId="5BDACBF3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73CF1998" w14:textId="0B5AE5B0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Terápiás plazmakoncentráció esetén a maximális QTcF-szakasz </w:t>
      </w:r>
      <w:r w:rsidR="00935A5E">
        <w:rPr>
          <w:rStyle w:val="Hiperhivatkozs"/>
          <w:color w:val="000000"/>
          <w:sz w:val="22"/>
          <w:u w:val="none"/>
        </w:rPr>
        <w:t xml:space="preserve">(Frederica szerinti korrekció) </w:t>
      </w:r>
      <w:r>
        <w:rPr>
          <w:rStyle w:val="Hiperhivatkozs"/>
          <w:color w:val="000000"/>
          <w:sz w:val="22"/>
          <w:u w:val="none"/>
        </w:rPr>
        <w:t xml:space="preserve">átlagos változása a kiindulási értékhez képest 9 ms volt (90%-os CI: 15,1 ms). A terápiás dózis körülbelül kétszeresénél a QTcF-szakasz maximális változása a kiindulási értékhez képest 15,4 ms volt (90%-os CI: 22,4 ms). A pozitív kontrollként alkalmazott moxifloxacin (400 mg) 5,6 ms-os átlagos maximális QTcF-távolságváltozást mutatott a kiindulási értékhez képest. Egyik betegnél sem észleltek a QTc szakaszra gyakorolt, 2-es fokozatúnál (CTCAE 3.0 verziója szerint) nagyobb hatást (lásd 4.4 pont). </w:t>
      </w:r>
    </w:p>
    <w:p w14:paraId="6B15C0C5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3C913CC7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</w:rPr>
      </w:pPr>
      <w:r>
        <w:rPr>
          <w:rStyle w:val="Hiperhivatkozs"/>
          <w:color w:val="000000"/>
          <w:sz w:val="22"/>
        </w:rPr>
        <w:t xml:space="preserve">Hosszú távú biztonságosság MRCC esetén </w:t>
      </w:r>
    </w:p>
    <w:p w14:paraId="2AD577D5" w14:textId="301FEEC4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A szunitinib hosszú távú biztonságosságát MRCC-s betegek esetén 9 befejezett klinikai vizsgálatban elemezték, amelyeket első vonalbeli, bevacizumabbal szemben refrakter és citokinrefrakter kezeléssel folytattak le 5739 betegen, akik közül 807-et (14%) legalább 2 évig kezeltek, egészen 6 évig terjedően. A hosszú távú szunitinib</w:t>
      </w:r>
      <w:r w:rsidR="00935A5E">
        <w:rPr>
          <w:rStyle w:val="Hiperhivatkozs"/>
          <w:color w:val="000000"/>
          <w:sz w:val="22"/>
          <w:u w:val="none"/>
        </w:rPr>
        <w:t>-</w:t>
      </w:r>
      <w:r>
        <w:rPr>
          <w:rStyle w:val="Hiperhivatkozs"/>
          <w:color w:val="000000"/>
          <w:sz w:val="22"/>
          <w:u w:val="none"/>
        </w:rPr>
        <w:t>kezelésben részesülő 807 betegnél a kezeléssel összefüggő nemkívánatos események (treatment-related adverse events, TRAE) többsége a kezelés elején, az első 6 hónap</w:t>
      </w:r>
      <w:r>
        <w:rPr>
          <w:rStyle w:val="Hiperhivatkozs"/>
          <w:color w:val="000000"/>
          <w:sz w:val="22"/>
          <w:u w:val="none"/>
          <w:cs/>
        </w:rPr>
        <w:t>–</w:t>
      </w:r>
      <w:r>
        <w:rPr>
          <w:rStyle w:val="Hiperhivatkozs"/>
          <w:color w:val="000000"/>
          <w:sz w:val="22"/>
          <w:u w:val="none"/>
        </w:rPr>
        <w:t xml:space="preserve">1 év során jelentkezett, majd előfordulási gyakoriságuk stabil maradt, vagy az idő előrehaladtával gyakoriságuk csökkent; ez alól kivétel volt a hypothyreosis, amelynek a gyakorisága az idő előrehaladtával fokozatosan emelkedett és újabb esetek jelentkeztek a 6 éves időszak alatt. Úgy tűnt, hogy a szunitinibbel folytatott hosszú távú kezeléshez nem társultak új típusú, kezeléssel összefüggő nemkívánatos események. </w:t>
      </w:r>
    </w:p>
    <w:p w14:paraId="5A63028A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23655202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</w:rPr>
      </w:pPr>
      <w:r>
        <w:rPr>
          <w:rStyle w:val="Hiperhivatkozs"/>
          <w:color w:val="000000"/>
          <w:sz w:val="22"/>
        </w:rPr>
        <w:t xml:space="preserve">Gyermekek és serdülők </w:t>
      </w:r>
    </w:p>
    <w:p w14:paraId="0107E375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A szunitinib biztonságossági profilja egy I. fázisú dóziseszkalációs vizsgálat, egy II. fázisú nyílt vizsgálat, egy I/II. fázisú egykarú vizsgálat, valamint az alább leírt publikációk adataiból származik. </w:t>
      </w:r>
    </w:p>
    <w:p w14:paraId="26ADB2FB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70B818DB" w14:textId="007E660C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i/>
          <w:color w:val="000000"/>
          <w:sz w:val="22"/>
          <w:u w:val="none"/>
        </w:rPr>
        <w:t>Per os</w:t>
      </w:r>
      <w:r>
        <w:rPr>
          <w:rStyle w:val="Hiperhivatkozs"/>
          <w:color w:val="000000"/>
          <w:sz w:val="22"/>
          <w:u w:val="none"/>
        </w:rPr>
        <w:t xml:space="preserve"> alkalmazott szunitinibbel egy I. fázisú dóziseszkalációs vizsgálatot folytattak le 35 refrakter szolid tumorral rendelkező beteg részvételével, akik közül 30 gyermek (3</w:t>
      </w:r>
      <w:r>
        <w:rPr>
          <w:rStyle w:val="Hiperhivatkozs"/>
          <w:color w:val="000000"/>
          <w:sz w:val="22"/>
          <w:u w:val="none"/>
          <w:cs/>
        </w:rPr>
        <w:t>–</w:t>
      </w:r>
      <w:r>
        <w:rPr>
          <w:rStyle w:val="Hiperhivatkozs"/>
          <w:color w:val="000000"/>
          <w:sz w:val="22"/>
          <w:u w:val="none"/>
        </w:rPr>
        <w:t>17 éves korú) és 5 fiatal felnőtt (18</w:t>
      </w:r>
      <w:r>
        <w:rPr>
          <w:rStyle w:val="Hiperhivatkozs"/>
          <w:color w:val="000000"/>
          <w:sz w:val="22"/>
          <w:u w:val="none"/>
          <w:cs/>
        </w:rPr>
        <w:t>–</w:t>
      </w:r>
      <w:r>
        <w:rPr>
          <w:rStyle w:val="Hiperhivatkozs"/>
          <w:color w:val="000000"/>
          <w:sz w:val="22"/>
          <w:u w:val="none"/>
        </w:rPr>
        <w:t>21 éves korú) volt, és többségüknél az elsődleges diagnózis agydaganat volt. A vizsgálat minden résztvevője tapasztalt nemkívánatos gyógyszerreakciót, és ezek legtöbbje súlyos volt (</w:t>
      </w:r>
      <w:r>
        <w:rPr>
          <w:rStyle w:val="Hiperhivatkozs"/>
          <w:color w:val="000000"/>
          <w:sz w:val="22"/>
          <w:u w:val="none"/>
          <w:cs/>
        </w:rPr>
        <w:t>≥</w:t>
      </w:r>
      <w:r>
        <w:rPr>
          <w:rStyle w:val="Hiperhivatkozs"/>
          <w:color w:val="000000"/>
          <w:sz w:val="22"/>
          <w:u w:val="none"/>
        </w:rPr>
        <w:t xml:space="preserve">3-as toxicitási fokozat), és magában foglalta a kardiotoxicitást is. A leggyakoribb nemkívánatos gyógyszerreakció a gastrointestinalis (GI) toxicitás, neutropenia, kimerültség és a </w:t>
      </w:r>
      <w:r w:rsidR="00935A5E">
        <w:rPr>
          <w:rStyle w:val="Hiperhivatkozs"/>
          <w:color w:val="000000"/>
          <w:sz w:val="22"/>
          <w:u w:val="none"/>
        </w:rPr>
        <w:t>GP</w:t>
      </w:r>
      <w:r>
        <w:rPr>
          <w:rStyle w:val="Hiperhivatkozs"/>
          <w:color w:val="000000"/>
          <w:sz w:val="22"/>
          <w:u w:val="none"/>
        </w:rPr>
        <w:t>T-érték emelkedése volt. A szívvel kapcsolatos nemkívánatos gyógyszerreakciók kockázata nagyobbnak tűnt a korábban szívbesugárzásnak vagy antraciklinnek kitett gyermek- és serdülőkorú betegeknél, mint azoknál, akik korábban nem találkoztak ezen hatásokkal. Ezeknél az antraciklineknek vagy szívbesugárzásnak korábban ki nem tett gyermek- és serdülőkorú betegeknél megállapították a maximálisan tolerálható dózist (</w:t>
      </w:r>
      <w:r w:rsidRPr="00F372B2">
        <w:rPr>
          <w:rStyle w:val="Hiperhivatkozs"/>
          <w:i/>
          <w:color w:val="000000"/>
          <w:sz w:val="22"/>
          <w:u w:val="none"/>
        </w:rPr>
        <w:t>maximum tolerated dose</w:t>
      </w:r>
      <w:r>
        <w:rPr>
          <w:rStyle w:val="Hiperhivatkozs"/>
          <w:color w:val="000000"/>
          <w:sz w:val="22"/>
          <w:u w:val="none"/>
        </w:rPr>
        <w:t xml:space="preserve">, MTD) (lásd 5.1 pont). </w:t>
      </w:r>
    </w:p>
    <w:p w14:paraId="619E6E73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16000EC4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Egy II. fázisú nyílt vizsgálatot folytattak le 29 recidiváló/progresszív/refrakter magas malignitású gliomával (</w:t>
      </w:r>
      <w:r w:rsidRPr="00F372B2">
        <w:rPr>
          <w:rStyle w:val="Hiperhivatkozs"/>
          <w:i/>
          <w:color w:val="000000"/>
          <w:sz w:val="22"/>
          <w:u w:val="none"/>
        </w:rPr>
        <w:t>high grade glioma</w:t>
      </w:r>
      <w:r>
        <w:rPr>
          <w:rStyle w:val="Hiperhivatkozs"/>
          <w:color w:val="000000"/>
          <w:sz w:val="22"/>
          <w:u w:val="none"/>
        </w:rPr>
        <w:t>, HGG) vagy ependymomával rendelkező beteg részvételével, akik közül 27 gyermek (3</w:t>
      </w:r>
      <w:r>
        <w:rPr>
          <w:rStyle w:val="Hiperhivatkozs"/>
          <w:color w:val="000000"/>
          <w:sz w:val="22"/>
          <w:u w:val="none"/>
          <w:cs/>
        </w:rPr>
        <w:t>–</w:t>
      </w:r>
      <w:r>
        <w:rPr>
          <w:rStyle w:val="Hiperhivatkozs"/>
          <w:color w:val="000000"/>
          <w:sz w:val="22"/>
          <w:u w:val="none"/>
        </w:rPr>
        <w:t>16 éves korú) és 2 fiatal felnőtt (18</w:t>
      </w:r>
      <w:r>
        <w:rPr>
          <w:rStyle w:val="Hiperhivatkozs"/>
          <w:color w:val="000000"/>
          <w:sz w:val="22"/>
          <w:u w:val="none"/>
          <w:cs/>
        </w:rPr>
        <w:t>–</w:t>
      </w:r>
      <w:r>
        <w:rPr>
          <w:rStyle w:val="Hiperhivatkozs"/>
          <w:color w:val="000000"/>
          <w:sz w:val="22"/>
          <w:u w:val="none"/>
        </w:rPr>
        <w:t>19 éves korú) volt. Egyik csoportban sem fordult elő 5. súlyossági fokozatú mellékhatás. A leggyakoribb (</w:t>
      </w:r>
      <w:r>
        <w:rPr>
          <w:rStyle w:val="Hiperhivatkozs"/>
          <w:color w:val="000000"/>
          <w:sz w:val="22"/>
          <w:u w:val="none"/>
          <w:cs/>
        </w:rPr>
        <w:t>≥</w:t>
      </w:r>
      <w:r>
        <w:rPr>
          <w:rStyle w:val="Hiperhivatkozs"/>
          <w:color w:val="000000"/>
          <w:sz w:val="22"/>
          <w:u w:val="none"/>
        </w:rPr>
        <w:t xml:space="preserve">10%) kezeléssel összefüggő nemkívánatos események a neutrofilszám-csökkenés (6 betegnél [20,7%]) és az intracranialis vérzés (3 betegnél [10,3%]) voltak. </w:t>
      </w:r>
    </w:p>
    <w:p w14:paraId="1B4338A4" w14:textId="77777777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 xml:space="preserve"> </w:t>
      </w:r>
    </w:p>
    <w:p w14:paraId="7CE0B155" w14:textId="6D7C0CA3" w:rsidR="00B42F4D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000000"/>
          <w:sz w:val="22"/>
          <w:szCs w:val="22"/>
          <w:u w:val="none"/>
        </w:rPr>
      </w:pPr>
      <w:r>
        <w:rPr>
          <w:rStyle w:val="Hiperhivatkozs"/>
          <w:color w:val="000000"/>
          <w:sz w:val="22"/>
          <w:u w:val="none"/>
        </w:rPr>
        <w:t>Egy I/II. fázisú, egykarú vizsgálatot folytattak le 6 előrehaladott, nem reszekálható GIST-ben szenvedő gyermekgyógyászati (13</w:t>
      </w:r>
      <w:r>
        <w:rPr>
          <w:rStyle w:val="Hiperhivatkozs"/>
          <w:color w:val="000000"/>
          <w:sz w:val="22"/>
          <w:u w:val="none"/>
          <w:cs/>
        </w:rPr>
        <w:t>–</w:t>
      </w:r>
      <w:r>
        <w:rPr>
          <w:rStyle w:val="Hiperhivatkozs"/>
          <w:color w:val="000000"/>
          <w:sz w:val="22"/>
          <w:u w:val="none"/>
        </w:rPr>
        <w:t xml:space="preserve">16 éves korú) beteg részvételével. A leggyakoribb mellékhatások a hasmenés, hányinger, csökkent fehérvérsejtszám, neutropenia és fejfájás voltak, mindegyik 3 beteg (50,0%) esetében, elsődlegesen 1. vagy 2. súlyossági fokozattal. </w:t>
      </w:r>
      <w:r w:rsidR="00935A5E">
        <w:rPr>
          <w:rStyle w:val="Hiperhivatkozs"/>
          <w:color w:val="000000"/>
          <w:sz w:val="22"/>
          <w:u w:val="none"/>
        </w:rPr>
        <w:t>6</w:t>
      </w:r>
      <w:r>
        <w:rPr>
          <w:rStyle w:val="Hiperhivatkozs"/>
          <w:color w:val="000000"/>
          <w:sz w:val="22"/>
          <w:u w:val="none"/>
        </w:rPr>
        <w:t xml:space="preserve"> betegből 4 (66,7%) 3</w:t>
      </w:r>
      <w:r>
        <w:rPr>
          <w:rStyle w:val="Hiperhivatkozs"/>
          <w:color w:val="000000"/>
          <w:sz w:val="22"/>
          <w:u w:val="none"/>
          <w:cs/>
        </w:rPr>
        <w:t>–</w:t>
      </w:r>
      <w:r>
        <w:rPr>
          <w:rStyle w:val="Hiperhivatkozs"/>
          <w:color w:val="000000"/>
          <w:sz w:val="22"/>
          <w:u w:val="none"/>
        </w:rPr>
        <w:t>4. súlyossági fokozatú, kezeléssel összefüggő nemkívánatos eseményt tapasztalt (3. súlyossági fokozatú hypophosphataemia, neutropenia és thrombocytopenia 1</w:t>
      </w:r>
      <w:r w:rsidR="00935A5E">
        <w:rPr>
          <w:rStyle w:val="Hiperhivatkozs"/>
          <w:rFonts w:hint="cs"/>
          <w:color w:val="000000"/>
          <w:sz w:val="22"/>
          <w:u w:val="none"/>
          <w:cs/>
        </w:rPr>
        <w:t>-</w:t>
      </w:r>
      <w:r>
        <w:rPr>
          <w:rStyle w:val="Hiperhivatkozs"/>
          <w:color w:val="000000"/>
          <w:sz w:val="22"/>
          <w:u w:val="none"/>
        </w:rPr>
        <w:t>1 beteg esetében és egy 4. súlyossági fokozatú neutropenia 1 beteg esetében). A vizsgálat során nem számoltak be súlyos nemkívánatos eseményről vagy 5. súlyossági fokozatú nemkívánatos gyógyszerreakcióról. Mind a klinikai vizsgálatban, mind pedig a publikációkban a biztonságossági profil összhangban volt az ismert, felnőttek esetében leírt biztonságossági profillal.</w:t>
      </w:r>
      <w:r w:rsidR="00471C90">
        <w:rPr>
          <w:rStyle w:val="Hiperhivatkozs"/>
          <w:color w:val="000000"/>
          <w:sz w:val="22"/>
          <w:u w:val="none"/>
        </w:rPr>
        <w:t xml:space="preserve"> </w:t>
      </w:r>
    </w:p>
    <w:p w14:paraId="53000E34" w14:textId="77777777" w:rsidR="00B42F4D" w:rsidRPr="00F372B2" w:rsidRDefault="00B42F4D" w:rsidP="00F372B2">
      <w:pPr>
        <w:autoSpaceDE w:val="0"/>
        <w:autoSpaceDN w:val="0"/>
        <w:adjustRightInd w:val="0"/>
        <w:spacing w:line="240" w:lineRule="auto"/>
        <w:jc w:val="left"/>
        <w:rPr>
          <w:rStyle w:val="Hiperhivatkozs"/>
          <w:color w:val="auto"/>
          <w:sz w:val="22"/>
          <w:szCs w:val="22"/>
        </w:rPr>
      </w:pPr>
    </w:p>
    <w:p w14:paraId="442DB256" w14:textId="77777777" w:rsidR="000C6813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>Feltételezett mellékhatások bejelentése</w:t>
      </w:r>
    </w:p>
    <w:p w14:paraId="57A77F3B" w14:textId="77777777" w:rsidR="006F646A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</w:rPr>
      </w:pPr>
      <w:r>
        <w:rPr>
          <w:sz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81F7817" w14:textId="11432322" w:rsidR="000C6813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>Az egészségügyi szakembereket kérjük, hogy jelentsék be a feltételezett mellékhatásokat a</w:t>
      </w:r>
      <w:r w:rsidR="00935A5E">
        <w:rPr>
          <w:sz w:val="22"/>
        </w:rPr>
        <w:t xml:space="preserve"> </w:t>
      </w:r>
      <w:r w:rsidRPr="007941D3">
        <w:rPr>
          <w:sz w:val="22"/>
          <w:highlight w:val="lightGray"/>
        </w:rPr>
        <w:t xml:space="preserve">hatóság részére az </w:t>
      </w:r>
      <w:hyperlink r:id="rId11" w:history="1">
        <w:r w:rsidRPr="007941D3">
          <w:rPr>
            <w:rStyle w:val="Hiperhivatkozs"/>
            <w:sz w:val="22"/>
            <w:highlight w:val="lightGray"/>
          </w:rPr>
          <w:t>V. függelékben</w:t>
        </w:r>
      </w:hyperlink>
      <w:r>
        <w:t xml:space="preserve"> található elérhetőségek valamelyikén keresztül.</w:t>
      </w:r>
    </w:p>
    <w:p w14:paraId="5A4EE4F1" w14:textId="77777777" w:rsidR="00821515" w:rsidRPr="00445457" w:rsidRDefault="00821515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</w:p>
    <w:p w14:paraId="1FB1E28C" w14:textId="5AEEFE9D" w:rsidR="00696603" w:rsidRDefault="0084446C" w:rsidP="00F372B2">
      <w:pPr>
        <w:pStyle w:val="Cmsor2"/>
        <w:numPr>
          <w:ilvl w:val="0"/>
          <w:numId w:val="0"/>
        </w:numPr>
        <w:spacing w:after="0" w:line="240" w:lineRule="auto"/>
        <w:ind w:left="-6"/>
        <w:jc w:val="left"/>
        <w:rPr>
          <w:sz w:val="22"/>
        </w:rPr>
      </w:pPr>
      <w:r>
        <w:rPr>
          <w:sz w:val="22"/>
        </w:rPr>
        <w:t>4.9</w:t>
      </w:r>
      <w:r>
        <w:rPr>
          <w:sz w:val="22"/>
        </w:rPr>
        <w:tab/>
      </w:r>
      <w:r w:rsidR="00C92F76">
        <w:rPr>
          <w:sz w:val="22"/>
        </w:rPr>
        <w:t>Túladagolás</w:t>
      </w:r>
    </w:p>
    <w:p w14:paraId="1DAAC60C" w14:textId="77777777" w:rsidR="0084446C" w:rsidRPr="00F372B2" w:rsidRDefault="0084446C" w:rsidP="00F372B2">
      <w:pPr>
        <w:rPr>
          <w:sz w:val="22"/>
          <w:szCs w:val="22"/>
        </w:rPr>
      </w:pPr>
    </w:p>
    <w:p w14:paraId="064CC50B" w14:textId="4AFDBCC1" w:rsidR="00821515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 </w:t>
      </w:r>
      <w:r w:rsidR="00935A5E">
        <w:rPr>
          <w:sz w:val="22"/>
        </w:rPr>
        <w:t>S</w:t>
      </w:r>
      <w:r>
        <w:rPr>
          <w:sz w:val="22"/>
        </w:rPr>
        <w:t>zunitinib</w:t>
      </w:r>
      <w:r w:rsidR="00935A5E">
        <w:rPr>
          <w:sz w:val="22"/>
        </w:rPr>
        <w:t>-AZR</w:t>
      </w:r>
      <w:r>
        <w:rPr>
          <w:sz w:val="22"/>
        </w:rPr>
        <w:t xml:space="preserve"> túladagolásának nincsen specifikus antidotuma, és a túladagoláskor általános szupportív kezelést kell alkalmazni. Szükség esetén a fel nem szívódott hatóanyagot hánytatással vagy gyomormosással lehet eltávolítani. Beszámoltak túladagolásos esetekről, amelyek némelyike a szunitinib ismert biztonságossági profiljának megfelelő mellékhatásokkal járt.</w:t>
      </w:r>
    </w:p>
    <w:p w14:paraId="4A2FE29B" w14:textId="77777777" w:rsidR="00821515" w:rsidRPr="00445457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2A152336" w14:textId="77777777" w:rsidR="00682767" w:rsidRPr="00445457" w:rsidRDefault="00682767" w:rsidP="00F372B2">
      <w:pPr>
        <w:spacing w:line="240" w:lineRule="auto"/>
        <w:jc w:val="left"/>
        <w:rPr>
          <w:sz w:val="22"/>
          <w:szCs w:val="22"/>
        </w:rPr>
      </w:pPr>
    </w:p>
    <w:p w14:paraId="07F48C5D" w14:textId="7820854F" w:rsidR="00821515" w:rsidRDefault="0084446C" w:rsidP="00F372B2">
      <w:pPr>
        <w:pStyle w:val="Cmsor1"/>
        <w:tabs>
          <w:tab w:val="clear" w:pos="1140"/>
        </w:tabs>
        <w:spacing w:after="0" w:line="240" w:lineRule="auto"/>
        <w:ind w:left="0" w:firstLine="0"/>
        <w:jc w:val="left"/>
        <w:rPr>
          <w:caps/>
          <w:sz w:val="22"/>
        </w:rPr>
      </w:pPr>
      <w:r>
        <w:rPr>
          <w:caps/>
          <w:sz w:val="22"/>
        </w:rPr>
        <w:t>5.</w:t>
      </w:r>
      <w:r>
        <w:rPr>
          <w:caps/>
          <w:sz w:val="22"/>
        </w:rPr>
        <w:tab/>
      </w:r>
      <w:r w:rsidR="00C92F76">
        <w:rPr>
          <w:caps/>
          <w:sz w:val="22"/>
        </w:rPr>
        <w:t>Farmakológiai tulajdonságok</w:t>
      </w:r>
    </w:p>
    <w:p w14:paraId="12A72728" w14:textId="77777777" w:rsidR="0084446C" w:rsidRPr="0084446C" w:rsidRDefault="0084446C" w:rsidP="00F372B2">
      <w:pPr>
        <w:rPr>
          <w:sz w:val="22"/>
          <w:szCs w:val="22"/>
        </w:rPr>
      </w:pPr>
    </w:p>
    <w:p w14:paraId="4BB972AC" w14:textId="6CCA3B73" w:rsidR="00821515" w:rsidRDefault="0084446C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5.1</w:t>
      </w:r>
      <w:r>
        <w:rPr>
          <w:sz w:val="22"/>
        </w:rPr>
        <w:tab/>
      </w:r>
      <w:r w:rsidR="00C92F76">
        <w:rPr>
          <w:sz w:val="22"/>
        </w:rPr>
        <w:t>Farmakodinámiás tulajdonságok</w:t>
      </w:r>
    </w:p>
    <w:p w14:paraId="255796AD" w14:textId="77777777" w:rsidR="0084446C" w:rsidRPr="0084446C" w:rsidRDefault="0084446C" w:rsidP="00F372B2">
      <w:pPr>
        <w:rPr>
          <w:sz w:val="22"/>
          <w:szCs w:val="22"/>
        </w:rPr>
      </w:pPr>
      <w:bookmarkStart w:id="0" w:name="_GoBack"/>
      <w:bookmarkEnd w:id="0"/>
    </w:p>
    <w:p w14:paraId="247114BE" w14:textId="27256837" w:rsidR="00821515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Farmakoterápiás csoport: Daganatellenes szerek, proteinkináz-gátlók; ATC kód: L01</w:t>
      </w:r>
      <w:r w:rsidR="00EC5DDA">
        <w:rPr>
          <w:sz w:val="22"/>
        </w:rPr>
        <w:t>EX</w:t>
      </w:r>
      <w:r>
        <w:rPr>
          <w:sz w:val="22"/>
        </w:rPr>
        <w:t>0</w:t>
      </w:r>
      <w:r w:rsidR="00EC5DDA">
        <w:rPr>
          <w:sz w:val="22"/>
        </w:rPr>
        <w:t>1</w:t>
      </w:r>
    </w:p>
    <w:p w14:paraId="213571DA" w14:textId="77777777" w:rsidR="00D53F3C" w:rsidRPr="00445457" w:rsidRDefault="00D53F3C" w:rsidP="00F372B2">
      <w:pPr>
        <w:spacing w:line="240" w:lineRule="auto"/>
        <w:jc w:val="left"/>
        <w:rPr>
          <w:sz w:val="22"/>
          <w:szCs w:val="22"/>
        </w:rPr>
      </w:pPr>
    </w:p>
    <w:p w14:paraId="1A5D6DD9" w14:textId="77777777" w:rsidR="00D53F3C" w:rsidRPr="00445457" w:rsidRDefault="00C92F76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Hatásmechanizmus </w:t>
      </w:r>
    </w:p>
    <w:p w14:paraId="0D4BD369" w14:textId="48DAA435" w:rsidR="00D53F3C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 szunitinib több, a daganatnövekedésben, a neoangiogenezisben és a daganatáttétek progressziójában szerepet játszó tirozin-kináz receptor gátlója. Kimutatták, hogy a szunitinib gátolja a thrombocyta eredetű növekedési faktor receptorokat (PDGFRα és PDGFRβ), a VEGF receptorokat (VEGFR1, VEGFR2 és VEGFR3), az őssejtfaktor-receptort (KIT), az Fms-szerű tirozin-kináz-3-at (FLT3), a kolóniastimuláló faktor receptorát (CSF-1R) és a glia sejtvonalból származó neurotróp faktor receptorát (RET). A fő metabolit hatékonysága biokémiai és sejtszintű vizsgálómódszerekkel (assay) a szunitinibéhez hasonló. </w:t>
      </w:r>
    </w:p>
    <w:p w14:paraId="30FA11C0" w14:textId="77777777" w:rsidR="00D53F3C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0487CBD8" w14:textId="77777777" w:rsidR="00D53F3C" w:rsidRPr="00445457" w:rsidRDefault="00C92F76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Klinikai hatásosság és biztonságosság </w:t>
      </w:r>
    </w:p>
    <w:p w14:paraId="709CF912" w14:textId="77777777" w:rsidR="00935A5E" w:rsidRDefault="00C92F76" w:rsidP="00F372B2">
      <w:pPr>
        <w:spacing w:line="240" w:lineRule="auto"/>
        <w:jc w:val="left"/>
        <w:rPr>
          <w:sz w:val="22"/>
        </w:rPr>
      </w:pPr>
      <w:r>
        <w:rPr>
          <w:sz w:val="22"/>
        </w:rPr>
        <w:t>A szunitinib klinikai biztonságosságát és hatásosságát imatinibre rezisztens (az imatinib</w:t>
      </w:r>
      <w:r w:rsidR="00935A5E">
        <w:rPr>
          <w:sz w:val="22"/>
        </w:rPr>
        <w:t>-</w:t>
      </w:r>
      <w:r>
        <w:rPr>
          <w:sz w:val="22"/>
        </w:rPr>
        <w:t>kezelés alatt vagy után romló állapotú), illetve az imatinibet nem toleráló (a kezelés alatt annak folytatását kizáró jelentős toxicitást tapasztaló) GIST-ben szenvedő betegek kezelésében, MRCC-ben szenvedő betegek kezelésében, valamint nem reszekálható pNET-ben szenvedő betegek kezelésében vizsgálták.</w:t>
      </w:r>
    </w:p>
    <w:p w14:paraId="6F688786" w14:textId="0125FCEA" w:rsidR="00D53F3C" w:rsidRPr="00445457" w:rsidRDefault="00D53F3C" w:rsidP="00F372B2">
      <w:pPr>
        <w:spacing w:line="240" w:lineRule="auto"/>
        <w:jc w:val="left"/>
        <w:rPr>
          <w:sz w:val="22"/>
          <w:szCs w:val="22"/>
        </w:rPr>
      </w:pPr>
    </w:p>
    <w:p w14:paraId="18241086" w14:textId="77777777" w:rsidR="00D53F3C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A hatásosságot GIST-ben a tumorprogresszióig eltelt időtartam (</w:t>
      </w:r>
      <w:r w:rsidRPr="00F372B2">
        <w:rPr>
          <w:i/>
          <w:sz w:val="22"/>
        </w:rPr>
        <w:t>time-to-tumour progression</w:t>
      </w:r>
      <w:r>
        <w:rPr>
          <w:sz w:val="22"/>
        </w:rPr>
        <w:t>, TTP) és a túlélés javulása, előzőleg nem kezelt MRCC-ben a progressziómentes túlélés (</w:t>
      </w:r>
      <w:r w:rsidRPr="00F372B2">
        <w:rPr>
          <w:i/>
          <w:sz w:val="22"/>
        </w:rPr>
        <w:t>progression-free survival</w:t>
      </w:r>
      <w:r>
        <w:rPr>
          <w:sz w:val="22"/>
        </w:rPr>
        <w:t>, PFS), citokinrefrakter MRCC-ben az objektív válaszarány (</w:t>
      </w:r>
      <w:r w:rsidRPr="00F372B2">
        <w:rPr>
          <w:i/>
          <w:sz w:val="22"/>
        </w:rPr>
        <w:t>objective response rate</w:t>
      </w:r>
      <w:r>
        <w:rPr>
          <w:sz w:val="22"/>
        </w:rPr>
        <w:t xml:space="preserve">, ORR), pNET-ben pedig a PFS alapján állapították meg. </w:t>
      </w:r>
    </w:p>
    <w:p w14:paraId="3A9AAD70" w14:textId="77777777" w:rsidR="00D53F3C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5AFC6379" w14:textId="5FFA7373" w:rsidR="00D53F3C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>Gastrointestinalis stroma tumorok</w:t>
      </w:r>
      <w:r w:rsidR="00471C90">
        <w:rPr>
          <w:i/>
          <w:sz w:val="22"/>
        </w:rPr>
        <w:t xml:space="preserve"> </w:t>
      </w:r>
    </w:p>
    <w:p w14:paraId="1F81053B" w14:textId="29644BD7" w:rsidR="00D53F3C" w:rsidRDefault="00C92F76" w:rsidP="00F372B2">
      <w:pPr>
        <w:spacing w:line="240" w:lineRule="auto"/>
        <w:jc w:val="left"/>
        <w:rPr>
          <w:sz w:val="22"/>
        </w:rPr>
      </w:pPr>
      <w:r>
        <w:rPr>
          <w:sz w:val="22"/>
        </w:rPr>
        <w:t>Először egy nyílt, emelkedő gyógyszeradagolású vizsgálatot végeztek imatinibbel előzőleg rezisztencia vagy intolerancia miatt sikertelenül kezelt GIST-es betegeken (az imatinib maximális napi adagjának mediánja 800 mg volt). Kilencvenhét beteget vontak be különböző adagok és adagolási sémák alkalmazásával; 55 beteg kapott napi 50 mg-mal a javasolt adagolási rend szerint, mely 4 hetes kezelésből és az ezt követő 2 hetes szünetből áll (</w:t>
      </w:r>
      <w:r>
        <w:rPr>
          <w:sz w:val="22"/>
          <w:cs/>
        </w:rPr>
        <w:t>„</w:t>
      </w:r>
      <w:r>
        <w:rPr>
          <w:sz w:val="22"/>
        </w:rPr>
        <w:t>4/2-es adagolási rend</w:t>
      </w:r>
      <w:r>
        <w:rPr>
          <w:sz w:val="22"/>
          <w:cs/>
        </w:rPr>
        <w:t>”</w:t>
      </w:r>
      <w:r>
        <w:rPr>
          <w:sz w:val="22"/>
        </w:rPr>
        <w:t xml:space="preserve">). </w:t>
      </w:r>
    </w:p>
    <w:p w14:paraId="0E16D913" w14:textId="77777777" w:rsidR="00935A5E" w:rsidRPr="00445457" w:rsidRDefault="00935A5E" w:rsidP="00F372B2">
      <w:pPr>
        <w:spacing w:line="240" w:lineRule="auto"/>
        <w:jc w:val="left"/>
        <w:rPr>
          <w:sz w:val="22"/>
          <w:szCs w:val="22"/>
        </w:rPr>
      </w:pPr>
    </w:p>
    <w:p w14:paraId="5F318C26" w14:textId="07BE3EBE" w:rsidR="00D53F3C" w:rsidRDefault="00C92F76" w:rsidP="00F372B2">
      <w:pPr>
        <w:spacing w:line="240" w:lineRule="auto"/>
        <w:jc w:val="left"/>
        <w:rPr>
          <w:sz w:val="22"/>
        </w:rPr>
      </w:pPr>
      <w:r>
        <w:rPr>
          <w:sz w:val="22"/>
        </w:rPr>
        <w:t xml:space="preserve">Ebben a vizsgálatban a TTP mediánja 34,0 hét volt (95%-os CI: 22,0; 46,0). </w:t>
      </w:r>
    </w:p>
    <w:p w14:paraId="3F172F2D" w14:textId="77777777" w:rsidR="00935A5E" w:rsidRPr="00445457" w:rsidRDefault="00935A5E" w:rsidP="00F372B2">
      <w:pPr>
        <w:spacing w:line="240" w:lineRule="auto"/>
        <w:jc w:val="left"/>
        <w:rPr>
          <w:sz w:val="22"/>
          <w:szCs w:val="22"/>
        </w:rPr>
      </w:pPr>
    </w:p>
    <w:p w14:paraId="78599004" w14:textId="3C1B6AC4" w:rsidR="00D53F3C" w:rsidRDefault="00C92F76" w:rsidP="00F372B2">
      <w:pPr>
        <w:spacing w:line="240" w:lineRule="auto"/>
        <w:jc w:val="left"/>
        <w:rPr>
          <w:sz w:val="22"/>
        </w:rPr>
      </w:pPr>
      <w:r>
        <w:rPr>
          <w:sz w:val="22"/>
        </w:rPr>
        <w:t xml:space="preserve">III. fázisú, randomizált, kettős vak, placebokontrollos vizsgálatot végeztek a szunitinib tanulmányozására imatinibbel előzőleg rezisztencia vagy intolerancia miatt sikertelenül kezelt GIST-es betegeken (az imatinib maximális napi adagjának mediánja 800 mg volt). A vizsgálatban 312 beteget 2:1 arányban randomizáltak naponta egyszer 50 mg </w:t>
      </w:r>
      <w:r w:rsidRPr="008B4E6D">
        <w:rPr>
          <w:i/>
          <w:iCs/>
          <w:sz w:val="22"/>
        </w:rPr>
        <w:t>per os</w:t>
      </w:r>
      <w:r>
        <w:rPr>
          <w:sz w:val="22"/>
        </w:rPr>
        <w:t xml:space="preserve">, szunitinib- vagy placebokezelésre a 4/2-es adagolási rend szerint mindaddig, amíg nem észleltek betegségprogressziót, </w:t>
      </w:r>
      <w:r>
        <w:rPr>
          <w:sz w:val="22"/>
        </w:rPr>
        <w:lastRenderedPageBreak/>
        <w:t>vagy a betegek más okból nem estek ki a vizsgálatból (207 beteg kapott szunitinib- és 105 beteg placebokezelést). A vizsgálat elsődleges hatásossági végpontja a TTP volt, amelyet a randomizálás és a tumorprogresszió első objektív jele között eltelt időtartamként határoztak meg. Az előre meghatározott időközi elemzéskor a szunitinib</w:t>
      </w:r>
      <w:r w:rsidR="00935A5E">
        <w:rPr>
          <w:sz w:val="22"/>
        </w:rPr>
        <w:t>-</w:t>
      </w:r>
      <w:r>
        <w:rPr>
          <w:sz w:val="22"/>
        </w:rPr>
        <w:t xml:space="preserve">kezelésnél a vizsgáló által megállapított TTP mediánja 28,9 hét (95%-os CI: 21,3; 34,1), a független értékelés által megállapított TTP mediánja pedig 27,3 hét (95%-os CI: 16,0; 32,1) volt, és ez statisztikailag szignifikánsan hosszabb volt, mint a placebokezelésnél a vizsgáló által megállapított 5,1 hetes TTP-érték (95%-os CI: 4,4; 10,1), </w:t>
      </w:r>
      <w:r w:rsidR="004B00AB">
        <w:rPr>
          <w:sz w:val="22"/>
        </w:rPr>
        <w:t xml:space="preserve">valamint </w:t>
      </w:r>
      <w:r>
        <w:rPr>
          <w:sz w:val="22"/>
        </w:rPr>
        <w:t>a független értékelés által megállapított 6,4 hét (95%-os CI: 4,4; 10,0). A teljes túlélés (OS) statisztikailag a szunitinib előnyét mutatta [</w:t>
      </w:r>
      <w:r w:rsidR="004B00AB">
        <w:rPr>
          <w:sz w:val="22"/>
        </w:rPr>
        <w:t>relatív hazárd</w:t>
      </w:r>
      <w:r>
        <w:rPr>
          <w:sz w:val="22"/>
        </w:rPr>
        <w:t xml:space="preserve"> (HR): 0,491 (95%</w:t>
      </w:r>
      <w:r w:rsidR="004B00AB">
        <w:rPr>
          <w:sz w:val="22"/>
        </w:rPr>
        <w:t>-os</w:t>
      </w:r>
      <w:r>
        <w:rPr>
          <w:sz w:val="22"/>
        </w:rPr>
        <w:t> CI: 0,290; 0,831)]; az elhalálozás kockázata kétszer magasabb volt a placebo-, mint a szunitinib-karon.</w:t>
      </w:r>
      <w:r w:rsidR="00471C90">
        <w:rPr>
          <w:sz w:val="22"/>
        </w:rPr>
        <w:t xml:space="preserve"> </w:t>
      </w:r>
    </w:p>
    <w:p w14:paraId="08548483" w14:textId="77777777" w:rsidR="004B00AB" w:rsidRPr="00445457" w:rsidRDefault="004B00AB" w:rsidP="00F372B2">
      <w:pPr>
        <w:spacing w:line="240" w:lineRule="auto"/>
        <w:jc w:val="left"/>
        <w:rPr>
          <w:sz w:val="22"/>
          <w:szCs w:val="22"/>
        </w:rPr>
      </w:pPr>
    </w:p>
    <w:p w14:paraId="7E9D2429" w14:textId="02DBADDC" w:rsidR="00D53F3C" w:rsidRDefault="00C92F76" w:rsidP="00F372B2">
      <w:pPr>
        <w:spacing w:line="240" w:lineRule="auto"/>
        <w:jc w:val="left"/>
        <w:rPr>
          <w:sz w:val="22"/>
        </w:rPr>
      </w:pPr>
      <w:r>
        <w:rPr>
          <w:sz w:val="22"/>
        </w:rPr>
        <w:t>A hatásosság és biztonságosság időközi elemzését követően a független adat- és biztonságosság-ellenőrző bizottság (</w:t>
      </w:r>
      <w:r w:rsidRPr="00F372B2">
        <w:rPr>
          <w:i/>
          <w:sz w:val="22"/>
        </w:rPr>
        <w:t>Data and Safety Monitoring Board</w:t>
      </w:r>
      <w:r>
        <w:rPr>
          <w:sz w:val="22"/>
        </w:rPr>
        <w:t>, DSMB) ajánlására feloldották a vizsgálat vak elrendezését, és a placebokar betegeinek felajánlották a nyílt elrendezés szerinti szunitinib</w:t>
      </w:r>
      <w:r w:rsidR="004B00AB">
        <w:rPr>
          <w:sz w:val="22"/>
        </w:rPr>
        <w:t>-</w:t>
      </w:r>
      <w:r>
        <w:rPr>
          <w:sz w:val="22"/>
        </w:rPr>
        <w:t xml:space="preserve">kezelést. </w:t>
      </w:r>
    </w:p>
    <w:p w14:paraId="7517779E" w14:textId="77777777" w:rsidR="004B00AB" w:rsidRPr="00445457" w:rsidRDefault="004B00AB" w:rsidP="00F372B2">
      <w:pPr>
        <w:spacing w:line="240" w:lineRule="auto"/>
        <w:jc w:val="left"/>
        <w:rPr>
          <w:sz w:val="22"/>
          <w:szCs w:val="22"/>
        </w:rPr>
      </w:pPr>
    </w:p>
    <w:p w14:paraId="11306924" w14:textId="40A97D6E" w:rsidR="00D53F3C" w:rsidRDefault="00C92F76" w:rsidP="00F372B2">
      <w:pPr>
        <w:spacing w:line="240" w:lineRule="auto"/>
        <w:jc w:val="left"/>
        <w:rPr>
          <w:sz w:val="22"/>
        </w:rPr>
      </w:pPr>
      <w:r>
        <w:rPr>
          <w:sz w:val="22"/>
        </w:rPr>
        <w:t>A vizsgálat nyílt kezelési fázisában összesen 255 beteg részesült szunitinib</w:t>
      </w:r>
      <w:r w:rsidR="004B00AB">
        <w:rPr>
          <w:sz w:val="22"/>
        </w:rPr>
        <w:t>-</w:t>
      </w:r>
      <w:r>
        <w:rPr>
          <w:sz w:val="22"/>
        </w:rPr>
        <w:t>kezelésben, köztük 99 olyan beteg, akit kezdetben placebóval kezeltek.</w:t>
      </w:r>
      <w:r w:rsidR="00471C90">
        <w:rPr>
          <w:sz w:val="22"/>
        </w:rPr>
        <w:t xml:space="preserve"> </w:t>
      </w:r>
    </w:p>
    <w:p w14:paraId="02469DE6" w14:textId="77777777" w:rsidR="004B00AB" w:rsidRPr="00445457" w:rsidRDefault="004B00AB" w:rsidP="00F372B2">
      <w:pPr>
        <w:spacing w:line="240" w:lineRule="auto"/>
        <w:jc w:val="left"/>
        <w:rPr>
          <w:sz w:val="22"/>
          <w:szCs w:val="22"/>
        </w:rPr>
      </w:pPr>
    </w:p>
    <w:p w14:paraId="3405BFAC" w14:textId="413DBAC2" w:rsidR="00D53F3C" w:rsidRDefault="00C92F76" w:rsidP="00F372B2">
      <w:pPr>
        <w:spacing w:after="120" w:line="240" w:lineRule="auto"/>
        <w:jc w:val="left"/>
        <w:rPr>
          <w:sz w:val="22"/>
        </w:rPr>
      </w:pPr>
      <w:r>
        <w:rPr>
          <w:sz w:val="22"/>
        </w:rPr>
        <w:t xml:space="preserve">A vizsgálat nyílt szakaszában az elsődleges és másodlagos végpontok elemzése megerősítette az időközi elemzésnél kapott eredményeket, ahogy azt </w:t>
      </w:r>
      <w:r w:rsidR="003D32E2">
        <w:rPr>
          <w:sz w:val="22"/>
        </w:rPr>
        <w:t xml:space="preserve">a </w:t>
      </w:r>
      <w:r>
        <w:rPr>
          <w:sz w:val="22"/>
        </w:rPr>
        <w:t>2. táblázat is mutatja:</w:t>
      </w:r>
    </w:p>
    <w:p w14:paraId="7C0BD863" w14:textId="77777777" w:rsidR="00B02BF9" w:rsidRDefault="00B02BF9" w:rsidP="00F372B2">
      <w:pPr>
        <w:spacing w:after="120" w:line="240" w:lineRule="auto"/>
        <w:jc w:val="left"/>
        <w:rPr>
          <w:sz w:val="22"/>
        </w:rPr>
      </w:pPr>
    </w:p>
    <w:p w14:paraId="46D684C6" w14:textId="78326E21" w:rsidR="00B02BF9" w:rsidRDefault="00B02BF9" w:rsidP="00F372B2">
      <w:pPr>
        <w:spacing w:after="120" w:line="240" w:lineRule="auto"/>
        <w:jc w:val="left"/>
        <w:rPr>
          <w:sz w:val="22"/>
        </w:rPr>
      </w:pPr>
      <w:r>
        <w:rPr>
          <w:b/>
          <w:sz w:val="22"/>
        </w:rPr>
        <w:fldChar w:fldCharType="begin"/>
      </w:r>
      <w:r>
        <w:rPr>
          <w:b/>
          <w:sz w:val="22"/>
        </w:rPr>
        <w:instrText xml:space="preserve"> SEQ Table \* ARABIC </w:instrText>
      </w:r>
      <w:r>
        <w:rPr>
          <w:b/>
          <w:sz w:val="22"/>
        </w:rPr>
        <w:fldChar w:fldCharType="separate"/>
      </w:r>
      <w:r>
        <w:rPr>
          <w:b/>
          <w:sz w:val="22"/>
        </w:rPr>
        <w:t>2</w:t>
      </w:r>
      <w:r>
        <w:rPr>
          <w:b/>
          <w:sz w:val="22"/>
        </w:rPr>
        <w:fldChar w:fldCharType="end"/>
      </w:r>
      <w:r>
        <w:rPr>
          <w:b/>
          <w:sz w:val="22"/>
        </w:rPr>
        <w:t>. táblázat</w:t>
      </w:r>
      <w:r w:rsidR="0084446C">
        <w:rPr>
          <w:b/>
          <w:sz w:val="22"/>
        </w:rPr>
        <w:t>.</w:t>
      </w:r>
      <w:r w:rsidR="004B00AB">
        <w:rPr>
          <w:b/>
          <w:sz w:val="22"/>
        </w:rPr>
        <w:t xml:space="preserve"> </w:t>
      </w:r>
      <w:r>
        <w:rPr>
          <w:b/>
          <w:sz w:val="22"/>
        </w:rPr>
        <w:t>A hatásossági végpontok összegzése GIST-ben (ITT populáció)</w:t>
      </w:r>
    </w:p>
    <w:tbl>
      <w:tblPr>
        <w:tblW w:w="9923" w:type="dxa"/>
        <w:tblInd w:w="-8" w:type="dxa"/>
        <w:tblCellMar>
          <w:top w:w="29" w:type="dxa"/>
          <w:left w:w="0" w:type="dxa"/>
          <w:bottom w:w="8" w:type="dxa"/>
          <w:right w:w="0" w:type="dxa"/>
        </w:tblCellMar>
        <w:tblLook w:val="04A0" w:firstRow="1" w:lastRow="0" w:firstColumn="1" w:lastColumn="0" w:noHBand="0" w:noVBand="1"/>
      </w:tblPr>
      <w:tblGrid>
        <w:gridCol w:w="1712"/>
        <w:gridCol w:w="1488"/>
        <w:gridCol w:w="1488"/>
        <w:gridCol w:w="1824"/>
        <w:gridCol w:w="1710"/>
        <w:gridCol w:w="1701"/>
      </w:tblGrid>
      <w:tr w:rsidR="00B02BF9" w:rsidRPr="00445457" w14:paraId="534B260F" w14:textId="77777777" w:rsidTr="00B00CA3">
        <w:trPr>
          <w:trHeight w:val="256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60D61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</w:p>
        </w:tc>
        <w:tc>
          <w:tcPr>
            <w:tcW w:w="6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BFE54" w14:textId="77777777" w:rsidR="00B02BF9" w:rsidRPr="00F42D79" w:rsidRDefault="00B02BF9" w:rsidP="00F372B2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Kettős vak kezelés</w:t>
            </w:r>
            <w:r>
              <w:rPr>
                <w:sz w:val="22"/>
                <w:vertAlign w:val="superscript"/>
              </w:rPr>
              <w:t>a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8D047" w14:textId="77777777" w:rsidR="00B02BF9" w:rsidRPr="00F42D79" w:rsidRDefault="00B02BF9" w:rsidP="00F372B2">
            <w:pPr>
              <w:spacing w:line="259" w:lineRule="auto"/>
              <w:ind w:left="56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 </w:t>
            </w:r>
          </w:p>
        </w:tc>
      </w:tr>
      <w:tr w:rsidR="00B02BF9" w:rsidRPr="00445457" w14:paraId="302FBF7B" w14:textId="77777777" w:rsidTr="00B00CA3">
        <w:trPr>
          <w:trHeight w:val="27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FE75E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29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BB36C" w14:textId="77777777" w:rsidR="00B02BF9" w:rsidRPr="00F42D79" w:rsidRDefault="00B02BF9" w:rsidP="00F372B2">
            <w:pPr>
              <w:spacing w:line="259" w:lineRule="auto"/>
              <w:ind w:right="21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Medián (95%-os CI) </w:t>
            </w:r>
          </w:p>
        </w:tc>
        <w:tc>
          <w:tcPr>
            <w:tcW w:w="35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F31DE" w14:textId="41B7D708" w:rsidR="00B02BF9" w:rsidRPr="00F42D79" w:rsidRDefault="004B00AB" w:rsidP="00F372B2">
            <w:pPr>
              <w:spacing w:line="259" w:lineRule="auto"/>
              <w:ind w:left="16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HR</w:t>
            </w:r>
            <w:r w:rsidR="00B02BF9">
              <w:rPr>
                <w:b/>
                <w:sz w:val="22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8E03F" w14:textId="77777777" w:rsidR="00B02BF9" w:rsidRPr="00F42D79" w:rsidRDefault="00B02BF9" w:rsidP="00B00CA3">
            <w:pPr>
              <w:spacing w:line="259" w:lineRule="auto"/>
              <w:ind w:left="216" w:firstLine="16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Placebóról átállt csoport keresztezéses kezelése</w:t>
            </w:r>
            <w:r>
              <w:rPr>
                <w:b/>
                <w:sz w:val="22"/>
                <w:vertAlign w:val="superscript"/>
              </w:rPr>
              <w:t>b</w:t>
            </w:r>
            <w:r>
              <w:rPr>
                <w:b/>
                <w:sz w:val="22"/>
              </w:rPr>
              <w:t xml:space="preserve"> </w:t>
            </w:r>
          </w:p>
        </w:tc>
      </w:tr>
      <w:tr w:rsidR="00B02BF9" w:rsidRPr="00445457" w14:paraId="6281903B" w14:textId="77777777" w:rsidTr="00B00CA3">
        <w:trPr>
          <w:trHeight w:val="75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1AF6C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Végpont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1437EA1" w14:textId="77777777" w:rsidR="00B02BF9" w:rsidRPr="00F42D79" w:rsidRDefault="00B02BF9" w:rsidP="00F372B2">
            <w:pPr>
              <w:spacing w:line="259" w:lineRule="auto"/>
              <w:ind w:right="22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Szunitinib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55DA967" w14:textId="77777777" w:rsidR="00B02BF9" w:rsidRPr="00F42D79" w:rsidRDefault="00B02BF9" w:rsidP="00F372B2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Placebo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5388FC2" w14:textId="77777777" w:rsidR="00B02BF9" w:rsidRPr="00F42D79" w:rsidRDefault="00B02BF9" w:rsidP="00F372B2">
            <w:pPr>
              <w:spacing w:line="259" w:lineRule="auto"/>
              <w:ind w:left="91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(95%-os CI)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5F00049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p érték </w:t>
            </w:r>
          </w:p>
        </w:tc>
        <w:tc>
          <w:tcPr>
            <w:tcW w:w="170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7BF45" w14:textId="77777777" w:rsidR="00B02BF9" w:rsidRPr="00F42D79" w:rsidRDefault="00B02BF9">
            <w:pPr>
              <w:spacing w:after="160" w:line="259" w:lineRule="auto"/>
              <w:jc w:val="left"/>
              <w:rPr>
                <w:sz w:val="22"/>
                <w:szCs w:val="22"/>
              </w:rPr>
            </w:pPr>
          </w:p>
        </w:tc>
      </w:tr>
      <w:tr w:rsidR="00B02BF9" w:rsidRPr="00445457" w14:paraId="1AD72E07" w14:textId="77777777" w:rsidTr="00B00CA3">
        <w:trPr>
          <w:trHeight w:val="256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7234B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Elsődleges </w:t>
            </w:r>
          </w:p>
        </w:tc>
        <w:tc>
          <w:tcPr>
            <w:tcW w:w="6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61B164" w14:textId="77777777" w:rsidR="00B02BF9" w:rsidRPr="00F42D79" w:rsidRDefault="00B02BF9" w:rsidP="002201B3">
            <w:pPr>
              <w:spacing w:line="259" w:lineRule="auto"/>
              <w:ind w:left="72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4DF0533" w14:textId="77777777" w:rsidR="00B02BF9" w:rsidRPr="00F42D79" w:rsidRDefault="00B02BF9" w:rsidP="00F372B2">
            <w:pPr>
              <w:spacing w:line="259" w:lineRule="auto"/>
              <w:ind w:left="5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B02BF9" w:rsidRPr="00445457" w14:paraId="4B1B29A9" w14:textId="77777777" w:rsidTr="00B00CA3">
        <w:trPr>
          <w:trHeight w:val="528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D745F" w14:textId="77777777" w:rsidR="00B02BF9" w:rsidRPr="00F42D79" w:rsidRDefault="00B02BF9" w:rsidP="00B00CA3">
            <w:pPr>
              <w:spacing w:line="259" w:lineRule="auto"/>
              <w:ind w:left="29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TTP </w:t>
            </w:r>
          </w:p>
          <w:p w14:paraId="3B363256" w14:textId="77777777" w:rsidR="00B02BF9" w:rsidRPr="00F42D79" w:rsidRDefault="00B02BF9" w:rsidP="002201B3">
            <w:pPr>
              <w:spacing w:line="259" w:lineRule="auto"/>
              <w:ind w:left="29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(hét) </w:t>
            </w:r>
          </w:p>
        </w:tc>
        <w:tc>
          <w:tcPr>
            <w:tcW w:w="6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935CE35" w14:textId="77777777" w:rsidR="00B02BF9" w:rsidRPr="00F42D79" w:rsidRDefault="00B02BF9" w:rsidP="002201B3">
            <w:pPr>
              <w:spacing w:line="259" w:lineRule="auto"/>
              <w:ind w:left="72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0348D3D" w14:textId="77777777" w:rsidR="00B02BF9" w:rsidRPr="00F42D79" w:rsidRDefault="00B02BF9" w:rsidP="00F372B2">
            <w:pPr>
              <w:spacing w:line="259" w:lineRule="auto"/>
              <w:ind w:left="5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B02BF9" w:rsidRPr="00445457" w14:paraId="3EDF4B76" w14:textId="77777777" w:rsidTr="00B00CA3">
        <w:trPr>
          <w:trHeight w:val="51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A23B1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 Időközi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81B56" w14:textId="77777777" w:rsidR="00B02BF9" w:rsidRPr="00F42D79" w:rsidRDefault="00B02BF9" w:rsidP="00F372B2">
            <w:pPr>
              <w:spacing w:line="259" w:lineRule="auto"/>
              <w:ind w:left="-8" w:right="-3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27,3 (16,0; 32,1)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D8A96" w14:textId="77777777" w:rsidR="00B02BF9" w:rsidRPr="00F42D79" w:rsidRDefault="00B02BF9" w:rsidP="00F372B2">
            <w:pPr>
              <w:spacing w:line="259" w:lineRule="auto"/>
              <w:ind w:left="-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6,4 (4,4; 10,0)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A55E4" w14:textId="77777777" w:rsidR="00B02BF9" w:rsidRPr="00F42D79" w:rsidRDefault="00B02BF9" w:rsidP="00F372B2">
            <w:pPr>
              <w:spacing w:line="259" w:lineRule="auto"/>
              <w:ind w:left="5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0,329 (0,233; 0,466)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DC48C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&lt;0,001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A1BF5" w14:textId="77777777" w:rsidR="00B02BF9" w:rsidRPr="00F42D79" w:rsidRDefault="00B02BF9" w:rsidP="00F372B2">
            <w:pPr>
              <w:spacing w:line="259" w:lineRule="auto"/>
              <w:ind w:left="1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</w:p>
        </w:tc>
      </w:tr>
      <w:tr w:rsidR="00B02BF9" w:rsidRPr="00445457" w14:paraId="6554F630" w14:textId="77777777" w:rsidTr="00B00CA3">
        <w:trPr>
          <w:trHeight w:val="51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ED652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 Végső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0C335" w14:textId="77777777" w:rsidR="00B02BF9" w:rsidRPr="00F42D79" w:rsidRDefault="00B02BF9" w:rsidP="00F372B2">
            <w:pPr>
              <w:spacing w:line="259" w:lineRule="auto"/>
              <w:ind w:left="-8" w:right="-3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26,6 (16,0; 32,1)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DA3AB" w14:textId="77777777" w:rsidR="00B02BF9" w:rsidRPr="00F42D79" w:rsidRDefault="00B02BF9" w:rsidP="00F372B2">
            <w:pPr>
              <w:spacing w:line="259" w:lineRule="auto"/>
              <w:ind w:left="-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6,4 (4,4; 10,0)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CA1AC" w14:textId="77777777" w:rsidR="00B02BF9" w:rsidRPr="00F42D79" w:rsidRDefault="00B02BF9" w:rsidP="00F372B2">
            <w:pPr>
              <w:spacing w:line="259" w:lineRule="auto"/>
              <w:ind w:left="5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0,339 (0,244; 0,472)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3396C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&lt;0,001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4B6C8" w14:textId="44C12F3D" w:rsidR="00B02BF9" w:rsidRPr="00F42D79" w:rsidRDefault="00B02BF9" w:rsidP="00F372B2">
            <w:pPr>
              <w:spacing w:line="259" w:lineRule="auto"/>
              <w:ind w:right="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10,4 (4,3; 22,0) </w:t>
            </w:r>
          </w:p>
        </w:tc>
      </w:tr>
      <w:tr w:rsidR="00B02BF9" w:rsidRPr="00445457" w14:paraId="368FAF6D" w14:textId="77777777" w:rsidTr="00B00CA3">
        <w:trPr>
          <w:trHeight w:val="27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57FFC" w14:textId="423E0F20" w:rsidR="00B02BF9" w:rsidRPr="00F42D79" w:rsidRDefault="004B00AB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Másodlagos </w:t>
            </w:r>
          </w:p>
        </w:tc>
        <w:tc>
          <w:tcPr>
            <w:tcW w:w="6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BB9347" w14:textId="77777777" w:rsidR="00B02BF9" w:rsidRPr="00F42D79" w:rsidRDefault="00B02BF9" w:rsidP="002201B3">
            <w:pPr>
              <w:spacing w:line="259" w:lineRule="auto"/>
              <w:ind w:left="72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40DF57D" w14:textId="77777777" w:rsidR="00B02BF9" w:rsidRPr="00F42D79" w:rsidRDefault="00B02BF9" w:rsidP="00F372B2">
            <w:pPr>
              <w:spacing w:line="259" w:lineRule="auto"/>
              <w:ind w:left="5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B02BF9" w:rsidRPr="00445457" w14:paraId="3858DED2" w14:textId="77777777" w:rsidTr="00B00CA3">
        <w:trPr>
          <w:trHeight w:val="51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9BB78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 PFS </w:t>
            </w:r>
          </w:p>
          <w:p w14:paraId="44A9C063" w14:textId="77777777" w:rsidR="00B02BF9" w:rsidRPr="00F42D79" w:rsidRDefault="00B02BF9" w:rsidP="002201B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(hét)</w:t>
            </w:r>
            <w:r>
              <w:rPr>
                <w:sz w:val="22"/>
                <w:vertAlign w:val="superscript"/>
              </w:rPr>
              <w:t>c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466EFB" w14:textId="77777777" w:rsidR="00B02BF9" w:rsidRPr="00F42D79" w:rsidRDefault="00B02BF9" w:rsidP="002201B3">
            <w:pPr>
              <w:spacing w:line="259" w:lineRule="auto"/>
              <w:ind w:left="72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C1C64EF" w14:textId="77777777" w:rsidR="00B02BF9" w:rsidRPr="00F42D79" w:rsidRDefault="00B02BF9" w:rsidP="00F372B2">
            <w:pPr>
              <w:spacing w:line="259" w:lineRule="auto"/>
              <w:ind w:left="5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B02BF9" w:rsidRPr="00445457" w14:paraId="21C2DD57" w14:textId="77777777" w:rsidTr="00B00CA3">
        <w:trPr>
          <w:trHeight w:val="51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8E865" w14:textId="77777777" w:rsidR="00B02BF9" w:rsidRPr="00F42D79" w:rsidRDefault="00B02BF9" w:rsidP="00B00CA3">
            <w:pPr>
              <w:tabs>
                <w:tab w:val="center" w:pos="735"/>
              </w:tabs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Időközi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836D3" w14:textId="77777777" w:rsidR="00B02BF9" w:rsidRPr="00F42D79" w:rsidRDefault="00B02BF9" w:rsidP="00F372B2">
            <w:pPr>
              <w:spacing w:line="259" w:lineRule="auto"/>
              <w:ind w:left="-8" w:right="-3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24,1 (11,1; 28,3)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BDEBE" w14:textId="77777777" w:rsidR="00B02BF9" w:rsidRPr="00F42D79" w:rsidRDefault="00B02BF9" w:rsidP="00B00CA3">
            <w:pPr>
              <w:spacing w:line="259" w:lineRule="auto"/>
              <w:ind w:left="-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6,0 (4,4; 9,9)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B7D26" w14:textId="61D721E7" w:rsidR="00B02BF9" w:rsidRPr="00F42D79" w:rsidRDefault="00B02BF9" w:rsidP="00F372B2">
            <w:pPr>
              <w:spacing w:line="259" w:lineRule="auto"/>
              <w:ind w:left="8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0,333 (0,238; 0,467)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D0533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&lt;0,001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D7308" w14:textId="77777777" w:rsidR="00B02BF9" w:rsidRPr="00F42D79" w:rsidRDefault="00B02BF9" w:rsidP="00F372B2">
            <w:pPr>
              <w:spacing w:line="259" w:lineRule="auto"/>
              <w:ind w:left="1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</w:p>
        </w:tc>
      </w:tr>
      <w:tr w:rsidR="00B02BF9" w:rsidRPr="00445457" w14:paraId="3C99F33B" w14:textId="77777777" w:rsidTr="00B00CA3">
        <w:trPr>
          <w:trHeight w:val="51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20781" w14:textId="77777777" w:rsidR="00B02BF9" w:rsidRPr="00F42D79" w:rsidRDefault="00B02BF9" w:rsidP="00B00CA3">
            <w:pPr>
              <w:tabs>
                <w:tab w:val="center" w:pos="631"/>
              </w:tabs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Végső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6C2D9" w14:textId="77777777" w:rsidR="00B02BF9" w:rsidRPr="00F42D79" w:rsidRDefault="00B02BF9" w:rsidP="00F372B2">
            <w:pPr>
              <w:spacing w:line="259" w:lineRule="auto"/>
              <w:ind w:left="-8" w:right="-3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22,9 (10,9; 28,0)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DB049" w14:textId="77777777" w:rsidR="00B02BF9" w:rsidRPr="00F42D79" w:rsidRDefault="00B02BF9" w:rsidP="00B00CA3">
            <w:pPr>
              <w:spacing w:line="259" w:lineRule="auto"/>
              <w:ind w:left="-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6,0 (4,4; 9,7)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0B5DD" w14:textId="77777777" w:rsidR="00B02BF9" w:rsidRPr="00F42D79" w:rsidRDefault="00B02BF9" w:rsidP="00F372B2">
            <w:pPr>
              <w:spacing w:line="259" w:lineRule="auto"/>
              <w:ind w:left="5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0,347 (0,253; 0,475)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DB4DA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&lt;0,001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FF9AC" w14:textId="77777777" w:rsidR="00B02BF9" w:rsidRPr="00F42D79" w:rsidRDefault="00B02BF9" w:rsidP="00F372B2">
            <w:pPr>
              <w:spacing w:line="259" w:lineRule="auto"/>
              <w:ind w:left="1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</w:p>
        </w:tc>
      </w:tr>
      <w:tr w:rsidR="00B02BF9" w:rsidRPr="00445457" w14:paraId="6CBB134E" w14:textId="77777777" w:rsidTr="00B00CA3">
        <w:trPr>
          <w:trHeight w:val="27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4FDAA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ORR (%)</w:t>
            </w:r>
            <w:r>
              <w:rPr>
                <w:sz w:val="22"/>
                <w:vertAlign w:val="superscript"/>
              </w:rPr>
              <w:t>d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545DCB" w14:textId="77777777" w:rsidR="00B02BF9" w:rsidRPr="00F42D79" w:rsidRDefault="00B02BF9" w:rsidP="002201B3">
            <w:pPr>
              <w:spacing w:line="259" w:lineRule="auto"/>
              <w:ind w:left="72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09EF21E" w14:textId="77777777" w:rsidR="00B02BF9" w:rsidRPr="00F42D79" w:rsidRDefault="00B02BF9" w:rsidP="00F372B2">
            <w:pPr>
              <w:spacing w:line="259" w:lineRule="auto"/>
              <w:ind w:left="5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B02BF9" w:rsidRPr="00445457" w14:paraId="5CD351F9" w14:textId="77777777" w:rsidTr="00B00CA3">
        <w:trPr>
          <w:trHeight w:val="256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09032" w14:textId="77777777" w:rsidR="00B02BF9" w:rsidRPr="00F42D79" w:rsidRDefault="00B02BF9" w:rsidP="00B00CA3">
            <w:pPr>
              <w:tabs>
                <w:tab w:val="center" w:pos="735"/>
              </w:tabs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Időközi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8B318" w14:textId="77777777" w:rsidR="00B02BF9" w:rsidRPr="00F42D79" w:rsidRDefault="00B02BF9" w:rsidP="00F372B2">
            <w:pPr>
              <w:spacing w:line="259" w:lineRule="auto"/>
              <w:ind w:left="7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6,8 (3,7; 11,1)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B6CE4" w14:textId="77777777" w:rsidR="00B02BF9" w:rsidRPr="00F42D79" w:rsidRDefault="00B02BF9" w:rsidP="00F372B2">
            <w:pPr>
              <w:spacing w:line="259" w:lineRule="auto"/>
              <w:ind w:right="5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 (-)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D6A7B" w14:textId="77777777" w:rsidR="00B02BF9" w:rsidRPr="00F42D79" w:rsidRDefault="00B02BF9" w:rsidP="00F372B2">
            <w:pPr>
              <w:spacing w:line="259" w:lineRule="auto"/>
              <w:ind w:left="114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NÉ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AA9B4" w14:textId="77777777" w:rsidR="00B02BF9" w:rsidRPr="00F42D79" w:rsidRDefault="00B02BF9" w:rsidP="00F372B2">
            <w:pPr>
              <w:spacing w:line="259" w:lineRule="auto"/>
              <w:ind w:left="3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0,006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D40FF" w14:textId="77777777" w:rsidR="00B02BF9" w:rsidRPr="00F42D79" w:rsidRDefault="00B02BF9" w:rsidP="00F372B2">
            <w:pPr>
              <w:spacing w:line="259" w:lineRule="auto"/>
              <w:ind w:left="1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</w:p>
        </w:tc>
      </w:tr>
      <w:tr w:rsidR="00B02BF9" w:rsidRPr="00445457" w14:paraId="4283451C" w14:textId="77777777" w:rsidTr="00B00CA3">
        <w:trPr>
          <w:trHeight w:val="51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CA768" w14:textId="77777777" w:rsidR="00B02BF9" w:rsidRPr="00F42D79" w:rsidRDefault="00B02BF9" w:rsidP="00B00CA3">
            <w:pPr>
              <w:tabs>
                <w:tab w:val="center" w:pos="631"/>
              </w:tabs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Végső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F147A" w14:textId="77777777" w:rsidR="00B02BF9" w:rsidRPr="00F42D79" w:rsidRDefault="00B02BF9" w:rsidP="00F372B2">
            <w:pPr>
              <w:spacing w:line="259" w:lineRule="auto"/>
              <w:ind w:left="7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6,6 (3,8; 10,5)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1620B" w14:textId="77777777" w:rsidR="00B02BF9" w:rsidRPr="00F42D79" w:rsidRDefault="00B02BF9" w:rsidP="00F372B2">
            <w:pPr>
              <w:spacing w:line="259" w:lineRule="auto"/>
              <w:ind w:right="5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 (-)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AEBAE" w14:textId="77777777" w:rsidR="00B02BF9" w:rsidRPr="00F42D79" w:rsidRDefault="00B02BF9" w:rsidP="00F372B2">
            <w:pPr>
              <w:spacing w:line="259" w:lineRule="auto"/>
              <w:ind w:left="114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NÉ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04814" w14:textId="77777777" w:rsidR="00B02BF9" w:rsidRPr="00F42D79" w:rsidRDefault="00B02BF9" w:rsidP="00F372B2">
            <w:pPr>
              <w:spacing w:line="259" w:lineRule="auto"/>
              <w:ind w:left="3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0,004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4EFE0" w14:textId="153C8E9C" w:rsidR="00B02BF9" w:rsidRPr="00F42D79" w:rsidRDefault="00B02BF9" w:rsidP="00F372B2">
            <w:pPr>
              <w:spacing w:line="259" w:lineRule="auto"/>
              <w:ind w:right="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10,1 (5,0; 17,8) </w:t>
            </w:r>
          </w:p>
        </w:tc>
      </w:tr>
      <w:tr w:rsidR="00B02BF9" w:rsidRPr="00445457" w14:paraId="27AFA08D" w14:textId="77777777" w:rsidTr="00B00CA3">
        <w:trPr>
          <w:trHeight w:val="27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F09C1" w14:textId="77777777" w:rsidR="00B02BF9" w:rsidRPr="00F42D79" w:rsidRDefault="00B02BF9" w:rsidP="00B00CA3">
            <w:pPr>
              <w:spacing w:line="259" w:lineRule="auto"/>
              <w:ind w:left="12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OS (hét)</w:t>
            </w:r>
            <w:r>
              <w:rPr>
                <w:sz w:val="22"/>
                <w:vertAlign w:val="superscript"/>
              </w:rPr>
              <w:t>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3260F00" w14:textId="77777777" w:rsidR="00B02BF9" w:rsidRPr="00F42D79" w:rsidRDefault="00B02BF9" w:rsidP="002201B3">
            <w:pPr>
              <w:spacing w:line="259" w:lineRule="auto"/>
              <w:ind w:left="72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61A3D54" w14:textId="77777777" w:rsidR="00B02BF9" w:rsidRPr="00F42D79" w:rsidRDefault="00B02BF9" w:rsidP="00F372B2">
            <w:pPr>
              <w:spacing w:line="259" w:lineRule="auto"/>
              <w:ind w:left="5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B02BF9" w:rsidRPr="00445457" w14:paraId="320BAF7D" w14:textId="77777777" w:rsidTr="00B00CA3">
        <w:trPr>
          <w:trHeight w:val="51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EFD51" w14:textId="77777777" w:rsidR="00B02BF9" w:rsidRPr="00F42D79" w:rsidRDefault="00B02BF9" w:rsidP="00B00CA3">
            <w:pPr>
              <w:tabs>
                <w:tab w:val="center" w:pos="735"/>
              </w:tabs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 xml:space="preserve">Időközi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8D9D4" w14:textId="77777777" w:rsidR="00B02BF9" w:rsidRPr="00F42D79" w:rsidRDefault="00B02BF9" w:rsidP="00F372B2">
            <w:pPr>
              <w:spacing w:line="259" w:lineRule="auto"/>
              <w:ind w:right="2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965D8" w14:textId="77777777" w:rsidR="00B02BF9" w:rsidRPr="00F42D79" w:rsidRDefault="00B02BF9" w:rsidP="00F372B2">
            <w:pPr>
              <w:spacing w:line="259" w:lineRule="auto"/>
              <w:ind w:right="2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4E26B" w14:textId="77777777" w:rsidR="00B02BF9" w:rsidRPr="00F42D79" w:rsidRDefault="00B02BF9" w:rsidP="00F372B2">
            <w:pPr>
              <w:spacing w:line="259" w:lineRule="auto"/>
              <w:ind w:left="5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0,491 (0,290; 0,831)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ED946" w14:textId="77777777" w:rsidR="00B02BF9" w:rsidRPr="00F42D79" w:rsidRDefault="00B02BF9" w:rsidP="00F372B2">
            <w:pPr>
              <w:spacing w:line="259" w:lineRule="auto"/>
              <w:ind w:left="3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0,007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200F7" w14:textId="77777777" w:rsidR="00B02BF9" w:rsidRPr="00F42D79" w:rsidRDefault="00B02BF9" w:rsidP="00F372B2">
            <w:pPr>
              <w:spacing w:line="259" w:lineRule="auto"/>
              <w:ind w:left="1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</w:p>
        </w:tc>
      </w:tr>
      <w:tr w:rsidR="00B02BF9" w:rsidRPr="00445457" w14:paraId="1AC37BD8" w14:textId="77777777" w:rsidTr="00B00CA3">
        <w:trPr>
          <w:trHeight w:val="512"/>
        </w:trPr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82B40" w14:textId="77777777" w:rsidR="00B02BF9" w:rsidRPr="00F42D79" w:rsidRDefault="00B02BF9" w:rsidP="00B00CA3">
            <w:pPr>
              <w:tabs>
                <w:tab w:val="center" w:pos="631"/>
              </w:tabs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ab/>
            </w:r>
            <w:r>
              <w:rPr>
                <w:sz w:val="22"/>
              </w:rPr>
              <w:t>Végső</w:t>
            </w:r>
            <w:r>
              <w:rPr>
                <w:sz w:val="22"/>
                <w:vertAlign w:val="superscript"/>
              </w:rPr>
              <w:t xml:space="preserve">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FEBC0" w14:textId="77777777" w:rsidR="00B02BF9" w:rsidRPr="00F42D79" w:rsidRDefault="00B02BF9" w:rsidP="00F372B2">
            <w:pPr>
              <w:spacing w:line="259" w:lineRule="auto"/>
              <w:ind w:left="-8" w:right="-3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72,7 (61,3; 83,0)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3F2C1" w14:textId="77777777" w:rsidR="00B02BF9" w:rsidRPr="00F42D79" w:rsidRDefault="00B02BF9" w:rsidP="00F372B2">
            <w:pPr>
              <w:spacing w:line="259" w:lineRule="auto"/>
              <w:ind w:left="-8" w:right="-19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64,9 (45,7; 96,0)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48CF7" w14:textId="4F37BB88" w:rsidR="00B02BF9" w:rsidRPr="00F42D79" w:rsidRDefault="00B02BF9" w:rsidP="00B00CA3">
            <w:pPr>
              <w:tabs>
                <w:tab w:val="center" w:pos="956"/>
              </w:tabs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0,876 (0,679; </w:t>
            </w:r>
          </w:p>
          <w:p w14:paraId="26A091B6" w14:textId="77777777" w:rsidR="00B02BF9" w:rsidRPr="00F42D79" w:rsidRDefault="00B02BF9" w:rsidP="00F372B2">
            <w:pPr>
              <w:spacing w:line="259" w:lineRule="auto"/>
              <w:ind w:left="9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1,129)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2AC83" w14:textId="77777777" w:rsidR="00B02BF9" w:rsidRPr="00F42D79" w:rsidRDefault="00B02BF9" w:rsidP="00F372B2">
            <w:pPr>
              <w:spacing w:line="259" w:lineRule="auto"/>
              <w:ind w:left="3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0,306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1082C" w14:textId="77777777" w:rsidR="00B02BF9" w:rsidRPr="00F42D79" w:rsidRDefault="00B02BF9" w:rsidP="00F372B2">
            <w:pPr>
              <w:spacing w:line="259" w:lineRule="auto"/>
              <w:ind w:left="1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</w:p>
        </w:tc>
      </w:tr>
    </w:tbl>
    <w:p w14:paraId="1563C741" w14:textId="7DD8375A" w:rsidR="007262C6" w:rsidRDefault="007262C6" w:rsidP="00B00CA3">
      <w:pPr>
        <w:tabs>
          <w:tab w:val="left" w:pos="1095"/>
        </w:tabs>
        <w:spacing w:line="240" w:lineRule="auto"/>
        <w:jc w:val="left"/>
        <w:rPr>
          <w:sz w:val="20"/>
        </w:rPr>
      </w:pPr>
    </w:p>
    <w:p w14:paraId="731FC061" w14:textId="086ACC73" w:rsidR="00D53F3C" w:rsidRPr="00445457" w:rsidRDefault="00C92F76" w:rsidP="00F372B2">
      <w:pPr>
        <w:spacing w:line="259" w:lineRule="auto"/>
        <w:ind w:right="53"/>
        <w:jc w:val="left"/>
        <w:rPr>
          <w:sz w:val="20"/>
          <w:szCs w:val="20"/>
        </w:rPr>
      </w:pPr>
      <w:r>
        <w:rPr>
          <w:sz w:val="20"/>
        </w:rPr>
        <w:t>Rövidítések: CI = konfidencia intervallum;</w:t>
      </w:r>
      <w:r w:rsidR="004B00AB">
        <w:rPr>
          <w:sz w:val="20"/>
        </w:rPr>
        <w:t xml:space="preserve"> HR = relatív hazárd;</w:t>
      </w:r>
      <w:r>
        <w:rPr>
          <w:sz w:val="20"/>
        </w:rPr>
        <w:t xml:space="preserve"> ITT = beválogatás szerinti; NÉ = nem értelmezhető; ORR = objektív válaszarány; OS = teljes túlélés; PFS = progressziómentes túlélés; TTP = tumorprogresszióig eltelt idő. </w:t>
      </w:r>
    </w:p>
    <w:p w14:paraId="24244612" w14:textId="77777777" w:rsidR="00D53F3C" w:rsidRPr="00445457" w:rsidRDefault="00C92F76" w:rsidP="00F372B2">
      <w:pPr>
        <w:spacing w:line="259" w:lineRule="auto"/>
        <w:ind w:left="426" w:hanging="426"/>
        <w:jc w:val="left"/>
        <w:rPr>
          <w:sz w:val="20"/>
          <w:szCs w:val="20"/>
        </w:rPr>
      </w:pPr>
      <w:r>
        <w:rPr>
          <w:sz w:val="20"/>
          <w:vertAlign w:val="superscript"/>
        </w:rPr>
        <w:t>a</w:t>
      </w:r>
      <w:r>
        <w:rPr>
          <w:sz w:val="20"/>
        </w:rPr>
        <w:tab/>
        <w:t xml:space="preserve">A kettős vak kezelés eredményei az ITT populációból származnak, és ahol lehetett, egy központi radiológus által végzett mérést alkalmaztak. </w:t>
      </w:r>
    </w:p>
    <w:p w14:paraId="1E7EC643" w14:textId="2822277A" w:rsidR="00D53F3C" w:rsidRPr="00445457" w:rsidRDefault="00C92F76" w:rsidP="00F372B2">
      <w:pPr>
        <w:spacing w:line="259" w:lineRule="auto"/>
        <w:ind w:right="1071"/>
        <w:jc w:val="left"/>
        <w:rPr>
          <w:sz w:val="20"/>
          <w:szCs w:val="20"/>
        </w:rPr>
      </w:pPr>
      <w:r>
        <w:rPr>
          <w:sz w:val="20"/>
          <w:vertAlign w:val="superscript"/>
        </w:rPr>
        <w:t>b</w:t>
      </w:r>
      <w:r w:rsidR="00471C90">
        <w:rPr>
          <w:sz w:val="20"/>
          <w:vertAlign w:val="superscript"/>
        </w:rPr>
        <w:t xml:space="preserve"> </w:t>
      </w:r>
      <w:r>
        <w:rPr>
          <w:sz w:val="20"/>
        </w:rPr>
        <w:tab/>
        <w:t xml:space="preserve">A 99 beteg hatásossági eredményei, akik a vak elrendezés feloldását követően a placebóról szunitinibre tértek át. Az áttéréskor a kiindulási értékeket újraértékelték, és a hatásossági elemzések a vizsgáló értékelésén alapultak. </w:t>
      </w:r>
    </w:p>
    <w:p w14:paraId="0088AD78" w14:textId="77777777" w:rsidR="00D53F3C" w:rsidRPr="00445457" w:rsidRDefault="00C92F76" w:rsidP="00F372B2">
      <w:pPr>
        <w:spacing w:line="259" w:lineRule="auto"/>
        <w:jc w:val="left"/>
        <w:rPr>
          <w:sz w:val="20"/>
          <w:szCs w:val="20"/>
        </w:rPr>
      </w:pPr>
      <w:r>
        <w:rPr>
          <w:sz w:val="20"/>
          <w:vertAlign w:val="superscript"/>
        </w:rPr>
        <w:t>c</w:t>
      </w:r>
      <w:r>
        <w:rPr>
          <w:sz w:val="20"/>
        </w:rPr>
        <w:t xml:space="preserve"> </w:t>
      </w:r>
      <w:r>
        <w:rPr>
          <w:sz w:val="20"/>
        </w:rPr>
        <w:tab/>
        <w:t xml:space="preserve">Az időközi progressziómentes túlélés adatait az eredeti adatok újraszámítása alapján frissítették. </w:t>
      </w:r>
    </w:p>
    <w:p w14:paraId="16737FC1" w14:textId="77777777" w:rsidR="00D53F3C" w:rsidRPr="00445457" w:rsidRDefault="00C92F76" w:rsidP="00F372B2">
      <w:pPr>
        <w:spacing w:line="259" w:lineRule="auto"/>
        <w:jc w:val="left"/>
        <w:rPr>
          <w:sz w:val="20"/>
          <w:szCs w:val="20"/>
        </w:rPr>
      </w:pPr>
      <w:r>
        <w:rPr>
          <w:sz w:val="20"/>
          <w:vertAlign w:val="superscript"/>
        </w:rPr>
        <w:t>d</w:t>
      </w:r>
      <w:r>
        <w:rPr>
          <w:sz w:val="20"/>
        </w:rPr>
        <w:t xml:space="preserve"> </w:t>
      </w:r>
      <w:r>
        <w:rPr>
          <w:sz w:val="20"/>
        </w:rPr>
        <w:tab/>
        <w:t xml:space="preserve">Az objektív válaszarányt azoknak a betegeknek a százalékarányával adták meg, akiknél megerősítették a válaszreakciót 95%-os konfidencia intervallumon belül. </w:t>
      </w:r>
    </w:p>
    <w:p w14:paraId="67F8DA91" w14:textId="77777777" w:rsidR="00D53F3C" w:rsidRPr="00445457" w:rsidRDefault="00C92F76" w:rsidP="00F372B2">
      <w:pPr>
        <w:spacing w:line="259" w:lineRule="auto"/>
        <w:jc w:val="left"/>
        <w:rPr>
          <w:sz w:val="20"/>
          <w:szCs w:val="20"/>
        </w:rPr>
      </w:pPr>
      <w:r>
        <w:rPr>
          <w:sz w:val="20"/>
          <w:vertAlign w:val="superscript"/>
        </w:rPr>
        <w:t>e</w:t>
      </w:r>
      <w:r>
        <w:rPr>
          <w:sz w:val="20"/>
        </w:rPr>
        <w:t xml:space="preserve"> </w:t>
      </w:r>
      <w:r>
        <w:rPr>
          <w:sz w:val="20"/>
        </w:rPr>
        <w:tab/>
        <w:t xml:space="preserve">Az adatok feldolgozottsági szintje még nem érte el a medián érték megállapításához szükséges értéket. </w:t>
      </w:r>
    </w:p>
    <w:p w14:paraId="50E5CEA5" w14:textId="77777777" w:rsidR="009574C9" w:rsidRPr="00445457" w:rsidRDefault="009574C9" w:rsidP="00F372B2">
      <w:pPr>
        <w:spacing w:line="259" w:lineRule="auto"/>
        <w:jc w:val="left"/>
        <w:rPr>
          <w:sz w:val="20"/>
          <w:szCs w:val="20"/>
        </w:rPr>
      </w:pPr>
    </w:p>
    <w:p w14:paraId="1B35698F" w14:textId="41512958" w:rsidR="009574C9" w:rsidRPr="00445457" w:rsidRDefault="00C92F76" w:rsidP="00F372B2">
      <w:pPr>
        <w:spacing w:line="259" w:lineRule="auto"/>
        <w:jc w:val="left"/>
        <w:rPr>
          <w:sz w:val="22"/>
          <w:szCs w:val="22"/>
        </w:rPr>
      </w:pPr>
      <w:r>
        <w:rPr>
          <w:sz w:val="22"/>
        </w:rPr>
        <w:t>Az OS mediánja az ITT populációban 72,7 hét volt a szunitinib-karon, és 64,9 hét volt a placebokaron (HR: 0,876; 95%</w:t>
      </w:r>
      <w:r w:rsidR="004B00AB">
        <w:rPr>
          <w:sz w:val="22"/>
        </w:rPr>
        <w:t>-os</w:t>
      </w:r>
      <w:r>
        <w:rPr>
          <w:sz w:val="22"/>
        </w:rPr>
        <w:t> CI: 0,679; 1,129; p</w:t>
      </w:r>
      <w:r w:rsidR="004B00AB">
        <w:rPr>
          <w:sz w:val="22"/>
        </w:rPr>
        <w:t xml:space="preserve"> </w:t>
      </w:r>
      <w:r>
        <w:rPr>
          <w:sz w:val="22"/>
        </w:rPr>
        <w:t>=</w:t>
      </w:r>
      <w:r w:rsidR="004B00AB">
        <w:rPr>
          <w:sz w:val="22"/>
        </w:rPr>
        <w:t xml:space="preserve"> </w:t>
      </w:r>
      <w:r>
        <w:rPr>
          <w:sz w:val="22"/>
        </w:rPr>
        <w:t>0,306). Ebben az elemzésben a placebokarba tartoztak azok a betegek, akiket placebokezelésre randomizáltak, majd a nyílt vizsgálati szakaszban szunitinib</w:t>
      </w:r>
      <w:r w:rsidR="004B00AB">
        <w:rPr>
          <w:sz w:val="22"/>
        </w:rPr>
        <w:t>-</w:t>
      </w:r>
      <w:r>
        <w:rPr>
          <w:sz w:val="22"/>
        </w:rPr>
        <w:t xml:space="preserve">kezelésben részesültek. </w:t>
      </w:r>
    </w:p>
    <w:p w14:paraId="6B1F4FB7" w14:textId="77777777" w:rsidR="009574C9" w:rsidRPr="00445457" w:rsidRDefault="00C92F76" w:rsidP="00F372B2">
      <w:pPr>
        <w:spacing w:line="259" w:lineRule="auto"/>
        <w:jc w:val="left"/>
        <w:rPr>
          <w:sz w:val="22"/>
          <w:szCs w:val="22"/>
        </w:rPr>
      </w:pPr>
      <w:r>
        <w:rPr>
          <w:i/>
          <w:sz w:val="22"/>
        </w:rPr>
        <w:t xml:space="preserve"> </w:t>
      </w:r>
    </w:p>
    <w:p w14:paraId="2B42053C" w14:textId="182B1E19" w:rsidR="009574C9" w:rsidRPr="00445457" w:rsidRDefault="00C92F76" w:rsidP="00F372B2">
      <w:pPr>
        <w:spacing w:line="259" w:lineRule="auto"/>
        <w:jc w:val="left"/>
        <w:rPr>
          <w:sz w:val="22"/>
          <w:szCs w:val="22"/>
          <w:u w:val="single"/>
        </w:rPr>
      </w:pPr>
      <w:r>
        <w:rPr>
          <w:i/>
          <w:sz w:val="22"/>
        </w:rPr>
        <w:t>Előzőleg nem kezelt, metasztatizáló vesesejtes carcinoma</w:t>
      </w:r>
      <w:r w:rsidR="00471C90">
        <w:rPr>
          <w:i/>
          <w:sz w:val="22"/>
        </w:rPr>
        <w:t xml:space="preserve"> </w:t>
      </w:r>
    </w:p>
    <w:p w14:paraId="1ECF9C0D" w14:textId="0E05BD31" w:rsidR="009574C9" w:rsidRPr="00445457" w:rsidRDefault="00C92F76" w:rsidP="00F372B2">
      <w:pPr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Egy III. fázisú, randomizált, multicentrikus, nemzetközi vizsgálatot végeztek, amelyben a szunitinib hatásosságát és biztonságosságát vizsgálták IFN-α-kezeléssel összehasonlítva előzőleg nem kezelt MRCC-s betegekben. </w:t>
      </w:r>
      <w:r w:rsidR="004B00AB">
        <w:rPr>
          <w:sz w:val="22"/>
        </w:rPr>
        <w:t xml:space="preserve">A két kezelési karba 750 beteget randomizáltak 1:1 arányban. </w:t>
      </w:r>
      <w:r>
        <w:rPr>
          <w:sz w:val="22"/>
        </w:rPr>
        <w:t xml:space="preserve">A betegek vagy szunitinibet kaptak ismétlődő, 6 hetes ciklusokban </w:t>
      </w:r>
      <w:r>
        <w:rPr>
          <w:sz w:val="22"/>
          <w:cs/>
        </w:rPr>
        <w:t xml:space="preserve">– </w:t>
      </w:r>
      <w:r>
        <w:rPr>
          <w:sz w:val="22"/>
        </w:rPr>
        <w:t xml:space="preserve">amelyek négy hétig tartó, 50 mg/nap </w:t>
      </w:r>
      <w:r w:rsidRPr="008B4E6D">
        <w:rPr>
          <w:i/>
          <w:iCs/>
          <w:sz w:val="22"/>
        </w:rPr>
        <w:t>per os</w:t>
      </w:r>
      <w:r>
        <w:rPr>
          <w:sz w:val="22"/>
        </w:rPr>
        <w:t xml:space="preserve"> adagolásból, majd két hét szünetből álltak (4/2-es adagolási rend) </w:t>
      </w:r>
      <w:r>
        <w:rPr>
          <w:sz w:val="22"/>
          <w:cs/>
        </w:rPr>
        <w:t>–</w:t>
      </w:r>
      <w:r>
        <w:rPr>
          <w:sz w:val="22"/>
        </w:rPr>
        <w:t>, vagy IFN-α-t kaptak hetente háromszor, nem egymást követő napokon, amely során az első héten 3 millió egységet adtak be szubkután injekcióként, a második héten 6 millió egységet, a harmadik héten és azt követően pedig 9 millió egységet.</w:t>
      </w:r>
      <w:r w:rsidR="00471C90">
        <w:rPr>
          <w:sz w:val="22"/>
        </w:rPr>
        <w:t xml:space="preserve"> </w:t>
      </w:r>
    </w:p>
    <w:p w14:paraId="1DA25C9E" w14:textId="77777777" w:rsidR="009574C9" w:rsidRPr="00445457" w:rsidRDefault="00C92F76" w:rsidP="00F372B2">
      <w:pPr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78C7CE38" w14:textId="1BBEAF55" w:rsidR="009574C9" w:rsidRPr="00445457" w:rsidRDefault="00C92F76" w:rsidP="00F372B2">
      <w:pPr>
        <w:spacing w:line="259" w:lineRule="auto"/>
        <w:jc w:val="left"/>
        <w:rPr>
          <w:sz w:val="22"/>
          <w:szCs w:val="22"/>
        </w:rPr>
      </w:pPr>
      <w:r>
        <w:rPr>
          <w:sz w:val="22"/>
        </w:rPr>
        <w:t>A kezelés medián időtartama 11,1 hónap (szélsőértékek: 0,4</w:t>
      </w:r>
      <w:r>
        <w:rPr>
          <w:sz w:val="22"/>
          <w:cs/>
        </w:rPr>
        <w:t>–</w:t>
      </w:r>
      <w:r>
        <w:rPr>
          <w:sz w:val="22"/>
        </w:rPr>
        <w:t>46,1) volt a szunitinib</w:t>
      </w:r>
      <w:r w:rsidR="004B00AB">
        <w:rPr>
          <w:sz w:val="22"/>
        </w:rPr>
        <w:t>-</w:t>
      </w:r>
      <w:r>
        <w:rPr>
          <w:sz w:val="22"/>
        </w:rPr>
        <w:t>kezelés, és 4,1 hónap (szélsőértékek: 0,1</w:t>
      </w:r>
      <w:r>
        <w:rPr>
          <w:sz w:val="22"/>
          <w:cs/>
        </w:rPr>
        <w:t>–</w:t>
      </w:r>
      <w:r>
        <w:rPr>
          <w:sz w:val="22"/>
        </w:rPr>
        <w:t>45,6) az IFN-α-kezelés esetén. A szunitinibet szedő betegek 23,7%</w:t>
      </w:r>
      <w:r w:rsidR="00F465A6">
        <w:rPr>
          <w:sz w:val="22"/>
        </w:rPr>
        <w:t>-</w:t>
      </w:r>
      <w:r>
        <w:rPr>
          <w:sz w:val="22"/>
        </w:rPr>
        <w:t>ánál, az IFN-α-t kapó betegek 6,9%-ánál jelentettek a kezeléssel összefüggő, súlyos nemkívánatos eseményeket. Ugyanakkor a nemkívánatos események miatt a kezelést abbahagyók aránya a szunitinib esetén 20%, míg az IFN-α esetén 23% volt. Az adagolás megszakítása 202 (54%) szunitinibet szedő betegnél és 141 (39%) IFN-α-t kapó betegnél fordult elő. Dóziscsökkentés 194 (52%) szunitinibet szedő betegnél, és 98 (27%) IFN-α-t kapó betegnél fordult elő. A betegeket a betegség progressziójáig vagy a vizsgálatból történő kizárásig kezelték. Az elsődleges hatásossági végpont a PFS volt. A tervezett időközi elemzés a szunitinib statisztikailag szignifikáns előnyét mutatta az IFN-α-val szemben, ebben a vizsgálatban a PFS medián értéke a szunitinib kezelési csoportban 47,3 hét, míg az IFN-α kezelési csoportban 22,0 hét volt; a HR 0,415 volt (95%-os CI: 0,320</w:t>
      </w:r>
      <w:r w:rsidR="00F465A6">
        <w:t>–</w:t>
      </w:r>
      <w:r>
        <w:rPr>
          <w:sz w:val="22"/>
        </w:rPr>
        <w:t>0,539</w:t>
      </w:r>
      <w:r w:rsidR="00F465A6">
        <w:rPr>
          <w:sz w:val="22"/>
        </w:rPr>
        <w:t>,</w:t>
      </w:r>
      <w:r>
        <w:rPr>
          <w:sz w:val="22"/>
        </w:rPr>
        <w:t xml:space="preserve"> p-érték</w:t>
      </w:r>
      <w:r w:rsidR="00F465A6">
        <w:rPr>
          <w:sz w:val="22"/>
        </w:rPr>
        <w:t xml:space="preserve"> </w:t>
      </w:r>
      <w:r>
        <w:rPr>
          <w:sz w:val="22"/>
        </w:rPr>
        <w:t>&lt;0,001). További végpontok voltak még az ORR, az OS és a biztonságosság. Az alapvető radiológiai vizsgálatokat az elsődleges végpont elérése után abbahagyták. A végső elemzésben a vizsgáló által megállapított ORR a szunitinib</w:t>
      </w:r>
      <w:r w:rsidR="00F465A6">
        <w:rPr>
          <w:sz w:val="22"/>
        </w:rPr>
        <w:t>-</w:t>
      </w:r>
      <w:r>
        <w:rPr>
          <w:sz w:val="22"/>
        </w:rPr>
        <w:t>karon 46% (95%-os CI: 41%, 51%) és az IFN-α-karon 12,0% (95%-os CI: 9%, 16%) volt (p</w:t>
      </w:r>
      <w:r w:rsidR="00F465A6">
        <w:rPr>
          <w:sz w:val="22"/>
        </w:rPr>
        <w:t xml:space="preserve">-érték </w:t>
      </w:r>
      <w:r>
        <w:rPr>
          <w:sz w:val="22"/>
        </w:rPr>
        <w:t xml:space="preserve">&lt;0,001). </w:t>
      </w:r>
    </w:p>
    <w:p w14:paraId="243F3CB9" w14:textId="77777777" w:rsidR="009574C9" w:rsidRPr="00445457" w:rsidRDefault="00C92F76" w:rsidP="00F372B2">
      <w:pPr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29093AC8" w14:textId="0D05F74B" w:rsidR="009574C9" w:rsidRPr="00445457" w:rsidRDefault="00C92F76" w:rsidP="00F372B2">
      <w:pPr>
        <w:spacing w:line="259" w:lineRule="auto"/>
        <w:jc w:val="left"/>
        <w:rPr>
          <w:sz w:val="22"/>
          <w:szCs w:val="22"/>
        </w:rPr>
      </w:pPr>
      <w:r>
        <w:rPr>
          <w:sz w:val="22"/>
        </w:rPr>
        <w:t>A szunitinib</w:t>
      </w:r>
      <w:r w:rsidR="00F465A6">
        <w:rPr>
          <w:sz w:val="22"/>
        </w:rPr>
        <w:t>-</w:t>
      </w:r>
      <w:r>
        <w:rPr>
          <w:sz w:val="22"/>
        </w:rPr>
        <w:t>kezeléshez hosszabb túlélés társult, mint az IFN-α-val végzetthez. A teljes túlélés mediánja a szunitinib</w:t>
      </w:r>
      <w:r w:rsidR="00F465A6">
        <w:rPr>
          <w:sz w:val="22"/>
        </w:rPr>
        <w:t>-</w:t>
      </w:r>
      <w:r>
        <w:rPr>
          <w:sz w:val="22"/>
        </w:rPr>
        <w:t>karon 114,6 hét (95%-os CI: 100,1</w:t>
      </w:r>
      <w:r w:rsidR="00334505">
        <w:rPr>
          <w:sz w:val="22"/>
        </w:rPr>
        <w:t>,</w:t>
      </w:r>
      <w:r>
        <w:rPr>
          <w:sz w:val="22"/>
        </w:rPr>
        <w:t xml:space="preserve"> 142,9), az IFN-α-karon pedig 94,9 hét volt (95%-os CI: 77,7</w:t>
      </w:r>
      <w:r w:rsidR="00334505">
        <w:rPr>
          <w:sz w:val="22"/>
        </w:rPr>
        <w:t>,</w:t>
      </w:r>
      <w:r>
        <w:rPr>
          <w:sz w:val="22"/>
        </w:rPr>
        <w:t xml:space="preserve"> 117,0)</w:t>
      </w:r>
      <w:r w:rsidR="00334505">
        <w:rPr>
          <w:sz w:val="22"/>
        </w:rPr>
        <w:t>,</w:t>
      </w:r>
      <w:r>
        <w:rPr>
          <w:sz w:val="22"/>
        </w:rPr>
        <w:t xml:space="preserve"> HR</w:t>
      </w:r>
      <w:r w:rsidR="00334505">
        <w:rPr>
          <w:sz w:val="22"/>
        </w:rPr>
        <w:t>:</w:t>
      </w:r>
      <w:r>
        <w:rPr>
          <w:sz w:val="22"/>
        </w:rPr>
        <w:t xml:space="preserve"> 0,821 (95%</w:t>
      </w:r>
      <w:r w:rsidR="00334505">
        <w:rPr>
          <w:sz w:val="22"/>
        </w:rPr>
        <w:t>-os</w:t>
      </w:r>
      <w:r>
        <w:rPr>
          <w:sz w:val="22"/>
        </w:rPr>
        <w:t xml:space="preserve"> CI: 0,673</w:t>
      </w:r>
      <w:r w:rsidR="00334505">
        <w:rPr>
          <w:sz w:val="22"/>
        </w:rPr>
        <w:t>,</w:t>
      </w:r>
      <w:r>
        <w:rPr>
          <w:sz w:val="22"/>
        </w:rPr>
        <w:t xml:space="preserve"> 1,001; p = 0,0510, nem rétegzett lograng próba szerint).</w:t>
      </w:r>
      <w:r w:rsidR="00471C90">
        <w:rPr>
          <w:sz w:val="22"/>
        </w:rPr>
        <w:t xml:space="preserve"> </w:t>
      </w:r>
    </w:p>
    <w:p w14:paraId="6220DFA0" w14:textId="77777777" w:rsidR="009574C9" w:rsidRPr="00445457" w:rsidRDefault="00C92F76" w:rsidP="00F372B2">
      <w:pPr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222FD638" w14:textId="7D1ED261" w:rsidR="009574C9" w:rsidRPr="00445457" w:rsidRDefault="00C92F76" w:rsidP="00F372B2">
      <w:pPr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Az alapvető radiológiai és laboratóriumi vizsgálatok szerint megállapított progressziómentes túlélési és teljes túlélési adatok az ITT populációban a </w:t>
      </w:r>
      <w:r>
        <w:rPr>
          <w:sz w:val="22"/>
        </w:rPr>
        <w:fldChar w:fldCharType="begin"/>
      </w:r>
      <w:r>
        <w:rPr>
          <w:sz w:val="22"/>
        </w:rPr>
        <w:instrText xml:space="preserve"> REF _Ref22050653 \h  \* MERGEFORMAT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sz w:val="22"/>
        </w:rPr>
        <w:t>3</w:t>
      </w:r>
      <w:r>
        <w:rPr>
          <w:sz w:val="22"/>
        </w:rPr>
        <w:fldChar w:fldCharType="end"/>
      </w:r>
      <w:r w:rsidR="00B50CE4">
        <w:rPr>
          <w:sz w:val="22"/>
        </w:rPr>
        <w:t>. táblázat</w:t>
      </w:r>
      <w:r>
        <w:rPr>
          <w:sz w:val="22"/>
        </w:rPr>
        <w:t>ban kerültek összefoglalásra:</w:t>
      </w:r>
    </w:p>
    <w:p w14:paraId="2039D4B3" w14:textId="77777777" w:rsidR="009574C9" w:rsidRPr="00445457" w:rsidRDefault="009574C9" w:rsidP="00F372B2">
      <w:pPr>
        <w:spacing w:line="259" w:lineRule="auto"/>
        <w:jc w:val="left"/>
        <w:rPr>
          <w:sz w:val="22"/>
          <w:szCs w:val="22"/>
        </w:rPr>
      </w:pPr>
    </w:p>
    <w:bookmarkStart w:id="1" w:name="_Ref22050653"/>
    <w:p w14:paraId="65A18CE6" w14:textId="38ECB16B" w:rsidR="009574C9" w:rsidRPr="00445457" w:rsidRDefault="00C92F76" w:rsidP="00F372B2">
      <w:pPr>
        <w:pStyle w:val="Kpalrs"/>
        <w:ind w:hanging="1077"/>
        <w:jc w:val="left"/>
        <w:rPr>
          <w:b/>
          <w:sz w:val="22"/>
          <w:szCs w:val="22"/>
        </w:rPr>
      </w:pPr>
      <w:r>
        <w:rPr>
          <w:b/>
          <w:sz w:val="22"/>
        </w:rPr>
        <w:lastRenderedPageBreak/>
        <w:fldChar w:fldCharType="begin"/>
      </w:r>
      <w:r>
        <w:rPr>
          <w:b/>
          <w:sz w:val="22"/>
        </w:rPr>
        <w:instrText xml:space="preserve"> SEQ Table \* ARABIC </w:instrText>
      </w:r>
      <w:r>
        <w:rPr>
          <w:b/>
          <w:sz w:val="22"/>
        </w:rPr>
        <w:fldChar w:fldCharType="separate"/>
      </w:r>
      <w:r>
        <w:rPr>
          <w:b/>
          <w:sz w:val="22"/>
        </w:rPr>
        <w:t>3</w:t>
      </w:r>
      <w:r>
        <w:rPr>
          <w:b/>
          <w:sz w:val="22"/>
        </w:rPr>
        <w:fldChar w:fldCharType="end"/>
      </w:r>
      <w:bookmarkEnd w:id="1"/>
      <w:r>
        <w:rPr>
          <w:b/>
          <w:sz w:val="22"/>
        </w:rPr>
        <w:t>. táblázat</w:t>
      </w:r>
      <w:r w:rsidR="00334505">
        <w:rPr>
          <w:b/>
          <w:sz w:val="22"/>
        </w:rPr>
        <w:t xml:space="preserve">. </w:t>
      </w:r>
      <w:r>
        <w:rPr>
          <w:b/>
          <w:sz w:val="22"/>
        </w:rPr>
        <w:t>A hatásossági végpontok összegzése még nem kezelt MRCC-ben (ITT populáció)</w:t>
      </w:r>
      <w:r w:rsidR="00471C90">
        <w:rPr>
          <w:b/>
          <w:sz w:val="22"/>
        </w:rPr>
        <w:t xml:space="preserve"> </w:t>
      </w:r>
    </w:p>
    <w:tbl>
      <w:tblPr>
        <w:tblW w:w="9923" w:type="dxa"/>
        <w:tblInd w:w="-8" w:type="dxa"/>
        <w:tblCellMar>
          <w:top w:w="25" w:type="dxa"/>
          <w:left w:w="104" w:type="dxa"/>
          <w:bottom w:w="8" w:type="dxa"/>
          <w:right w:w="115" w:type="dxa"/>
        </w:tblCellMar>
        <w:tblLook w:val="04A0" w:firstRow="1" w:lastRow="0" w:firstColumn="1" w:lastColumn="0" w:noHBand="0" w:noVBand="1"/>
      </w:tblPr>
      <w:tblGrid>
        <w:gridCol w:w="4820"/>
        <w:gridCol w:w="2551"/>
        <w:gridCol w:w="2552"/>
      </w:tblGrid>
      <w:tr w:rsidR="009574C9" w:rsidRPr="00445457" w14:paraId="1BF7E201" w14:textId="77777777" w:rsidTr="00F42D79">
        <w:trPr>
          <w:trHeight w:val="528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1A74467" w14:textId="77777777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Progressziómentes túlélés összegzése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7C5AA" w14:textId="77777777" w:rsidR="009574C9" w:rsidRPr="00F42D79" w:rsidRDefault="00C92F76" w:rsidP="00F372B2">
            <w:pPr>
              <w:spacing w:line="259" w:lineRule="auto"/>
              <w:ind w:left="7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Szunitinib </w:t>
            </w:r>
          </w:p>
          <w:p w14:paraId="2466BE9D" w14:textId="6B5F200C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(</w:t>
            </w:r>
            <w:r w:rsidR="00334505">
              <w:rPr>
                <w:b/>
                <w:sz w:val="22"/>
              </w:rPr>
              <w:t>N</w:t>
            </w:r>
            <w:r>
              <w:rPr>
                <w:b/>
                <w:sz w:val="22"/>
              </w:rPr>
              <w:t xml:space="preserve">=375)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B4054" w14:textId="77777777" w:rsidR="009574C9" w:rsidRPr="00F42D79" w:rsidRDefault="00C92F76" w:rsidP="00F372B2">
            <w:pPr>
              <w:spacing w:line="259" w:lineRule="auto"/>
              <w:ind w:right="23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IFN-</w:t>
            </w:r>
            <w:r>
              <w:rPr>
                <w:sz w:val="22"/>
              </w:rPr>
              <w:t>α</w:t>
            </w:r>
            <w:r>
              <w:rPr>
                <w:b/>
                <w:sz w:val="22"/>
              </w:rPr>
              <w:t xml:space="preserve"> </w:t>
            </w:r>
          </w:p>
          <w:p w14:paraId="08CF8397" w14:textId="3B5D65D2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(</w:t>
            </w:r>
            <w:r w:rsidR="00334505">
              <w:rPr>
                <w:b/>
                <w:sz w:val="22"/>
              </w:rPr>
              <w:t>N</w:t>
            </w:r>
            <w:r>
              <w:rPr>
                <w:b/>
                <w:sz w:val="22"/>
              </w:rPr>
              <w:t xml:space="preserve">=375) </w:t>
            </w:r>
          </w:p>
        </w:tc>
      </w:tr>
      <w:tr w:rsidR="009574C9" w:rsidRPr="00445457" w14:paraId="0951E4B2" w14:textId="77777777" w:rsidTr="00F42D79">
        <w:trPr>
          <w:trHeight w:val="272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60DA8" w14:textId="0917EDB4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A beteg állapota nem progrediált, ill</w:t>
            </w:r>
            <w:r w:rsidR="00334505">
              <w:rPr>
                <w:sz w:val="22"/>
              </w:rPr>
              <w:t>.</w:t>
            </w:r>
            <w:r>
              <w:rPr>
                <w:sz w:val="22"/>
              </w:rPr>
              <w:t xml:space="preserve"> a beteg nem halt meg [n (%)]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69439" w14:textId="77777777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161 (42,9)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13B04" w14:textId="77777777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176 (46,9) </w:t>
            </w:r>
          </w:p>
        </w:tc>
      </w:tr>
      <w:tr w:rsidR="009574C9" w:rsidRPr="00445457" w14:paraId="793526BC" w14:textId="77777777" w:rsidTr="00F42D79">
        <w:trPr>
          <w:trHeight w:val="512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F24C8" w14:textId="7606BFA5" w:rsidR="009574C9" w:rsidRPr="00F42D79" w:rsidRDefault="00334505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A betegnél progressziót észleltek vagy meghalt</w:t>
            </w:r>
            <w:r w:rsidR="00C92F76">
              <w:rPr>
                <w:sz w:val="22"/>
              </w:rPr>
              <w:t xml:space="preserve"> [n (%)]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2D543" w14:textId="77777777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214 (57,1)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C458D" w14:textId="77777777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199 (53,1) </w:t>
            </w:r>
          </w:p>
        </w:tc>
      </w:tr>
      <w:tr w:rsidR="009574C9" w:rsidRPr="00445457" w14:paraId="5B3BC9DC" w14:textId="77777777" w:rsidTr="00F42D79">
        <w:trPr>
          <w:trHeight w:val="256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1BE586" w14:textId="77777777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PFS (hét)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440F675" w14:textId="77777777" w:rsidR="009574C9" w:rsidRPr="00F42D79" w:rsidRDefault="009574C9" w:rsidP="002201B3">
            <w:pPr>
              <w:spacing w:after="160" w:line="259" w:lineRule="auto"/>
              <w:jc w:val="left"/>
              <w:rPr>
                <w:sz w:val="22"/>
                <w:szCs w:val="22"/>
              </w:rPr>
            </w:pPr>
          </w:p>
        </w:tc>
      </w:tr>
      <w:tr w:rsidR="009574C9" w:rsidRPr="00445457" w14:paraId="18008713" w14:textId="77777777" w:rsidTr="00F42D79">
        <w:trPr>
          <w:trHeight w:val="272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BBD138" w14:textId="77777777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Kvartilis (95%-os CI)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3561216" w14:textId="77777777" w:rsidR="009574C9" w:rsidRPr="00F42D79" w:rsidRDefault="009574C9" w:rsidP="002201B3">
            <w:pPr>
              <w:spacing w:after="160" w:line="259" w:lineRule="auto"/>
              <w:jc w:val="left"/>
              <w:rPr>
                <w:sz w:val="22"/>
                <w:szCs w:val="22"/>
              </w:rPr>
            </w:pPr>
          </w:p>
        </w:tc>
      </w:tr>
      <w:tr w:rsidR="009574C9" w:rsidRPr="00445457" w14:paraId="46F8E5DC" w14:textId="77777777" w:rsidTr="00F42D79">
        <w:trPr>
          <w:trHeight w:val="256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A9667" w14:textId="58C4A4BC" w:rsidR="009574C9" w:rsidRPr="00F42D79" w:rsidRDefault="00471C90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 w:rsidR="00C92F76">
              <w:rPr>
                <w:sz w:val="22"/>
              </w:rPr>
              <w:t xml:space="preserve">25%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8D798" w14:textId="77777777" w:rsidR="009574C9" w:rsidRPr="00F42D79" w:rsidRDefault="00C92F76" w:rsidP="00F372B2">
            <w:pPr>
              <w:spacing w:line="259" w:lineRule="auto"/>
              <w:ind w:right="2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22,7 (18,0; 34,0)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3A475" w14:textId="77777777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10,0 (7,3; 10,3) </w:t>
            </w:r>
          </w:p>
        </w:tc>
      </w:tr>
      <w:tr w:rsidR="009574C9" w:rsidRPr="00445457" w14:paraId="4179BF5D" w14:textId="77777777" w:rsidTr="00F42D79">
        <w:trPr>
          <w:trHeight w:val="272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6FC17" w14:textId="4AC0891C" w:rsidR="009574C9" w:rsidRPr="00F42D79" w:rsidRDefault="00471C90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 w:rsidR="00C92F76">
              <w:rPr>
                <w:sz w:val="22"/>
              </w:rPr>
              <w:t xml:space="preserve">50%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1F006" w14:textId="77777777" w:rsidR="009574C9" w:rsidRPr="00F42D79" w:rsidRDefault="00C92F76" w:rsidP="00F372B2">
            <w:pPr>
              <w:spacing w:line="259" w:lineRule="auto"/>
              <w:ind w:right="2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48,3 (46,4; 58,3)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1DEB7" w14:textId="77777777" w:rsidR="009574C9" w:rsidRPr="00F42D79" w:rsidRDefault="00C92F76" w:rsidP="00F372B2">
            <w:pPr>
              <w:spacing w:line="259" w:lineRule="auto"/>
              <w:ind w:left="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22,1 (17,1; 24,0) </w:t>
            </w:r>
          </w:p>
        </w:tc>
      </w:tr>
      <w:tr w:rsidR="009574C9" w:rsidRPr="00445457" w14:paraId="7D3D561D" w14:textId="77777777" w:rsidTr="00F42D79">
        <w:trPr>
          <w:trHeight w:val="256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F250E" w14:textId="08A44BBE" w:rsidR="009574C9" w:rsidRPr="00F42D79" w:rsidRDefault="00471C90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 w:rsidR="00C92F76">
              <w:rPr>
                <w:sz w:val="22"/>
              </w:rPr>
              <w:t xml:space="preserve">75%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D74DC" w14:textId="77777777" w:rsidR="009574C9" w:rsidRPr="00F42D79" w:rsidRDefault="00C92F76" w:rsidP="00F372B2">
            <w:pPr>
              <w:spacing w:line="259" w:lineRule="auto"/>
              <w:ind w:right="2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84,3 (72,9; 95,1)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8EF9E" w14:textId="77777777" w:rsidR="009574C9" w:rsidRPr="00F42D79" w:rsidRDefault="00C92F76" w:rsidP="00F372B2">
            <w:pPr>
              <w:spacing w:line="259" w:lineRule="auto"/>
              <w:ind w:left="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58,1 (45,6; 82,1) </w:t>
            </w:r>
          </w:p>
        </w:tc>
      </w:tr>
      <w:tr w:rsidR="009574C9" w:rsidRPr="00445457" w14:paraId="3DC44B83" w14:textId="77777777" w:rsidTr="00F42D79">
        <w:trPr>
          <w:trHeight w:val="256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1D8EF2" w14:textId="7BF3120D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Nem rétegzett elemzés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A01AFDB" w14:textId="77777777" w:rsidR="009574C9" w:rsidRPr="00F42D79" w:rsidRDefault="009574C9" w:rsidP="002201B3">
            <w:pPr>
              <w:spacing w:after="160" w:line="259" w:lineRule="auto"/>
              <w:jc w:val="left"/>
              <w:rPr>
                <w:sz w:val="22"/>
                <w:szCs w:val="22"/>
              </w:rPr>
            </w:pPr>
          </w:p>
        </w:tc>
      </w:tr>
      <w:tr w:rsidR="009574C9" w:rsidRPr="00445457" w14:paraId="52FEF713" w14:textId="77777777" w:rsidTr="00F42D79">
        <w:trPr>
          <w:trHeight w:val="288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1AA19" w14:textId="37087954" w:rsidR="009574C9" w:rsidRPr="00F42D79" w:rsidRDefault="00334505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HR</w:t>
            </w:r>
            <w:r w:rsidR="00C92F76">
              <w:rPr>
                <w:sz w:val="22"/>
              </w:rPr>
              <w:t xml:space="preserve"> (szunitinib vs. IFN-α)</w:t>
            </w:r>
            <w:r w:rsidR="00471C90">
              <w:rPr>
                <w:sz w:val="22"/>
              </w:rPr>
              <w:t xml:space="preserve">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73BD4" w14:textId="77777777" w:rsidR="009574C9" w:rsidRPr="00F42D79" w:rsidRDefault="00C92F76" w:rsidP="00F372B2">
            <w:pPr>
              <w:spacing w:line="259" w:lineRule="auto"/>
              <w:ind w:right="2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0,5268 </w:t>
            </w:r>
          </w:p>
        </w:tc>
      </w:tr>
      <w:tr w:rsidR="009574C9" w:rsidRPr="00445457" w14:paraId="7CDD5B3C" w14:textId="77777777" w:rsidTr="00F42D79">
        <w:trPr>
          <w:trHeight w:val="256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9838C" w14:textId="5B23680D" w:rsidR="009574C9" w:rsidRPr="00F42D79" w:rsidRDefault="00334505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Relatív hazárdra</w:t>
            </w:r>
            <w:r w:rsidR="00C92F76">
              <w:rPr>
                <w:sz w:val="22"/>
              </w:rPr>
              <w:t xml:space="preserve"> vonatkozó 95%-os CI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85E0F" w14:textId="785BA112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(0,4316</w:t>
            </w:r>
            <w:r w:rsidR="00334505">
              <w:rPr>
                <w:sz w:val="22"/>
              </w:rPr>
              <w:t>,</w:t>
            </w:r>
            <w:r>
              <w:rPr>
                <w:sz w:val="22"/>
              </w:rPr>
              <w:t xml:space="preserve"> 0,6430) </w:t>
            </w:r>
          </w:p>
        </w:tc>
      </w:tr>
      <w:tr w:rsidR="009574C9" w:rsidRPr="00445457" w14:paraId="1023038D" w14:textId="77777777" w:rsidTr="00F42D79">
        <w:trPr>
          <w:trHeight w:val="272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1FB51" w14:textId="77777777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p-érték</w:t>
            </w:r>
            <w:r>
              <w:rPr>
                <w:sz w:val="22"/>
                <w:vertAlign w:val="superscript"/>
              </w:rPr>
              <w:t>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32945" w14:textId="77777777" w:rsidR="009574C9" w:rsidRPr="00F42D79" w:rsidRDefault="00C92F76" w:rsidP="00F372B2">
            <w:pPr>
              <w:spacing w:line="259" w:lineRule="auto"/>
              <w:ind w:right="2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&lt;0,0001 </w:t>
            </w:r>
          </w:p>
        </w:tc>
      </w:tr>
      <w:tr w:rsidR="009574C9" w:rsidRPr="00445457" w14:paraId="56292774" w14:textId="77777777" w:rsidTr="00F42D79">
        <w:trPr>
          <w:trHeight w:val="256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4BF6A4" w14:textId="77777777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Teljes túlélés összegzése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F41B0D1" w14:textId="77777777" w:rsidR="009574C9" w:rsidRPr="00F42D79" w:rsidRDefault="009574C9" w:rsidP="002201B3">
            <w:pPr>
              <w:spacing w:after="160" w:line="259" w:lineRule="auto"/>
              <w:jc w:val="left"/>
              <w:rPr>
                <w:sz w:val="22"/>
                <w:szCs w:val="22"/>
              </w:rPr>
            </w:pPr>
          </w:p>
        </w:tc>
      </w:tr>
      <w:tr w:rsidR="009574C9" w:rsidRPr="00445457" w14:paraId="46931347" w14:textId="77777777" w:rsidTr="00F42D79">
        <w:trPr>
          <w:trHeight w:val="272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B6BB4" w14:textId="6E3F3462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Azon betegek száma, akikről nem</w:t>
            </w:r>
            <w:r w:rsidR="00334505">
              <w:rPr>
                <w:sz w:val="22"/>
              </w:rPr>
              <w:t xml:space="preserve"> tudott</w:t>
            </w:r>
            <w:r>
              <w:rPr>
                <w:sz w:val="22"/>
              </w:rPr>
              <w:t>, hogy élnek-e még [n (%)]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F94B6" w14:textId="77777777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185 (49,3)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8C610" w14:textId="77777777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175 (46,7) </w:t>
            </w:r>
          </w:p>
        </w:tc>
      </w:tr>
      <w:tr w:rsidR="009574C9" w:rsidRPr="00445457" w14:paraId="0912A328" w14:textId="77777777" w:rsidTr="00F42D79">
        <w:trPr>
          <w:trHeight w:val="256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75EDE" w14:textId="09C995C1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Azon betegek száma, akikről </w:t>
            </w:r>
            <w:r w:rsidR="00334505">
              <w:rPr>
                <w:sz w:val="22"/>
              </w:rPr>
              <w:t>tudott</w:t>
            </w:r>
            <w:r>
              <w:rPr>
                <w:sz w:val="22"/>
              </w:rPr>
              <w:t xml:space="preserve">, hogy elhunytak [n (%)]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F167C" w14:textId="77777777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190 (50,7)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E507E" w14:textId="77777777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200 (53,3) </w:t>
            </w:r>
          </w:p>
        </w:tc>
      </w:tr>
      <w:tr w:rsidR="009574C9" w:rsidRPr="00445457" w14:paraId="6C0BB02C" w14:textId="77777777" w:rsidTr="00F42D79">
        <w:trPr>
          <w:trHeight w:val="272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09DD8B" w14:textId="77777777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OS (hét)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484F730" w14:textId="77777777" w:rsidR="009574C9" w:rsidRPr="00F42D79" w:rsidRDefault="009574C9" w:rsidP="002201B3">
            <w:pPr>
              <w:spacing w:after="160" w:line="259" w:lineRule="auto"/>
              <w:jc w:val="left"/>
              <w:rPr>
                <w:sz w:val="22"/>
                <w:szCs w:val="22"/>
              </w:rPr>
            </w:pPr>
          </w:p>
        </w:tc>
      </w:tr>
      <w:tr w:rsidR="009574C9" w:rsidRPr="00445457" w14:paraId="18E7070B" w14:textId="77777777" w:rsidTr="00F42D79">
        <w:trPr>
          <w:trHeight w:val="256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72699E" w14:textId="77777777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Kvartilis (95%-os CI)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B4A9FF4" w14:textId="77777777" w:rsidR="009574C9" w:rsidRPr="00F42D79" w:rsidRDefault="009574C9" w:rsidP="002201B3">
            <w:pPr>
              <w:spacing w:after="160" w:line="259" w:lineRule="auto"/>
              <w:jc w:val="left"/>
              <w:rPr>
                <w:sz w:val="22"/>
                <w:szCs w:val="22"/>
              </w:rPr>
            </w:pPr>
          </w:p>
        </w:tc>
      </w:tr>
      <w:tr w:rsidR="009574C9" w:rsidRPr="00445457" w14:paraId="24ED58D3" w14:textId="77777777" w:rsidTr="00F42D79">
        <w:trPr>
          <w:trHeight w:val="256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5FBB2" w14:textId="6C8E7F46" w:rsidR="009574C9" w:rsidRPr="00F42D79" w:rsidRDefault="00471C90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 w:rsidR="00C92F76">
              <w:rPr>
                <w:sz w:val="22"/>
              </w:rPr>
              <w:t xml:space="preserve"> 25%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5DF89" w14:textId="77777777" w:rsidR="009574C9" w:rsidRPr="00F42D79" w:rsidRDefault="00C92F76" w:rsidP="00F372B2">
            <w:pPr>
              <w:spacing w:line="259" w:lineRule="auto"/>
              <w:ind w:right="2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56,6 (48,7; 68,4)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D7EFD" w14:textId="77777777" w:rsidR="009574C9" w:rsidRPr="00F42D79" w:rsidRDefault="00C92F76" w:rsidP="00F372B2">
            <w:pPr>
              <w:spacing w:line="259" w:lineRule="auto"/>
              <w:ind w:left="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41,7 (32,6; 51,6) </w:t>
            </w:r>
          </w:p>
        </w:tc>
      </w:tr>
      <w:tr w:rsidR="009574C9" w:rsidRPr="00445457" w14:paraId="0868A893" w14:textId="77777777" w:rsidTr="00F42D79">
        <w:trPr>
          <w:trHeight w:val="272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550DF" w14:textId="1D39D71F" w:rsidR="009574C9" w:rsidRPr="00F42D79" w:rsidRDefault="00471C90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 w:rsidR="00C92F76">
              <w:rPr>
                <w:sz w:val="22"/>
              </w:rPr>
              <w:t xml:space="preserve"> 50%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C5A05" w14:textId="77777777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114,6 (100,1; 142,9)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657F2" w14:textId="77777777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94,9 (77,7; 117,0) </w:t>
            </w:r>
          </w:p>
        </w:tc>
      </w:tr>
      <w:tr w:rsidR="009574C9" w:rsidRPr="00445457" w14:paraId="19131390" w14:textId="77777777" w:rsidTr="00F42D79">
        <w:trPr>
          <w:trHeight w:val="256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7B1B8" w14:textId="15AA68CE" w:rsidR="009574C9" w:rsidRPr="00F42D79" w:rsidRDefault="00471C90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  <w:r w:rsidR="00C92F76">
              <w:rPr>
                <w:sz w:val="22"/>
              </w:rPr>
              <w:t xml:space="preserve"> 75%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9C106" w14:textId="77777777" w:rsidR="009574C9" w:rsidRPr="00F42D79" w:rsidRDefault="00C92F76" w:rsidP="00F372B2">
            <w:pPr>
              <w:spacing w:line="259" w:lineRule="auto"/>
              <w:ind w:right="2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NÉ (NÉ, NÉ)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EF392" w14:textId="77777777" w:rsidR="009574C9" w:rsidRPr="00F42D79" w:rsidRDefault="00C92F76" w:rsidP="00F372B2">
            <w:pPr>
              <w:spacing w:line="259" w:lineRule="auto"/>
              <w:ind w:left="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NÉ (NÉ, NÉ) </w:t>
            </w:r>
          </w:p>
        </w:tc>
      </w:tr>
      <w:tr w:rsidR="009574C9" w:rsidRPr="00445457" w14:paraId="4FD0FCD9" w14:textId="77777777" w:rsidTr="00F42D79">
        <w:trPr>
          <w:trHeight w:val="272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E247E5" w14:textId="77777777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Nem rétegezett elemzés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2ECC1BC" w14:textId="77777777" w:rsidR="009574C9" w:rsidRPr="00F42D79" w:rsidRDefault="009574C9" w:rsidP="002201B3">
            <w:pPr>
              <w:spacing w:after="160" w:line="259" w:lineRule="auto"/>
              <w:jc w:val="left"/>
              <w:rPr>
                <w:sz w:val="22"/>
                <w:szCs w:val="22"/>
              </w:rPr>
            </w:pPr>
          </w:p>
        </w:tc>
      </w:tr>
      <w:tr w:rsidR="009574C9" w:rsidRPr="00445457" w14:paraId="50ADA3F7" w14:textId="77777777" w:rsidTr="00F42D79">
        <w:trPr>
          <w:trHeight w:val="272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0E97A" w14:textId="1582D439" w:rsidR="009574C9" w:rsidRPr="00F42D79" w:rsidRDefault="002B3C4E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HR</w:t>
            </w:r>
            <w:r w:rsidR="00C92F76">
              <w:rPr>
                <w:sz w:val="22"/>
              </w:rPr>
              <w:t xml:space="preserve"> (szunitinib vs. IFN-α)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B33B" w14:textId="77777777" w:rsidR="009574C9" w:rsidRPr="00F42D79" w:rsidRDefault="00C92F76" w:rsidP="00F372B2">
            <w:pPr>
              <w:spacing w:line="259" w:lineRule="auto"/>
              <w:ind w:right="2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0,8209 </w:t>
            </w:r>
          </w:p>
        </w:tc>
      </w:tr>
      <w:tr w:rsidR="009574C9" w:rsidRPr="00445457" w14:paraId="4D719E04" w14:textId="77777777" w:rsidTr="00F42D79">
        <w:trPr>
          <w:trHeight w:val="272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82A26" w14:textId="571450A5" w:rsidR="009574C9" w:rsidRPr="00F42D79" w:rsidRDefault="002B3C4E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Relatív hazárdra</w:t>
            </w:r>
            <w:r w:rsidR="00C92F76">
              <w:rPr>
                <w:sz w:val="22"/>
              </w:rPr>
              <w:t xml:space="preserve"> vonatkozó 95%-os CI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5D178" w14:textId="77777777" w:rsidR="009574C9" w:rsidRPr="00F42D79" w:rsidRDefault="00C92F76" w:rsidP="00F372B2">
            <w:pPr>
              <w:spacing w:line="259" w:lineRule="auto"/>
              <w:ind w:right="1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(0,6730; 1,0013) </w:t>
            </w:r>
          </w:p>
        </w:tc>
      </w:tr>
      <w:tr w:rsidR="009574C9" w:rsidRPr="00445457" w14:paraId="6BE97D39" w14:textId="77777777" w:rsidTr="00F42D79">
        <w:trPr>
          <w:trHeight w:val="256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7ECDA" w14:textId="77777777" w:rsidR="009574C9" w:rsidRPr="00F42D79" w:rsidRDefault="00C92F76" w:rsidP="00B00CA3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p-érték</w:t>
            </w:r>
            <w:r>
              <w:rPr>
                <w:sz w:val="22"/>
                <w:vertAlign w:val="superscript"/>
              </w:rPr>
              <w:t>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6222B" w14:textId="77777777" w:rsidR="009574C9" w:rsidRPr="00F42D79" w:rsidRDefault="00C92F76" w:rsidP="00F372B2">
            <w:pPr>
              <w:spacing w:line="259" w:lineRule="auto"/>
              <w:ind w:right="2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0,0510 </w:t>
            </w:r>
          </w:p>
        </w:tc>
      </w:tr>
    </w:tbl>
    <w:p w14:paraId="7775D6FC" w14:textId="101B7C4A" w:rsidR="009574C9" w:rsidRPr="00445457" w:rsidRDefault="00C92F76" w:rsidP="00F372B2">
      <w:pPr>
        <w:spacing w:line="259" w:lineRule="auto"/>
        <w:ind w:left="10" w:right="53" w:hanging="10"/>
        <w:jc w:val="left"/>
        <w:rPr>
          <w:sz w:val="20"/>
          <w:szCs w:val="20"/>
        </w:rPr>
      </w:pPr>
      <w:r>
        <w:rPr>
          <w:sz w:val="20"/>
        </w:rPr>
        <w:t>Rövidítések: CI = konfidencia intervallum;</w:t>
      </w:r>
      <w:r w:rsidR="002B3C4E">
        <w:rPr>
          <w:sz w:val="20"/>
        </w:rPr>
        <w:t xml:space="preserve"> HR = relatív hazárd;</w:t>
      </w:r>
      <w:r>
        <w:rPr>
          <w:sz w:val="20"/>
        </w:rPr>
        <w:t xml:space="preserve"> INF-α=interferon-alfa; ITT = beválogatás szerinti; N = betegszám; NÉ = nem értelmezhető; OS = teljes túlélés; PFS = progressziómentes túlélés. </w:t>
      </w:r>
    </w:p>
    <w:p w14:paraId="7EC58C3C" w14:textId="77777777" w:rsidR="009574C9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0"/>
          <w:szCs w:val="20"/>
        </w:rPr>
      </w:pPr>
      <w:r>
        <w:rPr>
          <w:sz w:val="20"/>
          <w:vertAlign w:val="superscript"/>
        </w:rPr>
        <w:t xml:space="preserve">a </w:t>
      </w:r>
      <w:r>
        <w:rPr>
          <w:sz w:val="20"/>
          <w:vertAlign w:val="superscript"/>
        </w:rPr>
        <w:tab/>
      </w:r>
      <w:r>
        <w:rPr>
          <w:sz w:val="20"/>
        </w:rPr>
        <w:t xml:space="preserve">2 oldalas lograng próba alapján. </w:t>
      </w:r>
    </w:p>
    <w:p w14:paraId="7BA1E263" w14:textId="77777777" w:rsidR="009574C9" w:rsidRPr="00445457" w:rsidRDefault="009574C9" w:rsidP="00F372B2">
      <w:pPr>
        <w:tabs>
          <w:tab w:val="center" w:pos="1474"/>
        </w:tabs>
        <w:spacing w:line="259" w:lineRule="auto"/>
        <w:jc w:val="left"/>
        <w:rPr>
          <w:sz w:val="20"/>
          <w:szCs w:val="20"/>
        </w:rPr>
      </w:pPr>
    </w:p>
    <w:p w14:paraId="0C76F544" w14:textId="5CEFCC6E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  <w:u w:val="single"/>
        </w:rPr>
      </w:pPr>
      <w:r>
        <w:rPr>
          <w:i/>
          <w:sz w:val="22"/>
        </w:rPr>
        <w:t>Citokinrefrakter metasztatizáló vesesejtes carcinoma</w:t>
      </w:r>
      <w:r w:rsidR="00471C90">
        <w:rPr>
          <w:i/>
          <w:sz w:val="22"/>
        </w:rPr>
        <w:t xml:space="preserve"> </w:t>
      </w:r>
    </w:p>
    <w:p w14:paraId="4AABEA93" w14:textId="1FAD7AB9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A szunitinibbel II. fázisú vizsgálatot végeztek olyan betegeken, akik nem reagáltak az interleukin-2-vel vagy IFN-α-val végzett korábbi citokinkezelésre. Hatvanhárom beteg kapott 50 mg szunitinib kezdő adagot </w:t>
      </w:r>
      <w:r w:rsidRPr="008B4E6D">
        <w:rPr>
          <w:i/>
          <w:iCs/>
          <w:sz w:val="22"/>
        </w:rPr>
        <w:t>per os</w:t>
      </w:r>
      <w:r>
        <w:rPr>
          <w:sz w:val="22"/>
        </w:rPr>
        <w:t xml:space="preserve"> naponta egyszer négy egymást követő héten keresztül, majd két</w:t>
      </w:r>
      <w:r w:rsidR="002B3C4E">
        <w:rPr>
          <w:sz w:val="22"/>
        </w:rPr>
        <w:t xml:space="preserve"> </w:t>
      </w:r>
      <w:r>
        <w:rPr>
          <w:sz w:val="22"/>
        </w:rPr>
        <w:t>hetes szünettel, ami megfelelt a hathetes teljes kezelési ciklusnak (4/2-es adagolási rend). Az elsődleges hatásossági végpont az ORR volt a szolid tumorokban kialakult válasz értékelési kritériumai (</w:t>
      </w:r>
      <w:r w:rsidRPr="00F372B2">
        <w:rPr>
          <w:i/>
          <w:sz w:val="22"/>
        </w:rPr>
        <w:t>response evaluation criteria in solid tumors</w:t>
      </w:r>
      <w:r>
        <w:rPr>
          <w:sz w:val="22"/>
        </w:rPr>
        <w:t xml:space="preserve">, RECIST) alapján. </w:t>
      </w:r>
    </w:p>
    <w:p w14:paraId="4052DE12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461E3C1E" w14:textId="7D2A0E18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>Ebben a vizsgálatban az objektív válaszarány 36,5% (95%-os CI:</w:t>
      </w:r>
      <w:r>
        <w:rPr>
          <w:i/>
          <w:sz w:val="22"/>
        </w:rPr>
        <w:t xml:space="preserve"> </w:t>
      </w:r>
      <w:r>
        <w:rPr>
          <w:sz w:val="22"/>
        </w:rPr>
        <w:t>24%; 49,6%) és a TTP mediánja 37,7 hét volt (95%-os CI: 24,0; 46,4</w:t>
      </w:r>
      <w:r w:rsidR="006F646A">
        <w:rPr>
          <w:sz w:val="22"/>
        </w:rPr>
        <w:t xml:space="preserve"> hét</w:t>
      </w:r>
      <w:r>
        <w:rPr>
          <w:sz w:val="22"/>
        </w:rPr>
        <w:t xml:space="preserve">). </w:t>
      </w:r>
    </w:p>
    <w:p w14:paraId="10F5341A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b/>
          <w:sz w:val="22"/>
        </w:rPr>
        <w:lastRenderedPageBreak/>
        <w:t xml:space="preserve"> </w:t>
      </w:r>
    </w:p>
    <w:p w14:paraId="29DC7DD2" w14:textId="41669DC9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>Egy megerősítő</w:t>
      </w:r>
      <w:r>
        <w:rPr>
          <w:i/>
          <w:sz w:val="22"/>
        </w:rPr>
        <w:t>,</w:t>
      </w:r>
      <w:r>
        <w:rPr>
          <w:sz w:val="22"/>
        </w:rPr>
        <w:t xml:space="preserve"> nyílt</w:t>
      </w:r>
      <w:r>
        <w:rPr>
          <w:i/>
          <w:sz w:val="22"/>
        </w:rPr>
        <w:t>,</w:t>
      </w:r>
      <w:r>
        <w:rPr>
          <w:sz w:val="22"/>
        </w:rPr>
        <w:t xml:space="preserve"> egykar</w:t>
      </w:r>
      <w:r w:rsidR="002B3C4E">
        <w:rPr>
          <w:sz w:val="22"/>
        </w:rPr>
        <w:t>os</w:t>
      </w:r>
      <w:r>
        <w:rPr>
          <w:sz w:val="22"/>
        </w:rPr>
        <w:t>, multicentrikus vizsgálatban a szunitinib hatásosságát és biztonságosságát értékelték korábbi citokinkezelésre refrakter MRCC-s betegek körében</w:t>
      </w:r>
      <w:r>
        <w:rPr>
          <w:i/>
          <w:sz w:val="22"/>
        </w:rPr>
        <w:t>.</w:t>
      </w:r>
      <w:r>
        <w:rPr>
          <w:sz w:val="22"/>
        </w:rPr>
        <w:t xml:space="preserve"> Ennek során 106 beteg kapott legalább egy 50 mg-os szunitinib adagot a 4/2-es adagolási rend szerint</w:t>
      </w:r>
      <w:r>
        <w:rPr>
          <w:i/>
          <w:sz w:val="22"/>
        </w:rPr>
        <w:t xml:space="preserve">. </w:t>
      </w:r>
    </w:p>
    <w:p w14:paraId="0AD3B9DC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778DD4DB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>A vizsgálat elsődleges hatásossági végpontja az ORR volt. Másodlagos hatásossági végpontok közé tartozott a TTP, a hatás időtartama (</w:t>
      </w:r>
      <w:r w:rsidRPr="00F372B2">
        <w:rPr>
          <w:i/>
          <w:sz w:val="22"/>
        </w:rPr>
        <w:t>duration of response</w:t>
      </w:r>
      <w:r>
        <w:rPr>
          <w:sz w:val="22"/>
        </w:rPr>
        <w:t xml:space="preserve">, DR) és az OS. </w:t>
      </w:r>
    </w:p>
    <w:p w14:paraId="172BCEA5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06A357CD" w14:textId="23219E4A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>Ebben a vizsgálatban az ORR 35,8% volt (95%-os CI: 26,8%</w:t>
      </w:r>
      <w:r w:rsidR="002B3C4E">
        <w:rPr>
          <w:rFonts w:hint="cs"/>
          <w:sz w:val="22"/>
          <w:cs/>
        </w:rPr>
        <w:t xml:space="preserve">; </w:t>
      </w:r>
      <w:r>
        <w:rPr>
          <w:sz w:val="22"/>
        </w:rPr>
        <w:t xml:space="preserve">47,5%) A DR és az OS mediánját még nem érték el. </w:t>
      </w:r>
    </w:p>
    <w:p w14:paraId="436C0E5E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i/>
          <w:sz w:val="22"/>
        </w:rPr>
        <w:t xml:space="preserve"> </w:t>
      </w:r>
    </w:p>
    <w:p w14:paraId="236FFD26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  <w:u w:val="single"/>
        </w:rPr>
      </w:pPr>
      <w:r>
        <w:rPr>
          <w:i/>
          <w:sz w:val="22"/>
        </w:rPr>
        <w:t xml:space="preserve">A pancreas neuroendokrin tumorai </w:t>
      </w:r>
    </w:p>
    <w:p w14:paraId="1A4F5BD8" w14:textId="0609AF00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>Nem reszekálható pNET-ben szenvedő betegeknél napi 50 mg, 4/2-es adagolási rend szerint monoterápiában adott szunitinib hatásosságát és biztonságosságát egy szupportív II. fázisú, nyílt, multicentrikus vizsgálat értékelte. Egy, a pancreas szigetsejtes daganatában szenvedő, 66 betegből álló kohorszban az elsődleges végpontként definiált válaszarány 17% volt.</w:t>
      </w:r>
      <w:r w:rsidR="00471C90">
        <w:rPr>
          <w:sz w:val="22"/>
        </w:rPr>
        <w:t xml:space="preserve"> </w:t>
      </w:r>
    </w:p>
    <w:p w14:paraId="71833A6B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5265099D" w14:textId="5BC22F75" w:rsidR="00D55988" w:rsidRPr="00445457" w:rsidRDefault="00053325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>Pivotális</w:t>
      </w:r>
      <w:r w:rsidR="00C92F76">
        <w:rPr>
          <w:sz w:val="22"/>
        </w:rPr>
        <w:t xml:space="preserve"> III. fázisú, multicentrikus, nemzetközi, randomizált, kettős vak, placebokontrollos vizsgálatot végeztek monoterápiában alkalmazott szunitinibbel, nem reszekálható pNET-ben szenvedő betegek részvételével.</w:t>
      </w:r>
      <w:r w:rsidR="00471C90">
        <w:rPr>
          <w:sz w:val="22"/>
        </w:rPr>
        <w:t xml:space="preserve"> </w:t>
      </w:r>
    </w:p>
    <w:p w14:paraId="092EB7DC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60503502" w14:textId="74577A6B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>A vizsgálatba bevont betegeknek a megelőző 12 hónapban RECIST alapján dokumentált progressziót kellett mutatniuk. A betegeket 1:1 arányban, tervezett gyógyszermentes időszak nélkül folyamatosan adott, napi egyszeri 37,5 mg szunitinibre (</w:t>
      </w:r>
      <w:r w:rsidR="00053325">
        <w:rPr>
          <w:sz w:val="22"/>
        </w:rPr>
        <w:t>N</w:t>
      </w:r>
      <w:r>
        <w:rPr>
          <w:sz w:val="22"/>
        </w:rPr>
        <w:t xml:space="preserve"> = 86) vagy placebóra (</w:t>
      </w:r>
      <w:r w:rsidR="00053325">
        <w:rPr>
          <w:sz w:val="22"/>
        </w:rPr>
        <w:t>N</w:t>
      </w:r>
      <w:r>
        <w:rPr>
          <w:sz w:val="22"/>
        </w:rPr>
        <w:t xml:space="preserve"> = 85) randomizálták.</w:t>
      </w:r>
      <w:r w:rsidR="00471C90">
        <w:rPr>
          <w:sz w:val="22"/>
        </w:rPr>
        <w:t xml:space="preserve"> </w:t>
      </w:r>
    </w:p>
    <w:p w14:paraId="000E6F83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44D8A9A4" w14:textId="50839749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>A vizsgálat elsődleges célja a PFS összehasonlítása volt a szunitinibet, illetve a placebót kapó betegek között. Az egyéb végpontok közé tartozott az OS, az ORR, a PRO-k és a biztonságosság.</w:t>
      </w:r>
      <w:r w:rsidR="00471C90">
        <w:rPr>
          <w:sz w:val="22"/>
        </w:rPr>
        <w:t xml:space="preserve"> </w:t>
      </w:r>
    </w:p>
    <w:p w14:paraId="46F0C322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1D7ACC91" w14:textId="00179CA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>A demográfiai adatok a szunitinib- és a placebocsoportban összehasonlíthatóak voltak. Továbbá a szunitinibet kapó betegek 49%-ának, a placebót kapó betegek 52%-ának volt nem funkcionáló tumora, és mindkét karon a betegek 92%-ának volt májmetasztázisa.</w:t>
      </w:r>
      <w:r w:rsidR="00471C90">
        <w:rPr>
          <w:sz w:val="22"/>
        </w:rPr>
        <w:t xml:space="preserve"> </w:t>
      </w:r>
    </w:p>
    <w:p w14:paraId="0B0688A8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14B54E6E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A szomatosztatin-analógok alkalmazása a vizsgálatban megengedett volt. </w:t>
      </w:r>
    </w:p>
    <w:p w14:paraId="0A8E8AAF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196B224F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A szunitinibet kapó betegek 66%-a, a placebót kapó betegek 72%-a részesült korábban szisztémás kezelésben. Továbbá, a szunitinibet kapó betegek 24%-a, míg a placebót kapó betegek 22%-a kapott szomatosztatin-analógokat. </w:t>
      </w:r>
    </w:p>
    <w:p w14:paraId="3E0FF628" w14:textId="77777777" w:rsidR="00D55988" w:rsidRPr="00445457" w:rsidRDefault="00C92F76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056344FC" w14:textId="5B004AF6" w:rsidR="00D55988" w:rsidRDefault="00C92F76" w:rsidP="00F372B2">
      <w:pPr>
        <w:tabs>
          <w:tab w:val="center" w:pos="1474"/>
        </w:tabs>
        <w:spacing w:line="259" w:lineRule="auto"/>
        <w:jc w:val="left"/>
        <w:rPr>
          <w:sz w:val="22"/>
        </w:rPr>
      </w:pPr>
      <w:r>
        <w:rPr>
          <w:sz w:val="22"/>
        </w:rPr>
        <w:t>A vizsgálók által meghatározott PFS tekintetében a szunitinib</w:t>
      </w:r>
      <w:r w:rsidR="00053325">
        <w:rPr>
          <w:sz w:val="22"/>
        </w:rPr>
        <w:t>-</w:t>
      </w:r>
      <w:r>
        <w:rPr>
          <w:sz w:val="22"/>
        </w:rPr>
        <w:t>kezelés klinikailag szignifikáns előnyét figyelték meg placebóval szemben. A medián PFS a szunitinib-karon 11,4 hónap, a placebokaron 5,5 hónap volt [HR: 0,418 (95%</w:t>
      </w:r>
      <w:r w:rsidR="00CB3C47">
        <w:rPr>
          <w:sz w:val="22"/>
        </w:rPr>
        <w:t>-os</w:t>
      </w:r>
      <w:r>
        <w:rPr>
          <w:sz w:val="22"/>
        </w:rPr>
        <w:t xml:space="preserve"> CI: 0,263; 0,662), p-érték = 0,0001]. Hasonló eredményeket figyeltek meg, amikor a betegség progressziójának meghatározására a vizsgálók tumor méréseire RECIST kritériumokat alkalmazó, derivált tumorválasz meghatározást alkalmazták, ahogy azt a 4. táblázat mutatja. A kezelés kezdetén meghatározott betegjellemzők alapján kialakított minden alcsoportban </w:t>
      </w:r>
      <w:r>
        <w:rPr>
          <w:sz w:val="22"/>
          <w:cs/>
        </w:rPr>
        <w:t xml:space="preserve">– </w:t>
      </w:r>
      <w:r>
        <w:rPr>
          <w:sz w:val="22"/>
        </w:rPr>
        <w:t xml:space="preserve">beleértve a korábbi szisztémás kezelések száma szerinti elemzést is </w:t>
      </w:r>
      <w:r>
        <w:rPr>
          <w:sz w:val="22"/>
          <w:cs/>
        </w:rPr>
        <w:t xml:space="preserve">– </w:t>
      </w:r>
      <w:r>
        <w:rPr>
          <w:sz w:val="22"/>
        </w:rPr>
        <w:t xml:space="preserve">a szunitinib előnyét mutató </w:t>
      </w:r>
      <w:r w:rsidR="00CB3C47">
        <w:rPr>
          <w:sz w:val="22"/>
        </w:rPr>
        <w:t xml:space="preserve">relatív hazárdot </w:t>
      </w:r>
      <w:r>
        <w:rPr>
          <w:sz w:val="22"/>
        </w:rPr>
        <w:t xml:space="preserve">figyeltek meg. A szunitinib-karon összesen 29, a placebokaron pedig 24 beteg nem részesült korábban szisztémás kezelésben. Ezeknél a betegeknél a PFS-re vonatkoztatott HR 0,365 (95%-os CI: 0,156; 0,857), p = 0,0156 volt. Hasonlóan, annál a szunitinib-karba tartozó 57 betegnél (beleértve 28, egy korábbi szisztémás kezelésben és 29, kettő vagy több korábbi szisztémás kezelésben részesülő beteget), valamint a placebokarba tartozó 61 betegnél (beleértve 25, egy korábbi szisztémás kezelésben és 36, kettő vagy több korábbi szisztémás kezelésben részesülő beteget) a PFS-re vonatkoztatott HR 0,456 (95%-os CI: 0,264; 0,787), p = 0,0036 volt. </w:t>
      </w:r>
    </w:p>
    <w:p w14:paraId="1E33E62D" w14:textId="77777777" w:rsidR="00CB3C47" w:rsidRPr="00445457" w:rsidRDefault="00CB3C47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</w:p>
    <w:p w14:paraId="6A95F1F6" w14:textId="13E77F61" w:rsidR="00CB3C47" w:rsidRDefault="00C92F76" w:rsidP="00F372B2">
      <w:pPr>
        <w:tabs>
          <w:tab w:val="center" w:pos="1474"/>
        </w:tabs>
        <w:spacing w:line="259" w:lineRule="auto"/>
        <w:jc w:val="left"/>
        <w:rPr>
          <w:sz w:val="22"/>
        </w:rPr>
      </w:pPr>
      <w:r>
        <w:rPr>
          <w:sz w:val="22"/>
        </w:rPr>
        <w:t xml:space="preserve">Elvégezték a PFS szenzitivitási analízisét, ahol a progresszió a vizsgálók által jelentett tumorméréseken alapult, és ahol minden, a vizsgálat befejezésétől eltérő okból cenzorált beteget PFS-eseményként kezeltek. Ez az elemzés óvatos becslést adott a szunitinib-kezelés általános hatására vonatkozóan, és alátámasztotta az elsődleges elemzést, amely 0,507-es HR-t jelez (95%-os CI: 0,350; 0,733), p = 0,000193. A kezelés hatásának becslését egyaránt befolyásolhatta, hogy a pancreas NET-ben végzett </w:t>
      </w:r>
      <w:r w:rsidR="00CB3C47">
        <w:rPr>
          <w:sz w:val="22"/>
        </w:rPr>
        <w:t>pivotális</w:t>
      </w:r>
      <w:r>
        <w:rPr>
          <w:sz w:val="22"/>
        </w:rPr>
        <w:t xml:space="preserve"> vizsgálatot egy független gyógyszerellenőrző bizottság ajánlására idő előtt leállították, valamint az is, hogy az elsődleges végpont a vizsgálók értékelésén alapult.</w:t>
      </w:r>
    </w:p>
    <w:p w14:paraId="3B059AFF" w14:textId="4B9A08B6" w:rsidR="00D55988" w:rsidRPr="00445457" w:rsidRDefault="00D55988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</w:p>
    <w:p w14:paraId="6117F835" w14:textId="465886B8" w:rsidR="009574C9" w:rsidRDefault="00C92F76" w:rsidP="00F372B2">
      <w:pPr>
        <w:tabs>
          <w:tab w:val="center" w:pos="1474"/>
        </w:tabs>
        <w:spacing w:line="259" w:lineRule="auto"/>
        <w:jc w:val="left"/>
        <w:rPr>
          <w:sz w:val="22"/>
        </w:rPr>
      </w:pPr>
      <w:r>
        <w:rPr>
          <w:sz w:val="22"/>
        </w:rPr>
        <w:t xml:space="preserve">A PFS vizsgálón alapuló meghatározásából eredő torzítás kizárásának érdekében elvégezték a felvételek BICR vizsgálatát: ez a vizsgálat alátámasztotta a vizsgálók értékelését, ahogy azt a </w:t>
      </w:r>
      <w:r>
        <w:rPr>
          <w:sz w:val="22"/>
        </w:rPr>
        <w:fldChar w:fldCharType="begin"/>
      </w:r>
      <w:r>
        <w:rPr>
          <w:sz w:val="22"/>
        </w:rPr>
        <w:instrText xml:space="preserve"> REF _Ref46910226 \h  \* MERGEFORMAT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sz w:val="22"/>
        </w:rPr>
        <w:t>4</w:t>
      </w:r>
      <w:r>
        <w:rPr>
          <w:sz w:val="22"/>
        </w:rPr>
        <w:fldChar w:fldCharType="end"/>
      </w:r>
      <w:r w:rsidR="004E5287">
        <w:rPr>
          <w:sz w:val="22"/>
        </w:rPr>
        <w:t>. táblázat</w:t>
      </w:r>
      <w:r>
        <w:rPr>
          <w:sz w:val="22"/>
        </w:rPr>
        <w:t xml:space="preserve"> mutatja.</w:t>
      </w:r>
    </w:p>
    <w:p w14:paraId="4D3529BE" w14:textId="0B8F4341" w:rsidR="00B02BF9" w:rsidRDefault="00B02BF9" w:rsidP="00F372B2">
      <w:pPr>
        <w:tabs>
          <w:tab w:val="center" w:pos="1474"/>
        </w:tabs>
        <w:spacing w:line="259" w:lineRule="auto"/>
        <w:jc w:val="left"/>
        <w:rPr>
          <w:sz w:val="22"/>
        </w:rPr>
      </w:pPr>
    </w:p>
    <w:p w14:paraId="1213D74D" w14:textId="366F8750" w:rsidR="00B02BF9" w:rsidRDefault="00B02BF9" w:rsidP="00F372B2">
      <w:pPr>
        <w:tabs>
          <w:tab w:val="center" w:pos="1474"/>
        </w:tabs>
        <w:spacing w:line="259" w:lineRule="auto"/>
        <w:jc w:val="left"/>
        <w:rPr>
          <w:sz w:val="22"/>
        </w:rPr>
      </w:pPr>
      <w:r>
        <w:rPr>
          <w:b/>
          <w:sz w:val="22"/>
        </w:rPr>
        <w:fldChar w:fldCharType="begin"/>
      </w:r>
      <w:r>
        <w:rPr>
          <w:b/>
          <w:sz w:val="22"/>
        </w:rPr>
        <w:instrText xml:space="preserve"> SEQ Table \* ARABIC </w:instrText>
      </w:r>
      <w:r>
        <w:rPr>
          <w:b/>
          <w:sz w:val="22"/>
        </w:rPr>
        <w:fldChar w:fldCharType="separate"/>
      </w:r>
      <w:r>
        <w:rPr>
          <w:b/>
          <w:sz w:val="22"/>
        </w:rPr>
        <w:t>4</w:t>
      </w:r>
      <w:r>
        <w:rPr>
          <w:b/>
          <w:sz w:val="22"/>
        </w:rPr>
        <w:fldChar w:fldCharType="end"/>
      </w:r>
      <w:r>
        <w:rPr>
          <w:b/>
          <w:sz w:val="22"/>
        </w:rPr>
        <w:t>. táblázat</w:t>
      </w:r>
      <w:r w:rsidR="00CB3C47">
        <w:rPr>
          <w:b/>
          <w:sz w:val="22"/>
        </w:rPr>
        <w:t>.</w:t>
      </w:r>
      <w:r>
        <w:rPr>
          <w:b/>
          <w:sz w:val="22"/>
        </w:rPr>
        <w:t xml:space="preserve"> A III. fázisú vizsgálatból származó pNET hatásossági eredmények</w:t>
      </w:r>
    </w:p>
    <w:tbl>
      <w:tblPr>
        <w:tblW w:w="9923" w:type="dxa"/>
        <w:tblInd w:w="-8" w:type="dxa"/>
        <w:tblCellMar>
          <w:top w:w="26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1417"/>
        <w:gridCol w:w="1418"/>
        <w:gridCol w:w="1417"/>
        <w:gridCol w:w="1418"/>
      </w:tblGrid>
      <w:tr w:rsidR="00B02BF9" w:rsidRPr="00445457" w14:paraId="01A31C28" w14:textId="77777777" w:rsidTr="00B00CA3">
        <w:trPr>
          <w:trHeight w:val="768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7420C" w14:textId="77777777" w:rsidR="00B02BF9" w:rsidRPr="00F42D79" w:rsidRDefault="00B02BF9" w:rsidP="00B00CA3">
            <w:pPr>
              <w:spacing w:line="259" w:lineRule="auto"/>
              <w:ind w:left="72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Hatásossági paraméter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D8C91" w14:textId="77777777" w:rsidR="00B02BF9" w:rsidRPr="00F42D79" w:rsidRDefault="00B02BF9" w:rsidP="00F372B2">
            <w:pPr>
              <w:spacing w:line="259" w:lineRule="auto"/>
              <w:ind w:left="239" w:right="183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</w:rPr>
              <w:t xml:space="preserve">Szunitinib </w:t>
            </w:r>
          </w:p>
          <w:p w14:paraId="67F67815" w14:textId="6F4CFBE4" w:rsidR="00B02BF9" w:rsidRPr="00F42D79" w:rsidRDefault="00B02BF9" w:rsidP="00F372B2">
            <w:pPr>
              <w:spacing w:line="259" w:lineRule="auto"/>
              <w:ind w:left="239" w:right="183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(</w:t>
            </w:r>
            <w:r w:rsidR="00CB3C47">
              <w:rPr>
                <w:b/>
                <w:sz w:val="22"/>
              </w:rPr>
              <w:t>N</w:t>
            </w:r>
            <w:r>
              <w:rPr>
                <w:b/>
                <w:sz w:val="22"/>
              </w:rPr>
              <w:t xml:space="preserve">=86)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99C8F" w14:textId="77777777" w:rsidR="00B02BF9" w:rsidRPr="00F42D79" w:rsidRDefault="00B02BF9" w:rsidP="00F372B2">
            <w:pPr>
              <w:spacing w:line="259" w:lineRule="auto"/>
              <w:ind w:left="191" w:right="151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</w:rPr>
              <w:t xml:space="preserve">Placebo </w:t>
            </w:r>
          </w:p>
          <w:p w14:paraId="6FA81F78" w14:textId="7768487F" w:rsidR="00B02BF9" w:rsidRPr="00F42D79" w:rsidRDefault="00B02BF9" w:rsidP="00F372B2">
            <w:pPr>
              <w:spacing w:line="259" w:lineRule="auto"/>
              <w:ind w:left="191" w:right="151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(</w:t>
            </w:r>
            <w:r w:rsidR="00CB3C47">
              <w:rPr>
                <w:b/>
                <w:sz w:val="22"/>
              </w:rPr>
              <w:t>N</w:t>
            </w:r>
            <w:r>
              <w:rPr>
                <w:b/>
                <w:sz w:val="22"/>
              </w:rPr>
              <w:t xml:space="preserve">=85)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52C2B" w14:textId="77777777" w:rsidR="00CB3C47" w:rsidRDefault="00CB3C47" w:rsidP="00B00CA3">
            <w:pPr>
              <w:spacing w:line="259" w:lineRule="auto"/>
              <w:ind w:left="20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HR</w:t>
            </w:r>
          </w:p>
          <w:p w14:paraId="01C3286A" w14:textId="77777777" w:rsidR="00B02BF9" w:rsidRPr="00F42D79" w:rsidRDefault="00B02BF9" w:rsidP="00B00CA3">
            <w:pPr>
              <w:spacing w:line="259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(95%-os CI)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21F2F" w14:textId="77777777" w:rsidR="00B02BF9" w:rsidRPr="00F42D79" w:rsidRDefault="00B02BF9" w:rsidP="00F372B2">
            <w:pPr>
              <w:spacing w:line="259" w:lineRule="auto"/>
              <w:ind w:right="13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 xml:space="preserve">p-érték </w:t>
            </w:r>
          </w:p>
        </w:tc>
      </w:tr>
      <w:tr w:rsidR="00B02BF9" w:rsidRPr="00445457" w14:paraId="43A546D9" w14:textId="77777777" w:rsidTr="00B00CA3">
        <w:trPr>
          <w:trHeight w:val="547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BD8FC" w14:textId="77777777" w:rsidR="00B02BF9" w:rsidRPr="00F42D79" w:rsidRDefault="00B02BF9" w:rsidP="00F372B2">
            <w:pPr>
              <w:spacing w:line="259" w:lineRule="auto"/>
              <w:ind w:left="72" w:right="64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Progressziómentes túlélés</w:t>
            </w:r>
            <w:r>
              <w:rPr>
                <w:sz w:val="22"/>
                <w:vertAlign w:val="superscript"/>
              </w:rPr>
              <w:t xml:space="preserve"> </w:t>
            </w:r>
            <w:r>
              <w:rPr>
                <w:sz w:val="22"/>
              </w:rPr>
              <w:t>[medián, hónapok (95%-os CI)] a vizsgáló értékelése alapján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02D10" w14:textId="77777777" w:rsidR="00B02BF9" w:rsidRPr="00F42D79" w:rsidRDefault="00B02BF9" w:rsidP="00F372B2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11,4 </w:t>
            </w:r>
          </w:p>
          <w:p w14:paraId="6C0DAB3B" w14:textId="77777777" w:rsidR="00B02BF9" w:rsidRPr="00F42D79" w:rsidRDefault="00B02BF9" w:rsidP="00F372B2">
            <w:pPr>
              <w:spacing w:line="259" w:lineRule="auto"/>
              <w:ind w:right="5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(7,4; 19,8)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EF044" w14:textId="77777777" w:rsidR="00B02BF9" w:rsidRPr="00F42D79" w:rsidRDefault="00B02BF9" w:rsidP="00F372B2">
            <w:pPr>
              <w:spacing w:line="259" w:lineRule="auto"/>
              <w:ind w:left="4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5,5 </w:t>
            </w:r>
          </w:p>
          <w:p w14:paraId="32044808" w14:textId="77777777" w:rsidR="00B02BF9" w:rsidRPr="00F42D79" w:rsidRDefault="00B02BF9" w:rsidP="00F372B2">
            <w:pPr>
              <w:spacing w:line="259" w:lineRule="auto"/>
              <w:ind w:left="43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(3,6; 7,4)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C20E3" w14:textId="77777777" w:rsidR="00B02BF9" w:rsidRPr="00F42D79" w:rsidRDefault="00B02BF9" w:rsidP="00F372B2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0,418 </w:t>
            </w:r>
          </w:p>
          <w:p w14:paraId="28969755" w14:textId="77777777" w:rsidR="00B02BF9" w:rsidRPr="00F42D79" w:rsidRDefault="00B02BF9" w:rsidP="00F372B2">
            <w:pPr>
              <w:spacing w:line="259" w:lineRule="auto"/>
              <w:ind w:left="24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(0,263; 0,662)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5CD0" w14:textId="77777777" w:rsidR="00B02BF9" w:rsidRPr="00F42D79" w:rsidRDefault="00B02BF9" w:rsidP="00F372B2">
            <w:pPr>
              <w:spacing w:after="17"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0,0001</w:t>
            </w:r>
            <w:r>
              <w:rPr>
                <w:sz w:val="22"/>
                <w:vertAlign w:val="superscript"/>
              </w:rPr>
              <w:t>a</w:t>
            </w:r>
            <w:r>
              <w:rPr>
                <w:sz w:val="22"/>
              </w:rPr>
              <w:t xml:space="preserve"> </w:t>
            </w:r>
          </w:p>
          <w:p w14:paraId="714D7598" w14:textId="77777777" w:rsidR="00B02BF9" w:rsidRPr="00F42D79" w:rsidRDefault="00B02BF9" w:rsidP="00B00CA3">
            <w:pPr>
              <w:spacing w:line="259" w:lineRule="auto"/>
              <w:ind w:left="-24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B02BF9" w:rsidRPr="00445457" w14:paraId="43CDCEF5" w14:textId="77777777" w:rsidTr="00B00CA3">
        <w:trPr>
          <w:trHeight w:val="1066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BCBC6" w14:textId="77777777" w:rsidR="00B02BF9" w:rsidRPr="00F42D79" w:rsidRDefault="00B02BF9" w:rsidP="00F372B2">
            <w:pPr>
              <w:spacing w:line="259" w:lineRule="auto"/>
              <w:ind w:left="8" w:right="5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Progressziómentes túlélés</w:t>
            </w:r>
            <w:r>
              <w:rPr>
                <w:sz w:val="22"/>
                <w:vertAlign w:val="superscript"/>
              </w:rPr>
              <w:t xml:space="preserve"> </w:t>
            </w:r>
            <w:r>
              <w:rPr>
                <w:sz w:val="22"/>
              </w:rPr>
              <w:t xml:space="preserve">[medián, hónapok (95%-os CI)] a derivált tumorválasz meghatározása szerint, amely a vizsgáló tumorméréseire alkalmazott RECIST-en alapul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535B6" w14:textId="77777777" w:rsidR="00B02BF9" w:rsidRPr="00F42D79" w:rsidRDefault="00B02BF9" w:rsidP="00F372B2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12,6 </w:t>
            </w:r>
          </w:p>
          <w:p w14:paraId="214A453C" w14:textId="77777777" w:rsidR="00B02BF9" w:rsidRPr="00F42D79" w:rsidRDefault="00B02BF9" w:rsidP="00F372B2">
            <w:pPr>
              <w:spacing w:line="259" w:lineRule="auto"/>
              <w:ind w:right="5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(7,4; 16,9)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ED887" w14:textId="77777777" w:rsidR="00B02BF9" w:rsidRPr="00F42D79" w:rsidRDefault="00B02BF9" w:rsidP="00F372B2">
            <w:pPr>
              <w:spacing w:line="259" w:lineRule="auto"/>
              <w:ind w:right="1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5,4 </w:t>
            </w:r>
          </w:p>
          <w:p w14:paraId="20D582B2" w14:textId="77777777" w:rsidR="00B02BF9" w:rsidRPr="00F42D79" w:rsidRDefault="00B02BF9" w:rsidP="00F372B2">
            <w:pPr>
              <w:spacing w:line="259" w:lineRule="auto"/>
              <w:ind w:right="2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(3,5; 6,0)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39D5D" w14:textId="77777777" w:rsidR="00B02BF9" w:rsidRPr="00F42D79" w:rsidRDefault="00B02BF9" w:rsidP="00F372B2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0,401 </w:t>
            </w:r>
          </w:p>
          <w:p w14:paraId="37B8C331" w14:textId="77777777" w:rsidR="00B02BF9" w:rsidRPr="00F42D79" w:rsidRDefault="00B02BF9" w:rsidP="00F372B2">
            <w:pPr>
              <w:spacing w:line="259" w:lineRule="auto"/>
              <w:ind w:left="24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(0,252; 0,640)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4F070" w14:textId="77777777" w:rsidR="00B02BF9" w:rsidRPr="00F42D79" w:rsidRDefault="00B02BF9" w:rsidP="00F372B2">
            <w:pPr>
              <w:spacing w:line="259" w:lineRule="auto"/>
              <w:ind w:right="3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0,000066</w:t>
            </w:r>
            <w:r>
              <w:rPr>
                <w:sz w:val="22"/>
                <w:vertAlign w:val="superscript"/>
              </w:rPr>
              <w:t>a</w:t>
            </w:r>
            <w:r>
              <w:rPr>
                <w:sz w:val="22"/>
              </w:rPr>
              <w:t xml:space="preserve"> </w:t>
            </w:r>
          </w:p>
          <w:p w14:paraId="1228D706" w14:textId="77777777" w:rsidR="00B02BF9" w:rsidRPr="00F42D79" w:rsidRDefault="00B02BF9" w:rsidP="00B00CA3">
            <w:pPr>
              <w:spacing w:line="259" w:lineRule="auto"/>
              <w:ind w:left="-24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B02BF9" w:rsidRPr="00445457" w14:paraId="1045BC45" w14:textId="77777777" w:rsidTr="00B00CA3">
        <w:trPr>
          <w:trHeight w:val="784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9554F" w14:textId="77777777" w:rsidR="00B02BF9" w:rsidRPr="00F42D79" w:rsidRDefault="00B02BF9" w:rsidP="00F372B2">
            <w:pPr>
              <w:spacing w:line="259" w:lineRule="auto"/>
              <w:ind w:left="8" w:right="11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Progressziómentes túlélés</w:t>
            </w:r>
            <w:r>
              <w:rPr>
                <w:sz w:val="22"/>
                <w:vertAlign w:val="superscript"/>
              </w:rPr>
              <w:t xml:space="preserve"> </w:t>
            </w:r>
            <w:r>
              <w:rPr>
                <w:sz w:val="22"/>
              </w:rPr>
              <w:t xml:space="preserve">[medián, hónapok (95%-os CI)] a felvételek vak, független, központi értékelésén alapuló tumormeghatározás szerint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A9C67" w14:textId="77777777" w:rsidR="00B02BF9" w:rsidRPr="00F42D79" w:rsidRDefault="00B02BF9" w:rsidP="00F372B2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12,6 </w:t>
            </w:r>
          </w:p>
          <w:p w14:paraId="2A6EFA0E" w14:textId="77777777" w:rsidR="00B02BF9" w:rsidRPr="00F42D79" w:rsidRDefault="00B02BF9" w:rsidP="00B00CA3">
            <w:pPr>
              <w:spacing w:line="259" w:lineRule="auto"/>
              <w:ind w:left="15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(11,1; 20,6)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BAE5E" w14:textId="77777777" w:rsidR="00B02BF9" w:rsidRPr="00F42D79" w:rsidRDefault="00B02BF9" w:rsidP="00F372B2">
            <w:pPr>
              <w:spacing w:line="259" w:lineRule="auto"/>
              <w:ind w:right="1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5,8 </w:t>
            </w:r>
          </w:p>
          <w:p w14:paraId="69DD50B2" w14:textId="77777777" w:rsidR="00B02BF9" w:rsidRPr="00F42D79" w:rsidRDefault="00B02BF9" w:rsidP="00F372B2">
            <w:pPr>
              <w:spacing w:line="259" w:lineRule="auto"/>
              <w:ind w:right="21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(3,8; 7,2)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DA2F0" w14:textId="77777777" w:rsidR="00B02BF9" w:rsidRPr="00F42D79" w:rsidRDefault="00B02BF9" w:rsidP="00F372B2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0,315 </w:t>
            </w:r>
          </w:p>
          <w:p w14:paraId="0B10CF12" w14:textId="77777777" w:rsidR="00B02BF9" w:rsidRPr="00F42D79" w:rsidRDefault="00B02BF9" w:rsidP="00F372B2">
            <w:pPr>
              <w:spacing w:line="259" w:lineRule="auto"/>
              <w:ind w:left="24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(0,181; 0,546)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49F03" w14:textId="77777777" w:rsidR="00B02BF9" w:rsidRPr="00F42D79" w:rsidRDefault="00B02BF9" w:rsidP="00F372B2">
            <w:pPr>
              <w:spacing w:line="259" w:lineRule="auto"/>
              <w:ind w:right="3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0,000015</w:t>
            </w:r>
            <w:r>
              <w:rPr>
                <w:sz w:val="22"/>
                <w:vertAlign w:val="superscript"/>
              </w:rPr>
              <w:t>a</w:t>
            </w:r>
            <w:r>
              <w:rPr>
                <w:sz w:val="22"/>
              </w:rPr>
              <w:t xml:space="preserve"> </w:t>
            </w:r>
          </w:p>
          <w:p w14:paraId="43B4F5C7" w14:textId="77777777" w:rsidR="00B02BF9" w:rsidRPr="00F42D79" w:rsidRDefault="00B02BF9" w:rsidP="00B00CA3">
            <w:pPr>
              <w:spacing w:line="259" w:lineRule="auto"/>
              <w:ind w:left="-24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B02BF9" w:rsidRPr="00445457" w14:paraId="5A248960" w14:textId="77777777" w:rsidTr="00B00CA3">
        <w:trPr>
          <w:trHeight w:val="498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468E6" w14:textId="77777777" w:rsidR="00B02BF9" w:rsidRPr="00F42D79" w:rsidRDefault="00B02BF9" w:rsidP="00B00CA3">
            <w:pPr>
              <w:spacing w:line="237" w:lineRule="auto"/>
              <w:ind w:left="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Teljes túlélés [5 éves utánkövetés] </w:t>
            </w:r>
          </w:p>
          <w:p w14:paraId="6749247B" w14:textId="77777777" w:rsidR="00B02BF9" w:rsidRPr="00F42D79" w:rsidRDefault="00B02BF9" w:rsidP="002201B3">
            <w:pPr>
              <w:spacing w:line="259" w:lineRule="auto"/>
              <w:ind w:left="8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[medián, hónap (95%-os CI)]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97638" w14:textId="77777777" w:rsidR="00B02BF9" w:rsidRPr="00F42D79" w:rsidRDefault="00B02BF9" w:rsidP="00F372B2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38,6 </w:t>
            </w:r>
          </w:p>
          <w:p w14:paraId="120945FF" w14:textId="77777777" w:rsidR="00B02BF9" w:rsidRPr="00F42D79" w:rsidRDefault="00B02BF9" w:rsidP="00B00CA3">
            <w:pPr>
              <w:spacing w:line="259" w:lineRule="auto"/>
              <w:ind w:left="15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(25,6; 56,4)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F00A9" w14:textId="77777777" w:rsidR="00B02BF9" w:rsidRPr="00F42D79" w:rsidRDefault="00B02BF9" w:rsidP="00F372B2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29,1 </w:t>
            </w:r>
          </w:p>
          <w:p w14:paraId="08590FA4" w14:textId="77777777" w:rsidR="00B02BF9" w:rsidRPr="00F42D79" w:rsidRDefault="00B02BF9" w:rsidP="00B00CA3">
            <w:pPr>
              <w:spacing w:line="259" w:lineRule="auto"/>
              <w:ind w:left="13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(16,4; 36,8)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9BB8D" w14:textId="77777777" w:rsidR="00B02BF9" w:rsidRPr="00F42D79" w:rsidRDefault="00B02BF9" w:rsidP="00F372B2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0,730 </w:t>
            </w:r>
          </w:p>
          <w:p w14:paraId="7F5CFA2B" w14:textId="77777777" w:rsidR="00B02BF9" w:rsidRPr="00F42D79" w:rsidRDefault="00B02BF9" w:rsidP="00F372B2">
            <w:pPr>
              <w:spacing w:line="259" w:lineRule="auto"/>
              <w:ind w:left="24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(0,504; 1,057)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63DAE" w14:textId="77777777" w:rsidR="00B02BF9" w:rsidRPr="00F42D79" w:rsidRDefault="00B02BF9" w:rsidP="00F372B2">
            <w:pPr>
              <w:spacing w:after="17" w:line="259" w:lineRule="auto"/>
              <w:ind w:right="3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0,0940</w:t>
            </w:r>
            <w:r>
              <w:rPr>
                <w:sz w:val="22"/>
                <w:vertAlign w:val="superscript"/>
              </w:rPr>
              <w:t>a</w:t>
            </w:r>
            <w:r>
              <w:rPr>
                <w:sz w:val="22"/>
              </w:rPr>
              <w:t xml:space="preserve"> </w:t>
            </w:r>
          </w:p>
          <w:p w14:paraId="7DA91200" w14:textId="77777777" w:rsidR="00B02BF9" w:rsidRPr="00F42D79" w:rsidRDefault="00B02BF9" w:rsidP="00B00CA3">
            <w:pPr>
              <w:spacing w:line="259" w:lineRule="auto"/>
              <w:ind w:left="-24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B02BF9" w:rsidRPr="00445457" w14:paraId="3D3571B8" w14:textId="77777777" w:rsidTr="00B00CA3">
        <w:trPr>
          <w:trHeight w:val="512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71FFC" w14:textId="77777777" w:rsidR="00B02BF9" w:rsidRPr="00F42D79" w:rsidRDefault="00B02BF9" w:rsidP="00F372B2">
            <w:pPr>
              <w:spacing w:line="259" w:lineRule="auto"/>
              <w:ind w:left="8" w:right="68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Objektív válaszarány [%, (95%-os CI)]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2E6E7" w14:textId="77777777" w:rsidR="00B02BF9" w:rsidRPr="00F42D79" w:rsidRDefault="00B02BF9" w:rsidP="00F372B2">
            <w:pPr>
              <w:spacing w:line="259" w:lineRule="auto"/>
              <w:ind w:left="16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9,3 </w:t>
            </w:r>
          </w:p>
          <w:p w14:paraId="59711C62" w14:textId="77777777" w:rsidR="00B02BF9" w:rsidRPr="00F42D79" w:rsidRDefault="00B02BF9" w:rsidP="00F372B2">
            <w:pPr>
              <w:spacing w:line="259" w:lineRule="auto"/>
              <w:ind w:right="5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(3,2; 15,4)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ACE2A" w14:textId="77777777" w:rsidR="00B02BF9" w:rsidRPr="00F42D79" w:rsidRDefault="00B02BF9" w:rsidP="00F372B2">
            <w:pPr>
              <w:spacing w:line="259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0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4170C" w14:textId="77777777" w:rsidR="00B02BF9" w:rsidRPr="00F42D79" w:rsidRDefault="00B02BF9" w:rsidP="00F372B2">
            <w:pPr>
              <w:spacing w:line="259" w:lineRule="auto"/>
              <w:ind w:left="2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NÉ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4EF85" w14:textId="77777777" w:rsidR="00B02BF9" w:rsidRPr="00F42D79" w:rsidRDefault="00B02BF9" w:rsidP="00F372B2">
            <w:pPr>
              <w:spacing w:line="259" w:lineRule="auto"/>
              <w:ind w:right="24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0,0066</w:t>
            </w:r>
            <w:r>
              <w:rPr>
                <w:sz w:val="22"/>
                <w:vertAlign w:val="superscript"/>
              </w:rPr>
              <w:t>b</w:t>
            </w:r>
            <w:r>
              <w:rPr>
                <w:sz w:val="22"/>
              </w:rPr>
              <w:t xml:space="preserve"> </w:t>
            </w:r>
          </w:p>
        </w:tc>
      </w:tr>
    </w:tbl>
    <w:p w14:paraId="6F9A05B5" w14:textId="77777777" w:rsidR="00D55988" w:rsidRPr="00445457" w:rsidRDefault="00D55988" w:rsidP="00F372B2">
      <w:pPr>
        <w:tabs>
          <w:tab w:val="center" w:pos="1474"/>
        </w:tabs>
        <w:spacing w:line="259" w:lineRule="auto"/>
        <w:jc w:val="left"/>
        <w:rPr>
          <w:sz w:val="22"/>
          <w:szCs w:val="22"/>
        </w:rPr>
      </w:pPr>
    </w:p>
    <w:p w14:paraId="5C40BF2C" w14:textId="15AE195E" w:rsidR="00D55988" w:rsidRPr="00445457" w:rsidRDefault="00C92F76" w:rsidP="00F372B2">
      <w:pPr>
        <w:pStyle w:val="Tblzatfelirata0"/>
        <w:ind w:left="43"/>
      </w:pPr>
      <w:r>
        <w:t xml:space="preserve">Rövidítések: CI = konfidencia intervallum; </w:t>
      </w:r>
      <w:r w:rsidR="00CB3C47">
        <w:t xml:space="preserve">HR = relatív hazárd; </w:t>
      </w:r>
      <w:r>
        <w:t>N = betegszám; NÉ = nem értelmezhető; pNET</w:t>
      </w:r>
      <w:r w:rsidR="00CB3C47">
        <w:t xml:space="preserve"> </w:t>
      </w:r>
      <w:r>
        <w:t xml:space="preserve">= neuroendokrin </w:t>
      </w:r>
      <w:r w:rsidR="00CB3C47">
        <w:t>pancreas</w:t>
      </w:r>
      <w:r>
        <w:t>tumor; RECIST</w:t>
      </w:r>
      <w:r w:rsidR="00CB3C47">
        <w:t xml:space="preserve"> </w:t>
      </w:r>
      <w:r>
        <w:t>=</w:t>
      </w:r>
      <w:r w:rsidR="00CB3C47">
        <w:t xml:space="preserve"> válaszértékelési kritériumok szolid tumoroknál</w:t>
      </w:r>
      <w:r>
        <w:t xml:space="preserve"> </w:t>
      </w:r>
    </w:p>
    <w:p w14:paraId="3AF2EA54" w14:textId="530FE0DA" w:rsidR="00D55988" w:rsidRPr="00445457" w:rsidRDefault="00C92F76" w:rsidP="00F372B2">
      <w:pPr>
        <w:spacing w:line="259" w:lineRule="auto"/>
        <w:ind w:left="250" w:hanging="250"/>
        <w:jc w:val="left"/>
        <w:rPr>
          <w:sz w:val="20"/>
          <w:szCs w:val="20"/>
        </w:rPr>
      </w:pPr>
      <w:r>
        <w:rPr>
          <w:sz w:val="20"/>
          <w:vertAlign w:val="superscript"/>
        </w:rPr>
        <w:t>a</w:t>
      </w:r>
      <w:r w:rsidR="00CB3C47">
        <w:rPr>
          <w:sz w:val="20"/>
        </w:rPr>
        <w:t xml:space="preserve"> 2 </w:t>
      </w:r>
      <w:r>
        <w:rPr>
          <w:sz w:val="20"/>
        </w:rPr>
        <w:t xml:space="preserve">oldalas, nem rétegzett lograng próba </w:t>
      </w:r>
    </w:p>
    <w:p w14:paraId="14146F36" w14:textId="4EB546C4" w:rsidR="00D55988" w:rsidRPr="00445457" w:rsidRDefault="00CB3C47" w:rsidP="00F372B2">
      <w:pPr>
        <w:spacing w:line="259" w:lineRule="auto"/>
        <w:ind w:left="250" w:hanging="250"/>
        <w:jc w:val="left"/>
        <w:rPr>
          <w:sz w:val="20"/>
          <w:szCs w:val="20"/>
        </w:rPr>
      </w:pPr>
      <w:r>
        <w:rPr>
          <w:sz w:val="20"/>
          <w:vertAlign w:val="superscript"/>
        </w:rPr>
        <w:t xml:space="preserve">b </w:t>
      </w:r>
      <w:r w:rsidR="00C92F76">
        <w:rPr>
          <w:sz w:val="20"/>
        </w:rPr>
        <w:t xml:space="preserve">Fisher-féle egzakt próba </w:t>
      </w:r>
    </w:p>
    <w:p w14:paraId="6EFB2429" w14:textId="77777777" w:rsidR="00C12D99" w:rsidRPr="00445457" w:rsidRDefault="00C12D99" w:rsidP="00F372B2">
      <w:pPr>
        <w:spacing w:line="259" w:lineRule="auto"/>
        <w:ind w:left="250" w:hanging="250"/>
        <w:jc w:val="left"/>
        <w:rPr>
          <w:sz w:val="20"/>
          <w:szCs w:val="20"/>
        </w:rPr>
      </w:pPr>
    </w:p>
    <w:p w14:paraId="33A725EB" w14:textId="1B689EBA" w:rsidR="00C12D99" w:rsidRPr="00445457" w:rsidRDefault="00C92F76" w:rsidP="00F372B2">
      <w:pPr>
        <w:pStyle w:val="Kpalrs"/>
        <w:ind w:hanging="1077"/>
        <w:jc w:val="left"/>
        <w:rPr>
          <w:b/>
          <w:sz w:val="22"/>
          <w:szCs w:val="22"/>
        </w:rPr>
      </w:pPr>
      <w:r>
        <w:rPr>
          <w:b/>
          <w:sz w:val="22"/>
        </w:rPr>
        <w:fldChar w:fldCharType="begin"/>
      </w:r>
      <w:r>
        <w:rPr>
          <w:b/>
          <w:sz w:val="22"/>
        </w:rPr>
        <w:instrText xml:space="preserve"> SEQ Figure \* ARABIC </w:instrText>
      </w:r>
      <w:r>
        <w:rPr>
          <w:b/>
          <w:sz w:val="22"/>
        </w:rPr>
        <w:fldChar w:fldCharType="separate"/>
      </w:r>
      <w:r>
        <w:rPr>
          <w:b/>
          <w:sz w:val="22"/>
        </w:rPr>
        <w:t>1</w:t>
      </w:r>
      <w:r>
        <w:rPr>
          <w:b/>
          <w:sz w:val="22"/>
        </w:rPr>
        <w:fldChar w:fldCharType="end"/>
      </w:r>
      <w:r>
        <w:rPr>
          <w:b/>
          <w:sz w:val="22"/>
        </w:rPr>
        <w:t>. ábra</w:t>
      </w:r>
      <w:r w:rsidR="00CB3C47">
        <w:rPr>
          <w:b/>
          <w:sz w:val="22"/>
        </w:rPr>
        <w:t xml:space="preserve">. </w:t>
      </w:r>
      <w:r>
        <w:rPr>
          <w:b/>
          <w:sz w:val="22"/>
        </w:rPr>
        <w:t>A PFS Kaplan</w:t>
      </w:r>
      <w:r>
        <w:rPr>
          <w:b/>
          <w:sz w:val="22"/>
          <w:cs/>
        </w:rPr>
        <w:t>–</w:t>
      </w:r>
      <w:r>
        <w:rPr>
          <w:b/>
          <w:sz w:val="22"/>
        </w:rPr>
        <w:t>Meier-féle görbéje a III. fázisú pNET vizsgálatban</w:t>
      </w:r>
    </w:p>
    <w:p w14:paraId="2E6666F0" w14:textId="37059607" w:rsidR="00D31813" w:rsidRPr="00445457" w:rsidRDefault="00312D5A" w:rsidP="00F372B2">
      <w:pPr>
        <w:keepNext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1E09A7" wp14:editId="5B7B92F9">
                <wp:simplePos x="0" y="0"/>
                <wp:positionH relativeFrom="column">
                  <wp:posOffset>234950</wp:posOffset>
                </wp:positionH>
                <wp:positionV relativeFrom="paragraph">
                  <wp:posOffset>31115</wp:posOffset>
                </wp:positionV>
                <wp:extent cx="371475" cy="2857500"/>
                <wp:effectExtent l="0" t="0" r="9525" b="0"/>
                <wp:wrapNone/>
                <wp:docPr id="4" name="Szövegdoboz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85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5B41D7" w14:textId="77777777" w:rsidR="00875034" w:rsidRPr="00A231A6" w:rsidRDefault="00875034" w:rsidP="00312D5A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231A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 progressziómentes túlélés valószínűsége (%)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1E09A7"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6" type="#_x0000_t202" style="position:absolute;margin-left:18.5pt;margin-top:2.45pt;width:29.25pt;height:2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" fillcolor="white [3201]" stroked="f" strokeweight=".5pt">
                <v:textbox style="layout-flow:vertical;mso-layout-flow-alt:bottom-to-top">
                  <w:txbxContent>
                    <w:p w14:paraId="055B41D7" w14:textId="77777777" w:rsidR="00875034" w:rsidRPr="00A231A6" w:rsidRDefault="00875034" w:rsidP="00312D5A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231A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 progressziómentes túlélés valószínűsége (%)</w:t>
                      </w:r>
                    </w:p>
                  </w:txbxContent>
                </v:textbox>
              </v:shape>
            </w:pict>
          </mc:Fallback>
        </mc:AlternateContent>
      </w:r>
      <w:r w:rsidR="0000552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E9731B" wp14:editId="35A2B449">
                <wp:simplePos x="0" y="0"/>
                <wp:positionH relativeFrom="column">
                  <wp:posOffset>3159760</wp:posOffset>
                </wp:positionH>
                <wp:positionV relativeFrom="paragraph">
                  <wp:posOffset>95250</wp:posOffset>
                </wp:positionV>
                <wp:extent cx="1300480" cy="558800"/>
                <wp:effectExtent l="0" t="0" r="0" b="0"/>
                <wp:wrapNone/>
                <wp:docPr id="8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0480" cy="55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F3BEAD" w14:textId="77777777" w:rsidR="00875034" w:rsidRDefault="00875034" w:rsidP="0000552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Szunitinib (N=86)</w:t>
                            </w:r>
                          </w:p>
                          <w:p w14:paraId="73E6DDC4" w14:textId="77777777" w:rsidR="00875034" w:rsidRPr="00B5197C" w:rsidRDefault="00875034" w:rsidP="0000552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Medián: 11,4 hónap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9731B" id="Szövegdoboz 8" o:spid="_x0000_s1027" type="#_x0000_t202" style="position:absolute;margin-left:248.8pt;margin-top:7.5pt;width:102.4pt;height:4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" fillcolor="white [3201]" stroked="f" strokeweight=".5pt">
                <v:textbox>
                  <w:txbxContent>
                    <w:p w14:paraId="7AF3BEAD" w14:textId="77777777" w:rsidR="00875034" w:rsidRDefault="00875034" w:rsidP="0000552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Szunitinib (N=86)</w:t>
                      </w:r>
                    </w:p>
                    <w:p w14:paraId="73E6DDC4" w14:textId="77777777" w:rsidR="00875034" w:rsidRPr="00B5197C" w:rsidRDefault="00875034" w:rsidP="0000552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Medián: 11,4 hónap</w:t>
                      </w:r>
                    </w:p>
                  </w:txbxContent>
                </v:textbox>
              </v:shape>
            </w:pict>
          </mc:Fallback>
        </mc:AlternateContent>
      </w:r>
    </w:p>
    <w:p w14:paraId="2987D25E" w14:textId="2CA7A8DB" w:rsidR="00821515" w:rsidRPr="00445457" w:rsidRDefault="00312D5A" w:rsidP="00F372B2">
      <w:pPr>
        <w:spacing w:line="240" w:lineRule="auto"/>
        <w:ind w:firstLine="709"/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C9730D" wp14:editId="1F97AD0B">
                <wp:simplePos x="0" y="0"/>
                <wp:positionH relativeFrom="column">
                  <wp:posOffset>1851660</wp:posOffset>
                </wp:positionH>
                <wp:positionV relativeFrom="paragraph">
                  <wp:posOffset>2762250</wp:posOffset>
                </wp:positionV>
                <wp:extent cx="1704975" cy="254000"/>
                <wp:effectExtent l="0" t="0" r="9525" b="0"/>
                <wp:wrapNone/>
                <wp:docPr id="11" name="Szövegdoboz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88E1CD" w14:textId="77777777" w:rsidR="00875034" w:rsidRPr="00D41BFD" w:rsidRDefault="00875034" w:rsidP="00312D5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41BF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6"/>
                                <w:szCs w:val="16"/>
                              </w:rPr>
                              <w:t>Idő (hónap)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9730D" id="Szövegdoboz 11" o:spid="_x0000_s1028" type="#_x0000_t202" style="position:absolute;left:0;text-align:left;margin-left:145.8pt;margin-top:217.5pt;width:134.25pt;height:20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" fillcolor="white [3201]" stroked="f" strokeweight=".5pt">
                <v:textbox>
                  <w:txbxContent>
                    <w:p w14:paraId="2588E1CD" w14:textId="77777777" w:rsidR="00875034" w:rsidRPr="00D41BFD" w:rsidRDefault="00875034" w:rsidP="00312D5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16"/>
                          <w:szCs w:val="16"/>
                        </w:rPr>
                      </w:pPr>
                      <w:r w:rsidRPr="00D41BFD">
                        <w:rPr>
                          <w:rFonts w:asciiTheme="minorHAnsi" w:hAnsiTheme="minorHAnsi" w:cstheme="minorHAnsi"/>
                          <w:b/>
                          <w:bCs/>
                          <w:sz w:val="16"/>
                          <w:szCs w:val="16"/>
                        </w:rPr>
                        <w:t>Idő (hónap)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82424D" wp14:editId="117DB778">
                <wp:simplePos x="0" y="0"/>
                <wp:positionH relativeFrom="column">
                  <wp:posOffset>892810</wp:posOffset>
                </wp:positionH>
                <wp:positionV relativeFrom="paragraph">
                  <wp:posOffset>1879600</wp:posOffset>
                </wp:positionV>
                <wp:extent cx="1371600" cy="603250"/>
                <wp:effectExtent l="0" t="0" r="0" b="6350"/>
                <wp:wrapNone/>
                <wp:docPr id="10" name="Szövegdoboz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0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28BD3A" w14:textId="77777777" w:rsidR="00875034" w:rsidRDefault="00875034" w:rsidP="00312D5A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Relatív hazárd = 0,42</w:t>
                            </w:r>
                          </w:p>
                          <w:p w14:paraId="21F03569" w14:textId="77777777" w:rsidR="00875034" w:rsidRDefault="00875034" w:rsidP="00312D5A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95%-os CI (0,26–0,66)</w:t>
                            </w:r>
                          </w:p>
                          <w:p w14:paraId="173DC0BC" w14:textId="77777777" w:rsidR="00875034" w:rsidRPr="00445526" w:rsidRDefault="00875034" w:rsidP="00312D5A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p = 0,0001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2424D" id="Szövegdoboz 10" o:spid="_x0000_s1029" type="#_x0000_t202" style="position:absolute;left:0;text-align:left;margin-left:70.3pt;margin-top:148pt;width:108pt;height:4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" fillcolor="white [3201]" stroked="f" strokeweight=".5pt">
                <v:textbox>
                  <w:txbxContent>
                    <w:p w14:paraId="5C28BD3A" w14:textId="77777777" w:rsidR="00875034" w:rsidRDefault="00875034" w:rsidP="00312D5A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Relatív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hazárd = 0,42</w:t>
                      </w:r>
                    </w:p>
                    <w:p w14:paraId="21F03569" w14:textId="77777777" w:rsidR="00875034" w:rsidRDefault="00875034" w:rsidP="00312D5A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95%-os CI (0,26–0,66)</w:t>
                      </w:r>
                    </w:p>
                    <w:p w14:paraId="173DC0BC" w14:textId="77777777" w:rsidR="00875034" w:rsidRPr="00445526" w:rsidRDefault="00875034" w:rsidP="00312D5A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p = 0,0001</w:t>
                      </w:r>
                    </w:p>
                  </w:txbxContent>
                </v:textbox>
              </v:shape>
            </w:pict>
          </mc:Fallback>
        </mc:AlternateContent>
      </w:r>
      <w:r w:rsidR="0000552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DE253F" wp14:editId="05098089">
                <wp:simplePos x="0" y="0"/>
                <wp:positionH relativeFrom="column">
                  <wp:posOffset>3136900</wp:posOffset>
                </wp:positionH>
                <wp:positionV relativeFrom="paragraph">
                  <wp:posOffset>427990</wp:posOffset>
                </wp:positionV>
                <wp:extent cx="1300480" cy="428625"/>
                <wp:effectExtent l="0" t="0" r="0" b="9525"/>
                <wp:wrapNone/>
                <wp:docPr id="9" name="Szövegdoboz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048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68BAD6" w14:textId="77777777" w:rsidR="00875034" w:rsidRDefault="00875034" w:rsidP="0000552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Placebo (N=85)</w:t>
                            </w:r>
                          </w:p>
                          <w:p w14:paraId="1AD470EC" w14:textId="77777777" w:rsidR="00875034" w:rsidRPr="00B5197C" w:rsidRDefault="00875034" w:rsidP="0000552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Medián: 5,5 hónap</w:t>
                            </w:r>
                          </w:p>
                          <w:p w14:paraId="62FCC4A8" w14:textId="77777777" w:rsidR="00875034" w:rsidRDefault="00875034" w:rsidP="000055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E253F" id="Szövegdoboz 9" o:spid="_x0000_s1030" type="#_x0000_t202" style="position:absolute;left:0;text-align:left;margin-left:247pt;margin-top:33.7pt;width:102.4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" fillcolor="white [3201]" stroked="f" strokeweight=".5pt">
                <v:textbox>
                  <w:txbxContent>
                    <w:p w14:paraId="2668BAD6" w14:textId="77777777" w:rsidR="00875034" w:rsidRDefault="00875034" w:rsidP="0000552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Placebo (N=85)</w:t>
                      </w:r>
                    </w:p>
                    <w:p w14:paraId="1AD470EC" w14:textId="77777777" w:rsidR="00875034" w:rsidRPr="00B5197C" w:rsidRDefault="00875034" w:rsidP="0000552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Medián: 5,5 hónap</w:t>
                      </w:r>
                    </w:p>
                    <w:p w14:paraId="62FCC4A8" w14:textId="77777777" w:rsidR="00875034" w:rsidRDefault="00875034" w:rsidP="0000552B"/>
                  </w:txbxContent>
                </v:textbox>
              </v:shape>
            </w:pict>
          </mc:Fallback>
        </mc:AlternateContent>
      </w:r>
      <w:r w:rsidR="007F1736">
        <w:rPr>
          <w:noProof/>
        </w:rPr>
        <w:drawing>
          <wp:inline distT="0" distB="0" distL="0" distR="0" wp14:anchorId="35CB8AFD" wp14:editId="5245FB78">
            <wp:extent cx="4143375" cy="2895600"/>
            <wp:effectExtent l="0" t="0" r="0" b="0"/>
            <wp:docPr id="2" name="Picture 119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87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E1712" w14:textId="77777777" w:rsidR="00CF27FD" w:rsidRPr="00445457" w:rsidRDefault="00C92F76" w:rsidP="00B00CA3">
      <w:pPr>
        <w:spacing w:line="259" w:lineRule="auto"/>
        <w:ind w:left="981" w:hanging="555"/>
        <w:jc w:val="left"/>
      </w:pPr>
      <w:r>
        <w:rPr>
          <w:sz w:val="15"/>
        </w:rPr>
        <w:t>A kockázatnak kitett résztvevők száma</w:t>
      </w:r>
    </w:p>
    <w:p w14:paraId="7DE7ECD8" w14:textId="77777777" w:rsidR="00CF27FD" w:rsidRPr="00445457" w:rsidRDefault="00C92F76" w:rsidP="002201B3">
      <w:pPr>
        <w:tabs>
          <w:tab w:val="center" w:pos="1407"/>
          <w:tab w:val="center" w:pos="2127"/>
          <w:tab w:val="center" w:pos="2977"/>
          <w:tab w:val="center" w:pos="3828"/>
          <w:tab w:val="center" w:pos="4678"/>
          <w:tab w:val="center" w:pos="5387"/>
          <w:tab w:val="center" w:pos="6237"/>
        </w:tabs>
        <w:spacing w:line="259" w:lineRule="auto"/>
        <w:ind w:firstLine="426"/>
        <w:jc w:val="left"/>
      </w:pPr>
      <w:r>
        <w:rPr>
          <w:sz w:val="15"/>
        </w:rPr>
        <w:t xml:space="preserve">Szunitinib </w:t>
      </w:r>
      <w:r>
        <w:rPr>
          <w:sz w:val="15"/>
        </w:rPr>
        <w:tab/>
      </w:r>
      <w:r>
        <w:rPr>
          <w:sz w:val="13"/>
        </w:rPr>
        <w:t>86</w:t>
      </w:r>
      <w:r>
        <w:rPr>
          <w:sz w:val="13"/>
        </w:rPr>
        <w:tab/>
        <w:t>52</w:t>
      </w:r>
      <w:r>
        <w:rPr>
          <w:sz w:val="13"/>
        </w:rPr>
        <w:tab/>
        <w:t>34</w:t>
      </w:r>
      <w:r>
        <w:rPr>
          <w:sz w:val="13"/>
        </w:rPr>
        <w:tab/>
        <w:t>20</w:t>
      </w:r>
      <w:r>
        <w:rPr>
          <w:sz w:val="13"/>
        </w:rPr>
        <w:tab/>
        <w:t>15</w:t>
      </w:r>
      <w:r>
        <w:rPr>
          <w:sz w:val="13"/>
        </w:rPr>
        <w:tab/>
        <w:t>4</w:t>
      </w:r>
      <w:r>
        <w:rPr>
          <w:sz w:val="13"/>
        </w:rPr>
        <w:tab/>
        <w:t>2</w:t>
      </w:r>
    </w:p>
    <w:p w14:paraId="45761C78" w14:textId="77777777" w:rsidR="00CF27FD" w:rsidRPr="00445457" w:rsidRDefault="00C92F76" w:rsidP="002201B3">
      <w:pPr>
        <w:tabs>
          <w:tab w:val="center" w:pos="1407"/>
          <w:tab w:val="center" w:pos="2127"/>
          <w:tab w:val="center" w:pos="2977"/>
          <w:tab w:val="center" w:pos="3828"/>
          <w:tab w:val="center" w:pos="4678"/>
          <w:tab w:val="center" w:pos="5387"/>
          <w:tab w:val="center" w:pos="6237"/>
        </w:tabs>
        <w:spacing w:after="158" w:line="259" w:lineRule="auto"/>
        <w:ind w:left="426"/>
        <w:jc w:val="left"/>
      </w:pPr>
      <w:r>
        <w:rPr>
          <w:sz w:val="15"/>
        </w:rPr>
        <w:t xml:space="preserve">Placebo </w:t>
      </w:r>
      <w:r>
        <w:rPr>
          <w:sz w:val="15"/>
        </w:rPr>
        <w:tab/>
      </w:r>
      <w:r>
        <w:rPr>
          <w:sz w:val="13"/>
        </w:rPr>
        <w:t>85</w:t>
      </w:r>
      <w:r>
        <w:rPr>
          <w:sz w:val="13"/>
        </w:rPr>
        <w:tab/>
        <w:t>42</w:t>
      </w:r>
      <w:r>
        <w:rPr>
          <w:sz w:val="13"/>
        </w:rPr>
        <w:tab/>
        <w:t>20</w:t>
      </w:r>
      <w:r>
        <w:rPr>
          <w:sz w:val="13"/>
        </w:rPr>
        <w:tab/>
        <w:t>9</w:t>
      </w:r>
      <w:r>
        <w:rPr>
          <w:sz w:val="13"/>
        </w:rPr>
        <w:tab/>
        <w:t>2</w:t>
      </w:r>
      <w:r>
        <w:rPr>
          <w:sz w:val="13"/>
        </w:rPr>
        <w:tab/>
        <w:t>2</w:t>
      </w:r>
      <w:r>
        <w:rPr>
          <w:sz w:val="13"/>
        </w:rPr>
        <w:tab/>
        <w:t>2</w:t>
      </w:r>
    </w:p>
    <w:p w14:paraId="5F2F0720" w14:textId="080DAB94" w:rsidR="005E3DCE" w:rsidRPr="00F372B2" w:rsidRDefault="00C92F76">
      <w:pPr>
        <w:spacing w:line="259" w:lineRule="auto"/>
        <w:ind w:left="363" w:right="53" w:hanging="10"/>
        <w:jc w:val="left"/>
        <w:rPr>
          <w:sz w:val="20"/>
          <w:szCs w:val="20"/>
        </w:rPr>
      </w:pPr>
      <w:r w:rsidRPr="00F372B2">
        <w:rPr>
          <w:sz w:val="20"/>
          <w:szCs w:val="20"/>
        </w:rPr>
        <w:t>Rövidítések: CI = konfidencia intervallum</w:t>
      </w:r>
      <w:r w:rsidR="006F646A">
        <w:rPr>
          <w:sz w:val="20"/>
          <w:szCs w:val="20"/>
        </w:rPr>
        <w:t>,</w:t>
      </w:r>
      <w:r w:rsidRPr="00F372B2">
        <w:rPr>
          <w:sz w:val="20"/>
          <w:szCs w:val="20"/>
        </w:rPr>
        <w:t xml:space="preserve"> N = betegszám</w:t>
      </w:r>
      <w:r w:rsidR="006F646A">
        <w:rPr>
          <w:sz w:val="20"/>
          <w:szCs w:val="20"/>
        </w:rPr>
        <w:t>,</w:t>
      </w:r>
      <w:r w:rsidRPr="00F372B2">
        <w:rPr>
          <w:sz w:val="20"/>
          <w:szCs w:val="20"/>
        </w:rPr>
        <w:t xml:space="preserve"> PFS = progressziómentes túlélés</w:t>
      </w:r>
      <w:r w:rsidR="006F646A">
        <w:rPr>
          <w:sz w:val="20"/>
          <w:szCs w:val="20"/>
        </w:rPr>
        <w:t>,</w:t>
      </w:r>
      <w:r w:rsidRPr="00F372B2">
        <w:rPr>
          <w:sz w:val="20"/>
          <w:szCs w:val="20"/>
        </w:rPr>
        <w:t xml:space="preserve"> pNET</w:t>
      </w:r>
      <w:r w:rsidR="00312D5A" w:rsidRPr="00F372B2">
        <w:rPr>
          <w:sz w:val="20"/>
          <w:szCs w:val="20"/>
        </w:rPr>
        <w:t xml:space="preserve"> </w:t>
      </w:r>
      <w:r w:rsidRPr="00F372B2">
        <w:rPr>
          <w:sz w:val="20"/>
          <w:szCs w:val="20"/>
        </w:rPr>
        <w:t xml:space="preserve">= neuroendokrin </w:t>
      </w:r>
      <w:r w:rsidR="00312D5A" w:rsidRPr="00F372B2">
        <w:rPr>
          <w:sz w:val="20"/>
          <w:szCs w:val="20"/>
        </w:rPr>
        <w:t>pancreas</w:t>
      </w:r>
      <w:r w:rsidRPr="00F372B2">
        <w:rPr>
          <w:sz w:val="20"/>
          <w:szCs w:val="20"/>
        </w:rPr>
        <w:t xml:space="preserve">tumor. </w:t>
      </w:r>
    </w:p>
    <w:p w14:paraId="2A31472B" w14:textId="0F7BF72E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 vizsgálat lezárásának időpontjában a teljes túlélés meghatározására még nem állt rendelkezésre elegendő adat [20,6 hónap (95%-os CI: 20,6; nem elért) a szunitinib-karon, míg a placebokaron nem érték el (95%-os CI: 15,5; nem elért), </w:t>
      </w:r>
      <w:r w:rsidR="00312D5A">
        <w:rPr>
          <w:sz w:val="22"/>
        </w:rPr>
        <w:t>HR</w:t>
      </w:r>
      <w:r>
        <w:rPr>
          <w:sz w:val="22"/>
        </w:rPr>
        <w:t>: 0,409 (95%</w:t>
      </w:r>
      <w:r w:rsidR="00312D5A">
        <w:rPr>
          <w:sz w:val="22"/>
        </w:rPr>
        <w:t>-os</w:t>
      </w:r>
      <w:r>
        <w:rPr>
          <w:sz w:val="22"/>
        </w:rPr>
        <w:t> CI: 0,187; 0,894), p-érték = 0,0204]. A szunitinib-karon 9 haláleset, a placebokaron 21 haláleset volt.</w:t>
      </w:r>
      <w:r w:rsidR="00471C90">
        <w:rPr>
          <w:sz w:val="22"/>
        </w:rPr>
        <w:t xml:space="preserve"> </w:t>
      </w:r>
    </w:p>
    <w:p w14:paraId="3F840FB8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485BCA2E" w14:textId="21C64BD9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>A betegség progressziójakor a betegeket tájékoztatták a kapott kezelésről és a placebokar betegeinek a nyílt szakaszban szunitinib</w:t>
      </w:r>
      <w:r w:rsidR="00312D5A">
        <w:rPr>
          <w:sz w:val="22"/>
        </w:rPr>
        <w:t>-</w:t>
      </w:r>
      <w:r>
        <w:rPr>
          <w:sz w:val="22"/>
        </w:rPr>
        <w:t>kezelést ajánlottak fel egy különálló, kiterjesztett vizsgálat keretében. A vizsgálat korai lezárásának eredményeképpen a fennmaradó betegeknél is feloldották a vak elrendezést és nyílt elrendezésű szunitinib</w:t>
      </w:r>
      <w:r w:rsidR="00312D5A">
        <w:rPr>
          <w:sz w:val="22"/>
        </w:rPr>
        <w:t>-</w:t>
      </w:r>
      <w:r>
        <w:rPr>
          <w:sz w:val="22"/>
        </w:rPr>
        <w:t>kezelést ajánlottak fel számukra egy kiterjesztett vizsgálat keretében. A placebokarról 85-ből összesen 59 beteg (69,4%) került át nyílt szunitinib</w:t>
      </w:r>
      <w:r w:rsidR="00312D5A">
        <w:rPr>
          <w:sz w:val="22"/>
        </w:rPr>
        <w:t>-</w:t>
      </w:r>
      <w:r>
        <w:rPr>
          <w:sz w:val="22"/>
        </w:rPr>
        <w:t xml:space="preserve">kezelésre a betegség progresszióját vagy a vizsgálat lezárását követően, a vak elrendezés feloldása után. A kiterjesztett vizsgálatban 5 éves utánkövetés után a teljes túlélés </w:t>
      </w:r>
      <w:r w:rsidR="00312D5A">
        <w:rPr>
          <w:sz w:val="22"/>
        </w:rPr>
        <w:t>HR-je</w:t>
      </w:r>
      <w:r>
        <w:rPr>
          <w:sz w:val="22"/>
        </w:rPr>
        <w:t xml:space="preserve"> 0,730 volt (95%-os CI: 0,504; 1,057).</w:t>
      </w:r>
      <w:r w:rsidR="00471C90">
        <w:rPr>
          <w:sz w:val="22"/>
        </w:rPr>
        <w:t xml:space="preserve"> </w:t>
      </w:r>
    </w:p>
    <w:p w14:paraId="0468135E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27BBA9A8" w14:textId="564AD3B3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>Az Európai Rákkutatási és -kezelési Szervezet életminőséget értékelő kérdőívének (</w:t>
      </w:r>
      <w:r w:rsidRPr="00F372B2">
        <w:rPr>
          <w:i/>
          <w:sz w:val="22"/>
        </w:rPr>
        <w:t>European Organization for Research and Treatment of Cancer Quality of Life Questionnaire</w:t>
      </w:r>
      <w:r>
        <w:rPr>
          <w:sz w:val="22"/>
        </w:rPr>
        <w:t>, EORTC QLQ</w:t>
      </w:r>
      <w:r w:rsidR="00312D5A">
        <w:rPr>
          <w:sz w:val="22"/>
        </w:rPr>
        <w:t>-</w:t>
      </w:r>
      <w:r>
        <w:rPr>
          <w:sz w:val="22"/>
        </w:rPr>
        <w:t>C30) eredményei azt mutatták, hogy a betegeknél az általános, globális, egészséggel összefüggő életminőség és az 5 funkcionális domén (fizikai, szerepvállalás, kognitív, emocionális és szociális) a szunitinib</w:t>
      </w:r>
      <w:r w:rsidR="00312D5A">
        <w:rPr>
          <w:sz w:val="22"/>
        </w:rPr>
        <w:t>-</w:t>
      </w:r>
      <w:r>
        <w:rPr>
          <w:sz w:val="22"/>
        </w:rPr>
        <w:t xml:space="preserve">kezelés alatt a placebóhoz képest megtartott volt, korlátozott számú nemkívánatos tüneti hatással. </w:t>
      </w:r>
    </w:p>
    <w:p w14:paraId="656867D2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7163E2AA" w14:textId="4F5876C8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>Egy IV. fázisú, nemzetközi, multicentrikus, egykar</w:t>
      </w:r>
      <w:r w:rsidR="00312D5A">
        <w:rPr>
          <w:sz w:val="22"/>
        </w:rPr>
        <w:t>os</w:t>
      </w:r>
      <w:r>
        <w:rPr>
          <w:sz w:val="22"/>
        </w:rPr>
        <w:t xml:space="preserve">, nyílt vizsgálatban a szunitinib hatásosságát és biztonságosságát értékelték progresszív, előrehaladott/metasztatikus, jól differenciált, nem reszekálható pNET-ben szenvedő betegeknél. </w:t>
      </w:r>
    </w:p>
    <w:p w14:paraId="1FFB8BDF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1031A416" w14:textId="0CFD67DE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Százhat beteg (61 beteg az előzőleg nem kezelt kohorszban és 45 beteg a többedvonalbeli kezelési kohorszban) részesült </w:t>
      </w:r>
      <w:r w:rsidRPr="008B4E6D">
        <w:rPr>
          <w:i/>
          <w:iCs/>
          <w:sz w:val="22"/>
        </w:rPr>
        <w:t>per os</w:t>
      </w:r>
      <w:r>
        <w:rPr>
          <w:sz w:val="22"/>
        </w:rPr>
        <w:t xml:space="preserve"> szunitinib</w:t>
      </w:r>
      <w:r w:rsidR="00312D5A">
        <w:rPr>
          <w:sz w:val="22"/>
        </w:rPr>
        <w:t>-</w:t>
      </w:r>
      <w:r>
        <w:rPr>
          <w:sz w:val="22"/>
        </w:rPr>
        <w:t>kezelésben napi egyszeri 37,5 mg adagban, folyamatos napi adagolási rendben (</w:t>
      </w:r>
      <w:r w:rsidRPr="00F372B2">
        <w:rPr>
          <w:i/>
          <w:sz w:val="22"/>
        </w:rPr>
        <w:t>continuous daily dosing</w:t>
      </w:r>
      <w:r>
        <w:rPr>
          <w:sz w:val="22"/>
        </w:rPr>
        <w:t xml:space="preserve">, CDD). </w:t>
      </w:r>
    </w:p>
    <w:p w14:paraId="5B708AB3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0785E367" w14:textId="4F3A626F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>A vizsgálók értékelése alapján a PFS medián értéke 13,2 hónap volt, mind a teljes populációban (95%</w:t>
      </w:r>
      <w:r w:rsidR="00312D5A">
        <w:rPr>
          <w:sz w:val="22"/>
        </w:rPr>
        <w:t>-</w:t>
      </w:r>
      <w:r>
        <w:rPr>
          <w:sz w:val="22"/>
        </w:rPr>
        <w:t xml:space="preserve">os CI: 10,9; 16,7), mind pedig a kezelésben előzőleg nem részesült kohorszban (95%-os CI: 7,4; 16,8). </w:t>
      </w:r>
    </w:p>
    <w:p w14:paraId="367188E3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3C9D3539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Gyermekek és serdülők </w:t>
      </w:r>
    </w:p>
    <w:p w14:paraId="760F8D7E" w14:textId="7D63A7AA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lastRenderedPageBreak/>
        <w:t>A szunitinib gyermek</w:t>
      </w:r>
      <w:r w:rsidR="00312D5A">
        <w:rPr>
          <w:sz w:val="22"/>
        </w:rPr>
        <w:t>eknél</w:t>
      </w:r>
      <w:r>
        <w:rPr>
          <w:sz w:val="22"/>
        </w:rPr>
        <w:t xml:space="preserve"> és serdülőknél való alkalmazására vonatkozó tapasztalatok korlátozottak (lásd 4.2 pont).</w:t>
      </w:r>
      <w:r w:rsidR="00471C90">
        <w:rPr>
          <w:sz w:val="22"/>
        </w:rPr>
        <w:t xml:space="preserve"> </w:t>
      </w:r>
    </w:p>
    <w:p w14:paraId="4DB4070B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0E7F1CF9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i/>
          <w:sz w:val="22"/>
        </w:rPr>
        <w:t>Per os</w:t>
      </w:r>
      <w:r>
        <w:rPr>
          <w:sz w:val="22"/>
        </w:rPr>
        <w:t xml:space="preserve"> alkalmazott szunitinibbel egy I. fázisú dóziseszkalációs vizsgálatot folytattak le 35 refrakter szolid tumorral rendelkező beteg részvételével, akik közül 30 gyermek (3</w:t>
      </w:r>
      <w:r>
        <w:rPr>
          <w:sz w:val="22"/>
          <w:cs/>
        </w:rPr>
        <w:t>–</w:t>
      </w:r>
      <w:r>
        <w:rPr>
          <w:sz w:val="22"/>
        </w:rPr>
        <w:t>17 éves korú) és 5 fiatal felnőtt (18</w:t>
      </w:r>
      <w:r>
        <w:rPr>
          <w:sz w:val="22"/>
          <w:cs/>
        </w:rPr>
        <w:t>–</w:t>
      </w:r>
      <w:r>
        <w:rPr>
          <w:sz w:val="22"/>
        </w:rPr>
        <w:t xml:space="preserve">21 éves korú) volt, és többségüket agydaganat primer diagnózisával választották be. A vizsgálat első részében dóziskorlátozó kardiotoxicitást figyeltek meg, ezért a vizsgálatot módosították úgy, hogy a potenciálisan kardiotoxikus hatást kifejtő terápiáknak (köztük az antraciklineknek) vagy a szívbesugárzásnak korábban kitett betegeket kizárták a vizsgálatból. A vizsgálat második részében </w:t>
      </w:r>
      <w:r>
        <w:rPr>
          <w:sz w:val="22"/>
          <w:cs/>
        </w:rPr>
        <w:t xml:space="preserve">– </w:t>
      </w:r>
      <w:r>
        <w:rPr>
          <w:sz w:val="22"/>
        </w:rPr>
        <w:t xml:space="preserve">amelyben részt vettek rákellenes terápiában korábban részesült betegek, akiknél azonban nem álltak fenn a kardiotoxicitás kockázati tényezői </w:t>
      </w:r>
      <w:r>
        <w:rPr>
          <w:sz w:val="22"/>
          <w:cs/>
        </w:rPr>
        <w:t xml:space="preserve">– </w:t>
      </w:r>
      <w:r>
        <w:rPr>
          <w:sz w:val="22"/>
        </w:rPr>
        <w:t>a szunitinib általában tolerálhatónak és klinikailag kezelhetőnek bizonyult a 15 mg/m</w:t>
      </w:r>
      <w:r>
        <w:rPr>
          <w:sz w:val="22"/>
          <w:vertAlign w:val="superscript"/>
        </w:rPr>
        <w:t>2</w:t>
      </w:r>
      <w:r>
        <w:rPr>
          <w:sz w:val="22"/>
        </w:rPr>
        <w:t>/nap dózis (MTD) 4/2-es adagolási rend szerinti adagolása mellett. A vizsgálati alanyok egyikénél sem mutatkozott sem teljes, sem részleges válasz. Stabil betegséget 6 betegnél (17%) figyeltek meg. Egy GIST-ben szenvedő beteget vontak be a 15 mg/m</w:t>
      </w:r>
      <w:r>
        <w:rPr>
          <w:sz w:val="22"/>
          <w:vertAlign w:val="superscript"/>
        </w:rPr>
        <w:t>2</w:t>
      </w:r>
      <w:r>
        <w:rPr>
          <w:sz w:val="22"/>
        </w:rPr>
        <w:t xml:space="preserve">/nap dózis szintjén, bármiféle észlelhető jótékony hatásra mutató jel nélkül. A megfigyelt gyógyszer okozta mellékhatások hasonlítottak a felnőtteknél általánosságban megfigyeltekhez (lásd 4.8 pont). </w:t>
      </w:r>
    </w:p>
    <w:p w14:paraId="3D87261E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04CE2671" w14:textId="4D29E7A4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>Egy II. fázisú, nyílt vizsgálatot folytattak le 29 HGG-vel vagy ependymomával rendelkező beteg részvételével, akik közül 27 gyermekgyógyászati (3</w:t>
      </w:r>
      <w:r>
        <w:rPr>
          <w:sz w:val="22"/>
          <w:cs/>
        </w:rPr>
        <w:t>–</w:t>
      </w:r>
      <w:r>
        <w:rPr>
          <w:sz w:val="22"/>
        </w:rPr>
        <w:t>16 éves korú) és 2 fiatal felnőtt (18</w:t>
      </w:r>
      <w:r>
        <w:rPr>
          <w:sz w:val="22"/>
          <w:cs/>
        </w:rPr>
        <w:t>–</w:t>
      </w:r>
      <w:r>
        <w:rPr>
          <w:sz w:val="22"/>
        </w:rPr>
        <w:t xml:space="preserve">19 éves korú) volt. A vizsgálatot betegségkontroll hiányában már lezárták az időközi elemzés tervezett idejére. A medián PFS 2,3 hónap volt a HGG- és 2,7 hónap az ependymoma-csoportban. A medián összesített OS 5,1 hónap volt a HGG- és 12,3 hónap az ependymoma-csoportban. A </w:t>
      </w:r>
      <w:r w:rsidR="00233F5E">
        <w:rPr>
          <w:sz w:val="22"/>
        </w:rPr>
        <w:t>leggyakoribb (</w:t>
      </w:r>
      <w:r w:rsidR="00233F5E">
        <w:rPr>
          <w:sz w:val="22"/>
          <w:cs/>
        </w:rPr>
        <w:t>≥</w:t>
      </w:r>
      <w:r w:rsidR="00233F5E">
        <w:rPr>
          <w:sz w:val="22"/>
        </w:rPr>
        <w:t xml:space="preserve">10%) jelentett </w:t>
      </w:r>
      <w:r>
        <w:rPr>
          <w:sz w:val="22"/>
        </w:rPr>
        <w:t>kezeléssel összefüggő nemkívánatos események a csoportot összevonva a neutrofilszám-csökkenés (6 [20,7%] beteg esetében), és az intracranialis vérzés (3 [10,3%] beteg esetében) voltak (lásd 4.8 pont).</w:t>
      </w:r>
      <w:r w:rsidR="00471C90">
        <w:rPr>
          <w:sz w:val="22"/>
        </w:rPr>
        <w:t xml:space="preserve"> </w:t>
      </w:r>
    </w:p>
    <w:p w14:paraId="73A572D9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2D33D8B5" w14:textId="25CC581C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>Az I/II. fázisú vizsgálat, amelyet 6, 13</w:t>
      </w:r>
      <w:r>
        <w:rPr>
          <w:sz w:val="22"/>
          <w:cs/>
        </w:rPr>
        <w:t>–</w:t>
      </w:r>
      <w:r>
        <w:rPr>
          <w:sz w:val="22"/>
        </w:rPr>
        <w:t>16 éves korú GIST-ben szenvedő gyermek beteg részvételével folytattak le, akik a 4/2-es adagolási rend szerint 15 mg/m</w:t>
      </w:r>
      <w:r>
        <w:rPr>
          <w:sz w:val="22"/>
          <w:vertAlign w:val="superscript"/>
        </w:rPr>
        <w:t>2</w:t>
      </w:r>
      <w:r>
        <w:rPr>
          <w:sz w:val="22"/>
        </w:rPr>
        <w:t>/nap és 30 mg/m</w:t>
      </w:r>
      <w:r>
        <w:rPr>
          <w:sz w:val="22"/>
          <w:vertAlign w:val="superscript"/>
        </w:rPr>
        <w:t>2</w:t>
      </w:r>
      <w:r>
        <w:rPr>
          <w:sz w:val="22"/>
        </w:rPr>
        <w:t>/nap közötti dózisú szunitinibet kaptak, valamint a publikált adatok (20 GIST-ben szenvedő gyermek vagy fiatal felnőtt beteg) azt mutatják, hogy a szunitinib</w:t>
      </w:r>
      <w:r w:rsidR="00233F5E">
        <w:rPr>
          <w:sz w:val="22"/>
        </w:rPr>
        <w:t>-</w:t>
      </w:r>
      <w:r>
        <w:rPr>
          <w:sz w:val="22"/>
        </w:rPr>
        <w:t>kezelés 26 betegből 18-nál (69,2%) betegségstabilizáló hatást eredményezett, még az imatinib sikertelensége vagy intoleranciája után is (21 betegből 16 stabil betegséggel), vagy de novo/műtét után (5 betegből 2 stabil betegséggel). Az I/II. fázisú vizsgálatban 6-ból 3</w:t>
      </w:r>
      <w:r>
        <w:rPr>
          <w:sz w:val="22"/>
          <w:cs/>
        </w:rPr>
        <w:t>–</w:t>
      </w:r>
      <w:r>
        <w:rPr>
          <w:sz w:val="22"/>
        </w:rPr>
        <w:t>3 betegnél figyeltek meg stabil betegséget, illetve betegségprogressziót (sorrendben 1 beteg neoadjuváns, 1 beteg pedig adjuváns imatinibet kapott). Ugyanebben a vizsgálatban 6 betegből 4 (66,7%) fő 3</w:t>
      </w:r>
      <w:r>
        <w:rPr>
          <w:sz w:val="22"/>
          <w:cs/>
        </w:rPr>
        <w:t>–</w:t>
      </w:r>
      <w:r>
        <w:rPr>
          <w:sz w:val="22"/>
        </w:rPr>
        <w:t>4. súlyossági fokozatú, kezeléssel összefüggő nemkívánatos eseményt tapasztalt (3. súlyossági fokozatú hypophosphataemia, neutropenia és thrombocytopenia 1</w:t>
      </w:r>
      <w:r w:rsidR="00233F5E">
        <w:rPr>
          <w:rFonts w:hint="cs"/>
          <w:sz w:val="22"/>
          <w:cs/>
        </w:rPr>
        <w:t>-</w:t>
      </w:r>
      <w:r>
        <w:rPr>
          <w:sz w:val="22"/>
        </w:rPr>
        <w:t>1 beteg esetében és egy 4. súlyossági fokozatú neutropenia 1 beteg esetében). Ezen kívül a publikációk az alábbi 3. súlyossági fokozatú mellékhatásokat írják le összesen 5 betegnél: fáradtság (2), emésztőrendszeri mellékhatások (</w:t>
      </w:r>
      <w:r w:rsidR="00233F5E">
        <w:rPr>
          <w:sz w:val="22"/>
        </w:rPr>
        <w:t>a</w:t>
      </w:r>
      <w:r>
        <w:rPr>
          <w:sz w:val="22"/>
        </w:rPr>
        <w:t xml:space="preserve"> hasmenés</w:t>
      </w:r>
      <w:r w:rsidR="00233F5E">
        <w:rPr>
          <w:sz w:val="22"/>
        </w:rPr>
        <w:t>t is beleértve</w:t>
      </w:r>
      <w:r>
        <w:rPr>
          <w:sz w:val="22"/>
        </w:rPr>
        <w:t>) (2), vérképzőszervi mellékhatások (</w:t>
      </w:r>
      <w:r w:rsidR="00233F5E">
        <w:rPr>
          <w:sz w:val="22"/>
        </w:rPr>
        <w:t>beleértve az</w:t>
      </w:r>
      <w:r>
        <w:rPr>
          <w:sz w:val="22"/>
        </w:rPr>
        <w:t xml:space="preserve"> anaemi</w:t>
      </w:r>
      <w:r w:rsidR="00233F5E">
        <w:rPr>
          <w:sz w:val="22"/>
        </w:rPr>
        <w:t>át</w:t>
      </w:r>
      <w:r>
        <w:rPr>
          <w:sz w:val="22"/>
        </w:rPr>
        <w:t>) (2), cholecystitis (1), hyperthyreo</w:t>
      </w:r>
      <w:r w:rsidR="00233F5E">
        <w:rPr>
          <w:sz w:val="22"/>
        </w:rPr>
        <w:t>idismus</w:t>
      </w:r>
      <w:r>
        <w:rPr>
          <w:sz w:val="22"/>
        </w:rPr>
        <w:t xml:space="preserve"> (1) és mucositis (1). </w:t>
      </w:r>
    </w:p>
    <w:p w14:paraId="390D648E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51D77C64" w14:textId="2B5CE225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>Az adott populációkra farmakokinetikai (PK) és farmakokinetikai/farmakodinámiás (PK/PD) elemzést végeztek a szunitinib GIST-ben szenvedő gyermek- és serdülőkorú (6</w:t>
      </w:r>
      <w:r>
        <w:rPr>
          <w:sz w:val="22"/>
          <w:cs/>
        </w:rPr>
        <w:t>–</w:t>
      </w:r>
      <w:r>
        <w:rPr>
          <w:sz w:val="22"/>
        </w:rPr>
        <w:t xml:space="preserve">17 éves korú) betegeknél való alkalmazásának farmakokinetikai és legfontosabb biztonságossági és hatásossági végpontjainak </w:t>
      </w:r>
      <w:r w:rsidR="00233F5E">
        <w:rPr>
          <w:sz w:val="22"/>
        </w:rPr>
        <w:t xml:space="preserve">kivetítése </w:t>
      </w:r>
      <w:r>
        <w:rPr>
          <w:sz w:val="22"/>
        </w:rPr>
        <w:t>céljából. Az elemzés egyfelől a GIST-ben szenvedő vagy szolid tumorral rendelkező felnőtt betegektől, másfelől szolid tumorral rendelkező gyermek és serdülőkorú betegektől gyűjtött adatokon alapult. A modellező elemzések alapján a fiatalabb életkor és a kisebb testtömeg nem látszott negatívan befolyásolni a szunitinib plazma</w:t>
      </w:r>
      <w:r w:rsidR="00233F5E">
        <w:rPr>
          <w:sz w:val="22"/>
        </w:rPr>
        <w:t>-</w:t>
      </w:r>
      <w:r>
        <w:rPr>
          <w:sz w:val="22"/>
        </w:rPr>
        <w:t>expozícióra adott biztonságossági és hatásossági válaszokat. A szunitinib előny/kockázat arányát a fiatalabb életkor és az alacsonyabb testtömeg nem látszott negatívan befolyásolni, és azt leginkább a plazmabeli gyógyszerexpozíció határozta meg.</w:t>
      </w:r>
      <w:r w:rsidR="00471C90">
        <w:rPr>
          <w:sz w:val="22"/>
        </w:rPr>
        <w:t xml:space="preserve"> </w:t>
      </w:r>
    </w:p>
    <w:p w14:paraId="52CBFC3E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7698B049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Az EMA a gyermekek esetén minden korosztálynál eltekint a szunitinibtartalmú referenciakészítmény vizsgálati eredményeinek benyújtási kötelezettségétől a vese- vagy vesemendence-carcinoma (kivéve a nephroblastoma, nephroblastomatosis, világossejtes sarcoma, mesoblasticus nephroma, renalis medullaris carcinoma és a vese rhabdoid tumora) kezelésében (lásd 4.2 pont). </w:t>
      </w:r>
    </w:p>
    <w:p w14:paraId="5AAFD196" w14:textId="77777777" w:rsidR="00562E12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26084514" w14:textId="77777777" w:rsidR="005E3DCE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lastRenderedPageBreak/>
        <w:t>Az EMA a gyermekek esetén minden korosztálynál eltekint a szunitinibtartalmú referenciakészítmény vizsgálati eredményeinek benyújtási kötelezettségétől a gastroenteropancreaticus neuroendokrin tumorok (kivéve a neuroblastoma, neuroganglioblastona, phaeochromocytoma) kezelésében (lásd 4.2 pont).</w:t>
      </w:r>
    </w:p>
    <w:p w14:paraId="264EE516" w14:textId="77777777" w:rsidR="00562E12" w:rsidRPr="00445457" w:rsidRDefault="00562E12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</w:p>
    <w:p w14:paraId="3BB74825" w14:textId="4C6B5FE3" w:rsidR="00821515" w:rsidRDefault="00724E0F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5.2</w:t>
      </w:r>
      <w:r>
        <w:rPr>
          <w:sz w:val="22"/>
        </w:rPr>
        <w:tab/>
      </w:r>
      <w:r w:rsidR="00C92F76">
        <w:rPr>
          <w:sz w:val="22"/>
        </w:rPr>
        <w:t>Farmakokinetikai tulajdonságok</w:t>
      </w:r>
    </w:p>
    <w:p w14:paraId="4E4A61AE" w14:textId="77777777" w:rsidR="00724E0F" w:rsidRPr="00724E0F" w:rsidRDefault="00724E0F" w:rsidP="00F372B2">
      <w:pPr>
        <w:rPr>
          <w:sz w:val="22"/>
          <w:szCs w:val="22"/>
        </w:rPr>
      </w:pPr>
    </w:p>
    <w:p w14:paraId="01579467" w14:textId="255C7338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A szunitinib farmakokinetikai (PK) tulajdonságait 135 egészséges önkéntesnél és 266 szolid tumoros betegnél vizsgálták. A </w:t>
      </w:r>
      <w:r w:rsidR="00233F5E">
        <w:rPr>
          <w:sz w:val="22"/>
        </w:rPr>
        <w:t>PK</w:t>
      </w:r>
      <w:r>
        <w:rPr>
          <w:sz w:val="22"/>
        </w:rPr>
        <w:t xml:space="preserve"> tulajdonságok hasonlóak voltak az összes vizsgált szolid tumoros betegpopulációban és egészséges önkénteseknél is. </w:t>
      </w:r>
    </w:p>
    <w:p w14:paraId="17E4E88B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43B9EE05" w14:textId="24197699" w:rsidR="00D94DC6" w:rsidRPr="00233F5E" w:rsidRDefault="00C92F76" w:rsidP="00F372B2">
      <w:pPr>
        <w:jc w:val="left"/>
        <w:rPr>
          <w:sz w:val="22"/>
        </w:rPr>
      </w:pPr>
      <w:r>
        <w:rPr>
          <w:sz w:val="22"/>
        </w:rPr>
        <w:t>A 25</w:t>
      </w:r>
      <w:r>
        <w:rPr>
          <w:sz w:val="22"/>
          <w:cs/>
        </w:rPr>
        <w:t>–</w:t>
      </w:r>
      <w:r>
        <w:rPr>
          <w:sz w:val="22"/>
        </w:rPr>
        <w:t>100 mg közötti dózistartományban a plazmakoncentráció görbe alatti területe (AUC) és a C</w:t>
      </w:r>
      <w:r>
        <w:rPr>
          <w:sz w:val="22"/>
          <w:vertAlign w:val="subscript"/>
        </w:rPr>
        <w:t>max</w:t>
      </w:r>
      <w:r>
        <w:rPr>
          <w:sz w:val="22"/>
        </w:rPr>
        <w:t>-érték az adaggal arányosan nő. Ismételt naponkénti adagolás során a szunitinib 3</w:t>
      </w:r>
      <w:r w:rsidR="00233F5E">
        <w:rPr>
          <w:rFonts w:hint="cs"/>
          <w:sz w:val="22"/>
          <w:cs/>
        </w:rPr>
        <w:t>-</w:t>
      </w:r>
      <w:r>
        <w:rPr>
          <w:sz w:val="22"/>
        </w:rPr>
        <w:t>4-szeresére, fő aktív metabolitja 7</w:t>
      </w:r>
      <w:r w:rsidR="00233F5E">
        <w:rPr>
          <w:rFonts w:hint="cs"/>
          <w:sz w:val="22"/>
          <w:cs/>
        </w:rPr>
        <w:t>-</w:t>
      </w:r>
      <w:r>
        <w:rPr>
          <w:sz w:val="22"/>
        </w:rPr>
        <w:t>10-szeresére akkumulálódik. A szunitinib és fő aktív metabolitjának dinamikus egyensúlyi koncentrációja 10</w:t>
      </w:r>
      <w:r w:rsidR="00233F5E">
        <w:rPr>
          <w:rFonts w:hint="cs"/>
          <w:sz w:val="22"/>
          <w:cs/>
        </w:rPr>
        <w:t>-</w:t>
      </w:r>
      <w:r>
        <w:rPr>
          <w:sz w:val="22"/>
        </w:rPr>
        <w:t>14 napon belül alakul ki. A 14. napon a szunitinib és aktív metabolitjának együttes plazmakoncentrációja 62,9</w:t>
      </w:r>
      <w:r>
        <w:rPr>
          <w:sz w:val="22"/>
          <w:cs/>
        </w:rPr>
        <w:t>–</w:t>
      </w:r>
      <w:r>
        <w:rPr>
          <w:sz w:val="22"/>
        </w:rPr>
        <w:t>101 ng/ml, amely megegyez</w:t>
      </w:r>
      <w:r w:rsidR="00233F5E">
        <w:rPr>
          <w:sz w:val="22"/>
        </w:rPr>
        <w:t>ett</w:t>
      </w:r>
      <w:r>
        <w:rPr>
          <w:sz w:val="22"/>
        </w:rPr>
        <w:t xml:space="preserve"> a receptor-foszforiláció gátlásának </w:t>
      </w:r>
      <w:r>
        <w:rPr>
          <w:i/>
          <w:sz w:val="22"/>
        </w:rPr>
        <w:t>in vitro</w:t>
      </w:r>
      <w:r>
        <w:rPr>
          <w:sz w:val="22"/>
        </w:rPr>
        <w:t xml:space="preserve"> vizsgálataiból és a tumor stagnálásának vagy a tumornövekedés csökkenésének </w:t>
      </w:r>
      <w:r>
        <w:rPr>
          <w:i/>
          <w:sz w:val="22"/>
        </w:rPr>
        <w:t>in vivo</w:t>
      </w:r>
      <w:r>
        <w:rPr>
          <w:sz w:val="22"/>
        </w:rPr>
        <w:t xml:space="preserve"> vizsgálataiból származó preklinikai adatokból előre jelzett célkoncentrációval. Az elsődleges aktív metabolit a teljes expozíció 23</w:t>
      </w:r>
      <w:r>
        <w:rPr>
          <w:sz w:val="22"/>
          <w:cs/>
        </w:rPr>
        <w:t>–</w:t>
      </w:r>
      <w:r>
        <w:rPr>
          <w:sz w:val="22"/>
        </w:rPr>
        <w:t xml:space="preserve">37%-áért felelős. A vizsgált adagolási sémák mellett ismételt naponkénti adagolás vagy megismételt kezelési ciklusok során nem észleltek a szunitinib és az elsődleges aktív metabolit </w:t>
      </w:r>
      <w:r w:rsidR="00233F5E">
        <w:rPr>
          <w:sz w:val="22"/>
        </w:rPr>
        <w:t>PK-</w:t>
      </w:r>
      <w:r>
        <w:rPr>
          <w:sz w:val="22"/>
        </w:rPr>
        <w:t xml:space="preserve">jában bekövetkező jelentős változást. </w:t>
      </w:r>
    </w:p>
    <w:p w14:paraId="4EED0CC5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770FC6B7" w14:textId="185C6DCE" w:rsidR="00D94DC6" w:rsidRPr="00445457" w:rsidRDefault="00C92F76" w:rsidP="00F372B2">
      <w:pPr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>Felszívódás</w:t>
      </w:r>
      <w:r w:rsidR="00471C90">
        <w:rPr>
          <w:sz w:val="22"/>
          <w:u w:val="single"/>
        </w:rPr>
        <w:t xml:space="preserve"> </w:t>
      </w:r>
    </w:p>
    <w:p w14:paraId="334762ED" w14:textId="7FE78772" w:rsidR="00D94DC6" w:rsidRPr="00445457" w:rsidRDefault="00C92F76" w:rsidP="00F372B2">
      <w:pPr>
        <w:spacing w:after="120"/>
        <w:jc w:val="left"/>
        <w:rPr>
          <w:sz w:val="22"/>
          <w:szCs w:val="22"/>
        </w:rPr>
      </w:pPr>
      <w:r>
        <w:rPr>
          <w:sz w:val="22"/>
        </w:rPr>
        <w:t xml:space="preserve">A szunitinib </w:t>
      </w:r>
      <w:r w:rsidRPr="008B4E6D">
        <w:rPr>
          <w:i/>
          <w:iCs/>
          <w:sz w:val="22"/>
        </w:rPr>
        <w:t>per os</w:t>
      </w:r>
      <w:r>
        <w:rPr>
          <w:sz w:val="22"/>
        </w:rPr>
        <w:t xml:space="preserve"> alkalmazása után a C</w:t>
      </w:r>
      <w:r>
        <w:rPr>
          <w:sz w:val="22"/>
          <w:vertAlign w:val="subscript"/>
        </w:rPr>
        <w:t>max</w:t>
      </w:r>
      <w:r>
        <w:rPr>
          <w:sz w:val="22"/>
        </w:rPr>
        <w:t xml:space="preserve"> általában 6</w:t>
      </w:r>
      <w:r w:rsidR="00233F5E">
        <w:rPr>
          <w:rFonts w:hint="cs"/>
          <w:sz w:val="22"/>
          <w:cs/>
        </w:rPr>
        <w:t>-</w:t>
      </w:r>
      <w:r>
        <w:rPr>
          <w:sz w:val="22"/>
        </w:rPr>
        <w:t>12 óra múlva (a maximális koncentrációig eltelt idő, t</w:t>
      </w:r>
      <w:r>
        <w:rPr>
          <w:sz w:val="22"/>
          <w:vertAlign w:val="subscript"/>
        </w:rPr>
        <w:t>max</w:t>
      </w:r>
      <w:r>
        <w:rPr>
          <w:sz w:val="22"/>
        </w:rPr>
        <w:t>) alakul ki.</w:t>
      </w:r>
      <w:r w:rsidR="00471C90">
        <w:rPr>
          <w:sz w:val="22"/>
        </w:rPr>
        <w:t xml:space="preserve"> </w:t>
      </w:r>
    </w:p>
    <w:p w14:paraId="60B89936" w14:textId="3A8B0FAB" w:rsidR="00D94DC6" w:rsidRDefault="00C92F76" w:rsidP="00F372B2">
      <w:pPr>
        <w:jc w:val="left"/>
        <w:rPr>
          <w:sz w:val="22"/>
        </w:rPr>
      </w:pPr>
      <w:r>
        <w:rPr>
          <w:sz w:val="22"/>
        </w:rPr>
        <w:t xml:space="preserve"> Az étel nem befolyásolja a szunitinib biohasznosulását. </w:t>
      </w:r>
    </w:p>
    <w:p w14:paraId="03E4D6B6" w14:textId="77777777" w:rsidR="00233F5E" w:rsidRDefault="00233F5E" w:rsidP="00F372B2">
      <w:pPr>
        <w:jc w:val="left"/>
        <w:rPr>
          <w:sz w:val="22"/>
        </w:rPr>
      </w:pPr>
    </w:p>
    <w:p w14:paraId="71870417" w14:textId="77777777" w:rsidR="00D94DC6" w:rsidRPr="00445457" w:rsidRDefault="00C92F76" w:rsidP="00F372B2">
      <w:pPr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Eloszlás </w:t>
      </w:r>
    </w:p>
    <w:p w14:paraId="63B4E73B" w14:textId="704425A2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i/>
          <w:sz w:val="22"/>
        </w:rPr>
        <w:t>In</w:t>
      </w:r>
      <w:r>
        <w:rPr>
          <w:sz w:val="22"/>
        </w:rPr>
        <w:t xml:space="preserve"> </w:t>
      </w:r>
      <w:r>
        <w:rPr>
          <w:i/>
          <w:sz w:val="22"/>
        </w:rPr>
        <w:t>vitro</w:t>
      </w:r>
      <w:r>
        <w:rPr>
          <w:sz w:val="22"/>
        </w:rPr>
        <w:t xml:space="preserve"> mérésekben a szunitinib és fő aktív metabolitjának humán plazmafehérjékhez való kötődése 95, ill</w:t>
      </w:r>
      <w:r w:rsidR="00233F5E">
        <w:rPr>
          <w:sz w:val="22"/>
        </w:rPr>
        <w:t>.</w:t>
      </w:r>
      <w:r>
        <w:rPr>
          <w:sz w:val="22"/>
        </w:rPr>
        <w:t xml:space="preserve"> 90% volt, amely látszólag nem függött a koncentrációtól. A szunitinib látszólagos eloszlási térfogata (V</w:t>
      </w:r>
      <w:r>
        <w:rPr>
          <w:sz w:val="22"/>
          <w:vertAlign w:val="subscript"/>
        </w:rPr>
        <w:t>d</w:t>
      </w:r>
      <w:r>
        <w:rPr>
          <w:sz w:val="22"/>
        </w:rPr>
        <w:t xml:space="preserve">) nagy, 2230 l, ami szövetekben történő eloszlást jelez. </w:t>
      </w:r>
    </w:p>
    <w:p w14:paraId="2E17AC75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5D3FDF2A" w14:textId="77777777" w:rsidR="00D94DC6" w:rsidRPr="00445457" w:rsidRDefault="00C92F76" w:rsidP="00F372B2">
      <w:pPr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Metabolikus interakciók </w:t>
      </w:r>
    </w:p>
    <w:p w14:paraId="76614637" w14:textId="0164B68F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Az összes vizsgált citokróm P450 (CYP) izoform (CYP1A2, CYP2A6, CYP2B6, CYP2C8, CYP2C9, CYP2C19, CYP2D6, CYP2E1, CYP3A4/5 és CYP4A9/11) számított </w:t>
      </w:r>
      <w:r>
        <w:rPr>
          <w:i/>
          <w:sz w:val="22"/>
        </w:rPr>
        <w:t>in vitro</w:t>
      </w:r>
      <w:r>
        <w:rPr>
          <w:sz w:val="22"/>
        </w:rPr>
        <w:t xml:space="preserve"> Ki értéke azt jelezte, hogy nem valószínű, hogy a szunitinib és aktív metabolitja az ezen az enzimeken keresztül lebomló hatóanyagok metabolizmusát klinikailag releváns mértékben indukálja. </w:t>
      </w:r>
    </w:p>
    <w:p w14:paraId="0CCFA4C5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14F0C58D" w14:textId="77777777" w:rsidR="00D94DC6" w:rsidRPr="00445457" w:rsidRDefault="00C92F76" w:rsidP="00F372B2">
      <w:pPr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Biotranszformáció </w:t>
      </w:r>
    </w:p>
    <w:p w14:paraId="73D77D99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A szunitinib döntően a CYP3A4-izoenzimen keresztül metabolizálódik, a fő aktív metabolitot, a dezetil-szunitinibet eredményezve, amely aztán tovább bomlik ugyanezen izoenzim által. </w:t>
      </w:r>
    </w:p>
    <w:p w14:paraId="2CFA4C72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1953809E" w14:textId="1F8ADDF4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>A szunitinib és az erős CYP3A4-induktorok vagy -inhibitorok egyidejűleg történő alkalmazását el kell kerülni, mert a szunitinib plazmaszintje megváltozhat (lásd 4.4 és 4.5 pont).</w:t>
      </w:r>
      <w:r w:rsidR="00471C90">
        <w:rPr>
          <w:sz w:val="22"/>
        </w:rPr>
        <w:t xml:space="preserve"> </w:t>
      </w:r>
    </w:p>
    <w:p w14:paraId="3379E0A7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65AC236F" w14:textId="77777777" w:rsidR="00D94DC6" w:rsidRPr="00445457" w:rsidRDefault="00C92F76" w:rsidP="00F372B2">
      <w:pPr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Elimináció </w:t>
      </w:r>
    </w:p>
    <w:p w14:paraId="17D83F14" w14:textId="3E0B2360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>Az elimináció döntően a széklettel történik (61%), míg a vesén keresztül a beadott adag 16%-ának megfelelő változatlan formájú hatóanyag és metabolitok ürülnek. Elsősorban a szunitinibet és fő aktív metabolitját azonosították a plazmában, vizeletben és a székletben, a mért radioaktivitás sorrendben 91,5</w:t>
      </w:r>
      <w:r w:rsidR="00233F5E">
        <w:rPr>
          <w:sz w:val="22"/>
        </w:rPr>
        <w:t>%</w:t>
      </w:r>
      <w:r>
        <w:rPr>
          <w:sz w:val="22"/>
        </w:rPr>
        <w:t>, 86,4</w:t>
      </w:r>
      <w:r w:rsidR="00233F5E">
        <w:rPr>
          <w:sz w:val="22"/>
        </w:rPr>
        <w:t>%</w:t>
      </w:r>
      <w:r>
        <w:rPr>
          <w:sz w:val="22"/>
        </w:rPr>
        <w:t xml:space="preserve"> és 73,8%-át kitéve az összegyűjtött mintákban. Kevésbé jelentős metabolitokat azonosítottak a vizeletben és a székletben, de a plazmában általában nem. A teljes orális clearance (CL/F) 34</w:t>
      </w:r>
      <w:r>
        <w:rPr>
          <w:sz w:val="22"/>
          <w:cs/>
        </w:rPr>
        <w:t>–</w:t>
      </w:r>
      <w:r>
        <w:rPr>
          <w:sz w:val="22"/>
        </w:rPr>
        <w:t xml:space="preserve">62 l/óra volt. Egészséges önkénteseknél </w:t>
      </w:r>
      <w:r w:rsidRPr="008B4E6D">
        <w:rPr>
          <w:i/>
          <w:iCs/>
          <w:sz w:val="22"/>
        </w:rPr>
        <w:t>per os</w:t>
      </w:r>
      <w:r>
        <w:rPr>
          <w:sz w:val="22"/>
        </w:rPr>
        <w:t xml:space="preserve"> adagolás után a szunitinib és a fő aktív dezetil metabolitjának eliminációs felezési ideje kb. 40</w:t>
      </w:r>
      <w:r>
        <w:rPr>
          <w:sz w:val="22"/>
          <w:cs/>
        </w:rPr>
        <w:t>–</w:t>
      </w:r>
      <w:r>
        <w:rPr>
          <w:sz w:val="22"/>
        </w:rPr>
        <w:t>60, illetve 80</w:t>
      </w:r>
      <w:r>
        <w:rPr>
          <w:sz w:val="22"/>
          <w:cs/>
        </w:rPr>
        <w:t>–</w:t>
      </w:r>
      <w:r>
        <w:rPr>
          <w:sz w:val="22"/>
        </w:rPr>
        <w:t xml:space="preserve">110 óra. </w:t>
      </w:r>
    </w:p>
    <w:p w14:paraId="5DF8AF5E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286C7F78" w14:textId="77777777" w:rsidR="00D94DC6" w:rsidRPr="00445457" w:rsidRDefault="00C92F76" w:rsidP="00F372B2">
      <w:pPr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Egyidejű alkalmazás BCRP-inhibitorokkal </w:t>
      </w:r>
    </w:p>
    <w:p w14:paraId="6562DBA9" w14:textId="44262D5C" w:rsidR="00D94DC6" w:rsidRPr="00445457" w:rsidRDefault="00C92F76" w:rsidP="00F372B2">
      <w:pPr>
        <w:jc w:val="left"/>
        <w:rPr>
          <w:sz w:val="22"/>
          <w:szCs w:val="22"/>
        </w:rPr>
      </w:pPr>
      <w:r w:rsidRPr="002B585B">
        <w:rPr>
          <w:sz w:val="22"/>
        </w:rPr>
        <w:lastRenderedPageBreak/>
        <w:t>A szunitinib a BCRP efflux transzporter szubsztrátja</w:t>
      </w:r>
      <w:r>
        <w:t xml:space="preserve"> </w:t>
      </w:r>
      <w:r w:rsidR="002B585B">
        <w:rPr>
          <w:i/>
          <w:sz w:val="22"/>
        </w:rPr>
        <w:t>i</w:t>
      </w:r>
      <w:r>
        <w:rPr>
          <w:i/>
          <w:sz w:val="22"/>
        </w:rPr>
        <w:t>n vitro</w:t>
      </w:r>
      <w:r>
        <w:rPr>
          <w:sz w:val="22"/>
        </w:rPr>
        <w:t>. Az A6181038 vizsgálatban a gefitinib nevű BCRP-inhibitor egyidejű alkalmazása nem eredményezett klinikailag jelentős hatást a szunitinib vagy a teljes gyógyszer (szunitinib + metabolitjai) C</w:t>
      </w:r>
      <w:r>
        <w:rPr>
          <w:sz w:val="22"/>
          <w:vertAlign w:val="subscript"/>
        </w:rPr>
        <w:t>max</w:t>
      </w:r>
      <w:r>
        <w:rPr>
          <w:sz w:val="22"/>
        </w:rPr>
        <w:t xml:space="preserve"> és AUC értékeire (lásd 4.5 pont). Ez egy multicentrikus, nyílt, I/II. fázisú vizsgálat volt, ahol a cél a gefitinibbel egyidejűleg alkalmazott szunitinib biztonságosságának és tolerálhatóságának, a maximális tolerált dózisnak és az antitumor hatásnak a vizsgálata volt MRCC-ben. A másodlagos </w:t>
      </w:r>
      <w:r w:rsidR="00233F5E">
        <w:rPr>
          <w:sz w:val="22"/>
        </w:rPr>
        <w:t xml:space="preserve">vizsgálati </w:t>
      </w:r>
      <w:r>
        <w:rPr>
          <w:sz w:val="22"/>
        </w:rPr>
        <w:t xml:space="preserve">cél a gefitinib (napi 250 mg) és a szunitinib (37,5 mg [1. kohorsz, n = 4] vagy 50 mg [2. kohorsz, n = 7] naponta, ahol 4 hét gyógyszerszedést 2 hét gyógyszermentes időszak követ) farmakokinetikájának kiértékelése volt egyidejű alkalmazásuk esetén. A szunitinib </w:t>
      </w:r>
      <w:r w:rsidR="00233F5E">
        <w:rPr>
          <w:sz w:val="22"/>
        </w:rPr>
        <w:t xml:space="preserve">PK </w:t>
      </w:r>
      <w:r>
        <w:rPr>
          <w:sz w:val="22"/>
        </w:rPr>
        <w:t>paramétereinek változása klinikailag nem volt jelentős és nem mutatott semmilyen gyógyszerinterakciót. Azonban, tekintettel az alanyok viszonylag alacsony számára (</w:t>
      </w:r>
      <w:r w:rsidR="00233F5E">
        <w:rPr>
          <w:sz w:val="22"/>
        </w:rPr>
        <w:t>N</w:t>
      </w:r>
      <w:r>
        <w:rPr>
          <w:sz w:val="22"/>
        </w:rPr>
        <w:t xml:space="preserve"> = 7 + 4) és a páciensek farmakokinetikai paramétereinek viszonylag nagy </w:t>
      </w:r>
      <w:r w:rsidR="00233F5E">
        <w:rPr>
          <w:sz w:val="22"/>
        </w:rPr>
        <w:t>különbség</w:t>
      </w:r>
      <w:r>
        <w:rPr>
          <w:sz w:val="22"/>
        </w:rPr>
        <w:t xml:space="preserve">eire, a gyógyszerek közötti farmakokinetikai interakciók értelmezésekor óvatossággal kell eljárni. </w:t>
      </w:r>
    </w:p>
    <w:p w14:paraId="1C91BDA9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1E25B904" w14:textId="07A6ED81" w:rsidR="00D94DC6" w:rsidRPr="00445457" w:rsidRDefault="00233F5E" w:rsidP="00F372B2">
      <w:pPr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>Különleges</w:t>
      </w:r>
      <w:r w:rsidR="00C92F76">
        <w:rPr>
          <w:sz w:val="22"/>
          <w:u w:val="single"/>
        </w:rPr>
        <w:t xml:space="preserve"> betegcsoportok </w:t>
      </w:r>
    </w:p>
    <w:p w14:paraId="28377FE8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7432BC9F" w14:textId="77777777" w:rsidR="00D94DC6" w:rsidRPr="00445457" w:rsidRDefault="00C92F76" w:rsidP="00F372B2">
      <w:pPr>
        <w:jc w:val="left"/>
        <w:rPr>
          <w:i/>
          <w:sz w:val="22"/>
          <w:szCs w:val="22"/>
        </w:rPr>
      </w:pPr>
      <w:r>
        <w:rPr>
          <w:i/>
          <w:sz w:val="22"/>
        </w:rPr>
        <w:t xml:space="preserve">Májkárosodás </w:t>
      </w:r>
    </w:p>
    <w:p w14:paraId="597B1BB1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>A szunitinib és elsődleges bomlásterméke főként a májban metabolizálódik. A szunitinib egyszeri adagja után a szisztémás expozíció hasonló volt az enyhe vagy közepes fokú (Child</w:t>
      </w:r>
      <w:r>
        <w:rPr>
          <w:sz w:val="22"/>
          <w:cs/>
        </w:rPr>
        <w:t>–</w:t>
      </w:r>
      <w:r>
        <w:rPr>
          <w:sz w:val="22"/>
        </w:rPr>
        <w:t>Pugh A és B stádium) májkárosodásban szenvedő és a normál májfunkciójú egyénekben. A szunitinibet nem vizsgálták súlyos (Child</w:t>
      </w:r>
      <w:r>
        <w:rPr>
          <w:sz w:val="22"/>
          <w:cs/>
        </w:rPr>
        <w:t>–</w:t>
      </w:r>
      <w:r>
        <w:rPr>
          <w:sz w:val="22"/>
        </w:rPr>
        <w:t xml:space="preserve">Pugh C stádium) májkárosodásban szenvedő egyéneknél. </w:t>
      </w:r>
    </w:p>
    <w:p w14:paraId="62E23FEC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1CBB2CC9" w14:textId="67417AB4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>A tumoros betegeken végzett vizsgálatokból kizárták azokat a betegeket, akiknek a</w:t>
      </w:r>
      <w:r w:rsidR="0044561F">
        <w:rPr>
          <w:sz w:val="22"/>
        </w:rPr>
        <w:t xml:space="preserve"> GP</w:t>
      </w:r>
      <w:r>
        <w:rPr>
          <w:sz w:val="22"/>
        </w:rPr>
        <w:t xml:space="preserve">T- vagy </w:t>
      </w:r>
      <w:r w:rsidR="0044561F">
        <w:rPr>
          <w:sz w:val="22"/>
        </w:rPr>
        <w:t>GO</w:t>
      </w:r>
      <w:r>
        <w:rPr>
          <w:sz w:val="22"/>
        </w:rPr>
        <w:t>T-értéke meghaladta a normálérték felső határának 2,5-szeresét, illetve az 5,0-szörösét, ha májmetasztázisok okozták.</w:t>
      </w:r>
      <w:r w:rsidR="00471C90">
        <w:rPr>
          <w:sz w:val="22"/>
        </w:rPr>
        <w:t xml:space="preserve"> </w:t>
      </w:r>
    </w:p>
    <w:p w14:paraId="53B1CBA6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66DE74B9" w14:textId="77777777" w:rsidR="00D94DC6" w:rsidRPr="00445457" w:rsidRDefault="00C92F76" w:rsidP="00F372B2">
      <w:pPr>
        <w:jc w:val="left"/>
        <w:rPr>
          <w:i/>
          <w:sz w:val="22"/>
          <w:szCs w:val="22"/>
        </w:rPr>
      </w:pPr>
      <w:r>
        <w:rPr>
          <w:i/>
          <w:sz w:val="22"/>
        </w:rPr>
        <w:t xml:space="preserve">Vesekárosodás </w:t>
      </w:r>
    </w:p>
    <w:p w14:paraId="7F30B9BD" w14:textId="560D369D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Populációszintű </w:t>
      </w:r>
      <w:r w:rsidR="0044561F">
        <w:rPr>
          <w:sz w:val="22"/>
        </w:rPr>
        <w:t xml:space="preserve">PK </w:t>
      </w:r>
      <w:r>
        <w:rPr>
          <w:sz w:val="22"/>
        </w:rPr>
        <w:t>elemzések azt mutatták, hogy a szunitinib látszólagos clearance-ét (Cl/F) a szérum kreatinin clearance (Clcr) a 42</w:t>
      </w:r>
      <w:r>
        <w:rPr>
          <w:sz w:val="22"/>
          <w:cs/>
        </w:rPr>
        <w:t>–</w:t>
      </w:r>
      <w:r>
        <w:rPr>
          <w:sz w:val="22"/>
        </w:rPr>
        <w:t>347 ml/perc tartományban nem befolyásolta. A szunitinib egyszeri dózisát követően a szisztémás expozíció hasonló volt súlyos vesekárosodásban (kreatinin-clearance &lt;30 ml/perc) szenvedő és ép vesefunkciójú (kreatinin-clearance &gt;80 ml/perc) vizsgálati alanyoknál. Bár a szunitinib és elsődleges metabolitja végstádiumú vesebetegségben (</w:t>
      </w:r>
      <w:r w:rsidRPr="00F372B2">
        <w:rPr>
          <w:i/>
          <w:sz w:val="22"/>
        </w:rPr>
        <w:t>end-stage renal disease</w:t>
      </w:r>
      <w:r>
        <w:rPr>
          <w:sz w:val="22"/>
        </w:rPr>
        <w:t xml:space="preserve">, ESRD) szenvedő betegeknél haemodialysissel nem eliminálódik, a szunitinib teljes szisztémás expozíciója 47%-kal, primer metabolitjának teljes szisztémás expozíciója 31%-kal volt alacsonyabb a normál vesefunkciójú vizsgálati alanyoknál mérthez képest. </w:t>
      </w:r>
    </w:p>
    <w:p w14:paraId="0B529461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7A130582" w14:textId="77777777" w:rsidR="00D94DC6" w:rsidRPr="00445457" w:rsidRDefault="00C92F76" w:rsidP="00F372B2">
      <w:pPr>
        <w:jc w:val="left"/>
        <w:rPr>
          <w:i/>
          <w:sz w:val="22"/>
          <w:szCs w:val="22"/>
        </w:rPr>
      </w:pPr>
      <w:r>
        <w:rPr>
          <w:i/>
          <w:sz w:val="22"/>
        </w:rPr>
        <w:t xml:space="preserve">Testtömeg, teljesítménystátusz </w:t>
      </w:r>
    </w:p>
    <w:p w14:paraId="46C735E0" w14:textId="78784DD4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A demográfiai adatok populációs </w:t>
      </w:r>
      <w:r w:rsidR="0044561F">
        <w:rPr>
          <w:sz w:val="22"/>
        </w:rPr>
        <w:t>PK</w:t>
      </w:r>
      <w:r>
        <w:rPr>
          <w:sz w:val="22"/>
        </w:rPr>
        <w:t xml:space="preserve"> elemzése azt mutatja, hogy nem szükséges </w:t>
      </w:r>
      <w:r w:rsidR="0044561F">
        <w:rPr>
          <w:sz w:val="22"/>
        </w:rPr>
        <w:t xml:space="preserve">az adagot </w:t>
      </w:r>
      <w:r>
        <w:rPr>
          <w:sz w:val="22"/>
        </w:rPr>
        <w:t>a testtömeg vagy az ECOG (</w:t>
      </w:r>
      <w:r w:rsidRPr="00F372B2">
        <w:rPr>
          <w:i/>
          <w:sz w:val="22"/>
        </w:rPr>
        <w:t>Eastern Cooperative Oncology Group</w:t>
      </w:r>
      <w:r>
        <w:rPr>
          <w:sz w:val="22"/>
        </w:rPr>
        <w:t xml:space="preserve">) teljesítmény státusz függvényében módosítani. </w:t>
      </w:r>
    </w:p>
    <w:p w14:paraId="636AB0B5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0F0A03E5" w14:textId="77777777" w:rsidR="00D94DC6" w:rsidRPr="00445457" w:rsidRDefault="00C92F76" w:rsidP="00F372B2">
      <w:pPr>
        <w:jc w:val="left"/>
        <w:rPr>
          <w:i/>
          <w:sz w:val="22"/>
          <w:szCs w:val="22"/>
        </w:rPr>
      </w:pPr>
      <w:r>
        <w:rPr>
          <w:i/>
          <w:sz w:val="22"/>
        </w:rPr>
        <w:t xml:space="preserve">Nem </w:t>
      </w:r>
    </w:p>
    <w:p w14:paraId="0E443080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A rendelkezésre álló adatok azt mutatják, hogy nőknél mintegy 30%-kal alacsonyabb lehet a szunitinib látszólagos clearance-e (Cl/F) mint férfiaknál: ez a különbség a kiindulási dózis módosítását azonban nem teszi szükségessé. </w:t>
      </w:r>
    </w:p>
    <w:p w14:paraId="69055CD7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0DC782BE" w14:textId="77777777" w:rsidR="00D94DC6" w:rsidRPr="00445457" w:rsidRDefault="00C92F76" w:rsidP="00F372B2">
      <w:pPr>
        <w:jc w:val="left"/>
        <w:rPr>
          <w:i/>
          <w:sz w:val="22"/>
          <w:szCs w:val="22"/>
        </w:rPr>
      </w:pPr>
      <w:r>
        <w:rPr>
          <w:i/>
          <w:sz w:val="22"/>
        </w:rPr>
        <w:t xml:space="preserve">Gyermekek és serdülők </w:t>
      </w:r>
    </w:p>
    <w:p w14:paraId="39EF764F" w14:textId="4235EE34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A szunitinib gyermek- és serdülőkorú betegeknél való alkalmazására vonatkozó tapasztalatok korlátozottak (lásd 4.2 pont). Egy GIST-ben szenvedő és szolid tumorral rendelkező felnőtt betegektől, valamint szolid tumorral rendelkező gyermekgyógyászati betegektől gyűjtött összesített adathalmazon populációs farmakokinetikai elemzéseket hajtottak végre. Lépcsőzetes kovariancia-modellezési elemzéseket végeztek a szunitinib és aktív metabolitjainak fontos farmakokinetikai paramétereire az életkor és a testméret (a teljes testtömeg vagy a testfelszín területe), valamint más kovariánsok által gyakorolt hatások értékelésére. Az életkorral és a testmérettel kapcsolatos tesztelt kovariánsok között az életkor jelentős kovariáns volt a szunitinib látszólagos clearance-ének vonatkozásában (minél fiatalabb volt a gyermek vagy serdülőkorú beteg, annál alacsonyabb volt a </w:t>
      </w:r>
      <w:r>
        <w:rPr>
          <w:sz w:val="22"/>
        </w:rPr>
        <w:lastRenderedPageBreak/>
        <w:t>látszólagos clearance). Ehhez hasonlóan a testfelszín területe jelentős kovariáns volt az aktív metabolit látszólagos clearance-ének tekintetében (minél kisebb volt a testfelszín területe, annál alacsonyabb volt a látszólagos clearance).</w:t>
      </w:r>
      <w:r w:rsidR="00471C90">
        <w:rPr>
          <w:sz w:val="22"/>
        </w:rPr>
        <w:t xml:space="preserve"> </w:t>
      </w:r>
    </w:p>
    <w:p w14:paraId="329A92E3" w14:textId="77777777" w:rsidR="00D94DC6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6F01CE4D" w14:textId="3A4EBCCC" w:rsidR="00821515" w:rsidRPr="0034700A" w:rsidRDefault="00C92F76" w:rsidP="00F372B2">
      <w:pPr>
        <w:jc w:val="left"/>
        <w:rPr>
          <w:rFonts w:eastAsia="SimSun"/>
          <w:sz w:val="22"/>
          <w:szCs w:val="22"/>
        </w:rPr>
      </w:pPr>
      <w:r>
        <w:rPr>
          <w:sz w:val="22"/>
        </w:rPr>
        <w:t>Továbbá a 3 gyermekgyógyászati vizsgálatból (2 gyermekgyógyászati szolidtumor-vizsgálat és 1 gyermekgyógyászati GIST-vizsgálat; korcsoportok: 6</w:t>
      </w:r>
      <w:r>
        <w:rPr>
          <w:sz w:val="22"/>
          <w:cs/>
        </w:rPr>
        <w:t>–</w:t>
      </w:r>
      <w:r>
        <w:rPr>
          <w:sz w:val="22"/>
        </w:rPr>
        <w:t>11 évesek és 12</w:t>
      </w:r>
      <w:r>
        <w:rPr>
          <w:sz w:val="22"/>
          <w:cs/>
        </w:rPr>
        <w:t>–</w:t>
      </w:r>
      <w:r>
        <w:rPr>
          <w:sz w:val="22"/>
        </w:rPr>
        <w:t xml:space="preserve">17 évesek) származó farmakokinetikai, biztonságossági és hatásossági vizsgálati szimulációs adatok alapján a testfelszín kiindulási területe jelentős kovariáns volt a szunitinib és aktív metabolitja látszólagos clearance-ének tekintetében. Ezen elemzés </w:t>
      </w:r>
      <w:r w:rsidR="007501FB">
        <w:rPr>
          <w:sz w:val="22"/>
        </w:rPr>
        <w:t>értelmébe</w:t>
      </w:r>
      <w:r>
        <w:rPr>
          <w:sz w:val="22"/>
        </w:rPr>
        <w:t>n a kb. 20 mg/m</w:t>
      </w:r>
      <w:r>
        <w:rPr>
          <w:sz w:val="22"/>
          <w:vertAlign w:val="superscript"/>
        </w:rPr>
        <w:t>2</w:t>
      </w:r>
      <w:r>
        <w:rPr>
          <w:sz w:val="22"/>
        </w:rPr>
        <w:t xml:space="preserve"> /nap dózis (testfelszín: 1,10</w:t>
      </w:r>
      <w:r>
        <w:rPr>
          <w:sz w:val="22"/>
          <w:cs/>
        </w:rPr>
        <w:t>–</w:t>
      </w:r>
      <w:r>
        <w:rPr>
          <w:sz w:val="22"/>
        </w:rPr>
        <w:t>1,87 m</w:t>
      </w:r>
      <w:r>
        <w:rPr>
          <w:sz w:val="22"/>
          <w:vertAlign w:val="superscript"/>
        </w:rPr>
        <w:t>2</w:t>
      </w:r>
      <w:r>
        <w:rPr>
          <w:sz w:val="22"/>
        </w:rPr>
        <w:t>) szerinti adagolásban a szunitinib és aktív metabolitja gyermek- és serdülőkorú betegek esetében a becslések szerint hasonló (az AUC 75 és 125%-a közötti) plazma</w:t>
      </w:r>
      <w:r w:rsidR="007501FB">
        <w:rPr>
          <w:sz w:val="22"/>
        </w:rPr>
        <w:t xml:space="preserve">beli </w:t>
      </w:r>
      <w:r>
        <w:rPr>
          <w:sz w:val="22"/>
        </w:rPr>
        <w:t>expozíciót idéz elő, mint az 50 mg/nap dózis a 4/2-es adagolási rend szerint kezelt, GIST-ban szenvedő felnőtt betegek esetében (AUC 1233 ng×h/ml). Gyermekgyógyászati vizsgálatokban a szunitinib kezdő dózisa 15 mg/m</w:t>
      </w:r>
      <w:r>
        <w:rPr>
          <w:sz w:val="22"/>
          <w:vertAlign w:val="superscript"/>
        </w:rPr>
        <w:t>2</w:t>
      </w:r>
      <w:r>
        <w:rPr>
          <w:sz w:val="22"/>
        </w:rPr>
        <w:t xml:space="preserve"> volt (MTD alapján, amelyet az I. fázisú dóziseszkalációs vizsgálatban azonosítottak, lásd 5.1 pont), amelyet GIST-os gyermek- és serdülőkorú betegeknél 22,5 mg/m</w:t>
      </w:r>
      <w:r>
        <w:rPr>
          <w:sz w:val="22"/>
          <w:vertAlign w:val="superscript"/>
        </w:rPr>
        <w:t>2</w:t>
      </w:r>
      <w:r>
        <w:rPr>
          <w:sz w:val="22"/>
        </w:rPr>
        <w:t>-re, a későbbiekben pedig 30 mg/m</w:t>
      </w:r>
      <w:r>
        <w:rPr>
          <w:sz w:val="22"/>
          <w:vertAlign w:val="superscript"/>
        </w:rPr>
        <w:t>2</w:t>
      </w:r>
      <w:r>
        <w:rPr>
          <w:sz w:val="22"/>
        </w:rPr>
        <w:t>-re emeltek (az 50 mg/nap teljes napi dózist nem túllépve) a betegeknél fennálló egyéni biztonságosság/tolerálhatóság alapján. Továbbá a GIST-ban szenvedő gyermek- és serdülőkorú betegekről közölt szakirodalom szerint a számított kezdő dózis 16,6 mg/m</w:t>
      </w:r>
      <w:r>
        <w:rPr>
          <w:sz w:val="22"/>
          <w:vertAlign w:val="superscript"/>
        </w:rPr>
        <w:t>2</w:t>
      </w:r>
      <w:r>
        <w:rPr>
          <w:sz w:val="22"/>
        </w:rPr>
        <w:t>-től 36 mg/m</w:t>
      </w:r>
      <w:r>
        <w:rPr>
          <w:sz w:val="22"/>
          <w:vertAlign w:val="superscript"/>
        </w:rPr>
        <w:t>2</w:t>
      </w:r>
      <w:r>
        <w:rPr>
          <w:sz w:val="22"/>
        </w:rPr>
        <w:t>-ig terjedt, az adagokat 40,4 mg/m</w:t>
      </w:r>
      <w:r>
        <w:rPr>
          <w:sz w:val="22"/>
          <w:vertAlign w:val="superscript"/>
        </w:rPr>
        <w:t>2</w:t>
      </w:r>
      <w:r>
        <w:rPr>
          <w:sz w:val="22"/>
        </w:rPr>
        <w:t>-ig emelték (nem meghaladva a napi 50 mg-os teljes dózist).</w:t>
      </w:r>
    </w:p>
    <w:p w14:paraId="335456E3" w14:textId="77777777" w:rsidR="00821515" w:rsidRPr="0034700A" w:rsidRDefault="00821515" w:rsidP="00F372B2">
      <w:pPr>
        <w:jc w:val="left"/>
        <w:rPr>
          <w:sz w:val="22"/>
          <w:szCs w:val="22"/>
        </w:rPr>
      </w:pPr>
    </w:p>
    <w:p w14:paraId="45960021" w14:textId="48907F2F" w:rsidR="00821515" w:rsidRDefault="00C601AF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5.3</w:t>
      </w:r>
      <w:r>
        <w:rPr>
          <w:sz w:val="22"/>
        </w:rPr>
        <w:tab/>
      </w:r>
      <w:r w:rsidR="00C92F76" w:rsidRPr="0034700A">
        <w:rPr>
          <w:sz w:val="22"/>
        </w:rPr>
        <w:t>A preklinikai biztonságossági vizsgálatok eredményei</w:t>
      </w:r>
    </w:p>
    <w:p w14:paraId="6EC4DDF0" w14:textId="77777777" w:rsidR="007501FB" w:rsidRPr="00F372B2" w:rsidRDefault="007501FB" w:rsidP="00F372B2"/>
    <w:p w14:paraId="268FDEA3" w14:textId="77777777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>Patkányokban és majmokban a legfeljebb 9 hónapig tartó, ismételt adagolású dózistoxicitási vizsgálatok során elsődleges célszervi hatásokat a gastrointestinalis traktusban (hányás és hasmenés majmokban), a mellékvesében (kortikális pangás és/vagy bevérzés patkányokban és majmokban, necrosissal és azt követő fibrózissal patkányokban), a vérképző- és nyirokrendszerben (csökkent sejtes elemek a csontvelőben és a thymus, lép és nyirokcsomók lymphoid elemeinek kiürülése), az exokrin pancreasban (a mirigyacinusok degranulációja az egyes sejtek necrosisával), a nyálmirigyben (acinusok hypertrophiája), a csontízületben (növekedési lemez megvastagodása), az uterusban (atrophia) és az ovariumban (csökkent tüszőérés) találtak. Az összes eltérés klinikailag releváns szunitinib-plazmakoncentrációk mellett alakult ki. Más vizsgálatokban észlelt egyéb hatások közé tartozott a QTc-időtartam megnyúlása, az LVEF csökkenése, tubuláris atrophia a herékben, több mesangialis sejt a vesékben, vérzések a gastrointestinalis traktusban és a szájnyálkahártyában és az elülső hypophysis sejtes hypertrophiája. Feltételezik, hogy az uterusban (endometrium atrophia) és a csont növekedési lemezében (epiphysis megvastagodása vagy a porc dysplasiája) észlelt változások a szunitinib farmakológiai hatásával függenek össze. Ezen eltérések nagyrészt reverzibilisek voltak 2</w:t>
      </w:r>
      <w:r>
        <w:rPr>
          <w:sz w:val="22"/>
          <w:cs/>
        </w:rPr>
        <w:t>–</w:t>
      </w:r>
      <w:r>
        <w:rPr>
          <w:sz w:val="22"/>
        </w:rPr>
        <w:t xml:space="preserve">6 hetes kezelésmentes periódus után. </w:t>
      </w:r>
    </w:p>
    <w:p w14:paraId="785CD539" w14:textId="77777777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1C6CECE3" w14:textId="60537203" w:rsidR="007D149C" w:rsidRPr="00445457" w:rsidRDefault="00C92F76" w:rsidP="00F372B2">
      <w:pPr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>Genotoxicitás</w:t>
      </w:r>
      <w:r w:rsidR="00471C90">
        <w:rPr>
          <w:sz w:val="22"/>
          <w:u w:val="single"/>
        </w:rPr>
        <w:t xml:space="preserve"> </w:t>
      </w:r>
    </w:p>
    <w:p w14:paraId="19C879A3" w14:textId="77777777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A szunitinib genotoxicitási potenciálját </w:t>
      </w:r>
      <w:r>
        <w:rPr>
          <w:i/>
          <w:sz w:val="22"/>
        </w:rPr>
        <w:t>in vitro</w:t>
      </w:r>
      <w:r>
        <w:rPr>
          <w:sz w:val="22"/>
        </w:rPr>
        <w:t xml:space="preserve"> és </w:t>
      </w:r>
      <w:r>
        <w:rPr>
          <w:i/>
          <w:sz w:val="22"/>
        </w:rPr>
        <w:t>in vivo</w:t>
      </w:r>
      <w:r>
        <w:rPr>
          <w:sz w:val="22"/>
        </w:rPr>
        <w:t xml:space="preserve"> vizsgálták. A szunitinib nem volt mutagén baktériumokban, patkány máj által kiváltott metabolikus aktiváció során. A szunitinib nem okozott szerkezeti kromoszómaváltozásokat humán perifériás vér limfocita sejtekben </w:t>
      </w:r>
      <w:r>
        <w:rPr>
          <w:i/>
          <w:sz w:val="22"/>
        </w:rPr>
        <w:t>in vitro</w:t>
      </w:r>
      <w:r>
        <w:rPr>
          <w:sz w:val="22"/>
        </w:rPr>
        <w:t xml:space="preserve">. Poliploidiát (számszerű kromoszómaaberrációt) észleltek humán perifériás vér lymphocyta sejtekben </w:t>
      </w:r>
      <w:r>
        <w:rPr>
          <w:i/>
          <w:sz w:val="22"/>
        </w:rPr>
        <w:t>in vitro</w:t>
      </w:r>
      <w:r>
        <w:rPr>
          <w:sz w:val="22"/>
        </w:rPr>
        <w:t xml:space="preserve">, metabolikus aktiváció mellett vagy anélkül. A szunitinib nem volt klasztogén patkány csontvelőben </w:t>
      </w:r>
      <w:r>
        <w:rPr>
          <w:i/>
          <w:sz w:val="22"/>
        </w:rPr>
        <w:t>in vivo</w:t>
      </w:r>
      <w:r>
        <w:rPr>
          <w:sz w:val="22"/>
        </w:rPr>
        <w:t xml:space="preserve">. Nem vizsgálták a fő aktív metabolit genotoxicitási potenciálját. </w:t>
      </w:r>
    </w:p>
    <w:p w14:paraId="3AEF2C65" w14:textId="77777777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0486F1CA" w14:textId="77777777" w:rsidR="007D149C" w:rsidRPr="00445457" w:rsidRDefault="00C92F76" w:rsidP="00F372B2">
      <w:pPr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Karcinogenitás </w:t>
      </w:r>
    </w:p>
    <w:p w14:paraId="47F696B8" w14:textId="77777777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Egy egyhónapos, rasH2 transzgén egereken végzett dóziskereső vizsgálatban gyomorszondán keresztüli folyamatos napi adagolás mellett (0, 10, 25, 75 vagy 200 mg/ttkg/nap) a duodenumban a Brunner-mirigyek carcinomáját és hyperplasiáját figyelték meg a legmagasabb tesztelt dózis (200 mg/ttkg/nap) mellett. </w:t>
      </w:r>
    </w:p>
    <w:p w14:paraId="5A00DD7E" w14:textId="77777777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6E3E2401" w14:textId="32D07C13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Egy hathónapos karcinogenitási vizsgálatot végeztek rasH2 transzgén egereken, gyomorszondán keresztüli napi adagolással (0, 8, 25, 75 [50 mg-ra csökkentve] mg/ttkg/nap). Egy vagy 6 hónapos időtartam után a napi 25 mg/ttkg-os vagy azt meghaladó dózisok mellett (a javasolt napi dózist </w:t>
      </w:r>
      <w:r>
        <w:rPr>
          <w:sz w:val="22"/>
        </w:rPr>
        <w:lastRenderedPageBreak/>
        <w:t>[</w:t>
      </w:r>
      <w:r w:rsidRPr="00F372B2">
        <w:rPr>
          <w:i/>
          <w:sz w:val="22"/>
        </w:rPr>
        <w:t>recommended daily dose</w:t>
      </w:r>
      <w:r>
        <w:rPr>
          <w:sz w:val="22"/>
        </w:rPr>
        <w:t xml:space="preserve">, RDD] kapó betegeknél mért AUC </w:t>
      </w:r>
      <w:r>
        <w:rPr>
          <w:sz w:val="22"/>
          <w:cs/>
        </w:rPr>
        <w:t>≥</w:t>
      </w:r>
      <w:r>
        <w:rPr>
          <w:sz w:val="22"/>
        </w:rPr>
        <w:t>7,3-szerese) gastroduodenális carcinomákat, a háttér haemangiosarcomák emelkedett incidenciáját és/vagy a gastricus mucosa hyperplasiáját figyelték meg.</w:t>
      </w:r>
      <w:r w:rsidR="00471C90">
        <w:rPr>
          <w:sz w:val="22"/>
        </w:rPr>
        <w:t xml:space="preserve"> </w:t>
      </w:r>
    </w:p>
    <w:p w14:paraId="60F83685" w14:textId="77777777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2D506568" w14:textId="14A562EC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Egy kétéves, patkányokkal végzett karcinogenitási vizsgálatban (0; 0,33; 1 vagy 3 mg/g/nap), melyben a szunitinibet 28 napos ciklusokban adagolták, amit 7 napos adagolásmentes időszak követett, a kezelés következtében hím patkányoknál 3 mg/ttkg/nap dózis mellett &gt;1 év kezelés után megnövekedett az mellékvesevelő pheochromocytoma és hyperplasia incidenciája (az RDD-t kapó betegeknél mért AUC </w:t>
      </w:r>
      <w:r>
        <w:rPr>
          <w:sz w:val="22"/>
          <w:cs/>
        </w:rPr>
        <w:t>≥</w:t>
      </w:r>
      <w:r>
        <w:rPr>
          <w:sz w:val="22"/>
        </w:rPr>
        <w:t xml:space="preserve">7,8-szerese). A duodendumban lévő Brunner-mirigyek carcinomája nőstényeknél </w:t>
      </w:r>
      <w:r>
        <w:rPr>
          <w:sz w:val="22"/>
          <w:cs/>
        </w:rPr>
        <w:t>≥</w:t>
      </w:r>
      <w:r>
        <w:rPr>
          <w:sz w:val="22"/>
        </w:rPr>
        <w:t xml:space="preserve">1 mg/ttkg/nap (a javasolt napi dózist kapó betegeknél mért AUC </w:t>
      </w:r>
      <w:r>
        <w:rPr>
          <w:sz w:val="22"/>
          <w:cs/>
        </w:rPr>
        <w:t>≥</w:t>
      </w:r>
      <w:r>
        <w:rPr>
          <w:sz w:val="22"/>
        </w:rPr>
        <w:t>0,9-szerese), hímeknél 3 mg/ttkg/nap (a javasolt napi dózist kapó betegeknél mért AUC 7,8-szerese), és a glandularis gyomor nyáksejt hyperplasiája hímeknél 3 mg/ttkg/nap (a javasolt napi dózist kapó betegeknél mért AUC 7,8-szerese) dózis mellett fordult elő. Karcinogenitási vizsgálatokban a szunitinib</w:t>
      </w:r>
      <w:r w:rsidR="007501FB">
        <w:rPr>
          <w:sz w:val="22"/>
        </w:rPr>
        <w:t>-</w:t>
      </w:r>
      <w:r>
        <w:rPr>
          <w:sz w:val="22"/>
        </w:rPr>
        <w:t xml:space="preserve">kezelést követően </w:t>
      </w:r>
      <w:r w:rsidR="007501FB">
        <w:rPr>
          <w:sz w:val="22"/>
        </w:rPr>
        <w:t xml:space="preserve">egereknél </w:t>
      </w:r>
      <w:r>
        <w:rPr>
          <w:sz w:val="22"/>
        </w:rPr>
        <w:t>(rasH2 transzgén)</w:t>
      </w:r>
      <w:r w:rsidR="00471C90">
        <w:rPr>
          <w:sz w:val="22"/>
        </w:rPr>
        <w:t xml:space="preserve"> </w:t>
      </w:r>
      <w:r>
        <w:rPr>
          <w:sz w:val="22"/>
        </w:rPr>
        <w:t xml:space="preserve">és patkányoknál megfigyelt nepoplasticus megállapítások jelentősége embereknél nem tisztázott. </w:t>
      </w:r>
    </w:p>
    <w:p w14:paraId="004F1F80" w14:textId="77777777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7678275F" w14:textId="77777777" w:rsidR="007D149C" w:rsidRPr="00445457" w:rsidRDefault="00C92F76" w:rsidP="00F372B2">
      <w:pPr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Reprodukciós és fejlődésre kifejtett toxicitás </w:t>
      </w:r>
    </w:p>
    <w:p w14:paraId="7A8B585A" w14:textId="27D0BEFE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>Nem észleltek változást sem a hímek, sem a nőstények termékenységében reprodukciós toxicitási vizsgálatok során. Azonban patkányoknál és majmoknál elvégzett ismételt dózisú toxicitási vizsgálatok során a nőstény termékenységét érintő hatásokat észleltek, tüsző</w:t>
      </w:r>
      <w:r w:rsidR="007501FB">
        <w:rPr>
          <w:sz w:val="22"/>
        </w:rPr>
        <w:t xml:space="preserve"> </w:t>
      </w:r>
      <w:r>
        <w:rPr>
          <w:sz w:val="22"/>
        </w:rPr>
        <w:t>atresia, sárgatest</w:t>
      </w:r>
      <w:r w:rsidR="007501FB">
        <w:rPr>
          <w:sz w:val="22"/>
        </w:rPr>
        <w:t xml:space="preserve"> </w:t>
      </w:r>
      <w:r>
        <w:rPr>
          <w:sz w:val="22"/>
        </w:rPr>
        <w:t>degeneráció, endometrium</w:t>
      </w:r>
      <w:r w:rsidR="007501FB">
        <w:rPr>
          <w:sz w:val="22"/>
        </w:rPr>
        <w:t xml:space="preserve"> </w:t>
      </w:r>
      <w:r>
        <w:rPr>
          <w:sz w:val="22"/>
        </w:rPr>
        <w:t xml:space="preserve">változások és csökkent uterus és ovarium súly formájában, klinikailag releváns adagok mellett. A hím patkányok termékenységét érintő hatásokat észleltek, a herék tubuláris atrófiája, a mellékherében csökkent spermatozoonok, a prosztata és az ondóhólyag kolloid kiürülésének formájában, az emberben észlelt szisztémás plazmaexpozíciókat 25-ször meghaladó értékek mellett. </w:t>
      </w:r>
    </w:p>
    <w:p w14:paraId="4EC9720D" w14:textId="77777777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21293238" w14:textId="0E3BE626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Embryofoetalis mortalitást észleltek patkányokban, amely az élő magzatok számának szignifikáns csökkenésében és a reszorpció számának növekedésében nyilvánult meg; megnőtt a posztimplantációs veszteség és 28 közül 8 vemhes nősténynek volt teljes alomvesztése az emberben észlelt szisztémás plazmaexpozíciót 5,5-szer meghaladó értékek mellett. Nyulakban a gravid uterusok súlyának és az élő magzatok számának észlelt csökkenése a reszorpció, valamint a posztimplantációs veszteség növekedéséből következett és 6 közül 4 vemhes nősténynek volt teljes alomvesztése az emberben észlelt szisztémás plazma-expozíciót mintegy 3-szor meghaladó értékek mellett. Patkányokban az organogenezis alatt végzett </w:t>
      </w:r>
      <w:r>
        <w:rPr>
          <w:sz w:val="22"/>
          <w:cs/>
        </w:rPr>
        <w:t>≥</w:t>
      </w:r>
      <w:r>
        <w:rPr>
          <w:sz w:val="22"/>
        </w:rPr>
        <w:t>5 mg/ttkg/nap vagy magasabb dózisú szunitinib</w:t>
      </w:r>
      <w:r w:rsidR="007501FB">
        <w:rPr>
          <w:sz w:val="22"/>
        </w:rPr>
        <w:t>-</w:t>
      </w:r>
      <w:r>
        <w:rPr>
          <w:sz w:val="22"/>
        </w:rPr>
        <w:t>kezelés fejlődési rendellenességeket okozott, amelyek magzati csontozat</w:t>
      </w:r>
      <w:r w:rsidR="007501FB">
        <w:rPr>
          <w:sz w:val="22"/>
        </w:rPr>
        <w:t>ot érintő</w:t>
      </w:r>
      <w:r>
        <w:rPr>
          <w:sz w:val="22"/>
        </w:rPr>
        <w:t xml:space="preserve"> malformációk (főként a thoracalis/lumbalis csigolyák lassabb elcsontosodása) formájában nyilvánultak meg, az emberben észlelt szisztémás plazmaexpozíciót mintegy 5,5-szer meghaladó értékek mellett. Nyulakban az ajakhasadék megnövekedett incidenciáját észlelték a klinikai plazmaexpozícióhoz hasonló értékek mellett, míg ajak- és szájpadhasadékot az emberben észleltet mintegy 2,7-szeresen meghaladó szisztémás expozíciók mellett. </w:t>
      </w:r>
    </w:p>
    <w:p w14:paraId="44784B7C" w14:textId="77777777" w:rsidR="007D149C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 </w:t>
      </w:r>
    </w:p>
    <w:p w14:paraId="55F4B647" w14:textId="77777777" w:rsidR="00BB067D" w:rsidRPr="00445457" w:rsidRDefault="00C92F76" w:rsidP="00F372B2">
      <w:pPr>
        <w:jc w:val="left"/>
        <w:rPr>
          <w:sz w:val="22"/>
          <w:szCs w:val="22"/>
        </w:rPr>
      </w:pPr>
      <w:r>
        <w:rPr>
          <w:sz w:val="22"/>
        </w:rPr>
        <w:t xml:space="preserve">Egy pre- és postnatalis fejlődési vizsgálatban a szunitinibet (0,3, 1,0, 3,0 mg/ttkg/nap) vemhes patkányoknál értékelték. Az anyai testtömeggyarapodás 1 mg/ttkg/nap, vagy azt meghaladó dózis mellett csökkent a gesztáció és szoptatás ideje alatt, de akár 3 mg/ttkg/nap (a becsült expozíció a javasolt napi dózist kapó betegeknél mért AUC </w:t>
      </w:r>
      <w:r>
        <w:rPr>
          <w:sz w:val="22"/>
          <w:cs/>
        </w:rPr>
        <w:t>≥</w:t>
      </w:r>
      <w:r>
        <w:rPr>
          <w:sz w:val="22"/>
        </w:rPr>
        <w:t xml:space="preserve">2,3-szerese) dózisig nem figyeltek meg anyai reporoduktív toxicitást. Az utódoknál csökkent testtömeget figyeltek meg az elválasztás előtti és utáni időszakban 3 mg/ttkg/nap dózisnál. A napi 1 mg/ttkg-os dózisnál nem figyeltek meg fejlődésre kifejtett toxicitást (a becsült expozíció a javasolt napi dózist kapó betegeknél mért AUC </w:t>
      </w:r>
      <w:r>
        <w:rPr>
          <w:sz w:val="22"/>
          <w:cs/>
        </w:rPr>
        <w:t>≥</w:t>
      </w:r>
      <w:r>
        <w:rPr>
          <w:sz w:val="22"/>
        </w:rPr>
        <w:t>0,9-szerese).</w:t>
      </w:r>
    </w:p>
    <w:p w14:paraId="2801A0A7" w14:textId="77777777" w:rsidR="00D31813" w:rsidRPr="00445457" w:rsidRDefault="00D31813" w:rsidP="00F372B2">
      <w:pPr>
        <w:jc w:val="left"/>
        <w:rPr>
          <w:sz w:val="22"/>
          <w:szCs w:val="22"/>
        </w:rPr>
      </w:pPr>
    </w:p>
    <w:p w14:paraId="617CFEDB" w14:textId="77777777" w:rsidR="00BB067D" w:rsidRPr="00445457" w:rsidRDefault="00BB067D" w:rsidP="00F372B2">
      <w:pPr>
        <w:jc w:val="left"/>
        <w:rPr>
          <w:sz w:val="22"/>
          <w:szCs w:val="22"/>
        </w:rPr>
      </w:pPr>
    </w:p>
    <w:p w14:paraId="134A0FBF" w14:textId="63B88A26" w:rsidR="00821515" w:rsidRPr="0099185A" w:rsidRDefault="00C601AF" w:rsidP="00F372B2">
      <w:pPr>
        <w:pStyle w:val="Cmsor1"/>
        <w:tabs>
          <w:tab w:val="clear" w:pos="1140"/>
        </w:tabs>
        <w:spacing w:after="0" w:line="240" w:lineRule="auto"/>
        <w:ind w:left="0" w:firstLine="0"/>
        <w:jc w:val="left"/>
        <w:rPr>
          <w:caps/>
          <w:sz w:val="22"/>
        </w:rPr>
      </w:pPr>
      <w:r w:rsidRPr="00EE2E0B">
        <w:rPr>
          <w:caps/>
          <w:sz w:val="22"/>
        </w:rPr>
        <w:t>6.</w:t>
      </w:r>
      <w:r w:rsidRPr="00EE2E0B">
        <w:rPr>
          <w:caps/>
          <w:sz w:val="22"/>
        </w:rPr>
        <w:tab/>
      </w:r>
      <w:r w:rsidR="00C92F76" w:rsidRPr="0099185A">
        <w:rPr>
          <w:caps/>
          <w:sz w:val="22"/>
        </w:rPr>
        <w:t>Gyógyszerészeti jellemzők</w:t>
      </w:r>
    </w:p>
    <w:p w14:paraId="1F56F30E" w14:textId="77777777" w:rsidR="007501FB" w:rsidRPr="00F372B2" w:rsidRDefault="007501FB" w:rsidP="00F372B2"/>
    <w:p w14:paraId="1B4AD35A" w14:textId="24527005" w:rsidR="00821515" w:rsidRDefault="00C601AF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6.1</w:t>
      </w:r>
      <w:r>
        <w:rPr>
          <w:sz w:val="22"/>
        </w:rPr>
        <w:tab/>
      </w:r>
      <w:r w:rsidR="00C92F76">
        <w:rPr>
          <w:sz w:val="22"/>
        </w:rPr>
        <w:t>Segédanyagok felsorolása</w:t>
      </w:r>
    </w:p>
    <w:p w14:paraId="09A04577" w14:textId="77777777" w:rsidR="00C601AF" w:rsidRPr="00C601AF" w:rsidRDefault="00C601AF" w:rsidP="00F372B2">
      <w:pPr>
        <w:rPr>
          <w:sz w:val="22"/>
          <w:szCs w:val="22"/>
        </w:rPr>
      </w:pPr>
    </w:p>
    <w:p w14:paraId="209AE9AE" w14:textId="658302D3" w:rsidR="00A714C7" w:rsidRPr="00445457" w:rsidRDefault="007501FB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Sunitinib-AZR </w:t>
      </w:r>
      <w:r w:rsidR="00C92F76">
        <w:rPr>
          <w:sz w:val="22"/>
          <w:u w:val="single"/>
        </w:rPr>
        <w:t>12,5 mg kemény kapszula</w:t>
      </w:r>
    </w:p>
    <w:p w14:paraId="720384B6" w14:textId="77777777" w:rsidR="00CC5016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lastRenderedPageBreak/>
        <w:t>Kapszulatöltet</w:t>
      </w:r>
    </w:p>
    <w:p w14:paraId="0C07256B" w14:textId="12116D9A" w:rsidR="00CC5016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Povidon </w:t>
      </w:r>
      <w:r w:rsidR="0099185A">
        <w:rPr>
          <w:sz w:val="22"/>
        </w:rPr>
        <w:t>(</w:t>
      </w:r>
      <w:r>
        <w:rPr>
          <w:sz w:val="22"/>
        </w:rPr>
        <w:t>K30 LP</w:t>
      </w:r>
      <w:r w:rsidR="0099185A">
        <w:rPr>
          <w:sz w:val="22"/>
        </w:rPr>
        <w:t>)</w:t>
      </w:r>
    </w:p>
    <w:p w14:paraId="0933318C" w14:textId="77777777" w:rsidR="00CC5016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Mikrokristályos cellulóz (grade 102)</w:t>
      </w:r>
    </w:p>
    <w:p w14:paraId="0C0079C4" w14:textId="77777777" w:rsidR="00CC5016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Kroszkarmellóz-nátrium</w:t>
      </w:r>
    </w:p>
    <w:p w14:paraId="094C06A2" w14:textId="77777777" w:rsidR="00CC5016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Magnézium-sztearát</w:t>
      </w:r>
    </w:p>
    <w:p w14:paraId="44A731B2" w14:textId="77777777" w:rsidR="00A714C7" w:rsidRPr="00445457" w:rsidRDefault="00A714C7" w:rsidP="00F372B2">
      <w:pPr>
        <w:spacing w:line="240" w:lineRule="auto"/>
        <w:jc w:val="left"/>
        <w:rPr>
          <w:i/>
          <w:sz w:val="22"/>
          <w:szCs w:val="22"/>
        </w:rPr>
      </w:pPr>
    </w:p>
    <w:p w14:paraId="5D2A4005" w14:textId="77777777" w:rsidR="00A714C7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>Kapszulahéj</w:t>
      </w:r>
    </w:p>
    <w:p w14:paraId="38E6EF29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Zselatin</w:t>
      </w:r>
    </w:p>
    <w:p w14:paraId="0E71CE97" w14:textId="2EF05FAD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Titán</w:t>
      </w:r>
      <w:r w:rsidR="0099185A">
        <w:rPr>
          <w:sz w:val="22"/>
        </w:rPr>
        <w:t>-</w:t>
      </w:r>
      <w:r>
        <w:rPr>
          <w:sz w:val="22"/>
        </w:rPr>
        <w:t>dioxid (E171)</w:t>
      </w:r>
    </w:p>
    <w:p w14:paraId="3F0F3067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Vörös vas-oxid (E172)</w:t>
      </w:r>
    </w:p>
    <w:p w14:paraId="44C0A613" w14:textId="77777777" w:rsidR="00A714C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Sárga vas oxid (E172)</w:t>
      </w:r>
    </w:p>
    <w:p w14:paraId="2DB00BC2" w14:textId="77777777" w:rsidR="000E407A" w:rsidRDefault="000E407A" w:rsidP="00F372B2">
      <w:pPr>
        <w:spacing w:line="240" w:lineRule="auto"/>
        <w:jc w:val="left"/>
        <w:rPr>
          <w:sz w:val="22"/>
          <w:szCs w:val="22"/>
        </w:rPr>
      </w:pPr>
    </w:p>
    <w:p w14:paraId="55BFD7AF" w14:textId="77777777" w:rsidR="000E407A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i/>
          <w:sz w:val="22"/>
        </w:rPr>
        <w:t>Jelölőfesték</w:t>
      </w:r>
    </w:p>
    <w:p w14:paraId="3BC235FB" w14:textId="2F377930" w:rsidR="000E407A" w:rsidRPr="0099185A" w:rsidRDefault="00C92F76" w:rsidP="00F372B2">
      <w:pPr>
        <w:spacing w:line="240" w:lineRule="auto"/>
        <w:jc w:val="left"/>
        <w:rPr>
          <w:sz w:val="22"/>
        </w:rPr>
      </w:pPr>
      <w:r>
        <w:rPr>
          <w:sz w:val="22"/>
        </w:rPr>
        <w:t>Sella</w:t>
      </w:r>
      <w:r w:rsidR="0099185A">
        <w:rPr>
          <w:sz w:val="22"/>
        </w:rPr>
        <w:t>k</w:t>
      </w:r>
    </w:p>
    <w:p w14:paraId="249DBD1F" w14:textId="16D3ADD1" w:rsidR="000E407A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Titán</w:t>
      </w:r>
      <w:r w:rsidR="0099185A">
        <w:rPr>
          <w:sz w:val="22"/>
        </w:rPr>
        <w:t>-</w:t>
      </w:r>
      <w:r>
        <w:rPr>
          <w:sz w:val="22"/>
        </w:rPr>
        <w:t>dioxid (E171)</w:t>
      </w:r>
    </w:p>
    <w:p w14:paraId="526D070E" w14:textId="7E30E932" w:rsidR="000E407A" w:rsidRPr="000E407A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Propilénglikol</w:t>
      </w:r>
    </w:p>
    <w:p w14:paraId="3BB49827" w14:textId="77777777" w:rsidR="00A714C7" w:rsidRPr="00445457" w:rsidRDefault="00A714C7" w:rsidP="00F372B2">
      <w:pPr>
        <w:spacing w:line="240" w:lineRule="auto"/>
        <w:jc w:val="left"/>
        <w:rPr>
          <w:sz w:val="22"/>
          <w:szCs w:val="22"/>
        </w:rPr>
      </w:pPr>
    </w:p>
    <w:p w14:paraId="1A3DD182" w14:textId="58B6C498" w:rsidR="00A714C7" w:rsidRPr="00445457" w:rsidRDefault="007501FB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Sunitinib-AZR </w:t>
      </w:r>
      <w:r w:rsidR="00C92F76">
        <w:rPr>
          <w:sz w:val="22"/>
          <w:u w:val="single"/>
        </w:rPr>
        <w:t>25 mg kemény kapszula</w:t>
      </w:r>
    </w:p>
    <w:p w14:paraId="509B2AB0" w14:textId="77777777" w:rsidR="00A714C7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>Kapszulatöltet</w:t>
      </w:r>
    </w:p>
    <w:p w14:paraId="6BC18032" w14:textId="3FEF5B1E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Povidon </w:t>
      </w:r>
      <w:r w:rsidR="0099185A">
        <w:rPr>
          <w:sz w:val="22"/>
        </w:rPr>
        <w:t>(</w:t>
      </w:r>
      <w:r>
        <w:rPr>
          <w:sz w:val="22"/>
        </w:rPr>
        <w:t>K30 LP</w:t>
      </w:r>
      <w:r w:rsidR="0099185A">
        <w:rPr>
          <w:sz w:val="22"/>
        </w:rPr>
        <w:t>)</w:t>
      </w:r>
    </w:p>
    <w:p w14:paraId="795FEB55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Mikrokristályos cellulóz (grade 102)</w:t>
      </w:r>
    </w:p>
    <w:p w14:paraId="6FD40EBE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Kroszkarmellóz-nátrium</w:t>
      </w:r>
    </w:p>
    <w:p w14:paraId="35467A66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Magnézium-sztearát</w:t>
      </w:r>
    </w:p>
    <w:p w14:paraId="6BD259C4" w14:textId="77777777" w:rsidR="00A714C7" w:rsidRPr="00445457" w:rsidRDefault="00A714C7" w:rsidP="00F372B2">
      <w:pPr>
        <w:spacing w:line="240" w:lineRule="auto"/>
        <w:jc w:val="left"/>
        <w:rPr>
          <w:i/>
          <w:sz w:val="22"/>
          <w:szCs w:val="22"/>
        </w:rPr>
      </w:pPr>
    </w:p>
    <w:p w14:paraId="7FCAB5AD" w14:textId="77777777" w:rsidR="00A714C7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>Kapszulahéj</w:t>
      </w:r>
    </w:p>
    <w:p w14:paraId="1EA8A942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Zselatin</w:t>
      </w:r>
    </w:p>
    <w:p w14:paraId="477202BF" w14:textId="734EF9B5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Titán</w:t>
      </w:r>
      <w:r w:rsidR="0099185A">
        <w:rPr>
          <w:sz w:val="22"/>
        </w:rPr>
        <w:t>-</w:t>
      </w:r>
      <w:r>
        <w:rPr>
          <w:sz w:val="22"/>
        </w:rPr>
        <w:t>dioxid (E171)</w:t>
      </w:r>
    </w:p>
    <w:p w14:paraId="7BE034F2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Vörös vas-oxid (E172)</w:t>
      </w:r>
    </w:p>
    <w:p w14:paraId="635C26C4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Sárga vas oxid (E172)</w:t>
      </w:r>
    </w:p>
    <w:p w14:paraId="61481AF9" w14:textId="77777777" w:rsidR="00A714C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Fekete vas-oxid (E172)</w:t>
      </w:r>
    </w:p>
    <w:p w14:paraId="263FA045" w14:textId="77777777" w:rsidR="000E407A" w:rsidRDefault="000E407A" w:rsidP="00F372B2">
      <w:pPr>
        <w:spacing w:line="240" w:lineRule="auto"/>
        <w:jc w:val="left"/>
        <w:rPr>
          <w:sz w:val="22"/>
          <w:szCs w:val="22"/>
        </w:rPr>
      </w:pPr>
    </w:p>
    <w:p w14:paraId="71F43A6D" w14:textId="77777777" w:rsidR="000E407A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i/>
          <w:sz w:val="22"/>
        </w:rPr>
        <w:t>Jelölőfesték</w:t>
      </w:r>
    </w:p>
    <w:p w14:paraId="41724CC0" w14:textId="02C3C973" w:rsidR="000E407A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Sella</w:t>
      </w:r>
      <w:r w:rsidR="0099185A">
        <w:rPr>
          <w:sz w:val="22"/>
        </w:rPr>
        <w:t>k</w:t>
      </w:r>
    </w:p>
    <w:p w14:paraId="58F743FB" w14:textId="319AF871" w:rsidR="000E407A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Titán</w:t>
      </w:r>
      <w:r w:rsidR="0099185A">
        <w:rPr>
          <w:sz w:val="22"/>
        </w:rPr>
        <w:t>-</w:t>
      </w:r>
      <w:r>
        <w:rPr>
          <w:sz w:val="22"/>
        </w:rPr>
        <w:t>dioxid (E171)</w:t>
      </w:r>
    </w:p>
    <w:p w14:paraId="20F7D30C" w14:textId="2C13F647" w:rsidR="000E407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Propilénglikol</w:t>
      </w:r>
    </w:p>
    <w:p w14:paraId="5E68252F" w14:textId="77777777" w:rsidR="00A714C7" w:rsidRPr="00F372B2" w:rsidRDefault="00A714C7" w:rsidP="00F372B2">
      <w:pPr>
        <w:spacing w:line="240" w:lineRule="auto"/>
        <w:jc w:val="left"/>
        <w:rPr>
          <w:i/>
          <w:sz w:val="22"/>
          <w:szCs w:val="22"/>
        </w:rPr>
      </w:pPr>
    </w:p>
    <w:p w14:paraId="5C677442" w14:textId="238E4DF8" w:rsidR="00A714C7" w:rsidRPr="00445457" w:rsidRDefault="007501FB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Sunitinib-AZR </w:t>
      </w:r>
      <w:r w:rsidR="00C92F76">
        <w:rPr>
          <w:sz w:val="22"/>
          <w:u w:val="single"/>
        </w:rPr>
        <w:t>37,5 mg kemény kapszula</w:t>
      </w:r>
    </w:p>
    <w:p w14:paraId="07E3EF4E" w14:textId="77777777" w:rsidR="00A714C7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>Kapszulatöltet</w:t>
      </w:r>
    </w:p>
    <w:p w14:paraId="4E604952" w14:textId="40F3DFCE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Povidon </w:t>
      </w:r>
      <w:r w:rsidR="00A2086F">
        <w:rPr>
          <w:sz w:val="22"/>
        </w:rPr>
        <w:t>(</w:t>
      </w:r>
      <w:r>
        <w:rPr>
          <w:sz w:val="22"/>
        </w:rPr>
        <w:t>K30 LP</w:t>
      </w:r>
      <w:r w:rsidR="00A2086F">
        <w:rPr>
          <w:sz w:val="22"/>
        </w:rPr>
        <w:t>)</w:t>
      </w:r>
    </w:p>
    <w:p w14:paraId="5EE99B4A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Mikrokristályos cellulóz (grade 102)</w:t>
      </w:r>
    </w:p>
    <w:p w14:paraId="42F7512E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Kroszkarmellóz-nátrium</w:t>
      </w:r>
    </w:p>
    <w:p w14:paraId="24F22FBF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Magnézium-sztearát</w:t>
      </w:r>
    </w:p>
    <w:p w14:paraId="7A1E8AA6" w14:textId="77777777" w:rsidR="00A714C7" w:rsidRPr="00F372B2" w:rsidRDefault="00C92F76" w:rsidP="00F372B2">
      <w:pPr>
        <w:spacing w:line="240" w:lineRule="auto"/>
        <w:jc w:val="left"/>
        <w:rPr>
          <w:i/>
          <w:sz w:val="22"/>
          <w:szCs w:val="22"/>
        </w:rPr>
      </w:pPr>
      <w:r w:rsidRPr="00F372B2">
        <w:rPr>
          <w:i/>
          <w:sz w:val="22"/>
        </w:rPr>
        <w:t xml:space="preserve"> </w:t>
      </w:r>
    </w:p>
    <w:p w14:paraId="00BA0176" w14:textId="77777777" w:rsidR="00A714C7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>Kapszulahéj</w:t>
      </w:r>
    </w:p>
    <w:p w14:paraId="7AD6C8C8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Zselatin</w:t>
      </w:r>
    </w:p>
    <w:p w14:paraId="1CE19459" w14:textId="3052E8E6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Titán</w:t>
      </w:r>
      <w:r w:rsidR="00A2086F">
        <w:rPr>
          <w:sz w:val="22"/>
        </w:rPr>
        <w:t>-</w:t>
      </w:r>
      <w:r>
        <w:rPr>
          <w:sz w:val="22"/>
        </w:rPr>
        <w:t>dioxid (E171)</w:t>
      </w:r>
    </w:p>
    <w:p w14:paraId="1504EABC" w14:textId="77777777" w:rsidR="00A714C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Sárga vas oxid (E172)</w:t>
      </w:r>
    </w:p>
    <w:p w14:paraId="78ADDDF3" w14:textId="77777777" w:rsidR="000E407A" w:rsidRDefault="000E407A" w:rsidP="00F372B2">
      <w:pPr>
        <w:spacing w:line="240" w:lineRule="auto"/>
        <w:jc w:val="left"/>
        <w:rPr>
          <w:sz w:val="22"/>
          <w:szCs w:val="22"/>
        </w:rPr>
      </w:pPr>
    </w:p>
    <w:p w14:paraId="4128A133" w14:textId="77777777" w:rsidR="000E407A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i/>
          <w:sz w:val="22"/>
        </w:rPr>
        <w:t>Jelölőfesték</w:t>
      </w:r>
    </w:p>
    <w:p w14:paraId="4EBCE6FC" w14:textId="4FBF92F6" w:rsidR="000E407A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Sella</w:t>
      </w:r>
      <w:r w:rsidR="00A2086F">
        <w:rPr>
          <w:sz w:val="22"/>
        </w:rPr>
        <w:t>k</w:t>
      </w:r>
    </w:p>
    <w:p w14:paraId="3FF639FF" w14:textId="77777777" w:rsidR="000E407A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Fekete vas-oxid (E172)</w:t>
      </w:r>
    </w:p>
    <w:p w14:paraId="641BCD6B" w14:textId="0375B6A5" w:rsidR="000E407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Propilénglikol</w:t>
      </w:r>
    </w:p>
    <w:p w14:paraId="19A45D49" w14:textId="77777777" w:rsidR="00A714C7" w:rsidRPr="00445457" w:rsidRDefault="00A714C7" w:rsidP="00F372B2">
      <w:pPr>
        <w:spacing w:line="240" w:lineRule="auto"/>
        <w:jc w:val="left"/>
        <w:rPr>
          <w:sz w:val="22"/>
          <w:szCs w:val="22"/>
        </w:rPr>
      </w:pPr>
    </w:p>
    <w:p w14:paraId="519B8413" w14:textId="74A346AE" w:rsidR="00A714C7" w:rsidRPr="00445457" w:rsidRDefault="007501FB" w:rsidP="00F372B2">
      <w:pPr>
        <w:spacing w:line="240" w:lineRule="auto"/>
        <w:jc w:val="left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Sunitinib-AZR </w:t>
      </w:r>
      <w:r w:rsidR="00C92F76">
        <w:rPr>
          <w:sz w:val="22"/>
          <w:u w:val="single"/>
        </w:rPr>
        <w:t>50 mg kemény kapszula</w:t>
      </w:r>
    </w:p>
    <w:p w14:paraId="56269C7A" w14:textId="77777777" w:rsidR="00A714C7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>Kapszulatöltet</w:t>
      </w:r>
    </w:p>
    <w:p w14:paraId="224DCA6A" w14:textId="7DCEFAB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Povidon </w:t>
      </w:r>
      <w:r w:rsidR="00A2086F">
        <w:rPr>
          <w:sz w:val="22"/>
        </w:rPr>
        <w:t>(</w:t>
      </w:r>
      <w:r>
        <w:rPr>
          <w:sz w:val="22"/>
        </w:rPr>
        <w:t>K30 LP</w:t>
      </w:r>
      <w:r w:rsidR="00A2086F">
        <w:rPr>
          <w:sz w:val="22"/>
        </w:rPr>
        <w:t>)</w:t>
      </w:r>
    </w:p>
    <w:p w14:paraId="1D5B1309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Mikrokristályos cellulóz (grade 102)</w:t>
      </w:r>
    </w:p>
    <w:p w14:paraId="49F60188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lastRenderedPageBreak/>
        <w:t>Kroszkarmellóz-nátrium</w:t>
      </w:r>
    </w:p>
    <w:p w14:paraId="7DA5A042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Magnézium-sztearát</w:t>
      </w:r>
    </w:p>
    <w:p w14:paraId="56020CB8" w14:textId="77777777" w:rsidR="00A714C7" w:rsidRPr="00F372B2" w:rsidRDefault="00C92F76" w:rsidP="00F372B2">
      <w:pPr>
        <w:spacing w:line="240" w:lineRule="auto"/>
        <w:jc w:val="left"/>
        <w:rPr>
          <w:i/>
          <w:sz w:val="22"/>
          <w:szCs w:val="22"/>
        </w:rPr>
      </w:pPr>
      <w:r w:rsidRPr="00F372B2">
        <w:rPr>
          <w:i/>
          <w:sz w:val="22"/>
        </w:rPr>
        <w:t xml:space="preserve"> </w:t>
      </w:r>
    </w:p>
    <w:p w14:paraId="27AEDBB7" w14:textId="77777777" w:rsidR="00A714C7" w:rsidRPr="00445457" w:rsidRDefault="00C92F76" w:rsidP="00F372B2">
      <w:pPr>
        <w:spacing w:line="240" w:lineRule="auto"/>
        <w:jc w:val="left"/>
        <w:rPr>
          <w:i/>
          <w:sz w:val="22"/>
          <w:szCs w:val="22"/>
        </w:rPr>
      </w:pPr>
      <w:r>
        <w:rPr>
          <w:i/>
          <w:sz w:val="22"/>
        </w:rPr>
        <w:t>Kapszulahéj</w:t>
      </w:r>
    </w:p>
    <w:p w14:paraId="7A2FD265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Zselatin</w:t>
      </w:r>
    </w:p>
    <w:p w14:paraId="17A76182" w14:textId="4AAE32F6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Titán</w:t>
      </w:r>
      <w:r w:rsidR="00A2086F">
        <w:rPr>
          <w:sz w:val="22"/>
        </w:rPr>
        <w:t>-</w:t>
      </w:r>
      <w:r>
        <w:rPr>
          <w:sz w:val="22"/>
        </w:rPr>
        <w:t>dioxid (E171)</w:t>
      </w:r>
    </w:p>
    <w:p w14:paraId="0B547299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Vörös vas-oxid (E172)</w:t>
      </w:r>
    </w:p>
    <w:p w14:paraId="41BD1E2A" w14:textId="77777777" w:rsidR="00A714C7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Sárga vas oxid (E172)</w:t>
      </w:r>
    </w:p>
    <w:p w14:paraId="0F3B0F25" w14:textId="77777777" w:rsidR="00A714C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Fekete vas-oxid (E172)</w:t>
      </w:r>
    </w:p>
    <w:p w14:paraId="67C0C8C5" w14:textId="77777777" w:rsidR="000E407A" w:rsidRDefault="000E407A" w:rsidP="00F372B2">
      <w:pPr>
        <w:spacing w:line="240" w:lineRule="auto"/>
        <w:jc w:val="left"/>
        <w:rPr>
          <w:sz w:val="22"/>
          <w:szCs w:val="22"/>
        </w:rPr>
      </w:pPr>
    </w:p>
    <w:p w14:paraId="69E30E99" w14:textId="77777777" w:rsidR="000E407A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i/>
          <w:sz w:val="22"/>
        </w:rPr>
        <w:t>Jelölőfesték</w:t>
      </w:r>
    </w:p>
    <w:p w14:paraId="46B3E60A" w14:textId="6FB00DE7" w:rsidR="000E407A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Sella</w:t>
      </w:r>
      <w:r w:rsidR="00A2086F">
        <w:rPr>
          <w:sz w:val="22"/>
        </w:rPr>
        <w:t>k</w:t>
      </w:r>
    </w:p>
    <w:p w14:paraId="7E8CDB08" w14:textId="77777777" w:rsidR="000E407A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Fekete vas-oxid (E172)</w:t>
      </w:r>
    </w:p>
    <w:p w14:paraId="7CBBB418" w14:textId="50123D0B" w:rsidR="000E407A" w:rsidRPr="00445457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Propilénglikol</w:t>
      </w:r>
    </w:p>
    <w:p w14:paraId="47F8F607" w14:textId="77777777" w:rsidR="00A714C7" w:rsidRPr="00445457" w:rsidRDefault="00A714C7" w:rsidP="00F372B2">
      <w:pPr>
        <w:spacing w:line="240" w:lineRule="auto"/>
        <w:jc w:val="left"/>
        <w:rPr>
          <w:sz w:val="22"/>
          <w:szCs w:val="22"/>
        </w:rPr>
      </w:pPr>
    </w:p>
    <w:p w14:paraId="35034761" w14:textId="5C02931D" w:rsidR="00821515" w:rsidRDefault="00C601AF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6.2</w:t>
      </w:r>
      <w:r>
        <w:rPr>
          <w:sz w:val="22"/>
        </w:rPr>
        <w:tab/>
      </w:r>
      <w:r w:rsidR="00C92F76">
        <w:rPr>
          <w:sz w:val="22"/>
        </w:rPr>
        <w:t>Inkompatibilitások</w:t>
      </w:r>
    </w:p>
    <w:p w14:paraId="69D294F4" w14:textId="77777777" w:rsidR="00C601AF" w:rsidRPr="00C601AF" w:rsidRDefault="00C601AF" w:rsidP="00F372B2">
      <w:pPr>
        <w:rPr>
          <w:sz w:val="22"/>
          <w:szCs w:val="22"/>
        </w:rPr>
      </w:pPr>
    </w:p>
    <w:p w14:paraId="59D63019" w14:textId="77777777" w:rsidR="00821515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Nem értelmezhető.</w:t>
      </w:r>
    </w:p>
    <w:p w14:paraId="09002373" w14:textId="77777777" w:rsidR="00821515" w:rsidRPr="00445457" w:rsidRDefault="00821515" w:rsidP="00F372B2">
      <w:pPr>
        <w:spacing w:line="240" w:lineRule="auto"/>
        <w:jc w:val="left"/>
        <w:rPr>
          <w:color w:val="000000"/>
          <w:sz w:val="22"/>
          <w:szCs w:val="22"/>
        </w:rPr>
      </w:pPr>
    </w:p>
    <w:p w14:paraId="655CA99F" w14:textId="73248176" w:rsidR="00821515" w:rsidRDefault="00C601AF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6.3</w:t>
      </w:r>
      <w:r>
        <w:rPr>
          <w:sz w:val="22"/>
        </w:rPr>
        <w:tab/>
      </w:r>
      <w:r w:rsidR="00C92F76">
        <w:rPr>
          <w:sz w:val="22"/>
        </w:rPr>
        <w:t>Felhasználhatósági időtartam</w:t>
      </w:r>
    </w:p>
    <w:p w14:paraId="5A877A9C" w14:textId="77777777" w:rsidR="00C601AF" w:rsidRPr="00C601AF" w:rsidRDefault="00C601AF" w:rsidP="00F372B2">
      <w:pPr>
        <w:rPr>
          <w:sz w:val="22"/>
          <w:szCs w:val="22"/>
        </w:rPr>
      </w:pPr>
    </w:p>
    <w:p w14:paraId="2EE43778" w14:textId="77777777" w:rsidR="00821515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Buborékfólia: 2 év.</w:t>
      </w:r>
    </w:p>
    <w:p w14:paraId="0430AFFE" w14:textId="77777777" w:rsidR="009E7B07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HDPE tartály: 2 év.</w:t>
      </w:r>
    </w:p>
    <w:p w14:paraId="5ADC5BFE" w14:textId="77777777" w:rsidR="00821515" w:rsidRPr="00445457" w:rsidRDefault="00821515" w:rsidP="00F372B2">
      <w:pPr>
        <w:spacing w:line="240" w:lineRule="auto"/>
        <w:jc w:val="left"/>
        <w:rPr>
          <w:color w:val="000000"/>
          <w:sz w:val="22"/>
          <w:szCs w:val="22"/>
        </w:rPr>
      </w:pPr>
    </w:p>
    <w:p w14:paraId="52C20C5E" w14:textId="4DB39CC6" w:rsidR="00821515" w:rsidRDefault="00C601AF" w:rsidP="00F372B2">
      <w:pPr>
        <w:pStyle w:val="Cmsor2"/>
        <w:numPr>
          <w:ilvl w:val="0"/>
          <w:numId w:val="0"/>
        </w:numPr>
        <w:spacing w:after="0" w:line="240" w:lineRule="auto"/>
        <w:ind w:left="-6"/>
        <w:jc w:val="left"/>
        <w:rPr>
          <w:sz w:val="22"/>
        </w:rPr>
      </w:pPr>
      <w:r>
        <w:rPr>
          <w:sz w:val="22"/>
        </w:rPr>
        <w:t>6.4</w:t>
      </w:r>
      <w:r>
        <w:rPr>
          <w:sz w:val="22"/>
        </w:rPr>
        <w:tab/>
      </w:r>
      <w:r w:rsidR="00C92F76">
        <w:rPr>
          <w:sz w:val="22"/>
        </w:rPr>
        <w:t>Különleges tárolási előírások</w:t>
      </w:r>
    </w:p>
    <w:p w14:paraId="7E92275A" w14:textId="77777777" w:rsidR="00C601AF" w:rsidRPr="00C601AF" w:rsidRDefault="00C601AF" w:rsidP="00F372B2">
      <w:pPr>
        <w:rPr>
          <w:sz w:val="22"/>
          <w:szCs w:val="22"/>
        </w:rPr>
      </w:pPr>
    </w:p>
    <w:p w14:paraId="79615DF8" w14:textId="77777777" w:rsidR="00821515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 xml:space="preserve">A nedvességtől való védelem érdekében az eredeti csomagolásban tárolandó. </w:t>
      </w:r>
    </w:p>
    <w:p w14:paraId="275EDB8C" w14:textId="77777777" w:rsidR="00A95FF2" w:rsidRPr="00445457" w:rsidRDefault="00C92F76" w:rsidP="00F372B2">
      <w:pPr>
        <w:spacing w:line="240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</w:rPr>
        <w:t>Ez a gyógyszer különleges tárolási hőmérsékletet nem igényel.</w:t>
      </w:r>
    </w:p>
    <w:p w14:paraId="7D19456D" w14:textId="77777777" w:rsidR="00F804C3" w:rsidRPr="00445457" w:rsidRDefault="00F804C3" w:rsidP="00F372B2">
      <w:pPr>
        <w:spacing w:line="240" w:lineRule="auto"/>
        <w:jc w:val="left"/>
        <w:rPr>
          <w:color w:val="000000"/>
          <w:sz w:val="22"/>
          <w:szCs w:val="22"/>
        </w:rPr>
      </w:pPr>
    </w:p>
    <w:p w14:paraId="4D894FF2" w14:textId="7FFE5696" w:rsidR="00821515" w:rsidRDefault="00C601AF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</w:rPr>
      </w:pPr>
      <w:r>
        <w:rPr>
          <w:sz w:val="22"/>
        </w:rPr>
        <w:t>6.5</w:t>
      </w:r>
      <w:r>
        <w:rPr>
          <w:sz w:val="22"/>
        </w:rPr>
        <w:tab/>
      </w:r>
      <w:r w:rsidR="00C92F76">
        <w:rPr>
          <w:sz w:val="22"/>
        </w:rPr>
        <w:t>Csomagolás típusa és kiszerelése</w:t>
      </w:r>
      <w:r w:rsidR="00B02BF9">
        <w:rPr>
          <w:sz w:val="22"/>
        </w:rPr>
        <w:t xml:space="preserve"> </w:t>
      </w:r>
    </w:p>
    <w:p w14:paraId="69205370" w14:textId="627AC1A7" w:rsidR="00EE5A38" w:rsidRDefault="00EE5A38" w:rsidP="00F372B2">
      <w:pPr>
        <w:spacing w:line="240" w:lineRule="auto"/>
        <w:jc w:val="left"/>
        <w:rPr>
          <w:sz w:val="22"/>
          <w:szCs w:val="22"/>
        </w:rPr>
      </w:pPr>
    </w:p>
    <w:p w14:paraId="0FB0931D" w14:textId="71F8C521" w:rsidR="00421D14" w:rsidRPr="00BE50E9" w:rsidRDefault="00C92F76" w:rsidP="00F372B2">
      <w:pPr>
        <w:suppressAutoHyphens/>
        <w:jc w:val="left"/>
        <w:rPr>
          <w:sz w:val="22"/>
          <w:szCs w:val="22"/>
        </w:rPr>
      </w:pPr>
      <w:r w:rsidRPr="00BE50E9">
        <w:rPr>
          <w:sz w:val="22"/>
          <w:szCs w:val="22"/>
        </w:rPr>
        <w:t>30 db kemény kapszul</w:t>
      </w:r>
      <w:r w:rsidR="00EE5A38">
        <w:rPr>
          <w:sz w:val="22"/>
          <w:szCs w:val="22"/>
        </w:rPr>
        <w:t>a nagysűrűségű polietilén (HDPE) tartályban szárítószerrel ellátott gyermekbiztos polipropilén (PP) kupakkal lezárva és dobozban</w:t>
      </w:r>
      <w:r w:rsidRPr="00BE50E9">
        <w:rPr>
          <w:sz w:val="22"/>
          <w:szCs w:val="22"/>
        </w:rPr>
        <w:t xml:space="preserve">. </w:t>
      </w:r>
    </w:p>
    <w:p w14:paraId="04086946" w14:textId="79D76AD4" w:rsidR="00421D14" w:rsidRPr="00BE50E9" w:rsidRDefault="00421D14" w:rsidP="00F372B2">
      <w:pPr>
        <w:spacing w:line="240" w:lineRule="auto"/>
        <w:jc w:val="left"/>
        <w:rPr>
          <w:sz w:val="22"/>
          <w:szCs w:val="22"/>
        </w:rPr>
      </w:pPr>
    </w:p>
    <w:p w14:paraId="46F97709" w14:textId="28042494" w:rsidR="00532BBA" w:rsidRPr="00BE50E9" w:rsidRDefault="00C92F76" w:rsidP="00F372B2">
      <w:pPr>
        <w:spacing w:line="240" w:lineRule="auto"/>
        <w:jc w:val="left"/>
        <w:rPr>
          <w:sz w:val="22"/>
          <w:szCs w:val="22"/>
        </w:rPr>
      </w:pPr>
      <w:r w:rsidRPr="00BE50E9">
        <w:rPr>
          <w:sz w:val="22"/>
          <w:szCs w:val="22"/>
        </w:rPr>
        <w:t xml:space="preserve">28 vagy 30 db kemény kapszula </w:t>
      </w:r>
      <w:r w:rsidR="00EE5A38">
        <w:rPr>
          <w:sz w:val="22"/>
          <w:szCs w:val="22"/>
        </w:rPr>
        <w:t>szárítószerrel ellátott O</w:t>
      </w:r>
      <w:r w:rsidRPr="00BE50E9">
        <w:rPr>
          <w:sz w:val="22"/>
          <w:szCs w:val="22"/>
        </w:rPr>
        <w:t>PA/Al/PE</w:t>
      </w:r>
      <w:r w:rsidR="00EE5A38">
        <w:rPr>
          <w:sz w:val="22"/>
          <w:szCs w:val="22"/>
        </w:rPr>
        <w:t>/</w:t>
      </w:r>
      <w:r w:rsidRPr="00BE50E9">
        <w:rPr>
          <w:sz w:val="22"/>
          <w:szCs w:val="22"/>
        </w:rPr>
        <w:t>/Al lehúzható buborék</w:t>
      </w:r>
      <w:r w:rsidR="00EE5A38">
        <w:rPr>
          <w:sz w:val="22"/>
          <w:szCs w:val="22"/>
        </w:rPr>
        <w:t>csomagolásban és dobozban</w:t>
      </w:r>
      <w:r w:rsidRPr="00BE50E9">
        <w:rPr>
          <w:sz w:val="22"/>
          <w:szCs w:val="22"/>
        </w:rPr>
        <w:t xml:space="preserve">. </w:t>
      </w:r>
    </w:p>
    <w:p w14:paraId="3B5110AA" w14:textId="55B72A6E" w:rsidR="00532BBA" w:rsidRPr="00BE50E9" w:rsidRDefault="00532BBA" w:rsidP="00F372B2">
      <w:pPr>
        <w:spacing w:line="240" w:lineRule="auto"/>
        <w:jc w:val="left"/>
        <w:rPr>
          <w:sz w:val="22"/>
          <w:szCs w:val="22"/>
        </w:rPr>
      </w:pPr>
    </w:p>
    <w:p w14:paraId="51BB5C93" w14:textId="049129C6" w:rsidR="00421D14" w:rsidRPr="00BE50E9" w:rsidRDefault="00C92F76" w:rsidP="00F372B2">
      <w:pPr>
        <w:spacing w:line="240" w:lineRule="auto"/>
        <w:jc w:val="left"/>
        <w:rPr>
          <w:sz w:val="22"/>
          <w:szCs w:val="22"/>
        </w:rPr>
      </w:pPr>
      <w:r w:rsidRPr="00BE50E9">
        <w:rPr>
          <w:sz w:val="22"/>
          <w:szCs w:val="22"/>
        </w:rPr>
        <w:t xml:space="preserve">28 </w:t>
      </w:r>
      <w:r w:rsidR="00705699">
        <w:rPr>
          <w:sz w:val="22"/>
          <w:szCs w:val="22"/>
        </w:rPr>
        <w:t>×</w:t>
      </w:r>
      <w:r w:rsidRPr="00BE50E9">
        <w:rPr>
          <w:sz w:val="22"/>
          <w:szCs w:val="22"/>
        </w:rPr>
        <w:t xml:space="preserve"> 1, vagy 30 </w:t>
      </w:r>
      <w:r w:rsidR="00705699">
        <w:rPr>
          <w:sz w:val="22"/>
          <w:szCs w:val="22"/>
        </w:rPr>
        <w:t>×</w:t>
      </w:r>
      <w:r w:rsidRPr="00BE50E9">
        <w:rPr>
          <w:sz w:val="22"/>
          <w:szCs w:val="22"/>
        </w:rPr>
        <w:t xml:space="preserve"> 1 db kemény kapszula </w:t>
      </w:r>
      <w:r w:rsidR="00EE5A38">
        <w:rPr>
          <w:sz w:val="22"/>
          <w:szCs w:val="22"/>
        </w:rPr>
        <w:t>szárítószerrel ellátott OPA/Al/PE//Al adagonként perforált, lehúzható buborékcsomagolásban és dobozban</w:t>
      </w:r>
      <w:r w:rsidRPr="00BE50E9">
        <w:rPr>
          <w:sz w:val="22"/>
          <w:szCs w:val="22"/>
        </w:rPr>
        <w:t xml:space="preserve">. </w:t>
      </w:r>
    </w:p>
    <w:p w14:paraId="1BDB4B72" w14:textId="77777777" w:rsidR="00421D14" w:rsidRPr="00BE50E9" w:rsidRDefault="00421D14" w:rsidP="00F372B2">
      <w:pPr>
        <w:spacing w:line="240" w:lineRule="auto"/>
        <w:jc w:val="left"/>
        <w:rPr>
          <w:sz w:val="22"/>
          <w:szCs w:val="22"/>
        </w:rPr>
      </w:pPr>
    </w:p>
    <w:p w14:paraId="46EA184D" w14:textId="77777777" w:rsidR="00421D14" w:rsidRDefault="00C92F76" w:rsidP="00F372B2">
      <w:pPr>
        <w:spacing w:line="240" w:lineRule="auto"/>
        <w:jc w:val="left"/>
        <w:rPr>
          <w:sz w:val="22"/>
          <w:szCs w:val="22"/>
        </w:rPr>
      </w:pPr>
      <w:r>
        <w:rPr>
          <w:sz w:val="22"/>
        </w:rPr>
        <w:t>Nem feltétlenül mindegyik kiszerelés kerül kereskedelmi forgalomba.</w:t>
      </w:r>
    </w:p>
    <w:p w14:paraId="1DB30B2E" w14:textId="77777777" w:rsidR="00036D43" w:rsidRDefault="00036D43" w:rsidP="00F372B2">
      <w:pPr>
        <w:spacing w:line="240" w:lineRule="auto"/>
        <w:jc w:val="left"/>
        <w:rPr>
          <w:sz w:val="22"/>
          <w:szCs w:val="22"/>
        </w:rPr>
      </w:pPr>
    </w:p>
    <w:p w14:paraId="3E4DBE07" w14:textId="1827706E" w:rsidR="00821515" w:rsidRPr="00445457" w:rsidRDefault="00C601AF" w:rsidP="00F372B2">
      <w:pPr>
        <w:pStyle w:val="Cmsor2"/>
        <w:numPr>
          <w:ilvl w:val="0"/>
          <w:numId w:val="0"/>
        </w:numPr>
        <w:spacing w:after="0" w:line="240" w:lineRule="auto"/>
        <w:jc w:val="left"/>
        <w:rPr>
          <w:sz w:val="22"/>
          <w:szCs w:val="22"/>
        </w:rPr>
      </w:pPr>
      <w:r>
        <w:rPr>
          <w:sz w:val="22"/>
        </w:rPr>
        <w:t>6.6</w:t>
      </w:r>
      <w:r>
        <w:rPr>
          <w:sz w:val="22"/>
        </w:rPr>
        <w:tab/>
      </w:r>
      <w:r w:rsidR="00C92F76">
        <w:rPr>
          <w:sz w:val="22"/>
        </w:rPr>
        <w:t>A megsemmisítésre vonatkozó különleges óvintézkedések és egyéb, a készítmény kezelésével kapcsolatos információk</w:t>
      </w:r>
    </w:p>
    <w:p w14:paraId="0E88A0B6" w14:textId="77777777" w:rsidR="00821515" w:rsidRPr="00445457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2A8A29C7" w14:textId="7D92ADA9" w:rsidR="00821515" w:rsidRDefault="00C92F76" w:rsidP="00F372B2">
      <w:pPr>
        <w:spacing w:line="240" w:lineRule="auto"/>
        <w:jc w:val="left"/>
        <w:rPr>
          <w:sz w:val="22"/>
        </w:rPr>
      </w:pPr>
      <w:r>
        <w:rPr>
          <w:sz w:val="22"/>
        </w:rPr>
        <w:t>Bármilyen fel nem használt gyógyszer, illetve hulladékanyag megsemmisítését a gyógyszerekre vonatkozó előírások szerint kell végrehajtani.</w:t>
      </w:r>
    </w:p>
    <w:p w14:paraId="7F1D21F4" w14:textId="77777777" w:rsidR="001E0692" w:rsidRPr="00445457" w:rsidRDefault="001E0692" w:rsidP="00F372B2">
      <w:pPr>
        <w:spacing w:line="240" w:lineRule="auto"/>
        <w:jc w:val="left"/>
        <w:rPr>
          <w:sz w:val="22"/>
          <w:szCs w:val="22"/>
        </w:rPr>
      </w:pPr>
    </w:p>
    <w:p w14:paraId="230DFCDC" w14:textId="77777777" w:rsidR="001E0692" w:rsidRPr="00214190" w:rsidRDefault="001E0692" w:rsidP="001E0692">
      <w:pPr>
        <w:rPr>
          <w:sz w:val="22"/>
          <w:szCs w:val="22"/>
        </w:rPr>
      </w:pPr>
      <w:r w:rsidRPr="00214190">
        <w:rPr>
          <w:b/>
          <w:bCs/>
          <w:sz w:val="22"/>
          <w:szCs w:val="22"/>
        </w:rPr>
        <w:t>Megjegyzés</w:t>
      </w:r>
      <w:r w:rsidRPr="00214190">
        <w:rPr>
          <w:sz w:val="22"/>
          <w:szCs w:val="22"/>
        </w:rPr>
        <w:t xml:space="preserve">: </w:t>
      </w:r>
      <w:r w:rsidRPr="00214190">
        <w:rPr>
          <w:sz w:val="22"/>
          <w:szCs w:val="22"/>
        </w:rPr>
        <w:sym w:font="Wingdings" w:char="F058"/>
      </w:r>
      <w:r w:rsidRPr="00214190">
        <w:rPr>
          <w:sz w:val="22"/>
          <w:szCs w:val="22"/>
        </w:rPr>
        <w:sym w:font="Wingdings" w:char="F058"/>
      </w:r>
      <w:r w:rsidRPr="00214190">
        <w:rPr>
          <w:sz w:val="22"/>
          <w:szCs w:val="22"/>
        </w:rPr>
        <w:t xml:space="preserve"> (két keresztes)</w:t>
      </w:r>
    </w:p>
    <w:p w14:paraId="6AAA4841" w14:textId="77777777" w:rsidR="001E0692" w:rsidRPr="00214190" w:rsidRDefault="001E0692" w:rsidP="001E0692">
      <w:pPr>
        <w:rPr>
          <w:b/>
          <w:sz w:val="22"/>
          <w:szCs w:val="22"/>
        </w:rPr>
      </w:pPr>
      <w:r w:rsidRPr="00214190">
        <w:rPr>
          <w:b/>
          <w:sz w:val="22"/>
          <w:szCs w:val="22"/>
        </w:rPr>
        <w:t>Osztályozás: II./2 csoport</w:t>
      </w:r>
    </w:p>
    <w:p w14:paraId="21A2D8A1" w14:textId="77777777" w:rsidR="001E0692" w:rsidRPr="00214190" w:rsidRDefault="001E0692" w:rsidP="001E0692">
      <w:pPr>
        <w:pStyle w:val="Szvegtrzs1"/>
        <w:spacing w:after="0"/>
      </w:pPr>
      <w:r w:rsidRPr="00214190">
        <w:t>Korlátozott érvényű orvosi rendelvényhez kötött, szakorvosi/kórházi diagnózist követően folyamatos szakorvosi ellenőrzés mellett alkalmazható gyógyszer (Sz).</w:t>
      </w:r>
    </w:p>
    <w:p w14:paraId="117191F6" w14:textId="77777777" w:rsidR="00821515" w:rsidRPr="00445457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4CF9359A" w14:textId="77777777" w:rsidR="00821515" w:rsidRPr="00445457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0F8A275F" w14:textId="00E7DDD2" w:rsidR="00821515" w:rsidRDefault="00C601AF" w:rsidP="00F372B2">
      <w:pPr>
        <w:pStyle w:val="Cmsor1"/>
        <w:tabs>
          <w:tab w:val="clear" w:pos="1140"/>
        </w:tabs>
        <w:spacing w:after="0" w:line="240" w:lineRule="auto"/>
        <w:ind w:left="0" w:firstLine="0"/>
        <w:jc w:val="left"/>
        <w:rPr>
          <w:caps/>
          <w:sz w:val="22"/>
        </w:rPr>
      </w:pPr>
      <w:r>
        <w:rPr>
          <w:caps/>
          <w:sz w:val="22"/>
        </w:rPr>
        <w:t>7.</w:t>
      </w:r>
      <w:r>
        <w:rPr>
          <w:caps/>
          <w:sz w:val="22"/>
        </w:rPr>
        <w:tab/>
      </w:r>
      <w:r w:rsidR="00C92F76">
        <w:rPr>
          <w:caps/>
          <w:sz w:val="22"/>
        </w:rPr>
        <w:t>A forgalomba hozatali engedély jogosultja</w:t>
      </w:r>
    </w:p>
    <w:p w14:paraId="5A35736A" w14:textId="77777777" w:rsidR="00C601AF" w:rsidRPr="00C601AF" w:rsidRDefault="00C601AF" w:rsidP="00F372B2">
      <w:pPr>
        <w:rPr>
          <w:sz w:val="22"/>
          <w:szCs w:val="22"/>
        </w:rPr>
      </w:pPr>
    </w:p>
    <w:p w14:paraId="31ADECC9" w14:textId="548B8D2A" w:rsidR="00536232" w:rsidRDefault="007F1736" w:rsidP="00F372B2">
      <w:pPr>
        <w:spacing w:line="240" w:lineRule="auto"/>
        <w:jc w:val="left"/>
        <w:rPr>
          <w:sz w:val="22"/>
        </w:rPr>
      </w:pPr>
      <w:r>
        <w:rPr>
          <w:sz w:val="22"/>
        </w:rPr>
        <w:lastRenderedPageBreak/>
        <w:t>AZR Kft.</w:t>
      </w:r>
    </w:p>
    <w:p w14:paraId="64FF64DF" w14:textId="77777777" w:rsidR="00536232" w:rsidRDefault="00536232" w:rsidP="00F372B2">
      <w:pPr>
        <w:spacing w:line="240" w:lineRule="auto"/>
        <w:jc w:val="left"/>
        <w:rPr>
          <w:sz w:val="22"/>
        </w:rPr>
      </w:pPr>
      <w:r w:rsidRPr="00536232">
        <w:rPr>
          <w:sz w:val="22"/>
        </w:rPr>
        <w:t>2142 Nagytarcsa,</w:t>
      </w:r>
    </w:p>
    <w:p w14:paraId="4215137F" w14:textId="549B4DAA" w:rsidR="00821515" w:rsidRPr="00536232" w:rsidRDefault="00536232" w:rsidP="00F372B2">
      <w:pPr>
        <w:spacing w:line="240" w:lineRule="auto"/>
        <w:jc w:val="left"/>
        <w:rPr>
          <w:sz w:val="22"/>
        </w:rPr>
      </w:pPr>
      <w:r w:rsidRPr="00536232">
        <w:rPr>
          <w:sz w:val="22"/>
        </w:rPr>
        <w:t>Naplás utca 24.</w:t>
      </w:r>
    </w:p>
    <w:p w14:paraId="3D99BA84" w14:textId="77777777" w:rsidR="00821515" w:rsidRPr="00445457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4D952974" w14:textId="77777777" w:rsidR="00821515" w:rsidRPr="00445457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6E641643" w14:textId="7F1B46F0" w:rsidR="00821515" w:rsidRPr="00445457" w:rsidRDefault="00C601AF" w:rsidP="00F372B2">
      <w:pPr>
        <w:pStyle w:val="Cmsor1"/>
        <w:tabs>
          <w:tab w:val="clear" w:pos="1140"/>
        </w:tabs>
        <w:spacing w:after="0" w:line="240" w:lineRule="auto"/>
        <w:ind w:left="0" w:firstLine="0"/>
        <w:jc w:val="left"/>
        <w:rPr>
          <w:caps/>
          <w:sz w:val="22"/>
          <w:szCs w:val="22"/>
        </w:rPr>
      </w:pPr>
      <w:r>
        <w:rPr>
          <w:caps/>
          <w:sz w:val="22"/>
        </w:rPr>
        <w:t>8.</w:t>
      </w:r>
      <w:r>
        <w:rPr>
          <w:caps/>
          <w:sz w:val="22"/>
        </w:rPr>
        <w:tab/>
      </w:r>
      <w:r w:rsidR="00C92F76">
        <w:rPr>
          <w:caps/>
          <w:sz w:val="22"/>
        </w:rPr>
        <w:t>A forgalomba hozatali engedély száma(i)</w:t>
      </w:r>
    </w:p>
    <w:p w14:paraId="57BB9AA8" w14:textId="4EBAA051" w:rsidR="00821515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68A5219C" w14:textId="4DF763D0" w:rsidR="00875034" w:rsidRPr="00875034" w:rsidRDefault="00875034" w:rsidP="00875034">
      <w:pPr>
        <w:spacing w:line="240" w:lineRule="auto"/>
        <w:jc w:val="left"/>
        <w:rPr>
          <w:sz w:val="22"/>
          <w:szCs w:val="22"/>
          <w:u w:val="single"/>
        </w:rPr>
      </w:pPr>
      <w:r w:rsidRPr="00875034">
        <w:rPr>
          <w:sz w:val="22"/>
          <w:szCs w:val="22"/>
          <w:u w:val="single"/>
        </w:rPr>
        <w:t>Sunitinib-AZR 12,5 mg kemény kapszula:</w:t>
      </w:r>
    </w:p>
    <w:p w14:paraId="3DB9BAFD" w14:textId="6D5FC70D" w:rsidR="00875034" w:rsidRPr="00875034" w:rsidRDefault="00875034" w:rsidP="00875034">
      <w:pPr>
        <w:tabs>
          <w:tab w:val="left" w:pos="2410"/>
        </w:tabs>
        <w:jc w:val="left"/>
        <w:rPr>
          <w:sz w:val="22"/>
          <w:szCs w:val="22"/>
        </w:rPr>
      </w:pPr>
      <w:r w:rsidRPr="00875034">
        <w:rPr>
          <w:sz w:val="22"/>
          <w:szCs w:val="22"/>
        </w:rPr>
        <w:t>OGYI-T-23892/01</w:t>
      </w:r>
      <w:r w:rsidRPr="00875034">
        <w:rPr>
          <w:sz w:val="22"/>
          <w:szCs w:val="22"/>
        </w:rPr>
        <w:tab/>
        <w:t>28</w:t>
      </w:r>
      <w:r>
        <w:rPr>
          <w:sz w:val="22"/>
          <w:szCs w:val="22"/>
        </w:rPr>
        <w:t>×</w:t>
      </w:r>
      <w:r w:rsidRPr="00875034">
        <w:rPr>
          <w:sz w:val="22"/>
          <w:szCs w:val="22"/>
        </w:rPr>
        <w:tab/>
      </w:r>
      <w:r w:rsidRPr="00875034">
        <w:rPr>
          <w:sz w:val="22"/>
          <w:szCs w:val="22"/>
          <w:lang w:val="en-IE"/>
        </w:rPr>
        <w:t xml:space="preserve">OPA/Al/PE//Al </w:t>
      </w:r>
      <w:r w:rsidRPr="00875034">
        <w:rPr>
          <w:sz w:val="22"/>
          <w:szCs w:val="22"/>
        </w:rPr>
        <w:t>lehúzható buborékcsomagolás</w:t>
      </w:r>
    </w:p>
    <w:p w14:paraId="19474FD5" w14:textId="13CA9AF1" w:rsidR="00875034" w:rsidRPr="00875034" w:rsidRDefault="00875034" w:rsidP="00875034">
      <w:pPr>
        <w:tabs>
          <w:tab w:val="left" w:pos="1418"/>
          <w:tab w:val="left" w:pos="2410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OGYI-T-23892/02</w:t>
      </w:r>
      <w:r>
        <w:rPr>
          <w:sz w:val="22"/>
          <w:szCs w:val="22"/>
        </w:rPr>
        <w:tab/>
        <w:t>28×1</w:t>
      </w:r>
      <w:r>
        <w:rPr>
          <w:sz w:val="22"/>
          <w:szCs w:val="22"/>
        </w:rPr>
        <w:tab/>
      </w:r>
      <w:r w:rsidRPr="00875034">
        <w:rPr>
          <w:sz w:val="22"/>
          <w:szCs w:val="22"/>
        </w:rPr>
        <w:t>OPA/Al/PE//Al adagonként perforált, lehúzható buborékcsomagolás</w:t>
      </w:r>
    </w:p>
    <w:p w14:paraId="5FCE62A3" w14:textId="3A762374" w:rsidR="00875034" w:rsidRPr="00875034" w:rsidRDefault="00875034" w:rsidP="00875034">
      <w:pPr>
        <w:tabs>
          <w:tab w:val="left" w:pos="1276"/>
          <w:tab w:val="left" w:pos="2410"/>
          <w:tab w:val="left" w:pos="2977"/>
          <w:tab w:val="left" w:pos="4111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OGYI-T-23892/03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</w:r>
      <w:r w:rsidRPr="00875034">
        <w:rPr>
          <w:sz w:val="22"/>
          <w:szCs w:val="22"/>
        </w:rPr>
        <w:t>HDPE tartály</w:t>
      </w:r>
    </w:p>
    <w:p w14:paraId="0BAAF344" w14:textId="64F22A53" w:rsidR="00875034" w:rsidRPr="00875034" w:rsidRDefault="00875034" w:rsidP="00875034">
      <w:pPr>
        <w:tabs>
          <w:tab w:val="left" w:pos="2410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OGYI-T-23892/04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</w:r>
      <w:r w:rsidRPr="00875034">
        <w:rPr>
          <w:sz w:val="22"/>
          <w:szCs w:val="22"/>
          <w:lang w:val="en-IE"/>
        </w:rPr>
        <w:t xml:space="preserve">OPA/Al/PE//Al </w:t>
      </w:r>
      <w:r w:rsidRPr="00875034">
        <w:rPr>
          <w:sz w:val="22"/>
          <w:szCs w:val="22"/>
        </w:rPr>
        <w:t>lehúzható buborékcsomagolás</w:t>
      </w:r>
    </w:p>
    <w:p w14:paraId="38432855" w14:textId="2C7BF43B" w:rsidR="00875034" w:rsidRPr="00875034" w:rsidRDefault="00875034" w:rsidP="00875034">
      <w:pPr>
        <w:tabs>
          <w:tab w:val="left" w:pos="2410"/>
        </w:tabs>
        <w:jc w:val="left"/>
        <w:rPr>
          <w:sz w:val="22"/>
          <w:szCs w:val="22"/>
        </w:rPr>
      </w:pPr>
      <w:r w:rsidRPr="00875034">
        <w:rPr>
          <w:sz w:val="22"/>
          <w:szCs w:val="22"/>
        </w:rPr>
        <w:t>OGYI-T-23</w:t>
      </w:r>
      <w:r>
        <w:rPr>
          <w:sz w:val="22"/>
          <w:szCs w:val="22"/>
        </w:rPr>
        <w:t>892/05</w:t>
      </w:r>
      <w:r>
        <w:rPr>
          <w:sz w:val="22"/>
          <w:szCs w:val="22"/>
        </w:rPr>
        <w:tab/>
        <w:t>30×1</w:t>
      </w:r>
      <w:r>
        <w:rPr>
          <w:sz w:val="22"/>
          <w:szCs w:val="22"/>
        </w:rPr>
        <w:tab/>
      </w:r>
      <w:r w:rsidRPr="00875034">
        <w:rPr>
          <w:sz w:val="22"/>
          <w:szCs w:val="22"/>
        </w:rPr>
        <w:t>OPA/Al/PE//Al adagonként perforált, lehúzható buborékcsomagolás</w:t>
      </w:r>
    </w:p>
    <w:p w14:paraId="470891D3" w14:textId="70B78996" w:rsidR="00875034" w:rsidRPr="00875034" w:rsidRDefault="00875034" w:rsidP="00875034">
      <w:pPr>
        <w:spacing w:line="240" w:lineRule="auto"/>
        <w:jc w:val="left"/>
        <w:rPr>
          <w:sz w:val="22"/>
          <w:szCs w:val="22"/>
        </w:rPr>
      </w:pPr>
    </w:p>
    <w:p w14:paraId="4C262F6F" w14:textId="4414D5B4" w:rsidR="00875034" w:rsidRPr="00875034" w:rsidRDefault="00875034" w:rsidP="00875034">
      <w:pPr>
        <w:spacing w:line="240" w:lineRule="auto"/>
        <w:jc w:val="left"/>
        <w:rPr>
          <w:sz w:val="22"/>
          <w:szCs w:val="22"/>
          <w:u w:val="single"/>
        </w:rPr>
      </w:pPr>
      <w:r w:rsidRPr="00875034">
        <w:rPr>
          <w:sz w:val="22"/>
          <w:szCs w:val="22"/>
          <w:u w:val="single"/>
        </w:rPr>
        <w:t>Sunitinib-AZR 25 mg kemény kapszula</w:t>
      </w:r>
      <w:r>
        <w:rPr>
          <w:sz w:val="22"/>
          <w:szCs w:val="22"/>
          <w:u w:val="single"/>
        </w:rPr>
        <w:t>:</w:t>
      </w:r>
    </w:p>
    <w:p w14:paraId="545AEFD7" w14:textId="2E1BDC45" w:rsidR="00875034" w:rsidRPr="00875034" w:rsidRDefault="00875034" w:rsidP="00875034">
      <w:pPr>
        <w:tabs>
          <w:tab w:val="left" w:pos="2410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OGYI-T-23892/06</w:t>
      </w:r>
      <w:r>
        <w:rPr>
          <w:sz w:val="22"/>
          <w:szCs w:val="22"/>
        </w:rPr>
        <w:tab/>
        <w:t>28×</w:t>
      </w:r>
      <w:r>
        <w:rPr>
          <w:sz w:val="22"/>
          <w:szCs w:val="22"/>
        </w:rPr>
        <w:tab/>
      </w:r>
      <w:r w:rsidRPr="00875034">
        <w:rPr>
          <w:sz w:val="22"/>
          <w:szCs w:val="22"/>
          <w:lang w:val="en-IE"/>
        </w:rPr>
        <w:t xml:space="preserve">OPA/Al/PE//Al </w:t>
      </w:r>
      <w:r w:rsidRPr="00875034">
        <w:rPr>
          <w:sz w:val="22"/>
          <w:szCs w:val="22"/>
        </w:rPr>
        <w:t>lehúzható buborékcsomagolás</w:t>
      </w:r>
    </w:p>
    <w:p w14:paraId="3FAFFB20" w14:textId="4E4E184A" w:rsidR="00875034" w:rsidRPr="00875034" w:rsidRDefault="00875034" w:rsidP="00875034">
      <w:pPr>
        <w:tabs>
          <w:tab w:val="left" w:pos="2410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OGYI-T-23892/07</w:t>
      </w:r>
      <w:r>
        <w:rPr>
          <w:sz w:val="22"/>
          <w:szCs w:val="22"/>
        </w:rPr>
        <w:tab/>
        <w:t>28×1</w:t>
      </w:r>
      <w:r>
        <w:rPr>
          <w:sz w:val="22"/>
          <w:szCs w:val="22"/>
        </w:rPr>
        <w:tab/>
      </w:r>
      <w:r w:rsidRPr="00875034">
        <w:rPr>
          <w:sz w:val="22"/>
          <w:szCs w:val="22"/>
        </w:rPr>
        <w:t>OPA/Al/PE//Al adagonként perforált, lehúzható buborékcsomagolás</w:t>
      </w:r>
    </w:p>
    <w:p w14:paraId="5D41C34E" w14:textId="58377178" w:rsidR="00875034" w:rsidRPr="00875034" w:rsidRDefault="00875034" w:rsidP="00875034">
      <w:pPr>
        <w:tabs>
          <w:tab w:val="left" w:pos="2410"/>
          <w:tab w:val="left" w:pos="2552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OGYI-T-23892/08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</w:r>
      <w:r w:rsidRPr="00875034">
        <w:rPr>
          <w:sz w:val="22"/>
          <w:szCs w:val="22"/>
        </w:rPr>
        <w:t>HDPE tartály</w:t>
      </w:r>
    </w:p>
    <w:p w14:paraId="3EEE6885" w14:textId="23C133EA" w:rsidR="00875034" w:rsidRPr="00875034" w:rsidRDefault="00875034" w:rsidP="00875034">
      <w:pPr>
        <w:tabs>
          <w:tab w:val="left" w:pos="2410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OGYI-T-23892/09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</w:r>
      <w:r w:rsidRPr="00875034">
        <w:rPr>
          <w:sz w:val="22"/>
          <w:szCs w:val="22"/>
          <w:lang w:val="en-IE"/>
        </w:rPr>
        <w:t xml:space="preserve">OPA/Al/PE//Al </w:t>
      </w:r>
      <w:r w:rsidRPr="00875034">
        <w:rPr>
          <w:sz w:val="22"/>
          <w:szCs w:val="22"/>
        </w:rPr>
        <w:t>lehúzható buborékcsomagolás</w:t>
      </w:r>
    </w:p>
    <w:p w14:paraId="5B2C8058" w14:textId="7E78C571" w:rsidR="00875034" w:rsidRDefault="00875034" w:rsidP="00875034">
      <w:pPr>
        <w:tabs>
          <w:tab w:val="left" w:pos="2410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OGYI-T-23892/10</w:t>
      </w:r>
      <w:r>
        <w:rPr>
          <w:sz w:val="22"/>
          <w:szCs w:val="22"/>
        </w:rPr>
        <w:tab/>
        <w:t>30×1</w:t>
      </w:r>
      <w:r>
        <w:rPr>
          <w:sz w:val="22"/>
          <w:szCs w:val="22"/>
        </w:rPr>
        <w:tab/>
      </w:r>
      <w:r w:rsidRPr="00875034">
        <w:rPr>
          <w:sz w:val="22"/>
          <w:szCs w:val="22"/>
        </w:rPr>
        <w:t>OPA/Al/PE//Al adagonként perforált, lehúzható buborékcsomagolás</w:t>
      </w:r>
    </w:p>
    <w:p w14:paraId="7A3B7636" w14:textId="77777777" w:rsidR="00875034" w:rsidRPr="00875034" w:rsidRDefault="00875034" w:rsidP="00875034">
      <w:pPr>
        <w:tabs>
          <w:tab w:val="left" w:pos="2410"/>
        </w:tabs>
        <w:jc w:val="left"/>
        <w:rPr>
          <w:sz w:val="22"/>
          <w:szCs w:val="22"/>
        </w:rPr>
      </w:pPr>
    </w:p>
    <w:p w14:paraId="5ECA7321" w14:textId="0C636241" w:rsidR="00875034" w:rsidRPr="00875034" w:rsidRDefault="00875034" w:rsidP="00F372B2">
      <w:pPr>
        <w:spacing w:line="240" w:lineRule="auto"/>
        <w:jc w:val="left"/>
        <w:rPr>
          <w:sz w:val="22"/>
          <w:szCs w:val="22"/>
          <w:u w:val="single"/>
        </w:rPr>
      </w:pPr>
      <w:r w:rsidRPr="00875034">
        <w:rPr>
          <w:sz w:val="22"/>
          <w:szCs w:val="22"/>
          <w:u w:val="single"/>
        </w:rPr>
        <w:t>Sunitinib-AZR 37,5 mg kemény kapszula</w:t>
      </w:r>
    </w:p>
    <w:p w14:paraId="089CBA35" w14:textId="5823F3C7" w:rsidR="00875034" w:rsidRPr="00875034" w:rsidRDefault="00E62AFF" w:rsidP="00875034">
      <w:pPr>
        <w:tabs>
          <w:tab w:val="left" w:pos="2410"/>
        </w:tabs>
        <w:rPr>
          <w:sz w:val="22"/>
          <w:szCs w:val="22"/>
        </w:rPr>
      </w:pPr>
      <w:r>
        <w:rPr>
          <w:sz w:val="22"/>
          <w:szCs w:val="22"/>
        </w:rPr>
        <w:t>OGYI-T-23892/11</w:t>
      </w:r>
      <w:r>
        <w:rPr>
          <w:sz w:val="22"/>
          <w:szCs w:val="22"/>
        </w:rPr>
        <w:tab/>
        <w:t>28×</w:t>
      </w:r>
      <w:r w:rsidR="00875034">
        <w:rPr>
          <w:sz w:val="22"/>
          <w:szCs w:val="22"/>
        </w:rPr>
        <w:tab/>
      </w:r>
      <w:r w:rsidR="00875034" w:rsidRPr="00875034">
        <w:rPr>
          <w:sz w:val="22"/>
          <w:szCs w:val="22"/>
          <w:lang w:val="en-IE"/>
        </w:rPr>
        <w:t xml:space="preserve">OPA/Al/PE//Al </w:t>
      </w:r>
      <w:r w:rsidR="00875034" w:rsidRPr="00875034">
        <w:rPr>
          <w:sz w:val="22"/>
          <w:szCs w:val="22"/>
        </w:rPr>
        <w:t>lehúzható buborékcsomagolás</w:t>
      </w:r>
    </w:p>
    <w:p w14:paraId="7FA035C1" w14:textId="38761A55" w:rsidR="00875034" w:rsidRPr="00875034" w:rsidRDefault="00E62AFF" w:rsidP="00875034">
      <w:pPr>
        <w:tabs>
          <w:tab w:val="left" w:pos="2410"/>
        </w:tabs>
        <w:rPr>
          <w:sz w:val="22"/>
          <w:szCs w:val="22"/>
        </w:rPr>
      </w:pPr>
      <w:r>
        <w:rPr>
          <w:sz w:val="22"/>
          <w:szCs w:val="22"/>
        </w:rPr>
        <w:t>OGYI-T-23892/12</w:t>
      </w:r>
      <w:r>
        <w:rPr>
          <w:sz w:val="22"/>
          <w:szCs w:val="22"/>
        </w:rPr>
        <w:tab/>
        <w:t>28×</w:t>
      </w:r>
      <w:r w:rsidR="00875034">
        <w:rPr>
          <w:sz w:val="22"/>
          <w:szCs w:val="22"/>
        </w:rPr>
        <w:t>1</w:t>
      </w:r>
      <w:r w:rsidR="00875034">
        <w:rPr>
          <w:sz w:val="22"/>
          <w:szCs w:val="22"/>
        </w:rPr>
        <w:tab/>
      </w:r>
      <w:r w:rsidR="00875034" w:rsidRPr="00875034">
        <w:rPr>
          <w:sz w:val="22"/>
          <w:szCs w:val="22"/>
        </w:rPr>
        <w:t>OPA/Al/PE//Al adagonként perforált, lehúzható buborékcsomagolás</w:t>
      </w:r>
    </w:p>
    <w:p w14:paraId="403B1749" w14:textId="7646E261" w:rsidR="00875034" w:rsidRPr="00875034" w:rsidRDefault="00E62AFF" w:rsidP="00875034">
      <w:pPr>
        <w:tabs>
          <w:tab w:val="left" w:pos="2410"/>
        </w:tabs>
        <w:rPr>
          <w:sz w:val="22"/>
          <w:szCs w:val="22"/>
        </w:rPr>
      </w:pPr>
      <w:r>
        <w:rPr>
          <w:sz w:val="22"/>
          <w:szCs w:val="22"/>
        </w:rPr>
        <w:t>OGYI-T-23892/13</w:t>
      </w:r>
      <w:r>
        <w:rPr>
          <w:sz w:val="22"/>
          <w:szCs w:val="22"/>
        </w:rPr>
        <w:tab/>
        <w:t>30×</w:t>
      </w:r>
      <w:r w:rsidR="00875034">
        <w:rPr>
          <w:sz w:val="22"/>
          <w:szCs w:val="22"/>
        </w:rPr>
        <w:tab/>
      </w:r>
      <w:r w:rsidR="00875034" w:rsidRPr="00875034">
        <w:rPr>
          <w:sz w:val="22"/>
          <w:szCs w:val="22"/>
        </w:rPr>
        <w:t>HDPE tartály</w:t>
      </w:r>
    </w:p>
    <w:p w14:paraId="35F93432" w14:textId="240819C2" w:rsidR="00875034" w:rsidRPr="00875034" w:rsidRDefault="00875034" w:rsidP="00875034">
      <w:pPr>
        <w:tabs>
          <w:tab w:val="left" w:pos="2410"/>
        </w:tabs>
        <w:rPr>
          <w:sz w:val="22"/>
          <w:szCs w:val="22"/>
        </w:rPr>
      </w:pPr>
      <w:r>
        <w:rPr>
          <w:sz w:val="22"/>
          <w:szCs w:val="22"/>
        </w:rPr>
        <w:t>OGYI-T-2</w:t>
      </w:r>
      <w:r w:rsidR="00E62AFF">
        <w:rPr>
          <w:sz w:val="22"/>
          <w:szCs w:val="22"/>
        </w:rPr>
        <w:t>3892/14</w:t>
      </w:r>
      <w:r w:rsidR="00E62AFF">
        <w:rPr>
          <w:sz w:val="22"/>
          <w:szCs w:val="22"/>
        </w:rPr>
        <w:tab/>
        <w:t>30×</w:t>
      </w:r>
      <w:r>
        <w:rPr>
          <w:sz w:val="22"/>
          <w:szCs w:val="22"/>
        </w:rPr>
        <w:tab/>
      </w:r>
      <w:r w:rsidRPr="00875034">
        <w:rPr>
          <w:sz w:val="22"/>
          <w:szCs w:val="22"/>
          <w:lang w:val="en-IE"/>
        </w:rPr>
        <w:t xml:space="preserve">OPA/Al/PE//Al </w:t>
      </w:r>
      <w:r w:rsidRPr="00875034">
        <w:rPr>
          <w:sz w:val="22"/>
          <w:szCs w:val="22"/>
        </w:rPr>
        <w:t>lehúzható buborékcsomagolás</w:t>
      </w:r>
    </w:p>
    <w:p w14:paraId="3454327D" w14:textId="7F229855" w:rsidR="00875034" w:rsidRPr="00875034" w:rsidRDefault="00E62AFF" w:rsidP="00875034">
      <w:pPr>
        <w:tabs>
          <w:tab w:val="left" w:pos="2410"/>
        </w:tabs>
        <w:rPr>
          <w:sz w:val="22"/>
          <w:szCs w:val="22"/>
        </w:rPr>
      </w:pPr>
      <w:r>
        <w:rPr>
          <w:sz w:val="22"/>
          <w:szCs w:val="22"/>
        </w:rPr>
        <w:t>OGYI-T-23892/15</w:t>
      </w:r>
      <w:r>
        <w:rPr>
          <w:sz w:val="22"/>
          <w:szCs w:val="22"/>
        </w:rPr>
        <w:tab/>
        <w:t>30×</w:t>
      </w:r>
      <w:r w:rsidR="00875034">
        <w:rPr>
          <w:sz w:val="22"/>
          <w:szCs w:val="22"/>
        </w:rPr>
        <w:t>1</w:t>
      </w:r>
      <w:r w:rsidR="00875034">
        <w:rPr>
          <w:sz w:val="22"/>
          <w:szCs w:val="22"/>
        </w:rPr>
        <w:tab/>
      </w:r>
      <w:r w:rsidR="00875034" w:rsidRPr="00875034">
        <w:rPr>
          <w:sz w:val="22"/>
          <w:szCs w:val="22"/>
        </w:rPr>
        <w:t>OPA/Al/PE//Al adagonként perforált, lehúzható buborékcsomagolás</w:t>
      </w:r>
    </w:p>
    <w:p w14:paraId="5BBD0684" w14:textId="44B6BCB0" w:rsidR="00875034" w:rsidRDefault="00875034" w:rsidP="00F372B2">
      <w:pPr>
        <w:spacing w:line="240" w:lineRule="auto"/>
        <w:jc w:val="left"/>
        <w:rPr>
          <w:sz w:val="22"/>
          <w:szCs w:val="22"/>
        </w:rPr>
      </w:pPr>
    </w:p>
    <w:p w14:paraId="3171980F" w14:textId="73081583" w:rsidR="00875034" w:rsidRPr="00875034" w:rsidRDefault="00875034" w:rsidP="00875034">
      <w:pPr>
        <w:spacing w:line="240" w:lineRule="auto"/>
        <w:jc w:val="left"/>
        <w:rPr>
          <w:sz w:val="22"/>
          <w:szCs w:val="22"/>
          <w:u w:val="single"/>
        </w:rPr>
      </w:pPr>
      <w:r w:rsidRPr="00875034">
        <w:rPr>
          <w:sz w:val="22"/>
          <w:szCs w:val="22"/>
          <w:u w:val="single"/>
        </w:rPr>
        <w:t>Sunitinib-AZR 50 mg kemény kapszula</w:t>
      </w:r>
    </w:p>
    <w:p w14:paraId="3B579832" w14:textId="60FCFAE3" w:rsidR="00875034" w:rsidRPr="00875034" w:rsidRDefault="00E62AFF" w:rsidP="00875034">
      <w:pPr>
        <w:tabs>
          <w:tab w:val="left" w:pos="2410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OGYI-T-23892/16</w:t>
      </w:r>
      <w:r>
        <w:rPr>
          <w:sz w:val="22"/>
          <w:szCs w:val="22"/>
        </w:rPr>
        <w:tab/>
        <w:t>28×</w:t>
      </w:r>
      <w:r w:rsidR="00875034">
        <w:rPr>
          <w:sz w:val="22"/>
          <w:szCs w:val="22"/>
        </w:rPr>
        <w:tab/>
      </w:r>
      <w:r w:rsidR="00875034" w:rsidRPr="00875034">
        <w:rPr>
          <w:sz w:val="22"/>
          <w:szCs w:val="22"/>
          <w:lang w:val="en-IE"/>
        </w:rPr>
        <w:t xml:space="preserve">OPA/Al/PE//Al </w:t>
      </w:r>
      <w:r w:rsidR="00875034" w:rsidRPr="00875034">
        <w:rPr>
          <w:sz w:val="22"/>
          <w:szCs w:val="22"/>
        </w:rPr>
        <w:t>lehúzható buborékcsomagolás</w:t>
      </w:r>
    </w:p>
    <w:p w14:paraId="2A7688E3" w14:textId="3A3EA6DB" w:rsidR="00875034" w:rsidRPr="00875034" w:rsidRDefault="00E62AFF" w:rsidP="00E62AFF">
      <w:pPr>
        <w:tabs>
          <w:tab w:val="left" w:pos="2410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OGYI-T-23892/17</w:t>
      </w:r>
      <w:r>
        <w:rPr>
          <w:sz w:val="22"/>
          <w:szCs w:val="22"/>
        </w:rPr>
        <w:tab/>
        <w:t>28×1</w:t>
      </w:r>
      <w:r>
        <w:rPr>
          <w:sz w:val="22"/>
          <w:szCs w:val="22"/>
        </w:rPr>
        <w:tab/>
      </w:r>
      <w:r w:rsidR="00875034" w:rsidRPr="00875034">
        <w:rPr>
          <w:sz w:val="22"/>
          <w:szCs w:val="22"/>
        </w:rPr>
        <w:t>OPA/Al/PE//Al adagonként perforált, lehúzható buborékcsomagolás</w:t>
      </w:r>
    </w:p>
    <w:p w14:paraId="206E3453" w14:textId="3095D626" w:rsidR="00875034" w:rsidRPr="00875034" w:rsidRDefault="00E62AFF" w:rsidP="00E62AFF">
      <w:pPr>
        <w:tabs>
          <w:tab w:val="left" w:pos="2410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OGYI-T-23892/18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</w:r>
      <w:r w:rsidR="00875034" w:rsidRPr="00875034">
        <w:rPr>
          <w:sz w:val="22"/>
          <w:szCs w:val="22"/>
        </w:rPr>
        <w:t>HDPE tartály</w:t>
      </w:r>
    </w:p>
    <w:p w14:paraId="3EDA0F0C" w14:textId="7EBD5FD7" w:rsidR="00875034" w:rsidRPr="00875034" w:rsidRDefault="00E62AFF" w:rsidP="00E62AFF">
      <w:pPr>
        <w:tabs>
          <w:tab w:val="left" w:pos="2410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OGYI-T-23892/19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</w:r>
      <w:r w:rsidR="00875034" w:rsidRPr="00875034">
        <w:rPr>
          <w:sz w:val="22"/>
          <w:szCs w:val="22"/>
          <w:lang w:val="en-IE"/>
        </w:rPr>
        <w:t xml:space="preserve">OPA/Al/PE//Al </w:t>
      </w:r>
      <w:r w:rsidR="00875034" w:rsidRPr="00875034">
        <w:rPr>
          <w:sz w:val="22"/>
          <w:szCs w:val="22"/>
        </w:rPr>
        <w:t>lehúzható buborékcsomagolás</w:t>
      </w:r>
    </w:p>
    <w:p w14:paraId="4E80105B" w14:textId="7ECDAF29" w:rsidR="00875034" w:rsidRPr="00875034" w:rsidRDefault="00E62AFF" w:rsidP="00E62AFF">
      <w:pPr>
        <w:tabs>
          <w:tab w:val="left" w:pos="2410"/>
        </w:tabs>
        <w:jc w:val="left"/>
        <w:rPr>
          <w:sz w:val="22"/>
          <w:szCs w:val="22"/>
        </w:rPr>
      </w:pPr>
      <w:r>
        <w:rPr>
          <w:sz w:val="22"/>
          <w:szCs w:val="22"/>
        </w:rPr>
        <w:t>OGYI-T-23892/20</w:t>
      </w:r>
      <w:r>
        <w:rPr>
          <w:sz w:val="22"/>
          <w:szCs w:val="22"/>
        </w:rPr>
        <w:tab/>
        <w:t>30×1</w:t>
      </w:r>
      <w:r>
        <w:rPr>
          <w:sz w:val="22"/>
          <w:szCs w:val="22"/>
        </w:rPr>
        <w:tab/>
      </w:r>
      <w:r w:rsidR="00875034" w:rsidRPr="00875034">
        <w:rPr>
          <w:sz w:val="22"/>
          <w:szCs w:val="22"/>
        </w:rPr>
        <w:t>OPA/Al/PE//Al adagonként perforált, lehúzható buborékcsomagolás</w:t>
      </w:r>
    </w:p>
    <w:p w14:paraId="182E486A" w14:textId="77777777" w:rsidR="00875034" w:rsidRPr="00445457" w:rsidRDefault="00875034" w:rsidP="00F372B2">
      <w:pPr>
        <w:spacing w:line="240" w:lineRule="auto"/>
        <w:jc w:val="left"/>
        <w:rPr>
          <w:sz w:val="22"/>
          <w:szCs w:val="22"/>
        </w:rPr>
      </w:pPr>
    </w:p>
    <w:p w14:paraId="53290B60" w14:textId="77777777" w:rsidR="00821515" w:rsidRPr="00445457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68A654BD" w14:textId="719821E5" w:rsidR="00821515" w:rsidRDefault="00C601AF" w:rsidP="00F372B2">
      <w:pPr>
        <w:pStyle w:val="Cmsor1"/>
        <w:tabs>
          <w:tab w:val="clear" w:pos="1140"/>
        </w:tabs>
        <w:spacing w:after="0" w:line="240" w:lineRule="auto"/>
        <w:ind w:left="0" w:firstLine="0"/>
        <w:jc w:val="left"/>
        <w:rPr>
          <w:caps/>
          <w:sz w:val="22"/>
        </w:rPr>
      </w:pPr>
      <w:r>
        <w:rPr>
          <w:caps/>
          <w:sz w:val="22"/>
        </w:rPr>
        <w:t>9.</w:t>
      </w:r>
      <w:r>
        <w:rPr>
          <w:caps/>
          <w:sz w:val="22"/>
        </w:rPr>
        <w:tab/>
      </w:r>
      <w:r w:rsidR="00C92F76">
        <w:rPr>
          <w:caps/>
          <w:sz w:val="22"/>
        </w:rPr>
        <w:t>A forgalomba hozatali engedély első kiadásának/ megújításának dátuma</w:t>
      </w:r>
    </w:p>
    <w:p w14:paraId="74595044" w14:textId="77777777" w:rsidR="00C601AF" w:rsidRPr="00C601AF" w:rsidRDefault="00C601AF" w:rsidP="00F372B2">
      <w:pPr>
        <w:rPr>
          <w:sz w:val="22"/>
          <w:szCs w:val="22"/>
        </w:rPr>
      </w:pPr>
    </w:p>
    <w:p w14:paraId="500DC1F5" w14:textId="483CACEB" w:rsidR="00821515" w:rsidRPr="00445457" w:rsidRDefault="00C92F76" w:rsidP="00F372B2">
      <w:pPr>
        <w:autoSpaceDE w:val="0"/>
        <w:autoSpaceDN w:val="0"/>
        <w:adjustRightInd w:val="0"/>
        <w:spacing w:line="240" w:lineRule="auto"/>
        <w:jc w:val="left"/>
        <w:rPr>
          <w:sz w:val="22"/>
          <w:szCs w:val="22"/>
        </w:rPr>
      </w:pPr>
      <w:r>
        <w:rPr>
          <w:sz w:val="22"/>
        </w:rPr>
        <w:t xml:space="preserve">A forgalomba hozatali engedély első kiadásának dátuma: </w:t>
      </w:r>
      <w:r w:rsidR="00BC71E5">
        <w:rPr>
          <w:sz w:val="22"/>
        </w:rPr>
        <w:t>2021.</w:t>
      </w:r>
      <w:r w:rsidR="00875034">
        <w:rPr>
          <w:sz w:val="22"/>
        </w:rPr>
        <w:t xml:space="preserve"> június 8.</w:t>
      </w:r>
    </w:p>
    <w:p w14:paraId="3AD6B20A" w14:textId="77777777" w:rsidR="00821515" w:rsidRPr="00445457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597901E6" w14:textId="77777777" w:rsidR="00682767" w:rsidRPr="00445457" w:rsidRDefault="00682767" w:rsidP="00F372B2">
      <w:pPr>
        <w:spacing w:line="240" w:lineRule="auto"/>
        <w:jc w:val="left"/>
        <w:rPr>
          <w:sz w:val="22"/>
          <w:szCs w:val="22"/>
        </w:rPr>
      </w:pPr>
    </w:p>
    <w:p w14:paraId="124AAD59" w14:textId="263639E6" w:rsidR="00821515" w:rsidRPr="00445457" w:rsidRDefault="00C601AF" w:rsidP="00F372B2">
      <w:pPr>
        <w:pStyle w:val="Cmsor1"/>
        <w:tabs>
          <w:tab w:val="clear" w:pos="1140"/>
        </w:tabs>
        <w:spacing w:after="0" w:line="240" w:lineRule="auto"/>
        <w:ind w:left="0" w:firstLine="0"/>
        <w:jc w:val="left"/>
        <w:rPr>
          <w:sz w:val="22"/>
          <w:szCs w:val="22"/>
        </w:rPr>
      </w:pPr>
      <w:r>
        <w:rPr>
          <w:caps/>
          <w:sz w:val="22"/>
        </w:rPr>
        <w:t>10.</w:t>
      </w:r>
      <w:r>
        <w:rPr>
          <w:caps/>
          <w:sz w:val="22"/>
        </w:rPr>
        <w:tab/>
      </w:r>
      <w:r w:rsidR="00C92F76">
        <w:rPr>
          <w:caps/>
          <w:sz w:val="22"/>
        </w:rPr>
        <w:t>A SZÖVEG ELLENŐRZÉSÉNEK DÁTUMA</w:t>
      </w:r>
    </w:p>
    <w:p w14:paraId="63B940B4" w14:textId="77777777" w:rsidR="00821515" w:rsidRPr="00445457" w:rsidRDefault="00821515" w:rsidP="00F372B2">
      <w:pPr>
        <w:spacing w:line="240" w:lineRule="auto"/>
        <w:jc w:val="left"/>
        <w:rPr>
          <w:sz w:val="22"/>
          <w:szCs w:val="22"/>
        </w:rPr>
      </w:pPr>
    </w:p>
    <w:p w14:paraId="54F428BC" w14:textId="4A5DA9B4" w:rsidR="00821515" w:rsidRPr="00445457" w:rsidRDefault="00BC71E5" w:rsidP="00F372B2">
      <w:pPr>
        <w:jc w:val="left"/>
        <w:rPr>
          <w:sz w:val="22"/>
          <w:szCs w:val="22"/>
        </w:rPr>
      </w:pPr>
      <w:r>
        <w:rPr>
          <w:sz w:val="22"/>
          <w:szCs w:val="22"/>
        </w:rPr>
        <w:t>2021.</w:t>
      </w:r>
      <w:r w:rsidR="00875034">
        <w:rPr>
          <w:sz w:val="22"/>
          <w:szCs w:val="22"/>
        </w:rPr>
        <w:t xml:space="preserve"> június 8.</w:t>
      </w:r>
    </w:p>
    <w:sectPr w:rsidR="00821515" w:rsidRPr="00445457" w:rsidSect="00F372B2">
      <w:headerReference w:type="default" r:id="rId13"/>
      <w:footerReference w:type="first" r:id="rId14"/>
      <w:pgSz w:w="11907" w:h="16839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1D4DE1" w14:textId="77777777" w:rsidR="00875034" w:rsidRDefault="00875034">
      <w:pPr>
        <w:spacing w:line="240" w:lineRule="auto"/>
      </w:pPr>
      <w:r>
        <w:separator/>
      </w:r>
    </w:p>
  </w:endnote>
  <w:endnote w:type="continuationSeparator" w:id="0">
    <w:p w14:paraId="29F8F4C8" w14:textId="77777777" w:rsidR="00875034" w:rsidRDefault="008750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8FAC2" w14:textId="77777777" w:rsidR="00875034" w:rsidRPr="0091490E" w:rsidRDefault="00875034" w:rsidP="00813957">
    <w:pPr>
      <w:pStyle w:val="llb"/>
      <w:rPr>
        <w:sz w:val="18"/>
        <w:szCs w:val="18"/>
      </w:rPr>
    </w:pPr>
    <w:r w:rsidRPr="0091490E">
      <w:rPr>
        <w:sz w:val="18"/>
        <w:szCs w:val="18"/>
      </w:rPr>
      <w:t>OGYÉI/78916/2019</w:t>
    </w:r>
  </w:p>
  <w:p w14:paraId="6308B792" w14:textId="77777777" w:rsidR="00875034" w:rsidRPr="0091490E" w:rsidRDefault="00875034" w:rsidP="00813957">
    <w:pPr>
      <w:pStyle w:val="llb"/>
      <w:rPr>
        <w:sz w:val="18"/>
        <w:szCs w:val="18"/>
      </w:rPr>
    </w:pPr>
    <w:r w:rsidRPr="0091490E">
      <w:rPr>
        <w:sz w:val="18"/>
        <w:szCs w:val="18"/>
      </w:rPr>
      <w:t>OGYÉI/78921/2019</w:t>
    </w:r>
  </w:p>
  <w:p w14:paraId="607746BC" w14:textId="77777777" w:rsidR="00875034" w:rsidRPr="0091490E" w:rsidRDefault="00875034" w:rsidP="00813957">
    <w:pPr>
      <w:pStyle w:val="llb"/>
      <w:rPr>
        <w:sz w:val="18"/>
        <w:szCs w:val="18"/>
      </w:rPr>
    </w:pPr>
    <w:r w:rsidRPr="0091490E">
      <w:rPr>
        <w:sz w:val="18"/>
        <w:szCs w:val="18"/>
      </w:rPr>
      <w:t>OGYÉI/78922/2019</w:t>
    </w:r>
  </w:p>
  <w:p w14:paraId="7C42B288" w14:textId="3E6D09D1" w:rsidR="00875034" w:rsidRPr="0091490E" w:rsidRDefault="00875034">
    <w:pPr>
      <w:pStyle w:val="llb"/>
      <w:rPr>
        <w:sz w:val="18"/>
        <w:szCs w:val="18"/>
      </w:rPr>
    </w:pPr>
    <w:r w:rsidRPr="0091490E">
      <w:rPr>
        <w:sz w:val="18"/>
        <w:szCs w:val="18"/>
      </w:rPr>
      <w:t>OGYÉI/78924/2019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6E54E" w14:textId="77777777" w:rsidR="00875034" w:rsidRDefault="00875034">
      <w:pPr>
        <w:spacing w:line="240" w:lineRule="auto"/>
      </w:pPr>
      <w:r>
        <w:separator/>
      </w:r>
    </w:p>
  </w:footnote>
  <w:footnote w:type="continuationSeparator" w:id="0">
    <w:p w14:paraId="7C247AC4" w14:textId="77777777" w:rsidR="00875034" w:rsidRDefault="0087503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633832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696CCA2" w14:textId="699C17D0" w:rsidR="00875034" w:rsidRPr="00F372B2" w:rsidRDefault="00875034">
        <w:pPr>
          <w:pStyle w:val="lfej"/>
          <w:jc w:val="center"/>
          <w:rPr>
            <w:sz w:val="18"/>
            <w:szCs w:val="18"/>
          </w:rPr>
        </w:pPr>
        <w:r w:rsidRPr="00F372B2">
          <w:rPr>
            <w:sz w:val="18"/>
            <w:szCs w:val="18"/>
          </w:rPr>
          <w:fldChar w:fldCharType="begin"/>
        </w:r>
        <w:r w:rsidRPr="00F372B2">
          <w:rPr>
            <w:sz w:val="18"/>
            <w:szCs w:val="18"/>
          </w:rPr>
          <w:instrText>PAGE   \* MERGEFORMAT</w:instrText>
        </w:r>
        <w:r w:rsidRPr="00F372B2">
          <w:rPr>
            <w:sz w:val="18"/>
            <w:szCs w:val="18"/>
          </w:rPr>
          <w:fldChar w:fldCharType="separate"/>
        </w:r>
        <w:r w:rsidR="00EC5DDA">
          <w:rPr>
            <w:noProof/>
            <w:sz w:val="18"/>
            <w:szCs w:val="18"/>
          </w:rPr>
          <w:t>20</w:t>
        </w:r>
        <w:r w:rsidRPr="00F372B2">
          <w:rPr>
            <w:sz w:val="18"/>
            <w:szCs w:val="18"/>
          </w:rPr>
          <w:fldChar w:fldCharType="end"/>
        </w:r>
      </w:p>
    </w:sdtContent>
  </w:sdt>
  <w:p w14:paraId="5A5AA519" w14:textId="77777777" w:rsidR="00875034" w:rsidRDefault="0087503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1508C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7DA85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BC5EDF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F42239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EB41BA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F90447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4C34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9347ED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26CF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1C3229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3C679A"/>
    <w:multiLevelType w:val="hybridMultilevel"/>
    <w:tmpl w:val="E0D04204"/>
    <w:lvl w:ilvl="0" w:tplc="FFFFFFFF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09775D00"/>
    <w:multiLevelType w:val="hybridMultilevel"/>
    <w:tmpl w:val="5EB6C9FE"/>
    <w:lvl w:ilvl="0" w:tplc="FFFFFFFF">
      <w:start w:val="1"/>
      <w:numFmt w:val="bullet"/>
      <w:lvlRestart w:val="0"/>
      <w:pStyle w:val="Felsorols2"/>
      <w:lvlText w:val="–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037516"/>
    <w:multiLevelType w:val="hybridMultilevel"/>
    <w:tmpl w:val="5ACEE360"/>
    <w:lvl w:ilvl="0" w:tplc="FFFFFFFF">
      <w:start w:val="1"/>
      <w:numFmt w:val="upperLetter"/>
      <w:lvlText w:val="%1."/>
      <w:lvlJc w:val="left"/>
      <w:pPr>
        <w:ind w:left="20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FFFFFFFF">
      <w:start w:val="1"/>
      <w:numFmt w:val="lowerLetter"/>
      <w:lvlText w:val="%2"/>
      <w:lvlJc w:val="left"/>
      <w:pPr>
        <w:ind w:left="20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FFFFFFFF">
      <w:start w:val="1"/>
      <w:numFmt w:val="lowerRoman"/>
      <w:lvlText w:val="%3"/>
      <w:lvlJc w:val="left"/>
      <w:pPr>
        <w:ind w:left="27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FFFFFFFF">
      <w:start w:val="1"/>
      <w:numFmt w:val="decimal"/>
      <w:lvlText w:val="%4"/>
      <w:lvlJc w:val="left"/>
      <w:pPr>
        <w:ind w:left="35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FFFFFFFF">
      <w:start w:val="1"/>
      <w:numFmt w:val="lowerLetter"/>
      <w:lvlText w:val="%5"/>
      <w:lvlJc w:val="left"/>
      <w:pPr>
        <w:ind w:left="42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FFFFFFFF">
      <w:start w:val="1"/>
      <w:numFmt w:val="lowerRoman"/>
      <w:lvlText w:val="%6"/>
      <w:lvlJc w:val="left"/>
      <w:pPr>
        <w:ind w:left="49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FFFFFFFF">
      <w:start w:val="1"/>
      <w:numFmt w:val="decimal"/>
      <w:lvlText w:val="%7"/>
      <w:lvlJc w:val="left"/>
      <w:pPr>
        <w:ind w:left="56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FFFFFFFF">
      <w:start w:val="1"/>
      <w:numFmt w:val="lowerLetter"/>
      <w:lvlText w:val="%8"/>
      <w:lvlJc w:val="left"/>
      <w:pPr>
        <w:ind w:left="63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FFFFFFFF">
      <w:start w:val="1"/>
      <w:numFmt w:val="lowerRoman"/>
      <w:lvlText w:val="%9"/>
      <w:lvlJc w:val="left"/>
      <w:pPr>
        <w:ind w:left="71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13" w15:restartNumberingAfterBreak="0">
    <w:nsid w:val="13C10BF8"/>
    <w:multiLevelType w:val="hybridMultilevel"/>
    <w:tmpl w:val="1EDAE706"/>
    <w:lvl w:ilvl="0" w:tplc="FFFFFFFF">
      <w:start w:val="1"/>
      <w:numFmt w:val="decimal"/>
      <w:lvlRestart w:val="0"/>
      <w:pStyle w:val="Szmozottlista2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87A3998"/>
    <w:multiLevelType w:val="hybridMultilevel"/>
    <w:tmpl w:val="95CE8D50"/>
    <w:lvl w:ilvl="0" w:tplc="FFFFFFFF">
      <w:start w:val="1"/>
      <w:numFmt w:val="bullet"/>
      <w:lvlRestart w:val="0"/>
      <w:pStyle w:val="Felsorols4"/>
      <w:lvlText w:val="–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045706"/>
    <w:multiLevelType w:val="hybridMultilevel"/>
    <w:tmpl w:val="79149308"/>
    <w:lvl w:ilvl="0" w:tplc="FFFFFFFF">
      <w:start w:val="1"/>
      <w:numFmt w:val="decimal"/>
      <w:lvlRestart w:val="0"/>
      <w:pStyle w:val="Szmozottlista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9F741DB"/>
    <w:multiLevelType w:val="hybridMultilevel"/>
    <w:tmpl w:val="44284896"/>
    <w:lvl w:ilvl="0" w:tplc="FFFFFFFF">
      <w:start w:val="1"/>
      <w:numFmt w:val="decimal"/>
      <w:lvlRestart w:val="0"/>
      <w:pStyle w:val="Szmozottlista5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9FC08C0"/>
    <w:multiLevelType w:val="hybridMultilevel"/>
    <w:tmpl w:val="CF187BC8"/>
    <w:lvl w:ilvl="0" w:tplc="FFFFFFF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8" w15:restartNumberingAfterBreak="0">
    <w:nsid w:val="1BC9262C"/>
    <w:multiLevelType w:val="hybridMultilevel"/>
    <w:tmpl w:val="1FB6E7F2"/>
    <w:lvl w:ilvl="0" w:tplc="FFFFFFFF">
      <w:start w:val="1"/>
      <w:numFmt w:val="decimal"/>
      <w:lvlRestart w:val="0"/>
      <w:pStyle w:val="Szmozottlista3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1FC02FCD"/>
    <w:multiLevelType w:val="hybridMultilevel"/>
    <w:tmpl w:val="1E1A0D94"/>
    <w:lvl w:ilvl="0" w:tplc="FFFFFFFF">
      <w:start w:val="1"/>
      <w:numFmt w:val="bullet"/>
      <w:lvlRestart w:val="0"/>
      <w:pStyle w:val="Felsorols3"/>
      <w:lvlText w:val="–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21389C"/>
    <w:multiLevelType w:val="hybridMultilevel"/>
    <w:tmpl w:val="120485BA"/>
    <w:lvl w:ilvl="0" w:tplc="FFFFFFFF">
      <w:start w:val="1"/>
      <w:numFmt w:val="bullet"/>
      <w:lvlText w:val="o"/>
      <w:lvlJc w:val="left"/>
      <w:pPr>
        <w:ind w:left="2355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21" w15:restartNumberingAfterBreak="0">
    <w:nsid w:val="293055B5"/>
    <w:multiLevelType w:val="hybridMultilevel"/>
    <w:tmpl w:val="9C26D116"/>
    <w:lvl w:ilvl="0" w:tplc="FFFFFFFF">
      <w:start w:val="1"/>
      <w:numFmt w:val="bullet"/>
      <w:lvlRestart w:val="0"/>
      <w:pStyle w:val="Felsorols"/>
      <w:lvlText w:val="–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3B3F13"/>
    <w:multiLevelType w:val="hybridMultilevel"/>
    <w:tmpl w:val="1438105A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C62EDA"/>
    <w:multiLevelType w:val="hybridMultilevel"/>
    <w:tmpl w:val="CB283FEC"/>
    <w:lvl w:ilvl="0" w:tplc="ADC010E6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412C3"/>
    <w:multiLevelType w:val="hybridMultilevel"/>
    <w:tmpl w:val="6F3E1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B315A1"/>
    <w:multiLevelType w:val="hybridMultilevel"/>
    <w:tmpl w:val="CBEEE0B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79A24B6"/>
    <w:multiLevelType w:val="hybridMultilevel"/>
    <w:tmpl w:val="0D2E12BC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7DC1841"/>
    <w:multiLevelType w:val="hybridMultilevel"/>
    <w:tmpl w:val="3FF275DE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8E251EE"/>
    <w:multiLevelType w:val="hybridMultilevel"/>
    <w:tmpl w:val="BD3AD10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661A90"/>
    <w:multiLevelType w:val="hybridMultilevel"/>
    <w:tmpl w:val="83B64A6A"/>
    <w:lvl w:ilvl="0" w:tplc="FFFFFFFF">
      <w:start w:val="1"/>
      <w:numFmt w:val="decimal"/>
      <w:lvlRestart w:val="0"/>
      <w:pStyle w:val="Szmozottlista4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6066BF0"/>
    <w:multiLevelType w:val="hybridMultilevel"/>
    <w:tmpl w:val="2530E978"/>
    <w:lvl w:ilvl="0" w:tplc="FFFFFFFF">
      <w:start w:val="1"/>
      <w:numFmt w:val="bullet"/>
      <w:lvlRestart w:val="0"/>
      <w:pStyle w:val="Felsorols5"/>
      <w:lvlText w:val="–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AF2C86"/>
    <w:multiLevelType w:val="hybridMultilevel"/>
    <w:tmpl w:val="7F28C036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A842EC"/>
    <w:multiLevelType w:val="hybridMultilevel"/>
    <w:tmpl w:val="1E6A4DE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8E3FBC"/>
    <w:multiLevelType w:val="multilevel"/>
    <w:tmpl w:val="39362620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cs="Times New Roman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140"/>
        </w:tabs>
        <w:ind w:left="1140" w:hanging="11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140"/>
        </w:tabs>
        <w:ind w:left="1140" w:hanging="11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140"/>
        </w:tabs>
        <w:ind w:left="1140" w:hanging="1140"/>
      </w:pPr>
      <w:rPr>
        <w:rFonts w:cs="Times New Roman"/>
      </w:rPr>
    </w:lvl>
  </w:abstractNum>
  <w:abstractNum w:abstractNumId="34" w15:restartNumberingAfterBreak="0">
    <w:nsid w:val="73665E7E"/>
    <w:multiLevelType w:val="hybridMultilevel"/>
    <w:tmpl w:val="818AEB3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786346C7"/>
    <w:multiLevelType w:val="hybridMultilevel"/>
    <w:tmpl w:val="0AF4A2B4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EA55C99"/>
    <w:multiLevelType w:val="hybridMultilevel"/>
    <w:tmpl w:val="28AA605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3"/>
  </w:num>
  <w:num w:numId="22">
    <w:abstractNumId w:val="21"/>
  </w:num>
  <w:num w:numId="23">
    <w:abstractNumId w:val="11"/>
  </w:num>
  <w:num w:numId="24">
    <w:abstractNumId w:val="19"/>
  </w:num>
  <w:num w:numId="25">
    <w:abstractNumId w:val="14"/>
  </w:num>
  <w:num w:numId="26">
    <w:abstractNumId w:val="30"/>
  </w:num>
  <w:num w:numId="27">
    <w:abstractNumId w:val="15"/>
  </w:num>
  <w:num w:numId="28">
    <w:abstractNumId w:val="13"/>
  </w:num>
  <w:num w:numId="29">
    <w:abstractNumId w:val="18"/>
  </w:num>
  <w:num w:numId="30">
    <w:abstractNumId w:val="29"/>
  </w:num>
  <w:num w:numId="31">
    <w:abstractNumId w:val="16"/>
  </w:num>
  <w:num w:numId="32">
    <w:abstractNumId w:val="32"/>
  </w:num>
  <w:num w:numId="33">
    <w:abstractNumId w:val="28"/>
  </w:num>
  <w:num w:numId="34">
    <w:abstractNumId w:val="33"/>
  </w:num>
  <w:num w:numId="35">
    <w:abstractNumId w:val="34"/>
  </w:num>
  <w:num w:numId="36">
    <w:abstractNumId w:val="25"/>
  </w:num>
  <w:num w:numId="37">
    <w:abstractNumId w:val="36"/>
  </w:num>
  <w:num w:numId="38">
    <w:abstractNumId w:val="31"/>
  </w:num>
  <w:num w:numId="39">
    <w:abstractNumId w:val="35"/>
  </w:num>
  <w:num w:numId="40">
    <w:abstractNumId w:val="17"/>
  </w:num>
  <w:num w:numId="41">
    <w:abstractNumId w:val="20"/>
  </w:num>
  <w:num w:numId="42">
    <w:abstractNumId w:val="22"/>
  </w:num>
  <w:num w:numId="43">
    <w:abstractNumId w:val="26"/>
  </w:num>
  <w:num w:numId="44">
    <w:abstractNumId w:val="10"/>
  </w:num>
  <w:num w:numId="45">
    <w:abstractNumId w:val="27"/>
  </w:num>
  <w:num w:numId="46">
    <w:abstractNumId w:val="1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3"/>
  </w:num>
  <w:num w:numId="49">
    <w:abstractNumId w:val="2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C6"/>
    <w:rsid w:val="0000552B"/>
    <w:rsid w:val="00022BB8"/>
    <w:rsid w:val="00036D43"/>
    <w:rsid w:val="00040A0D"/>
    <w:rsid w:val="000456DE"/>
    <w:rsid w:val="00053325"/>
    <w:rsid w:val="00072651"/>
    <w:rsid w:val="000800D6"/>
    <w:rsid w:val="000C5397"/>
    <w:rsid w:val="000C6813"/>
    <w:rsid w:val="000E407A"/>
    <w:rsid w:val="00136ECB"/>
    <w:rsid w:val="00154346"/>
    <w:rsid w:val="0018655A"/>
    <w:rsid w:val="00193028"/>
    <w:rsid w:val="001D1D33"/>
    <w:rsid w:val="001E0692"/>
    <w:rsid w:val="002201B3"/>
    <w:rsid w:val="00233F5E"/>
    <w:rsid w:val="0024610B"/>
    <w:rsid w:val="00286885"/>
    <w:rsid w:val="0029390F"/>
    <w:rsid w:val="002B3C4E"/>
    <w:rsid w:val="002B585B"/>
    <w:rsid w:val="002F14A2"/>
    <w:rsid w:val="00312D5A"/>
    <w:rsid w:val="00334505"/>
    <w:rsid w:val="0034700A"/>
    <w:rsid w:val="0037101A"/>
    <w:rsid w:val="003A14EC"/>
    <w:rsid w:val="003D32E2"/>
    <w:rsid w:val="003F03A1"/>
    <w:rsid w:val="003F79D4"/>
    <w:rsid w:val="00407171"/>
    <w:rsid w:val="00421D14"/>
    <w:rsid w:val="00445457"/>
    <w:rsid w:val="0044561F"/>
    <w:rsid w:val="0045599E"/>
    <w:rsid w:val="00471005"/>
    <w:rsid w:val="00471C90"/>
    <w:rsid w:val="00482284"/>
    <w:rsid w:val="004A29FB"/>
    <w:rsid w:val="004B00AB"/>
    <w:rsid w:val="004E5287"/>
    <w:rsid w:val="00532902"/>
    <w:rsid w:val="00532BBA"/>
    <w:rsid w:val="00536232"/>
    <w:rsid w:val="00543DC0"/>
    <w:rsid w:val="00562E12"/>
    <w:rsid w:val="00566301"/>
    <w:rsid w:val="005D411E"/>
    <w:rsid w:val="005E3DCE"/>
    <w:rsid w:val="005F28FE"/>
    <w:rsid w:val="005F2B47"/>
    <w:rsid w:val="00631179"/>
    <w:rsid w:val="00645695"/>
    <w:rsid w:val="00655557"/>
    <w:rsid w:val="00682767"/>
    <w:rsid w:val="00696603"/>
    <w:rsid w:val="006E531D"/>
    <w:rsid w:val="006F646A"/>
    <w:rsid w:val="00705699"/>
    <w:rsid w:val="00724E0F"/>
    <w:rsid w:val="007262C6"/>
    <w:rsid w:val="00734B8E"/>
    <w:rsid w:val="007501FB"/>
    <w:rsid w:val="00772C97"/>
    <w:rsid w:val="007941D3"/>
    <w:rsid w:val="007C15C6"/>
    <w:rsid w:val="007D149C"/>
    <w:rsid w:val="007F1736"/>
    <w:rsid w:val="008071A1"/>
    <w:rsid w:val="00813957"/>
    <w:rsid w:val="00821515"/>
    <w:rsid w:val="0084446C"/>
    <w:rsid w:val="00872D6B"/>
    <w:rsid w:val="00875034"/>
    <w:rsid w:val="00890847"/>
    <w:rsid w:val="008B4E6D"/>
    <w:rsid w:val="008D6C4C"/>
    <w:rsid w:val="0091490E"/>
    <w:rsid w:val="009161E2"/>
    <w:rsid w:val="0092007E"/>
    <w:rsid w:val="00934508"/>
    <w:rsid w:val="00935A5E"/>
    <w:rsid w:val="00954911"/>
    <w:rsid w:val="009574C9"/>
    <w:rsid w:val="00977D28"/>
    <w:rsid w:val="0099185A"/>
    <w:rsid w:val="009E4FDA"/>
    <w:rsid w:val="009E7B07"/>
    <w:rsid w:val="00A07813"/>
    <w:rsid w:val="00A12F76"/>
    <w:rsid w:val="00A2086F"/>
    <w:rsid w:val="00A27DD2"/>
    <w:rsid w:val="00A40CA8"/>
    <w:rsid w:val="00A714C7"/>
    <w:rsid w:val="00A72CAD"/>
    <w:rsid w:val="00A95FF2"/>
    <w:rsid w:val="00AD5F8B"/>
    <w:rsid w:val="00AE5223"/>
    <w:rsid w:val="00B00CA3"/>
    <w:rsid w:val="00B02BF9"/>
    <w:rsid w:val="00B06304"/>
    <w:rsid w:val="00B4026F"/>
    <w:rsid w:val="00B42F4D"/>
    <w:rsid w:val="00B50CE4"/>
    <w:rsid w:val="00B50D4B"/>
    <w:rsid w:val="00B609B8"/>
    <w:rsid w:val="00B77182"/>
    <w:rsid w:val="00BB067D"/>
    <w:rsid w:val="00BB4256"/>
    <w:rsid w:val="00BB7A14"/>
    <w:rsid w:val="00BC71E5"/>
    <w:rsid w:val="00BE0EBF"/>
    <w:rsid w:val="00BE50E9"/>
    <w:rsid w:val="00C12D99"/>
    <w:rsid w:val="00C1798B"/>
    <w:rsid w:val="00C23536"/>
    <w:rsid w:val="00C601AF"/>
    <w:rsid w:val="00C92F76"/>
    <w:rsid w:val="00CB3C47"/>
    <w:rsid w:val="00CC5016"/>
    <w:rsid w:val="00CF27FD"/>
    <w:rsid w:val="00D2232E"/>
    <w:rsid w:val="00D31813"/>
    <w:rsid w:val="00D36EBE"/>
    <w:rsid w:val="00D53F3C"/>
    <w:rsid w:val="00D55988"/>
    <w:rsid w:val="00D61D82"/>
    <w:rsid w:val="00D751E0"/>
    <w:rsid w:val="00D81E9F"/>
    <w:rsid w:val="00D94DC6"/>
    <w:rsid w:val="00DC3BB6"/>
    <w:rsid w:val="00DC6831"/>
    <w:rsid w:val="00DC7E48"/>
    <w:rsid w:val="00DE10D3"/>
    <w:rsid w:val="00DF022D"/>
    <w:rsid w:val="00E06C02"/>
    <w:rsid w:val="00E13DD7"/>
    <w:rsid w:val="00E61838"/>
    <w:rsid w:val="00E62AFF"/>
    <w:rsid w:val="00E63EC1"/>
    <w:rsid w:val="00E679D9"/>
    <w:rsid w:val="00E9384D"/>
    <w:rsid w:val="00EC5DDA"/>
    <w:rsid w:val="00EE2E0B"/>
    <w:rsid w:val="00EE5A38"/>
    <w:rsid w:val="00F13459"/>
    <w:rsid w:val="00F372B2"/>
    <w:rsid w:val="00F37CBA"/>
    <w:rsid w:val="00F42D79"/>
    <w:rsid w:val="00F465A6"/>
    <w:rsid w:val="00F804C3"/>
    <w:rsid w:val="00FA56F3"/>
    <w:rsid w:val="00FA654E"/>
    <w:rsid w:val="00FF1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36968F98"/>
  <w14:defaultImageDpi w14:val="0"/>
  <w15:docId w15:val="{4328A406-E813-4707-AB2A-2639C99B5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iPriority="0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line="260" w:lineRule="exact"/>
      <w:jc w:val="both"/>
    </w:pPr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pPr>
      <w:keepNext/>
      <w:tabs>
        <w:tab w:val="num" w:pos="1140"/>
      </w:tabs>
      <w:spacing w:after="120"/>
      <w:ind w:left="1140" w:hanging="1140"/>
      <w:outlineLvl w:val="0"/>
    </w:pPr>
    <w:rPr>
      <w:b/>
      <w:bCs/>
      <w:szCs w:val="32"/>
    </w:rPr>
  </w:style>
  <w:style w:type="paragraph" w:styleId="Cmsor2">
    <w:name w:val="heading 2"/>
    <w:basedOn w:val="Cmsor1"/>
    <w:next w:val="Norml"/>
    <w:link w:val="Cmsor2Char"/>
    <w:uiPriority w:val="9"/>
    <w:qFormat/>
    <w:pPr>
      <w:numPr>
        <w:ilvl w:val="1"/>
      </w:numPr>
      <w:tabs>
        <w:tab w:val="num" w:pos="1140"/>
      </w:tabs>
      <w:ind w:left="1140" w:hanging="1140"/>
      <w:outlineLvl w:val="1"/>
    </w:pPr>
    <w:rPr>
      <w:bCs w:val="0"/>
      <w:iCs/>
      <w:szCs w:val="28"/>
    </w:rPr>
  </w:style>
  <w:style w:type="paragraph" w:styleId="Cmsor3">
    <w:name w:val="heading 3"/>
    <w:basedOn w:val="Cmsor2"/>
    <w:next w:val="Norml"/>
    <w:link w:val="Cmsor3Char"/>
    <w:uiPriority w:val="9"/>
    <w:qFormat/>
    <w:pPr>
      <w:numPr>
        <w:ilvl w:val="2"/>
      </w:numPr>
      <w:tabs>
        <w:tab w:val="num" w:pos="1140"/>
      </w:tabs>
      <w:ind w:left="1140" w:hanging="1140"/>
      <w:outlineLvl w:val="2"/>
    </w:pPr>
    <w:rPr>
      <w:bCs/>
      <w:szCs w:val="26"/>
    </w:rPr>
  </w:style>
  <w:style w:type="paragraph" w:styleId="Cmsor4">
    <w:name w:val="heading 4"/>
    <w:basedOn w:val="Cmsor2"/>
    <w:next w:val="Norml"/>
    <w:link w:val="Cmsor4Char"/>
    <w:uiPriority w:val="9"/>
    <w:qFormat/>
    <w:pPr>
      <w:numPr>
        <w:ilvl w:val="3"/>
      </w:numPr>
      <w:tabs>
        <w:tab w:val="num" w:pos="1140"/>
      </w:tabs>
      <w:ind w:left="1140" w:hanging="1140"/>
      <w:outlineLvl w:val="3"/>
    </w:pPr>
    <w:rPr>
      <w:bCs/>
    </w:rPr>
  </w:style>
  <w:style w:type="paragraph" w:styleId="Cmsor5">
    <w:name w:val="heading 5"/>
    <w:basedOn w:val="Cmsor2"/>
    <w:next w:val="Norml"/>
    <w:link w:val="Cmsor5Char"/>
    <w:uiPriority w:val="9"/>
    <w:qFormat/>
    <w:pPr>
      <w:numPr>
        <w:ilvl w:val="4"/>
      </w:numPr>
      <w:tabs>
        <w:tab w:val="num" w:pos="1140"/>
      </w:tabs>
      <w:ind w:left="1140" w:hanging="1140"/>
      <w:outlineLvl w:val="4"/>
    </w:pPr>
    <w:rPr>
      <w:bCs/>
      <w:iCs w:val="0"/>
      <w:szCs w:val="26"/>
    </w:rPr>
  </w:style>
  <w:style w:type="paragraph" w:styleId="Cmsor6">
    <w:name w:val="heading 6"/>
    <w:basedOn w:val="Cmsor2"/>
    <w:next w:val="Norml"/>
    <w:link w:val="Cmsor6Char"/>
    <w:uiPriority w:val="9"/>
    <w:qFormat/>
    <w:pPr>
      <w:numPr>
        <w:ilvl w:val="5"/>
      </w:numPr>
      <w:tabs>
        <w:tab w:val="num" w:pos="1140"/>
      </w:tabs>
      <w:ind w:left="1140" w:hanging="1140"/>
      <w:outlineLvl w:val="5"/>
    </w:pPr>
    <w:rPr>
      <w:bCs/>
      <w:szCs w:val="22"/>
    </w:rPr>
  </w:style>
  <w:style w:type="paragraph" w:styleId="Cmsor7">
    <w:name w:val="heading 7"/>
    <w:basedOn w:val="Cmsor2"/>
    <w:next w:val="Norml"/>
    <w:link w:val="Cmsor7Char"/>
    <w:uiPriority w:val="9"/>
    <w:qFormat/>
    <w:pPr>
      <w:numPr>
        <w:ilvl w:val="6"/>
      </w:numPr>
      <w:tabs>
        <w:tab w:val="num" w:pos="1140"/>
      </w:tabs>
      <w:ind w:left="1140" w:hanging="1140"/>
      <w:outlineLvl w:val="6"/>
    </w:pPr>
  </w:style>
  <w:style w:type="paragraph" w:styleId="Cmsor8">
    <w:name w:val="heading 8"/>
    <w:basedOn w:val="Cmsor2"/>
    <w:next w:val="Norml"/>
    <w:link w:val="Cmsor8Char"/>
    <w:uiPriority w:val="9"/>
    <w:qFormat/>
    <w:pPr>
      <w:numPr>
        <w:ilvl w:val="7"/>
      </w:numPr>
      <w:tabs>
        <w:tab w:val="num" w:pos="1140"/>
      </w:tabs>
      <w:ind w:left="1140" w:hanging="1140"/>
      <w:outlineLvl w:val="7"/>
    </w:pPr>
    <w:rPr>
      <w:iCs w:val="0"/>
    </w:rPr>
  </w:style>
  <w:style w:type="paragraph" w:styleId="Cmsor9">
    <w:name w:val="heading 9"/>
    <w:basedOn w:val="Cmsor2"/>
    <w:next w:val="Norml"/>
    <w:link w:val="Cmsor9Char"/>
    <w:uiPriority w:val="9"/>
    <w:qFormat/>
    <w:pPr>
      <w:numPr>
        <w:ilvl w:val="8"/>
      </w:numPr>
      <w:tabs>
        <w:tab w:val="num" w:pos="1140"/>
      </w:tabs>
      <w:ind w:left="1140" w:hanging="1140"/>
      <w:outlineLvl w:val="8"/>
    </w:pPr>
    <w:rPr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locked/>
    <w:rPr>
      <w:b/>
      <w:bCs/>
      <w:sz w:val="24"/>
      <w:szCs w:val="32"/>
    </w:rPr>
  </w:style>
  <w:style w:type="character" w:customStyle="1" w:styleId="Cmsor2Char">
    <w:name w:val="Címsor 2 Char"/>
    <w:link w:val="Cmsor2"/>
    <w:uiPriority w:val="9"/>
    <w:locked/>
    <w:rPr>
      <w:b/>
      <w:sz w:val="28"/>
      <w:lang w:val="hu-HU" w:eastAsia="hu-HU"/>
    </w:rPr>
  </w:style>
  <w:style w:type="character" w:customStyle="1" w:styleId="Cmsor3Char">
    <w:name w:val="Címsor 3 Char"/>
    <w:link w:val="Cmsor3"/>
    <w:uiPriority w:val="9"/>
    <w:locked/>
    <w:rPr>
      <w:b/>
      <w:sz w:val="26"/>
      <w:lang w:val="hu-HU" w:eastAsia="hu-HU"/>
    </w:rPr>
  </w:style>
  <w:style w:type="character" w:customStyle="1" w:styleId="Cmsor4Char">
    <w:name w:val="Címsor 4 Char"/>
    <w:link w:val="Cmsor4"/>
    <w:uiPriority w:val="9"/>
    <w:locked/>
    <w:rPr>
      <w:b/>
      <w:sz w:val="28"/>
      <w:lang w:val="hu-HU" w:eastAsia="hu-HU"/>
    </w:rPr>
  </w:style>
  <w:style w:type="character" w:customStyle="1" w:styleId="Cmsor5Char">
    <w:name w:val="Címsor 5 Char"/>
    <w:link w:val="Cmsor5"/>
    <w:uiPriority w:val="9"/>
    <w:locked/>
    <w:rPr>
      <w:b/>
      <w:sz w:val="26"/>
      <w:lang w:val="hu-HU" w:eastAsia="hu-HU"/>
    </w:rPr>
  </w:style>
  <w:style w:type="character" w:customStyle="1" w:styleId="Cmsor6Char">
    <w:name w:val="Címsor 6 Char"/>
    <w:link w:val="Cmsor6"/>
    <w:uiPriority w:val="9"/>
    <w:locked/>
    <w:rPr>
      <w:b/>
      <w:sz w:val="22"/>
      <w:lang w:val="hu-HU" w:eastAsia="hu-HU"/>
    </w:rPr>
  </w:style>
  <w:style w:type="character" w:customStyle="1" w:styleId="Cmsor7Char">
    <w:name w:val="Címsor 7 Char"/>
    <w:link w:val="Cmsor7"/>
    <w:uiPriority w:val="9"/>
    <w:locked/>
    <w:rPr>
      <w:b/>
      <w:sz w:val="28"/>
      <w:lang w:val="hu-HU" w:eastAsia="hu-HU"/>
    </w:rPr>
  </w:style>
  <w:style w:type="character" w:customStyle="1" w:styleId="Cmsor8Char">
    <w:name w:val="Címsor 8 Char"/>
    <w:link w:val="Cmsor8"/>
    <w:uiPriority w:val="9"/>
    <w:locked/>
    <w:rPr>
      <w:b/>
      <w:sz w:val="28"/>
      <w:lang w:val="hu-HU" w:eastAsia="hu-HU"/>
    </w:rPr>
  </w:style>
  <w:style w:type="character" w:customStyle="1" w:styleId="Cmsor9Char">
    <w:name w:val="Címsor 9 Char"/>
    <w:link w:val="Cmsor9"/>
    <w:uiPriority w:val="9"/>
    <w:locked/>
    <w:rPr>
      <w:b/>
      <w:sz w:val="22"/>
      <w:lang w:val="hu-HU" w:eastAsia="hu-HU"/>
    </w:rPr>
  </w:style>
  <w:style w:type="paragraph" w:styleId="Normlbehzs">
    <w:name w:val="Normal Indent"/>
    <w:basedOn w:val="Norml"/>
    <w:uiPriority w:val="99"/>
    <w:pPr>
      <w:ind w:left="425"/>
    </w:pPr>
  </w:style>
  <w:style w:type="paragraph" w:styleId="Csakszveg">
    <w:name w:val="Plain Text"/>
    <w:basedOn w:val="Norml"/>
    <w:next w:val="Norml"/>
    <w:link w:val="CsakszvegChar"/>
    <w:uiPriority w:val="99"/>
    <w:pPr>
      <w:spacing w:line="240" w:lineRule="auto"/>
      <w:jc w:val="left"/>
    </w:pPr>
    <w:rPr>
      <w:rFonts w:ascii="Courier New" w:hAnsi="Courier New" w:cs="Courier New"/>
      <w:sz w:val="18"/>
      <w:szCs w:val="20"/>
    </w:rPr>
  </w:style>
  <w:style w:type="character" w:customStyle="1" w:styleId="CsakszvegChar">
    <w:name w:val="Csak szöveg Char"/>
    <w:link w:val="Csakszveg"/>
    <w:uiPriority w:val="99"/>
    <w:semiHidden/>
    <w:locked/>
    <w:rPr>
      <w:rFonts w:ascii="Courier New" w:hAnsi="Courier New"/>
      <w:lang w:val="hu-HU" w:eastAsia="hu-HU"/>
    </w:rPr>
  </w:style>
  <w:style w:type="paragraph" w:customStyle="1" w:styleId="HeadingFree">
    <w:name w:val="Heading Free"/>
    <w:basedOn w:val="Norml"/>
    <w:next w:val="Norml"/>
    <w:pPr>
      <w:keepNext/>
      <w:spacing w:after="260"/>
      <w:ind w:left="1140" w:hanging="1140"/>
    </w:pPr>
    <w:rPr>
      <w:b/>
      <w:caps/>
    </w:rPr>
  </w:style>
  <w:style w:type="paragraph" w:styleId="TJ1">
    <w:name w:val="toc 1"/>
    <w:basedOn w:val="Norml"/>
    <w:next w:val="Norml"/>
    <w:uiPriority w:val="39"/>
    <w:pPr>
      <w:tabs>
        <w:tab w:val="right" w:leader="dot" w:pos="9923"/>
      </w:tabs>
      <w:spacing w:before="120"/>
      <w:ind w:left="1140" w:hanging="1140"/>
      <w:jc w:val="left"/>
    </w:pPr>
  </w:style>
  <w:style w:type="paragraph" w:styleId="TJ2">
    <w:name w:val="toc 2"/>
    <w:basedOn w:val="TJ1"/>
    <w:next w:val="Norml"/>
    <w:uiPriority w:val="39"/>
    <w:pPr>
      <w:spacing w:before="0"/>
    </w:pPr>
  </w:style>
  <w:style w:type="paragraph" w:styleId="TJ3">
    <w:name w:val="toc 3"/>
    <w:basedOn w:val="TJ2"/>
    <w:next w:val="Norml"/>
    <w:uiPriority w:val="39"/>
  </w:style>
  <w:style w:type="paragraph" w:styleId="TJ4">
    <w:name w:val="toc 4"/>
    <w:basedOn w:val="TJ2"/>
    <w:next w:val="Norml"/>
    <w:uiPriority w:val="39"/>
    <w:semiHidden/>
  </w:style>
  <w:style w:type="paragraph" w:styleId="TJ5">
    <w:name w:val="toc 5"/>
    <w:basedOn w:val="TJ2"/>
    <w:next w:val="Norml"/>
    <w:uiPriority w:val="39"/>
    <w:semiHidden/>
  </w:style>
  <w:style w:type="paragraph" w:styleId="TJ6">
    <w:name w:val="toc 6"/>
    <w:basedOn w:val="TJ2"/>
    <w:next w:val="Norml"/>
    <w:uiPriority w:val="39"/>
    <w:semiHidden/>
  </w:style>
  <w:style w:type="paragraph" w:styleId="TJ7">
    <w:name w:val="toc 7"/>
    <w:basedOn w:val="TJ2"/>
    <w:next w:val="Norml"/>
    <w:uiPriority w:val="39"/>
    <w:semiHidden/>
  </w:style>
  <w:style w:type="paragraph" w:styleId="TJ8">
    <w:name w:val="toc 8"/>
    <w:basedOn w:val="TJ1"/>
    <w:next w:val="Norml"/>
    <w:uiPriority w:val="39"/>
    <w:semiHidden/>
    <w:pPr>
      <w:ind w:firstLine="0"/>
    </w:pPr>
  </w:style>
  <w:style w:type="paragraph" w:styleId="TJ9">
    <w:name w:val="toc 9"/>
    <w:basedOn w:val="TJ2"/>
    <w:next w:val="Norml"/>
    <w:uiPriority w:val="39"/>
    <w:semiHidden/>
    <w:pPr>
      <w:ind w:firstLine="0"/>
    </w:pPr>
  </w:style>
  <w:style w:type="paragraph" w:styleId="Cm">
    <w:name w:val="Title"/>
    <w:basedOn w:val="Norml"/>
    <w:link w:val="CmChar"/>
    <w:uiPriority w:val="10"/>
    <w:qFormat/>
    <w:pPr>
      <w:spacing w:line="400" w:lineRule="exact"/>
      <w:jc w:val="center"/>
    </w:pPr>
    <w:rPr>
      <w:bCs/>
      <w:kern w:val="28"/>
      <w:sz w:val="40"/>
      <w:szCs w:val="32"/>
    </w:rPr>
  </w:style>
  <w:style w:type="character" w:customStyle="1" w:styleId="CmChar">
    <w:name w:val="Cím Char"/>
    <w:link w:val="Cm"/>
    <w:uiPriority w:val="10"/>
    <w:locked/>
    <w:rPr>
      <w:rFonts w:ascii="Cambria" w:hAnsi="Cambria"/>
      <w:b/>
      <w:kern w:val="28"/>
      <w:sz w:val="32"/>
      <w:lang w:val="hu-HU" w:eastAsia="hu-HU"/>
    </w:rPr>
  </w:style>
  <w:style w:type="paragraph" w:styleId="Lbjegyzetszveg">
    <w:name w:val="footnote text"/>
    <w:basedOn w:val="Norml"/>
    <w:link w:val="LbjegyzetszvegChar"/>
    <w:uiPriority w:val="99"/>
    <w:semiHidden/>
    <w:pPr>
      <w:tabs>
        <w:tab w:val="left" w:pos="425"/>
      </w:tabs>
      <w:spacing w:line="200" w:lineRule="exact"/>
      <w:ind w:left="425" w:hanging="425"/>
    </w:pPr>
    <w:rPr>
      <w:sz w:val="18"/>
      <w:szCs w:val="20"/>
    </w:rPr>
  </w:style>
  <w:style w:type="character" w:customStyle="1" w:styleId="LbjegyzetszvegChar">
    <w:name w:val="Lábjegyzetszöveg Char"/>
    <w:link w:val="Lbjegyzetszveg"/>
    <w:uiPriority w:val="99"/>
    <w:semiHidden/>
    <w:locked/>
    <w:rPr>
      <w:sz w:val="18"/>
      <w:lang w:val="hu-HU" w:eastAsia="hu-HU"/>
    </w:rPr>
  </w:style>
  <w:style w:type="paragraph" w:customStyle="1" w:styleId="Picture">
    <w:name w:val="Picture"/>
    <w:basedOn w:val="Norml"/>
    <w:next w:val="Norml"/>
    <w:pPr>
      <w:spacing w:before="120" w:after="120" w:line="260" w:lineRule="atLeast"/>
    </w:pPr>
  </w:style>
  <w:style w:type="paragraph" w:customStyle="1" w:styleId="PictureIndent">
    <w:name w:val="Picture Indent"/>
    <w:basedOn w:val="Picture"/>
    <w:next w:val="Norml"/>
    <w:pPr>
      <w:ind w:left="-1140"/>
    </w:pPr>
  </w:style>
  <w:style w:type="paragraph" w:styleId="Kpalrs">
    <w:name w:val="caption"/>
    <w:basedOn w:val="Norml"/>
    <w:next w:val="Norml"/>
    <w:uiPriority w:val="35"/>
    <w:qFormat/>
    <w:pPr>
      <w:tabs>
        <w:tab w:val="left" w:pos="1134"/>
      </w:tabs>
      <w:ind w:left="1077" w:hanging="1134"/>
    </w:pPr>
    <w:rPr>
      <w:bCs/>
      <w:szCs w:val="20"/>
    </w:rPr>
  </w:style>
  <w:style w:type="paragraph" w:styleId="Felsorols">
    <w:name w:val="List Bullet"/>
    <w:basedOn w:val="Norml"/>
    <w:uiPriority w:val="99"/>
    <w:pPr>
      <w:numPr>
        <w:numId w:val="22"/>
      </w:numPr>
    </w:pPr>
  </w:style>
  <w:style w:type="paragraph" w:styleId="Felsorols2">
    <w:name w:val="List Bullet 2"/>
    <w:basedOn w:val="Felsorols"/>
    <w:uiPriority w:val="99"/>
    <w:pPr>
      <w:numPr>
        <w:numId w:val="23"/>
      </w:numPr>
      <w:tabs>
        <w:tab w:val="left" w:pos="850"/>
        <w:tab w:val="num" w:pos="926"/>
      </w:tabs>
      <w:ind w:left="926" w:hanging="360"/>
    </w:pPr>
  </w:style>
  <w:style w:type="paragraph" w:styleId="Felsorols3">
    <w:name w:val="List Bullet 3"/>
    <w:basedOn w:val="Felsorols"/>
    <w:uiPriority w:val="99"/>
    <w:pPr>
      <w:numPr>
        <w:numId w:val="24"/>
      </w:numPr>
      <w:tabs>
        <w:tab w:val="num" w:pos="1209"/>
        <w:tab w:val="left" w:pos="1275"/>
      </w:tabs>
      <w:ind w:left="1209" w:hanging="360"/>
    </w:pPr>
  </w:style>
  <w:style w:type="paragraph" w:styleId="Felsorols4">
    <w:name w:val="List Bullet 4"/>
    <w:basedOn w:val="Felsorols"/>
    <w:uiPriority w:val="99"/>
    <w:pPr>
      <w:numPr>
        <w:numId w:val="25"/>
      </w:numPr>
      <w:tabs>
        <w:tab w:val="num" w:pos="1492"/>
        <w:tab w:val="left" w:pos="1700"/>
      </w:tabs>
      <w:ind w:left="1492" w:hanging="360"/>
    </w:pPr>
  </w:style>
  <w:style w:type="paragraph" w:styleId="Felsorols5">
    <w:name w:val="List Bullet 5"/>
    <w:basedOn w:val="Felsorols"/>
    <w:uiPriority w:val="99"/>
    <w:pPr>
      <w:numPr>
        <w:numId w:val="26"/>
      </w:numPr>
      <w:tabs>
        <w:tab w:val="left" w:pos="2125"/>
      </w:tabs>
      <w:ind w:left="360" w:hanging="360"/>
    </w:pPr>
  </w:style>
  <w:style w:type="paragraph" w:styleId="Szmozottlista">
    <w:name w:val="List Number"/>
    <w:basedOn w:val="Norml"/>
    <w:uiPriority w:val="99"/>
    <w:pPr>
      <w:numPr>
        <w:numId w:val="27"/>
      </w:numPr>
    </w:pPr>
  </w:style>
  <w:style w:type="paragraph" w:styleId="Szmozottlista2">
    <w:name w:val="List Number 2"/>
    <w:basedOn w:val="Szmozottlista"/>
    <w:uiPriority w:val="99"/>
    <w:pPr>
      <w:numPr>
        <w:numId w:val="28"/>
      </w:numPr>
      <w:tabs>
        <w:tab w:val="left" w:pos="850"/>
        <w:tab w:val="num" w:pos="926"/>
      </w:tabs>
      <w:ind w:left="926" w:hanging="360"/>
    </w:pPr>
  </w:style>
  <w:style w:type="paragraph" w:styleId="Szmozottlista3">
    <w:name w:val="List Number 3"/>
    <w:basedOn w:val="Szmozottlista"/>
    <w:uiPriority w:val="99"/>
    <w:pPr>
      <w:numPr>
        <w:numId w:val="29"/>
      </w:numPr>
      <w:tabs>
        <w:tab w:val="num" w:pos="1209"/>
        <w:tab w:val="left" w:pos="1275"/>
      </w:tabs>
      <w:ind w:left="1209" w:hanging="360"/>
    </w:pPr>
  </w:style>
  <w:style w:type="paragraph" w:styleId="Szmozottlista4">
    <w:name w:val="List Number 4"/>
    <w:basedOn w:val="Szmozottlista"/>
    <w:uiPriority w:val="99"/>
    <w:pPr>
      <w:numPr>
        <w:numId w:val="30"/>
      </w:numPr>
      <w:tabs>
        <w:tab w:val="num" w:pos="1492"/>
        <w:tab w:val="left" w:pos="1700"/>
      </w:tabs>
      <w:ind w:left="1492" w:hanging="360"/>
    </w:pPr>
  </w:style>
  <w:style w:type="paragraph" w:styleId="Szmozottlista5">
    <w:name w:val="List Number 5"/>
    <w:basedOn w:val="Szmozottlista"/>
    <w:uiPriority w:val="99"/>
    <w:pPr>
      <w:numPr>
        <w:numId w:val="31"/>
      </w:numPr>
      <w:tabs>
        <w:tab w:val="num" w:pos="1140"/>
        <w:tab w:val="left" w:pos="2125"/>
      </w:tabs>
      <w:ind w:left="1140" w:hanging="1140"/>
    </w:pPr>
  </w:style>
  <w:style w:type="paragraph" w:styleId="Lista">
    <w:name w:val="List"/>
    <w:basedOn w:val="Norml"/>
    <w:uiPriority w:val="99"/>
    <w:pPr>
      <w:ind w:left="425"/>
    </w:pPr>
  </w:style>
  <w:style w:type="paragraph" w:styleId="Lista2">
    <w:name w:val="List 2"/>
    <w:basedOn w:val="Lista"/>
    <w:uiPriority w:val="99"/>
    <w:pPr>
      <w:ind w:left="850"/>
    </w:pPr>
  </w:style>
  <w:style w:type="paragraph" w:styleId="Lista3">
    <w:name w:val="List 3"/>
    <w:basedOn w:val="Lista"/>
    <w:uiPriority w:val="99"/>
    <w:pPr>
      <w:ind w:left="1275"/>
    </w:pPr>
  </w:style>
  <w:style w:type="paragraph" w:styleId="Lista4">
    <w:name w:val="List 4"/>
    <w:basedOn w:val="Lista"/>
    <w:uiPriority w:val="99"/>
    <w:pPr>
      <w:ind w:left="1700"/>
    </w:pPr>
  </w:style>
  <w:style w:type="paragraph" w:styleId="Lista5">
    <w:name w:val="List 5"/>
    <w:basedOn w:val="Lista"/>
    <w:uiPriority w:val="99"/>
    <w:pPr>
      <w:ind w:left="2125"/>
    </w:pPr>
  </w:style>
  <w:style w:type="paragraph" w:customStyle="1" w:styleId="ListFree1">
    <w:name w:val="List Free 1"/>
    <w:basedOn w:val="Norml"/>
    <w:pPr>
      <w:tabs>
        <w:tab w:val="left" w:pos="425"/>
      </w:tabs>
      <w:ind w:left="425" w:hanging="425"/>
    </w:pPr>
  </w:style>
  <w:style w:type="paragraph" w:customStyle="1" w:styleId="ListFree2">
    <w:name w:val="List Free 2"/>
    <w:basedOn w:val="ListFree1"/>
    <w:pPr>
      <w:tabs>
        <w:tab w:val="clear" w:pos="425"/>
        <w:tab w:val="left" w:pos="850"/>
      </w:tabs>
      <w:ind w:left="850"/>
    </w:pPr>
  </w:style>
  <w:style w:type="paragraph" w:customStyle="1" w:styleId="ListFree3">
    <w:name w:val="List Free 3"/>
    <w:basedOn w:val="ListFree1"/>
    <w:pPr>
      <w:tabs>
        <w:tab w:val="clear" w:pos="425"/>
        <w:tab w:val="left" w:pos="1275"/>
      </w:tabs>
      <w:ind w:left="1275"/>
    </w:pPr>
  </w:style>
  <w:style w:type="paragraph" w:customStyle="1" w:styleId="ListFree4">
    <w:name w:val="List Free 4"/>
    <w:basedOn w:val="ListFree1"/>
    <w:pPr>
      <w:tabs>
        <w:tab w:val="clear" w:pos="425"/>
        <w:tab w:val="left" w:pos="1700"/>
      </w:tabs>
      <w:ind w:left="1700"/>
    </w:pPr>
  </w:style>
  <w:style w:type="paragraph" w:customStyle="1" w:styleId="ListFree5">
    <w:name w:val="List Free 5"/>
    <w:basedOn w:val="ListFree1"/>
    <w:pPr>
      <w:tabs>
        <w:tab w:val="clear" w:pos="425"/>
        <w:tab w:val="left" w:pos="2125"/>
      </w:tabs>
      <w:ind w:left="2125"/>
    </w:p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</w:style>
  <w:style w:type="character" w:customStyle="1" w:styleId="lfejChar">
    <w:name w:val="Élőfej Char"/>
    <w:link w:val="lfej"/>
    <w:uiPriority w:val="99"/>
    <w:locked/>
    <w:rPr>
      <w:sz w:val="24"/>
      <w:lang w:val="hu-HU" w:eastAsia="hu-HU"/>
    </w:rPr>
  </w:style>
  <w:style w:type="paragraph" w:styleId="llb">
    <w:name w:val="footer"/>
    <w:basedOn w:val="Norml"/>
    <w:link w:val="llbChar"/>
    <w:uiPriority w:val="99"/>
    <w:pPr>
      <w:tabs>
        <w:tab w:val="center" w:pos="4153"/>
        <w:tab w:val="right" w:pos="8306"/>
      </w:tabs>
    </w:pPr>
  </w:style>
  <w:style w:type="character" w:customStyle="1" w:styleId="llbChar">
    <w:name w:val="Élőláb Char"/>
    <w:link w:val="llb"/>
    <w:uiPriority w:val="99"/>
    <w:semiHidden/>
    <w:locked/>
    <w:rPr>
      <w:sz w:val="24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Pr>
      <w:rFonts w:ascii="Tahoma" w:hAnsi="Tahoma"/>
      <w:sz w:val="16"/>
      <w:lang w:val="hu-HU" w:eastAsia="hu-HU"/>
    </w:rPr>
  </w:style>
  <w:style w:type="table" w:styleId="Rcsostblzat">
    <w:name w:val="Table Grid"/>
    <w:basedOn w:val="Normltblzat"/>
    <w:uiPriority w:val="39"/>
    <w:rPr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paragraph" w:styleId="Nincstrkz">
    <w:name w:val="No Spacing"/>
    <w:link w:val="NincstrkzChar"/>
    <w:uiPriority w:val="1"/>
    <w:qFormat/>
    <w:rPr>
      <w:rFonts w:ascii="Calibri" w:hAnsi="Calibri"/>
      <w:sz w:val="22"/>
      <w:szCs w:val="22"/>
    </w:rPr>
  </w:style>
  <w:style w:type="character" w:customStyle="1" w:styleId="NincstrkzChar">
    <w:name w:val="Nincs térköz Char"/>
    <w:link w:val="Nincstrkz"/>
    <w:uiPriority w:val="1"/>
    <w:locked/>
    <w:rPr>
      <w:rFonts w:ascii="Calibri" w:hAnsi="Calibri"/>
      <w:sz w:val="22"/>
      <w:lang w:val="hu-HU" w:eastAsia="hu-HU"/>
    </w:rPr>
  </w:style>
  <w:style w:type="character" w:styleId="Hiperhivatkozs">
    <w:name w:val="Hyperlink"/>
    <w:uiPriority w:val="99"/>
    <w:unhideWhenUsed/>
    <w:rPr>
      <w:color w:val="0000FF"/>
      <w:u w:val="single"/>
      <w:lang w:val="hu-HU" w:eastAsia="hu-HU"/>
    </w:rPr>
  </w:style>
  <w:style w:type="table" w:customStyle="1" w:styleId="Synthon2">
    <w:name w:val="Synthon 2"/>
    <w:basedOn w:val="Normltblzat"/>
    <w:uiPriority w:val="99"/>
    <w:qFormat/>
    <w:tblPr>
      <w:tblBorders>
        <w:bottom w:val="single" w:sz="4" w:space="0" w:color="000000"/>
      </w:tblBorders>
    </w:tblPr>
    <w:tblStylePr w:type="firstRow">
      <w:rPr>
        <w:rFonts w:cs="Times New Roman"/>
        <w:b/>
        <w:i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character" w:styleId="Lbjegyzet-hivatkozs">
    <w:name w:val="footnote reference"/>
    <w:uiPriority w:val="99"/>
    <w:semiHidden/>
    <w:unhideWhenUsed/>
    <w:rPr>
      <w:vertAlign w:val="superscript"/>
      <w:lang w:val="hu-HU" w:eastAsia="hu-HU"/>
    </w:rPr>
  </w:style>
  <w:style w:type="table" w:customStyle="1" w:styleId="Synthon1">
    <w:name w:val="Synthon1"/>
    <w:basedOn w:val="Normltblzat"/>
    <w:uiPriority w:val="99"/>
    <w:qFormat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rPr>
        <w:rFonts w:cs="Times New Roman"/>
        <w:b/>
        <w:i/>
      </w:rPr>
      <w:tblPr/>
      <w:tcPr>
        <w:shd w:val="clear" w:color="auto" w:fill="D9D9D9"/>
      </w:tcPr>
    </w:tblStylePr>
    <w:tblStylePr w:type="firstCol">
      <w:rPr>
        <w:rFonts w:cs="Times New Roman"/>
      </w:rPr>
      <w:tblPr/>
      <w:tcPr>
        <w:shd w:val="clear" w:color="auto" w:fill="D9D9D9"/>
      </w:tcPr>
    </w:tblStylePr>
  </w:style>
  <w:style w:type="table" w:customStyle="1" w:styleId="Synthon10">
    <w:name w:val="Synthon 1"/>
    <w:basedOn w:val="Normltblzat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cs="Times New Roman"/>
        <w:b/>
        <w:i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D9D9D9"/>
      </w:tcPr>
    </w:tblStylePr>
    <w:tblStylePr w:type="firstCol">
      <w:rPr>
        <w:rFonts w:cs="Times New Roman"/>
      </w:rPr>
      <w:tblPr/>
      <w:tcPr>
        <w:shd w:val="clear" w:color="auto" w:fill="D9D9D9"/>
      </w:tcPr>
    </w:tblStylePr>
  </w:style>
  <w:style w:type="table" w:styleId="Kzepesrnykols15jellszn">
    <w:name w:val="Medium Shading 1 Accent 5"/>
    <w:basedOn w:val="Normltblzat"/>
    <w:uiPriority w:val="63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2EAF1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LightShading1">
    <w:name w:val="Light Shading1"/>
    <w:basedOn w:val="Normltblzat"/>
    <w:uiPriority w:val="60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ListFreeIndent">
    <w:name w:val="List Free Indent"/>
    <w:basedOn w:val="Normlbehzs"/>
    <w:pPr>
      <w:ind w:hanging="425"/>
    </w:pPr>
    <w:rPr>
      <w:color w:val="000000"/>
      <w:szCs w:val="20"/>
    </w:rPr>
  </w:style>
  <w:style w:type="paragraph" w:styleId="NormlWeb">
    <w:name w:val="Normal (Web)"/>
    <w:basedOn w:val="Norml"/>
    <w:uiPriority w:val="99"/>
    <w:pPr>
      <w:spacing w:after="240" w:line="240" w:lineRule="auto"/>
      <w:jc w:val="left"/>
    </w:pPr>
    <w:rPr>
      <w:color w:val="000000"/>
    </w:rPr>
  </w:style>
  <w:style w:type="paragraph" w:customStyle="1" w:styleId="toa">
    <w:name w:val="toa"/>
    <w:pPr>
      <w:widowControl w:val="0"/>
      <w:tabs>
        <w:tab w:val="left" w:pos="-164"/>
        <w:tab w:val="left" w:pos="8836"/>
        <w:tab w:val="right" w:pos="9196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G Times" w:hAnsi="CG Times"/>
      <w:sz w:val="24"/>
    </w:rPr>
  </w:style>
  <w:style w:type="paragraph" w:styleId="Szvegtrzsbehzssal">
    <w:name w:val="Body Text Indent"/>
    <w:basedOn w:val="Norml"/>
    <w:link w:val="SzvegtrzsbehzssalChar"/>
    <w:uiPriority w:val="99"/>
    <w:pPr>
      <w:widowControl w:val="0"/>
      <w:tabs>
        <w:tab w:val="left" w:pos="426"/>
      </w:tabs>
      <w:overflowPunct w:val="0"/>
      <w:autoSpaceDE w:val="0"/>
      <w:autoSpaceDN w:val="0"/>
      <w:adjustRightInd w:val="0"/>
      <w:spacing w:line="240" w:lineRule="auto"/>
      <w:ind w:left="426"/>
      <w:textAlignment w:val="baseline"/>
    </w:pPr>
    <w:rPr>
      <w:szCs w:val="20"/>
    </w:rPr>
  </w:style>
  <w:style w:type="character" w:customStyle="1" w:styleId="SzvegtrzsbehzssalChar">
    <w:name w:val="Szövegtörzs behúzással Char"/>
    <w:link w:val="Szvegtrzsbehzssal"/>
    <w:uiPriority w:val="99"/>
    <w:locked/>
    <w:rPr>
      <w:sz w:val="24"/>
      <w:lang w:val="hu-HU" w:eastAsia="hu-HU"/>
    </w:rPr>
  </w:style>
  <w:style w:type="paragraph" w:styleId="Szvegtrzsbehzssal2">
    <w:name w:val="Body Text Indent 2"/>
    <w:basedOn w:val="Norml"/>
    <w:link w:val="Szvegtrzsbehzssal2Char"/>
    <w:uiPriority w:val="99"/>
    <w:pPr>
      <w:widowControl w:val="0"/>
      <w:tabs>
        <w:tab w:val="left" w:pos="426"/>
      </w:tabs>
      <w:overflowPunct w:val="0"/>
      <w:autoSpaceDE w:val="0"/>
      <w:autoSpaceDN w:val="0"/>
      <w:adjustRightInd w:val="0"/>
      <w:spacing w:line="240" w:lineRule="auto"/>
      <w:ind w:left="426" w:hanging="426"/>
      <w:textAlignment w:val="baseline"/>
    </w:pPr>
    <w:rPr>
      <w:szCs w:val="20"/>
    </w:rPr>
  </w:style>
  <w:style w:type="character" w:customStyle="1" w:styleId="Szvegtrzsbehzssal2Char">
    <w:name w:val="Szövegtörzs behúzással 2 Char"/>
    <w:link w:val="Szvegtrzsbehzssal2"/>
    <w:uiPriority w:val="99"/>
    <w:locked/>
    <w:rPr>
      <w:sz w:val="24"/>
      <w:lang w:val="hu-HU" w:eastAsia="hu-HU"/>
    </w:rPr>
  </w:style>
  <w:style w:type="table" w:styleId="Oszlopostblzat4">
    <w:name w:val="Table Columns 4"/>
    <w:basedOn w:val="Normltblzat"/>
    <w:uiPriority w:val="99"/>
    <w:pPr>
      <w:spacing w:line="260" w:lineRule="exact"/>
      <w:jc w:val="both"/>
    </w:p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paragraph" w:customStyle="1" w:styleId="Text">
    <w:name w:val="Text"/>
    <w:basedOn w:val="Norml"/>
    <w:link w:val="TextChar1"/>
    <w:pPr>
      <w:spacing w:before="120" w:line="240" w:lineRule="auto"/>
    </w:pPr>
  </w:style>
  <w:style w:type="character" w:customStyle="1" w:styleId="TextChar1">
    <w:name w:val="Text Char1"/>
    <w:link w:val="Text"/>
    <w:locked/>
    <w:rPr>
      <w:sz w:val="24"/>
      <w:lang w:val="hu-HU" w:eastAsia="hu-HU"/>
    </w:rPr>
  </w:style>
  <w:style w:type="paragraph" w:customStyle="1" w:styleId="Nottoc-headings">
    <w:name w:val="Not toc-headings"/>
    <w:basedOn w:val="Norml"/>
    <w:next w:val="Text"/>
    <w:pPr>
      <w:keepNext/>
      <w:keepLines/>
      <w:spacing w:before="240" w:after="60" w:line="240" w:lineRule="auto"/>
      <w:ind w:left="1701" w:hanging="1701"/>
      <w:jc w:val="left"/>
    </w:pPr>
    <w:rPr>
      <w:rFonts w:ascii="Arial" w:hAnsi="Arial"/>
      <w:b/>
      <w:sz w:val="22"/>
      <w:szCs w:val="20"/>
    </w:rPr>
  </w:style>
  <w:style w:type="character" w:styleId="Mrltotthiperhivatkozs">
    <w:name w:val="FollowedHyperlink"/>
    <w:uiPriority w:val="99"/>
    <w:rPr>
      <w:color w:val="800080"/>
      <w:u w:val="single"/>
      <w:lang w:val="hu-HU" w:eastAsia="hu-HU"/>
    </w:rPr>
  </w:style>
  <w:style w:type="character" w:styleId="Jegyzethivatkozs">
    <w:name w:val="annotation reference"/>
    <w:uiPriority w:val="99"/>
    <w:semiHidden/>
    <w:rPr>
      <w:sz w:val="16"/>
      <w:lang w:val="hu-HU" w:eastAsia="hu-HU"/>
    </w:rPr>
  </w:style>
  <w:style w:type="paragraph" w:styleId="Jegyzetszveg">
    <w:name w:val="annotation text"/>
    <w:basedOn w:val="Norml"/>
    <w:link w:val="JegyzetszvegChar"/>
    <w:uiPriority w:val="99"/>
    <w:semiHidden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locked/>
    <w:rPr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Pr>
      <w:b/>
      <w:lang w:val="hu-HU" w:eastAsia="hu-HU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Vltozat">
    <w:name w:val="Revision"/>
    <w:hidden/>
    <w:uiPriority w:val="99"/>
    <w:semiHidden/>
    <w:rPr>
      <w:sz w:val="24"/>
      <w:szCs w:val="24"/>
    </w:rPr>
  </w:style>
  <w:style w:type="paragraph" w:customStyle="1" w:styleId="StyleHeadingFreeBOLDNOCAPS">
    <w:name w:val="Style Heading Free + BOLD + NO CAPS"/>
    <w:basedOn w:val="HeadingFree"/>
    <w:rPr>
      <w:caps w:val="0"/>
    </w:rPr>
  </w:style>
  <w:style w:type="character" w:styleId="Kiemels">
    <w:name w:val="Emphasis"/>
    <w:uiPriority w:val="20"/>
    <w:qFormat/>
    <w:rPr>
      <w:i/>
      <w:lang w:val="hu-HU" w:eastAsia="hu-HU"/>
    </w:rPr>
  </w:style>
  <w:style w:type="table" w:customStyle="1" w:styleId="TableGrid">
    <w:name w:val="TableGrid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blzatfelirata">
    <w:name w:val="Táblázat felirata_"/>
    <w:basedOn w:val="Bekezdsalapbettpusa"/>
    <w:link w:val="Tblzatfelirata0"/>
    <w:rsid w:val="00CB3C47"/>
  </w:style>
  <w:style w:type="paragraph" w:customStyle="1" w:styleId="Tblzatfelirata0">
    <w:name w:val="Táblázat felirata"/>
    <w:basedOn w:val="Norml"/>
    <w:link w:val="Tblzatfelirata"/>
    <w:rsid w:val="00CB3C47"/>
    <w:pPr>
      <w:widowControl w:val="0"/>
      <w:spacing w:line="240" w:lineRule="auto"/>
      <w:jc w:val="left"/>
    </w:pPr>
    <w:rPr>
      <w:sz w:val="20"/>
      <w:szCs w:val="20"/>
    </w:rPr>
  </w:style>
  <w:style w:type="character" w:customStyle="1" w:styleId="Szvegtrzs">
    <w:name w:val="Szövegtörzs_"/>
    <w:basedOn w:val="Bekezdsalapbettpusa"/>
    <w:link w:val="Szvegtrzs1"/>
    <w:rsid w:val="001E0692"/>
    <w:rPr>
      <w:sz w:val="22"/>
      <w:szCs w:val="22"/>
    </w:rPr>
  </w:style>
  <w:style w:type="paragraph" w:customStyle="1" w:styleId="Szvegtrzs1">
    <w:name w:val="Szövegtörzs1"/>
    <w:basedOn w:val="Norml"/>
    <w:link w:val="Szvegtrzs"/>
    <w:rsid w:val="001E0692"/>
    <w:pPr>
      <w:widowControl w:val="0"/>
      <w:spacing w:after="220" w:line="240" w:lineRule="auto"/>
      <w:jc w:val="lef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9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ll%20Users\Application%20Data\Microsoft\Office\Templates\Synthon%20Reports\CTDNew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D6C473D115F4E884AA588E6284457" ma:contentTypeVersion="1" ma:contentTypeDescription="Create a new document." ma:contentTypeScope="" ma:versionID="b4faf06f765c3686e83b5ba43be8818a">
  <xsd:schema xmlns:xsd="http://www.w3.org/2001/XMLSchema" xmlns:p="http://schemas.microsoft.com/office/2006/metadata/properties" targetNamespace="http://schemas.microsoft.com/office/2006/metadata/properties" ma:root="true" ma:fieldsID="f1d41765d8e8f7d61a855e4309a1531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0FA6B-0D12-45C0-9C3A-EBFB0C861E17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FBFAA9F-7DAF-4323-9BE6-D9D7924C1E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5158D41D-6B80-47BE-8CC1-C70A976618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908A15-22D5-4AC6-A001-71551B0A0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CTDNew</Template>
  <TotalTime>15</TotalTime>
  <Pages>32</Pages>
  <Words>11849</Words>
  <Characters>86837</Characters>
  <Application>Microsoft Office Word</Application>
  <DocSecurity>0</DocSecurity>
  <Lines>723</Lines>
  <Paragraphs>196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SynthonBV</Company>
  <LinksUpToDate>false</LinksUpToDate>
  <CharactersWithSpaces>98490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mterpstra</dc:creator>
  <cp:keywords/>
  <dc:description/>
  <cp:lastModifiedBy>HU-OGYI-59.1</cp:lastModifiedBy>
  <cp:revision>5</cp:revision>
  <cp:lastPrinted>2021-04-16T14:27:00Z</cp:lastPrinted>
  <dcterms:created xsi:type="dcterms:W3CDTF">2021-05-26T08:47:00Z</dcterms:created>
  <dcterms:modified xsi:type="dcterms:W3CDTF">2021-06-08T11:34:00Z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ype">
    <vt:lpwstr>Appendix</vt:lpwstr>
  </property>
  <property fmtid="{D5CDD505-2E9C-101B-9397-08002B2CF9AE}" pid="3" name="DocSubType">
    <vt:lpwstr>General</vt:lpwstr>
  </property>
  <property fmtid="{D5CDD505-2E9C-101B-9397-08002B2CF9AE}" pid="4" name="AddressLine1">
    <vt:lpwstr/>
  </property>
  <property fmtid="{D5CDD505-2E9C-101B-9397-08002B2CF9AE}" pid="5" name="AddressLine2">
    <vt:lpwstr/>
  </property>
  <property fmtid="{D5CDD505-2E9C-101B-9397-08002B2CF9AE}" pid="6" name="AddressLine3">
    <vt:lpwstr/>
  </property>
  <property fmtid="{D5CDD505-2E9C-101B-9397-08002B2CF9AE}" pid="7" name="Prefix">
    <vt:lpwstr/>
  </property>
  <property fmtid="{D5CDD505-2E9C-101B-9397-08002B2CF9AE}" pid="8" name="Suffix">
    <vt:lpwstr/>
  </property>
  <property fmtid="{D5CDD505-2E9C-101B-9397-08002B2CF9AE}" pid="9" name="Version">
    <vt:lpwstr>3.02.04</vt:lpwstr>
  </property>
  <property fmtid="{D5CDD505-2E9C-101B-9397-08002B2CF9AE}" pid="10" name="To">
    <vt:lpwstr>empty</vt:lpwstr>
  </property>
  <property fmtid="{D5CDD505-2E9C-101B-9397-08002B2CF9AE}" pid="11" name="HeaderLine1">
    <vt:lpwstr/>
  </property>
  <property fmtid="{D5CDD505-2E9C-101B-9397-08002B2CF9AE}" pid="12" name="HeaderLine2">
    <vt:lpwstr/>
  </property>
  <property fmtid="{D5CDD505-2E9C-101B-9397-08002B2CF9AE}" pid="13" name="HeaderLine3">
    <vt:lpwstr/>
  </property>
  <property fmtid="{D5CDD505-2E9C-101B-9397-08002B2CF9AE}" pid="14" name="HeaderLine4">
    <vt:lpwstr/>
  </property>
  <property fmtid="{D5CDD505-2E9C-101B-9397-08002B2CF9AE}" pid="15" name="Applicant">
    <vt:lpwstr/>
  </property>
  <property fmtid="{D5CDD505-2E9C-101B-9397-08002B2CF9AE}" pid="16" name="Appendices">
    <vt:lpwstr>None</vt:lpwstr>
  </property>
  <property fmtid="{D5CDD505-2E9C-101B-9397-08002B2CF9AE}" pid="17" name="Concerned Member States">
    <vt:lpwstr/>
  </property>
  <property fmtid="{D5CDD505-2E9C-101B-9397-08002B2CF9AE}" pid="18" name="Initiation Number">
    <vt:lpwstr>##.####</vt:lpwstr>
  </property>
  <property fmtid="{D5CDD505-2E9C-101B-9397-08002B2CF9AE}" pid="19" name="Initiation Date">
    <vt:lpwstr>dd-mm-yy</vt:lpwstr>
  </property>
  <property fmtid="{D5CDD505-2E9C-101B-9397-08002B2CF9AE}" pid="20" name="Issue Date">
    <vt:lpwstr>draft</vt:lpwstr>
  </property>
  <property fmtid="{D5CDD505-2E9C-101B-9397-08002B2CF9AE}" pid="21" name="Special Issue Date">
    <vt:lpwstr/>
  </property>
  <property fmtid="{D5CDD505-2E9C-101B-9397-08002B2CF9AE}" pid="22" name="StartChapter">
    <vt:i4>1</vt:i4>
  </property>
  <property fmtid="{D5CDD505-2E9C-101B-9397-08002B2CF9AE}" pid="23" name="Period">
    <vt:lpwstr/>
  </property>
  <property fmtid="{D5CDD505-2E9C-101B-9397-08002B2CF9AE}" pid="24" name="Supersedes">
    <vt:lpwstr>None</vt:lpwstr>
  </property>
  <property fmtid="{D5CDD505-2E9C-101B-9397-08002B2CF9AE}" pid="25" name="Supersedes Date">
    <vt:lpwstr>new document</vt:lpwstr>
  </property>
  <property fmtid="{D5CDD505-2E9C-101B-9397-08002B2CF9AE}" pid="26" name="FormProp3">
    <vt:lpwstr/>
  </property>
  <property fmtid="{D5CDD505-2E9C-101B-9397-08002B2CF9AE}" pid="27" name="FormProp4">
    <vt:lpwstr/>
  </property>
  <property fmtid="{D5CDD505-2E9C-101B-9397-08002B2CF9AE}" pid="28" name="FormProp5">
    <vt:lpwstr/>
  </property>
  <property fmtid="{D5CDD505-2E9C-101B-9397-08002B2CF9AE}" pid="29" name="FormProp6">
    <vt:lpwstr/>
  </property>
  <property fmtid="{D5CDD505-2E9C-101B-9397-08002B2CF9AE}" pid="30" name="ChapterPrefix">
    <vt:lpwstr/>
  </property>
  <property fmtid="{D5CDD505-2E9C-101B-9397-08002B2CF9AE}" pid="31" name="ContentTypeId">
    <vt:lpwstr>0x010100668D6C473D115F4E884AA588E6284457</vt:lpwstr>
  </property>
</Properties>
</file>