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9580DD" w14:textId="77777777" w:rsidR="003F0FF1" w:rsidRDefault="001156D9">
      <w:pPr>
        <w:pStyle w:val="Cmsor1"/>
        <w:numPr>
          <w:ilvl w:val="0"/>
          <w:numId w:val="28"/>
        </w:numPr>
        <w:tabs>
          <w:tab w:val="left" w:pos="567"/>
        </w:tabs>
        <w:ind w:left="0" w:firstLine="0"/>
        <w:rPr>
          <w:rFonts w:cs="Times New Roman"/>
          <w:b w:val="0"/>
          <w:bCs w:val="0"/>
          <w:lang w:val="hu-HU"/>
        </w:rPr>
      </w:pPr>
      <w:r>
        <w:rPr>
          <w:rFonts w:cs="Times New Roman"/>
          <w:lang w:val="hu-HU"/>
        </w:rPr>
        <w:t>A GYÓGYSZER NEVE</w:t>
      </w:r>
    </w:p>
    <w:p w14:paraId="2B7D6159" w14:textId="77777777" w:rsidR="003F0FF1" w:rsidRDefault="003F0FF1">
      <w:pPr>
        <w:rPr>
          <w:rFonts w:ascii="Times New Roman" w:eastAsia="Times New Roman" w:hAnsi="Times New Roman" w:cs="Times New Roman"/>
          <w:b/>
          <w:bCs/>
          <w:lang w:val="hu-HU"/>
        </w:rPr>
      </w:pPr>
    </w:p>
    <w:p w14:paraId="040C5C9E" w14:textId="77777777" w:rsidR="003F0FF1" w:rsidRDefault="001156D9">
      <w:pPr>
        <w:pStyle w:val="Szvegtrzs"/>
        <w:ind w:left="0"/>
        <w:rPr>
          <w:rFonts w:cs="Times New Roman"/>
          <w:lang w:val="hu-HU"/>
        </w:rPr>
      </w:pPr>
      <w:r>
        <w:rPr>
          <w:rFonts w:cs="Times New Roman"/>
          <w:lang w:val="hu-HU"/>
        </w:rPr>
        <w:t>Efigalo 0,5 mg kemény kapszula</w:t>
      </w:r>
    </w:p>
    <w:p w14:paraId="6949BF3C" w14:textId="77777777" w:rsidR="003F0FF1" w:rsidRDefault="003F0FF1">
      <w:pPr>
        <w:rPr>
          <w:rFonts w:ascii="Times New Roman" w:eastAsia="Times New Roman" w:hAnsi="Times New Roman" w:cs="Times New Roman"/>
          <w:lang w:val="hu-HU"/>
        </w:rPr>
      </w:pPr>
    </w:p>
    <w:p w14:paraId="4D3A5695" w14:textId="77777777" w:rsidR="003F0FF1" w:rsidRDefault="003F0FF1">
      <w:pPr>
        <w:rPr>
          <w:rFonts w:ascii="Times New Roman" w:eastAsia="Times New Roman" w:hAnsi="Times New Roman" w:cs="Times New Roman"/>
          <w:lang w:val="hu-HU"/>
        </w:rPr>
      </w:pPr>
    </w:p>
    <w:p w14:paraId="521880A6" w14:textId="77777777" w:rsidR="003F0FF1" w:rsidRDefault="001156D9">
      <w:pPr>
        <w:pStyle w:val="Cmsor1"/>
        <w:numPr>
          <w:ilvl w:val="0"/>
          <w:numId w:val="28"/>
        </w:numPr>
        <w:tabs>
          <w:tab w:val="left" w:pos="567"/>
        </w:tabs>
        <w:ind w:left="0" w:firstLine="0"/>
        <w:rPr>
          <w:rFonts w:cs="Times New Roman"/>
          <w:b w:val="0"/>
          <w:bCs w:val="0"/>
          <w:lang w:val="hu-HU"/>
        </w:rPr>
      </w:pPr>
      <w:r>
        <w:rPr>
          <w:rFonts w:cs="Times New Roman"/>
          <w:lang w:val="hu-HU"/>
        </w:rPr>
        <w:t>MINŐSÉGI ÉS MENNYISÉGI ÖSSZETÉTEL</w:t>
      </w:r>
    </w:p>
    <w:p w14:paraId="110C3713" w14:textId="77777777" w:rsidR="003F0FF1" w:rsidRDefault="003F0FF1">
      <w:pPr>
        <w:rPr>
          <w:rFonts w:ascii="Times New Roman" w:eastAsia="Times New Roman" w:hAnsi="Times New Roman" w:cs="Times New Roman"/>
          <w:lang w:val="hu-HU"/>
        </w:rPr>
      </w:pPr>
    </w:p>
    <w:p w14:paraId="1CA9946B" w14:textId="77777777" w:rsidR="003F0FF1" w:rsidRDefault="001156D9">
      <w:pPr>
        <w:pStyle w:val="Szvegtrzs"/>
        <w:ind w:left="0"/>
        <w:rPr>
          <w:rFonts w:cs="Times New Roman"/>
          <w:lang w:val="hu-HU"/>
        </w:rPr>
      </w:pPr>
      <w:r>
        <w:rPr>
          <w:rFonts w:cs="Times New Roman"/>
          <w:lang w:val="hu-HU"/>
        </w:rPr>
        <w:t>0,5 mg fingolimoddal egyenértékű fingolimod-hidrokloridot tartalmaz kapszulánként.</w:t>
      </w:r>
    </w:p>
    <w:p w14:paraId="30AF8F69" w14:textId="77777777" w:rsidR="003F0FF1" w:rsidRDefault="003F0FF1">
      <w:pPr>
        <w:pStyle w:val="Szvegtrzs"/>
        <w:ind w:left="0"/>
        <w:rPr>
          <w:rFonts w:cs="Times New Roman"/>
          <w:lang w:val="hu-HU"/>
        </w:rPr>
      </w:pPr>
    </w:p>
    <w:p w14:paraId="5A1D6E02" w14:textId="77777777" w:rsidR="003F0FF1" w:rsidRDefault="003F0FF1">
      <w:pPr>
        <w:pStyle w:val="Szvegtrzs"/>
        <w:ind w:left="0"/>
        <w:rPr>
          <w:rFonts w:cs="Times New Roman"/>
          <w:lang w:val="hu-HU"/>
        </w:rPr>
      </w:pPr>
    </w:p>
    <w:p w14:paraId="36122BC7" w14:textId="77777777" w:rsidR="003F0FF1" w:rsidRDefault="001156D9">
      <w:pPr>
        <w:pStyle w:val="Szvegtrzs"/>
        <w:ind w:left="0"/>
        <w:rPr>
          <w:rFonts w:cs="Times New Roman"/>
          <w:lang w:val="hu-HU"/>
        </w:rPr>
      </w:pPr>
      <w:r>
        <w:rPr>
          <w:rFonts w:cs="Times New Roman"/>
          <w:lang w:val="hu-HU"/>
        </w:rPr>
        <w:t>A segédanyagok teljes listáját lásd a 6.1 pontban.</w:t>
      </w:r>
    </w:p>
    <w:p w14:paraId="72263E17" w14:textId="77777777" w:rsidR="003F0FF1" w:rsidRDefault="003F0FF1">
      <w:pPr>
        <w:rPr>
          <w:rFonts w:ascii="Times New Roman" w:eastAsia="Times New Roman" w:hAnsi="Times New Roman" w:cs="Times New Roman"/>
          <w:lang w:val="hu-HU"/>
        </w:rPr>
      </w:pPr>
    </w:p>
    <w:p w14:paraId="4028FF87" w14:textId="77777777" w:rsidR="003F0FF1" w:rsidRDefault="003F0FF1">
      <w:pPr>
        <w:rPr>
          <w:rFonts w:ascii="Times New Roman" w:eastAsia="Times New Roman" w:hAnsi="Times New Roman" w:cs="Times New Roman"/>
          <w:lang w:val="hu-HU"/>
        </w:rPr>
      </w:pPr>
    </w:p>
    <w:p w14:paraId="7FDFAB97" w14:textId="77777777" w:rsidR="003F0FF1" w:rsidRDefault="001156D9">
      <w:pPr>
        <w:pStyle w:val="Cmsor1"/>
        <w:numPr>
          <w:ilvl w:val="0"/>
          <w:numId w:val="28"/>
        </w:numPr>
        <w:tabs>
          <w:tab w:val="left" w:pos="567"/>
        </w:tabs>
        <w:ind w:left="0" w:firstLine="0"/>
        <w:rPr>
          <w:rFonts w:cs="Times New Roman"/>
          <w:b w:val="0"/>
          <w:bCs w:val="0"/>
          <w:lang w:val="hu-HU"/>
        </w:rPr>
      </w:pPr>
      <w:r>
        <w:rPr>
          <w:rFonts w:cs="Times New Roman"/>
          <w:lang w:val="hu-HU"/>
        </w:rPr>
        <w:t>GYÓGYSZERFORMA</w:t>
      </w:r>
    </w:p>
    <w:p w14:paraId="42C6BFFC" w14:textId="77777777" w:rsidR="003F0FF1" w:rsidRDefault="003F0FF1">
      <w:pPr>
        <w:tabs>
          <w:tab w:val="left" w:pos="567"/>
        </w:tabs>
        <w:rPr>
          <w:rFonts w:ascii="Times New Roman" w:eastAsia="Times New Roman" w:hAnsi="Times New Roman" w:cs="Times New Roman"/>
          <w:lang w:val="hu-HU"/>
        </w:rPr>
      </w:pPr>
    </w:p>
    <w:p w14:paraId="5DBFF166" w14:textId="77777777" w:rsidR="003F0FF1" w:rsidRDefault="001156D9">
      <w:pPr>
        <w:pStyle w:val="Szvegtrzs"/>
        <w:ind w:left="0"/>
        <w:rPr>
          <w:rFonts w:cs="Times New Roman"/>
          <w:lang w:val="hu-HU"/>
        </w:rPr>
      </w:pPr>
      <w:r>
        <w:rPr>
          <w:rFonts w:cs="Times New Roman"/>
          <w:lang w:val="hu-HU"/>
        </w:rPr>
        <w:t>Kemény kapszula (kapszula)</w:t>
      </w:r>
    </w:p>
    <w:p w14:paraId="279CC181" w14:textId="77777777" w:rsidR="003F0FF1" w:rsidRDefault="003F0FF1">
      <w:pPr>
        <w:rPr>
          <w:rFonts w:ascii="Times New Roman" w:eastAsia="Times New Roman" w:hAnsi="Times New Roman" w:cs="Times New Roman"/>
          <w:lang w:val="hu-HU"/>
        </w:rPr>
      </w:pPr>
    </w:p>
    <w:p w14:paraId="43B83779" w14:textId="77777777" w:rsidR="003F0FF1" w:rsidRDefault="001156D9">
      <w:pPr>
        <w:pStyle w:val="Szvegtrzs"/>
        <w:ind w:left="0"/>
        <w:rPr>
          <w:rFonts w:cs="Times New Roman"/>
          <w:lang w:val="hu-HU"/>
        </w:rPr>
      </w:pPr>
      <w:r>
        <w:rPr>
          <w:rFonts w:cs="Times New Roman"/>
          <w:lang w:val="hu-HU"/>
        </w:rPr>
        <w:t>A kapszula felső része barnás-sárga színű, fekete “F 0.5 mg”jelzéssel, és fekete cégjelzéssel ellátva. A kapszula alsó része fehér színű. A kapszula fehér vagy csaknem fehér port tartalmaz. A kapszula hossza: 15</w:t>
      </w:r>
      <w:r>
        <w:rPr>
          <w:rFonts w:cs="Times New Roman"/>
          <w:lang w:val="hu-HU"/>
        </w:rPr>
        <w:noBreakHyphen/>
        <w:t>17 mm.</w:t>
      </w:r>
    </w:p>
    <w:p w14:paraId="0D34ECFC" w14:textId="77777777" w:rsidR="003F0FF1" w:rsidRDefault="003F0FF1">
      <w:pPr>
        <w:rPr>
          <w:rFonts w:ascii="Times New Roman" w:eastAsia="Times New Roman" w:hAnsi="Times New Roman" w:cs="Times New Roman"/>
          <w:lang w:val="hu-HU"/>
        </w:rPr>
      </w:pPr>
    </w:p>
    <w:p w14:paraId="427432B9" w14:textId="77777777" w:rsidR="003F0FF1" w:rsidRDefault="003F0FF1">
      <w:pPr>
        <w:rPr>
          <w:rFonts w:ascii="Times New Roman" w:eastAsia="Times New Roman" w:hAnsi="Times New Roman" w:cs="Times New Roman"/>
          <w:lang w:val="hu-HU"/>
        </w:rPr>
      </w:pPr>
    </w:p>
    <w:p w14:paraId="7ECABF5E" w14:textId="77777777" w:rsidR="003F0FF1" w:rsidRDefault="001156D9">
      <w:pPr>
        <w:pStyle w:val="Cmsor1"/>
        <w:numPr>
          <w:ilvl w:val="0"/>
          <w:numId w:val="28"/>
        </w:numPr>
        <w:tabs>
          <w:tab w:val="left" w:pos="567"/>
        </w:tabs>
        <w:ind w:left="0" w:firstLine="0"/>
        <w:rPr>
          <w:rFonts w:cs="Times New Roman"/>
          <w:b w:val="0"/>
          <w:bCs w:val="0"/>
          <w:lang w:val="hu-HU"/>
        </w:rPr>
      </w:pPr>
      <w:r>
        <w:rPr>
          <w:rFonts w:cs="Times New Roman"/>
          <w:lang w:val="hu-HU"/>
        </w:rPr>
        <w:t>KLINIKAI JELLEMZŐK</w:t>
      </w:r>
    </w:p>
    <w:p w14:paraId="431C6306" w14:textId="77777777" w:rsidR="003F0FF1" w:rsidRDefault="003F0FF1">
      <w:pPr>
        <w:rPr>
          <w:rFonts w:ascii="Times New Roman" w:eastAsia="Times New Roman" w:hAnsi="Times New Roman" w:cs="Times New Roman"/>
          <w:b/>
          <w:bCs/>
          <w:lang w:val="hu-HU"/>
        </w:rPr>
      </w:pPr>
    </w:p>
    <w:p w14:paraId="330FA9FB" w14:textId="77777777" w:rsidR="003F0FF1" w:rsidRDefault="001156D9">
      <w:pPr>
        <w:numPr>
          <w:ilvl w:val="1"/>
          <w:numId w:val="28"/>
        </w:numPr>
        <w:tabs>
          <w:tab w:val="left" w:pos="567"/>
        </w:tabs>
        <w:ind w:left="0" w:firstLine="0"/>
        <w:rPr>
          <w:rFonts w:ascii="Times New Roman" w:eastAsia="Times New Roman" w:hAnsi="Times New Roman" w:cs="Times New Roman"/>
          <w:lang w:val="hu-HU"/>
        </w:rPr>
      </w:pPr>
      <w:r>
        <w:rPr>
          <w:rFonts w:ascii="Times New Roman" w:hAnsi="Times New Roman" w:cs="Times New Roman"/>
          <w:b/>
          <w:lang w:val="hu-HU"/>
        </w:rPr>
        <w:t>Terápiás javallatok</w:t>
      </w:r>
    </w:p>
    <w:p w14:paraId="7AF8E2FD" w14:textId="77777777" w:rsidR="003F0FF1" w:rsidRDefault="003F0FF1">
      <w:pPr>
        <w:rPr>
          <w:rFonts w:ascii="Times New Roman" w:eastAsia="Times New Roman" w:hAnsi="Times New Roman" w:cs="Times New Roman"/>
          <w:b/>
          <w:bCs/>
          <w:lang w:val="hu-HU"/>
        </w:rPr>
      </w:pPr>
    </w:p>
    <w:p w14:paraId="3928F7D3" w14:textId="77777777" w:rsidR="003F0FF1" w:rsidRDefault="001156D9">
      <w:pPr>
        <w:pStyle w:val="Szvegtrzs"/>
        <w:ind w:left="0"/>
        <w:rPr>
          <w:rFonts w:cs="Times New Roman"/>
          <w:lang w:val="hu-HU"/>
        </w:rPr>
      </w:pPr>
      <w:r>
        <w:rPr>
          <w:rFonts w:cs="Times New Roman"/>
          <w:lang w:val="hu-HU"/>
        </w:rPr>
        <w:t>Az Efigalo betegségmódosító kezelésként önmagában javallott nagyon aktív relapszáló-remittáló sclerosis multiplex kezelésére a következő felnőtt és 10 éves vagy annál idősebb gyermekek és serdülők esetében:</w:t>
      </w:r>
    </w:p>
    <w:p w14:paraId="73B8337D" w14:textId="77777777" w:rsidR="003F0FF1" w:rsidRDefault="001156D9">
      <w:pPr>
        <w:pStyle w:val="Szvegtrzs"/>
        <w:numPr>
          <w:ilvl w:val="0"/>
          <w:numId w:val="27"/>
        </w:numPr>
        <w:ind w:left="567" w:hanging="567"/>
        <w:rPr>
          <w:rFonts w:cs="Times New Roman"/>
          <w:lang w:val="hu-HU"/>
        </w:rPr>
      </w:pPr>
      <w:r>
        <w:rPr>
          <w:rFonts w:cs="Times New Roman"/>
          <w:lang w:val="hu-HU"/>
        </w:rPr>
        <w:t>azon betegeknél, akiknél legalább egy teljes és megfelelő betegségmódosító terápiával történt kezelés ellenére a betegsége nagyon aktív (a kivételekről és a kiürülési időkről lásd a 4.4 és az 5.1 pontot).</w:t>
      </w:r>
    </w:p>
    <w:p w14:paraId="7C9C3A71" w14:textId="77777777" w:rsidR="003F0FF1" w:rsidRDefault="001156D9">
      <w:pPr>
        <w:pStyle w:val="Szvegtrzs"/>
        <w:ind w:left="0"/>
        <w:rPr>
          <w:rFonts w:cs="Times New Roman"/>
          <w:lang w:val="hu-HU"/>
        </w:rPr>
      </w:pPr>
      <w:r>
        <w:rPr>
          <w:rFonts w:cs="Times New Roman"/>
          <w:lang w:val="hu-HU"/>
        </w:rPr>
        <w:t>vagy</w:t>
      </w:r>
    </w:p>
    <w:p w14:paraId="107B00F5" w14:textId="77777777" w:rsidR="003F0FF1" w:rsidRDefault="001156D9">
      <w:pPr>
        <w:pStyle w:val="Szvegtrzs"/>
        <w:numPr>
          <w:ilvl w:val="0"/>
          <w:numId w:val="27"/>
        </w:numPr>
        <w:ind w:left="567" w:hanging="567"/>
        <w:rPr>
          <w:rFonts w:cs="Times New Roman"/>
          <w:lang w:val="hu-HU"/>
        </w:rPr>
      </w:pPr>
      <w:r>
        <w:rPr>
          <w:rFonts w:cs="Times New Roman"/>
          <w:lang w:val="hu-HU"/>
        </w:rPr>
        <w:t>azon betegeknél, akiknél a relapszáló-remittáló sclerosis multiplex gyorsan súlyosbodik, azaz 2 vagy több funkcióvesztést okozó relapszus fordult elő egy év alatt, és 1 vagy több gadolínium-dúsulással járó lézió látható volt az agyi MR-vizsgálattal, vagy jelentős növekedés volt a T2 léziókban a legutóbbi MR-lelethez képest.</w:t>
      </w:r>
    </w:p>
    <w:p w14:paraId="59E06CE0" w14:textId="77777777" w:rsidR="003F0FF1" w:rsidRDefault="003F0FF1">
      <w:pPr>
        <w:pStyle w:val="Cmsor1"/>
        <w:tabs>
          <w:tab w:val="left" w:pos="686"/>
        </w:tabs>
        <w:ind w:left="0"/>
        <w:rPr>
          <w:rFonts w:cs="Times New Roman"/>
          <w:b w:val="0"/>
          <w:bCs w:val="0"/>
          <w:lang w:val="hu-HU"/>
        </w:rPr>
      </w:pPr>
    </w:p>
    <w:p w14:paraId="11BDBE38" w14:textId="77777777" w:rsidR="003F0FF1" w:rsidRDefault="001156D9">
      <w:pPr>
        <w:pStyle w:val="Cmsor1"/>
        <w:numPr>
          <w:ilvl w:val="1"/>
          <w:numId w:val="26"/>
        </w:numPr>
        <w:tabs>
          <w:tab w:val="left" w:pos="567"/>
        </w:tabs>
        <w:ind w:left="0" w:firstLine="0"/>
        <w:rPr>
          <w:rFonts w:cs="Times New Roman"/>
          <w:b w:val="0"/>
          <w:bCs w:val="0"/>
          <w:lang w:val="hu-HU"/>
        </w:rPr>
      </w:pPr>
      <w:r>
        <w:rPr>
          <w:rFonts w:cs="Times New Roman"/>
          <w:lang w:val="hu-HU"/>
        </w:rPr>
        <w:t>Adagolás és alkalmazás</w:t>
      </w:r>
    </w:p>
    <w:p w14:paraId="373732F3" w14:textId="77777777" w:rsidR="003F0FF1" w:rsidRDefault="003F0FF1">
      <w:pPr>
        <w:rPr>
          <w:rFonts w:ascii="Times New Roman" w:eastAsia="Times New Roman" w:hAnsi="Times New Roman" w:cs="Times New Roman"/>
          <w:b/>
          <w:bCs/>
          <w:lang w:val="hu-HU"/>
        </w:rPr>
      </w:pPr>
    </w:p>
    <w:p w14:paraId="5BAA6E7D" w14:textId="77777777" w:rsidR="003F0FF1" w:rsidRDefault="001156D9">
      <w:pPr>
        <w:pStyle w:val="Szvegtrzs"/>
        <w:ind w:left="0"/>
        <w:rPr>
          <w:rFonts w:cs="Times New Roman"/>
          <w:lang w:val="hu-HU"/>
        </w:rPr>
      </w:pPr>
      <w:r>
        <w:rPr>
          <w:rFonts w:cs="Times New Roman"/>
          <w:lang w:val="hu-HU"/>
        </w:rPr>
        <w:t xml:space="preserve">A kezelést a sclerosis multiplex kezelésében tapasztalattal rendelkező orvosnak kell elkezdenie és felügyelnie. </w:t>
      </w:r>
    </w:p>
    <w:p w14:paraId="345DA5ED" w14:textId="77777777" w:rsidR="003F0FF1" w:rsidRDefault="003F0FF1">
      <w:pPr>
        <w:pStyle w:val="Szvegtrzs"/>
        <w:ind w:left="0"/>
        <w:rPr>
          <w:rFonts w:cs="Times New Roman"/>
          <w:u w:val="single" w:color="000000"/>
          <w:lang w:val="hu-HU"/>
        </w:rPr>
      </w:pPr>
    </w:p>
    <w:p w14:paraId="07B339E3" w14:textId="77777777" w:rsidR="003F0FF1" w:rsidRDefault="001156D9">
      <w:pPr>
        <w:pStyle w:val="Szvegtrzs"/>
        <w:ind w:left="0"/>
        <w:rPr>
          <w:rFonts w:cs="Times New Roman"/>
          <w:u w:val="single" w:color="000000"/>
          <w:lang w:val="hu-HU"/>
        </w:rPr>
      </w:pPr>
      <w:r>
        <w:rPr>
          <w:rFonts w:cs="Times New Roman"/>
          <w:u w:val="single" w:color="000000"/>
          <w:lang w:val="hu-HU"/>
        </w:rPr>
        <w:t>Adagolás</w:t>
      </w:r>
    </w:p>
    <w:p w14:paraId="01C06334" w14:textId="77777777" w:rsidR="003F0FF1" w:rsidRDefault="003F0FF1">
      <w:pPr>
        <w:pStyle w:val="Szvegtrzs"/>
        <w:ind w:left="0"/>
        <w:rPr>
          <w:rFonts w:cs="Times New Roman"/>
          <w:lang w:val="hu-HU"/>
        </w:rPr>
      </w:pPr>
    </w:p>
    <w:p w14:paraId="4CAA7C09" w14:textId="77777777" w:rsidR="003F0FF1" w:rsidRDefault="001156D9">
      <w:pPr>
        <w:pStyle w:val="Szvegtrzs"/>
        <w:ind w:left="0"/>
        <w:rPr>
          <w:rFonts w:cs="Times New Roman"/>
          <w:lang w:val="hu-HU"/>
        </w:rPr>
      </w:pPr>
      <w:r>
        <w:rPr>
          <w:rFonts w:cs="Times New Roman"/>
          <w:lang w:val="hu-HU"/>
        </w:rPr>
        <w:t>Felnőtteknél a fingolimod javasolt adagja naponta egyszer egy 0,5 mg-os kapszula, szájon át bevéve.</w:t>
      </w:r>
    </w:p>
    <w:p w14:paraId="43653D50" w14:textId="77777777" w:rsidR="003F0FF1" w:rsidRDefault="003F0FF1">
      <w:pPr>
        <w:pStyle w:val="Szvegtrzs"/>
        <w:ind w:left="0"/>
        <w:rPr>
          <w:rFonts w:cs="Times New Roman"/>
          <w:lang w:val="hu-HU"/>
        </w:rPr>
      </w:pPr>
    </w:p>
    <w:p w14:paraId="1DEE00F4" w14:textId="77777777" w:rsidR="003F0FF1" w:rsidRDefault="001156D9">
      <w:pPr>
        <w:pStyle w:val="Szvegtrzs"/>
        <w:ind w:left="0"/>
        <w:rPr>
          <w:rFonts w:cs="Times New Roman"/>
          <w:lang w:val="hu-HU"/>
        </w:rPr>
      </w:pPr>
      <w:r>
        <w:rPr>
          <w:rFonts w:cs="Times New Roman"/>
          <w:lang w:val="hu-HU"/>
        </w:rPr>
        <w:t xml:space="preserve">Gyermekek és serdülők esetében (10 éves vagy annál idősebb) a javasolt dózis a testtömegtől függ: </w:t>
      </w:r>
    </w:p>
    <w:p w14:paraId="4EA750C7" w14:textId="77777777" w:rsidR="003F0FF1" w:rsidRDefault="001156D9">
      <w:pPr>
        <w:pStyle w:val="Szvegtrzs"/>
        <w:numPr>
          <w:ilvl w:val="0"/>
          <w:numId w:val="29"/>
        </w:numPr>
        <w:ind w:left="567" w:hanging="567"/>
        <w:rPr>
          <w:rFonts w:cs="Times New Roman"/>
          <w:lang w:val="hu-HU"/>
        </w:rPr>
      </w:pPr>
      <w:r>
        <w:rPr>
          <w:rFonts w:cs="Times New Roman"/>
          <w:lang w:val="hu-HU"/>
        </w:rPr>
        <w:t xml:space="preserve">≤ 40 kg testtömegű </w:t>
      </w:r>
      <w:r>
        <w:rPr>
          <w:lang w:val="hu-HU"/>
        </w:rPr>
        <w:t>gyermekek és serdülők esetében</w:t>
      </w:r>
      <w:r>
        <w:rPr>
          <w:rFonts w:cs="Times New Roman"/>
          <w:lang w:val="hu-HU"/>
        </w:rPr>
        <w:t xml:space="preserve">: naponta egyszer egy 0,25 mg-os kapszula, szájon át bevéve. </w:t>
      </w:r>
    </w:p>
    <w:p w14:paraId="03D2CEB8" w14:textId="77777777" w:rsidR="003F0FF1" w:rsidRDefault="001156D9">
      <w:pPr>
        <w:pStyle w:val="Szvegtrzs"/>
        <w:numPr>
          <w:ilvl w:val="0"/>
          <w:numId w:val="29"/>
        </w:numPr>
        <w:ind w:left="567" w:hanging="567"/>
        <w:rPr>
          <w:rFonts w:cs="Times New Roman"/>
          <w:lang w:val="hu-HU"/>
        </w:rPr>
      </w:pPr>
      <w:r>
        <w:rPr>
          <w:rFonts w:cs="Times New Roman"/>
          <w:lang w:val="hu-HU"/>
        </w:rPr>
        <w:t>&gt; 40 kg testtömegű gyermekek és serdülők esetében: naponta egyszer egy 0,5 mg-os kapszula, szájon át bevéve.</w:t>
      </w:r>
    </w:p>
    <w:p w14:paraId="495115F3" w14:textId="77777777" w:rsidR="003F0FF1" w:rsidRDefault="003F0FF1">
      <w:pPr>
        <w:rPr>
          <w:rFonts w:ascii="Times New Roman" w:eastAsia="Times New Roman" w:hAnsi="Times New Roman" w:cs="Times New Roman"/>
          <w:lang w:val="hu-HU"/>
        </w:rPr>
      </w:pPr>
    </w:p>
    <w:p w14:paraId="46C3F274" w14:textId="77777777" w:rsidR="003F0FF1" w:rsidRDefault="001156D9">
      <w:pPr>
        <w:pStyle w:val="Szvegtrzs"/>
        <w:ind w:left="0"/>
        <w:rPr>
          <w:rFonts w:cs="Times New Roman"/>
          <w:lang w:val="hu-HU"/>
        </w:rPr>
      </w:pPr>
      <w:r>
        <w:rPr>
          <w:rFonts w:cs="Times New Roman"/>
          <w:lang w:val="hu-HU"/>
        </w:rPr>
        <w:t>Azon gyermekeket és serdülőket, akiknél a kezelést 0,25 mg-os kapszulával kezdik, majd azt követően a stabil testtömegük 40 kg fölé emelkedik, át kell állítani a 0,5 mg-os kapszulára.</w:t>
      </w:r>
    </w:p>
    <w:p w14:paraId="66392A8C" w14:textId="77777777" w:rsidR="003F0FF1" w:rsidRDefault="003F0FF1">
      <w:pPr>
        <w:pStyle w:val="Szvegtrzs"/>
        <w:ind w:left="0"/>
        <w:rPr>
          <w:rFonts w:cs="Times New Roman"/>
          <w:lang w:val="hu-HU"/>
        </w:rPr>
      </w:pPr>
    </w:p>
    <w:p w14:paraId="3A2237F8" w14:textId="77777777" w:rsidR="003F0FF1" w:rsidRDefault="001156D9" w:rsidP="00CE583C">
      <w:pPr>
        <w:pStyle w:val="Szvegtrzs"/>
        <w:widowControl/>
        <w:ind w:left="0"/>
        <w:rPr>
          <w:rFonts w:cs="Times New Roman"/>
          <w:lang w:val="hu-HU"/>
        </w:rPr>
      </w:pPr>
      <w:r>
        <w:rPr>
          <w:rFonts w:cs="Times New Roman"/>
          <w:lang w:val="hu-HU"/>
        </w:rPr>
        <w:lastRenderedPageBreak/>
        <w:t xml:space="preserve">A naponta 0,25 mg-ról 0,5 mg-ra történő átállítás során az első adag bevételekor javasolt a kezelés megkezdésekor alkalmazott monitorozást elvégezni. </w:t>
      </w:r>
    </w:p>
    <w:p w14:paraId="4DC9E947" w14:textId="77777777" w:rsidR="003F0FF1" w:rsidRDefault="003F0FF1">
      <w:pPr>
        <w:pStyle w:val="Szvegtrzs"/>
        <w:ind w:left="0"/>
        <w:rPr>
          <w:rFonts w:cs="Times New Roman"/>
          <w:lang w:val="hu-HU"/>
        </w:rPr>
      </w:pPr>
    </w:p>
    <w:p w14:paraId="56072DDF" w14:textId="77777777" w:rsidR="003F0FF1" w:rsidRDefault="001156D9">
      <w:pPr>
        <w:pStyle w:val="Szvegtrzs"/>
        <w:ind w:left="0"/>
        <w:rPr>
          <w:rFonts w:cs="Times New Roman"/>
          <w:lang w:val="hu-HU"/>
        </w:rPr>
      </w:pPr>
      <w:r>
        <w:rPr>
          <w:rFonts w:cs="Times New Roman"/>
          <w:lang w:val="hu-HU"/>
        </w:rPr>
        <w:t xml:space="preserve">Az </w:t>
      </w:r>
      <w:r>
        <w:rPr>
          <w:rFonts w:cs="Times New Roman"/>
          <w:iCs/>
          <w:lang w:val="hu-HU"/>
        </w:rPr>
        <w:t>Efigalo 0,25 mg-os hatáserősségben nem elérhető. Ehhez a hatáserősséghez más, 0,25 mg fingolimodot tartalmazó forgalomban lévő gyógyszer alkalmazandó.</w:t>
      </w:r>
    </w:p>
    <w:p w14:paraId="6C779F1F" w14:textId="77777777" w:rsidR="003F0FF1" w:rsidRDefault="003F0FF1">
      <w:pPr>
        <w:pStyle w:val="Szvegtrzs"/>
        <w:ind w:left="0"/>
        <w:rPr>
          <w:rFonts w:cs="Times New Roman"/>
          <w:lang w:val="hu-HU"/>
        </w:rPr>
      </w:pPr>
    </w:p>
    <w:p w14:paraId="442063AB" w14:textId="77777777" w:rsidR="003F0FF1" w:rsidRDefault="001156D9">
      <w:pPr>
        <w:pStyle w:val="Szvegtrzs"/>
        <w:ind w:left="0"/>
        <w:rPr>
          <w:rFonts w:cs="Times New Roman"/>
          <w:lang w:val="hu-HU"/>
        </w:rPr>
      </w:pPr>
      <w:r>
        <w:rPr>
          <w:rFonts w:cs="Times New Roman"/>
          <w:lang w:val="hu-HU"/>
        </w:rPr>
        <w:t>Az első dózis esetén ugyanaz a monitorozás javasolt, mint a kezelés elkezdésekor, ha a kezelést az alábbiak szerint megszakították:</w:t>
      </w:r>
    </w:p>
    <w:p w14:paraId="299C7741" w14:textId="77777777" w:rsidR="003F0FF1" w:rsidRDefault="001156D9">
      <w:pPr>
        <w:pStyle w:val="Szvegtrzs"/>
        <w:numPr>
          <w:ilvl w:val="0"/>
          <w:numId w:val="24"/>
        </w:numPr>
        <w:tabs>
          <w:tab w:val="left" w:pos="567"/>
        </w:tabs>
        <w:ind w:left="0" w:firstLine="0"/>
        <w:rPr>
          <w:rFonts w:cs="Times New Roman"/>
          <w:lang w:val="hu-HU"/>
        </w:rPr>
      </w:pPr>
      <w:r>
        <w:rPr>
          <w:rFonts w:cs="Times New Roman"/>
          <w:lang w:val="hu-HU"/>
        </w:rPr>
        <w:t>1 vagy több napra a kezelés első 2 hete alatt.</w:t>
      </w:r>
    </w:p>
    <w:p w14:paraId="7297D42C" w14:textId="77777777" w:rsidR="003F0FF1" w:rsidRDefault="001156D9">
      <w:pPr>
        <w:pStyle w:val="Szvegtrzs"/>
        <w:numPr>
          <w:ilvl w:val="0"/>
          <w:numId w:val="24"/>
        </w:numPr>
        <w:tabs>
          <w:tab w:val="left" w:pos="567"/>
        </w:tabs>
        <w:ind w:left="0" w:firstLine="0"/>
        <w:rPr>
          <w:rFonts w:cs="Times New Roman"/>
          <w:lang w:val="hu-HU"/>
        </w:rPr>
      </w:pPr>
      <w:r>
        <w:rPr>
          <w:rFonts w:cs="Times New Roman"/>
          <w:lang w:val="hu-HU"/>
        </w:rPr>
        <w:t>több mint 7 napra a kezelés 3. és 4. hete alatt.</w:t>
      </w:r>
    </w:p>
    <w:p w14:paraId="45B39AD7" w14:textId="77777777" w:rsidR="003F0FF1" w:rsidRDefault="001156D9">
      <w:pPr>
        <w:pStyle w:val="Szvegtrzs"/>
        <w:numPr>
          <w:ilvl w:val="0"/>
          <w:numId w:val="24"/>
        </w:numPr>
        <w:tabs>
          <w:tab w:val="left" w:pos="567"/>
        </w:tabs>
        <w:ind w:left="0" w:firstLine="0"/>
        <w:rPr>
          <w:rFonts w:cs="Times New Roman"/>
          <w:lang w:val="hu-HU"/>
        </w:rPr>
      </w:pPr>
      <w:r>
        <w:rPr>
          <w:rFonts w:cs="Times New Roman"/>
          <w:lang w:val="hu-HU"/>
        </w:rPr>
        <w:t>több mint 2 hétre, egyhónapos kezelés után.</w:t>
      </w:r>
    </w:p>
    <w:p w14:paraId="1647F184" w14:textId="77777777" w:rsidR="003F0FF1" w:rsidRDefault="001156D9">
      <w:pPr>
        <w:pStyle w:val="Szvegtrzs"/>
        <w:ind w:left="0"/>
        <w:rPr>
          <w:rFonts w:cs="Times New Roman"/>
          <w:lang w:val="hu-HU"/>
        </w:rPr>
      </w:pPr>
      <w:r>
        <w:rPr>
          <w:rFonts w:cs="Times New Roman"/>
          <w:lang w:val="hu-HU"/>
        </w:rPr>
        <w:t>Ha a kezelés megszakítása a fentieknél rövidebb ideig tart, akkor a kezelést a következő adaggal a eredeti terv szerint kell folytatni (lásd 4.4 pont).</w:t>
      </w:r>
    </w:p>
    <w:p w14:paraId="61090C66" w14:textId="77777777" w:rsidR="003F0FF1" w:rsidRDefault="003F0FF1">
      <w:pPr>
        <w:pStyle w:val="Szvegtrzs"/>
        <w:ind w:left="0"/>
        <w:rPr>
          <w:rFonts w:cs="Times New Roman"/>
          <w:lang w:val="hu-HU"/>
        </w:rPr>
      </w:pPr>
    </w:p>
    <w:p w14:paraId="332D8EC8" w14:textId="77777777" w:rsidR="003F0FF1" w:rsidRDefault="001156D9">
      <w:pPr>
        <w:pStyle w:val="Szvegtrzs"/>
        <w:ind w:left="0"/>
        <w:rPr>
          <w:rFonts w:cs="Times New Roman"/>
          <w:lang w:val="hu-HU"/>
        </w:rPr>
      </w:pPr>
      <w:r>
        <w:rPr>
          <w:rFonts w:cs="Times New Roman"/>
          <w:u w:val="single" w:color="000000"/>
          <w:lang w:val="hu-HU"/>
        </w:rPr>
        <w:t>Különleges betegcsoportok</w:t>
      </w:r>
    </w:p>
    <w:p w14:paraId="75CB4D71" w14:textId="77777777" w:rsidR="003F0FF1" w:rsidRDefault="003F0FF1">
      <w:pPr>
        <w:rPr>
          <w:rFonts w:ascii="Times New Roman" w:hAnsi="Times New Roman" w:cs="Times New Roman"/>
          <w:i/>
          <w:u w:val="single" w:color="000000"/>
          <w:lang w:val="hu-HU"/>
        </w:rPr>
      </w:pPr>
    </w:p>
    <w:p w14:paraId="1366F080" w14:textId="77777777" w:rsidR="003F0FF1" w:rsidRDefault="001156D9">
      <w:pPr>
        <w:rPr>
          <w:rFonts w:ascii="Times New Roman" w:eastAsia="Times New Roman" w:hAnsi="Times New Roman" w:cs="Times New Roman"/>
          <w:lang w:val="hu-HU"/>
        </w:rPr>
      </w:pPr>
      <w:r>
        <w:rPr>
          <w:rFonts w:ascii="Times New Roman" w:hAnsi="Times New Roman" w:cs="Times New Roman"/>
          <w:i/>
          <w:lang w:val="hu-HU"/>
        </w:rPr>
        <w:t>Idősek</w:t>
      </w:r>
    </w:p>
    <w:p w14:paraId="6F250922" w14:textId="77777777" w:rsidR="003F0FF1" w:rsidRDefault="001156D9">
      <w:pPr>
        <w:pStyle w:val="Szvegtrzs"/>
        <w:ind w:left="0"/>
        <w:rPr>
          <w:rFonts w:cs="Times New Roman"/>
          <w:lang w:val="hu-HU"/>
        </w:rPr>
      </w:pPr>
      <w:r>
        <w:rPr>
          <w:rFonts w:cs="Times New Roman"/>
          <w:lang w:val="hu-HU"/>
        </w:rPr>
        <w:t>A fingolimodot a biztonságosságra és a hatásosságra vonatkozó kevés adat miatt a 65 éves és idősebb betegeknél óvatosan kell alkalmazni (lásd 5.2 pont).</w:t>
      </w:r>
    </w:p>
    <w:p w14:paraId="7ADC44C0" w14:textId="77777777" w:rsidR="003F0FF1" w:rsidRDefault="003F0FF1">
      <w:pPr>
        <w:pStyle w:val="Szvegtrzs"/>
        <w:ind w:left="0"/>
        <w:rPr>
          <w:rFonts w:cs="Times New Roman"/>
          <w:lang w:val="hu-HU"/>
        </w:rPr>
      </w:pPr>
    </w:p>
    <w:p w14:paraId="6F466D10" w14:textId="77777777" w:rsidR="003F0FF1" w:rsidRDefault="001156D9">
      <w:pPr>
        <w:rPr>
          <w:rFonts w:ascii="Times New Roman" w:eastAsia="Times New Roman" w:hAnsi="Times New Roman" w:cs="Times New Roman"/>
          <w:i/>
          <w:lang w:val="hu-HU"/>
        </w:rPr>
      </w:pPr>
      <w:r>
        <w:rPr>
          <w:rFonts w:ascii="Times New Roman" w:eastAsia="Times New Roman" w:hAnsi="Times New Roman" w:cs="Times New Roman"/>
          <w:i/>
          <w:lang w:val="hu-HU"/>
        </w:rPr>
        <w:t>V</w:t>
      </w:r>
      <w:r>
        <w:rPr>
          <w:rFonts w:ascii="Times New Roman" w:hAnsi="Times New Roman" w:cs="Times New Roman"/>
          <w:i/>
          <w:lang w:val="hu-HU"/>
        </w:rPr>
        <w:t>esekárosodás</w:t>
      </w:r>
    </w:p>
    <w:p w14:paraId="7BD2EDA1" w14:textId="77777777" w:rsidR="003F0FF1" w:rsidRDefault="001156D9">
      <w:pPr>
        <w:pStyle w:val="Szvegtrzs"/>
        <w:ind w:left="0"/>
        <w:rPr>
          <w:rFonts w:cs="Times New Roman"/>
          <w:lang w:val="hu-HU"/>
        </w:rPr>
      </w:pPr>
      <w:r>
        <w:rPr>
          <w:rFonts w:cs="Times New Roman"/>
          <w:lang w:val="hu-HU"/>
        </w:rPr>
        <w:t>A fingolimodot a sclerosis multiplex miatt végzett pivotális vizsgálatokban vesekárosodásban szenvedő betegeknél nem vizsgálták. A klinikai farmakológiai vizsgálatok alapján az enyhe-súlyos fokú vesekárosodásban szenvedő betegeknél a dózis módosítása nem szükséges.</w:t>
      </w:r>
    </w:p>
    <w:p w14:paraId="65F32C34" w14:textId="77777777" w:rsidR="003F0FF1" w:rsidRDefault="003F0FF1">
      <w:pPr>
        <w:rPr>
          <w:rFonts w:ascii="Times New Roman" w:eastAsia="Times New Roman" w:hAnsi="Times New Roman" w:cs="Times New Roman"/>
          <w:lang w:val="hu-HU"/>
        </w:rPr>
      </w:pPr>
    </w:p>
    <w:p w14:paraId="3CF3A454" w14:textId="77777777" w:rsidR="003F0FF1" w:rsidRDefault="001156D9">
      <w:pPr>
        <w:rPr>
          <w:rFonts w:ascii="Times New Roman" w:eastAsia="Times New Roman" w:hAnsi="Times New Roman" w:cs="Times New Roman"/>
          <w:lang w:val="hu-HU"/>
        </w:rPr>
      </w:pPr>
      <w:r>
        <w:rPr>
          <w:rFonts w:ascii="Times New Roman" w:hAnsi="Times New Roman" w:cs="Times New Roman"/>
          <w:i/>
          <w:lang w:val="hu-HU"/>
        </w:rPr>
        <w:t>Májkárosodás</w:t>
      </w:r>
    </w:p>
    <w:p w14:paraId="69F3F165" w14:textId="77777777" w:rsidR="003F0FF1" w:rsidRDefault="001156D9">
      <w:pPr>
        <w:pStyle w:val="Szvegtrzs"/>
        <w:ind w:left="0"/>
        <w:rPr>
          <w:rFonts w:cs="Times New Roman"/>
          <w:lang w:val="hu-HU"/>
        </w:rPr>
      </w:pPr>
      <w:r>
        <w:rPr>
          <w:rFonts w:cs="Times New Roman"/>
          <w:lang w:val="hu-HU"/>
        </w:rPr>
        <w:t>A fingolimodot a súlyos fokú májkárosodásban szenvedő betegeknél (Child-Pugh C stádium) tilos alkalmazni (lásd 4.3 pont). Noha az enyhe-közepesen súlyos fokú májkárosodásban szenvedő betegeknél a dózis módosítása nem szükséges, a kezelés elkezdésekor ezeknél a betegeknél elővigyázatossággal kell eljárni (lásd 4.4 és 5.2 pont).</w:t>
      </w:r>
    </w:p>
    <w:p w14:paraId="4E80A973" w14:textId="77777777" w:rsidR="003F0FF1" w:rsidRDefault="003F0FF1">
      <w:pPr>
        <w:rPr>
          <w:rFonts w:ascii="Times New Roman" w:eastAsia="Times New Roman" w:hAnsi="Times New Roman" w:cs="Times New Roman"/>
          <w:lang w:val="hu-HU"/>
        </w:rPr>
      </w:pPr>
    </w:p>
    <w:p w14:paraId="38F180FC" w14:textId="77777777" w:rsidR="003F0FF1" w:rsidRDefault="001156D9">
      <w:pPr>
        <w:rPr>
          <w:rFonts w:ascii="Times New Roman" w:eastAsia="Times New Roman" w:hAnsi="Times New Roman" w:cs="Times New Roman"/>
          <w:lang w:val="hu-HU"/>
        </w:rPr>
      </w:pPr>
      <w:r>
        <w:rPr>
          <w:rFonts w:ascii="Times New Roman" w:hAnsi="Times New Roman" w:cs="Times New Roman"/>
          <w:u w:val="single" w:color="000000"/>
          <w:lang w:val="hu-HU"/>
        </w:rPr>
        <w:t>Gyermekek és serdülők</w:t>
      </w:r>
    </w:p>
    <w:p w14:paraId="23EE2614" w14:textId="77777777" w:rsidR="003F0FF1" w:rsidRDefault="001156D9">
      <w:pPr>
        <w:pStyle w:val="Szvegtrzs"/>
        <w:ind w:left="0"/>
        <w:rPr>
          <w:rFonts w:cs="Times New Roman"/>
          <w:lang w:val="hu-HU"/>
        </w:rPr>
      </w:pPr>
      <w:r>
        <w:rPr>
          <w:rFonts w:cs="Times New Roman"/>
          <w:lang w:val="hu-HU"/>
        </w:rPr>
        <w:t>A fingolimod biztonságosságát és hatásosságát 10 évesnél fiatalabb gyermekek esetében nem igazolták.</w:t>
      </w:r>
    </w:p>
    <w:p w14:paraId="0237A1A4" w14:textId="77777777" w:rsidR="003F0FF1" w:rsidRDefault="001156D9">
      <w:pPr>
        <w:pStyle w:val="Szvegtrzs"/>
        <w:ind w:left="0"/>
        <w:rPr>
          <w:rFonts w:cs="Times New Roman"/>
          <w:lang w:val="hu-HU"/>
        </w:rPr>
      </w:pPr>
      <w:r>
        <w:rPr>
          <w:rFonts w:cs="Times New Roman"/>
          <w:lang w:val="hu-HU"/>
        </w:rPr>
        <w:t>Nincsenek rendelkezésre álló adatok.</w:t>
      </w:r>
    </w:p>
    <w:p w14:paraId="2B40B1EC" w14:textId="77777777" w:rsidR="003F0FF1" w:rsidRDefault="003F0FF1">
      <w:pPr>
        <w:pStyle w:val="Szvegtrzs"/>
        <w:ind w:left="0"/>
        <w:rPr>
          <w:rFonts w:cs="Times New Roman"/>
          <w:lang w:val="hu-HU"/>
        </w:rPr>
      </w:pPr>
    </w:p>
    <w:p w14:paraId="6BF67E0E" w14:textId="77777777" w:rsidR="003F0FF1" w:rsidRDefault="001156D9">
      <w:pPr>
        <w:pStyle w:val="Szvegtrzs"/>
        <w:ind w:left="0"/>
        <w:rPr>
          <w:rFonts w:cs="Times New Roman"/>
          <w:lang w:val="hu-HU"/>
        </w:rPr>
      </w:pPr>
      <w:r>
        <w:rPr>
          <w:rFonts w:cs="Times New Roman"/>
          <w:lang w:val="hu-HU"/>
        </w:rPr>
        <w:t>A 10–12 éves gyermekek esetében nagyon korlátozott mennyiségű adat áll rendelkezésre (lásd 4.4, 4.8 és 5.1 pont).</w:t>
      </w:r>
    </w:p>
    <w:p w14:paraId="6A4ECF54" w14:textId="77777777" w:rsidR="003F0FF1" w:rsidRDefault="003F0FF1">
      <w:pPr>
        <w:pStyle w:val="Szvegtrzs"/>
        <w:ind w:left="0"/>
        <w:rPr>
          <w:rFonts w:cs="Times New Roman"/>
          <w:u w:val="single" w:color="000000"/>
          <w:lang w:val="hu-HU"/>
        </w:rPr>
      </w:pPr>
    </w:p>
    <w:p w14:paraId="6C74A740" w14:textId="77777777" w:rsidR="003F0FF1" w:rsidRDefault="001156D9">
      <w:pPr>
        <w:pStyle w:val="Szvegtrzs"/>
        <w:ind w:left="0"/>
        <w:rPr>
          <w:rFonts w:cs="Times New Roman"/>
          <w:lang w:val="hu-HU"/>
        </w:rPr>
      </w:pPr>
      <w:r>
        <w:rPr>
          <w:rFonts w:cs="Times New Roman"/>
          <w:u w:val="single" w:color="000000"/>
          <w:lang w:val="hu-HU"/>
        </w:rPr>
        <w:t>Az alkalmazás módja</w:t>
      </w:r>
    </w:p>
    <w:p w14:paraId="52412501" w14:textId="77777777" w:rsidR="003F0FF1" w:rsidRDefault="001156D9">
      <w:pPr>
        <w:pStyle w:val="Szvegtrzs"/>
        <w:ind w:left="0"/>
        <w:rPr>
          <w:rFonts w:cs="Times New Roman"/>
          <w:lang w:val="hu-HU"/>
        </w:rPr>
      </w:pPr>
      <w:r>
        <w:rPr>
          <w:rFonts w:cs="Times New Roman"/>
          <w:lang w:val="hu-HU"/>
        </w:rPr>
        <w:t>Ez a gyógyszer szájon át alkalmazandó.</w:t>
      </w:r>
    </w:p>
    <w:p w14:paraId="283580CA" w14:textId="77777777" w:rsidR="003F0FF1" w:rsidRDefault="003F0FF1">
      <w:pPr>
        <w:pStyle w:val="Szvegtrzs"/>
        <w:ind w:left="0"/>
        <w:rPr>
          <w:rFonts w:cs="Times New Roman"/>
          <w:lang w:val="hu-HU"/>
        </w:rPr>
      </w:pPr>
    </w:p>
    <w:p w14:paraId="279A8EAA" w14:textId="77777777" w:rsidR="003F0FF1" w:rsidRDefault="001156D9">
      <w:pPr>
        <w:pStyle w:val="Szvegtrzs"/>
        <w:ind w:left="0"/>
        <w:rPr>
          <w:rFonts w:cs="Times New Roman"/>
          <w:lang w:val="hu-HU"/>
        </w:rPr>
      </w:pPr>
      <w:r>
        <w:rPr>
          <w:rFonts w:cs="Times New Roman"/>
          <w:lang w:val="hu-HU"/>
        </w:rPr>
        <w:t>Az Efigalo étkezés közben vagy étkezéstől függetlenül is bevehető (lásd 5.2 pont)</w:t>
      </w:r>
    </w:p>
    <w:p w14:paraId="6F5FDBF5" w14:textId="77777777" w:rsidR="003F0FF1" w:rsidRDefault="001156D9">
      <w:pPr>
        <w:pStyle w:val="Szvegtrzs"/>
        <w:ind w:left="0"/>
        <w:rPr>
          <w:rFonts w:cs="Times New Roman"/>
          <w:lang w:val="hu-HU"/>
        </w:rPr>
      </w:pPr>
      <w:r>
        <w:rPr>
          <w:rFonts w:cs="Times New Roman"/>
          <w:lang w:val="hu-HU"/>
        </w:rPr>
        <w:t>A kapszulákat mindig egészben kell lenyelni, nem szabad felnyitni.</w:t>
      </w:r>
    </w:p>
    <w:p w14:paraId="4B863BCA" w14:textId="77777777" w:rsidR="003F0FF1" w:rsidRDefault="003F0FF1">
      <w:pPr>
        <w:rPr>
          <w:rFonts w:ascii="Times New Roman" w:eastAsia="Times New Roman" w:hAnsi="Times New Roman" w:cs="Times New Roman"/>
          <w:lang w:val="hu-HU"/>
        </w:rPr>
      </w:pPr>
    </w:p>
    <w:p w14:paraId="77B0A2E6" w14:textId="77777777" w:rsidR="003F0FF1" w:rsidRDefault="001156D9">
      <w:pPr>
        <w:pStyle w:val="Cmsor1"/>
        <w:numPr>
          <w:ilvl w:val="1"/>
          <w:numId w:val="26"/>
        </w:numPr>
        <w:tabs>
          <w:tab w:val="left" w:pos="567"/>
        </w:tabs>
        <w:ind w:left="0" w:firstLine="0"/>
        <w:rPr>
          <w:rFonts w:cs="Times New Roman"/>
          <w:b w:val="0"/>
          <w:bCs w:val="0"/>
          <w:lang w:val="hu-HU"/>
        </w:rPr>
      </w:pPr>
      <w:r>
        <w:rPr>
          <w:rFonts w:cs="Times New Roman"/>
          <w:lang w:val="hu-HU"/>
        </w:rPr>
        <w:t>Ellenjavallatok</w:t>
      </w:r>
    </w:p>
    <w:p w14:paraId="4E664EAF" w14:textId="77777777" w:rsidR="003F0FF1" w:rsidRDefault="003F0FF1">
      <w:pPr>
        <w:rPr>
          <w:rFonts w:ascii="Times New Roman" w:eastAsia="Times New Roman" w:hAnsi="Times New Roman" w:cs="Times New Roman"/>
          <w:lang w:val="hu-HU"/>
        </w:rPr>
      </w:pPr>
    </w:p>
    <w:p w14:paraId="45E5769A" w14:textId="77777777" w:rsidR="003F0FF1" w:rsidRDefault="001156D9">
      <w:pPr>
        <w:pStyle w:val="Szvegtrzs"/>
        <w:numPr>
          <w:ilvl w:val="0"/>
          <w:numId w:val="24"/>
        </w:numPr>
        <w:ind w:left="567" w:hanging="567"/>
        <w:rPr>
          <w:rFonts w:cs="Times New Roman"/>
          <w:lang w:val="hu-HU"/>
        </w:rPr>
      </w:pPr>
      <w:r>
        <w:rPr>
          <w:rFonts w:cs="Times New Roman"/>
          <w:lang w:val="hu-HU"/>
        </w:rPr>
        <w:t>Immunhiányos szindróma.</w:t>
      </w:r>
    </w:p>
    <w:p w14:paraId="0F03C26C" w14:textId="77777777" w:rsidR="003F0FF1" w:rsidRDefault="001156D9">
      <w:pPr>
        <w:pStyle w:val="Szvegtrzs"/>
        <w:numPr>
          <w:ilvl w:val="0"/>
          <w:numId w:val="24"/>
        </w:numPr>
        <w:ind w:left="567" w:hanging="567"/>
        <w:rPr>
          <w:rFonts w:cs="Times New Roman"/>
          <w:lang w:val="hu-HU"/>
        </w:rPr>
      </w:pPr>
      <w:r>
        <w:rPr>
          <w:rFonts w:cs="Times New Roman"/>
          <w:lang w:val="hu-HU"/>
        </w:rPr>
        <w:t>Olyan betegeknél, akiknél fokozott az opportunista fertőzések kockázata, beleértve a legyengült immunrendszerű betegeket is (köztük azokat, akik jelenleg immunszuppresszív kezelést kapnak vagy azokat, akiknek az immunrendszere korábbi kezelés miatt gyengült le).</w:t>
      </w:r>
    </w:p>
    <w:p w14:paraId="1E465FDC" w14:textId="77777777" w:rsidR="003F0FF1" w:rsidRDefault="001156D9">
      <w:pPr>
        <w:pStyle w:val="Szvegtrzs"/>
        <w:numPr>
          <w:ilvl w:val="0"/>
          <w:numId w:val="24"/>
        </w:numPr>
        <w:ind w:left="567" w:hanging="567"/>
        <w:rPr>
          <w:rFonts w:cs="Times New Roman"/>
          <w:lang w:val="hu-HU"/>
        </w:rPr>
      </w:pPr>
      <w:r>
        <w:rPr>
          <w:rFonts w:cs="Times New Roman"/>
          <w:lang w:val="hu-HU"/>
        </w:rPr>
        <w:t>Feltételezett vagy igazolt progresszív multifokális leukoencephalopathia (PML) (lásd 4.4 pont).</w:t>
      </w:r>
    </w:p>
    <w:p w14:paraId="0CD83E5C" w14:textId="77777777" w:rsidR="003F0FF1" w:rsidRDefault="001156D9">
      <w:pPr>
        <w:pStyle w:val="Szvegtrzs"/>
        <w:numPr>
          <w:ilvl w:val="0"/>
          <w:numId w:val="24"/>
        </w:numPr>
        <w:ind w:left="567" w:hanging="567"/>
        <w:rPr>
          <w:rFonts w:cs="Times New Roman"/>
          <w:lang w:val="hu-HU"/>
        </w:rPr>
      </w:pPr>
      <w:r>
        <w:rPr>
          <w:rFonts w:cs="Times New Roman"/>
          <w:lang w:val="hu-HU"/>
        </w:rPr>
        <w:t>Súlyos, aktív fertőzések, aktív, krónikus fertőzések (hepatitis, tuberculosis).</w:t>
      </w:r>
    </w:p>
    <w:p w14:paraId="5EDD152E" w14:textId="77777777" w:rsidR="003F0FF1" w:rsidRDefault="001156D9">
      <w:pPr>
        <w:pStyle w:val="Szvegtrzs"/>
        <w:numPr>
          <w:ilvl w:val="0"/>
          <w:numId w:val="24"/>
        </w:numPr>
        <w:ind w:left="567" w:hanging="567"/>
        <w:rPr>
          <w:rFonts w:cs="Times New Roman"/>
          <w:lang w:val="hu-HU"/>
        </w:rPr>
      </w:pPr>
      <w:r>
        <w:rPr>
          <w:rFonts w:cs="Times New Roman"/>
          <w:lang w:val="hu-HU"/>
        </w:rPr>
        <w:t>Aktív malignus megbetegedések.</w:t>
      </w:r>
    </w:p>
    <w:p w14:paraId="628263AB" w14:textId="77777777" w:rsidR="003F0FF1" w:rsidRDefault="001156D9">
      <w:pPr>
        <w:pStyle w:val="Szvegtrzs"/>
        <w:numPr>
          <w:ilvl w:val="0"/>
          <w:numId w:val="24"/>
        </w:numPr>
        <w:ind w:left="567" w:hanging="567"/>
        <w:rPr>
          <w:rFonts w:cs="Times New Roman"/>
          <w:lang w:val="hu-HU"/>
        </w:rPr>
      </w:pPr>
      <w:r>
        <w:rPr>
          <w:rFonts w:cs="Times New Roman"/>
          <w:lang w:val="hu-HU"/>
        </w:rPr>
        <w:t>Súlyos fokú májkárosodás (Child-Pugh C stádium).</w:t>
      </w:r>
    </w:p>
    <w:p w14:paraId="3F368EC8" w14:textId="77777777" w:rsidR="003F0FF1" w:rsidRDefault="001156D9">
      <w:pPr>
        <w:pStyle w:val="Szvegtrzs"/>
        <w:numPr>
          <w:ilvl w:val="0"/>
          <w:numId w:val="24"/>
        </w:numPr>
        <w:ind w:left="567" w:hanging="567"/>
        <w:rPr>
          <w:rFonts w:cs="Times New Roman"/>
          <w:lang w:val="hu-HU"/>
        </w:rPr>
      </w:pPr>
      <w:r>
        <w:rPr>
          <w:rFonts w:cs="Times New Roman"/>
          <w:lang w:val="hu-HU"/>
        </w:rPr>
        <w:t xml:space="preserve">Az előző 6 hónapban myocardialis infarctusban (MI), instabil angina pectorisban, stroke-ban/transiens ischaemiás attackban (TIA), dekompenzált (kórházi kezelést igénylő) </w:t>
      </w:r>
      <w:r>
        <w:rPr>
          <w:rFonts w:cs="Times New Roman"/>
          <w:lang w:val="hu-HU"/>
        </w:rPr>
        <w:lastRenderedPageBreak/>
        <w:t>szívelégtelenségben (ami kórházi kezelést igényel) vagy New York Heart Association (NYHA) III/IV. stádiumú szívelégtelenségben szenvedő betegek (lásd 4.4 pont).</w:t>
      </w:r>
    </w:p>
    <w:p w14:paraId="2B106B92" w14:textId="77777777" w:rsidR="003F0FF1" w:rsidRDefault="001156D9">
      <w:pPr>
        <w:pStyle w:val="Szvegtrzs"/>
        <w:numPr>
          <w:ilvl w:val="0"/>
          <w:numId w:val="24"/>
        </w:numPr>
        <w:ind w:left="567" w:hanging="567"/>
        <w:rPr>
          <w:rFonts w:cs="Times New Roman"/>
          <w:lang w:val="hu-HU"/>
        </w:rPr>
      </w:pPr>
      <w:r>
        <w:rPr>
          <w:rFonts w:cs="Times New Roman"/>
          <w:lang w:val="hu-HU"/>
        </w:rPr>
        <w:t>Az Ia osztályú vagy III osztályú antiarrhythmiás gyógyszerekkel végzett antiarrhythmiás kezelést igénylő, súlyos szívritmuszavarokban szenvedő betegek (lásd 4.4 pont).</w:t>
      </w:r>
    </w:p>
    <w:p w14:paraId="2FFB7C82" w14:textId="77777777" w:rsidR="003F0FF1" w:rsidRDefault="001156D9">
      <w:pPr>
        <w:pStyle w:val="Szvegtrzs"/>
        <w:numPr>
          <w:ilvl w:val="0"/>
          <w:numId w:val="24"/>
        </w:numPr>
        <w:ind w:left="567" w:hanging="567"/>
        <w:rPr>
          <w:rFonts w:cs="Times New Roman"/>
          <w:lang w:val="hu-HU"/>
        </w:rPr>
      </w:pPr>
      <w:r>
        <w:rPr>
          <w:rFonts w:cs="Times New Roman"/>
          <w:lang w:val="hu-HU"/>
        </w:rPr>
        <w:t>Másodfokú, Mobitz II típusú atrioventricularis (AV) blokkban vagy harmadfokú AV-blokkban vagy sick-sinus szindrómában szenvedő betegek, ha nincs pacemakerük (lásd 4.4 pont).</w:t>
      </w:r>
    </w:p>
    <w:p w14:paraId="5DE4511B" w14:textId="77777777" w:rsidR="003F0FF1" w:rsidRDefault="001156D9">
      <w:pPr>
        <w:pStyle w:val="Szvegtrzs"/>
        <w:numPr>
          <w:ilvl w:val="0"/>
          <w:numId w:val="24"/>
        </w:numPr>
        <w:ind w:left="567" w:hanging="567"/>
        <w:rPr>
          <w:rFonts w:cs="Times New Roman"/>
          <w:lang w:val="hu-HU"/>
        </w:rPr>
      </w:pPr>
      <w:r>
        <w:rPr>
          <w:rFonts w:cs="Times New Roman"/>
          <w:lang w:val="hu-HU"/>
        </w:rPr>
        <w:t>Olyan betegek, akiknek a kiindulási QTc-távolságuk ≥ 500 ms (lásd 4.4 pont).</w:t>
      </w:r>
    </w:p>
    <w:p w14:paraId="1B085666" w14:textId="77777777" w:rsidR="003F0FF1" w:rsidRDefault="001156D9">
      <w:pPr>
        <w:pStyle w:val="Szvegtrzs"/>
        <w:numPr>
          <w:ilvl w:val="0"/>
          <w:numId w:val="24"/>
        </w:numPr>
        <w:ind w:left="567" w:hanging="567"/>
        <w:rPr>
          <w:rFonts w:cs="Times New Roman"/>
          <w:lang w:val="hu-HU"/>
        </w:rPr>
      </w:pPr>
      <w:r>
        <w:rPr>
          <w:rFonts w:cs="Times New Roman"/>
          <w:lang w:val="hu-HU"/>
        </w:rPr>
        <w:t xml:space="preserve">Terhesség során, illetve olyan fogamzóképes nőknél, akik nem alkalmaznak hatékony fogamzásgátlást (lásd 4.4 és 4.6 pont). </w:t>
      </w:r>
    </w:p>
    <w:p w14:paraId="29E73583" w14:textId="77777777" w:rsidR="003F0FF1" w:rsidRDefault="001156D9">
      <w:pPr>
        <w:pStyle w:val="Szvegtrzs"/>
        <w:numPr>
          <w:ilvl w:val="0"/>
          <w:numId w:val="24"/>
        </w:numPr>
        <w:ind w:left="567" w:hanging="567"/>
        <w:rPr>
          <w:rFonts w:cs="Times New Roman"/>
          <w:lang w:val="hu-HU"/>
        </w:rPr>
      </w:pPr>
      <w:r>
        <w:rPr>
          <w:rFonts w:cs="Times New Roman"/>
          <w:lang w:val="hu-HU"/>
        </w:rPr>
        <w:t>A készítmény hatóanyagával vagy a 6.1 pontban felsorolt bármely segédanyagával szembeni túlérzékenység.</w:t>
      </w:r>
    </w:p>
    <w:p w14:paraId="25FCADBF" w14:textId="77777777" w:rsidR="003F0FF1" w:rsidRDefault="003F0FF1">
      <w:pPr>
        <w:rPr>
          <w:rFonts w:ascii="Times New Roman" w:eastAsia="Times New Roman" w:hAnsi="Times New Roman" w:cs="Times New Roman"/>
          <w:lang w:val="hu-HU"/>
        </w:rPr>
      </w:pPr>
    </w:p>
    <w:p w14:paraId="69A232FA" w14:textId="77777777" w:rsidR="003F0FF1" w:rsidRDefault="001156D9">
      <w:pPr>
        <w:pStyle w:val="Cmsor1"/>
        <w:numPr>
          <w:ilvl w:val="1"/>
          <w:numId w:val="26"/>
        </w:numPr>
        <w:tabs>
          <w:tab w:val="left" w:pos="567"/>
        </w:tabs>
        <w:ind w:left="0" w:firstLine="0"/>
        <w:rPr>
          <w:rFonts w:cs="Times New Roman"/>
          <w:b w:val="0"/>
          <w:bCs w:val="0"/>
          <w:lang w:val="hu-HU"/>
        </w:rPr>
      </w:pPr>
      <w:r>
        <w:rPr>
          <w:rFonts w:cs="Times New Roman"/>
          <w:lang w:val="hu-HU"/>
        </w:rPr>
        <w:t>Különleges figyelmeztetések és az alkalmazással kapcsolatos óvintézkedések</w:t>
      </w:r>
    </w:p>
    <w:p w14:paraId="0E8AA2AD" w14:textId="77777777" w:rsidR="003F0FF1" w:rsidRDefault="003F0FF1">
      <w:pPr>
        <w:rPr>
          <w:rFonts w:ascii="Times New Roman" w:eastAsia="Times New Roman" w:hAnsi="Times New Roman" w:cs="Times New Roman"/>
          <w:b/>
          <w:bCs/>
          <w:lang w:val="hu-HU"/>
        </w:rPr>
      </w:pPr>
    </w:p>
    <w:p w14:paraId="778F7201" w14:textId="77777777" w:rsidR="003F0FF1" w:rsidRDefault="001156D9">
      <w:pPr>
        <w:pStyle w:val="Szvegtrzs"/>
        <w:ind w:left="0"/>
        <w:rPr>
          <w:rFonts w:cs="Times New Roman"/>
          <w:lang w:val="hu-HU"/>
        </w:rPr>
      </w:pPr>
      <w:r>
        <w:rPr>
          <w:rFonts w:cs="Times New Roman"/>
          <w:u w:val="single" w:color="000000"/>
          <w:lang w:val="hu-HU"/>
        </w:rPr>
        <w:t>Bradyarrhythmia</w:t>
      </w:r>
    </w:p>
    <w:p w14:paraId="5515822E" w14:textId="77777777" w:rsidR="003F0FF1" w:rsidRDefault="001156D9">
      <w:pPr>
        <w:pStyle w:val="Szvegtrzs"/>
        <w:ind w:left="0"/>
        <w:rPr>
          <w:rFonts w:cs="Times New Roman"/>
          <w:lang w:val="hu-HU"/>
        </w:rPr>
      </w:pPr>
      <w:r>
        <w:rPr>
          <w:rFonts w:cs="Times New Roman"/>
          <w:lang w:val="hu-HU"/>
        </w:rPr>
        <w:t>A fingolimod-kezelés elkezdése a szívfrekvencia átmeneti csökkenését eredményezi, mely lassult atrioventricularis átvezetéssel is társulhat, beleértve az átmeneti, spontán megszűnő teljes AV-blokkot is egyes izolált jelentéseket szerint (lásd 4.8 és 5.1 pont).</w:t>
      </w:r>
    </w:p>
    <w:p w14:paraId="352FF541" w14:textId="77777777" w:rsidR="003F0FF1" w:rsidRDefault="003F0FF1">
      <w:pPr>
        <w:rPr>
          <w:rFonts w:ascii="Times New Roman" w:eastAsia="Times New Roman" w:hAnsi="Times New Roman" w:cs="Times New Roman"/>
          <w:lang w:val="hu-HU"/>
        </w:rPr>
      </w:pPr>
    </w:p>
    <w:p w14:paraId="0BE09097" w14:textId="77777777" w:rsidR="003F0FF1" w:rsidRDefault="001156D9">
      <w:pPr>
        <w:pStyle w:val="Szvegtrzs"/>
        <w:ind w:left="0"/>
        <w:rPr>
          <w:rFonts w:cs="Times New Roman"/>
          <w:lang w:val="hu-HU"/>
        </w:rPr>
      </w:pPr>
      <w:r>
        <w:rPr>
          <w:rFonts w:cs="Times New Roman"/>
          <w:lang w:val="hu-HU"/>
        </w:rPr>
        <w:t>Az első adag után a szívfrekvencia csökkenése egy órán belül elkezdődik, és 6 órán belül a legkifejezettebb. Ez az adagolást követő hatás a következő napokban fennáll, bár rendszerint enyhébb mértékben, és a következő hetekben általában csökken. Az adagolás folytatása mellett az átlagos szívfrekvencia egy hónapon belül visszatér a kiindulási szintre. Ugyanakkor egyes betegeknél előfordulhat, hogy a szívfrekvencia az első hónap végére nem tér vissza a kiindulási szintre. A vezetési zavarok jellemző módon átmenetiek és tünetmentesek voltak. A kezelésükre általában nem volt szükség, és a kezelés első 24 óráján belül megszűntek. Ha szükséges, a szívfrekvencia fingolimod által kiváltott csökkenése atropin vagy izoprenalin parenterális adagolásával visszafordítható.</w:t>
      </w:r>
    </w:p>
    <w:p w14:paraId="41179964" w14:textId="77777777" w:rsidR="003F0FF1" w:rsidRDefault="003F0FF1">
      <w:pPr>
        <w:rPr>
          <w:rFonts w:ascii="Times New Roman" w:eastAsia="Times New Roman" w:hAnsi="Times New Roman" w:cs="Times New Roman"/>
          <w:lang w:val="hu-HU"/>
        </w:rPr>
      </w:pPr>
    </w:p>
    <w:p w14:paraId="4164756F" w14:textId="77777777" w:rsidR="003F0FF1" w:rsidRDefault="001156D9">
      <w:pPr>
        <w:pStyle w:val="Szvegtrzs"/>
        <w:ind w:left="0"/>
        <w:rPr>
          <w:rFonts w:cs="Times New Roman"/>
          <w:lang w:val="hu-HU"/>
        </w:rPr>
      </w:pPr>
      <w:r>
        <w:rPr>
          <w:rFonts w:cs="Times New Roman"/>
          <w:lang w:val="hu-HU"/>
        </w:rPr>
        <w:t>A fingolimod első dózisa előtt és 6 órával az után minden betegnél EKG-vizsgálatot és vérnyomásmérést kell végezni. Minden betegnél óránkénti pulzusszám- és vérnyomásméréssel 6 órán keresztül monitorozni kell a bradycardia okozta panaszokat és tüneteket. Ezalatt a 6 órás időszak alatt folyamatos (valós idejű) EKG-monitorozás javasolt.</w:t>
      </w:r>
    </w:p>
    <w:p w14:paraId="45F9F093" w14:textId="77777777" w:rsidR="003F0FF1" w:rsidRDefault="003F0FF1">
      <w:pPr>
        <w:rPr>
          <w:rFonts w:ascii="Times New Roman" w:eastAsia="Times New Roman" w:hAnsi="Times New Roman" w:cs="Times New Roman"/>
          <w:lang w:val="hu-HU"/>
        </w:rPr>
      </w:pPr>
    </w:p>
    <w:p w14:paraId="208F1BA9" w14:textId="77777777" w:rsidR="003F0FF1" w:rsidRDefault="001156D9">
      <w:pPr>
        <w:pStyle w:val="Szvegtrzs"/>
        <w:ind w:left="0"/>
        <w:rPr>
          <w:rFonts w:cs="Times New Roman"/>
          <w:lang w:val="hu-HU"/>
        </w:rPr>
      </w:pPr>
      <w:r>
        <w:rPr>
          <w:rFonts w:cs="Times New Roman"/>
          <w:lang w:val="hu-HU"/>
        </w:rPr>
        <w:t>A 0,25 mg-ról 0,5 mg napi adagra történő átállítás során az első adag bevételekor javasolt a kezelés megkezdésekor alkalmazott óvintézkedéseket megismételni.</w:t>
      </w:r>
    </w:p>
    <w:p w14:paraId="2D24D738" w14:textId="77777777" w:rsidR="003F0FF1" w:rsidRDefault="003F0FF1">
      <w:pPr>
        <w:pStyle w:val="Szvegtrzs"/>
        <w:ind w:left="0"/>
        <w:rPr>
          <w:rFonts w:cs="Times New Roman"/>
          <w:lang w:val="hu-HU"/>
        </w:rPr>
      </w:pPr>
    </w:p>
    <w:p w14:paraId="79615B5A" w14:textId="77777777" w:rsidR="003F0FF1" w:rsidRDefault="001156D9">
      <w:pPr>
        <w:pStyle w:val="Szvegtrzs"/>
        <w:ind w:left="0"/>
        <w:rPr>
          <w:rFonts w:cs="Times New Roman"/>
          <w:lang w:val="hu-HU"/>
        </w:rPr>
      </w:pPr>
      <w:r>
        <w:rPr>
          <w:rFonts w:cs="Times New Roman"/>
          <w:lang w:val="hu-HU"/>
        </w:rPr>
        <w:t>Amennyiben az adagolást követően bradyarrhythmiával összefüggő tünetek jelentkeznek, akkor megfelelő klinikai kezelést kell kezdeni, és a monitorozást a tünetek megszűnéséig folytatni kell. Amennyiben egy betegnél az első dózis monitorozásának ideje alatt gyógyszeres beavatkozásra van szükség, akkor egy egész éjszakán át tartó, egészségügyi intézményben végzett monitorozást kell kezdeni, és az első dózissal járó monitorozási stratégiát a fingolimod második dózisa után is meg kell ismételni.</w:t>
      </w:r>
    </w:p>
    <w:p w14:paraId="26FA8DFF" w14:textId="77777777" w:rsidR="003F0FF1" w:rsidRDefault="003F0FF1">
      <w:pPr>
        <w:rPr>
          <w:rFonts w:ascii="Times New Roman" w:eastAsia="Times New Roman" w:hAnsi="Times New Roman" w:cs="Times New Roman"/>
          <w:lang w:val="hu-HU"/>
        </w:rPr>
      </w:pPr>
    </w:p>
    <w:p w14:paraId="752644AD" w14:textId="77777777" w:rsidR="003F0FF1" w:rsidRDefault="001156D9">
      <w:pPr>
        <w:pStyle w:val="Szvegtrzs"/>
        <w:ind w:left="0"/>
        <w:rPr>
          <w:rFonts w:cs="Times New Roman"/>
          <w:lang w:val="hu-HU"/>
        </w:rPr>
      </w:pPr>
      <w:r>
        <w:rPr>
          <w:rFonts w:cs="Times New Roman"/>
          <w:lang w:val="hu-HU"/>
        </w:rPr>
        <w:t>Ha a szívfrekvencia az első dózis beadása óta a 6. órában a legalacsonyabb (ami arra utal, hogy lehet, hogy a szívre gyakorolt maximális farmakodinámiás hatás még nem alakult ki), akkor a monitorozást legalább 2 órával meg kell hosszabbítani, mindaddig, amíg a pulzusszám újra emelkedni nem kezd. Ezen kívül, ha 6 óra múlva a percenkénti szívfrekvencia felnőtteknél &lt; 45, tizenkét éves, vagy annál idősebb gyermekeknél &lt; 55, illetve tíz és tizenkét éves kor közötti gyermekeknél &lt; 60, vagy az EKG újonnan kialakuló másodfokú vagy magasabb fokú AV-blokkot vagy ≥ 500 ms-os QTc-távolságot mutat, akkor hosszabb ideig tartó monitorozást (legalább az egész éjszakán át tartó monitorozást) kell végezni, mindaddig, amíg ezek az eltérések meg nem szűnnek. Bármikor megjelenő harmadfokú AV-blokk szintén hosszabb ideig tartó monitorozást (legalább az egész éjszakán át tartó monitorozást) kell eredményezzen.</w:t>
      </w:r>
    </w:p>
    <w:p w14:paraId="5825A745" w14:textId="77777777" w:rsidR="003F0FF1" w:rsidRDefault="003F0FF1">
      <w:pPr>
        <w:rPr>
          <w:rFonts w:ascii="Times New Roman" w:eastAsia="Times New Roman" w:hAnsi="Times New Roman" w:cs="Times New Roman"/>
          <w:lang w:val="hu-HU"/>
        </w:rPr>
      </w:pPr>
    </w:p>
    <w:p w14:paraId="378ED6D0" w14:textId="77777777" w:rsidR="003F0FF1" w:rsidRDefault="001156D9" w:rsidP="00CE583C">
      <w:pPr>
        <w:pStyle w:val="Szvegtrzs"/>
        <w:widowControl/>
        <w:ind w:left="0"/>
        <w:rPr>
          <w:rFonts w:cs="Times New Roman"/>
          <w:lang w:val="hu-HU"/>
        </w:rPr>
      </w:pPr>
      <w:r>
        <w:rPr>
          <w:rFonts w:cs="Times New Roman"/>
          <w:lang w:val="hu-HU"/>
        </w:rPr>
        <w:t xml:space="preserve">A szívfrekvenciára és az atrioventricularis átvezetésre gyakorolt hatások a fingolimod-kezelés ismételt elkezdésekor újra visszatérhetnek a fingolimod-kezelés megkezdése óta eltelt idő és a megszakítás </w:t>
      </w:r>
      <w:r>
        <w:rPr>
          <w:rFonts w:cs="Times New Roman"/>
          <w:lang w:val="hu-HU"/>
        </w:rPr>
        <w:lastRenderedPageBreak/>
        <w:t>hosszától függően. Az első dózis esetén ugyanaz a monitorozás javasolt, mint a kezelés elkezdésekor, ha a kezelést megszakították (lásd 4.2 pont).</w:t>
      </w:r>
    </w:p>
    <w:p w14:paraId="7DD3ADBE" w14:textId="77777777" w:rsidR="003F0FF1" w:rsidRDefault="003F0FF1">
      <w:pPr>
        <w:rPr>
          <w:rFonts w:ascii="Times New Roman" w:eastAsia="Times New Roman" w:hAnsi="Times New Roman" w:cs="Times New Roman"/>
          <w:lang w:val="hu-HU"/>
        </w:rPr>
      </w:pPr>
    </w:p>
    <w:p w14:paraId="3CBD5D77" w14:textId="77777777" w:rsidR="003F0FF1" w:rsidRDefault="001156D9">
      <w:pPr>
        <w:pStyle w:val="Szvegtrzs"/>
        <w:ind w:left="0"/>
        <w:rPr>
          <w:rFonts w:cs="Times New Roman"/>
          <w:lang w:val="hu-HU"/>
        </w:rPr>
      </w:pPr>
      <w:r>
        <w:rPr>
          <w:rFonts w:cs="Times New Roman"/>
          <w:lang w:val="hu-HU"/>
        </w:rPr>
        <w:t>Nagyon ritka esetekben T-hullám-inverzióról számoltak be a fingolimoddal kezelt felnőtt betegeknél. T-hullám-inverzió esetén a gyógyszert felíró orvosnak meg kell győződnie arról, hogy nincsenek társuló, myocardialis ischaemiára utaló jelek vagy tünetek. Ha myocardialis ischaemiára van gyanú, kardiológus tanácsának kikérése javasolt.</w:t>
      </w:r>
    </w:p>
    <w:p w14:paraId="47B7796B" w14:textId="77777777" w:rsidR="003F0FF1" w:rsidRDefault="003F0FF1">
      <w:pPr>
        <w:rPr>
          <w:rFonts w:ascii="Times New Roman" w:eastAsia="Times New Roman" w:hAnsi="Times New Roman" w:cs="Times New Roman"/>
          <w:lang w:val="hu-HU"/>
        </w:rPr>
      </w:pPr>
    </w:p>
    <w:p w14:paraId="64B9D9E2" w14:textId="77777777" w:rsidR="003F0FF1" w:rsidRDefault="001156D9">
      <w:pPr>
        <w:pStyle w:val="Szvegtrzs"/>
        <w:ind w:left="0"/>
        <w:rPr>
          <w:rFonts w:cs="Times New Roman"/>
          <w:lang w:val="hu-HU"/>
        </w:rPr>
      </w:pPr>
      <w:r>
        <w:rPr>
          <w:rFonts w:cs="Times New Roman"/>
          <w:lang w:val="hu-HU"/>
        </w:rPr>
        <w:t>A súlyos ritmuszavarok vagy a jelentős bradycardia kockázata miatt a fingolimod nem alkalmazható olyan betegeknél, akiknek sino-atrialis blokkja van, az anamnézisében tünetekkel járó bradycardia, visszatérő ájulás vagy szívleállás szerepel, vagy olyan betegeknél, akiknél a QT-távolság jelentősen megnyúlt (QTc &gt; 470 ms [felnőtt nők], QTc &gt; 460 ms [lányok] vagy &gt; 450 ms [felnőtt férfiak és fiúk]), nem beállított hypertonia vagy súlyos alvási apnoe szerepel (lásd még 4.3 pont). Az ilyen betegeknél a fingolimod-kezelés csak akkor mérlegelhető, ha a várható előnyök meghaladják a lehetséges kockázatokat és a kezelés megkezdése előtt a legmegfelelőbb monitorozás meghatározása érdekében kardiológus tanácsát kérik. A kezelés megkezdéséhez legalább az egész éjszakán át tartó, meghosszabbított monitorozás javasolt (lásd még 4.5 pont).</w:t>
      </w:r>
    </w:p>
    <w:p w14:paraId="48E88F0A" w14:textId="77777777" w:rsidR="003F0FF1" w:rsidRDefault="003F0FF1">
      <w:pPr>
        <w:rPr>
          <w:rFonts w:ascii="Times New Roman" w:eastAsia="Times New Roman" w:hAnsi="Times New Roman" w:cs="Times New Roman"/>
          <w:lang w:val="hu-HU"/>
        </w:rPr>
      </w:pPr>
    </w:p>
    <w:p w14:paraId="1CC4479B" w14:textId="77777777" w:rsidR="003F0FF1" w:rsidRDefault="001156D9">
      <w:pPr>
        <w:pStyle w:val="Szvegtrzs"/>
        <w:ind w:left="0"/>
        <w:rPr>
          <w:rFonts w:cs="Times New Roman"/>
          <w:lang w:val="hu-HU"/>
        </w:rPr>
      </w:pPr>
      <w:r>
        <w:rPr>
          <w:rFonts w:cs="Times New Roman"/>
          <w:lang w:val="hu-HU"/>
        </w:rPr>
        <w:t xml:space="preserve">A fingolimodot nem vizsgálták olyan arrhythmiás betegeknél, akiknek az Ia osztályba (pl. kinidin, dizopiramid) vagy a III. osztályba (pl. amiodaron, szotalol) tartozó antiarrhythmiás gyógyszerekkel végzett kezelésre volt szükségük. A bradycardiás betegeknél az Ia osztályba és a III. osztályba tartozó antiarrhythmiás gyógyszerekkel végzett kezelés </w:t>
      </w:r>
      <w:r>
        <w:rPr>
          <w:rFonts w:cs="Times New Roman"/>
          <w:i/>
          <w:lang w:val="hu-HU"/>
        </w:rPr>
        <w:t xml:space="preserve">torsades de pointes </w:t>
      </w:r>
      <w:r>
        <w:rPr>
          <w:rFonts w:cs="Times New Roman"/>
          <w:lang w:val="hu-HU"/>
        </w:rPr>
        <w:t>esetekkel társult (lásd 4.3 pont).</w:t>
      </w:r>
    </w:p>
    <w:p w14:paraId="30FBB809" w14:textId="77777777" w:rsidR="003F0FF1" w:rsidRDefault="003F0FF1">
      <w:pPr>
        <w:pStyle w:val="Szvegtrzs"/>
        <w:ind w:left="0"/>
        <w:rPr>
          <w:rFonts w:cs="Times New Roman"/>
          <w:lang w:val="hu-HU"/>
        </w:rPr>
      </w:pPr>
    </w:p>
    <w:p w14:paraId="43D009FC" w14:textId="77777777" w:rsidR="003F0FF1" w:rsidRDefault="001156D9">
      <w:pPr>
        <w:pStyle w:val="Szvegtrzs"/>
        <w:ind w:left="0"/>
        <w:rPr>
          <w:rFonts w:cs="Times New Roman"/>
          <w:lang w:val="hu-HU"/>
        </w:rPr>
      </w:pPr>
      <w:r>
        <w:rPr>
          <w:rFonts w:cs="Times New Roman"/>
          <w:lang w:val="hu-HU"/>
        </w:rPr>
        <w:t>A fingolimoddal szerzett tapasztalat korlátozott az olyan betegeknél, akik egyidejűleg béta-blokkolókkal, pulzusszámcsökkentő kalciumcsatorna-blokkolókkal (például verapamil vagy diltiazem) vagy más, olyan hatóanyagokkal végzett kezelést kapnak, amelyek csökkenthetik a szívfrekvenciaot (pl. ivabradin, digoxin, antikolinészteráz szerek vagy pilokarpin). Mivel a fingolimod-kezelés elkezdése is a szívfrekvencia lassulásával jár (lásd még 4.8 pont, Bradyarrhythmia), ezen a hatóanyagok egyidejű alkalmazása a fingolimod elkezdésével súlyos bradycardiával és ingerületvezetési zavarral társulhat. A szívfrekvenciára gyakorolt potenciális additív hatása miatt a fingolimod-kezelést nem szabad elkezdeni olyan betegeknél, akiket egyidejűleg ezekkel a hatóanyagokkal kezelnek (lásd még 4.5 pont). Az ilyen betegeknél a fingolimod-kezelés csak akkor mérlegelhető, ha a várható előnyök meghaladják a lehetséges kockázatokat. A fingolimod-kezelés mérlegelésekor a kezelés megkezdése előtt kardiológus tanácsát kell kérni egy, a szívfrekvenciát nem csökkentő gyógyszerre történő átállítást illetően. Ha a szívfrekvenciát csökkentő gyógyszert nem lehet abbahagyni, az első dózis megfelelő monitorozásának meghatározása érdekében kardiológus tanácsát kell kérni, legalább az egész éjszakán át tartó, meghosszabbított monitorozás javasolt (lásd még 4.5 pont).</w:t>
      </w:r>
    </w:p>
    <w:p w14:paraId="1F1BE4C9" w14:textId="77777777" w:rsidR="003F0FF1" w:rsidRDefault="003F0FF1">
      <w:pPr>
        <w:rPr>
          <w:rFonts w:ascii="Times New Roman" w:eastAsia="Times New Roman" w:hAnsi="Times New Roman" w:cs="Times New Roman"/>
          <w:lang w:val="hu-HU"/>
        </w:rPr>
      </w:pPr>
    </w:p>
    <w:p w14:paraId="0C24BD80" w14:textId="77777777" w:rsidR="003F0FF1" w:rsidRDefault="001156D9">
      <w:pPr>
        <w:pStyle w:val="Szvegtrzs"/>
        <w:ind w:left="0"/>
        <w:rPr>
          <w:rFonts w:cs="Times New Roman"/>
          <w:lang w:val="hu-HU"/>
        </w:rPr>
      </w:pPr>
      <w:r>
        <w:rPr>
          <w:rFonts w:cs="Times New Roman"/>
          <w:u w:val="single" w:color="000000"/>
          <w:lang w:val="hu-HU"/>
        </w:rPr>
        <w:t>QT-távolság</w:t>
      </w:r>
    </w:p>
    <w:p w14:paraId="7886A01A" w14:textId="77777777" w:rsidR="003F0FF1" w:rsidRDefault="001156D9">
      <w:pPr>
        <w:pStyle w:val="Szvegtrzs"/>
        <w:ind w:left="0"/>
        <w:rPr>
          <w:rFonts w:cs="Times New Roman"/>
          <w:lang w:val="hu-HU"/>
        </w:rPr>
      </w:pPr>
      <w:r>
        <w:rPr>
          <w:rFonts w:cs="Times New Roman"/>
          <w:lang w:val="hu-HU"/>
        </w:rPr>
        <w:t>A QT-távolságnak a 1,25 vagy 2,5 mg-os fingolimod-dózisok mellett kialakult dinamikus egyensúlyi állapotban – amikor a negatív chronotrop hatás még fennállt – történt alapos vizsgálatában a fingolimod-kezelés a QTcI (</w:t>
      </w:r>
      <w:r>
        <w:rPr>
          <w:rFonts w:cs="Times New Roman"/>
          <w:shd w:val="clear" w:color="auto" w:fill="FFFFFF"/>
          <w:lang w:val="hu-HU"/>
        </w:rPr>
        <w:t>egyénileg korrigált QT-szakasz [individual-specific QT]</w:t>
      </w:r>
      <w:r>
        <w:rPr>
          <w:rFonts w:cs="Times New Roman"/>
          <w:lang w:val="hu-HU"/>
        </w:rPr>
        <w:t>)-megnyúlását idézte elő, ≤ 13,0 ms-os 90%-os konfidenciaintervallum felső határértékkel. A fingolimod és a QTcI-megnyúlás között nincs dózis-válasz vagy expozíció-válasz összefüggés. Nincs egyértelmű jel arra, hogy a fingolimod-kezelés a QTcI-eltérés gyakoribb előfordulásával, annak abszolút vagy a kiindulási értékhez viszonyított változásával járna.</w:t>
      </w:r>
    </w:p>
    <w:p w14:paraId="5FB90605" w14:textId="77777777" w:rsidR="003F0FF1" w:rsidRDefault="003F0FF1">
      <w:pPr>
        <w:rPr>
          <w:rFonts w:ascii="Times New Roman" w:eastAsia="Times New Roman" w:hAnsi="Times New Roman" w:cs="Times New Roman"/>
          <w:lang w:val="hu-HU"/>
        </w:rPr>
      </w:pPr>
    </w:p>
    <w:p w14:paraId="5828E254" w14:textId="77777777" w:rsidR="003F0FF1" w:rsidRDefault="001156D9">
      <w:pPr>
        <w:pStyle w:val="Szvegtrzs"/>
        <w:ind w:left="0"/>
        <w:rPr>
          <w:rFonts w:cs="Times New Roman"/>
          <w:lang w:val="hu-HU"/>
        </w:rPr>
      </w:pPr>
      <w:r>
        <w:rPr>
          <w:rFonts w:cs="Times New Roman"/>
          <w:lang w:val="hu-HU"/>
        </w:rPr>
        <w:t>Ennek a felismerésnek a klinikai jelentősége nem ismert. A sclerosis multiplex miatt végzett vizsgálatokban nem észleltek a QTc-távolság megnyúlására gyakorolt, klinikailag jelentős hatásokat, de a klinikai vizsgálatokba nem vontak be olyan betegeket, akiknél fennállt a QT-távolság megnyúlásának veszélye.</w:t>
      </w:r>
    </w:p>
    <w:p w14:paraId="337F9BAA" w14:textId="77777777" w:rsidR="003F0FF1" w:rsidRDefault="003F0FF1">
      <w:pPr>
        <w:rPr>
          <w:rFonts w:ascii="Times New Roman" w:eastAsia="Times New Roman" w:hAnsi="Times New Roman" w:cs="Times New Roman"/>
          <w:lang w:val="hu-HU"/>
        </w:rPr>
      </w:pPr>
    </w:p>
    <w:p w14:paraId="418398DB" w14:textId="77777777" w:rsidR="003F0FF1" w:rsidRDefault="001156D9">
      <w:pPr>
        <w:pStyle w:val="Szvegtrzs"/>
        <w:ind w:left="0"/>
        <w:rPr>
          <w:rFonts w:cs="Times New Roman"/>
          <w:lang w:val="hu-HU"/>
        </w:rPr>
      </w:pPr>
      <w:r>
        <w:rPr>
          <w:rFonts w:cs="Times New Roman"/>
          <w:lang w:val="hu-HU"/>
        </w:rPr>
        <w:t>Azoknál a betegeknél, akiknek releváns kockázati tényezőik vannak, mint amilyen a hypokalaemia vagy a QT-távolság veleszületett megnyúlása, legjobb elkerülni azokat a gyógyszereket, amelyek megnyújthatják a QTc-távolságot.</w:t>
      </w:r>
    </w:p>
    <w:p w14:paraId="708BEA10" w14:textId="77777777" w:rsidR="003F0FF1" w:rsidRDefault="003F0FF1">
      <w:pPr>
        <w:rPr>
          <w:rFonts w:ascii="Times New Roman" w:eastAsia="Times New Roman" w:hAnsi="Times New Roman" w:cs="Times New Roman"/>
          <w:lang w:val="hu-HU"/>
        </w:rPr>
      </w:pPr>
    </w:p>
    <w:p w14:paraId="429F6637" w14:textId="77777777" w:rsidR="003F0FF1" w:rsidRDefault="001156D9">
      <w:pPr>
        <w:pStyle w:val="Szvegtrzs"/>
        <w:ind w:left="0"/>
        <w:rPr>
          <w:rFonts w:cs="Times New Roman"/>
          <w:lang w:val="hu-HU"/>
        </w:rPr>
      </w:pPr>
      <w:r>
        <w:rPr>
          <w:rFonts w:cs="Times New Roman"/>
          <w:u w:val="single" w:color="000000"/>
          <w:lang w:val="hu-HU"/>
        </w:rPr>
        <w:lastRenderedPageBreak/>
        <w:t>Immunszuppresszív hatások</w:t>
      </w:r>
    </w:p>
    <w:p w14:paraId="7821364D" w14:textId="5C4CB467" w:rsidR="003F0FF1" w:rsidRDefault="001156D9">
      <w:pPr>
        <w:pStyle w:val="Szvegtrzs"/>
        <w:ind w:left="0"/>
        <w:rPr>
          <w:rFonts w:cs="Times New Roman"/>
          <w:lang w:val="hu-HU"/>
        </w:rPr>
      </w:pPr>
      <w:r>
        <w:rPr>
          <w:rFonts w:cs="Times New Roman"/>
          <w:lang w:val="hu-HU"/>
        </w:rPr>
        <w:t xml:space="preserve">A fingolimodnak immunszuppresszív hatása van, ami növeli a fertőzések kockázatát predisponálja, beleértve az opportunista fertőzéseket is, amelyek végzetes kimenetelűek is lehetnek, és növeli a lymphomák és egyéb malignitások, különösen a cutan malignitások kialakulásának kockázatát. Az orvosoknak körültekintően monitorozniuk kell a betegeket, különösen azokat, akiknek kísérőbetegségeik vannak, vagy ismert kockázati tényezők állnak fent náluk, mint például a korábbi immunszuppresszív kezelés. Ha erre a kockázatra van gyanú, akkor az orvosnak betegenként kell mérlegelnie a kezelés abbahagyását (lásd még 4.4 pont, „Fertőzések” és „Bőrmalignitások”, és 4.8 pont, „Lymphomák”). </w:t>
      </w:r>
    </w:p>
    <w:p w14:paraId="2D2D1E83" w14:textId="77777777" w:rsidR="003F0FF1" w:rsidRDefault="003F0FF1">
      <w:pPr>
        <w:pStyle w:val="Szvegtrzs"/>
        <w:ind w:left="0"/>
        <w:rPr>
          <w:rFonts w:cs="Times New Roman"/>
          <w:lang w:val="hu-HU"/>
        </w:rPr>
      </w:pPr>
    </w:p>
    <w:p w14:paraId="36F848DA" w14:textId="77777777" w:rsidR="003F0FF1" w:rsidRDefault="001156D9">
      <w:pPr>
        <w:pStyle w:val="Szvegtrzs"/>
        <w:ind w:left="0"/>
        <w:rPr>
          <w:rFonts w:cs="Times New Roman"/>
          <w:lang w:val="hu-HU"/>
        </w:rPr>
      </w:pPr>
      <w:r>
        <w:rPr>
          <w:rFonts w:cs="Times New Roman"/>
          <w:u w:val="single" w:color="000000"/>
          <w:lang w:val="hu-HU"/>
        </w:rPr>
        <w:t>Fertőzések</w:t>
      </w:r>
    </w:p>
    <w:p w14:paraId="6E0FB50D" w14:textId="77777777" w:rsidR="003F0FF1" w:rsidRDefault="001156D9">
      <w:pPr>
        <w:pStyle w:val="Szvegtrzs"/>
        <w:ind w:left="0"/>
        <w:rPr>
          <w:rFonts w:cs="Times New Roman"/>
          <w:lang w:val="hu-HU"/>
        </w:rPr>
      </w:pPr>
      <w:r>
        <w:rPr>
          <w:rFonts w:cs="Times New Roman"/>
          <w:lang w:val="hu-HU"/>
        </w:rPr>
        <w:t>A fingolimod alapvető farmakodinámiás hatása a perifériás lymphocyta-szám dózisfüggő csökkentése a kiindulási érték 20</w:t>
      </w:r>
      <w:r>
        <w:rPr>
          <w:rFonts w:cs="Times New Roman"/>
          <w:lang w:val="hu-HU"/>
        </w:rPr>
        <w:noBreakHyphen/>
        <w:t>30%-ára. Ez a lymphocyták lymphoid szövetbe történő reverzíbilis szekvesztrációjának a következménye (lásd 5.1 pont).</w:t>
      </w:r>
    </w:p>
    <w:p w14:paraId="6BA1961A" w14:textId="77777777" w:rsidR="003F0FF1" w:rsidRDefault="003F0FF1">
      <w:pPr>
        <w:pStyle w:val="Szvegtrzs"/>
        <w:ind w:left="0"/>
        <w:rPr>
          <w:rFonts w:cs="Times New Roman"/>
          <w:lang w:val="hu-HU"/>
        </w:rPr>
      </w:pPr>
    </w:p>
    <w:p w14:paraId="31085051" w14:textId="0E19E36C" w:rsidR="003F0FF1" w:rsidRDefault="001156D9">
      <w:pPr>
        <w:pStyle w:val="Szvegtrzs"/>
        <w:ind w:left="0"/>
        <w:rPr>
          <w:rFonts w:cs="Times New Roman"/>
          <w:lang w:val="hu-HU"/>
        </w:rPr>
      </w:pPr>
      <w:r>
        <w:rPr>
          <w:rFonts w:cs="Times New Roman"/>
          <w:lang w:val="hu-HU"/>
        </w:rPr>
        <w:t>A fingolimod-kezelés megkezdése előtt friss (azaz 6 hónapon belüli vagy a korábbi kezelés abbahagyása utáni) teljes vérképnek kell rendelkezésre állnia. A kezelés alatt a teljes vérkép rendszeres időközönként végzett vizsgálata javasolt, a 3. hónapban, és azután legalább évenként, valamint fertőzésre utaló tünetek esetén. Ha az abszolút lymphocyta-szám megerősítés után is 0,2×10</w:t>
      </w:r>
      <w:r>
        <w:rPr>
          <w:rFonts w:cs="Times New Roman"/>
          <w:vertAlign w:val="superscript"/>
          <w:lang w:val="hu-HU"/>
        </w:rPr>
        <w:t>9</w:t>
      </w:r>
      <w:r>
        <w:rPr>
          <w:rFonts w:cs="Times New Roman"/>
          <w:lang w:val="hu-HU"/>
        </w:rPr>
        <w:t>/l alatti, akkor annak normalizálódásáig a kezelést meg kell szakítani, mert a klinikai vizsgálatok alatt az olyan betegeknél, akiknél az abszolút lymphocyta-szám &lt; 0,2×10</w:t>
      </w:r>
      <w:r>
        <w:rPr>
          <w:rFonts w:cs="Times New Roman"/>
          <w:vertAlign w:val="superscript"/>
          <w:lang w:val="hu-HU"/>
        </w:rPr>
        <w:t>9</w:t>
      </w:r>
      <w:r>
        <w:rPr>
          <w:rFonts w:cs="Times New Roman"/>
          <w:lang w:val="hu-HU"/>
        </w:rPr>
        <w:t>/l volt, megszakították a fingolimod-kezelést.</w:t>
      </w:r>
    </w:p>
    <w:p w14:paraId="26FE0A6B" w14:textId="77777777" w:rsidR="003F0FF1" w:rsidRDefault="003F0FF1">
      <w:pPr>
        <w:rPr>
          <w:rFonts w:ascii="Times New Roman" w:eastAsia="Times New Roman" w:hAnsi="Times New Roman" w:cs="Times New Roman"/>
          <w:lang w:val="hu-HU"/>
        </w:rPr>
      </w:pPr>
    </w:p>
    <w:p w14:paraId="7AE28049" w14:textId="77777777" w:rsidR="003F0FF1" w:rsidRDefault="001156D9">
      <w:pPr>
        <w:pStyle w:val="Szvegtrzs"/>
        <w:ind w:left="0"/>
        <w:rPr>
          <w:rFonts w:cs="Times New Roman"/>
          <w:lang w:val="hu-HU"/>
        </w:rPr>
      </w:pPr>
      <w:r>
        <w:rPr>
          <w:rFonts w:cs="Times New Roman"/>
          <w:lang w:val="hu-HU"/>
        </w:rPr>
        <w:t>A súlyos, aktív fertőzésben szenvedő betegek fingolimod-kezelésének elkezdését a fertőzés megszűnéséig halasztani kell.</w:t>
      </w:r>
    </w:p>
    <w:p w14:paraId="5E60736B" w14:textId="77777777" w:rsidR="003F0FF1" w:rsidRDefault="003F0FF1">
      <w:pPr>
        <w:pStyle w:val="Szvegtrzs"/>
        <w:ind w:left="0"/>
        <w:rPr>
          <w:rFonts w:cs="Times New Roman"/>
          <w:lang w:val="hu-HU"/>
        </w:rPr>
      </w:pPr>
    </w:p>
    <w:p w14:paraId="3538B64D" w14:textId="77777777" w:rsidR="003F0FF1" w:rsidRDefault="001156D9">
      <w:pPr>
        <w:pStyle w:val="Szvegtrzs"/>
        <w:ind w:left="0"/>
        <w:rPr>
          <w:rFonts w:cs="Times New Roman"/>
          <w:lang w:val="hu-HU"/>
        </w:rPr>
      </w:pPr>
      <w:r>
        <w:rPr>
          <w:rFonts w:cs="Times New Roman"/>
          <w:lang w:val="hu-HU"/>
        </w:rPr>
        <w:t>A fingolimod immunrendszeri hatásai növelhetik a fertőzések, köztük az opportunista fertőzések kockázatát (lásd 4.8 pont). Ezért a kezelés ideje alatt fertőzés tüneteit mutató betegeknél hatékony diagnosztikai és terápiás stratégiákat kell alkalmazni. Az olyan beteg vizsgálatakor, akinél olyan fertőzés feltételezünk, amely súlyos lehet, mérlegelendő a beteg fertőzések kezelésében jártas orvoshoz irányítása. A fingolimodot kapó betegeket arra kell utasítani, hogy a kezelés alatt azonnal jelentsék kezelőorvosuknak a fertőzésre utaló tüneteket.</w:t>
      </w:r>
    </w:p>
    <w:p w14:paraId="5BB66710" w14:textId="77777777" w:rsidR="003F0FF1" w:rsidRDefault="003F0FF1">
      <w:pPr>
        <w:rPr>
          <w:rFonts w:cs="Times New Roman"/>
          <w:lang w:val="hu-HU"/>
        </w:rPr>
      </w:pPr>
    </w:p>
    <w:p w14:paraId="7F9CA866" w14:textId="77777777" w:rsidR="003F0FF1" w:rsidRDefault="001156D9">
      <w:pPr>
        <w:rPr>
          <w:rFonts w:ascii="Times New Roman" w:hAnsi="Times New Roman" w:cs="Times New Roman"/>
          <w:lang w:val="hu-HU"/>
        </w:rPr>
      </w:pPr>
      <w:r>
        <w:rPr>
          <w:rFonts w:ascii="Times New Roman" w:hAnsi="Times New Roman" w:cs="Times New Roman"/>
          <w:lang w:val="hu-HU"/>
        </w:rPr>
        <w:t>A fingolimod-kezelés felfüggesztését kell mérlegelni, ha egy betegnél súlyos fertőzés alakul ki, és a kezelés ismételt elkezdése előtt az előny-kockázat arányt mérlegelni kell.</w:t>
      </w:r>
    </w:p>
    <w:p w14:paraId="37F55E38" w14:textId="77777777" w:rsidR="003F0FF1" w:rsidRDefault="003F0FF1">
      <w:pPr>
        <w:rPr>
          <w:rFonts w:ascii="Times New Roman" w:eastAsia="Times New Roman" w:hAnsi="Times New Roman" w:cs="Times New Roman"/>
          <w:lang w:val="hu-HU"/>
        </w:rPr>
      </w:pPr>
    </w:p>
    <w:p w14:paraId="5B2C6C46" w14:textId="77777777" w:rsidR="003F0FF1" w:rsidRDefault="001156D9">
      <w:pPr>
        <w:pStyle w:val="Szvegtrzs"/>
        <w:ind w:left="0"/>
        <w:rPr>
          <w:rFonts w:cs="Times New Roman"/>
          <w:lang w:val="hu-HU"/>
        </w:rPr>
      </w:pPr>
      <w:r>
        <w:rPr>
          <w:rFonts w:cs="Times New Roman"/>
          <w:lang w:val="hu-HU"/>
        </w:rPr>
        <w:t>A kezelés abbahagyását követően a fingolimod eliminációja akár két hónapig is eltarthat, ezért a fertőzésekre ez alatt az időszak alatt mindvégig oda kell figyelni. A betegeket utasítani kell arra, hogy a fingolimod elhagyása után még legfeljebb 2 hónapig jelentsék a fertőzésre utaló tüneteket.</w:t>
      </w:r>
    </w:p>
    <w:p w14:paraId="5242A2C7" w14:textId="77777777" w:rsidR="003F0FF1" w:rsidRDefault="003F0FF1">
      <w:pPr>
        <w:pStyle w:val="Szvegtrzs"/>
        <w:ind w:left="0"/>
        <w:rPr>
          <w:rFonts w:cs="Times New Roman"/>
          <w:lang w:val="hu-HU"/>
        </w:rPr>
      </w:pPr>
    </w:p>
    <w:p w14:paraId="616B94F7" w14:textId="12366900" w:rsidR="003F0FF1" w:rsidRDefault="001156D9">
      <w:pPr>
        <w:pStyle w:val="Szvegtrzs"/>
        <w:ind w:left="0"/>
        <w:rPr>
          <w:rFonts w:cs="Times New Roman"/>
          <w:i/>
          <w:lang w:val="hu-HU"/>
        </w:rPr>
      </w:pPr>
      <w:r>
        <w:rPr>
          <w:rFonts w:cs="Times New Roman"/>
          <w:i/>
          <w:lang w:val="hu-HU"/>
        </w:rPr>
        <w:t>Herpesvírus okozta fertőzés</w:t>
      </w:r>
    </w:p>
    <w:p w14:paraId="773EBE6A" w14:textId="77777777" w:rsidR="003F0FF1" w:rsidRDefault="001156D9">
      <w:pPr>
        <w:pStyle w:val="Szvegtrzs"/>
        <w:ind w:left="0"/>
        <w:rPr>
          <w:rFonts w:cs="Times New Roman"/>
          <w:lang w:val="hu-HU"/>
        </w:rPr>
      </w:pPr>
      <w:r>
        <w:rPr>
          <w:rFonts w:cs="Times New Roman"/>
          <w:lang w:val="hu-HU"/>
        </w:rPr>
        <w:t>A fingolimod-kezelés során előfordultak herpes simplex és varicella zoster vírus okozta encephalitis, meningitis vagy meningoencephalitis súlyos, életveszélyes, és néhányszor végzetes kimenetelű esetei. Ezek bármikor bekövetkezhettek a kezelés ideje alatt. Herpes okozta encephalitis, meningitis vagy meningoencephalitis esetén abba kell hagyni a fingolimod alkalmazását és megfelelő kezelést kell adni az adott fertőzés ellen.</w:t>
      </w:r>
    </w:p>
    <w:p w14:paraId="3D1BDDEC" w14:textId="77777777" w:rsidR="003F0FF1" w:rsidRDefault="001156D9">
      <w:pPr>
        <w:pStyle w:val="Szvegtrzs"/>
        <w:ind w:left="0"/>
        <w:rPr>
          <w:rFonts w:cs="Times New Roman"/>
          <w:lang w:val="hu-HU"/>
        </w:rPr>
      </w:pPr>
      <w:r>
        <w:rPr>
          <w:rFonts w:cs="Times New Roman"/>
          <w:lang w:val="hu-HU"/>
        </w:rPr>
        <w:t>A fingolimod-kezelés megkezdése előtt értékelni kell a betegek varicella (bárányhimlő) elleni immunitását. Ajánlott, hogy a fingolimod-kezelés megkezdése előtt a kórtörténetben egészségügyi szakember által igazoltan szereplő bárányhimlő, vagy a varicella elleni vakcinával dokumentáltan megtörtént teljes oltási sorozat hiányában a betegek varicella zoster vírus (VZV) elleni antitestvizsgálaton menjenek keresztül. Antitest-negatív betegeknél a fingolimod-kezelés megkezdése előtt teljes varicella oltási sorozat beadása ajánlott (lásd 4.8 pont). A fingolimod-kezelés megkezdését 1 hónappal el kell halasztani annak érdekében, hogy a vakcináció hatása teljes mértékben kialakuljon.</w:t>
      </w:r>
    </w:p>
    <w:p w14:paraId="711D727C" w14:textId="77777777" w:rsidR="003F0FF1" w:rsidRDefault="003F0FF1">
      <w:pPr>
        <w:rPr>
          <w:rFonts w:ascii="Times New Roman" w:eastAsia="Times New Roman" w:hAnsi="Times New Roman" w:cs="Times New Roman"/>
          <w:lang w:val="hu-HU"/>
        </w:rPr>
      </w:pPr>
    </w:p>
    <w:p w14:paraId="11BDF164" w14:textId="77777777" w:rsidR="003F0FF1" w:rsidRDefault="001156D9">
      <w:pPr>
        <w:rPr>
          <w:rFonts w:ascii="Times New Roman" w:eastAsia="Times New Roman" w:hAnsi="Times New Roman" w:cs="Times New Roman"/>
          <w:i/>
          <w:lang w:val="hu-HU"/>
        </w:rPr>
      </w:pPr>
      <w:r>
        <w:rPr>
          <w:rFonts w:ascii="Times New Roman" w:eastAsia="Times New Roman" w:hAnsi="Times New Roman" w:cs="Times New Roman"/>
          <w:i/>
          <w:lang w:val="hu-HU"/>
        </w:rPr>
        <w:t>Cryptococcus okozta meningitis</w:t>
      </w:r>
    </w:p>
    <w:p w14:paraId="3EE243FF" w14:textId="77777777" w:rsidR="003F0FF1" w:rsidRDefault="001156D9">
      <w:pPr>
        <w:pStyle w:val="Szvegtrzs"/>
        <w:ind w:left="0"/>
        <w:rPr>
          <w:rFonts w:cs="Times New Roman"/>
          <w:lang w:val="hu-HU"/>
        </w:rPr>
      </w:pPr>
      <w:r>
        <w:rPr>
          <w:rFonts w:cs="Times New Roman"/>
          <w:lang w:val="hu-HU"/>
        </w:rPr>
        <w:t>A forgalomba hozatalt követően cryptococcus okozta meningitis (egy gombás fertőzés) olykor végzetes kimenetelű eseteit jelentették, körülbelül 2</w:t>
      </w:r>
      <w:r>
        <w:rPr>
          <w:rFonts w:cs="Times New Roman"/>
          <w:lang w:val="hu-HU"/>
        </w:rPr>
        <w:noBreakHyphen/>
        <w:t xml:space="preserve">3 éves kezelés után, jóllehet a pontos kapcsolat a </w:t>
      </w:r>
      <w:r>
        <w:rPr>
          <w:rFonts w:cs="Times New Roman"/>
          <w:lang w:val="hu-HU"/>
        </w:rPr>
        <w:lastRenderedPageBreak/>
        <w:t>kezelés időtartamával nem ismert (lásd 4.8 pont). Azoknak a betegeknek, akiknek a panaszaik és tüneteik cryptococcus-meningitisre utalnak (pl. fejfájás, amit mentális változások, például zavartság, hallucinációk és/vagy személyiségváltozások kísérnek), azonnali diagnosztikus vizsgálaton kell átesniük. Ha cryptococcus-meningitist diagnosztizálnak, a fingolimod adását fel kell függeszteni, és megfelelő kezelést kell kezdeni. Ha a fingolimod adásának ismételt elkezdése indokolt, akkor multidiszciplináris konzíliumot (pl. infektológussal) kell kezdeményezni.</w:t>
      </w:r>
    </w:p>
    <w:p w14:paraId="09577019" w14:textId="77777777" w:rsidR="003F0FF1" w:rsidRDefault="003F0FF1">
      <w:pPr>
        <w:pStyle w:val="Szvegtrzs"/>
        <w:ind w:left="0"/>
        <w:rPr>
          <w:rFonts w:cs="Times New Roman"/>
          <w:lang w:val="hu-HU"/>
        </w:rPr>
      </w:pPr>
    </w:p>
    <w:p w14:paraId="7A74161E" w14:textId="77777777" w:rsidR="003F0FF1" w:rsidRDefault="001156D9">
      <w:pPr>
        <w:pStyle w:val="Szvegtrzs"/>
        <w:ind w:left="0"/>
        <w:rPr>
          <w:rFonts w:cs="Times New Roman"/>
          <w:i/>
          <w:lang w:val="hu-HU"/>
        </w:rPr>
      </w:pPr>
      <w:r>
        <w:rPr>
          <w:rFonts w:cs="Times New Roman"/>
          <w:i/>
          <w:lang w:val="hu-HU"/>
        </w:rPr>
        <w:t>Progresszív multifokális leukoencephalopathia</w:t>
      </w:r>
    </w:p>
    <w:p w14:paraId="52816F17" w14:textId="6D33F6DA" w:rsidR="003F0FF1" w:rsidRDefault="001156D9">
      <w:pPr>
        <w:pStyle w:val="Szvegtrzs"/>
        <w:ind w:left="0"/>
        <w:rPr>
          <w:rFonts w:cs="Times New Roman"/>
          <w:lang w:val="hu-HU"/>
        </w:rPr>
      </w:pPr>
      <w:r>
        <w:rPr>
          <w:rFonts w:cs="Times New Roman"/>
          <w:lang w:val="hu-HU"/>
        </w:rPr>
        <w:t>A forgalomba hozatali engedély megadása óta a fingolimod-kezelés alatt PML-ről számoltak be (lásd 4.8 pont). A progresszív multifokális leukoencephalopathia egy, a John Cunningham-vírus (JCV) által okozott opportunista fertőzés, ami végzetes kimenetelű lehet, vagy súlyos fogyatékosságot eredményezhet. A PML-esetek többsége 2 éves vagy hosszabb ideig tartó fingolimod-kezelés után fordultak elő. A fingolimod-expozíció időtartama mellett a PML további lehetséges rizikófaktora a korábbi immunszuppresszáns- vagy immunmodulátor-terápia, és/vagy a súlyos intenzitású lymphopenia (&lt;</w:t>
      </w:r>
      <w:r w:rsidR="00722E2D">
        <w:rPr>
          <w:rFonts w:cs="Times New Roman"/>
          <w:lang w:val="hu-HU"/>
        </w:rPr>
        <w:t> </w:t>
      </w:r>
      <w:r>
        <w:rPr>
          <w:rFonts w:cs="Times New Roman"/>
          <w:lang w:val="hu-HU"/>
        </w:rPr>
        <w:t>0,5×10</w:t>
      </w:r>
      <w:r w:rsidRPr="00CE583C">
        <w:rPr>
          <w:rFonts w:cs="Times New Roman"/>
          <w:vertAlign w:val="superscript"/>
          <w:lang w:val="hu-HU"/>
        </w:rPr>
        <w:t>9</w:t>
      </w:r>
      <w:r>
        <w:rPr>
          <w:rFonts w:cs="Times New Roman"/>
          <w:lang w:val="hu-HU"/>
        </w:rPr>
        <w:t>/l). A nagyobb kockázatnak kitett betegeknél a PML jeleire vagy tüneteire irányuló, szoros monitorozást kell végezni. A progresszív multifokális leukoencephalopathia csak JCV-fertőzés jelenlétében fordul elő. Ha JCV-vizsgálatot végeznek, mérlegelni kell, hogy a lymphopenia hatását a JCV-ellenes antitest vizsgálat pontosságára fingolimoddal kezelt betegeknél nem vizsgálták. A negatív JCV-ellenes antitest vizsgálat nem zárja ki egy későbbi JCV-fertőzés lehetőségét. A fingolimod-kezelés elkezdése előtt referenciaként egy kiindulási MR-leletnek kell, hogy rendelkezésre álljon (rendszerint 3 hónapnál nem régebbi). A rutinszerűen végzett MR-vizsgálat alkalmával (a nemzeti és helyi ajánlásoknak megfelelően) az orvosoknak figyelniük kell a PML-re utaló léziókra. Lehetséges, hogy MR-vizsgálattal már a klinikai jelek vagy tünetek előtt észlelhető az állapot kialakulása. Az olyan betegeknél, akiknél a PML kockázata emelkedett, az éves MR</w:t>
      </w:r>
      <w:r>
        <w:rPr>
          <w:rFonts w:cs="Times New Roman"/>
          <w:lang w:val="hu-HU"/>
        </w:rPr>
        <w:noBreakHyphen/>
        <w:t>vizsgálatot a fokozott elővigyázatosság velejárójának tartják. Fingolimod-dal kezelt betegeknél MR-vizsgálati eredmények és JCV DNS-re pozitív cerebrospinalis folyadék alapján tünetmentes PML eseteiről számoltak be. Ha progresszív multifokális leukoencephalopathiára van gyanú, az MR</w:t>
      </w:r>
      <w:r>
        <w:rPr>
          <w:rFonts w:cs="Times New Roman"/>
          <w:lang w:val="hu-HU"/>
        </w:rPr>
        <w:noBreakHyphen/>
        <w:t>vizsgálatot diagnosztikus célból azonnal el kell végezni, és a fingolimod-kezelést a PML kizárásáig fel kell függeszteni. Amennyiben PML igazolódik, a fingolimod-kezelést végleg abba kell hagyni (lásd még 4.3 pont).</w:t>
      </w:r>
    </w:p>
    <w:p w14:paraId="4A8F984D" w14:textId="77777777" w:rsidR="003F0FF1" w:rsidRDefault="003F0FF1">
      <w:pPr>
        <w:pStyle w:val="Szvegtrzs"/>
        <w:ind w:left="0"/>
        <w:rPr>
          <w:rFonts w:cs="Times New Roman"/>
          <w:lang w:val="hu-HU"/>
        </w:rPr>
      </w:pPr>
    </w:p>
    <w:p w14:paraId="01D29EBD" w14:textId="6CCFF525" w:rsidR="003F0FF1" w:rsidRDefault="001156D9">
      <w:pPr>
        <w:pStyle w:val="Szvegtrzs"/>
        <w:ind w:left="0"/>
        <w:rPr>
          <w:rFonts w:cs="Times New Roman"/>
          <w:lang w:val="hu-HU"/>
        </w:rPr>
      </w:pPr>
      <w:r>
        <w:rPr>
          <w:rFonts w:cs="Times New Roman"/>
          <w:lang w:val="hu-HU"/>
        </w:rPr>
        <w:t>Immunrekonstitúciós gyulladásos szindrómáról (</w:t>
      </w:r>
      <w:r w:rsidRPr="00CE583C">
        <w:rPr>
          <w:rFonts w:cs="Times New Roman"/>
          <w:i/>
          <w:lang w:val="hu-HU"/>
        </w:rPr>
        <w:t>immune reconstitution inflammatory syndrome</w:t>
      </w:r>
      <w:r>
        <w:rPr>
          <w:rFonts w:cs="Times New Roman"/>
          <w:lang w:val="hu-HU"/>
        </w:rPr>
        <w:t>, IRIS) számoltak be szfingozin 1-foszfát- (S1P) receptor-modulátor hatóanyagokkal – a fingolimodot is beleértve – kezelt betegeknél, akiknél PML alakult ki, ezt követően pedig abbahagyták a kezelést. Az IRIS a beteg állapotának klinikai romlásában manifesztálódik. Ez a klinikai állapotromlás gyorsan végbemehet, súlyos neurológiai szövődményekhez vagy halálhoz vezethet, valamint gyakran társul MR-vizsgálattal kimutatható, jellegzetes elváltozásokkal. A PML-ben szenvedő betegeknél az IRIS rendszerint néhány héttel vagy hónappal az S1P-receptor-modulátor alkalmazásának abbahagyása után alakult ki. A betegeket monitorozni kell az IRIS kialakulására irányulóan, és megfelelő kezelést kell alkalmazni az azzal járó gyulladás ellen.</w:t>
      </w:r>
    </w:p>
    <w:p w14:paraId="08206732" w14:textId="77777777" w:rsidR="003F0FF1" w:rsidRDefault="003F0FF1">
      <w:pPr>
        <w:rPr>
          <w:rFonts w:ascii="Times New Roman" w:eastAsia="Times New Roman" w:hAnsi="Times New Roman" w:cs="Times New Roman"/>
          <w:lang w:val="hu-HU"/>
        </w:rPr>
      </w:pPr>
    </w:p>
    <w:p w14:paraId="5E2394EC" w14:textId="77777777" w:rsidR="003F0FF1" w:rsidRDefault="001156D9">
      <w:pPr>
        <w:rPr>
          <w:rFonts w:ascii="Times New Roman" w:eastAsia="Times New Roman" w:hAnsi="Times New Roman" w:cs="Times New Roman"/>
          <w:i/>
          <w:lang w:val="hu-HU"/>
        </w:rPr>
      </w:pPr>
      <w:r>
        <w:rPr>
          <w:rFonts w:ascii="Times New Roman" w:eastAsia="Times New Roman" w:hAnsi="Times New Roman" w:cs="Times New Roman"/>
          <w:i/>
          <w:lang w:val="hu-HU"/>
        </w:rPr>
        <w:t>Humán papillomavírus-fertőzés</w:t>
      </w:r>
    </w:p>
    <w:p w14:paraId="16151591" w14:textId="77777777" w:rsidR="003F0FF1" w:rsidRDefault="001156D9">
      <w:pPr>
        <w:pStyle w:val="Szvegtrzs"/>
        <w:ind w:left="0"/>
        <w:rPr>
          <w:rFonts w:cs="Times New Roman"/>
          <w:lang w:val="hu-HU"/>
        </w:rPr>
      </w:pPr>
      <w:r>
        <w:rPr>
          <w:rFonts w:cs="Times New Roman"/>
          <w:lang w:val="hu-HU"/>
        </w:rPr>
        <w:t>A forgalomba hozatalt követően a fingolimod-kezeléssel összefüggésben humán papillomavírus-(HPV) fertőzésről, ezen belül papilloma, dysplasia, szemölcsök és HPV-vel összefüggő daganatos betegség kialakulásáról számoltak be (lásd 4.8 pont). A fingolimod immunszuppresszív tulajdonságai miatt mérlegelni kell a HPV elleni oltás beadását a fingolimod-kezelés megkezdése előtt, az oltással kapcsolatos ajánlásokat figyelembe véve. A szokásos gyakorlatnak megfelelő rákszűrés, így Papanicolau-teszt elvégzése javasolt.</w:t>
      </w:r>
    </w:p>
    <w:p w14:paraId="41E91F30" w14:textId="77777777" w:rsidR="003F0FF1" w:rsidRDefault="003F0FF1">
      <w:pPr>
        <w:rPr>
          <w:rFonts w:ascii="Times New Roman" w:eastAsia="Times New Roman" w:hAnsi="Times New Roman" w:cs="Times New Roman"/>
          <w:lang w:val="hu-HU"/>
        </w:rPr>
      </w:pPr>
    </w:p>
    <w:p w14:paraId="275E412A" w14:textId="77777777" w:rsidR="003F0FF1" w:rsidRDefault="001156D9">
      <w:pPr>
        <w:pStyle w:val="Szvegtrzs"/>
        <w:ind w:left="0"/>
        <w:rPr>
          <w:rFonts w:cs="Times New Roman"/>
          <w:lang w:val="hu-HU"/>
        </w:rPr>
      </w:pPr>
      <w:r>
        <w:rPr>
          <w:rFonts w:cs="Times New Roman"/>
          <w:u w:val="single" w:color="000000"/>
          <w:lang w:val="hu-HU"/>
        </w:rPr>
        <w:t>Macula oedema</w:t>
      </w:r>
    </w:p>
    <w:p w14:paraId="65F6C218" w14:textId="00FC7472" w:rsidR="003F0FF1" w:rsidRDefault="001156D9">
      <w:pPr>
        <w:pStyle w:val="Szvegtrzs"/>
        <w:ind w:left="0"/>
        <w:rPr>
          <w:rFonts w:cs="Times New Roman"/>
          <w:lang w:val="hu-HU"/>
        </w:rPr>
      </w:pPr>
      <w:r>
        <w:rPr>
          <w:rFonts w:cs="Times New Roman"/>
          <w:lang w:val="hu-HU"/>
        </w:rPr>
        <w:t>Vizuális tünetekkel járó vagy anélküli macula oedemát a 0,5 mg fingolimoddal kezelt betegek 0,5%</w:t>
      </w:r>
      <w:r>
        <w:rPr>
          <w:rFonts w:cs="Times New Roman"/>
          <w:lang w:val="hu-HU"/>
        </w:rPr>
        <w:noBreakHyphen/>
        <w:t>ánál jelentettek, túlnyomórészt a kezelés első 3</w:t>
      </w:r>
      <w:r>
        <w:rPr>
          <w:rFonts w:cs="Times New Roman"/>
          <w:lang w:val="hu-HU"/>
        </w:rPr>
        <w:noBreakHyphen/>
        <w:t>4 hónapja alatt (lásd 4.8 pont). Ezért a kezelés megkezdése után 3</w:t>
      </w:r>
      <w:r>
        <w:rPr>
          <w:rFonts w:cs="Times New Roman"/>
          <w:lang w:val="hu-HU"/>
        </w:rPr>
        <w:noBreakHyphen/>
        <w:t>4 hónappal szemészeti vizsgálat javasolt. Ha a betegek a kezelés ideje alatt bármikor látászavarokról számolnak be, a fundus, és ezen belül a macula vizsgálatát is el kell végezni.</w:t>
      </w:r>
    </w:p>
    <w:p w14:paraId="46810AC1" w14:textId="77777777" w:rsidR="003F0FF1" w:rsidRDefault="003F0FF1">
      <w:pPr>
        <w:rPr>
          <w:rFonts w:ascii="Times New Roman" w:eastAsia="Times New Roman" w:hAnsi="Times New Roman" w:cs="Times New Roman"/>
          <w:lang w:val="hu-HU"/>
        </w:rPr>
      </w:pPr>
    </w:p>
    <w:p w14:paraId="5F866780" w14:textId="77777777" w:rsidR="003F0FF1" w:rsidRDefault="001156D9">
      <w:pPr>
        <w:pStyle w:val="Szvegtrzs"/>
        <w:ind w:left="0"/>
        <w:rPr>
          <w:rFonts w:cs="Times New Roman"/>
          <w:lang w:val="hu-HU"/>
        </w:rPr>
      </w:pPr>
      <w:r>
        <w:rPr>
          <w:rFonts w:cs="Times New Roman"/>
          <w:lang w:val="hu-HU"/>
        </w:rPr>
        <w:t xml:space="preserve">Azoknál a betegeknél, akiknek az anamnézisében uveitis szerepel, illetve a diabetes mellitusos betegeknél fokozott a macula oedema kockázata (lásd 4.8 pont). A fingolimodot egyidejűleg diabetes </w:t>
      </w:r>
      <w:r>
        <w:rPr>
          <w:rFonts w:cs="Times New Roman"/>
          <w:lang w:val="hu-HU"/>
        </w:rPr>
        <w:lastRenderedPageBreak/>
        <w:t>mellitusban is szenvedő, sclerosis multiplexes betegeknél nem vizsgálaták. A sclerosis multiplexben szenvedő diabetes mellitusos betegeknél vagy azoknál, akiknek az anamnézisében uveitis szerepel, javasolt, hogy a kezelés megkezdése előtt szemészeti vizsgálaton essenek át, és a kezelés ideje alatt kontroll vizsgálatok történjenek náluk.</w:t>
      </w:r>
    </w:p>
    <w:p w14:paraId="423D8E17" w14:textId="77777777" w:rsidR="003F0FF1" w:rsidRDefault="003F0FF1">
      <w:pPr>
        <w:rPr>
          <w:rFonts w:ascii="Times New Roman" w:eastAsia="Times New Roman" w:hAnsi="Times New Roman" w:cs="Times New Roman"/>
          <w:lang w:val="hu-HU"/>
        </w:rPr>
      </w:pPr>
    </w:p>
    <w:p w14:paraId="4E80D41B" w14:textId="77777777" w:rsidR="003F0FF1" w:rsidRDefault="001156D9">
      <w:pPr>
        <w:pStyle w:val="Szvegtrzs"/>
        <w:ind w:left="0"/>
        <w:rPr>
          <w:rFonts w:cs="Times New Roman"/>
          <w:lang w:val="hu-HU"/>
        </w:rPr>
      </w:pPr>
      <w:r>
        <w:rPr>
          <w:rFonts w:cs="Times New Roman"/>
          <w:lang w:val="hu-HU"/>
        </w:rPr>
        <w:t>A macula oedemás betegeknél a fingolimod-kezelés folytatását nem értékelték. Ha egy betegnél macula oedema alakul ki, akkor a fingolimod elhagyása javasolt. A fingolimod-kezelésnek a macula oedema megszűnését követő újrakezdésével kapcsolatos döntéskor az adott beteg esetén figyelembe kell venni a potenciális előnyöket és kockázatokat.</w:t>
      </w:r>
    </w:p>
    <w:p w14:paraId="3F560226" w14:textId="77777777" w:rsidR="003F0FF1" w:rsidRDefault="003F0FF1">
      <w:pPr>
        <w:pStyle w:val="Szvegtrzs"/>
        <w:ind w:left="0"/>
        <w:rPr>
          <w:rFonts w:cs="Times New Roman"/>
          <w:u w:val="single" w:color="000000"/>
          <w:lang w:val="hu-HU"/>
        </w:rPr>
      </w:pPr>
    </w:p>
    <w:p w14:paraId="619D4CAF" w14:textId="77777777" w:rsidR="003F0FF1" w:rsidRDefault="001156D9">
      <w:pPr>
        <w:pStyle w:val="Szvegtrzs"/>
        <w:ind w:left="0"/>
        <w:rPr>
          <w:rFonts w:cs="Times New Roman"/>
          <w:lang w:val="hu-HU"/>
        </w:rPr>
      </w:pPr>
      <w:r>
        <w:rPr>
          <w:rFonts w:cs="Times New Roman"/>
          <w:u w:val="single" w:color="000000"/>
          <w:lang w:val="hu-HU"/>
        </w:rPr>
        <w:t>Májkárosodás</w:t>
      </w:r>
    </w:p>
    <w:p w14:paraId="6A93D074" w14:textId="77777777" w:rsidR="003F0FF1" w:rsidRDefault="001156D9">
      <w:pPr>
        <w:pStyle w:val="Szvegtrzs"/>
        <w:ind w:left="0"/>
        <w:rPr>
          <w:rFonts w:cs="Times New Roman"/>
          <w:lang w:val="hu-HU"/>
        </w:rPr>
      </w:pPr>
      <w:r>
        <w:rPr>
          <w:rFonts w:cs="Times New Roman"/>
          <w:lang w:val="hu-HU"/>
        </w:rPr>
        <w:t xml:space="preserve">Emelkedett májenzimszint (különösen </w:t>
      </w:r>
      <w:r>
        <w:rPr>
          <w:lang w:val="hu-HU"/>
        </w:rPr>
        <w:t>glutamát-piruvát transzamináz-</w:t>
      </w:r>
      <w:r>
        <w:rPr>
          <w:rFonts w:cs="Times New Roman"/>
          <w:lang w:val="hu-HU"/>
        </w:rPr>
        <w:t xml:space="preserve"> [GPT vagy ALAT] de ezen kívül gamma-glutamiltranszferáz (GGT) és </w:t>
      </w:r>
      <w:r>
        <w:rPr>
          <w:lang w:val="hu-HU"/>
        </w:rPr>
        <w:t>glutamát-oxálacetát transzamináz-</w:t>
      </w:r>
      <w:r>
        <w:rPr>
          <w:rFonts w:cs="Times New Roman"/>
          <w:lang w:val="hu-HU"/>
        </w:rPr>
        <w:t xml:space="preserve"> [GOT vagy ASAT]) értékeket jelentettek fingolimod-kezelésben részesült sclerosis multiplexes betegeknél. Beszámoltak néhány olyan esetről is, amelyekben májátültetést igénylő akut májelégtelenség és klinikailag jelentős májkárosodás következett be. Májkárosodásra utaló jelek – például jelentősen megemelkedett szérum májenzimszint és emelkedett összbilirubinszint – már akár tíz nappal az első adagot követően kialakultak, és ezekről tartós alkalmazást követően is beszámoltak. A klinikai vizsgálatok alatt a 0,5 mg fingolimoddal kezelt betegeknél a GPT-szint normálérték felső határának háromszorosát elérő vagy azt meghaladó emelkedése a placebóval kezelt betegek 1,9%-ához képest a felnőtt betegek 8,0%-ánál fordult elő. A normálérték felső határának ötszörös emelkedése a fingolimodot kapó betegek 1,8%-ánál és a placebót kapó betegek 0,9%-ánál alakult ki. A klinikai vizsgálatok során abbahagyták a fingolimod adását, ha az emelkedés meghaladta a normálérték felső határának ötszörösét. A hepaticus transzaminázok szintjének ismételt emelkedése a kezelés újbóli elkezdésekor a betegek egy részénél ismét kialakult, ami alátámasztja a fingolimoddal való összefüggést. Klinikai vizsgálatok során a transzaminázok szintjének emelkedése a kezelés alatt bármikor előfordult, bár a legtöbbször ez az első 12 hónapon belül történt. A szérum transzaminázszintek a fingolimod szedésének abbahagyását követően kb. 2 hónap múlva normalizálódtak.</w:t>
      </w:r>
    </w:p>
    <w:p w14:paraId="43B0EE26" w14:textId="77777777" w:rsidR="003F0FF1" w:rsidRDefault="003F0FF1">
      <w:pPr>
        <w:rPr>
          <w:rFonts w:ascii="Times New Roman" w:eastAsia="Times New Roman" w:hAnsi="Times New Roman" w:cs="Times New Roman"/>
          <w:lang w:val="hu-HU"/>
        </w:rPr>
      </w:pPr>
    </w:p>
    <w:p w14:paraId="75ACF2E1" w14:textId="77777777" w:rsidR="003F0FF1" w:rsidRDefault="001156D9">
      <w:pPr>
        <w:pStyle w:val="Szvegtrzs"/>
        <w:ind w:left="0"/>
        <w:rPr>
          <w:rFonts w:cs="Times New Roman"/>
          <w:lang w:val="hu-HU"/>
        </w:rPr>
      </w:pPr>
      <w:r>
        <w:rPr>
          <w:rFonts w:cs="Times New Roman"/>
          <w:lang w:val="hu-HU"/>
        </w:rPr>
        <w:t>A fingolimodot nem vizsgálták olyan betegeknél, akiknek súlyos (Child-Pugh C stádium), már fennálló májkárosodásuk volt, és a gyógyszert az ilyen betegeknél nem szabad alkalmazni (lásd 4.3 pont).</w:t>
      </w:r>
    </w:p>
    <w:p w14:paraId="06EEA218" w14:textId="77777777" w:rsidR="003F0FF1" w:rsidRDefault="003F0FF1">
      <w:pPr>
        <w:pStyle w:val="Szvegtrzs"/>
        <w:ind w:left="0"/>
        <w:rPr>
          <w:rFonts w:cs="Times New Roman"/>
          <w:lang w:val="hu-HU"/>
        </w:rPr>
      </w:pPr>
    </w:p>
    <w:p w14:paraId="0BCD2C0B" w14:textId="77777777" w:rsidR="003F0FF1" w:rsidRDefault="001156D9">
      <w:pPr>
        <w:pStyle w:val="Szvegtrzs"/>
        <w:ind w:left="0"/>
        <w:rPr>
          <w:rFonts w:cs="Times New Roman"/>
          <w:lang w:val="hu-HU"/>
        </w:rPr>
      </w:pPr>
      <w:r>
        <w:rPr>
          <w:rFonts w:cs="Times New Roman"/>
          <w:lang w:val="hu-HU"/>
        </w:rPr>
        <w:t>A fingolimod immunszuppresszív tulajdonságai miatt az aktív vírusos hepatitisben szenvedő betegeknél a kezelés elkezdését annak megszűnéséig halasztani kell.</w:t>
      </w:r>
    </w:p>
    <w:p w14:paraId="591F53BF" w14:textId="77777777" w:rsidR="003F0FF1" w:rsidRDefault="003F0FF1">
      <w:pPr>
        <w:rPr>
          <w:rFonts w:ascii="Times New Roman" w:eastAsia="Times New Roman" w:hAnsi="Times New Roman" w:cs="Times New Roman"/>
          <w:lang w:val="hu-HU"/>
        </w:rPr>
      </w:pPr>
    </w:p>
    <w:p w14:paraId="21DCB79B" w14:textId="77777777" w:rsidR="003F0FF1" w:rsidRDefault="001156D9">
      <w:pPr>
        <w:pStyle w:val="Szvegtrzs"/>
        <w:ind w:left="0"/>
        <w:rPr>
          <w:rFonts w:cs="Times New Roman"/>
          <w:lang w:val="hu-HU"/>
        </w:rPr>
      </w:pPr>
      <w:r>
        <w:rPr>
          <w:rFonts w:cs="Times New Roman"/>
          <w:lang w:val="hu-HU"/>
        </w:rPr>
        <w:t xml:space="preserve">A fingolimod-kezelés elkezdése előtt nem túl régi (azaz 6-hónapon belüli) transzamináz- és bilirubinszint eredménynek kell rendelkezésre állnia. Klinikai tünetek hiányában a hepaticus transzaminázok szintjét és a szérum bilirubinszintjét a kezelés 1., 3., 6., 9. és 12. hónapjában, majd azt követően rendszeres időközönként ellenőrizni kell a fingolimod abbahagyása után 2 hónapig. Klinikai tünetek hiányában, ha a hepaticus transzaminázok szintje meghaladja a normálérték felső határának háromszorosát, de elmarad annak ötszörösétől, és a szérum bilirubinszintje nem emelkedett, gyakoribb monitorozást kell végezni, beleértve a szérum bilirubinszint és az alkalikus foszfatáz (ALP) szintjének meghatározását. Ennek célja megállapítani azt, hogy bekövetkezik-e további emelkedés, illetve tisztázni, hogy fennáll-e valamilyen alternatív ok a májműködési zavar hátterében. Amennyiben a hepaticus transzaminázok szintje legalább ötszörösen meghaladja a normálérték felső határát, illetve ha legalább háromszorosan meghaladja azt, és emellett a szérum bilirubinszintje is bármekkora mértékben megnő, abba kell hagyni a fingolimod alkalmazását. A májműködés monitorozását folytatni kell. Ha a szérumszintek visszatérnek a normáltartományba (beleértve azt az esetet is, ha kiderül, hogy egyéb ok állt a májműködési zavar hátterében), a beteg alapos előny-kockázat értékelése alapján újra lehet kezdeni a fingolimod alkalmazását. </w:t>
      </w:r>
    </w:p>
    <w:p w14:paraId="2B7C7A65" w14:textId="77777777" w:rsidR="003F0FF1" w:rsidRDefault="003F0FF1">
      <w:pPr>
        <w:rPr>
          <w:rFonts w:ascii="Times New Roman" w:eastAsia="Times New Roman" w:hAnsi="Times New Roman" w:cs="Times New Roman"/>
          <w:lang w:val="hu-HU"/>
        </w:rPr>
      </w:pPr>
    </w:p>
    <w:p w14:paraId="61703A4C" w14:textId="77777777" w:rsidR="003F0FF1" w:rsidRDefault="001156D9">
      <w:pPr>
        <w:pStyle w:val="Szvegtrzs"/>
        <w:ind w:left="0"/>
        <w:rPr>
          <w:rFonts w:cs="Times New Roman"/>
          <w:lang w:val="hu-HU"/>
        </w:rPr>
      </w:pPr>
      <w:r>
        <w:rPr>
          <w:rFonts w:cs="Times New Roman"/>
          <w:lang w:val="hu-HU"/>
        </w:rPr>
        <w:t xml:space="preserve">Azoknál a betegeknél, akiknél májműködési zavarra utaló tünetek jelentkeznek, mint például a megmagyarázhatatlan hányinger, hányás, hasi fájdalom, fáradtság, étvágytalanság vagy icterus és/vagy sötét vizelet, a májenzimek </w:t>
      </w:r>
      <w:r>
        <w:rPr>
          <w:lang w:val="hu-HU"/>
        </w:rPr>
        <w:t xml:space="preserve">és a bilirubin </w:t>
      </w:r>
      <w:r>
        <w:rPr>
          <w:rFonts w:cs="Times New Roman"/>
          <w:lang w:val="hu-HU"/>
        </w:rPr>
        <w:t xml:space="preserve">szintjét </w:t>
      </w:r>
      <w:r>
        <w:rPr>
          <w:lang w:val="hu-HU"/>
        </w:rPr>
        <w:t>haladéktalanul</w:t>
      </w:r>
      <w:r>
        <w:rPr>
          <w:rFonts w:cs="Times New Roman"/>
          <w:lang w:val="hu-HU"/>
        </w:rPr>
        <w:t xml:space="preserve"> ellenőrizni kell, és a kezelést abba kell hagyni, ha jelentős májkárosodás igazolódik. A kezelést mindaddig nem szabad folytatni, amíg meg nem határozzák, milyen valószínűsíthető alternatív ok állhat a májkárosodás jelei és tünetei mögött.</w:t>
      </w:r>
    </w:p>
    <w:p w14:paraId="29796BFF" w14:textId="77777777" w:rsidR="003F0FF1" w:rsidRDefault="003F0FF1">
      <w:pPr>
        <w:rPr>
          <w:rFonts w:ascii="Times New Roman" w:eastAsia="Times New Roman" w:hAnsi="Times New Roman" w:cs="Times New Roman"/>
          <w:lang w:val="hu-HU"/>
        </w:rPr>
      </w:pPr>
    </w:p>
    <w:p w14:paraId="3230EF2D" w14:textId="77777777" w:rsidR="003F0FF1" w:rsidRDefault="001156D9" w:rsidP="00CE583C">
      <w:pPr>
        <w:pStyle w:val="Szvegtrzs"/>
        <w:widowControl/>
        <w:ind w:left="0"/>
        <w:rPr>
          <w:rFonts w:cs="Times New Roman"/>
          <w:lang w:val="hu-HU"/>
        </w:rPr>
      </w:pPr>
      <w:r>
        <w:rPr>
          <w:rFonts w:cs="Times New Roman"/>
          <w:lang w:val="hu-HU"/>
        </w:rPr>
        <w:t>Habár nincs arra utaló adat, hogy a fingolimodot szedő, már fennálló májbetegségben szenvedő betegeknél magasabb az emelkedett májfunkciós értékek kialakulásának a kockázata, a fingolimodot óvatosan kell alkalmazni olyan betegeknél, akiknek az anamnézisében jelentős májbetegség szerepel.</w:t>
      </w:r>
    </w:p>
    <w:p w14:paraId="1A546D83" w14:textId="77777777" w:rsidR="003F0FF1" w:rsidRDefault="003F0FF1">
      <w:pPr>
        <w:rPr>
          <w:rFonts w:ascii="Times New Roman" w:eastAsia="Times New Roman" w:hAnsi="Times New Roman" w:cs="Times New Roman"/>
          <w:lang w:val="hu-HU"/>
        </w:rPr>
      </w:pPr>
    </w:p>
    <w:p w14:paraId="33F9FE1A" w14:textId="77777777" w:rsidR="003F0FF1" w:rsidRDefault="001156D9">
      <w:pPr>
        <w:pStyle w:val="Szvegtrzs"/>
        <w:ind w:left="0"/>
        <w:rPr>
          <w:rFonts w:cs="Times New Roman"/>
          <w:lang w:val="hu-HU"/>
        </w:rPr>
      </w:pPr>
      <w:r>
        <w:rPr>
          <w:rFonts w:cs="Times New Roman"/>
          <w:u w:val="single" w:color="000000"/>
          <w:lang w:val="hu-HU"/>
        </w:rPr>
        <w:t>A vérnyomásra gyakorolt hatások</w:t>
      </w:r>
    </w:p>
    <w:p w14:paraId="1895F82D" w14:textId="77777777" w:rsidR="003F0FF1" w:rsidRDefault="001156D9">
      <w:pPr>
        <w:pStyle w:val="Szvegtrzs"/>
        <w:ind w:left="0"/>
        <w:rPr>
          <w:rFonts w:cs="Times New Roman"/>
          <w:lang w:val="hu-HU"/>
        </w:rPr>
      </w:pPr>
      <w:r>
        <w:rPr>
          <w:rFonts w:cs="Times New Roman"/>
          <w:lang w:val="hu-HU"/>
        </w:rPr>
        <w:t>Azokat a betegeket, akiknek gyógyszeresen nem beállított hypertoniája volt, kizárták a forgalomba hozatalt megelőző klinikai vizsgálatokban való részvételből, és a nem beállított magas vérnyomású betegek fingolimod-kezelésekor különös elővigyázatosság szükséges.</w:t>
      </w:r>
    </w:p>
    <w:p w14:paraId="4C5E89D3" w14:textId="77777777" w:rsidR="003F0FF1" w:rsidRDefault="003F0FF1">
      <w:pPr>
        <w:pStyle w:val="Szvegtrzs"/>
        <w:ind w:left="0"/>
        <w:rPr>
          <w:rFonts w:cs="Times New Roman"/>
          <w:lang w:val="hu-HU"/>
        </w:rPr>
      </w:pPr>
    </w:p>
    <w:p w14:paraId="61DA3553" w14:textId="77777777" w:rsidR="003F0FF1" w:rsidRDefault="001156D9">
      <w:pPr>
        <w:pStyle w:val="Szvegtrzs"/>
        <w:ind w:left="0"/>
        <w:rPr>
          <w:rFonts w:cs="Times New Roman"/>
          <w:lang w:val="hu-HU"/>
        </w:rPr>
      </w:pPr>
      <w:r>
        <w:rPr>
          <w:rFonts w:cs="Times New Roman"/>
          <w:lang w:val="hu-HU"/>
        </w:rPr>
        <w:t>A sclerosis multiplex miatt végzett klinikai vizsgálatokban a 0,5 mg fingolimoddal kezelt betegeknél a szisztolés vérnyomás átlagos emelkedése megközelítőleg 3 Hgmm, míg a diasztolés vérnyomásé kb. 1 Hgmm volt, amit először mintegy 1 hónappal a kezelés megkezdését követően mutattak ki, és ami a kezelés folytatásakor fennmaradt. A két évig tartó, placebokontrollos vizsgálatban a nemkívánatos eseményként jelentkező magas vérnyomásról a 0,5 mg fingolimodot kapó betegek 6,5%-ánál és a placebót kapó betegek 3,3%-ánál számoltak be. Ezért a kezelés alatt a vérnyomást rendszeresen ellenőrizni kell.</w:t>
      </w:r>
    </w:p>
    <w:p w14:paraId="0B3C8A8C" w14:textId="77777777" w:rsidR="003F0FF1" w:rsidRDefault="003F0FF1">
      <w:pPr>
        <w:rPr>
          <w:rFonts w:ascii="Times New Roman" w:eastAsia="Times New Roman" w:hAnsi="Times New Roman" w:cs="Times New Roman"/>
          <w:lang w:val="hu-HU"/>
        </w:rPr>
      </w:pPr>
    </w:p>
    <w:p w14:paraId="2C9BC4B9" w14:textId="77777777" w:rsidR="003F0FF1" w:rsidRDefault="001156D9">
      <w:pPr>
        <w:pStyle w:val="Szvegtrzs"/>
        <w:ind w:left="0"/>
        <w:rPr>
          <w:rFonts w:cs="Times New Roman"/>
          <w:lang w:val="hu-HU"/>
        </w:rPr>
      </w:pPr>
      <w:r>
        <w:rPr>
          <w:rFonts w:cs="Times New Roman"/>
          <w:u w:val="single" w:color="000000"/>
          <w:lang w:val="hu-HU"/>
        </w:rPr>
        <w:t>Légzőrendszeri hatások</w:t>
      </w:r>
    </w:p>
    <w:p w14:paraId="6ED6B8F5" w14:textId="77777777" w:rsidR="003F0FF1" w:rsidRDefault="001156D9">
      <w:pPr>
        <w:pStyle w:val="Szvegtrzs"/>
        <w:ind w:left="0"/>
        <w:rPr>
          <w:rFonts w:cs="Times New Roman"/>
          <w:lang w:val="hu-HU"/>
        </w:rPr>
      </w:pPr>
      <w:r>
        <w:rPr>
          <w:rFonts w:cs="Times New Roman"/>
          <w:lang w:val="hu-HU"/>
        </w:rPr>
        <w:t>A fingolimod-kezelés mellett a forszírozott exspirációs volumen (FEV</w:t>
      </w:r>
      <w:r>
        <w:rPr>
          <w:rFonts w:cs="Times New Roman"/>
          <w:position w:val="-1"/>
          <w:vertAlign w:val="subscript"/>
          <w:lang w:val="hu-HU"/>
        </w:rPr>
        <w:t>1</w:t>
      </w:r>
      <w:r>
        <w:rPr>
          <w:rFonts w:cs="Times New Roman"/>
          <w:lang w:val="hu-HU"/>
        </w:rPr>
        <w:t>) és a szén-monoxid-diffúziós kapacitás értékekben észlelt csekély, dózisfüggő csökkenés az első hónapban kezdődött, majd azt követően nem változott. A fingolimodot a súlyos légzőszervi megbetegedésben, pulmonális fibrosisban és krónikus obstruktív tüdőbetegségben szenvedő betegeknél óvatosan kell alkalmazni (lásd még 4.8 pont).</w:t>
      </w:r>
    </w:p>
    <w:p w14:paraId="3E828158" w14:textId="77777777" w:rsidR="003F0FF1" w:rsidRDefault="003F0FF1">
      <w:pPr>
        <w:rPr>
          <w:rFonts w:ascii="Times New Roman" w:eastAsia="Times New Roman" w:hAnsi="Times New Roman" w:cs="Times New Roman"/>
          <w:lang w:val="hu-HU"/>
        </w:rPr>
      </w:pPr>
    </w:p>
    <w:p w14:paraId="2FA8EE01" w14:textId="77777777" w:rsidR="003F0FF1" w:rsidRDefault="001156D9">
      <w:pPr>
        <w:pStyle w:val="Szvegtrzs"/>
        <w:ind w:left="0"/>
        <w:rPr>
          <w:rFonts w:cs="Times New Roman"/>
          <w:lang w:val="hu-HU"/>
        </w:rPr>
      </w:pPr>
      <w:r>
        <w:rPr>
          <w:rFonts w:cs="Times New Roman"/>
          <w:u w:val="single" w:color="000000"/>
          <w:lang w:val="hu-HU"/>
        </w:rPr>
        <w:t>Posterior reverzíbilis encephalopathia szindróma</w:t>
      </w:r>
    </w:p>
    <w:p w14:paraId="7EBF5874" w14:textId="77777777" w:rsidR="003F0FF1" w:rsidRDefault="001156D9">
      <w:pPr>
        <w:pStyle w:val="Szvegtrzs"/>
        <w:ind w:left="0"/>
        <w:rPr>
          <w:rFonts w:cs="Times New Roman"/>
          <w:lang w:val="hu-HU"/>
        </w:rPr>
      </w:pPr>
      <w:r>
        <w:rPr>
          <w:rFonts w:cs="Times New Roman"/>
          <w:lang w:val="hu-HU"/>
        </w:rPr>
        <w:t>A klinikai vizsgálatokban és a forgalomba hozatalt követően posterior reverzíbilis encephalopathia szindróma (PRES) ritka eseteit jelentették a 0,5 mg-os dózissal (lásd 4.8 pont). A jelentett tünetek közé tartozott a hirtelen kezdődő súlyos fejfájás, émelygés, hányás, megváltozott mentális állapot, látászavarok és görcsök. A PRES tünetei általában reverzíbilisek, de ischaemiás stroke-hoz vagy agyvérzéshez is vezethetnek. A diagnózis és a kezelés késlekedése maradandó neurológiai következményekkel járhat. Ha a PRES gyanúja felmerül, a fingolimod-kezelést abba kell hagyni.</w:t>
      </w:r>
    </w:p>
    <w:p w14:paraId="0DB14DE9" w14:textId="77777777" w:rsidR="003F0FF1" w:rsidRDefault="003F0FF1">
      <w:pPr>
        <w:rPr>
          <w:rFonts w:ascii="Times New Roman" w:eastAsia="Times New Roman" w:hAnsi="Times New Roman" w:cs="Times New Roman"/>
          <w:lang w:val="hu-HU"/>
        </w:rPr>
      </w:pPr>
    </w:p>
    <w:p w14:paraId="6606892E" w14:textId="77777777" w:rsidR="003F0FF1" w:rsidRDefault="001156D9">
      <w:pPr>
        <w:pStyle w:val="Szvegtrzs"/>
        <w:ind w:left="0"/>
        <w:rPr>
          <w:rFonts w:cs="Times New Roman"/>
          <w:u w:val="single" w:color="000000"/>
          <w:lang w:val="hu-HU"/>
        </w:rPr>
      </w:pPr>
      <w:r>
        <w:rPr>
          <w:rFonts w:cs="Times New Roman"/>
          <w:u w:val="single" w:color="000000"/>
          <w:lang w:val="hu-HU"/>
        </w:rPr>
        <w:t>Korábbi kezelés immunszuppresszív és immunmoduláló gyógyszerekkel</w:t>
      </w:r>
    </w:p>
    <w:p w14:paraId="0A8B278E" w14:textId="77777777" w:rsidR="003F0FF1" w:rsidRDefault="001156D9">
      <w:pPr>
        <w:pStyle w:val="Szvegtrzs"/>
        <w:ind w:left="0"/>
        <w:rPr>
          <w:rFonts w:cs="Times New Roman"/>
          <w:lang w:val="hu-HU"/>
        </w:rPr>
      </w:pPr>
      <w:r>
        <w:rPr>
          <w:rFonts w:cs="Times New Roman"/>
          <w:lang w:val="hu-HU"/>
        </w:rPr>
        <w:t>Nem végeztek vizsgálatokat a fingolimod hatásosságának és biztonságosságának értékelésére olyan esetekben, amikor a betegeket teriflunomidról, dimetilfumarátról vagy alemtuzumabról állították át fingolimodra. Az additív immunológiai hatás elkerülése, és egyúttal a betegségreaktiváció kockázatának minimalizálása érdekében az egyéb betegségmódosító terápiáról fingolimodra való átállítás esetén figyelembe kell venni az adott gyógyszer eliminációs felezési idejét és hatásmódját. A fingolimod alkalmazásának megkezdése előtt teljes vérképvizsgálat elvégzése ajánlott annak biztosítása érdekében, hogy a korábbi kezelés immunológiai hatásai (pl. cytopenia) már megszűntek.</w:t>
      </w:r>
    </w:p>
    <w:p w14:paraId="1779217E" w14:textId="77777777" w:rsidR="003F0FF1" w:rsidRDefault="003F0FF1">
      <w:pPr>
        <w:rPr>
          <w:rFonts w:ascii="Times New Roman" w:eastAsia="Times New Roman" w:hAnsi="Times New Roman" w:cs="Times New Roman"/>
          <w:lang w:val="hu-HU"/>
        </w:rPr>
      </w:pPr>
    </w:p>
    <w:p w14:paraId="1D06AD60" w14:textId="77777777" w:rsidR="003F0FF1" w:rsidRDefault="001156D9">
      <w:pPr>
        <w:pStyle w:val="Szvegtrzs"/>
        <w:ind w:left="0"/>
        <w:rPr>
          <w:rFonts w:cs="Times New Roman"/>
          <w:lang w:val="hu-HU"/>
        </w:rPr>
      </w:pPr>
      <w:r>
        <w:rPr>
          <w:rFonts w:cs="Times New Roman"/>
          <w:lang w:val="hu-HU"/>
        </w:rPr>
        <w:t>A fingolimod-kezelés általában elkezdhető közvetlenül az interferon, illetve a glatiramer-acetát alkalmazásának befejezése után.</w:t>
      </w:r>
    </w:p>
    <w:p w14:paraId="2436041C" w14:textId="77777777" w:rsidR="003F0FF1" w:rsidRDefault="003F0FF1">
      <w:pPr>
        <w:rPr>
          <w:rFonts w:ascii="Times New Roman" w:eastAsia="Times New Roman" w:hAnsi="Times New Roman" w:cs="Times New Roman"/>
          <w:lang w:val="hu-HU"/>
        </w:rPr>
      </w:pPr>
    </w:p>
    <w:p w14:paraId="47485D8B" w14:textId="77777777" w:rsidR="003F0FF1" w:rsidRDefault="001156D9">
      <w:pPr>
        <w:pStyle w:val="Szvegtrzs"/>
        <w:ind w:left="0"/>
        <w:rPr>
          <w:rFonts w:cs="Times New Roman"/>
          <w:lang w:val="hu-HU"/>
        </w:rPr>
      </w:pPr>
      <w:r>
        <w:rPr>
          <w:rFonts w:cs="Times New Roman"/>
          <w:lang w:val="hu-HU"/>
        </w:rPr>
        <w:t>A dimetil-fumarát esetében a kimosási időszaknak elegendő hosszúnak kell lennie ahhoz, hogy a teljes vérkép normalizálódjon, mielőtt a fingolimod-kezelés megkezdődik.</w:t>
      </w:r>
    </w:p>
    <w:p w14:paraId="3E398041" w14:textId="77777777" w:rsidR="003F0FF1" w:rsidRDefault="003F0FF1">
      <w:pPr>
        <w:rPr>
          <w:rFonts w:ascii="Times New Roman" w:eastAsia="Times New Roman" w:hAnsi="Times New Roman" w:cs="Times New Roman"/>
          <w:lang w:val="hu-HU"/>
        </w:rPr>
      </w:pPr>
    </w:p>
    <w:p w14:paraId="3EFA0086" w14:textId="77777777" w:rsidR="003F0FF1" w:rsidRDefault="001156D9">
      <w:pPr>
        <w:pStyle w:val="Szvegtrzs"/>
        <w:ind w:left="0"/>
        <w:rPr>
          <w:rFonts w:cs="Times New Roman"/>
          <w:lang w:val="hu-HU"/>
        </w:rPr>
      </w:pPr>
      <w:r>
        <w:rPr>
          <w:rFonts w:cs="Times New Roman"/>
          <w:lang w:val="hu-HU"/>
        </w:rPr>
        <w:t>A natalizumab hosszú elminációs felezési ideje miatt az elimináció általában 2</w:t>
      </w:r>
      <w:r>
        <w:rPr>
          <w:rFonts w:cs="Times New Roman"/>
          <w:lang w:val="hu-HU"/>
        </w:rPr>
        <w:noBreakHyphen/>
        <w:t>3 hónapig tart a kezelés abbahagyását követően. A teriflunomid szintén lassan eliminálódik a plazmából. Gyorsított eliminációs eljárás alkalmazása nélkül a teriflunomid plazma clearance-e több hónaptól 2 évig is eltarthat. Gyorsított eliminációs eljárás alkalmazása (a teriflunomid alkalmazási előírásában leírt módon) ajánlott, vagy ennek alternatívájaként a kiürülési időtartam nem lehet rövidebb, mint 3,5 hónap. Tekintettel az esetleges egyidejű immunológiai hatásokra, óvatosság jánlott, amikor a betegeket natalizumabról vagy teriflunomidról állítják át fingolimodra.</w:t>
      </w:r>
    </w:p>
    <w:p w14:paraId="17F2F664" w14:textId="77777777" w:rsidR="003F0FF1" w:rsidRDefault="003F0FF1">
      <w:pPr>
        <w:rPr>
          <w:rFonts w:ascii="Times New Roman" w:eastAsia="Times New Roman" w:hAnsi="Times New Roman" w:cs="Times New Roman"/>
          <w:lang w:val="hu-HU"/>
        </w:rPr>
      </w:pPr>
    </w:p>
    <w:p w14:paraId="5EE30868" w14:textId="77777777" w:rsidR="003F0FF1" w:rsidRDefault="001156D9" w:rsidP="00CE583C">
      <w:pPr>
        <w:pStyle w:val="Szvegtrzs"/>
        <w:widowControl/>
        <w:ind w:left="0"/>
        <w:rPr>
          <w:rFonts w:cs="Times New Roman"/>
          <w:lang w:val="hu-HU"/>
        </w:rPr>
      </w:pPr>
      <w:r>
        <w:rPr>
          <w:rFonts w:cs="Times New Roman"/>
          <w:lang w:val="hu-HU"/>
        </w:rPr>
        <w:lastRenderedPageBreak/>
        <w:t>Az alemtuzumabnak jelentős és tartós immunszuppresszív hatásai vannak. Mivel e hatások tényleges időtartama nem ismert, nem ajánlott a fingolimod-kezelés indítása az alemtuzumab-kezelés után, kivéve, ha ennek előnyei egyértelműen meghaladják a beteg egyéni kockázatát.</w:t>
      </w:r>
    </w:p>
    <w:p w14:paraId="46C672D2" w14:textId="77777777" w:rsidR="003F0FF1" w:rsidRDefault="003F0FF1">
      <w:pPr>
        <w:rPr>
          <w:rFonts w:ascii="Times New Roman" w:eastAsia="Times New Roman" w:hAnsi="Times New Roman" w:cs="Times New Roman"/>
          <w:lang w:val="hu-HU"/>
        </w:rPr>
      </w:pPr>
    </w:p>
    <w:p w14:paraId="462FB17D" w14:textId="77777777" w:rsidR="003F0FF1" w:rsidRDefault="001156D9">
      <w:pPr>
        <w:pStyle w:val="Szvegtrzs"/>
        <w:ind w:left="0"/>
        <w:rPr>
          <w:rFonts w:cs="Times New Roman"/>
          <w:lang w:val="hu-HU"/>
        </w:rPr>
      </w:pPr>
      <w:r>
        <w:rPr>
          <w:rFonts w:cs="Times New Roman"/>
          <w:lang w:val="hu-HU"/>
        </w:rPr>
        <w:t>Gondos mérlegelést követően kell döntést hozni a kortikoszteroidokkal végzett tartós egyidejű kezelésről.</w:t>
      </w:r>
    </w:p>
    <w:p w14:paraId="2EB8E207" w14:textId="77777777" w:rsidR="003F0FF1" w:rsidRDefault="003F0FF1">
      <w:pPr>
        <w:pStyle w:val="Szvegtrzs"/>
        <w:ind w:left="0"/>
        <w:rPr>
          <w:rFonts w:cs="Times New Roman"/>
          <w:u w:val="single" w:color="000000"/>
          <w:lang w:val="hu-HU"/>
        </w:rPr>
      </w:pPr>
    </w:p>
    <w:p w14:paraId="05C3E350" w14:textId="77777777" w:rsidR="003F0FF1" w:rsidRDefault="001156D9">
      <w:pPr>
        <w:pStyle w:val="Szvegtrzs"/>
        <w:ind w:left="0"/>
        <w:rPr>
          <w:rFonts w:cs="Times New Roman"/>
          <w:lang w:val="hu-HU"/>
        </w:rPr>
      </w:pPr>
      <w:r>
        <w:rPr>
          <w:rFonts w:cs="Times New Roman"/>
          <w:u w:val="single" w:color="000000"/>
          <w:lang w:val="hu-HU"/>
        </w:rPr>
        <w:t>Egyidejű alkalmazás potens CYP450-induktorokkal</w:t>
      </w:r>
    </w:p>
    <w:p w14:paraId="46F43374" w14:textId="77777777" w:rsidR="003F0FF1" w:rsidRDefault="001156D9">
      <w:pPr>
        <w:pStyle w:val="Szvegtrzs"/>
        <w:ind w:left="0"/>
        <w:rPr>
          <w:rFonts w:cs="Times New Roman"/>
          <w:lang w:val="hu-HU"/>
        </w:rPr>
      </w:pPr>
      <w:r>
        <w:rPr>
          <w:rFonts w:cs="Times New Roman"/>
          <w:lang w:val="hu-HU"/>
        </w:rPr>
        <w:t>A fingolimod és potens CYP450-induktorok kombinációját óvatosan kell alkalmazni. Közönséges orbáncfűvel való egyidejű alkalmazása nem javasolt (lásd 4.5 pont).</w:t>
      </w:r>
    </w:p>
    <w:p w14:paraId="2166B63E" w14:textId="77777777" w:rsidR="003F0FF1" w:rsidRDefault="003F0FF1">
      <w:pPr>
        <w:rPr>
          <w:rFonts w:ascii="Times New Roman" w:eastAsia="Times New Roman" w:hAnsi="Times New Roman" w:cs="Times New Roman"/>
          <w:lang w:val="hu-HU"/>
        </w:rPr>
      </w:pPr>
    </w:p>
    <w:p w14:paraId="7C6A3ED6" w14:textId="77777777" w:rsidR="003F0FF1" w:rsidRDefault="001156D9">
      <w:pPr>
        <w:pStyle w:val="Szvegtrzs"/>
        <w:ind w:left="0"/>
        <w:rPr>
          <w:rFonts w:cs="Times New Roman"/>
          <w:lang w:val="hu-HU"/>
        </w:rPr>
      </w:pPr>
      <w:r>
        <w:rPr>
          <w:rFonts w:cs="Times New Roman"/>
          <w:u w:val="single" w:color="000000"/>
          <w:lang w:val="hu-HU"/>
        </w:rPr>
        <w:t>Malignitások</w:t>
      </w:r>
    </w:p>
    <w:p w14:paraId="12F9A18A" w14:textId="77777777" w:rsidR="003F0FF1" w:rsidRDefault="003F0FF1">
      <w:pPr>
        <w:rPr>
          <w:rFonts w:ascii="Times New Roman" w:eastAsia="Times New Roman" w:hAnsi="Times New Roman" w:cs="Times New Roman"/>
          <w:lang w:val="hu-HU"/>
        </w:rPr>
      </w:pPr>
    </w:p>
    <w:p w14:paraId="0DB6E01C" w14:textId="77777777" w:rsidR="003F0FF1" w:rsidRDefault="001156D9">
      <w:pPr>
        <w:rPr>
          <w:rFonts w:ascii="Times New Roman" w:eastAsia="Times New Roman" w:hAnsi="Times New Roman" w:cs="Times New Roman"/>
          <w:lang w:val="hu-HU"/>
        </w:rPr>
      </w:pPr>
      <w:r>
        <w:rPr>
          <w:rFonts w:ascii="Times New Roman" w:hAnsi="Times New Roman" w:cs="Times New Roman"/>
          <w:i/>
          <w:u w:val="single" w:color="000000"/>
          <w:lang w:val="hu-HU"/>
        </w:rPr>
        <w:t>Bőrmalignitások</w:t>
      </w:r>
    </w:p>
    <w:p w14:paraId="3BC055C2" w14:textId="77777777" w:rsidR="003F0FF1" w:rsidRDefault="001156D9">
      <w:pPr>
        <w:pStyle w:val="Szvegtrzs"/>
        <w:ind w:left="0"/>
        <w:rPr>
          <w:rFonts w:cs="Times New Roman"/>
          <w:lang w:val="hu-HU"/>
        </w:rPr>
      </w:pPr>
      <w:r>
        <w:rPr>
          <w:rFonts w:cs="Times New Roman"/>
          <w:lang w:val="hu-HU"/>
        </w:rPr>
        <w:t>A fingolimoddal kezelt betegeknél basalsejtes carcinomáról (BCC) és más bőrdaganatokról, köztük malignus melanomáról, laphámsejtes carcinomáról, Kaposi-sarcomáról és Merkel-sejtes carcinomáról számoltak be (lásd 4.8 pont). A bőrléziók figyelése indokolt, és a kezelés elkezdésekor, és ezután a klinikai kép függvényében 6</w:t>
      </w:r>
      <w:r>
        <w:rPr>
          <w:rFonts w:cs="Times New Roman"/>
          <w:lang w:val="hu-HU"/>
        </w:rPr>
        <w:noBreakHyphen/>
        <w:t>12 havonta a bőr orvosi vizsgálata javasolt. Gyanús léziók észlelésekor a beteget bőrgyógyászhoz kell utani.</w:t>
      </w:r>
    </w:p>
    <w:p w14:paraId="5CA6C72C" w14:textId="77777777" w:rsidR="003F0FF1" w:rsidRDefault="003F0FF1">
      <w:pPr>
        <w:rPr>
          <w:rFonts w:ascii="Times New Roman" w:eastAsia="Times New Roman" w:hAnsi="Times New Roman" w:cs="Times New Roman"/>
          <w:lang w:val="hu-HU"/>
        </w:rPr>
      </w:pPr>
    </w:p>
    <w:p w14:paraId="0533B8B5" w14:textId="77777777" w:rsidR="003F0FF1" w:rsidRDefault="001156D9">
      <w:pPr>
        <w:pStyle w:val="Szvegtrzs"/>
        <w:ind w:left="0"/>
        <w:rPr>
          <w:rFonts w:cs="Times New Roman"/>
          <w:lang w:val="hu-HU"/>
        </w:rPr>
      </w:pPr>
      <w:r>
        <w:rPr>
          <w:rFonts w:cs="Times New Roman"/>
          <w:lang w:val="hu-HU"/>
        </w:rPr>
        <w:t>Mivel fennáll a malignus bőrdaganatok kialakulásának potenciális kockázata, a fingolimoddal kezelt betegeket óvatosságra kell inteni, hogy fényvédelem nélkül kerüljék a napfényt. Ezek a betegek nem kaphatnak egyidejűleg UV B-sugárzással végzett fototerápiát vagy PUVA-fotokemoterápiát.</w:t>
      </w:r>
    </w:p>
    <w:p w14:paraId="2C41A370" w14:textId="77777777" w:rsidR="003F0FF1" w:rsidRDefault="003F0FF1">
      <w:pPr>
        <w:rPr>
          <w:rFonts w:ascii="Times New Roman" w:eastAsia="Times New Roman" w:hAnsi="Times New Roman" w:cs="Times New Roman"/>
          <w:lang w:val="hu-HU"/>
        </w:rPr>
      </w:pPr>
    </w:p>
    <w:p w14:paraId="6D27D58E" w14:textId="77777777" w:rsidR="003F0FF1" w:rsidRDefault="001156D9">
      <w:pPr>
        <w:rPr>
          <w:rFonts w:ascii="Times New Roman" w:eastAsia="Times New Roman" w:hAnsi="Times New Roman" w:cs="Times New Roman"/>
          <w:lang w:val="hu-HU"/>
        </w:rPr>
      </w:pPr>
      <w:r>
        <w:rPr>
          <w:rFonts w:ascii="Times New Roman" w:hAnsi="Times New Roman" w:cs="Times New Roman"/>
          <w:i/>
          <w:u w:val="single" w:color="000000"/>
          <w:lang w:val="hu-HU"/>
        </w:rPr>
        <w:t>Lymphomák</w:t>
      </w:r>
    </w:p>
    <w:p w14:paraId="2C388892" w14:textId="77777777" w:rsidR="003F0FF1" w:rsidRDefault="001156D9">
      <w:pPr>
        <w:pStyle w:val="Szvegtrzs"/>
        <w:ind w:left="0"/>
        <w:rPr>
          <w:rFonts w:cs="Times New Roman"/>
          <w:lang w:val="hu-HU"/>
        </w:rPr>
      </w:pPr>
      <w:r>
        <w:rPr>
          <w:rFonts w:cs="Times New Roman"/>
          <w:lang w:val="hu-HU"/>
        </w:rPr>
        <w:t>A klinikai vizsgálatokban és a forgalomba hozatalt követően beszámoltak lymphoma eseteiről (lásd 4.8 pont). A bejelentett esetek heterogén jellegűek voltak, főleg non-Hodgkin lymphoma- beleértve a B-sejtes és T-sejtes lymphomákat is- fordult elő. Bőr eredetű T-sejtes lymphoma (mycosis fungoides) eseteit is megfigyelték. Egy esetben végzetes, Epstein–Barr-vírus (EBV)-pozitív B-sejtes lymphomát is észleltek. Lymphoma gyanúja esetén abba kell hagyni a kezelést.</w:t>
      </w:r>
    </w:p>
    <w:p w14:paraId="0FDC16BE" w14:textId="77777777" w:rsidR="003F0FF1" w:rsidRDefault="003F0FF1">
      <w:pPr>
        <w:rPr>
          <w:rFonts w:ascii="Times New Roman" w:eastAsia="Times New Roman" w:hAnsi="Times New Roman" w:cs="Times New Roman"/>
          <w:lang w:val="hu-HU"/>
        </w:rPr>
      </w:pPr>
    </w:p>
    <w:p w14:paraId="0961385D" w14:textId="77777777" w:rsidR="003F0FF1" w:rsidRDefault="001156D9">
      <w:pPr>
        <w:pStyle w:val="Szvegtrzs"/>
        <w:ind w:left="0"/>
        <w:rPr>
          <w:rFonts w:cs="Times New Roman"/>
          <w:lang w:val="hu-HU"/>
        </w:rPr>
      </w:pPr>
      <w:r>
        <w:rPr>
          <w:rFonts w:cs="Times New Roman"/>
          <w:u w:val="single" w:color="000000"/>
          <w:lang w:val="hu-HU"/>
        </w:rPr>
        <w:t>Fogamzóképes nők</w:t>
      </w:r>
    </w:p>
    <w:p w14:paraId="71BC0A3E" w14:textId="77777777" w:rsidR="003F0FF1" w:rsidRDefault="001156D9">
      <w:pPr>
        <w:pStyle w:val="Szvegtrzs"/>
        <w:ind w:left="0"/>
        <w:rPr>
          <w:rFonts w:cs="Times New Roman"/>
          <w:lang w:val="hu-HU"/>
        </w:rPr>
      </w:pPr>
      <w:r>
        <w:rPr>
          <w:rFonts w:cs="Times New Roman"/>
          <w:lang w:val="hu-HU"/>
        </w:rPr>
        <w:t>A magzatra gyakorolt kockázat miatt a fingolimod alkalmazása ellenjavallt terhesség alatt és azoknál a fogamzóképes nőknél, akik nem alkalmaznak hatékony fogamzásgátlást. A kezelés megkezdése előtt tájékoztatni kell a fogamzóképes nőket a magzatra gyakorolt kockázatról, negatív terhességi teszttel kell rendelkezniük, és hatékony fogamzásgátlást kell alkalmazniuk a kezelés időtartama alatt, valamint a kezelés befejezését követően még 2 hónapon keresztül (lásd 4.3 és 4.6 pont, valamint az Orvosoknak szóló információs csomagban szereplő tájékoztatást).</w:t>
      </w:r>
    </w:p>
    <w:p w14:paraId="55E1F125" w14:textId="77777777" w:rsidR="003F0FF1" w:rsidRDefault="003F0FF1">
      <w:pPr>
        <w:rPr>
          <w:rFonts w:ascii="Times New Roman" w:eastAsia="Times New Roman" w:hAnsi="Times New Roman" w:cs="Times New Roman"/>
          <w:lang w:val="hu-HU"/>
        </w:rPr>
      </w:pPr>
    </w:p>
    <w:p w14:paraId="57ED05C3" w14:textId="77777777" w:rsidR="003F0FF1" w:rsidRDefault="001156D9">
      <w:pPr>
        <w:pStyle w:val="Szvegtrzs"/>
        <w:ind w:left="0"/>
        <w:rPr>
          <w:rFonts w:cs="Times New Roman"/>
          <w:lang w:val="hu-HU"/>
        </w:rPr>
      </w:pPr>
      <w:r>
        <w:rPr>
          <w:rFonts w:cs="Times New Roman"/>
          <w:u w:val="single" w:color="000000"/>
          <w:lang w:val="hu-HU"/>
        </w:rPr>
        <w:t>Tumefaktív léziók</w:t>
      </w:r>
    </w:p>
    <w:p w14:paraId="3B02E434" w14:textId="77777777" w:rsidR="003F0FF1" w:rsidRDefault="001156D9">
      <w:pPr>
        <w:pStyle w:val="Szvegtrzs"/>
        <w:ind w:left="0"/>
        <w:rPr>
          <w:rFonts w:cs="Times New Roman"/>
          <w:lang w:val="hu-HU"/>
        </w:rPr>
      </w:pPr>
      <w:r>
        <w:rPr>
          <w:rFonts w:cs="Times New Roman"/>
          <w:lang w:val="hu-HU"/>
        </w:rPr>
        <w:t>A relapszáló sclerosis multiplexhez társuló tumefaktív léziók ritka esetit jelentették a forgalomba hozatalt követően. Súlyos relapszus esetén MR-vizsgálatot kell végezni, a tumefaktív léziók kizárása érdekében. Az egyén előny-kockázatának értékelése alapján minden egyes esetben mérlegelni kell a kezelés megszakítását.</w:t>
      </w:r>
    </w:p>
    <w:p w14:paraId="78F97AF9" w14:textId="77777777" w:rsidR="003F0FF1" w:rsidRDefault="003F0FF1">
      <w:pPr>
        <w:rPr>
          <w:rFonts w:ascii="Times New Roman" w:eastAsia="Times New Roman" w:hAnsi="Times New Roman" w:cs="Times New Roman"/>
          <w:lang w:val="hu-HU"/>
        </w:rPr>
      </w:pPr>
    </w:p>
    <w:p w14:paraId="15EFABBB" w14:textId="77777777" w:rsidR="003F0FF1" w:rsidRDefault="001156D9">
      <w:pPr>
        <w:pStyle w:val="Szvegtrzs"/>
        <w:ind w:left="0"/>
        <w:rPr>
          <w:rFonts w:cs="Times New Roman"/>
          <w:lang w:val="hu-HU"/>
        </w:rPr>
      </w:pPr>
      <w:r>
        <w:rPr>
          <w:rFonts w:cs="Times New Roman"/>
          <w:u w:val="single" w:color="000000"/>
          <w:lang w:val="hu-HU"/>
        </w:rPr>
        <w:t>A betegségaktivitás visszatérése (rebound) a fingolimod-kezelés megszakítása után</w:t>
      </w:r>
    </w:p>
    <w:p w14:paraId="269BCF6B" w14:textId="77777777" w:rsidR="003F0FF1" w:rsidRDefault="001156D9">
      <w:pPr>
        <w:pStyle w:val="Szvegtrzs"/>
        <w:ind w:left="0"/>
        <w:rPr>
          <w:rFonts w:cs="Times New Roman"/>
          <w:lang w:val="hu-HU"/>
        </w:rPr>
      </w:pPr>
      <w:r>
        <w:rPr>
          <w:rFonts w:cs="Times New Roman"/>
          <w:lang w:val="hu-HU"/>
        </w:rPr>
        <w:t>A forgalomba hozatalt követően a fingolimod leállításakor ritkán a betegség súlyos exacerbációja fordult elő egyes betegeknél. Ezt általában a fingolimod leállítását követő 12 héten belül figyelték meg, de a fingolimod-kezelés megszakítását követően akár 24 hétig is beszámoltak róla. Ezért a fingolimod-terápia leállítása során óvatosság javasolt. Amennyiben a fingolimod-kezelés leállítását szükségesnek ítélik meg, tekintetbe kell venni a betegségaktivitás kiújulásának kivételesen magas arányát, a betegeknél figyelni kell az erre utaló jelek és tünetek kialakulását, és szükség esetén a megfelelő kezelést kell elindítani (lásd alább „A kezelés leállítása”).</w:t>
      </w:r>
    </w:p>
    <w:p w14:paraId="42711556" w14:textId="77777777" w:rsidR="003F0FF1" w:rsidRDefault="003F0FF1">
      <w:pPr>
        <w:pStyle w:val="Szvegtrzs"/>
        <w:ind w:left="0"/>
        <w:rPr>
          <w:rFonts w:cs="Times New Roman"/>
          <w:u w:val="single" w:color="000000"/>
          <w:lang w:val="hu-HU"/>
        </w:rPr>
      </w:pPr>
    </w:p>
    <w:p w14:paraId="074C5970" w14:textId="77777777" w:rsidR="003F0FF1" w:rsidRDefault="001156D9">
      <w:pPr>
        <w:pStyle w:val="Szvegtrzs"/>
        <w:ind w:left="0"/>
        <w:rPr>
          <w:rFonts w:cs="Times New Roman"/>
          <w:lang w:val="hu-HU"/>
        </w:rPr>
      </w:pPr>
      <w:r>
        <w:rPr>
          <w:rFonts w:cs="Times New Roman"/>
          <w:u w:val="single" w:color="000000"/>
          <w:lang w:val="hu-HU"/>
        </w:rPr>
        <w:t>A kezelés leállítása</w:t>
      </w:r>
    </w:p>
    <w:p w14:paraId="170FE552" w14:textId="77777777" w:rsidR="003F0FF1" w:rsidRDefault="001156D9">
      <w:pPr>
        <w:pStyle w:val="Szvegtrzs"/>
        <w:ind w:left="0"/>
        <w:rPr>
          <w:rFonts w:cs="Times New Roman"/>
          <w:lang w:val="hu-HU"/>
        </w:rPr>
      </w:pPr>
      <w:r>
        <w:rPr>
          <w:rFonts w:cs="Times New Roman"/>
          <w:lang w:val="hu-HU"/>
        </w:rPr>
        <w:t xml:space="preserve">Ha a fingolimod-kezelés leállítására vonatkozó döntés születik, a felezési idő alapján a fingolimod keringésből történő kiürüléséhez 6-hetes kezelésmentes időszak szükséges (lásd 5.2 pont). A </w:t>
      </w:r>
      <w:r>
        <w:rPr>
          <w:rFonts w:cs="Times New Roman"/>
          <w:lang w:val="hu-HU"/>
        </w:rPr>
        <w:lastRenderedPageBreak/>
        <w:t>lymphocyta-szám a kezelés leállítása után 1-2 hónapon belül fokozatosan visszatér a normál tartományba a legtöbb betegnél (lásd 5.1 pont), bár egyes betegeknél a teljes gyógyulás jelentősen hosszabb időt vehet igénybe. Ez alatt az időszak alatt más kezeléseknek az elkezdése egyidejű fingolimod-expozíciót fog eredményezni. Immunszuppresszánsoknak a fingolimod abbahagyása után röviddel történő alkalmazása az immunrendszerre gyakorolt additív hatáshoz vezethet, ezért elővigyázatosság javasolt.</w:t>
      </w:r>
    </w:p>
    <w:p w14:paraId="57DD4724" w14:textId="77777777" w:rsidR="003F0FF1" w:rsidRDefault="003F0FF1">
      <w:pPr>
        <w:pStyle w:val="Szvegtrzs"/>
        <w:ind w:left="0"/>
        <w:rPr>
          <w:rFonts w:cs="Times New Roman"/>
          <w:lang w:val="hu-HU"/>
        </w:rPr>
      </w:pPr>
    </w:p>
    <w:p w14:paraId="5EFF0D70" w14:textId="77777777" w:rsidR="003F0FF1" w:rsidRDefault="001156D9">
      <w:pPr>
        <w:pStyle w:val="Szvegtrzs"/>
        <w:ind w:left="0"/>
        <w:rPr>
          <w:rFonts w:cs="Times New Roman"/>
          <w:lang w:val="hu-HU"/>
        </w:rPr>
      </w:pPr>
      <w:r>
        <w:rPr>
          <w:rFonts w:cs="Times New Roman"/>
          <w:lang w:val="hu-HU"/>
        </w:rPr>
        <w:t>A fingolimod PML miatti abbahagyását követően javasolt monitorozni a betegeket az immunrekonstitúciós gyulladásos szindróma (PML-IRIS) kialakulására irányulóan (lásd fentebb: „Progresszív multifocalis leukoencephalopathia”).</w:t>
      </w:r>
    </w:p>
    <w:p w14:paraId="79B367F6" w14:textId="77777777" w:rsidR="003F0FF1" w:rsidRDefault="003F0FF1">
      <w:pPr>
        <w:rPr>
          <w:rFonts w:ascii="Times New Roman" w:eastAsia="Times New Roman" w:hAnsi="Times New Roman" w:cs="Times New Roman"/>
          <w:lang w:val="hu-HU"/>
        </w:rPr>
      </w:pPr>
    </w:p>
    <w:p w14:paraId="72A8463E" w14:textId="77777777" w:rsidR="003F0FF1" w:rsidRDefault="001156D9">
      <w:pPr>
        <w:pStyle w:val="Szvegtrzs"/>
        <w:ind w:left="0"/>
        <w:rPr>
          <w:rFonts w:cs="Times New Roman"/>
          <w:lang w:val="hu-HU"/>
        </w:rPr>
      </w:pPr>
      <w:r>
        <w:rPr>
          <w:rFonts w:cs="Times New Roman"/>
          <w:lang w:val="hu-HU"/>
        </w:rPr>
        <w:t>A rebound kockázata miatt elővigyázatosság javasolt a fingolimod terápia abbahagyásakor is (lásd fentebb: „A betegségaktivitás visszatérése (rebound) a fingolimod-kezelés megszakítása után”). Ha a fingolimod abbahagyását szükségesnek tartják, a betegeknél ez idő alatt monitorozni kell az esetleges reboundra utaló jeleket.</w:t>
      </w:r>
    </w:p>
    <w:p w14:paraId="3C9BBEB8" w14:textId="77777777" w:rsidR="003F0FF1" w:rsidRDefault="003F0FF1">
      <w:pPr>
        <w:pStyle w:val="Szvegtrzs"/>
        <w:ind w:left="0"/>
        <w:rPr>
          <w:rFonts w:cs="Times New Roman"/>
          <w:u w:val="single" w:color="000000"/>
          <w:lang w:val="hu-HU"/>
        </w:rPr>
      </w:pPr>
    </w:p>
    <w:p w14:paraId="3DF07EF9" w14:textId="77777777" w:rsidR="003F0FF1" w:rsidRDefault="001156D9">
      <w:pPr>
        <w:pStyle w:val="Szvegtrzs"/>
        <w:ind w:left="0"/>
        <w:rPr>
          <w:rFonts w:cs="Times New Roman"/>
          <w:lang w:val="hu-HU"/>
        </w:rPr>
      </w:pPr>
      <w:r>
        <w:rPr>
          <w:rFonts w:cs="Times New Roman"/>
          <w:u w:val="single" w:color="000000"/>
          <w:lang w:val="hu-HU"/>
        </w:rPr>
        <w:t>Szerológiai vizsgálatokra gyakorolt zavaró hatás</w:t>
      </w:r>
    </w:p>
    <w:p w14:paraId="4E43E009" w14:textId="77777777" w:rsidR="003F0FF1" w:rsidRDefault="001156D9">
      <w:pPr>
        <w:pStyle w:val="Szvegtrzs"/>
        <w:ind w:left="0"/>
        <w:rPr>
          <w:rFonts w:cs="Times New Roman"/>
          <w:lang w:val="hu-HU"/>
        </w:rPr>
      </w:pPr>
      <w:r>
        <w:rPr>
          <w:rFonts w:cs="Times New Roman"/>
          <w:lang w:val="hu-HU"/>
        </w:rPr>
        <w:t>Mivel a fingolimod a másodlagos lymphoid szervek felé történő redisztribúció következtében csökkenti a vérben a lymphocyta-számot, ezért a fingolimoddal kezelt betegeknél a perifériás lymphocyta-szám nem használható fel a lymphocyta altípusok státuszának meghatározására. A keringő lymphocyták számának csökkenése miatt a keringő mononuclearis sejtekkel kapcsolatos laboratóriumi vizsgálatok elvégzéséhez nagyobb mennyiségű vér szükséges.</w:t>
      </w:r>
    </w:p>
    <w:p w14:paraId="1CF6A159" w14:textId="77777777" w:rsidR="003F0FF1" w:rsidRDefault="003F0FF1">
      <w:pPr>
        <w:rPr>
          <w:rFonts w:ascii="Times New Roman" w:eastAsia="Times New Roman" w:hAnsi="Times New Roman" w:cs="Times New Roman"/>
          <w:lang w:val="hu-HU"/>
        </w:rPr>
      </w:pPr>
    </w:p>
    <w:p w14:paraId="3C989246" w14:textId="77777777" w:rsidR="003F0FF1" w:rsidRDefault="001156D9">
      <w:pPr>
        <w:pStyle w:val="Szvegtrzs"/>
        <w:ind w:left="0"/>
        <w:rPr>
          <w:rFonts w:cs="Times New Roman"/>
          <w:lang w:val="hu-HU"/>
        </w:rPr>
      </w:pPr>
      <w:r>
        <w:rPr>
          <w:rFonts w:cs="Times New Roman"/>
          <w:u w:val="single" w:color="000000"/>
          <w:lang w:val="hu-HU"/>
        </w:rPr>
        <w:t>Gyermekek és serdülők</w:t>
      </w:r>
    </w:p>
    <w:p w14:paraId="44305116" w14:textId="77777777" w:rsidR="003F0FF1" w:rsidRDefault="001156D9">
      <w:pPr>
        <w:pStyle w:val="Szvegtrzs"/>
        <w:ind w:left="0"/>
        <w:rPr>
          <w:rFonts w:cs="Times New Roman"/>
          <w:lang w:val="hu-HU"/>
        </w:rPr>
      </w:pPr>
      <w:r>
        <w:rPr>
          <w:rFonts w:cs="Times New Roman"/>
          <w:lang w:val="hu-HU"/>
        </w:rPr>
        <w:t>A biztonságossági profil gyermekeknél és serdülőknél hasonló a felnőttekéhez, így a felnőttek esetében érvényes figyelmeztetések és óvintézkedések a gyermekekre és serdülőkre is alkalmazandók.</w:t>
      </w:r>
    </w:p>
    <w:p w14:paraId="0CA381AD" w14:textId="77777777" w:rsidR="003F0FF1" w:rsidRDefault="003F0FF1">
      <w:pPr>
        <w:rPr>
          <w:rFonts w:ascii="Times New Roman" w:eastAsia="Times New Roman" w:hAnsi="Times New Roman" w:cs="Times New Roman"/>
          <w:lang w:val="hu-HU"/>
        </w:rPr>
      </w:pPr>
    </w:p>
    <w:p w14:paraId="77B284AA" w14:textId="77777777" w:rsidR="003F0FF1" w:rsidRDefault="001156D9">
      <w:pPr>
        <w:pStyle w:val="Szvegtrzs"/>
        <w:ind w:left="0"/>
        <w:rPr>
          <w:rFonts w:cs="Times New Roman"/>
          <w:lang w:val="hu-HU"/>
        </w:rPr>
      </w:pPr>
      <w:r>
        <w:rPr>
          <w:rFonts w:cs="Times New Roman"/>
          <w:lang w:val="hu-HU"/>
        </w:rPr>
        <w:t>A fingolimod gyermekek és serdülők részére történő felírásánál az alábbiakat kell különösen figyelembe venni:</w:t>
      </w:r>
    </w:p>
    <w:p w14:paraId="16985E27" w14:textId="77777777" w:rsidR="003F0FF1" w:rsidRDefault="001156D9">
      <w:pPr>
        <w:pStyle w:val="Szvegtrzs"/>
        <w:numPr>
          <w:ilvl w:val="0"/>
          <w:numId w:val="22"/>
        </w:numPr>
        <w:ind w:left="567" w:hanging="567"/>
        <w:rPr>
          <w:rFonts w:cs="Times New Roman"/>
          <w:lang w:val="hu-HU"/>
        </w:rPr>
      </w:pPr>
      <w:r>
        <w:rPr>
          <w:rFonts w:cs="Times New Roman"/>
          <w:lang w:val="hu-HU"/>
        </w:rPr>
        <w:t xml:space="preserve">Az első adag alkalmazásakor követni kell az óvintézkedéseket (lásd fent a „Bradyarrhythmia” c. részt). </w:t>
      </w:r>
    </w:p>
    <w:p w14:paraId="6E60C353" w14:textId="77777777" w:rsidR="003F0FF1" w:rsidRDefault="001156D9">
      <w:pPr>
        <w:pStyle w:val="Szvegtrzs"/>
        <w:numPr>
          <w:ilvl w:val="0"/>
          <w:numId w:val="22"/>
        </w:numPr>
        <w:ind w:left="567" w:hanging="567"/>
        <w:rPr>
          <w:rFonts w:cs="Times New Roman"/>
          <w:lang w:val="hu-HU"/>
        </w:rPr>
      </w:pPr>
      <w:r>
        <w:rPr>
          <w:rFonts w:cs="Times New Roman"/>
          <w:lang w:val="hu-HU"/>
        </w:rPr>
        <w:t>A 0,25 mg-ról 0,5 mg napi adagra történő átállítás során az első adag bevételekor javasolt a kezelés megkezdésekor alkalmazott óvintézkedéseket megismételni.</w:t>
      </w:r>
    </w:p>
    <w:p w14:paraId="11323A18" w14:textId="77777777" w:rsidR="003F0FF1" w:rsidRDefault="001156D9">
      <w:pPr>
        <w:pStyle w:val="Szvegtrzs"/>
        <w:numPr>
          <w:ilvl w:val="0"/>
          <w:numId w:val="22"/>
        </w:numPr>
        <w:ind w:left="567" w:hanging="567"/>
        <w:rPr>
          <w:rFonts w:cs="Times New Roman"/>
          <w:lang w:val="hu-HU"/>
        </w:rPr>
      </w:pPr>
      <w:r>
        <w:rPr>
          <w:rFonts w:cs="Times New Roman"/>
          <w:lang w:val="hu-HU"/>
        </w:rPr>
        <w:t>A D2311 kontrollos, gyermekgyógyászati vizsgálatban arról számoltak be, hogy nagyobb gyakorisággal fordultak elő görcsrohamok, szorongás, lehangoltság és depresszió a fingolimoddal kezelt betegeknél, mint az interferon béta-1a-val kezelt betegeknél. Ebben az alcsoportban óvatosan kell eljárni (lásd 4.8 pont, „Gyermekek és serdülők” rész).</w:t>
      </w:r>
    </w:p>
    <w:p w14:paraId="4EEB76C5" w14:textId="77777777" w:rsidR="003F0FF1" w:rsidRDefault="001156D9">
      <w:pPr>
        <w:pStyle w:val="Szvegtrzs"/>
        <w:numPr>
          <w:ilvl w:val="0"/>
          <w:numId w:val="22"/>
        </w:numPr>
        <w:ind w:left="567" w:hanging="567"/>
        <w:rPr>
          <w:rFonts w:cs="Times New Roman"/>
          <w:lang w:val="hu-HU"/>
        </w:rPr>
      </w:pPr>
      <w:r>
        <w:rPr>
          <w:rFonts w:cs="Times New Roman"/>
          <w:lang w:val="hu-HU"/>
        </w:rPr>
        <w:t>A bilirubinszint enyhe növekedését figyelték meg a fingolimodot kapó gyermekeknél és serdülőknél.</w:t>
      </w:r>
    </w:p>
    <w:p w14:paraId="3A384B6B" w14:textId="77777777" w:rsidR="003F0FF1" w:rsidRDefault="001156D9">
      <w:pPr>
        <w:pStyle w:val="Szvegtrzs"/>
        <w:numPr>
          <w:ilvl w:val="0"/>
          <w:numId w:val="22"/>
        </w:numPr>
        <w:ind w:left="567" w:hanging="567"/>
        <w:rPr>
          <w:rFonts w:cs="Times New Roman"/>
          <w:lang w:val="hu-HU"/>
        </w:rPr>
      </w:pPr>
      <w:r>
        <w:rPr>
          <w:rFonts w:cs="Times New Roman"/>
          <w:lang w:val="hu-HU"/>
        </w:rPr>
        <w:t>Gyermekek és serdülők esetében javasolt az érvényben lévő oltási rendnek megfelelő összes oltás beadása a fingolimod-kezelés megkezdése előtt (lásd fent a „Fertőzések” c. részt).</w:t>
      </w:r>
    </w:p>
    <w:p w14:paraId="1CB21846" w14:textId="77777777" w:rsidR="003F0FF1" w:rsidRDefault="001156D9">
      <w:pPr>
        <w:pStyle w:val="Szvegtrzs"/>
        <w:numPr>
          <w:ilvl w:val="0"/>
          <w:numId w:val="22"/>
        </w:numPr>
        <w:ind w:left="567" w:hanging="567"/>
        <w:rPr>
          <w:rFonts w:cs="Times New Roman"/>
          <w:lang w:val="hu-HU"/>
        </w:rPr>
      </w:pPr>
      <w:r>
        <w:rPr>
          <w:rFonts w:cs="Times New Roman"/>
          <w:lang w:val="hu-HU"/>
        </w:rPr>
        <w:t>A 10–12 éves, 40 kg alatti vagy &lt; 2 Tanner-stádiumú gyermekek esetében nagyon korlátozott mennyiségű adat áll rendelkezésre (lásd 4.8 és 5.1 pont). A klinikai vizsgálatból származó, korlátozott ismeretek miatt ezekben az alcsoportokban elővigyázatosság szükséges.</w:t>
      </w:r>
    </w:p>
    <w:p w14:paraId="7759E515" w14:textId="77777777" w:rsidR="003F0FF1" w:rsidRDefault="001156D9">
      <w:pPr>
        <w:pStyle w:val="Szvegtrzs"/>
        <w:numPr>
          <w:ilvl w:val="0"/>
          <w:numId w:val="22"/>
        </w:numPr>
        <w:ind w:left="567" w:hanging="567"/>
        <w:rPr>
          <w:rFonts w:cs="Times New Roman"/>
          <w:lang w:val="hu-HU"/>
        </w:rPr>
      </w:pPr>
      <w:r>
        <w:rPr>
          <w:rFonts w:cs="Times New Roman"/>
          <w:lang w:val="hu-HU"/>
        </w:rPr>
        <w:t>Gyermekek és serdülők esetében hosszú távú biztonságossági adatok nem állnak rendelkezésre.</w:t>
      </w:r>
    </w:p>
    <w:p w14:paraId="4EB6448C" w14:textId="77777777" w:rsidR="003F0FF1" w:rsidRDefault="003F0FF1">
      <w:pPr>
        <w:rPr>
          <w:rFonts w:ascii="Times New Roman" w:eastAsia="Times New Roman" w:hAnsi="Times New Roman" w:cs="Times New Roman"/>
          <w:lang w:val="hu-HU"/>
        </w:rPr>
      </w:pPr>
    </w:p>
    <w:p w14:paraId="41709AAE" w14:textId="77777777" w:rsidR="003F0FF1" w:rsidRDefault="001156D9">
      <w:pPr>
        <w:pStyle w:val="Cmsor1"/>
        <w:tabs>
          <w:tab w:val="left" w:pos="567"/>
        </w:tabs>
        <w:ind w:left="0"/>
        <w:rPr>
          <w:rFonts w:cs="Times New Roman"/>
          <w:b w:val="0"/>
          <w:bCs w:val="0"/>
          <w:lang w:val="hu-HU"/>
        </w:rPr>
      </w:pPr>
      <w:r>
        <w:rPr>
          <w:rFonts w:cs="Times New Roman"/>
          <w:lang w:val="hu-HU"/>
        </w:rPr>
        <w:t>4.5</w:t>
      </w:r>
      <w:r>
        <w:rPr>
          <w:rFonts w:cs="Times New Roman"/>
          <w:lang w:val="hu-HU"/>
        </w:rPr>
        <w:tab/>
        <w:t>Gyógyszerkölcsönhatások és egyéb interakciók</w:t>
      </w:r>
    </w:p>
    <w:p w14:paraId="17EAEDAA" w14:textId="77777777" w:rsidR="003F0FF1" w:rsidRDefault="003F0FF1">
      <w:pPr>
        <w:rPr>
          <w:rFonts w:ascii="Times New Roman" w:eastAsia="Times New Roman" w:hAnsi="Times New Roman" w:cs="Times New Roman"/>
          <w:b/>
          <w:bCs/>
          <w:lang w:val="hu-HU"/>
        </w:rPr>
      </w:pPr>
    </w:p>
    <w:p w14:paraId="2AAC4E2D" w14:textId="77777777" w:rsidR="003F0FF1" w:rsidRDefault="001156D9">
      <w:pPr>
        <w:pStyle w:val="Szvegtrzs"/>
        <w:ind w:left="0"/>
        <w:rPr>
          <w:rFonts w:cs="Times New Roman"/>
          <w:lang w:val="hu-HU"/>
        </w:rPr>
      </w:pPr>
      <w:r>
        <w:rPr>
          <w:rFonts w:cs="Times New Roman"/>
          <w:u w:val="single" w:color="000000"/>
          <w:lang w:val="hu-HU"/>
        </w:rPr>
        <w:t>Daganatellenes, immunmoduláló vagy immunszuppresszív kezelések</w:t>
      </w:r>
    </w:p>
    <w:p w14:paraId="2F3FEFC3" w14:textId="77777777" w:rsidR="003F0FF1" w:rsidRDefault="001156D9">
      <w:pPr>
        <w:pStyle w:val="Szvegtrzs"/>
        <w:ind w:left="0"/>
        <w:rPr>
          <w:rFonts w:cs="Times New Roman"/>
          <w:lang w:val="hu-HU"/>
        </w:rPr>
      </w:pPr>
      <w:r>
        <w:rPr>
          <w:rFonts w:cs="Times New Roman"/>
          <w:lang w:val="hu-HU"/>
        </w:rPr>
        <w:t>Az additív immunrendszeri hatások kockázata miatt a daganatellenes, immunmoduláló vagy immunszuppresszív terápiákat nem szabad egyidejűleg alkalmazni (lásd 4.3 és 4.4 pont).</w:t>
      </w:r>
    </w:p>
    <w:p w14:paraId="42DDD665" w14:textId="77777777" w:rsidR="003F0FF1" w:rsidRDefault="003F0FF1">
      <w:pPr>
        <w:rPr>
          <w:rFonts w:ascii="Times New Roman" w:eastAsia="Times New Roman" w:hAnsi="Times New Roman" w:cs="Times New Roman"/>
          <w:lang w:val="hu-HU"/>
        </w:rPr>
      </w:pPr>
    </w:p>
    <w:p w14:paraId="5376B044" w14:textId="77777777" w:rsidR="003F0FF1" w:rsidRDefault="001156D9">
      <w:pPr>
        <w:pStyle w:val="Szvegtrzs"/>
        <w:ind w:left="0"/>
        <w:rPr>
          <w:rFonts w:cs="Times New Roman"/>
          <w:lang w:val="hu-HU"/>
        </w:rPr>
      </w:pPr>
      <w:r>
        <w:rPr>
          <w:rFonts w:cs="Times New Roman"/>
          <w:lang w:val="hu-HU"/>
        </w:rPr>
        <w:t>Akkor is elővigyázatosság szükséges, amikor a betegeket immunrendszeri hatásokkal bíró hosszú hatású kezelésekről, például natalizumabról, teriflunomidról vagy mitoxantronról állítják át (lásd 4.4 pont). A sclerosis multiplex miatt végzett klinikai vizsgálatokban a relapszusoknak kortikoszteroidokkal történő, rövid ideig tartó egyidejű kezelése nem járt a fertőzések arányának növekedésével.</w:t>
      </w:r>
    </w:p>
    <w:p w14:paraId="0B54F6CD" w14:textId="77777777" w:rsidR="003F0FF1" w:rsidRDefault="003F0FF1">
      <w:pPr>
        <w:pStyle w:val="Szvegtrzs"/>
        <w:ind w:left="0"/>
        <w:rPr>
          <w:rFonts w:cs="Times New Roman"/>
          <w:u w:val="single" w:color="000000"/>
          <w:lang w:val="hu-HU"/>
        </w:rPr>
      </w:pPr>
    </w:p>
    <w:p w14:paraId="558CBEA2" w14:textId="77777777" w:rsidR="003F0FF1" w:rsidRDefault="001156D9">
      <w:pPr>
        <w:pStyle w:val="Szvegtrzs"/>
        <w:ind w:left="0"/>
        <w:rPr>
          <w:rFonts w:cs="Times New Roman"/>
          <w:lang w:val="hu-HU"/>
        </w:rPr>
      </w:pPr>
      <w:r>
        <w:rPr>
          <w:rFonts w:cs="Times New Roman"/>
          <w:u w:val="single" w:color="000000"/>
          <w:lang w:val="hu-HU"/>
        </w:rPr>
        <w:t>Vakcináció</w:t>
      </w:r>
    </w:p>
    <w:p w14:paraId="137A347B" w14:textId="77777777" w:rsidR="003F0FF1" w:rsidRDefault="001156D9">
      <w:pPr>
        <w:pStyle w:val="Szvegtrzs"/>
        <w:ind w:left="0"/>
        <w:rPr>
          <w:rFonts w:cs="Times New Roman"/>
          <w:lang w:val="hu-HU"/>
        </w:rPr>
      </w:pPr>
      <w:r>
        <w:rPr>
          <w:rFonts w:cs="Times New Roman"/>
          <w:lang w:val="hu-HU"/>
        </w:rPr>
        <w:t>A fingolimod-kezelés ideje alatt és utána legfeljebb 2 hónapig előfordulhat, hogy az oltás kevésbé hatásos. Élő, attenuált kórokozókat tartalmazó vakcinák alkalmazása a fertőzések kockázatát hordozhatja, ezért azt kerülni kell (lásd 4.4 és 4.8 pont).</w:t>
      </w:r>
    </w:p>
    <w:p w14:paraId="523C0E2D" w14:textId="77777777" w:rsidR="003F0FF1" w:rsidRDefault="003F0FF1">
      <w:pPr>
        <w:rPr>
          <w:rFonts w:ascii="Times New Roman" w:eastAsia="Times New Roman" w:hAnsi="Times New Roman" w:cs="Times New Roman"/>
          <w:lang w:val="hu-HU"/>
        </w:rPr>
      </w:pPr>
    </w:p>
    <w:p w14:paraId="64F8B6BA" w14:textId="77777777" w:rsidR="003F0FF1" w:rsidRDefault="001156D9">
      <w:pPr>
        <w:pStyle w:val="Szvegtrzs"/>
        <w:ind w:left="0"/>
        <w:rPr>
          <w:rFonts w:cs="Times New Roman"/>
          <w:lang w:val="hu-HU"/>
        </w:rPr>
      </w:pPr>
      <w:r>
        <w:rPr>
          <w:rFonts w:cs="Times New Roman"/>
          <w:u w:val="single" w:color="000000"/>
          <w:lang w:val="hu-HU"/>
        </w:rPr>
        <w:t>Bradycardiát indukáló hatóanyagok</w:t>
      </w:r>
    </w:p>
    <w:p w14:paraId="3486EA5E" w14:textId="77777777" w:rsidR="003F0FF1" w:rsidRDefault="001156D9">
      <w:pPr>
        <w:pStyle w:val="Szvegtrzs"/>
        <w:ind w:left="0"/>
        <w:rPr>
          <w:rFonts w:cs="Times New Roman"/>
          <w:lang w:val="hu-HU"/>
        </w:rPr>
      </w:pPr>
      <w:r>
        <w:rPr>
          <w:rFonts w:cs="Times New Roman"/>
          <w:lang w:val="hu-HU"/>
        </w:rPr>
        <w:t>A fingolimodot atenolollal és diltiazemmel kombinációban vizsgálták. Amikor a fingolimodot egy egészséges önkénteseken végzett interakciós vizsgálatban atenolollal együtt alkalmazták, a szívfrekvencia további, 15%-os csökkenése lépett fel, de ezt a hatást a diltiazem esetén nem észlelték. A béta-blokkolókat vagy a szívfrekvenciát esetleg csökkentő, egyéb hatóanyagokat, például az Ia és a III. osztályba tartozó antiarrhythmiás gyógyszereket, kalciumcsatorna-blokkolókat (például verapamilt vagy diltiazemet), ivabradint, digoxint, antikolinészteráz szereket vagy pilokarpint kapó betegeknél a szívfrekvenciára gyakorolt potenciális additív hatások miatt a fingolimod-kezelést nem szabad elkezdeni (lásd 4.4 és 4.8 pont). A fingolimod-kezelés ilyen betegeknél történő mérlegelésekor kardiológus tanácsát kell kérni egy, a szívfrekvenciát nem csökkentő gyógyszerre történő átállítást vagy a kezelés elkezdésének megfelelő monitorozását illetően, ha a szívfrekvenciát csökkentő gyógyszert nem lehet abbahagyni, akkor legalább az egész éjszakán át tartó monitorozás javasolt.</w:t>
      </w:r>
    </w:p>
    <w:p w14:paraId="36D9E819" w14:textId="77777777" w:rsidR="003F0FF1" w:rsidRDefault="003F0FF1">
      <w:pPr>
        <w:rPr>
          <w:rFonts w:ascii="Times New Roman" w:eastAsia="Times New Roman" w:hAnsi="Times New Roman" w:cs="Times New Roman"/>
          <w:lang w:val="hu-HU"/>
        </w:rPr>
      </w:pPr>
    </w:p>
    <w:p w14:paraId="60A9D9A7" w14:textId="77777777" w:rsidR="003F0FF1" w:rsidRDefault="001156D9">
      <w:pPr>
        <w:pStyle w:val="Szvegtrzs"/>
        <w:ind w:left="0"/>
        <w:rPr>
          <w:rFonts w:cs="Times New Roman"/>
          <w:lang w:val="hu-HU"/>
        </w:rPr>
      </w:pPr>
      <w:r>
        <w:rPr>
          <w:rFonts w:cs="Times New Roman"/>
          <w:u w:val="single" w:color="000000"/>
          <w:lang w:val="hu-HU"/>
        </w:rPr>
        <w:t>Más hatóanyagoknak a fingolimodra gyakorolt farmakokinetikai kölcsönhatásai</w:t>
      </w:r>
    </w:p>
    <w:p w14:paraId="6F0FBBF3" w14:textId="77777777" w:rsidR="003F0FF1" w:rsidRDefault="001156D9">
      <w:pPr>
        <w:pStyle w:val="Szvegtrzs"/>
        <w:ind w:left="0"/>
        <w:rPr>
          <w:rFonts w:cs="Times New Roman"/>
          <w:lang w:val="hu-HU"/>
        </w:rPr>
      </w:pPr>
      <w:r>
        <w:rPr>
          <w:rFonts w:cs="Times New Roman"/>
          <w:lang w:val="hu-HU"/>
        </w:rPr>
        <w:t>A fingolimod elsősorban a CYP4F2-n keresztül metabolizálódik. Más enzimek, például a CYP3A4 is részt vehetnek a metabolizmusában, különösképpen erős CYP3A4-indukció esetén. A transzportproteinek potens inhibitorai várhatóan nem befolyásolják a fingolimod eloszlását. A fingolimod ketokonazollal történő együttes alkalmazása a CYP4F2 gátlásán keresztül a fingolimod és a fingolimod-foszfát-expozíció (AUC) 1,7-szeres emelkedését eredményezte. Az olyan hatóanyagokkal, amelyek gátolhatják a CYP3A4-et (proteáz inhibitorok, azol-típusú gombaellenes szerek, néhány makrolid, mint például a klaritromicin vagy a telitromicin) elővigyázatosság szükséges.</w:t>
      </w:r>
    </w:p>
    <w:p w14:paraId="49AA42C7" w14:textId="77777777" w:rsidR="003F0FF1" w:rsidRDefault="003F0FF1">
      <w:pPr>
        <w:rPr>
          <w:rFonts w:ascii="Times New Roman" w:eastAsia="Times New Roman" w:hAnsi="Times New Roman" w:cs="Times New Roman"/>
          <w:lang w:val="hu-HU"/>
        </w:rPr>
      </w:pPr>
    </w:p>
    <w:p w14:paraId="23D09C8B" w14:textId="77777777" w:rsidR="003F0FF1" w:rsidRDefault="001156D9">
      <w:pPr>
        <w:pStyle w:val="Szvegtrzs"/>
        <w:ind w:left="0"/>
        <w:rPr>
          <w:rFonts w:cs="Times New Roman"/>
          <w:lang w:val="hu-HU"/>
        </w:rPr>
      </w:pPr>
      <w:r>
        <w:rPr>
          <w:rFonts w:cs="Times New Roman"/>
          <w:lang w:val="hu-HU"/>
        </w:rPr>
        <w:t>Dinamikus egyensúlyi állapotban naponta kétszer 600 mg karbamazepin és a fingolimod egyszeri, 2 mg-os adagjának együttes adása a fingolimod és metabolitja AUC-jét megközelítőleg 40%-kal csökkentette. Más erős CYP3A4 enziminduktorok, például a rifampicin, fenobarbitál, fenitoin, efavirenz és közönséges orbáncfű legalább ilyen mértékben csökkentheti a fingolimod és metabolitja AUC-jét. Mivel ez potenciálisan ronthatja a hatásosságot, kombinációjukat óvatosan kell alkalmazni. Ugyanakkor közönséges orbáncfűvel való egyidejű alkalmazása nem javasolt (lásd 4.4 pont).</w:t>
      </w:r>
    </w:p>
    <w:p w14:paraId="15124894" w14:textId="77777777" w:rsidR="003F0FF1" w:rsidRDefault="003F0FF1">
      <w:pPr>
        <w:rPr>
          <w:rFonts w:ascii="Times New Roman" w:eastAsia="Times New Roman" w:hAnsi="Times New Roman" w:cs="Times New Roman"/>
          <w:lang w:val="hu-HU"/>
        </w:rPr>
      </w:pPr>
    </w:p>
    <w:p w14:paraId="79772590" w14:textId="77777777" w:rsidR="003F0FF1" w:rsidRDefault="001156D9">
      <w:pPr>
        <w:pStyle w:val="Szvegtrzs"/>
        <w:ind w:left="0"/>
        <w:rPr>
          <w:rFonts w:cs="Times New Roman"/>
          <w:lang w:val="hu-HU"/>
        </w:rPr>
      </w:pPr>
      <w:r>
        <w:rPr>
          <w:rFonts w:cs="Times New Roman"/>
          <w:u w:val="single" w:color="000000"/>
          <w:lang w:val="hu-HU"/>
        </w:rPr>
        <w:t>A fingolimodnak más hatóanyagokra gyakorolt farmakokinetikai kölcsönhatásai</w:t>
      </w:r>
    </w:p>
    <w:p w14:paraId="6AE8F04F" w14:textId="77777777" w:rsidR="003F0FF1" w:rsidRDefault="001156D9">
      <w:pPr>
        <w:pStyle w:val="Szvegtrzs"/>
        <w:ind w:left="0"/>
        <w:rPr>
          <w:rFonts w:cs="Times New Roman"/>
          <w:lang w:val="hu-HU"/>
        </w:rPr>
      </w:pPr>
      <w:r>
        <w:rPr>
          <w:rFonts w:cs="Times New Roman"/>
          <w:lang w:val="hu-HU"/>
        </w:rPr>
        <w:t>Nem valószínű, hogy a fingolimod kölcsönhatásba lép az elsősorban a CYP450 enzim által metabolizált hatóanyagokkal vagy a fő transzportproteinek szubsztrátjaival.</w:t>
      </w:r>
    </w:p>
    <w:p w14:paraId="0557EF3A" w14:textId="77777777" w:rsidR="003F0FF1" w:rsidRDefault="003F0FF1">
      <w:pPr>
        <w:rPr>
          <w:rFonts w:ascii="Times New Roman" w:eastAsia="Times New Roman" w:hAnsi="Times New Roman" w:cs="Times New Roman"/>
          <w:lang w:val="hu-HU"/>
        </w:rPr>
      </w:pPr>
    </w:p>
    <w:p w14:paraId="19814689" w14:textId="77777777" w:rsidR="003F0FF1" w:rsidRDefault="001156D9">
      <w:pPr>
        <w:pStyle w:val="Szvegtrzs"/>
        <w:ind w:left="0"/>
        <w:rPr>
          <w:rFonts w:cs="Times New Roman"/>
          <w:lang w:val="hu-HU"/>
        </w:rPr>
      </w:pPr>
      <w:r>
        <w:rPr>
          <w:rFonts w:cs="Times New Roman"/>
          <w:lang w:val="hu-HU"/>
        </w:rPr>
        <w:t>A fingolimod ciklosporinnal történő egyidejű alkalmazása nem okozott semmilyen változást a ciklosporin- vagy a fingolimod-expozícióban. Ezért a fingolimod várhatóan nem változtatja meg a CYP3A4-szubsztrát gyógyszerek farmakokinetikáját.</w:t>
      </w:r>
    </w:p>
    <w:p w14:paraId="0F7BADAB" w14:textId="77777777" w:rsidR="003F0FF1" w:rsidRDefault="003F0FF1">
      <w:pPr>
        <w:rPr>
          <w:rFonts w:ascii="Times New Roman" w:eastAsia="Times New Roman" w:hAnsi="Times New Roman" w:cs="Times New Roman"/>
          <w:lang w:val="hu-HU"/>
        </w:rPr>
      </w:pPr>
    </w:p>
    <w:p w14:paraId="16C23FEE" w14:textId="77777777" w:rsidR="003F0FF1" w:rsidRDefault="001156D9">
      <w:pPr>
        <w:pStyle w:val="Szvegtrzs"/>
        <w:ind w:left="0"/>
        <w:rPr>
          <w:rFonts w:cs="Times New Roman"/>
          <w:lang w:val="hu-HU"/>
        </w:rPr>
      </w:pPr>
      <w:r>
        <w:rPr>
          <w:rFonts w:cs="Times New Roman"/>
          <w:lang w:val="hu-HU"/>
        </w:rPr>
        <w:t>A fingolimod orális fogamzásgátlókkal (etinilösztradiollal és levonorgesztrellel) történő egyidejű alkalmazása nem okozott semmilyen változást az orális fogamzásgátló expozíciójában. Az egyéb progesztagéneket tartalmazó orális fogamzásgátlókkal interakciós vizsgálatokat nem végeztek, azonban nem várható, hogy a fingolimod hatással lenne azok expozíciójára.</w:t>
      </w:r>
    </w:p>
    <w:p w14:paraId="351B59E4" w14:textId="77777777" w:rsidR="003F0FF1" w:rsidRDefault="003F0FF1">
      <w:pPr>
        <w:pStyle w:val="Cmsor1"/>
        <w:tabs>
          <w:tab w:val="left" w:pos="685"/>
        </w:tabs>
        <w:ind w:left="0"/>
        <w:rPr>
          <w:rFonts w:cs="Times New Roman"/>
          <w:lang w:val="hu-HU"/>
        </w:rPr>
      </w:pPr>
    </w:p>
    <w:p w14:paraId="75543DCA" w14:textId="77777777" w:rsidR="003F0FF1" w:rsidRDefault="001156D9">
      <w:pPr>
        <w:pStyle w:val="Cmsor1"/>
        <w:tabs>
          <w:tab w:val="left" w:pos="567"/>
        </w:tabs>
        <w:ind w:left="0"/>
        <w:rPr>
          <w:rFonts w:cs="Times New Roman"/>
          <w:b w:val="0"/>
          <w:bCs w:val="0"/>
          <w:lang w:val="hu-HU"/>
        </w:rPr>
      </w:pPr>
      <w:r>
        <w:rPr>
          <w:rFonts w:cs="Times New Roman"/>
          <w:lang w:val="hu-HU"/>
        </w:rPr>
        <w:t>4.6</w:t>
      </w:r>
      <w:r>
        <w:rPr>
          <w:rFonts w:cs="Times New Roman"/>
          <w:lang w:val="hu-HU"/>
        </w:rPr>
        <w:tab/>
        <w:t>Termékenység, terhesség és szoptatás</w:t>
      </w:r>
    </w:p>
    <w:p w14:paraId="3BD376E7" w14:textId="77777777" w:rsidR="003F0FF1" w:rsidRDefault="003F0FF1">
      <w:pPr>
        <w:rPr>
          <w:rFonts w:ascii="Times New Roman" w:eastAsia="Times New Roman" w:hAnsi="Times New Roman" w:cs="Times New Roman"/>
          <w:b/>
          <w:bCs/>
          <w:lang w:val="hu-HU"/>
        </w:rPr>
      </w:pPr>
    </w:p>
    <w:p w14:paraId="3A8553F6" w14:textId="77777777" w:rsidR="003F0FF1" w:rsidRDefault="001156D9">
      <w:pPr>
        <w:pStyle w:val="Szvegtrzs"/>
        <w:ind w:left="0"/>
        <w:rPr>
          <w:rFonts w:cs="Times New Roman"/>
          <w:lang w:val="hu-HU"/>
        </w:rPr>
      </w:pPr>
      <w:r>
        <w:rPr>
          <w:rFonts w:cs="Times New Roman"/>
          <w:u w:val="single" w:color="000000"/>
          <w:lang w:val="hu-HU"/>
        </w:rPr>
        <w:t>Fogamzóképes nők / Fogamzásgátlás nők esetében</w:t>
      </w:r>
    </w:p>
    <w:p w14:paraId="27F2C841" w14:textId="77777777" w:rsidR="003F0FF1" w:rsidRDefault="001156D9" w:rsidP="00CE583C">
      <w:pPr>
        <w:pStyle w:val="Szvegtrzs"/>
        <w:widowControl/>
        <w:ind w:left="0"/>
        <w:rPr>
          <w:rFonts w:cs="Times New Roman"/>
          <w:lang w:val="hu-HU"/>
        </w:rPr>
      </w:pPr>
      <w:r>
        <w:rPr>
          <w:rFonts w:cs="Times New Roman"/>
          <w:lang w:val="hu-HU"/>
        </w:rPr>
        <w:t xml:space="preserve">A fingolimod ellenjavallt olyan fogamzóképes nőknél, akik nem alkalmaznak hatékony fogamzásgátlást. Ezért a kezelés megkezdése előtt a fogamzóképes nők esetén negatív terhességi teszteredménynek kell rendelkezésre állnia, és felvilágosítást kell adni a magzatra gyakorolt súlyos kockázatokat illetően. A fogamzóképes nőknek hatékony fogamzásgátlást kell alkalmazniuk a fingolimod-kezelés ideje alatt és a kezelés leállítását követően 2 hónapon keresztül, mivel a kezelés </w:t>
      </w:r>
      <w:r>
        <w:rPr>
          <w:rFonts w:cs="Times New Roman"/>
          <w:lang w:val="hu-HU"/>
        </w:rPr>
        <w:lastRenderedPageBreak/>
        <w:t>leállításától számítva megközelítőleg két hónapig tart, amíg a fingolimod kiürül a szervezetből (lásd 4.4 pont).</w:t>
      </w:r>
    </w:p>
    <w:p w14:paraId="27F92ED2" w14:textId="77777777" w:rsidR="003F0FF1" w:rsidRDefault="003F0FF1">
      <w:pPr>
        <w:rPr>
          <w:rFonts w:ascii="Times New Roman" w:eastAsia="Times New Roman" w:hAnsi="Times New Roman" w:cs="Times New Roman"/>
          <w:lang w:val="hu-HU"/>
        </w:rPr>
      </w:pPr>
    </w:p>
    <w:p w14:paraId="1D85F386" w14:textId="77777777" w:rsidR="003F0FF1" w:rsidRDefault="001156D9">
      <w:pPr>
        <w:pStyle w:val="Szvegtrzs"/>
        <w:ind w:left="0"/>
        <w:rPr>
          <w:rFonts w:cs="Times New Roman"/>
          <w:lang w:val="hu-HU"/>
        </w:rPr>
      </w:pPr>
      <w:r>
        <w:rPr>
          <w:rFonts w:cs="Times New Roman"/>
          <w:lang w:val="hu-HU"/>
        </w:rPr>
        <w:t>Az orvosoknak szóló információs csomag specifikus intézkedéseket is tartalmaz. Ezeket végre kell hajtani, mielőtt nőknek fingolimodot írnak fel, valamint a kezelés során is.</w:t>
      </w:r>
    </w:p>
    <w:p w14:paraId="36DC2F3A" w14:textId="77777777" w:rsidR="003F0FF1" w:rsidRDefault="003F0FF1">
      <w:pPr>
        <w:rPr>
          <w:rFonts w:ascii="Times New Roman" w:eastAsia="Times New Roman" w:hAnsi="Times New Roman" w:cs="Times New Roman"/>
          <w:lang w:val="hu-HU"/>
        </w:rPr>
      </w:pPr>
    </w:p>
    <w:p w14:paraId="380C8BDA" w14:textId="77777777" w:rsidR="003F0FF1" w:rsidRDefault="001156D9">
      <w:pPr>
        <w:pStyle w:val="Szvegtrzs"/>
        <w:ind w:left="0"/>
        <w:rPr>
          <w:rFonts w:cs="Times New Roman"/>
          <w:lang w:val="hu-HU"/>
        </w:rPr>
      </w:pPr>
      <w:r>
        <w:rPr>
          <w:rFonts w:cs="Times New Roman"/>
          <w:lang w:val="hu-HU"/>
        </w:rPr>
        <w:t>A fingolimod-terápia terhesség tervezése céljából történő leállítása esetén számolni kell a betegségaktivitás kiújulásának lehetőségével (lásd 4.4 pont).</w:t>
      </w:r>
    </w:p>
    <w:p w14:paraId="545E047C" w14:textId="77777777" w:rsidR="003F0FF1" w:rsidRDefault="003F0FF1">
      <w:pPr>
        <w:rPr>
          <w:rFonts w:ascii="Times New Roman" w:eastAsia="Times New Roman" w:hAnsi="Times New Roman" w:cs="Times New Roman"/>
          <w:lang w:val="hu-HU"/>
        </w:rPr>
      </w:pPr>
    </w:p>
    <w:p w14:paraId="35DEDE2B" w14:textId="77777777" w:rsidR="003F0FF1" w:rsidRDefault="001156D9">
      <w:pPr>
        <w:pStyle w:val="Szvegtrzs"/>
        <w:ind w:left="0"/>
        <w:rPr>
          <w:rFonts w:cs="Times New Roman"/>
          <w:lang w:val="hu-HU"/>
        </w:rPr>
      </w:pPr>
      <w:r>
        <w:rPr>
          <w:rFonts w:cs="Times New Roman"/>
          <w:u w:val="single" w:color="000000"/>
          <w:lang w:val="hu-HU"/>
        </w:rPr>
        <w:t>Terhesség</w:t>
      </w:r>
    </w:p>
    <w:p w14:paraId="41FDD849" w14:textId="77777777" w:rsidR="003F0FF1" w:rsidRDefault="001156D9">
      <w:pPr>
        <w:pStyle w:val="Szvegtrzs"/>
        <w:ind w:left="0"/>
        <w:rPr>
          <w:rFonts w:cs="Times New Roman"/>
          <w:lang w:val="hu-HU"/>
        </w:rPr>
      </w:pPr>
      <w:r>
        <w:rPr>
          <w:rFonts w:cs="Times New Roman"/>
          <w:lang w:val="hu-HU"/>
        </w:rPr>
        <w:t>Humán tapasztalatok alapján, a forgalomba hozatalt követően megismert adatok értelmében a terhesség során alkalmazott fingolimod az általános populációban megfigyelt arány (2-3%; EUROCAT) 2-szeresére növelte a jelentős fejlődési rendellenességek kockázatát.</w:t>
      </w:r>
    </w:p>
    <w:p w14:paraId="425F38FE" w14:textId="77777777" w:rsidR="003F0FF1" w:rsidRDefault="003F0FF1">
      <w:pPr>
        <w:rPr>
          <w:rFonts w:ascii="Times New Roman" w:eastAsia="Times New Roman" w:hAnsi="Times New Roman" w:cs="Times New Roman"/>
          <w:lang w:val="hu-HU"/>
        </w:rPr>
      </w:pPr>
    </w:p>
    <w:p w14:paraId="5A1A4542" w14:textId="77777777" w:rsidR="003F0FF1" w:rsidRDefault="001156D9">
      <w:pPr>
        <w:pStyle w:val="Szvegtrzs"/>
        <w:ind w:left="0"/>
        <w:rPr>
          <w:rFonts w:cs="Times New Roman"/>
          <w:lang w:val="hu-HU"/>
        </w:rPr>
      </w:pPr>
      <w:r>
        <w:rPr>
          <w:rFonts w:cs="Times New Roman"/>
          <w:lang w:val="hu-HU"/>
        </w:rPr>
        <w:t>A következő jelentős malformációkról számoltak be a leggyakrabban:</w:t>
      </w:r>
    </w:p>
    <w:p w14:paraId="3CDFDEC7" w14:textId="77777777" w:rsidR="003F0FF1" w:rsidRDefault="001156D9">
      <w:pPr>
        <w:pStyle w:val="Szvegtrzs"/>
        <w:numPr>
          <w:ilvl w:val="0"/>
          <w:numId w:val="21"/>
        </w:numPr>
        <w:tabs>
          <w:tab w:val="left" w:pos="567"/>
        </w:tabs>
        <w:ind w:left="0" w:firstLine="0"/>
        <w:rPr>
          <w:rFonts w:cs="Times New Roman"/>
          <w:lang w:val="hu-HU"/>
        </w:rPr>
      </w:pPr>
      <w:r>
        <w:rPr>
          <w:rFonts w:cs="Times New Roman"/>
          <w:lang w:val="hu-HU"/>
        </w:rPr>
        <w:t>Veleszületett szívbetegség, mint például pitvari és kamrai sövénydefektus, Fallot-tetralógia</w:t>
      </w:r>
    </w:p>
    <w:p w14:paraId="73723E0C" w14:textId="77777777" w:rsidR="003F0FF1" w:rsidRDefault="001156D9">
      <w:pPr>
        <w:pStyle w:val="Szvegtrzs"/>
        <w:numPr>
          <w:ilvl w:val="0"/>
          <w:numId w:val="21"/>
        </w:numPr>
        <w:tabs>
          <w:tab w:val="left" w:pos="567"/>
        </w:tabs>
        <w:ind w:left="0" w:firstLine="0"/>
        <w:rPr>
          <w:rFonts w:cs="Times New Roman"/>
          <w:lang w:val="hu-HU"/>
        </w:rPr>
      </w:pPr>
      <w:r>
        <w:rPr>
          <w:rFonts w:cs="Times New Roman"/>
          <w:lang w:val="hu-HU"/>
        </w:rPr>
        <w:t>Veserendellenességek</w:t>
      </w:r>
    </w:p>
    <w:p w14:paraId="00C356B0" w14:textId="77777777" w:rsidR="003F0FF1" w:rsidRDefault="001156D9">
      <w:pPr>
        <w:pStyle w:val="Szvegtrzs"/>
        <w:numPr>
          <w:ilvl w:val="0"/>
          <w:numId w:val="21"/>
        </w:numPr>
        <w:tabs>
          <w:tab w:val="left" w:pos="567"/>
        </w:tabs>
        <w:ind w:left="0" w:firstLine="0"/>
        <w:rPr>
          <w:rFonts w:cs="Times New Roman"/>
          <w:lang w:val="hu-HU"/>
        </w:rPr>
      </w:pPr>
      <w:r>
        <w:rPr>
          <w:rFonts w:cs="Times New Roman"/>
          <w:lang w:val="hu-HU"/>
        </w:rPr>
        <w:t>Mozgásszervi rendellenességek</w:t>
      </w:r>
    </w:p>
    <w:p w14:paraId="60E14905" w14:textId="77777777" w:rsidR="003F0FF1" w:rsidRDefault="003F0FF1">
      <w:pPr>
        <w:rPr>
          <w:rFonts w:ascii="Times New Roman" w:eastAsia="Times New Roman" w:hAnsi="Times New Roman" w:cs="Times New Roman"/>
          <w:lang w:val="hu-HU"/>
        </w:rPr>
      </w:pPr>
    </w:p>
    <w:p w14:paraId="3DBB2FAA" w14:textId="77777777" w:rsidR="003F0FF1" w:rsidRDefault="001156D9">
      <w:pPr>
        <w:pStyle w:val="Szvegtrzs"/>
        <w:ind w:left="0"/>
        <w:rPr>
          <w:rFonts w:cs="Times New Roman"/>
          <w:lang w:val="hu-HU"/>
        </w:rPr>
      </w:pPr>
      <w:r>
        <w:rPr>
          <w:rFonts w:cs="Times New Roman"/>
          <w:lang w:val="hu-HU"/>
        </w:rPr>
        <w:t>A fingolimod vajúdásra és szülésre gyakorolt hatásait illetően nincs adat.</w:t>
      </w:r>
    </w:p>
    <w:p w14:paraId="512072CF" w14:textId="77777777" w:rsidR="003F0FF1" w:rsidRDefault="003F0FF1">
      <w:pPr>
        <w:rPr>
          <w:rFonts w:ascii="Times New Roman" w:eastAsia="Times New Roman" w:hAnsi="Times New Roman" w:cs="Times New Roman"/>
          <w:lang w:val="hu-HU"/>
        </w:rPr>
      </w:pPr>
    </w:p>
    <w:p w14:paraId="64E1582C" w14:textId="77777777" w:rsidR="003F0FF1" w:rsidRDefault="001156D9">
      <w:pPr>
        <w:pStyle w:val="Szvegtrzs"/>
        <w:ind w:left="0"/>
        <w:rPr>
          <w:rFonts w:cs="Times New Roman"/>
          <w:lang w:val="hu-HU"/>
        </w:rPr>
      </w:pPr>
      <w:r>
        <w:rPr>
          <w:rFonts w:cs="Times New Roman"/>
          <w:lang w:val="hu-HU"/>
        </w:rPr>
        <w:t>Az állatkísérletek reproduktív toxicitást, ezen belül magzati halálozást és szervkárosodásokat mutattak, elsősorban nyitott truncus arteriosus Botallit és ventricularis septum defectust (lásd 5.3 pont). Ezen felül, az ismeretek szerint a fingolimod által érintett receptor (szfingozin 1-foszfát-receptor) az embryogenesis alatt részt vesz az érképződésben.</w:t>
      </w:r>
    </w:p>
    <w:p w14:paraId="34007C2F" w14:textId="77777777" w:rsidR="003F0FF1" w:rsidRDefault="003F0FF1">
      <w:pPr>
        <w:rPr>
          <w:rFonts w:ascii="Times New Roman" w:eastAsia="Times New Roman" w:hAnsi="Times New Roman" w:cs="Times New Roman"/>
          <w:lang w:val="hu-HU"/>
        </w:rPr>
      </w:pPr>
    </w:p>
    <w:p w14:paraId="11A8D5A4" w14:textId="77777777" w:rsidR="003F0FF1" w:rsidRDefault="001156D9">
      <w:pPr>
        <w:pStyle w:val="Szvegtrzs"/>
        <w:ind w:left="0"/>
        <w:rPr>
          <w:rFonts w:cs="Times New Roman"/>
          <w:lang w:val="hu-HU"/>
        </w:rPr>
      </w:pPr>
      <w:r>
        <w:rPr>
          <w:rFonts w:cs="Times New Roman"/>
          <w:lang w:val="hu-HU"/>
        </w:rPr>
        <w:t>Következésképpen a fingolimod ellenjavallt terhesség során (lásd 4.3 pont). A fingolimod alkalmazását terhesség tervezése előtt 2 hónappal le kell állítani (lásd 4.4 pont). Ha egy nő a kezelés alatt esik teherbe, a fingolimod-kezelést meg kell szakítani. A beteget fel kell világosítani a kezelés magzatra gyakorolt ártalmas hatásainak kockázatáról, és ultrahangvizsgálatot kell végezni.</w:t>
      </w:r>
    </w:p>
    <w:p w14:paraId="1518C1C2" w14:textId="77777777" w:rsidR="003F0FF1" w:rsidRDefault="003F0FF1">
      <w:pPr>
        <w:pStyle w:val="Szvegtrzs"/>
        <w:ind w:left="0"/>
        <w:rPr>
          <w:rFonts w:cs="Times New Roman"/>
          <w:lang w:val="hu-HU"/>
        </w:rPr>
      </w:pPr>
    </w:p>
    <w:p w14:paraId="71CDE665" w14:textId="77777777" w:rsidR="003F0FF1" w:rsidRDefault="001156D9">
      <w:pPr>
        <w:pStyle w:val="Szvegtrzs"/>
        <w:ind w:left="0"/>
        <w:rPr>
          <w:rFonts w:cs="Times New Roman"/>
          <w:lang w:val="hu-HU"/>
        </w:rPr>
      </w:pPr>
      <w:r>
        <w:rPr>
          <w:rFonts w:cs="Times New Roman"/>
          <w:u w:val="single" w:color="000000"/>
          <w:lang w:val="hu-HU"/>
        </w:rPr>
        <w:t>Szoptatás</w:t>
      </w:r>
    </w:p>
    <w:p w14:paraId="030CB65E" w14:textId="77777777" w:rsidR="003F0FF1" w:rsidRDefault="001156D9">
      <w:pPr>
        <w:pStyle w:val="Szvegtrzs"/>
        <w:ind w:left="0"/>
        <w:rPr>
          <w:rFonts w:cs="Times New Roman"/>
          <w:lang w:val="hu-HU"/>
        </w:rPr>
      </w:pPr>
      <w:r>
        <w:rPr>
          <w:rFonts w:cs="Times New Roman"/>
          <w:lang w:val="hu-HU"/>
        </w:rPr>
        <w:t>A fingolimod a szoptatás alatt kiválasztódik a kezelt állatok tejébe (lásd 5.3 pont). Annak lehetősége miatt, hogy a fingolimod a szoptatott csecsemőknél súlyos mellékhatásokat okozhat, a fingolimodot kapó nők nem szoptathatnak.</w:t>
      </w:r>
    </w:p>
    <w:p w14:paraId="19BCE96D" w14:textId="77777777" w:rsidR="003F0FF1" w:rsidRDefault="003F0FF1">
      <w:pPr>
        <w:rPr>
          <w:rFonts w:ascii="Times New Roman" w:eastAsia="Times New Roman" w:hAnsi="Times New Roman" w:cs="Times New Roman"/>
          <w:lang w:val="hu-HU"/>
        </w:rPr>
      </w:pPr>
    </w:p>
    <w:p w14:paraId="7F53B3B1" w14:textId="77777777" w:rsidR="003F0FF1" w:rsidRDefault="001156D9">
      <w:pPr>
        <w:pStyle w:val="Szvegtrzs"/>
        <w:ind w:left="0"/>
        <w:rPr>
          <w:rFonts w:cs="Times New Roman"/>
          <w:lang w:val="hu-HU"/>
        </w:rPr>
      </w:pPr>
      <w:r>
        <w:rPr>
          <w:rFonts w:cs="Times New Roman"/>
          <w:u w:val="single" w:color="000000"/>
          <w:lang w:val="hu-HU"/>
        </w:rPr>
        <w:t>Termékenység</w:t>
      </w:r>
    </w:p>
    <w:p w14:paraId="49218DE1" w14:textId="77777777" w:rsidR="003F0FF1" w:rsidRDefault="001156D9">
      <w:pPr>
        <w:pStyle w:val="Szvegtrzs"/>
        <w:ind w:left="0"/>
        <w:rPr>
          <w:rFonts w:cs="Times New Roman"/>
          <w:lang w:val="hu-HU"/>
        </w:rPr>
      </w:pPr>
      <w:r>
        <w:rPr>
          <w:rFonts w:cs="Times New Roman"/>
          <w:lang w:val="hu-HU"/>
        </w:rPr>
        <w:t>A preklinikai vizsgálatokból származó adatok nem utalnak arra, hogy a fingolimod a termékenység csökkenésének magasabb kockázatával járna (lásd 5.3 pont).</w:t>
      </w:r>
    </w:p>
    <w:p w14:paraId="274CBEE4" w14:textId="77777777" w:rsidR="003F0FF1" w:rsidRDefault="003F0FF1">
      <w:pPr>
        <w:rPr>
          <w:rFonts w:ascii="Times New Roman" w:eastAsia="Times New Roman" w:hAnsi="Times New Roman" w:cs="Times New Roman"/>
          <w:lang w:val="hu-HU"/>
        </w:rPr>
      </w:pPr>
    </w:p>
    <w:p w14:paraId="4643F59D" w14:textId="77777777" w:rsidR="003F0FF1" w:rsidRDefault="001156D9">
      <w:pPr>
        <w:pStyle w:val="Cmsor1"/>
        <w:numPr>
          <w:ilvl w:val="1"/>
          <w:numId w:val="20"/>
        </w:numPr>
        <w:ind w:left="567" w:hanging="567"/>
        <w:rPr>
          <w:rFonts w:cs="Times New Roman"/>
          <w:b w:val="0"/>
          <w:bCs w:val="0"/>
          <w:lang w:val="hu-HU"/>
        </w:rPr>
      </w:pPr>
      <w:r>
        <w:rPr>
          <w:rFonts w:cs="Times New Roman"/>
          <w:lang w:val="hu-HU"/>
        </w:rPr>
        <w:t>A készítmény hatásai a gépjárművezetéshez és a gépek kezeléséhez szükséges képességekre</w:t>
      </w:r>
    </w:p>
    <w:p w14:paraId="38325822" w14:textId="77777777" w:rsidR="003F0FF1" w:rsidRDefault="003F0FF1">
      <w:pPr>
        <w:rPr>
          <w:rFonts w:ascii="Times New Roman" w:eastAsia="Times New Roman" w:hAnsi="Times New Roman" w:cs="Times New Roman"/>
          <w:b/>
          <w:bCs/>
          <w:lang w:val="hu-HU"/>
        </w:rPr>
      </w:pPr>
    </w:p>
    <w:p w14:paraId="7E6BF0DB" w14:textId="77777777" w:rsidR="003F0FF1" w:rsidRDefault="001156D9">
      <w:pPr>
        <w:pStyle w:val="Szvegtrzs"/>
        <w:ind w:left="0"/>
        <w:rPr>
          <w:rFonts w:cs="Times New Roman"/>
          <w:lang w:val="hu-HU"/>
        </w:rPr>
      </w:pPr>
      <w:r>
        <w:rPr>
          <w:rFonts w:cs="Times New Roman"/>
          <w:lang w:val="hu-HU"/>
        </w:rPr>
        <w:t>A fingolimod nem vagy csak elhanyagolható mértékben befolyásolja a gépjárművezetéshez és a gépek kezeléséhez szükséges képességeket.</w:t>
      </w:r>
    </w:p>
    <w:p w14:paraId="0E03FFF7" w14:textId="77777777" w:rsidR="003F0FF1" w:rsidRDefault="003F0FF1">
      <w:pPr>
        <w:pStyle w:val="Szvegtrzs"/>
        <w:ind w:left="0"/>
        <w:rPr>
          <w:rFonts w:cs="Times New Roman"/>
          <w:lang w:val="hu-HU"/>
        </w:rPr>
      </w:pPr>
    </w:p>
    <w:p w14:paraId="4A7F6AB1" w14:textId="77777777" w:rsidR="003F0FF1" w:rsidRDefault="001156D9">
      <w:pPr>
        <w:pStyle w:val="Szvegtrzs"/>
        <w:ind w:left="0"/>
        <w:rPr>
          <w:rFonts w:cs="Times New Roman"/>
          <w:lang w:val="hu-HU"/>
        </w:rPr>
      </w:pPr>
      <w:r>
        <w:rPr>
          <w:rFonts w:cs="Times New Roman"/>
          <w:lang w:val="hu-HU"/>
        </w:rPr>
        <w:t>Ugyanakkor a kezelés elkezdésekor esetenként szédülés vagy álmosság fordulhat elő. A fingolimod-kezelés megkezdésekor a betegek 6 órán át tartó megfigyelése javasolt (lásd 4.4 pont, Bradyarrhythmia).</w:t>
      </w:r>
    </w:p>
    <w:p w14:paraId="152CD87A" w14:textId="77777777" w:rsidR="003F0FF1" w:rsidRDefault="003F0FF1">
      <w:pPr>
        <w:rPr>
          <w:rFonts w:ascii="Times New Roman" w:eastAsia="Times New Roman" w:hAnsi="Times New Roman" w:cs="Times New Roman"/>
          <w:lang w:val="hu-HU"/>
        </w:rPr>
      </w:pPr>
    </w:p>
    <w:p w14:paraId="7479816E" w14:textId="77777777" w:rsidR="003F0FF1" w:rsidRDefault="001156D9">
      <w:pPr>
        <w:pStyle w:val="Cmsor1"/>
        <w:numPr>
          <w:ilvl w:val="1"/>
          <w:numId w:val="20"/>
        </w:numPr>
        <w:tabs>
          <w:tab w:val="left" w:pos="567"/>
        </w:tabs>
        <w:ind w:left="0" w:firstLine="0"/>
        <w:rPr>
          <w:rFonts w:cs="Times New Roman"/>
          <w:b w:val="0"/>
          <w:bCs w:val="0"/>
          <w:lang w:val="hu-HU"/>
        </w:rPr>
      </w:pPr>
      <w:r>
        <w:rPr>
          <w:rFonts w:cs="Times New Roman"/>
          <w:lang w:val="hu-HU"/>
        </w:rPr>
        <w:t>Nemkívánatos hatások, mellékhatások</w:t>
      </w:r>
    </w:p>
    <w:p w14:paraId="7467533E" w14:textId="77777777" w:rsidR="003F0FF1" w:rsidRDefault="003F0FF1">
      <w:pPr>
        <w:rPr>
          <w:rFonts w:ascii="Times New Roman" w:eastAsia="Times New Roman" w:hAnsi="Times New Roman" w:cs="Times New Roman"/>
          <w:b/>
          <w:bCs/>
          <w:lang w:val="hu-HU"/>
        </w:rPr>
      </w:pPr>
    </w:p>
    <w:p w14:paraId="3AF15C26" w14:textId="77777777" w:rsidR="003F0FF1" w:rsidRDefault="001156D9">
      <w:pPr>
        <w:pStyle w:val="Szvegtrzs"/>
        <w:ind w:left="0"/>
        <w:rPr>
          <w:rFonts w:cs="Times New Roman"/>
          <w:lang w:val="hu-HU"/>
        </w:rPr>
      </w:pPr>
      <w:r>
        <w:rPr>
          <w:rFonts w:cs="Times New Roman"/>
          <w:u w:val="single" w:color="000000"/>
          <w:lang w:val="hu-HU"/>
        </w:rPr>
        <w:t>A biztonságossági profil összefoglalása</w:t>
      </w:r>
    </w:p>
    <w:p w14:paraId="5868E390"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A 0,5 mg dózis esetén a leggyakoribb mellékhatások (előfordulási gyakoriság ≥ 10%) a fejfájás (24,5%), az emelkedett májenzimszintek (15,2%), a hasmenés (12,6%), a köhögés (12,3%), az influenza (11,4), a sinusitis (10,9%) és a hátfájás (10,0%) voltak.</w:t>
      </w:r>
    </w:p>
    <w:p w14:paraId="4AEEE946" w14:textId="77777777" w:rsidR="003F0FF1" w:rsidRDefault="003F0FF1">
      <w:pPr>
        <w:rPr>
          <w:rFonts w:ascii="Times New Roman" w:eastAsia="Times New Roman" w:hAnsi="Times New Roman" w:cs="Times New Roman"/>
          <w:lang w:val="hu-HU"/>
        </w:rPr>
      </w:pPr>
    </w:p>
    <w:p w14:paraId="4A77F3BA" w14:textId="77777777" w:rsidR="003F0FF1" w:rsidRDefault="001156D9" w:rsidP="00CE583C">
      <w:pPr>
        <w:pStyle w:val="Szvegtrzs"/>
        <w:keepNext/>
        <w:ind w:left="0"/>
        <w:rPr>
          <w:rFonts w:cs="Times New Roman"/>
          <w:lang w:val="hu-HU"/>
        </w:rPr>
      </w:pPr>
      <w:r>
        <w:rPr>
          <w:rFonts w:cs="Times New Roman"/>
          <w:u w:val="single" w:color="000000"/>
          <w:lang w:val="hu-HU"/>
        </w:rPr>
        <w:lastRenderedPageBreak/>
        <w:t>A mellékhatások táblázatos felsorolása</w:t>
      </w:r>
    </w:p>
    <w:p w14:paraId="76CE037A" w14:textId="77777777" w:rsidR="003F0FF1" w:rsidRDefault="001156D9">
      <w:pPr>
        <w:rPr>
          <w:rFonts w:cs="Times New Roman"/>
          <w:lang w:val="hu-HU"/>
        </w:rPr>
      </w:pPr>
      <w:r>
        <w:rPr>
          <w:rFonts w:ascii="Times New Roman" w:eastAsia="Times New Roman" w:hAnsi="Times New Roman" w:cs="Times New Roman"/>
          <w:lang w:val="hu-HU"/>
        </w:rPr>
        <w:t>A klinikai vizsgálatokban jelentett, valamint a forgalomba hozatalt követően spontán bejelentésekből vagy szakirodalmi esetekből származó mellékhatások alább kerülnek bemutatásra. A gyakorisági kategóriák az alábbi megegyezés szerint kerültek megadásra: nagyon gyakori (≥ 1/10), gyakori (≥ 1/100 - &lt; 1/10), nem gyakori (≥ 1/1000 - &lt; 1/100), ritka (≥ 1/10 000 - &lt; 1/1000), nagyon ritka (&lt; 1/10 000), nem ismert (a gyakoriság a rendelkezésre álló adatokból nem állapítható meg). Az egyes gyakorisági kategóriákon belül a mellékhatások csökkenő súlyosság szerint kerülnek feltüntetésre.</w:t>
      </w:r>
    </w:p>
    <w:p w14:paraId="58686883" w14:textId="77777777" w:rsidR="003F0FF1" w:rsidRDefault="003F0FF1">
      <w:pPr>
        <w:rPr>
          <w:rFonts w:ascii="Times New Roman" w:eastAsia="Times New Roman" w:hAnsi="Times New Roman" w:cs="Times New Roman"/>
          <w:lang w:val="hu-HU"/>
        </w:rPr>
      </w:pPr>
    </w:p>
    <w:tbl>
      <w:tblPr>
        <w:tblStyle w:val="TableNormal1"/>
        <w:tblW w:w="9781" w:type="dxa"/>
        <w:tblInd w:w="-6" w:type="dxa"/>
        <w:tblLayout w:type="fixed"/>
        <w:tblLook w:val="01E0" w:firstRow="1" w:lastRow="1" w:firstColumn="1" w:lastColumn="1" w:noHBand="0" w:noVBand="0"/>
      </w:tblPr>
      <w:tblGrid>
        <w:gridCol w:w="2784"/>
        <w:gridCol w:w="6997"/>
      </w:tblGrid>
      <w:tr w:rsidR="003F0FF1" w14:paraId="624BFDD5" w14:textId="77777777">
        <w:trPr>
          <w:trHeight w:hRule="exact" w:val="263"/>
        </w:trPr>
        <w:tc>
          <w:tcPr>
            <w:tcW w:w="9781" w:type="dxa"/>
            <w:gridSpan w:val="2"/>
            <w:tcBorders>
              <w:top w:val="single" w:sz="5" w:space="0" w:color="000000"/>
              <w:left w:val="single" w:sz="5" w:space="0" w:color="000000"/>
              <w:bottom w:val="single" w:sz="5" w:space="0" w:color="000000"/>
              <w:right w:val="single" w:sz="5" w:space="0" w:color="000000"/>
            </w:tcBorders>
          </w:tcPr>
          <w:p w14:paraId="387E59E8"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b/>
                <w:lang w:val="hu-HU"/>
              </w:rPr>
              <w:t>Fertőző betegségek és parazitafertőzések</w:t>
            </w:r>
          </w:p>
        </w:tc>
      </w:tr>
      <w:tr w:rsidR="003F0FF1" w14:paraId="7E5F91C5" w14:textId="77777777">
        <w:trPr>
          <w:trHeight w:hRule="exact" w:val="516"/>
        </w:trPr>
        <w:tc>
          <w:tcPr>
            <w:tcW w:w="2784" w:type="dxa"/>
            <w:tcBorders>
              <w:top w:val="single" w:sz="5" w:space="0" w:color="000000"/>
              <w:left w:val="single" w:sz="5" w:space="0" w:color="000000"/>
              <w:bottom w:val="single" w:sz="5" w:space="0" w:color="000000"/>
              <w:right w:val="single" w:sz="5" w:space="0" w:color="000000"/>
            </w:tcBorders>
          </w:tcPr>
          <w:p w14:paraId="1855CB71"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Nagyon gyakori:</w:t>
            </w:r>
          </w:p>
        </w:tc>
        <w:tc>
          <w:tcPr>
            <w:tcW w:w="6997" w:type="dxa"/>
            <w:tcBorders>
              <w:top w:val="single" w:sz="5" w:space="0" w:color="000000"/>
              <w:left w:val="single" w:sz="5" w:space="0" w:color="000000"/>
              <w:bottom w:val="single" w:sz="5" w:space="0" w:color="000000"/>
              <w:right w:val="single" w:sz="5" w:space="0" w:color="000000"/>
            </w:tcBorders>
          </w:tcPr>
          <w:p w14:paraId="2E6A7994" w14:textId="77777777" w:rsidR="003F0FF1" w:rsidRDefault="001156D9">
            <w:pPr>
              <w:pStyle w:val="TableParagraph"/>
              <w:rPr>
                <w:rFonts w:ascii="Times New Roman" w:hAnsi="Times New Roman" w:cs="Times New Roman"/>
                <w:lang w:val="hu-HU"/>
              </w:rPr>
            </w:pPr>
            <w:r>
              <w:rPr>
                <w:rFonts w:ascii="Times New Roman" w:hAnsi="Times New Roman" w:cs="Times New Roman"/>
                <w:lang w:val="hu-HU"/>
              </w:rPr>
              <w:t xml:space="preserve">influenza </w:t>
            </w:r>
          </w:p>
          <w:p w14:paraId="45C70034"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sinusitis</w:t>
            </w:r>
          </w:p>
        </w:tc>
      </w:tr>
      <w:tr w:rsidR="003F0FF1" w14:paraId="0136FB01" w14:textId="77777777">
        <w:trPr>
          <w:trHeight w:hRule="exact" w:val="778"/>
        </w:trPr>
        <w:tc>
          <w:tcPr>
            <w:tcW w:w="2784" w:type="dxa"/>
            <w:tcBorders>
              <w:top w:val="single" w:sz="5" w:space="0" w:color="000000"/>
              <w:left w:val="single" w:sz="5" w:space="0" w:color="000000"/>
              <w:bottom w:val="single" w:sz="5" w:space="0" w:color="000000"/>
              <w:right w:val="single" w:sz="5" w:space="0" w:color="000000"/>
            </w:tcBorders>
          </w:tcPr>
          <w:p w14:paraId="33682C53"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Gyakori:</w:t>
            </w:r>
          </w:p>
        </w:tc>
        <w:tc>
          <w:tcPr>
            <w:tcW w:w="6997" w:type="dxa"/>
            <w:tcBorders>
              <w:top w:val="single" w:sz="5" w:space="0" w:color="000000"/>
              <w:left w:val="single" w:sz="5" w:space="0" w:color="000000"/>
              <w:bottom w:val="single" w:sz="5" w:space="0" w:color="000000"/>
              <w:right w:val="single" w:sz="5" w:space="0" w:color="000000"/>
            </w:tcBorders>
          </w:tcPr>
          <w:p w14:paraId="3E794C70"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herpes vírus okozta fertőzés</w:t>
            </w:r>
          </w:p>
          <w:p w14:paraId="4E7627D3" w14:textId="77777777" w:rsidR="003F0FF1" w:rsidRDefault="001156D9">
            <w:pPr>
              <w:pStyle w:val="TableParagraph"/>
              <w:rPr>
                <w:rFonts w:ascii="Times New Roman" w:hAnsi="Times New Roman" w:cs="Times New Roman"/>
                <w:lang w:val="hu-HU"/>
              </w:rPr>
            </w:pPr>
            <w:r>
              <w:rPr>
                <w:rFonts w:ascii="Times New Roman" w:hAnsi="Times New Roman" w:cs="Times New Roman"/>
                <w:lang w:val="hu-HU"/>
              </w:rPr>
              <w:t>bronchitis</w:t>
            </w:r>
          </w:p>
          <w:p w14:paraId="25E299E7"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tinea versicolor</w:t>
            </w:r>
          </w:p>
        </w:tc>
      </w:tr>
      <w:tr w:rsidR="003F0FF1" w14:paraId="6C77D6D5" w14:textId="77777777">
        <w:trPr>
          <w:trHeight w:hRule="exact" w:val="263"/>
        </w:trPr>
        <w:tc>
          <w:tcPr>
            <w:tcW w:w="2784" w:type="dxa"/>
            <w:tcBorders>
              <w:top w:val="single" w:sz="5" w:space="0" w:color="000000"/>
              <w:left w:val="single" w:sz="5" w:space="0" w:color="000000"/>
              <w:bottom w:val="single" w:sz="5" w:space="0" w:color="000000"/>
              <w:right w:val="single" w:sz="5" w:space="0" w:color="000000"/>
            </w:tcBorders>
          </w:tcPr>
          <w:p w14:paraId="3547FECD"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Nem gyakori:</w:t>
            </w:r>
          </w:p>
        </w:tc>
        <w:tc>
          <w:tcPr>
            <w:tcW w:w="6997" w:type="dxa"/>
            <w:tcBorders>
              <w:top w:val="single" w:sz="5" w:space="0" w:color="000000"/>
              <w:left w:val="single" w:sz="5" w:space="0" w:color="000000"/>
              <w:bottom w:val="single" w:sz="5" w:space="0" w:color="000000"/>
              <w:right w:val="single" w:sz="5" w:space="0" w:color="000000"/>
            </w:tcBorders>
          </w:tcPr>
          <w:p w14:paraId="2606C31C"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pneumonia</w:t>
            </w:r>
          </w:p>
        </w:tc>
      </w:tr>
      <w:tr w:rsidR="003F0FF1" w14:paraId="167558C9" w14:textId="77777777">
        <w:trPr>
          <w:trHeight w:hRule="exact" w:val="516"/>
        </w:trPr>
        <w:tc>
          <w:tcPr>
            <w:tcW w:w="2784" w:type="dxa"/>
            <w:tcBorders>
              <w:top w:val="single" w:sz="5" w:space="0" w:color="000000"/>
              <w:left w:val="single" w:sz="5" w:space="0" w:color="000000"/>
              <w:bottom w:val="single" w:sz="5" w:space="0" w:color="000000"/>
              <w:right w:val="single" w:sz="5" w:space="0" w:color="000000"/>
            </w:tcBorders>
          </w:tcPr>
          <w:p w14:paraId="4C79A0C7"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Nem ismert:</w:t>
            </w:r>
          </w:p>
        </w:tc>
        <w:tc>
          <w:tcPr>
            <w:tcW w:w="6997" w:type="dxa"/>
            <w:tcBorders>
              <w:top w:val="single" w:sz="5" w:space="0" w:color="000000"/>
              <w:left w:val="single" w:sz="5" w:space="0" w:color="000000"/>
              <w:bottom w:val="single" w:sz="5" w:space="0" w:color="000000"/>
              <w:right w:val="single" w:sz="5" w:space="0" w:color="000000"/>
            </w:tcBorders>
          </w:tcPr>
          <w:p w14:paraId="7119CA08"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progresszív multifokális leukoencephalopathia (PML)**</w:t>
            </w:r>
          </w:p>
          <w:p w14:paraId="056889A6"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cryptococcus-fertőzések**</w:t>
            </w:r>
          </w:p>
        </w:tc>
      </w:tr>
      <w:tr w:rsidR="003F0FF1" w14:paraId="3FBAE9E8" w14:textId="77777777">
        <w:trPr>
          <w:trHeight w:hRule="exact" w:val="263"/>
        </w:trPr>
        <w:tc>
          <w:tcPr>
            <w:tcW w:w="9781" w:type="dxa"/>
            <w:gridSpan w:val="2"/>
            <w:tcBorders>
              <w:top w:val="single" w:sz="5" w:space="0" w:color="000000"/>
              <w:left w:val="single" w:sz="5" w:space="0" w:color="000000"/>
              <w:bottom w:val="single" w:sz="5" w:space="0" w:color="000000"/>
              <w:right w:val="single" w:sz="5" w:space="0" w:color="000000"/>
            </w:tcBorders>
          </w:tcPr>
          <w:p w14:paraId="2EDBC254"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b/>
                <w:lang w:val="hu-HU"/>
              </w:rPr>
              <w:t>Jó-, rosszindulatú és nem meghatározott daganatok (beleértve a cisztákat és polipokat is)</w:t>
            </w:r>
          </w:p>
        </w:tc>
      </w:tr>
      <w:tr w:rsidR="003F0FF1" w14:paraId="75220629" w14:textId="77777777">
        <w:trPr>
          <w:trHeight w:hRule="exact" w:val="263"/>
        </w:trPr>
        <w:tc>
          <w:tcPr>
            <w:tcW w:w="2784" w:type="dxa"/>
            <w:tcBorders>
              <w:top w:val="single" w:sz="5" w:space="0" w:color="000000"/>
              <w:left w:val="single" w:sz="5" w:space="0" w:color="000000"/>
              <w:bottom w:val="single" w:sz="5" w:space="0" w:color="000000"/>
              <w:right w:val="single" w:sz="5" w:space="0" w:color="000000"/>
            </w:tcBorders>
          </w:tcPr>
          <w:p w14:paraId="00AC3783"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Gyakori:</w:t>
            </w:r>
          </w:p>
        </w:tc>
        <w:tc>
          <w:tcPr>
            <w:tcW w:w="6997" w:type="dxa"/>
            <w:tcBorders>
              <w:top w:val="single" w:sz="5" w:space="0" w:color="000000"/>
              <w:left w:val="single" w:sz="5" w:space="0" w:color="000000"/>
              <w:bottom w:val="single" w:sz="5" w:space="0" w:color="000000"/>
              <w:right w:val="single" w:sz="5" w:space="0" w:color="000000"/>
            </w:tcBorders>
          </w:tcPr>
          <w:p w14:paraId="69DA41FA"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basalsejtes carcinoma</w:t>
            </w:r>
          </w:p>
        </w:tc>
      </w:tr>
      <w:tr w:rsidR="003F0FF1" w14:paraId="0E636339" w14:textId="77777777">
        <w:trPr>
          <w:trHeight w:hRule="exact" w:val="263"/>
        </w:trPr>
        <w:tc>
          <w:tcPr>
            <w:tcW w:w="2784" w:type="dxa"/>
            <w:tcBorders>
              <w:top w:val="single" w:sz="5" w:space="0" w:color="000000"/>
              <w:left w:val="single" w:sz="5" w:space="0" w:color="000000"/>
              <w:bottom w:val="single" w:sz="5" w:space="0" w:color="000000"/>
              <w:right w:val="single" w:sz="5" w:space="0" w:color="000000"/>
            </w:tcBorders>
          </w:tcPr>
          <w:p w14:paraId="35533F3E"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Nem gyakori:</w:t>
            </w:r>
          </w:p>
        </w:tc>
        <w:tc>
          <w:tcPr>
            <w:tcW w:w="6997" w:type="dxa"/>
            <w:tcBorders>
              <w:top w:val="single" w:sz="5" w:space="0" w:color="000000"/>
              <w:left w:val="single" w:sz="5" w:space="0" w:color="000000"/>
              <w:bottom w:val="single" w:sz="5" w:space="0" w:color="000000"/>
              <w:right w:val="single" w:sz="5" w:space="0" w:color="000000"/>
            </w:tcBorders>
          </w:tcPr>
          <w:p w14:paraId="55ADFA2D"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malignus melanoma****</w:t>
            </w:r>
          </w:p>
        </w:tc>
      </w:tr>
      <w:tr w:rsidR="003F0FF1" w14:paraId="54C91291" w14:textId="77777777">
        <w:trPr>
          <w:trHeight w:hRule="exact" w:val="595"/>
        </w:trPr>
        <w:tc>
          <w:tcPr>
            <w:tcW w:w="2784" w:type="dxa"/>
            <w:tcBorders>
              <w:top w:val="single" w:sz="5" w:space="0" w:color="000000"/>
              <w:left w:val="single" w:sz="5" w:space="0" w:color="000000"/>
              <w:bottom w:val="single" w:sz="5" w:space="0" w:color="000000"/>
              <w:right w:val="single" w:sz="5" w:space="0" w:color="000000"/>
            </w:tcBorders>
          </w:tcPr>
          <w:p w14:paraId="15E23124"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Ritka:</w:t>
            </w:r>
          </w:p>
        </w:tc>
        <w:tc>
          <w:tcPr>
            <w:tcW w:w="6997" w:type="dxa"/>
            <w:tcBorders>
              <w:top w:val="single" w:sz="5" w:space="0" w:color="000000"/>
              <w:left w:val="single" w:sz="5" w:space="0" w:color="000000"/>
              <w:bottom w:val="single" w:sz="5" w:space="0" w:color="000000"/>
              <w:right w:val="single" w:sz="5" w:space="0" w:color="000000"/>
            </w:tcBorders>
          </w:tcPr>
          <w:p w14:paraId="2183E4BB"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lymphoma***</w:t>
            </w:r>
          </w:p>
          <w:p w14:paraId="5BEAABAE"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laphámsejtes carcinoma****</w:t>
            </w:r>
          </w:p>
        </w:tc>
      </w:tr>
      <w:tr w:rsidR="003F0FF1" w14:paraId="392AE17F" w14:textId="77777777">
        <w:trPr>
          <w:trHeight w:hRule="exact" w:val="264"/>
        </w:trPr>
        <w:tc>
          <w:tcPr>
            <w:tcW w:w="2784" w:type="dxa"/>
            <w:tcBorders>
              <w:top w:val="single" w:sz="5" w:space="0" w:color="000000"/>
              <w:left w:val="single" w:sz="5" w:space="0" w:color="000000"/>
              <w:bottom w:val="single" w:sz="5" w:space="0" w:color="000000"/>
              <w:right w:val="single" w:sz="5" w:space="0" w:color="000000"/>
            </w:tcBorders>
          </w:tcPr>
          <w:p w14:paraId="40DA3525"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Nagyon ritka:</w:t>
            </w:r>
          </w:p>
        </w:tc>
        <w:tc>
          <w:tcPr>
            <w:tcW w:w="6997" w:type="dxa"/>
            <w:tcBorders>
              <w:top w:val="single" w:sz="5" w:space="0" w:color="000000"/>
              <w:left w:val="single" w:sz="5" w:space="0" w:color="000000"/>
              <w:bottom w:val="single" w:sz="5" w:space="0" w:color="000000"/>
              <w:right w:val="single" w:sz="5" w:space="0" w:color="000000"/>
            </w:tcBorders>
          </w:tcPr>
          <w:p w14:paraId="0E359892"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kaposi-sarcoma****</w:t>
            </w:r>
          </w:p>
        </w:tc>
      </w:tr>
      <w:tr w:rsidR="003F0FF1" w14:paraId="400E12F4" w14:textId="77777777">
        <w:trPr>
          <w:trHeight w:hRule="exact" w:val="263"/>
        </w:trPr>
        <w:tc>
          <w:tcPr>
            <w:tcW w:w="2784" w:type="dxa"/>
            <w:tcBorders>
              <w:top w:val="single" w:sz="5" w:space="0" w:color="000000"/>
              <w:left w:val="single" w:sz="5" w:space="0" w:color="000000"/>
              <w:bottom w:val="single" w:sz="5" w:space="0" w:color="000000"/>
              <w:right w:val="single" w:sz="5" w:space="0" w:color="000000"/>
            </w:tcBorders>
          </w:tcPr>
          <w:p w14:paraId="3D19916A"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Nem ismert:</w:t>
            </w:r>
          </w:p>
        </w:tc>
        <w:tc>
          <w:tcPr>
            <w:tcW w:w="6997" w:type="dxa"/>
            <w:tcBorders>
              <w:top w:val="single" w:sz="5" w:space="0" w:color="000000"/>
              <w:left w:val="single" w:sz="5" w:space="0" w:color="000000"/>
              <w:bottom w:val="single" w:sz="5" w:space="0" w:color="000000"/>
              <w:right w:val="single" w:sz="5" w:space="0" w:color="000000"/>
            </w:tcBorders>
          </w:tcPr>
          <w:p w14:paraId="18EC65E7"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merkel-sejtes carcinoma***</w:t>
            </w:r>
          </w:p>
        </w:tc>
      </w:tr>
      <w:tr w:rsidR="003F0FF1" w14:paraId="6DBD6902" w14:textId="77777777">
        <w:trPr>
          <w:trHeight w:hRule="exact" w:val="263"/>
        </w:trPr>
        <w:tc>
          <w:tcPr>
            <w:tcW w:w="9781" w:type="dxa"/>
            <w:gridSpan w:val="2"/>
            <w:tcBorders>
              <w:top w:val="single" w:sz="5" w:space="0" w:color="000000"/>
              <w:left w:val="single" w:sz="5" w:space="0" w:color="000000"/>
              <w:bottom w:val="single" w:sz="5" w:space="0" w:color="000000"/>
              <w:right w:val="single" w:sz="5" w:space="0" w:color="000000"/>
            </w:tcBorders>
          </w:tcPr>
          <w:p w14:paraId="76F9F1C7"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b/>
                <w:lang w:val="hu-HU"/>
              </w:rPr>
              <w:t>Vérképzőszervi és nyirokrendszeri betegségek és tünetek</w:t>
            </w:r>
          </w:p>
        </w:tc>
      </w:tr>
      <w:tr w:rsidR="003F0FF1" w14:paraId="3F65408A" w14:textId="77777777">
        <w:trPr>
          <w:trHeight w:hRule="exact" w:val="589"/>
        </w:trPr>
        <w:tc>
          <w:tcPr>
            <w:tcW w:w="2784" w:type="dxa"/>
            <w:tcBorders>
              <w:top w:val="single" w:sz="5" w:space="0" w:color="000000"/>
              <w:left w:val="single" w:sz="5" w:space="0" w:color="000000"/>
              <w:bottom w:val="single" w:sz="5" w:space="0" w:color="000000"/>
              <w:right w:val="single" w:sz="5" w:space="0" w:color="000000"/>
            </w:tcBorders>
          </w:tcPr>
          <w:p w14:paraId="16726C89"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Gyakori:</w:t>
            </w:r>
          </w:p>
        </w:tc>
        <w:tc>
          <w:tcPr>
            <w:tcW w:w="6997" w:type="dxa"/>
            <w:tcBorders>
              <w:top w:val="single" w:sz="5" w:space="0" w:color="000000"/>
              <w:left w:val="single" w:sz="5" w:space="0" w:color="000000"/>
              <w:bottom w:val="single" w:sz="5" w:space="0" w:color="000000"/>
              <w:right w:val="single" w:sz="5" w:space="0" w:color="000000"/>
            </w:tcBorders>
          </w:tcPr>
          <w:p w14:paraId="3EBA9285" w14:textId="77777777" w:rsidR="003F0FF1" w:rsidRDefault="001156D9">
            <w:pPr>
              <w:pStyle w:val="TableParagraph"/>
              <w:rPr>
                <w:rFonts w:ascii="Times New Roman" w:hAnsi="Times New Roman" w:cs="Times New Roman"/>
                <w:lang w:val="hu-HU"/>
              </w:rPr>
            </w:pPr>
            <w:r>
              <w:rPr>
                <w:rFonts w:ascii="Times New Roman" w:hAnsi="Times New Roman" w:cs="Times New Roman"/>
                <w:lang w:val="hu-HU"/>
              </w:rPr>
              <w:t>lymphopenia</w:t>
            </w:r>
          </w:p>
          <w:p w14:paraId="1693CE7D"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leukopenia</w:t>
            </w:r>
          </w:p>
        </w:tc>
      </w:tr>
      <w:tr w:rsidR="003F0FF1" w14:paraId="5CC7C046" w14:textId="77777777">
        <w:trPr>
          <w:trHeight w:hRule="exact" w:val="263"/>
        </w:trPr>
        <w:tc>
          <w:tcPr>
            <w:tcW w:w="2784" w:type="dxa"/>
            <w:tcBorders>
              <w:top w:val="single" w:sz="5" w:space="0" w:color="000000"/>
              <w:left w:val="single" w:sz="5" w:space="0" w:color="000000"/>
              <w:bottom w:val="single" w:sz="5" w:space="0" w:color="000000"/>
              <w:right w:val="single" w:sz="5" w:space="0" w:color="000000"/>
            </w:tcBorders>
          </w:tcPr>
          <w:p w14:paraId="2A69D1A4"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Nem gyakori:</w:t>
            </w:r>
          </w:p>
        </w:tc>
        <w:tc>
          <w:tcPr>
            <w:tcW w:w="6997" w:type="dxa"/>
            <w:tcBorders>
              <w:top w:val="single" w:sz="5" w:space="0" w:color="000000"/>
              <w:left w:val="single" w:sz="5" w:space="0" w:color="000000"/>
              <w:bottom w:val="single" w:sz="5" w:space="0" w:color="000000"/>
              <w:right w:val="single" w:sz="5" w:space="0" w:color="000000"/>
            </w:tcBorders>
          </w:tcPr>
          <w:p w14:paraId="389C3C72"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thrombocytopenia</w:t>
            </w:r>
          </w:p>
        </w:tc>
      </w:tr>
      <w:tr w:rsidR="003F0FF1" w14:paraId="1873B391" w14:textId="77777777">
        <w:trPr>
          <w:trHeight w:hRule="exact" w:val="581"/>
        </w:trPr>
        <w:tc>
          <w:tcPr>
            <w:tcW w:w="2784" w:type="dxa"/>
            <w:tcBorders>
              <w:top w:val="single" w:sz="5" w:space="0" w:color="000000"/>
              <w:left w:val="single" w:sz="5" w:space="0" w:color="000000"/>
              <w:bottom w:val="single" w:sz="5" w:space="0" w:color="000000"/>
              <w:right w:val="single" w:sz="5" w:space="0" w:color="000000"/>
            </w:tcBorders>
          </w:tcPr>
          <w:p w14:paraId="7628159E"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Nem ismert:</w:t>
            </w:r>
          </w:p>
        </w:tc>
        <w:tc>
          <w:tcPr>
            <w:tcW w:w="6997" w:type="dxa"/>
            <w:tcBorders>
              <w:top w:val="single" w:sz="5" w:space="0" w:color="000000"/>
              <w:left w:val="single" w:sz="5" w:space="0" w:color="000000"/>
              <w:bottom w:val="single" w:sz="5" w:space="0" w:color="000000"/>
              <w:right w:val="single" w:sz="5" w:space="0" w:color="000000"/>
            </w:tcBorders>
          </w:tcPr>
          <w:p w14:paraId="7AD24695" w14:textId="77777777" w:rsidR="003F0FF1" w:rsidRDefault="001156D9">
            <w:pPr>
              <w:pStyle w:val="TableParagraph"/>
              <w:rPr>
                <w:rFonts w:ascii="Times New Roman" w:hAnsi="Times New Roman" w:cs="Times New Roman"/>
                <w:lang w:val="hu-HU"/>
              </w:rPr>
            </w:pPr>
            <w:r>
              <w:rPr>
                <w:rFonts w:ascii="Times New Roman" w:hAnsi="Times New Roman" w:cs="Times New Roman"/>
                <w:lang w:val="hu-HU"/>
              </w:rPr>
              <w:t xml:space="preserve">autoimmun haemolyticus anaemia*** </w:t>
            </w:r>
          </w:p>
          <w:p w14:paraId="6FEAA974"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perifériás oedema***</w:t>
            </w:r>
          </w:p>
        </w:tc>
      </w:tr>
      <w:tr w:rsidR="003F0FF1" w14:paraId="3CF5B5B4" w14:textId="77777777">
        <w:trPr>
          <w:trHeight w:hRule="exact" w:val="263"/>
        </w:trPr>
        <w:tc>
          <w:tcPr>
            <w:tcW w:w="9781" w:type="dxa"/>
            <w:gridSpan w:val="2"/>
            <w:tcBorders>
              <w:top w:val="single" w:sz="5" w:space="0" w:color="000000"/>
              <w:left w:val="single" w:sz="5" w:space="0" w:color="000000"/>
              <w:bottom w:val="single" w:sz="5" w:space="0" w:color="000000"/>
              <w:right w:val="single" w:sz="5" w:space="0" w:color="000000"/>
            </w:tcBorders>
          </w:tcPr>
          <w:p w14:paraId="29BC6EDC"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b/>
                <w:lang w:val="hu-HU"/>
              </w:rPr>
              <w:t>Immunrendszeri betegségek és tünetek</w:t>
            </w:r>
          </w:p>
        </w:tc>
      </w:tr>
      <w:tr w:rsidR="003F0FF1" w14:paraId="2CD119F8" w14:textId="77777777" w:rsidTr="00CE583C">
        <w:trPr>
          <w:trHeight w:hRule="exact" w:val="788"/>
        </w:trPr>
        <w:tc>
          <w:tcPr>
            <w:tcW w:w="2784" w:type="dxa"/>
            <w:tcBorders>
              <w:top w:val="single" w:sz="5" w:space="0" w:color="000000"/>
              <w:left w:val="single" w:sz="5" w:space="0" w:color="000000"/>
              <w:bottom w:val="single" w:sz="5" w:space="0" w:color="000000"/>
              <w:right w:val="single" w:sz="5" w:space="0" w:color="000000"/>
            </w:tcBorders>
          </w:tcPr>
          <w:p w14:paraId="394894AE"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Nem ismert:</w:t>
            </w:r>
          </w:p>
        </w:tc>
        <w:tc>
          <w:tcPr>
            <w:tcW w:w="6997" w:type="dxa"/>
            <w:tcBorders>
              <w:top w:val="single" w:sz="5" w:space="0" w:color="000000"/>
              <w:left w:val="single" w:sz="5" w:space="0" w:color="000000"/>
              <w:bottom w:val="single" w:sz="5" w:space="0" w:color="000000"/>
              <w:right w:val="single" w:sz="5" w:space="0" w:color="000000"/>
            </w:tcBorders>
          </w:tcPr>
          <w:p w14:paraId="307CAC55" w14:textId="77777777" w:rsidR="003F0FF1" w:rsidRDefault="001156D9">
            <w:pPr>
              <w:pStyle w:val="TableParagraph"/>
              <w:rPr>
                <w:rFonts w:ascii="Times New Roman" w:hAnsi="Times New Roman" w:cs="Times New Roman"/>
                <w:lang w:val="hu-HU"/>
              </w:rPr>
            </w:pPr>
            <w:r>
              <w:rPr>
                <w:rFonts w:ascii="Times New Roman" w:hAnsi="Times New Roman" w:cs="Times New Roman"/>
                <w:lang w:val="hu-HU"/>
              </w:rPr>
              <w:t>túlérzékenységi reakciók, beleértve a bőrkiütést, urticariát és angiooedemát is a kezelés megkezdésekor***</w:t>
            </w:r>
          </w:p>
          <w:p w14:paraId="39EBF98B" w14:textId="77777777" w:rsidR="003F0FF1" w:rsidRDefault="001156D9">
            <w:pPr>
              <w:pStyle w:val="TableParagraph"/>
              <w:rPr>
                <w:rFonts w:ascii="Times New Roman" w:eastAsia="Times New Roman" w:hAnsi="Times New Roman" w:cs="Times New Roman"/>
                <w:lang w:val="hu-HU"/>
              </w:rPr>
            </w:pPr>
            <w:r>
              <w:rPr>
                <w:rFonts w:ascii="Times New Roman" w:eastAsia="Times New Roman" w:hAnsi="Times New Roman" w:cs="Times New Roman"/>
              </w:rPr>
              <w:t>immunrekonstitúciós gyulladásos szindróma (IRIS)**</w:t>
            </w:r>
          </w:p>
        </w:tc>
      </w:tr>
      <w:tr w:rsidR="003F0FF1" w14:paraId="1FE81511" w14:textId="77777777">
        <w:trPr>
          <w:trHeight w:hRule="exact" w:val="263"/>
        </w:trPr>
        <w:tc>
          <w:tcPr>
            <w:tcW w:w="9781" w:type="dxa"/>
            <w:gridSpan w:val="2"/>
            <w:tcBorders>
              <w:top w:val="single" w:sz="5" w:space="0" w:color="000000"/>
              <w:left w:val="single" w:sz="5" w:space="0" w:color="000000"/>
              <w:bottom w:val="single" w:sz="5" w:space="0" w:color="000000"/>
              <w:right w:val="single" w:sz="5" w:space="0" w:color="000000"/>
            </w:tcBorders>
          </w:tcPr>
          <w:p w14:paraId="6CDE1C14"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b/>
                <w:lang w:val="hu-HU"/>
              </w:rPr>
              <w:t>Pszichiátriai kórképek</w:t>
            </w:r>
          </w:p>
        </w:tc>
      </w:tr>
      <w:tr w:rsidR="003F0FF1" w14:paraId="71722850" w14:textId="77777777">
        <w:trPr>
          <w:trHeight w:hRule="exact" w:val="263"/>
        </w:trPr>
        <w:tc>
          <w:tcPr>
            <w:tcW w:w="2784" w:type="dxa"/>
            <w:tcBorders>
              <w:top w:val="single" w:sz="5" w:space="0" w:color="000000"/>
              <w:left w:val="single" w:sz="5" w:space="0" w:color="000000"/>
              <w:bottom w:val="single" w:sz="5" w:space="0" w:color="000000"/>
              <w:right w:val="single" w:sz="5" w:space="0" w:color="000000"/>
            </w:tcBorders>
          </w:tcPr>
          <w:p w14:paraId="257CF2F0"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Gyakori:</w:t>
            </w:r>
          </w:p>
        </w:tc>
        <w:tc>
          <w:tcPr>
            <w:tcW w:w="6997" w:type="dxa"/>
            <w:tcBorders>
              <w:top w:val="single" w:sz="5" w:space="0" w:color="000000"/>
              <w:left w:val="single" w:sz="5" w:space="0" w:color="000000"/>
              <w:bottom w:val="single" w:sz="5" w:space="0" w:color="000000"/>
              <w:right w:val="single" w:sz="5" w:space="0" w:color="000000"/>
            </w:tcBorders>
          </w:tcPr>
          <w:p w14:paraId="458098C9"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depresszió</w:t>
            </w:r>
          </w:p>
        </w:tc>
      </w:tr>
      <w:tr w:rsidR="003F0FF1" w14:paraId="60EC58C8" w14:textId="77777777">
        <w:trPr>
          <w:trHeight w:hRule="exact" w:val="264"/>
        </w:trPr>
        <w:tc>
          <w:tcPr>
            <w:tcW w:w="2784" w:type="dxa"/>
            <w:tcBorders>
              <w:top w:val="single" w:sz="5" w:space="0" w:color="000000"/>
              <w:left w:val="single" w:sz="5" w:space="0" w:color="000000"/>
              <w:bottom w:val="single" w:sz="5" w:space="0" w:color="000000"/>
              <w:right w:val="single" w:sz="5" w:space="0" w:color="000000"/>
            </w:tcBorders>
          </w:tcPr>
          <w:p w14:paraId="43818856"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Nem gyakori:</w:t>
            </w:r>
          </w:p>
        </w:tc>
        <w:tc>
          <w:tcPr>
            <w:tcW w:w="6997" w:type="dxa"/>
            <w:tcBorders>
              <w:top w:val="single" w:sz="5" w:space="0" w:color="000000"/>
              <w:left w:val="single" w:sz="5" w:space="0" w:color="000000"/>
              <w:bottom w:val="single" w:sz="5" w:space="0" w:color="000000"/>
              <w:right w:val="single" w:sz="5" w:space="0" w:color="000000"/>
            </w:tcBorders>
          </w:tcPr>
          <w:p w14:paraId="5B582E12"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depressziós hangulat</w:t>
            </w:r>
          </w:p>
        </w:tc>
      </w:tr>
      <w:tr w:rsidR="003F0FF1" w14:paraId="13F2F558" w14:textId="77777777">
        <w:trPr>
          <w:trHeight w:hRule="exact" w:val="263"/>
        </w:trPr>
        <w:tc>
          <w:tcPr>
            <w:tcW w:w="9781" w:type="dxa"/>
            <w:gridSpan w:val="2"/>
            <w:tcBorders>
              <w:top w:val="single" w:sz="5" w:space="0" w:color="000000"/>
              <w:left w:val="single" w:sz="5" w:space="0" w:color="000000"/>
              <w:bottom w:val="single" w:sz="5" w:space="0" w:color="000000"/>
              <w:right w:val="single" w:sz="5" w:space="0" w:color="000000"/>
            </w:tcBorders>
          </w:tcPr>
          <w:p w14:paraId="6616CE3D"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b/>
                <w:lang w:val="hu-HU"/>
              </w:rPr>
              <w:t>Idegrendszeri betegségek és tünetek</w:t>
            </w:r>
          </w:p>
        </w:tc>
      </w:tr>
      <w:tr w:rsidR="003F0FF1" w14:paraId="6732C9D4" w14:textId="77777777">
        <w:trPr>
          <w:trHeight w:hRule="exact" w:val="263"/>
        </w:trPr>
        <w:tc>
          <w:tcPr>
            <w:tcW w:w="2784" w:type="dxa"/>
            <w:tcBorders>
              <w:top w:val="single" w:sz="5" w:space="0" w:color="000000"/>
              <w:left w:val="single" w:sz="5" w:space="0" w:color="000000"/>
              <w:bottom w:val="single" w:sz="5" w:space="0" w:color="000000"/>
              <w:right w:val="single" w:sz="5" w:space="0" w:color="000000"/>
            </w:tcBorders>
          </w:tcPr>
          <w:p w14:paraId="6ABAFC1F"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Nagyon gyakori:</w:t>
            </w:r>
          </w:p>
        </w:tc>
        <w:tc>
          <w:tcPr>
            <w:tcW w:w="6997" w:type="dxa"/>
            <w:tcBorders>
              <w:top w:val="single" w:sz="5" w:space="0" w:color="000000"/>
              <w:left w:val="single" w:sz="5" w:space="0" w:color="000000"/>
              <w:bottom w:val="single" w:sz="5" w:space="0" w:color="000000"/>
              <w:right w:val="single" w:sz="5" w:space="0" w:color="000000"/>
            </w:tcBorders>
          </w:tcPr>
          <w:p w14:paraId="22671239"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fejfájás</w:t>
            </w:r>
          </w:p>
        </w:tc>
      </w:tr>
      <w:tr w:rsidR="003F0FF1" w14:paraId="6687282F" w14:textId="77777777">
        <w:trPr>
          <w:trHeight w:hRule="exact" w:val="611"/>
        </w:trPr>
        <w:tc>
          <w:tcPr>
            <w:tcW w:w="2784" w:type="dxa"/>
            <w:tcBorders>
              <w:top w:val="single" w:sz="5" w:space="0" w:color="000000"/>
              <w:left w:val="single" w:sz="5" w:space="0" w:color="000000"/>
              <w:bottom w:val="single" w:sz="5" w:space="0" w:color="000000"/>
              <w:right w:val="single" w:sz="5" w:space="0" w:color="000000"/>
            </w:tcBorders>
          </w:tcPr>
          <w:p w14:paraId="2275C1E7"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Gyakori:</w:t>
            </w:r>
          </w:p>
        </w:tc>
        <w:tc>
          <w:tcPr>
            <w:tcW w:w="6997" w:type="dxa"/>
            <w:tcBorders>
              <w:top w:val="single" w:sz="5" w:space="0" w:color="000000"/>
              <w:left w:val="single" w:sz="5" w:space="0" w:color="000000"/>
              <w:bottom w:val="single" w:sz="5" w:space="0" w:color="000000"/>
              <w:right w:val="single" w:sz="5" w:space="0" w:color="000000"/>
            </w:tcBorders>
          </w:tcPr>
          <w:p w14:paraId="1A9C8660" w14:textId="77777777" w:rsidR="003F0FF1" w:rsidRDefault="001156D9">
            <w:pPr>
              <w:pStyle w:val="TableParagraph"/>
              <w:rPr>
                <w:rFonts w:ascii="Times New Roman" w:hAnsi="Times New Roman" w:cs="Times New Roman"/>
                <w:lang w:val="hu-HU"/>
              </w:rPr>
            </w:pPr>
            <w:r>
              <w:rPr>
                <w:rFonts w:ascii="Times New Roman" w:hAnsi="Times New Roman" w:cs="Times New Roman"/>
                <w:lang w:val="hu-HU"/>
              </w:rPr>
              <w:t>szédülés</w:t>
            </w:r>
          </w:p>
          <w:p w14:paraId="01DBC0FC"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migrén</w:t>
            </w:r>
          </w:p>
        </w:tc>
      </w:tr>
      <w:tr w:rsidR="003F0FF1" w14:paraId="122C6EDF" w14:textId="77777777">
        <w:trPr>
          <w:trHeight w:hRule="exact" w:val="263"/>
        </w:trPr>
        <w:tc>
          <w:tcPr>
            <w:tcW w:w="2784" w:type="dxa"/>
            <w:tcBorders>
              <w:top w:val="single" w:sz="5" w:space="0" w:color="000000"/>
              <w:left w:val="single" w:sz="5" w:space="0" w:color="000000"/>
              <w:bottom w:val="single" w:sz="5" w:space="0" w:color="000000"/>
              <w:right w:val="single" w:sz="5" w:space="0" w:color="000000"/>
            </w:tcBorders>
          </w:tcPr>
          <w:p w14:paraId="6A1D8C75"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Nem gyakori:</w:t>
            </w:r>
          </w:p>
        </w:tc>
        <w:tc>
          <w:tcPr>
            <w:tcW w:w="6997" w:type="dxa"/>
            <w:tcBorders>
              <w:top w:val="single" w:sz="5" w:space="0" w:color="000000"/>
              <w:left w:val="single" w:sz="5" w:space="0" w:color="000000"/>
              <w:bottom w:val="single" w:sz="5" w:space="0" w:color="000000"/>
              <w:right w:val="single" w:sz="5" w:space="0" w:color="000000"/>
            </w:tcBorders>
          </w:tcPr>
          <w:p w14:paraId="0AA25F3D"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görcsroham</w:t>
            </w:r>
          </w:p>
        </w:tc>
      </w:tr>
      <w:tr w:rsidR="003F0FF1" w14:paraId="2AAFEF88" w14:textId="77777777">
        <w:trPr>
          <w:trHeight w:hRule="exact" w:val="263"/>
        </w:trPr>
        <w:tc>
          <w:tcPr>
            <w:tcW w:w="2784" w:type="dxa"/>
            <w:tcBorders>
              <w:top w:val="single" w:sz="5" w:space="0" w:color="000000"/>
              <w:left w:val="single" w:sz="5" w:space="0" w:color="000000"/>
              <w:bottom w:val="single" w:sz="5" w:space="0" w:color="000000"/>
              <w:right w:val="single" w:sz="5" w:space="0" w:color="000000"/>
            </w:tcBorders>
          </w:tcPr>
          <w:p w14:paraId="4DA60DF8"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Ritka:</w:t>
            </w:r>
          </w:p>
        </w:tc>
        <w:tc>
          <w:tcPr>
            <w:tcW w:w="6997" w:type="dxa"/>
            <w:tcBorders>
              <w:top w:val="single" w:sz="5" w:space="0" w:color="000000"/>
              <w:left w:val="single" w:sz="5" w:space="0" w:color="000000"/>
              <w:bottom w:val="single" w:sz="5" w:space="0" w:color="000000"/>
              <w:right w:val="single" w:sz="5" w:space="0" w:color="000000"/>
            </w:tcBorders>
          </w:tcPr>
          <w:p w14:paraId="7672BC55"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posterior reverzíbilis encephalopathia szindróma (PRES)*</w:t>
            </w:r>
          </w:p>
        </w:tc>
      </w:tr>
      <w:tr w:rsidR="003F0FF1" w14:paraId="22EACFA6" w14:textId="77777777">
        <w:trPr>
          <w:trHeight w:hRule="exact" w:val="263"/>
        </w:trPr>
        <w:tc>
          <w:tcPr>
            <w:tcW w:w="2784" w:type="dxa"/>
            <w:tcBorders>
              <w:top w:val="single" w:sz="5" w:space="0" w:color="000000"/>
              <w:left w:val="single" w:sz="5" w:space="0" w:color="000000"/>
              <w:bottom w:val="single" w:sz="5" w:space="0" w:color="000000"/>
              <w:right w:val="single" w:sz="5" w:space="0" w:color="000000"/>
            </w:tcBorders>
          </w:tcPr>
          <w:p w14:paraId="3A85088D"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Nem ismert:</w:t>
            </w:r>
          </w:p>
        </w:tc>
        <w:tc>
          <w:tcPr>
            <w:tcW w:w="6997" w:type="dxa"/>
            <w:tcBorders>
              <w:top w:val="single" w:sz="5" w:space="0" w:color="000000"/>
              <w:left w:val="single" w:sz="5" w:space="0" w:color="000000"/>
              <w:bottom w:val="single" w:sz="5" w:space="0" w:color="000000"/>
              <w:right w:val="single" w:sz="5" w:space="0" w:color="000000"/>
            </w:tcBorders>
          </w:tcPr>
          <w:p w14:paraId="1CA5E264"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a betegség súlyos exacerbációja a fingolimod leállítása után***</w:t>
            </w:r>
          </w:p>
        </w:tc>
      </w:tr>
      <w:tr w:rsidR="003F0FF1" w14:paraId="47505916" w14:textId="77777777">
        <w:trPr>
          <w:trHeight w:hRule="exact" w:val="263"/>
        </w:trPr>
        <w:tc>
          <w:tcPr>
            <w:tcW w:w="9781" w:type="dxa"/>
            <w:gridSpan w:val="2"/>
            <w:tcBorders>
              <w:top w:val="single" w:sz="5" w:space="0" w:color="000000"/>
              <w:left w:val="single" w:sz="5" w:space="0" w:color="000000"/>
              <w:bottom w:val="single" w:sz="5" w:space="0" w:color="000000"/>
              <w:right w:val="single" w:sz="5" w:space="0" w:color="000000"/>
            </w:tcBorders>
          </w:tcPr>
          <w:p w14:paraId="252CEB6C"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b/>
                <w:lang w:val="hu-HU"/>
              </w:rPr>
              <w:t>Szembetegségek és szemészeti tünetek</w:t>
            </w:r>
          </w:p>
        </w:tc>
      </w:tr>
      <w:tr w:rsidR="003F0FF1" w14:paraId="2418737F" w14:textId="77777777">
        <w:trPr>
          <w:trHeight w:hRule="exact" w:val="264"/>
        </w:trPr>
        <w:tc>
          <w:tcPr>
            <w:tcW w:w="2784" w:type="dxa"/>
            <w:tcBorders>
              <w:top w:val="single" w:sz="5" w:space="0" w:color="000000"/>
              <w:left w:val="single" w:sz="5" w:space="0" w:color="000000"/>
              <w:bottom w:val="single" w:sz="5" w:space="0" w:color="000000"/>
              <w:right w:val="single" w:sz="5" w:space="0" w:color="000000"/>
            </w:tcBorders>
          </w:tcPr>
          <w:p w14:paraId="70768C70"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Gyakori:</w:t>
            </w:r>
          </w:p>
        </w:tc>
        <w:tc>
          <w:tcPr>
            <w:tcW w:w="6997" w:type="dxa"/>
            <w:tcBorders>
              <w:top w:val="single" w:sz="5" w:space="0" w:color="000000"/>
              <w:left w:val="single" w:sz="5" w:space="0" w:color="000000"/>
              <w:bottom w:val="single" w:sz="5" w:space="0" w:color="000000"/>
              <w:right w:val="single" w:sz="5" w:space="0" w:color="000000"/>
            </w:tcBorders>
          </w:tcPr>
          <w:p w14:paraId="0EF690AA"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homályos látás</w:t>
            </w:r>
          </w:p>
        </w:tc>
      </w:tr>
      <w:tr w:rsidR="003F0FF1" w14:paraId="0831D36B" w14:textId="77777777">
        <w:trPr>
          <w:trHeight w:hRule="exact" w:val="263"/>
        </w:trPr>
        <w:tc>
          <w:tcPr>
            <w:tcW w:w="2784" w:type="dxa"/>
            <w:tcBorders>
              <w:top w:val="single" w:sz="5" w:space="0" w:color="000000"/>
              <w:left w:val="single" w:sz="5" w:space="0" w:color="000000"/>
              <w:bottom w:val="single" w:sz="5" w:space="0" w:color="000000"/>
              <w:right w:val="single" w:sz="5" w:space="0" w:color="000000"/>
            </w:tcBorders>
          </w:tcPr>
          <w:p w14:paraId="59138948"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Nem gyakori:</w:t>
            </w:r>
          </w:p>
        </w:tc>
        <w:tc>
          <w:tcPr>
            <w:tcW w:w="6997" w:type="dxa"/>
            <w:tcBorders>
              <w:top w:val="single" w:sz="5" w:space="0" w:color="000000"/>
              <w:left w:val="single" w:sz="5" w:space="0" w:color="000000"/>
              <w:bottom w:val="single" w:sz="5" w:space="0" w:color="000000"/>
              <w:right w:val="single" w:sz="5" w:space="0" w:color="000000"/>
            </w:tcBorders>
          </w:tcPr>
          <w:p w14:paraId="5D866732"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macula oedema</w:t>
            </w:r>
          </w:p>
        </w:tc>
      </w:tr>
      <w:tr w:rsidR="003F0FF1" w14:paraId="5AD9FBB7" w14:textId="77777777">
        <w:trPr>
          <w:trHeight w:hRule="exact" w:val="263"/>
        </w:trPr>
        <w:tc>
          <w:tcPr>
            <w:tcW w:w="9781" w:type="dxa"/>
            <w:gridSpan w:val="2"/>
            <w:tcBorders>
              <w:top w:val="single" w:sz="5" w:space="0" w:color="000000"/>
              <w:left w:val="single" w:sz="5" w:space="0" w:color="000000"/>
              <w:bottom w:val="single" w:sz="5" w:space="0" w:color="000000"/>
              <w:right w:val="single" w:sz="5" w:space="0" w:color="000000"/>
            </w:tcBorders>
          </w:tcPr>
          <w:p w14:paraId="7A8852B6"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b/>
                <w:lang w:val="hu-HU"/>
              </w:rPr>
              <w:t>Szívbetegségek és a szívvel kapcsolatos tünetek</w:t>
            </w:r>
          </w:p>
        </w:tc>
      </w:tr>
      <w:tr w:rsidR="003F0FF1" w14:paraId="4D6B04FC" w14:textId="77777777">
        <w:trPr>
          <w:trHeight w:hRule="exact" w:val="575"/>
        </w:trPr>
        <w:tc>
          <w:tcPr>
            <w:tcW w:w="2784" w:type="dxa"/>
            <w:tcBorders>
              <w:top w:val="single" w:sz="5" w:space="0" w:color="000000"/>
              <w:left w:val="single" w:sz="5" w:space="0" w:color="000000"/>
              <w:bottom w:val="single" w:sz="5" w:space="0" w:color="000000"/>
              <w:right w:val="single" w:sz="5" w:space="0" w:color="000000"/>
            </w:tcBorders>
          </w:tcPr>
          <w:p w14:paraId="779A6F06"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Gyakori:</w:t>
            </w:r>
          </w:p>
        </w:tc>
        <w:tc>
          <w:tcPr>
            <w:tcW w:w="6997" w:type="dxa"/>
            <w:tcBorders>
              <w:top w:val="single" w:sz="5" w:space="0" w:color="000000"/>
              <w:left w:val="single" w:sz="5" w:space="0" w:color="000000"/>
              <w:bottom w:val="single" w:sz="5" w:space="0" w:color="000000"/>
              <w:right w:val="single" w:sz="5" w:space="0" w:color="000000"/>
            </w:tcBorders>
          </w:tcPr>
          <w:p w14:paraId="7AA22752" w14:textId="77777777" w:rsidR="003F0FF1" w:rsidRDefault="001156D9">
            <w:pPr>
              <w:pStyle w:val="TableParagraph"/>
              <w:rPr>
                <w:rFonts w:ascii="Times New Roman" w:hAnsi="Times New Roman" w:cs="Times New Roman"/>
                <w:lang w:val="hu-HU"/>
              </w:rPr>
            </w:pPr>
            <w:r>
              <w:rPr>
                <w:rFonts w:ascii="Times New Roman" w:hAnsi="Times New Roman" w:cs="Times New Roman"/>
                <w:lang w:val="hu-HU"/>
              </w:rPr>
              <w:t>bradycardia</w:t>
            </w:r>
          </w:p>
          <w:p w14:paraId="39CB7597"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atrioventricularis blokk</w:t>
            </w:r>
          </w:p>
        </w:tc>
      </w:tr>
      <w:tr w:rsidR="003F0FF1" w14:paraId="52940F38" w14:textId="77777777">
        <w:trPr>
          <w:trHeight w:hRule="exact" w:val="263"/>
        </w:trPr>
        <w:tc>
          <w:tcPr>
            <w:tcW w:w="2784" w:type="dxa"/>
            <w:tcBorders>
              <w:top w:val="single" w:sz="5" w:space="0" w:color="000000"/>
              <w:left w:val="single" w:sz="5" w:space="0" w:color="000000"/>
              <w:bottom w:val="single" w:sz="5" w:space="0" w:color="000000"/>
              <w:right w:val="single" w:sz="5" w:space="0" w:color="000000"/>
            </w:tcBorders>
          </w:tcPr>
          <w:p w14:paraId="1DAB1D4D"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Nagyon ritka:</w:t>
            </w:r>
          </w:p>
        </w:tc>
        <w:tc>
          <w:tcPr>
            <w:tcW w:w="6997" w:type="dxa"/>
            <w:tcBorders>
              <w:top w:val="single" w:sz="5" w:space="0" w:color="000000"/>
              <w:left w:val="single" w:sz="5" w:space="0" w:color="000000"/>
              <w:bottom w:val="single" w:sz="5" w:space="0" w:color="000000"/>
              <w:right w:val="single" w:sz="5" w:space="0" w:color="000000"/>
            </w:tcBorders>
          </w:tcPr>
          <w:p w14:paraId="488FE013"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T-hullám-inverzió***</w:t>
            </w:r>
          </w:p>
        </w:tc>
      </w:tr>
      <w:tr w:rsidR="003F0FF1" w14:paraId="70C21931" w14:textId="77777777">
        <w:trPr>
          <w:trHeight w:hRule="exact" w:val="263"/>
        </w:trPr>
        <w:tc>
          <w:tcPr>
            <w:tcW w:w="9781" w:type="dxa"/>
            <w:gridSpan w:val="2"/>
            <w:tcBorders>
              <w:top w:val="single" w:sz="5" w:space="0" w:color="000000"/>
              <w:left w:val="single" w:sz="5" w:space="0" w:color="000000"/>
              <w:bottom w:val="single" w:sz="5" w:space="0" w:color="000000"/>
              <w:right w:val="single" w:sz="5" w:space="0" w:color="000000"/>
            </w:tcBorders>
          </w:tcPr>
          <w:p w14:paraId="1518BAC7"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b/>
                <w:lang w:val="hu-HU"/>
              </w:rPr>
              <w:t>Érbetegségek és tünetek</w:t>
            </w:r>
          </w:p>
        </w:tc>
      </w:tr>
      <w:tr w:rsidR="003F0FF1" w14:paraId="3E956E2C" w14:textId="77777777">
        <w:trPr>
          <w:trHeight w:hRule="exact" w:val="264"/>
        </w:trPr>
        <w:tc>
          <w:tcPr>
            <w:tcW w:w="2784" w:type="dxa"/>
            <w:tcBorders>
              <w:top w:val="single" w:sz="5" w:space="0" w:color="000000"/>
              <w:left w:val="single" w:sz="5" w:space="0" w:color="000000"/>
              <w:bottom w:val="single" w:sz="5" w:space="0" w:color="000000"/>
              <w:right w:val="single" w:sz="5" w:space="0" w:color="000000"/>
            </w:tcBorders>
          </w:tcPr>
          <w:p w14:paraId="614D4FC8"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Gyakori:</w:t>
            </w:r>
          </w:p>
        </w:tc>
        <w:tc>
          <w:tcPr>
            <w:tcW w:w="6997" w:type="dxa"/>
            <w:tcBorders>
              <w:top w:val="single" w:sz="5" w:space="0" w:color="000000"/>
              <w:left w:val="single" w:sz="5" w:space="0" w:color="000000"/>
              <w:bottom w:val="single" w:sz="5" w:space="0" w:color="000000"/>
              <w:right w:val="single" w:sz="5" w:space="0" w:color="000000"/>
            </w:tcBorders>
          </w:tcPr>
          <w:p w14:paraId="6DFA838B"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hypertonia</w:t>
            </w:r>
          </w:p>
        </w:tc>
      </w:tr>
      <w:tr w:rsidR="003F0FF1" w14:paraId="5A49E9CF" w14:textId="77777777">
        <w:trPr>
          <w:trHeight w:hRule="exact" w:val="263"/>
        </w:trPr>
        <w:tc>
          <w:tcPr>
            <w:tcW w:w="9781" w:type="dxa"/>
            <w:gridSpan w:val="2"/>
            <w:tcBorders>
              <w:top w:val="single" w:sz="5" w:space="0" w:color="000000"/>
              <w:left w:val="single" w:sz="5" w:space="0" w:color="000000"/>
              <w:bottom w:val="single" w:sz="5" w:space="0" w:color="000000"/>
              <w:right w:val="single" w:sz="5" w:space="0" w:color="000000"/>
            </w:tcBorders>
          </w:tcPr>
          <w:p w14:paraId="05B05F6F" w14:textId="77777777" w:rsidR="003F0FF1" w:rsidRDefault="001156D9" w:rsidP="00CE583C">
            <w:pPr>
              <w:pStyle w:val="TableParagraph"/>
              <w:keepNext/>
              <w:rPr>
                <w:rFonts w:ascii="Times New Roman" w:eastAsia="Times New Roman" w:hAnsi="Times New Roman" w:cs="Times New Roman"/>
                <w:lang w:val="hu-HU"/>
              </w:rPr>
            </w:pPr>
            <w:r>
              <w:rPr>
                <w:rFonts w:ascii="Times New Roman" w:hAnsi="Times New Roman" w:cs="Times New Roman"/>
                <w:b/>
                <w:lang w:val="hu-HU"/>
              </w:rPr>
              <w:lastRenderedPageBreak/>
              <w:t>Légzőrendszeri, mellkasi és mediastinalis betegségek és tünetek</w:t>
            </w:r>
          </w:p>
        </w:tc>
      </w:tr>
      <w:tr w:rsidR="003F0FF1" w14:paraId="04A0BDA3" w14:textId="77777777">
        <w:trPr>
          <w:trHeight w:hRule="exact" w:val="263"/>
        </w:trPr>
        <w:tc>
          <w:tcPr>
            <w:tcW w:w="2784" w:type="dxa"/>
            <w:tcBorders>
              <w:top w:val="single" w:sz="5" w:space="0" w:color="000000"/>
              <w:left w:val="single" w:sz="5" w:space="0" w:color="000000"/>
              <w:bottom w:val="single" w:sz="5" w:space="0" w:color="000000"/>
              <w:right w:val="single" w:sz="5" w:space="0" w:color="000000"/>
            </w:tcBorders>
          </w:tcPr>
          <w:p w14:paraId="609B84C9"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Nagyon gyakori:</w:t>
            </w:r>
          </w:p>
        </w:tc>
        <w:tc>
          <w:tcPr>
            <w:tcW w:w="6997" w:type="dxa"/>
            <w:tcBorders>
              <w:top w:val="single" w:sz="5" w:space="0" w:color="000000"/>
              <w:left w:val="single" w:sz="5" w:space="0" w:color="000000"/>
              <w:bottom w:val="single" w:sz="5" w:space="0" w:color="000000"/>
              <w:right w:val="single" w:sz="5" w:space="0" w:color="000000"/>
            </w:tcBorders>
          </w:tcPr>
          <w:p w14:paraId="49420403"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köhögés</w:t>
            </w:r>
          </w:p>
        </w:tc>
      </w:tr>
      <w:tr w:rsidR="003F0FF1" w14:paraId="1F172754" w14:textId="77777777">
        <w:trPr>
          <w:trHeight w:hRule="exact" w:val="263"/>
        </w:trPr>
        <w:tc>
          <w:tcPr>
            <w:tcW w:w="2784" w:type="dxa"/>
            <w:tcBorders>
              <w:top w:val="single" w:sz="5" w:space="0" w:color="000000"/>
              <w:left w:val="single" w:sz="5" w:space="0" w:color="000000"/>
              <w:bottom w:val="single" w:sz="5" w:space="0" w:color="000000"/>
              <w:right w:val="single" w:sz="5" w:space="0" w:color="000000"/>
            </w:tcBorders>
          </w:tcPr>
          <w:p w14:paraId="2597C1D3"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Gyakori:</w:t>
            </w:r>
          </w:p>
        </w:tc>
        <w:tc>
          <w:tcPr>
            <w:tcW w:w="6997" w:type="dxa"/>
            <w:tcBorders>
              <w:top w:val="single" w:sz="5" w:space="0" w:color="000000"/>
              <w:left w:val="single" w:sz="5" w:space="0" w:color="000000"/>
              <w:bottom w:val="single" w:sz="5" w:space="0" w:color="000000"/>
              <w:right w:val="single" w:sz="5" w:space="0" w:color="000000"/>
            </w:tcBorders>
          </w:tcPr>
          <w:p w14:paraId="49F38A8D"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dyspnoe</w:t>
            </w:r>
          </w:p>
        </w:tc>
      </w:tr>
      <w:tr w:rsidR="003F0FF1" w14:paraId="520DD975" w14:textId="77777777">
        <w:trPr>
          <w:trHeight w:hRule="exact" w:val="263"/>
        </w:trPr>
        <w:tc>
          <w:tcPr>
            <w:tcW w:w="9781" w:type="dxa"/>
            <w:gridSpan w:val="2"/>
            <w:tcBorders>
              <w:top w:val="single" w:sz="5" w:space="0" w:color="000000"/>
              <w:left w:val="single" w:sz="5" w:space="0" w:color="000000"/>
              <w:bottom w:val="single" w:sz="5" w:space="0" w:color="000000"/>
              <w:right w:val="single" w:sz="5" w:space="0" w:color="000000"/>
            </w:tcBorders>
          </w:tcPr>
          <w:p w14:paraId="564C8EC4"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b/>
                <w:lang w:val="hu-HU"/>
              </w:rPr>
              <w:t>Emésztőrendszeri betegségek és tünetek</w:t>
            </w:r>
          </w:p>
        </w:tc>
      </w:tr>
      <w:tr w:rsidR="003F0FF1" w14:paraId="2EB36B00" w14:textId="77777777">
        <w:trPr>
          <w:trHeight w:hRule="exact" w:val="263"/>
        </w:trPr>
        <w:tc>
          <w:tcPr>
            <w:tcW w:w="2784" w:type="dxa"/>
            <w:tcBorders>
              <w:top w:val="single" w:sz="5" w:space="0" w:color="000000"/>
              <w:left w:val="single" w:sz="5" w:space="0" w:color="000000"/>
              <w:bottom w:val="single" w:sz="5" w:space="0" w:color="000000"/>
              <w:right w:val="single" w:sz="5" w:space="0" w:color="000000"/>
            </w:tcBorders>
          </w:tcPr>
          <w:p w14:paraId="785C38B0"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Nagyon gyakori:</w:t>
            </w:r>
          </w:p>
        </w:tc>
        <w:tc>
          <w:tcPr>
            <w:tcW w:w="6997" w:type="dxa"/>
            <w:tcBorders>
              <w:top w:val="single" w:sz="5" w:space="0" w:color="000000"/>
              <w:left w:val="single" w:sz="5" w:space="0" w:color="000000"/>
              <w:bottom w:val="single" w:sz="5" w:space="0" w:color="000000"/>
              <w:right w:val="single" w:sz="5" w:space="0" w:color="000000"/>
            </w:tcBorders>
          </w:tcPr>
          <w:p w14:paraId="04F7BA51"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hasmenés</w:t>
            </w:r>
          </w:p>
        </w:tc>
      </w:tr>
      <w:tr w:rsidR="003F0FF1" w14:paraId="106085CB" w14:textId="77777777">
        <w:trPr>
          <w:trHeight w:hRule="exact" w:val="263"/>
        </w:trPr>
        <w:tc>
          <w:tcPr>
            <w:tcW w:w="2784" w:type="dxa"/>
            <w:tcBorders>
              <w:top w:val="single" w:sz="5" w:space="0" w:color="000000"/>
              <w:left w:val="single" w:sz="5" w:space="0" w:color="000000"/>
              <w:bottom w:val="single" w:sz="5" w:space="0" w:color="000000"/>
              <w:right w:val="single" w:sz="5" w:space="0" w:color="000000"/>
            </w:tcBorders>
          </w:tcPr>
          <w:p w14:paraId="341CB3F8"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Nem gyakori:</w:t>
            </w:r>
          </w:p>
        </w:tc>
        <w:tc>
          <w:tcPr>
            <w:tcW w:w="6997" w:type="dxa"/>
            <w:tcBorders>
              <w:top w:val="single" w:sz="5" w:space="0" w:color="000000"/>
              <w:left w:val="single" w:sz="5" w:space="0" w:color="000000"/>
              <w:bottom w:val="single" w:sz="5" w:space="0" w:color="000000"/>
              <w:right w:val="single" w:sz="5" w:space="0" w:color="000000"/>
            </w:tcBorders>
          </w:tcPr>
          <w:p w14:paraId="4C310A2F"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hányinger***</w:t>
            </w:r>
          </w:p>
        </w:tc>
      </w:tr>
      <w:tr w:rsidR="003F0FF1" w14:paraId="39AF083E" w14:textId="77777777">
        <w:trPr>
          <w:trHeight w:hRule="exact" w:val="264"/>
        </w:trPr>
        <w:tc>
          <w:tcPr>
            <w:tcW w:w="9781" w:type="dxa"/>
            <w:gridSpan w:val="2"/>
            <w:tcBorders>
              <w:top w:val="single" w:sz="5" w:space="0" w:color="000000"/>
              <w:left w:val="single" w:sz="5" w:space="0" w:color="000000"/>
              <w:bottom w:val="single" w:sz="5" w:space="0" w:color="000000"/>
              <w:right w:val="single" w:sz="5" w:space="0" w:color="000000"/>
            </w:tcBorders>
          </w:tcPr>
          <w:p w14:paraId="61F9729E" w14:textId="77777777" w:rsidR="003F0FF1" w:rsidRDefault="001156D9">
            <w:pPr>
              <w:pStyle w:val="TableParagraph"/>
              <w:rPr>
                <w:rFonts w:ascii="Times New Roman" w:hAnsi="Times New Roman" w:cs="Times New Roman"/>
                <w:b/>
                <w:lang w:val="hu-HU"/>
              </w:rPr>
            </w:pPr>
            <w:r>
              <w:rPr>
                <w:rFonts w:ascii="Times New Roman" w:hAnsi="Times New Roman" w:cs="Times New Roman"/>
                <w:b/>
                <w:lang w:val="hu-HU"/>
              </w:rPr>
              <w:t>Máj- és epebetegségek, illetve tünetek</w:t>
            </w:r>
          </w:p>
        </w:tc>
      </w:tr>
      <w:tr w:rsidR="003F0FF1" w14:paraId="48DAC80A" w14:textId="77777777">
        <w:trPr>
          <w:trHeight w:hRule="exact" w:val="263"/>
        </w:trPr>
        <w:tc>
          <w:tcPr>
            <w:tcW w:w="2784" w:type="dxa"/>
            <w:tcBorders>
              <w:top w:val="single" w:sz="5" w:space="0" w:color="000000"/>
              <w:left w:val="single" w:sz="5" w:space="0" w:color="000000"/>
              <w:bottom w:val="single" w:sz="5" w:space="0" w:color="000000"/>
              <w:right w:val="single" w:sz="5" w:space="0" w:color="000000"/>
            </w:tcBorders>
          </w:tcPr>
          <w:p w14:paraId="0ADBFB22"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Nem ismert:</w:t>
            </w:r>
          </w:p>
        </w:tc>
        <w:tc>
          <w:tcPr>
            <w:tcW w:w="6997" w:type="dxa"/>
            <w:tcBorders>
              <w:top w:val="single" w:sz="5" w:space="0" w:color="000000"/>
              <w:left w:val="single" w:sz="5" w:space="0" w:color="000000"/>
              <w:bottom w:val="single" w:sz="5" w:space="0" w:color="000000"/>
              <w:right w:val="single" w:sz="5" w:space="0" w:color="000000"/>
            </w:tcBorders>
          </w:tcPr>
          <w:p w14:paraId="343DFB34"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akut májelégtelenség***</w:t>
            </w:r>
          </w:p>
        </w:tc>
      </w:tr>
      <w:tr w:rsidR="003F0FF1" w14:paraId="049252C2" w14:textId="77777777">
        <w:trPr>
          <w:trHeight w:hRule="exact" w:val="264"/>
        </w:trPr>
        <w:tc>
          <w:tcPr>
            <w:tcW w:w="9781" w:type="dxa"/>
            <w:gridSpan w:val="2"/>
            <w:tcBorders>
              <w:top w:val="single" w:sz="5" w:space="0" w:color="000000"/>
              <w:left w:val="single" w:sz="5" w:space="0" w:color="000000"/>
              <w:bottom w:val="single" w:sz="5" w:space="0" w:color="000000"/>
              <w:right w:val="single" w:sz="5" w:space="0" w:color="000000"/>
            </w:tcBorders>
          </w:tcPr>
          <w:p w14:paraId="0C3912C9"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b/>
                <w:lang w:val="hu-HU"/>
              </w:rPr>
              <w:t>A bőr és a bőr alatti szövet betegségei és tünetei</w:t>
            </w:r>
          </w:p>
        </w:tc>
      </w:tr>
      <w:tr w:rsidR="003F0FF1" w14:paraId="5C762A80" w14:textId="77777777">
        <w:trPr>
          <w:trHeight w:hRule="exact" w:val="774"/>
        </w:trPr>
        <w:tc>
          <w:tcPr>
            <w:tcW w:w="2784" w:type="dxa"/>
            <w:tcBorders>
              <w:top w:val="single" w:sz="5" w:space="0" w:color="000000"/>
              <w:left w:val="single" w:sz="5" w:space="0" w:color="000000"/>
              <w:bottom w:val="single" w:sz="5" w:space="0" w:color="000000"/>
              <w:right w:val="single" w:sz="5" w:space="0" w:color="000000"/>
            </w:tcBorders>
          </w:tcPr>
          <w:p w14:paraId="7C7D969E"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Gyakori:</w:t>
            </w:r>
          </w:p>
        </w:tc>
        <w:tc>
          <w:tcPr>
            <w:tcW w:w="6997" w:type="dxa"/>
            <w:tcBorders>
              <w:top w:val="single" w:sz="5" w:space="0" w:color="000000"/>
              <w:left w:val="single" w:sz="5" w:space="0" w:color="000000"/>
              <w:bottom w:val="single" w:sz="5" w:space="0" w:color="000000"/>
              <w:right w:val="single" w:sz="5" w:space="0" w:color="000000"/>
            </w:tcBorders>
          </w:tcPr>
          <w:p w14:paraId="790829CD" w14:textId="77777777" w:rsidR="003F0FF1" w:rsidRDefault="001156D9">
            <w:pPr>
              <w:pStyle w:val="TableParagraph"/>
              <w:rPr>
                <w:rFonts w:ascii="Times New Roman" w:hAnsi="Times New Roman" w:cs="Times New Roman"/>
                <w:lang w:val="hu-HU"/>
              </w:rPr>
            </w:pPr>
            <w:r>
              <w:rPr>
                <w:rFonts w:ascii="Times New Roman" w:hAnsi="Times New Roman" w:cs="Times New Roman"/>
                <w:lang w:val="hu-HU"/>
              </w:rPr>
              <w:t>eczema</w:t>
            </w:r>
          </w:p>
          <w:p w14:paraId="493887CC" w14:textId="77777777" w:rsidR="003F0FF1" w:rsidRDefault="001156D9">
            <w:pPr>
              <w:pStyle w:val="TableParagraph"/>
              <w:rPr>
                <w:rFonts w:ascii="Times New Roman" w:hAnsi="Times New Roman" w:cs="Times New Roman"/>
                <w:lang w:val="hu-HU"/>
              </w:rPr>
            </w:pPr>
            <w:r>
              <w:rPr>
                <w:rFonts w:ascii="Times New Roman" w:hAnsi="Times New Roman" w:cs="Times New Roman"/>
                <w:lang w:val="hu-HU"/>
              </w:rPr>
              <w:t>alopecia</w:t>
            </w:r>
          </w:p>
          <w:p w14:paraId="18BE6D5C"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pruritus</w:t>
            </w:r>
          </w:p>
        </w:tc>
      </w:tr>
      <w:tr w:rsidR="003F0FF1" w14:paraId="66F44C64" w14:textId="77777777">
        <w:trPr>
          <w:trHeight w:hRule="exact" w:val="264"/>
        </w:trPr>
        <w:tc>
          <w:tcPr>
            <w:tcW w:w="9781" w:type="dxa"/>
            <w:gridSpan w:val="2"/>
            <w:tcBorders>
              <w:top w:val="single" w:sz="5" w:space="0" w:color="000000"/>
              <w:left w:val="single" w:sz="5" w:space="0" w:color="000000"/>
              <w:bottom w:val="single" w:sz="5" w:space="0" w:color="000000"/>
              <w:right w:val="single" w:sz="5" w:space="0" w:color="000000"/>
            </w:tcBorders>
          </w:tcPr>
          <w:p w14:paraId="3C4966AA"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b/>
                <w:lang w:val="hu-HU"/>
              </w:rPr>
              <w:t>A csont- és izomrendszer, valamint a kötőszövet betegségei és tünetei</w:t>
            </w:r>
          </w:p>
        </w:tc>
      </w:tr>
      <w:tr w:rsidR="003F0FF1" w14:paraId="3CF10235" w14:textId="77777777">
        <w:trPr>
          <w:trHeight w:hRule="exact" w:val="263"/>
        </w:trPr>
        <w:tc>
          <w:tcPr>
            <w:tcW w:w="2784" w:type="dxa"/>
            <w:tcBorders>
              <w:top w:val="single" w:sz="5" w:space="0" w:color="000000"/>
              <w:left w:val="single" w:sz="5" w:space="0" w:color="000000"/>
              <w:bottom w:val="single" w:sz="5" w:space="0" w:color="000000"/>
              <w:right w:val="single" w:sz="5" w:space="0" w:color="000000"/>
            </w:tcBorders>
          </w:tcPr>
          <w:p w14:paraId="452380DA"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Nagyon gyakori:</w:t>
            </w:r>
          </w:p>
        </w:tc>
        <w:tc>
          <w:tcPr>
            <w:tcW w:w="6997" w:type="dxa"/>
            <w:tcBorders>
              <w:top w:val="single" w:sz="5" w:space="0" w:color="000000"/>
              <w:left w:val="single" w:sz="5" w:space="0" w:color="000000"/>
              <w:bottom w:val="single" w:sz="5" w:space="0" w:color="000000"/>
              <w:right w:val="single" w:sz="5" w:space="0" w:color="000000"/>
            </w:tcBorders>
          </w:tcPr>
          <w:p w14:paraId="7E1313F1"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hátfájás</w:t>
            </w:r>
          </w:p>
        </w:tc>
      </w:tr>
      <w:tr w:rsidR="003F0FF1" w14:paraId="0C928CED" w14:textId="77777777">
        <w:trPr>
          <w:trHeight w:hRule="exact" w:val="553"/>
        </w:trPr>
        <w:tc>
          <w:tcPr>
            <w:tcW w:w="2784" w:type="dxa"/>
            <w:tcBorders>
              <w:top w:val="single" w:sz="5" w:space="0" w:color="000000"/>
              <w:left w:val="single" w:sz="5" w:space="0" w:color="000000"/>
              <w:bottom w:val="single" w:sz="5" w:space="0" w:color="000000"/>
              <w:right w:val="single" w:sz="5" w:space="0" w:color="000000"/>
            </w:tcBorders>
          </w:tcPr>
          <w:p w14:paraId="04EE7643"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Gyakori:</w:t>
            </w:r>
          </w:p>
        </w:tc>
        <w:tc>
          <w:tcPr>
            <w:tcW w:w="6997" w:type="dxa"/>
            <w:tcBorders>
              <w:top w:val="single" w:sz="5" w:space="0" w:color="000000"/>
              <w:left w:val="single" w:sz="5" w:space="0" w:color="000000"/>
              <w:bottom w:val="single" w:sz="5" w:space="0" w:color="000000"/>
              <w:right w:val="single" w:sz="5" w:space="0" w:color="000000"/>
            </w:tcBorders>
          </w:tcPr>
          <w:p w14:paraId="4B3B94FF" w14:textId="77777777" w:rsidR="003F0FF1" w:rsidRDefault="001156D9">
            <w:pPr>
              <w:pStyle w:val="TableParagraph"/>
              <w:rPr>
                <w:rFonts w:ascii="Times New Roman" w:hAnsi="Times New Roman" w:cs="Times New Roman"/>
                <w:lang w:val="hu-HU"/>
              </w:rPr>
            </w:pPr>
            <w:r>
              <w:rPr>
                <w:rFonts w:ascii="Times New Roman" w:hAnsi="Times New Roman" w:cs="Times New Roman"/>
                <w:lang w:val="hu-HU"/>
              </w:rPr>
              <w:t>myalgia</w:t>
            </w:r>
          </w:p>
          <w:p w14:paraId="47CFDE5E"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arthralgia</w:t>
            </w:r>
          </w:p>
        </w:tc>
      </w:tr>
      <w:tr w:rsidR="003F0FF1" w14:paraId="27230CC0" w14:textId="77777777">
        <w:trPr>
          <w:trHeight w:hRule="exact" w:val="263"/>
        </w:trPr>
        <w:tc>
          <w:tcPr>
            <w:tcW w:w="9781" w:type="dxa"/>
            <w:gridSpan w:val="2"/>
            <w:tcBorders>
              <w:top w:val="single" w:sz="5" w:space="0" w:color="000000"/>
              <w:left w:val="single" w:sz="5" w:space="0" w:color="000000"/>
              <w:bottom w:val="single" w:sz="5" w:space="0" w:color="000000"/>
              <w:right w:val="single" w:sz="5" w:space="0" w:color="000000"/>
            </w:tcBorders>
          </w:tcPr>
          <w:p w14:paraId="6D350C3A"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b/>
                <w:lang w:val="hu-HU"/>
              </w:rPr>
              <w:t>Általános tünetek, az alkalmazás helyén fellépő reakciók</w:t>
            </w:r>
          </w:p>
        </w:tc>
      </w:tr>
      <w:tr w:rsidR="003F0FF1" w14:paraId="1DD6FC8D" w14:textId="77777777">
        <w:trPr>
          <w:trHeight w:hRule="exact" w:val="263"/>
        </w:trPr>
        <w:tc>
          <w:tcPr>
            <w:tcW w:w="2784" w:type="dxa"/>
            <w:tcBorders>
              <w:top w:val="single" w:sz="5" w:space="0" w:color="000000"/>
              <w:left w:val="single" w:sz="5" w:space="0" w:color="000000"/>
              <w:bottom w:val="single" w:sz="5" w:space="0" w:color="000000"/>
              <w:right w:val="single" w:sz="5" w:space="0" w:color="000000"/>
            </w:tcBorders>
          </w:tcPr>
          <w:p w14:paraId="06ACE903"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Gyakori:</w:t>
            </w:r>
          </w:p>
        </w:tc>
        <w:tc>
          <w:tcPr>
            <w:tcW w:w="6997" w:type="dxa"/>
            <w:tcBorders>
              <w:top w:val="single" w:sz="5" w:space="0" w:color="000000"/>
              <w:left w:val="single" w:sz="5" w:space="0" w:color="000000"/>
              <w:bottom w:val="single" w:sz="5" w:space="0" w:color="000000"/>
              <w:right w:val="single" w:sz="5" w:space="0" w:color="000000"/>
            </w:tcBorders>
          </w:tcPr>
          <w:p w14:paraId="3273C19A"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gyengeség</w:t>
            </w:r>
          </w:p>
        </w:tc>
      </w:tr>
      <w:tr w:rsidR="003F0FF1" w14:paraId="2756D277" w14:textId="77777777">
        <w:trPr>
          <w:trHeight w:hRule="exact" w:val="263"/>
        </w:trPr>
        <w:tc>
          <w:tcPr>
            <w:tcW w:w="9781" w:type="dxa"/>
            <w:gridSpan w:val="2"/>
            <w:tcBorders>
              <w:top w:val="single" w:sz="5" w:space="0" w:color="000000"/>
              <w:left w:val="single" w:sz="5" w:space="0" w:color="000000"/>
              <w:bottom w:val="single" w:sz="5" w:space="0" w:color="000000"/>
              <w:right w:val="single" w:sz="5" w:space="0" w:color="000000"/>
            </w:tcBorders>
          </w:tcPr>
          <w:p w14:paraId="5BA36B43"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b/>
                <w:lang w:val="hu-HU"/>
              </w:rPr>
              <w:t>Laboratóriumi és egyéb vizsgálatok eredményei</w:t>
            </w:r>
          </w:p>
        </w:tc>
      </w:tr>
      <w:tr w:rsidR="003F0FF1" w14:paraId="3B9CC887" w14:textId="77777777">
        <w:trPr>
          <w:trHeight w:hRule="exact" w:val="516"/>
        </w:trPr>
        <w:tc>
          <w:tcPr>
            <w:tcW w:w="2784" w:type="dxa"/>
            <w:tcBorders>
              <w:top w:val="single" w:sz="5" w:space="0" w:color="000000"/>
              <w:left w:val="single" w:sz="5" w:space="0" w:color="000000"/>
              <w:bottom w:val="single" w:sz="5" w:space="0" w:color="000000"/>
              <w:right w:val="single" w:sz="5" w:space="0" w:color="000000"/>
            </w:tcBorders>
          </w:tcPr>
          <w:p w14:paraId="48D4F300"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Nagyon gyakori:</w:t>
            </w:r>
          </w:p>
        </w:tc>
        <w:tc>
          <w:tcPr>
            <w:tcW w:w="6997" w:type="dxa"/>
            <w:tcBorders>
              <w:top w:val="single" w:sz="5" w:space="0" w:color="000000"/>
              <w:left w:val="single" w:sz="5" w:space="0" w:color="000000"/>
              <w:bottom w:val="single" w:sz="5" w:space="0" w:color="000000"/>
              <w:right w:val="single" w:sz="5" w:space="0" w:color="000000"/>
            </w:tcBorders>
          </w:tcPr>
          <w:p w14:paraId="2C7B23B0"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emelkedett májenzimszintek (emelkedett GPT- [ALAT],</w:t>
            </w:r>
          </w:p>
          <w:p w14:paraId="0B14E4DE"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gamma-glutamiltranszferáz-, illetve glutamát-oxálacetát transzamináz- [GOT] szint))</w:t>
            </w:r>
          </w:p>
        </w:tc>
      </w:tr>
      <w:tr w:rsidR="003F0FF1" w14:paraId="374F731D" w14:textId="77777777">
        <w:trPr>
          <w:trHeight w:hRule="exact" w:val="559"/>
        </w:trPr>
        <w:tc>
          <w:tcPr>
            <w:tcW w:w="2784" w:type="dxa"/>
            <w:tcBorders>
              <w:top w:val="single" w:sz="5" w:space="0" w:color="000000"/>
              <w:left w:val="single" w:sz="5" w:space="0" w:color="000000"/>
              <w:bottom w:val="single" w:sz="5" w:space="0" w:color="000000"/>
              <w:right w:val="single" w:sz="5" w:space="0" w:color="000000"/>
            </w:tcBorders>
          </w:tcPr>
          <w:p w14:paraId="08C5BF82"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Gyakori:</w:t>
            </w:r>
          </w:p>
        </w:tc>
        <w:tc>
          <w:tcPr>
            <w:tcW w:w="6997" w:type="dxa"/>
            <w:tcBorders>
              <w:top w:val="single" w:sz="5" w:space="0" w:color="000000"/>
              <w:left w:val="single" w:sz="5" w:space="0" w:color="000000"/>
              <w:bottom w:val="single" w:sz="5" w:space="0" w:color="000000"/>
              <w:right w:val="single" w:sz="5" w:space="0" w:color="000000"/>
            </w:tcBorders>
          </w:tcPr>
          <w:p w14:paraId="25509740" w14:textId="77777777" w:rsidR="003F0FF1" w:rsidRDefault="001156D9">
            <w:pPr>
              <w:pStyle w:val="TableParagraph"/>
              <w:rPr>
                <w:rFonts w:ascii="Times New Roman" w:hAnsi="Times New Roman" w:cs="Times New Roman"/>
                <w:lang w:val="hu-HU"/>
              </w:rPr>
            </w:pPr>
            <w:r>
              <w:rPr>
                <w:rFonts w:ascii="Times New Roman" w:hAnsi="Times New Roman" w:cs="Times New Roman"/>
                <w:lang w:val="hu-HU"/>
              </w:rPr>
              <w:t>testtömegcsökkenés***</w:t>
            </w:r>
          </w:p>
          <w:p w14:paraId="1FC72E7F"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emelkedett triglicerid vérszint</w:t>
            </w:r>
          </w:p>
        </w:tc>
      </w:tr>
      <w:tr w:rsidR="003F0FF1" w14:paraId="3DDA5FCC" w14:textId="77777777">
        <w:trPr>
          <w:trHeight w:hRule="exact" w:val="263"/>
        </w:trPr>
        <w:tc>
          <w:tcPr>
            <w:tcW w:w="2784" w:type="dxa"/>
            <w:tcBorders>
              <w:top w:val="single" w:sz="5" w:space="0" w:color="000000"/>
              <w:left w:val="single" w:sz="5" w:space="0" w:color="000000"/>
              <w:bottom w:val="single" w:sz="5" w:space="0" w:color="000000"/>
              <w:right w:val="single" w:sz="5" w:space="0" w:color="000000"/>
            </w:tcBorders>
          </w:tcPr>
          <w:p w14:paraId="7DFFE31E"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Nem gyakori:</w:t>
            </w:r>
          </w:p>
        </w:tc>
        <w:tc>
          <w:tcPr>
            <w:tcW w:w="6997" w:type="dxa"/>
            <w:tcBorders>
              <w:top w:val="single" w:sz="5" w:space="0" w:color="000000"/>
              <w:left w:val="single" w:sz="5" w:space="0" w:color="000000"/>
              <w:bottom w:val="single" w:sz="5" w:space="0" w:color="000000"/>
              <w:right w:val="single" w:sz="5" w:space="0" w:color="000000"/>
            </w:tcBorders>
          </w:tcPr>
          <w:p w14:paraId="5CB8EFF5" w14:textId="77777777" w:rsidR="003F0FF1" w:rsidRDefault="001156D9">
            <w:pPr>
              <w:pStyle w:val="TableParagraph"/>
              <w:rPr>
                <w:rFonts w:ascii="Times New Roman" w:eastAsia="Times New Roman" w:hAnsi="Times New Roman" w:cs="Times New Roman"/>
                <w:lang w:val="hu-HU"/>
              </w:rPr>
            </w:pPr>
            <w:r>
              <w:rPr>
                <w:rFonts w:ascii="Times New Roman" w:hAnsi="Times New Roman" w:cs="Times New Roman"/>
                <w:lang w:val="hu-HU"/>
              </w:rPr>
              <w:t>csökkent neutrophil-szám</w:t>
            </w:r>
          </w:p>
        </w:tc>
      </w:tr>
      <w:tr w:rsidR="003F0FF1" w14:paraId="5F6150EA" w14:textId="77777777">
        <w:trPr>
          <w:trHeight w:hRule="exact" w:val="1388"/>
        </w:trPr>
        <w:tc>
          <w:tcPr>
            <w:tcW w:w="9781" w:type="dxa"/>
            <w:gridSpan w:val="2"/>
            <w:tcBorders>
              <w:top w:val="single" w:sz="5" w:space="0" w:color="000000"/>
              <w:left w:val="single" w:sz="5" w:space="0" w:color="000000"/>
              <w:bottom w:val="single" w:sz="5" w:space="0" w:color="000000"/>
              <w:right w:val="single" w:sz="5" w:space="0" w:color="000000"/>
            </w:tcBorders>
          </w:tcPr>
          <w:p w14:paraId="7D99EE1F" w14:textId="77777777" w:rsidR="003F0FF1" w:rsidRDefault="001156D9">
            <w:pPr>
              <w:pStyle w:val="TableParagraph"/>
              <w:ind w:left="567" w:hanging="567"/>
              <w:rPr>
                <w:rFonts w:ascii="Times New Roman" w:eastAsia="Times New Roman" w:hAnsi="Times New Roman" w:cs="Times New Roman"/>
                <w:sz w:val="18"/>
                <w:szCs w:val="18"/>
                <w:lang w:val="hu-HU"/>
              </w:rPr>
            </w:pPr>
            <w:r>
              <w:rPr>
                <w:rFonts w:ascii="Times New Roman" w:hAnsi="Times New Roman" w:cs="Times New Roman"/>
                <w:sz w:val="18"/>
                <w:szCs w:val="18"/>
                <w:lang w:val="hu-HU"/>
              </w:rPr>
              <w:t>*</w:t>
            </w:r>
            <w:r>
              <w:rPr>
                <w:rFonts w:ascii="Times New Roman" w:hAnsi="Times New Roman" w:cs="Times New Roman"/>
                <w:sz w:val="18"/>
                <w:szCs w:val="18"/>
                <w:lang w:val="hu-HU"/>
              </w:rPr>
              <w:tab/>
              <w:t>A gyakorisági kategória az összes klinikai vizsgálatban résztvevő, kb. 10 000 beteg becsült expozíciós adatán alapul.</w:t>
            </w:r>
          </w:p>
          <w:p w14:paraId="15511360" w14:textId="77777777" w:rsidR="003F0FF1" w:rsidRDefault="001156D9">
            <w:pPr>
              <w:pStyle w:val="TableParagraph"/>
              <w:ind w:left="567" w:hanging="567"/>
              <w:rPr>
                <w:rFonts w:ascii="Times New Roman" w:eastAsia="Times New Roman" w:hAnsi="Times New Roman" w:cs="Times New Roman"/>
                <w:sz w:val="18"/>
                <w:szCs w:val="18"/>
                <w:lang w:val="hu-HU"/>
              </w:rPr>
            </w:pPr>
            <w:r>
              <w:rPr>
                <w:rFonts w:ascii="Times New Roman" w:hAnsi="Times New Roman" w:cs="Times New Roman"/>
                <w:sz w:val="18"/>
                <w:szCs w:val="18"/>
                <w:lang w:val="hu-HU"/>
              </w:rPr>
              <w:t>**</w:t>
            </w:r>
            <w:r>
              <w:rPr>
                <w:rFonts w:ascii="Times New Roman" w:hAnsi="Times New Roman" w:cs="Times New Roman"/>
                <w:sz w:val="18"/>
                <w:szCs w:val="18"/>
                <w:lang w:val="hu-HU"/>
              </w:rPr>
              <w:tab/>
              <w:t>A forgalomba hozatalt követően PML-t, IRIS-t és cryptococcus fertőzéseket (köztük cryptococcus meningitis eseteit) jelentették (lásd 4.4 pont).</w:t>
            </w:r>
          </w:p>
          <w:p w14:paraId="626103F1" w14:textId="77777777" w:rsidR="003F0FF1" w:rsidRDefault="001156D9">
            <w:pPr>
              <w:pStyle w:val="TableParagraph"/>
              <w:ind w:left="567" w:hanging="567"/>
              <w:rPr>
                <w:rFonts w:ascii="Times New Roman" w:eastAsia="Times New Roman" w:hAnsi="Times New Roman" w:cs="Times New Roman"/>
                <w:sz w:val="18"/>
                <w:szCs w:val="18"/>
                <w:lang w:val="hu-HU"/>
              </w:rPr>
            </w:pPr>
            <w:r>
              <w:rPr>
                <w:rFonts w:ascii="Times New Roman" w:hAnsi="Times New Roman" w:cs="Times New Roman"/>
                <w:sz w:val="18"/>
                <w:szCs w:val="18"/>
                <w:lang w:val="hu-HU"/>
              </w:rPr>
              <w:t>***</w:t>
            </w:r>
            <w:r>
              <w:rPr>
                <w:rFonts w:ascii="Times New Roman" w:hAnsi="Times New Roman" w:cs="Times New Roman"/>
                <w:sz w:val="18"/>
                <w:szCs w:val="18"/>
                <w:lang w:val="hu-HU"/>
              </w:rPr>
              <w:tab/>
              <w:t>Spontán jelentésekből és a szakirodalomból származó, gyógyszer okozta mellékhatások</w:t>
            </w:r>
          </w:p>
          <w:p w14:paraId="3EE12BFD" w14:textId="77777777" w:rsidR="003F0FF1" w:rsidRDefault="001156D9">
            <w:pPr>
              <w:pStyle w:val="TableParagraph"/>
              <w:ind w:left="567" w:hanging="567"/>
              <w:rPr>
                <w:rFonts w:ascii="Times New Roman" w:eastAsia="Times New Roman" w:hAnsi="Times New Roman" w:cs="Times New Roman"/>
                <w:lang w:val="hu-HU"/>
              </w:rPr>
            </w:pPr>
            <w:r>
              <w:rPr>
                <w:rFonts w:ascii="Times New Roman" w:hAnsi="Times New Roman" w:cs="Times New Roman"/>
                <w:sz w:val="18"/>
                <w:szCs w:val="18"/>
                <w:lang w:val="hu-HU"/>
              </w:rPr>
              <w:t>****</w:t>
            </w:r>
            <w:r>
              <w:rPr>
                <w:rFonts w:ascii="Times New Roman" w:hAnsi="Times New Roman" w:cs="Times New Roman"/>
                <w:sz w:val="18"/>
                <w:szCs w:val="18"/>
                <w:lang w:val="hu-HU"/>
              </w:rPr>
              <w:tab/>
              <w:t>A gyakorisági kategória és a kockázatfelmérés az összes klinikai vizsgálat több mint 24 000, 0,5 mg fingolimodot kapó betegének becsült expozícióján alapul.</w:t>
            </w:r>
          </w:p>
        </w:tc>
      </w:tr>
    </w:tbl>
    <w:p w14:paraId="336A1034" w14:textId="77777777" w:rsidR="003F0FF1" w:rsidRDefault="003F0FF1">
      <w:pPr>
        <w:rPr>
          <w:rFonts w:ascii="Times New Roman" w:eastAsia="Times New Roman" w:hAnsi="Times New Roman" w:cs="Times New Roman"/>
          <w:lang w:val="hu-HU"/>
        </w:rPr>
      </w:pPr>
    </w:p>
    <w:p w14:paraId="06FC63A6" w14:textId="77777777" w:rsidR="003F0FF1" w:rsidRDefault="001156D9">
      <w:pPr>
        <w:pStyle w:val="Szvegtrzs"/>
        <w:ind w:left="0"/>
        <w:rPr>
          <w:rFonts w:cs="Times New Roman"/>
          <w:lang w:val="hu-HU"/>
        </w:rPr>
      </w:pPr>
      <w:r>
        <w:rPr>
          <w:rFonts w:cs="Times New Roman"/>
          <w:u w:val="single" w:color="000000"/>
          <w:lang w:val="hu-HU"/>
        </w:rPr>
        <w:t>Kiválasztott mellékhatások leírása</w:t>
      </w:r>
    </w:p>
    <w:p w14:paraId="1B879918" w14:textId="77777777" w:rsidR="003F0FF1" w:rsidRDefault="003F0FF1">
      <w:pPr>
        <w:rPr>
          <w:rFonts w:ascii="Times New Roman" w:eastAsia="Times New Roman" w:hAnsi="Times New Roman" w:cs="Times New Roman"/>
          <w:lang w:val="hu-HU"/>
        </w:rPr>
      </w:pPr>
    </w:p>
    <w:p w14:paraId="3C08F3A1" w14:textId="77777777" w:rsidR="003F0FF1" w:rsidRDefault="001156D9">
      <w:pPr>
        <w:rPr>
          <w:rFonts w:ascii="Times New Roman" w:eastAsia="Times New Roman" w:hAnsi="Times New Roman" w:cs="Times New Roman"/>
          <w:lang w:val="hu-HU"/>
        </w:rPr>
      </w:pPr>
      <w:r>
        <w:rPr>
          <w:rFonts w:ascii="Times New Roman" w:hAnsi="Times New Roman" w:cs="Times New Roman"/>
          <w:i/>
          <w:u w:val="single" w:color="000000"/>
          <w:lang w:val="hu-HU"/>
        </w:rPr>
        <w:t xml:space="preserve">Fertőzések </w:t>
      </w:r>
    </w:p>
    <w:p w14:paraId="3E772D06" w14:textId="77777777" w:rsidR="003F0FF1" w:rsidRDefault="001156D9">
      <w:pPr>
        <w:pStyle w:val="Szvegtrzs"/>
        <w:ind w:left="0"/>
        <w:rPr>
          <w:rFonts w:cs="Times New Roman"/>
          <w:lang w:val="hu-HU"/>
        </w:rPr>
      </w:pPr>
      <w:r>
        <w:rPr>
          <w:rFonts w:cs="Times New Roman"/>
          <w:lang w:val="hu-HU"/>
        </w:rPr>
        <w:t>A sclerosis multiplex miatt végzett klinikai vizsgálatokban a 0,5 mg-os dózis mellett a fertőzések összesített aránya (65,1%) a placebo mellett észlelthez hasonló volt. Ugyanakkor az alsó légúti fertőzések, elsősorban a bronchitis, és kisebb mértékben a herpes simplex-fertőzés, valamint a pneumonia gyakoribb volt a fingolimoddal kezelt betegeknél.</w:t>
      </w:r>
    </w:p>
    <w:p w14:paraId="7D07083B" w14:textId="77777777" w:rsidR="003F0FF1" w:rsidRDefault="003F0FF1">
      <w:pPr>
        <w:rPr>
          <w:rFonts w:ascii="Times New Roman" w:eastAsia="Times New Roman" w:hAnsi="Times New Roman" w:cs="Times New Roman"/>
          <w:lang w:val="hu-HU"/>
        </w:rPr>
      </w:pPr>
    </w:p>
    <w:p w14:paraId="11D3C376" w14:textId="77777777" w:rsidR="003F0FF1" w:rsidRDefault="001156D9">
      <w:pPr>
        <w:pStyle w:val="Szvegtrzs"/>
        <w:ind w:left="0"/>
        <w:rPr>
          <w:rFonts w:cs="Times New Roman"/>
          <w:lang w:val="hu-HU"/>
        </w:rPr>
      </w:pPr>
      <w:r>
        <w:rPr>
          <w:rFonts w:cs="Times New Roman"/>
          <w:lang w:val="hu-HU"/>
        </w:rPr>
        <w:t>Disszeminált herpes fertőzés néhány esetét, köztük végzetes kimenetelű eseteket is jelentettek, már 0,5 mg-os dózis mellett is.</w:t>
      </w:r>
    </w:p>
    <w:p w14:paraId="03FE3B72" w14:textId="77777777" w:rsidR="003F0FF1" w:rsidRDefault="003F0FF1">
      <w:pPr>
        <w:rPr>
          <w:rFonts w:ascii="Times New Roman" w:eastAsia="Times New Roman" w:hAnsi="Times New Roman" w:cs="Times New Roman"/>
          <w:lang w:val="hu-HU"/>
        </w:rPr>
      </w:pPr>
    </w:p>
    <w:p w14:paraId="4B3B3305" w14:textId="77777777" w:rsidR="003F0FF1" w:rsidRDefault="001156D9">
      <w:pPr>
        <w:pStyle w:val="Szvegtrzs"/>
        <w:ind w:left="0"/>
        <w:rPr>
          <w:rFonts w:cs="Times New Roman"/>
          <w:lang w:val="hu-HU"/>
        </w:rPr>
      </w:pPr>
      <w:r>
        <w:rPr>
          <w:rFonts w:cs="Times New Roman"/>
          <w:lang w:val="hu-HU"/>
        </w:rPr>
        <w:t>A forgalomba hozatalt követően opportunista kórokozókkal, például vírusok (pl. varicella zoster vírus [VZV], progresszív multifokális leukoencephalopathiát okozó John Cunningham vírus [JCV], herpes simplex vírus [HSV]), gombák (pl. cryptococcusok, a cryptococcalis meningitist is beleértve) vagy baktériumok (pl. atípusos mycobacterium) okozta fertőzésekről számoltak be, melyek némelyike végzetes kimenetelű volt (lásd 4.4 pont).</w:t>
      </w:r>
    </w:p>
    <w:p w14:paraId="39211FE8" w14:textId="77777777" w:rsidR="003F0FF1" w:rsidRDefault="003F0FF1">
      <w:pPr>
        <w:pStyle w:val="Szvegtrzs"/>
        <w:ind w:left="0"/>
        <w:rPr>
          <w:rFonts w:cs="Times New Roman"/>
          <w:lang w:val="hu-HU"/>
        </w:rPr>
      </w:pPr>
    </w:p>
    <w:p w14:paraId="46D1DFFF" w14:textId="77777777" w:rsidR="003F0FF1" w:rsidRDefault="001156D9">
      <w:pPr>
        <w:pStyle w:val="Szvegtrzs"/>
        <w:ind w:left="0"/>
        <w:rPr>
          <w:rFonts w:cs="Times New Roman"/>
          <w:lang w:val="hu-HU"/>
        </w:rPr>
      </w:pPr>
      <w:r>
        <w:rPr>
          <w:rFonts w:cs="Times New Roman"/>
          <w:lang w:val="hu-HU"/>
        </w:rPr>
        <w:t>A forgalomba hozatalt követően a fingolimod-kezeléssel összefüggésben humán papillomavírus (HPV) fertőzésről, ezen belül papilloma, dysplasia, szemölcsök és HPV-vel összefüggő daganatos betegségek kialakulásáról számoltak be (lásd 4.4 pont). A fingolimod immunszuppresszív tulajdonságai miatt mérlegelni kell a HPV elleni oltás beadását a fingolimod-kezelés megkezdése előtt, az oltással kapcsolatos ajánlásokat figyelembe véve. A szokásos gyakorlatnak megfelelő rákszűrés, így Papanicolau-teszt elvégzése javasolt.</w:t>
      </w:r>
    </w:p>
    <w:p w14:paraId="7C8B15DF" w14:textId="77777777" w:rsidR="003F0FF1" w:rsidRDefault="003F0FF1">
      <w:pPr>
        <w:rPr>
          <w:rFonts w:ascii="Times New Roman" w:eastAsia="Times New Roman" w:hAnsi="Times New Roman" w:cs="Times New Roman"/>
          <w:lang w:val="hu-HU"/>
        </w:rPr>
      </w:pPr>
    </w:p>
    <w:p w14:paraId="7ED2FCDA" w14:textId="77777777" w:rsidR="003F0FF1" w:rsidRDefault="001156D9" w:rsidP="00CE583C">
      <w:pPr>
        <w:keepNext/>
        <w:rPr>
          <w:rFonts w:ascii="Times New Roman" w:eastAsia="Times New Roman" w:hAnsi="Times New Roman" w:cs="Times New Roman"/>
          <w:lang w:val="hu-HU"/>
        </w:rPr>
      </w:pPr>
      <w:r>
        <w:rPr>
          <w:rFonts w:ascii="Times New Roman" w:hAnsi="Times New Roman" w:cs="Times New Roman"/>
          <w:i/>
          <w:u w:val="single" w:color="000000"/>
          <w:lang w:val="hu-HU"/>
        </w:rPr>
        <w:lastRenderedPageBreak/>
        <w:t>Macula oedema</w:t>
      </w:r>
    </w:p>
    <w:p w14:paraId="7F3B264F" w14:textId="700BF162" w:rsidR="003F0FF1" w:rsidRDefault="001156D9">
      <w:pPr>
        <w:pStyle w:val="Szvegtrzs"/>
        <w:ind w:left="0"/>
        <w:rPr>
          <w:rFonts w:cs="Times New Roman"/>
          <w:lang w:val="hu-HU"/>
        </w:rPr>
      </w:pPr>
      <w:r>
        <w:rPr>
          <w:rFonts w:cs="Times New Roman"/>
          <w:lang w:val="hu-HU"/>
        </w:rPr>
        <w:t>A sclerosis multiplex-kezeléssel végzett klinikai vizsgálatokban macula oedema a 0,5</w:t>
      </w:r>
      <w:r w:rsidR="00660B10">
        <w:rPr>
          <w:rFonts w:cs="Times New Roman"/>
          <w:lang w:val="hu-HU"/>
        </w:rPr>
        <w:t> </w:t>
      </w:r>
      <w:r>
        <w:rPr>
          <w:rFonts w:cs="Times New Roman"/>
          <w:lang w:val="hu-HU"/>
        </w:rPr>
        <w:t>mg-os javasolt dózissal kezelt betegek 0,5%-ánál, és a magasabb, 1,25 mg-os adaggal kezelt betegek 1,1%-ánál fordult elő. Az esetek többsége a kezelés első 3-4 hónapja alatt alakult ki. Néhány betegnél homályos látás vagy látásélesség-csökkenés jelentkezett, de mások tünetmentesek voltak, és a betegség rutin szemészeti vizsgálaton került diagnosztizálásra. A macula oedema a fingolimod elhagyása után rendszerint spontán javult vagy megszűnt. Az ismételt adást követő recidíva kockázatát nem állapították meg.</w:t>
      </w:r>
    </w:p>
    <w:p w14:paraId="1B39B34A" w14:textId="77777777" w:rsidR="003F0FF1" w:rsidRDefault="003F0FF1">
      <w:pPr>
        <w:rPr>
          <w:rFonts w:ascii="Times New Roman" w:eastAsia="Times New Roman" w:hAnsi="Times New Roman" w:cs="Times New Roman"/>
          <w:lang w:val="hu-HU"/>
        </w:rPr>
      </w:pPr>
    </w:p>
    <w:p w14:paraId="0F9FEAD6" w14:textId="77777777" w:rsidR="003F0FF1" w:rsidRDefault="001156D9">
      <w:pPr>
        <w:pStyle w:val="Szvegtrzs"/>
        <w:ind w:left="0"/>
        <w:rPr>
          <w:rFonts w:cs="Times New Roman"/>
          <w:lang w:val="hu-HU"/>
        </w:rPr>
      </w:pPr>
      <w:r>
        <w:rPr>
          <w:rFonts w:cs="Times New Roman"/>
          <w:lang w:val="hu-HU"/>
        </w:rPr>
        <w:t>A macula oedema előfordulási gyakorisága magasabb volt azoknál a sclerosis multiplexes betegeknél, akiknek az anamnézisében uveitis szerepel (17% azoknál, akiknek az anamnézisében szerepelt uveitis, míg 0,6% volt azoknál, akiknél nem). A fingolimodot a macula oedema fokozott kockázatával járó betegségben, a diabetes mellitusban szenvedő, sclerosis multiplexes betegeknél nem vizsgálták (lásd 4.4 pont). A veseátültetett betegekkel végzett klinikai vizsgálatokban, amelyben diabetes mellitusban szenvedő betegek is részt vettek, a 2,5 mg-os és 5 mg-os fingolimod-kezelés a macula oedema előfordulási gyakoriságának 2-szeres emelkedését okozta.</w:t>
      </w:r>
    </w:p>
    <w:p w14:paraId="0500DC20" w14:textId="77777777" w:rsidR="003F0FF1" w:rsidRDefault="003F0FF1">
      <w:pPr>
        <w:rPr>
          <w:rFonts w:ascii="Times New Roman" w:eastAsia="Times New Roman" w:hAnsi="Times New Roman" w:cs="Times New Roman"/>
          <w:lang w:val="hu-HU"/>
        </w:rPr>
      </w:pPr>
    </w:p>
    <w:p w14:paraId="0D097CF0" w14:textId="77777777" w:rsidR="003F0FF1" w:rsidRDefault="001156D9">
      <w:pPr>
        <w:rPr>
          <w:rFonts w:ascii="Times New Roman" w:eastAsia="Times New Roman" w:hAnsi="Times New Roman" w:cs="Times New Roman"/>
          <w:lang w:val="hu-HU"/>
        </w:rPr>
      </w:pPr>
      <w:r>
        <w:rPr>
          <w:rFonts w:ascii="Times New Roman" w:hAnsi="Times New Roman" w:cs="Times New Roman"/>
          <w:i/>
          <w:u w:val="single" w:color="000000"/>
          <w:lang w:val="hu-HU"/>
        </w:rPr>
        <w:t>Bradyarrhythmia</w:t>
      </w:r>
    </w:p>
    <w:p w14:paraId="400AB757" w14:textId="77777777" w:rsidR="003F0FF1" w:rsidRDefault="001156D9">
      <w:pPr>
        <w:pStyle w:val="Szvegtrzs"/>
        <w:ind w:left="0"/>
        <w:rPr>
          <w:rFonts w:cs="Times New Roman"/>
          <w:lang w:val="hu-HU"/>
        </w:rPr>
      </w:pPr>
      <w:r>
        <w:rPr>
          <w:rFonts w:cs="Times New Roman"/>
          <w:lang w:val="hu-HU"/>
        </w:rPr>
        <w:t>A kezelés elkezdése a szívfrekvencia átmeneti csökkenését eredményezi, és lassult atrioventricularis átvezetéssel is társulhat. A sclerosis multiplex miatt végzett klinikai vizsgálatokban a szívfrekvencia maximális csökkenését a kezelés megkezdését követő 6 órán belül észlelték, és a csökkenés a 0,5 mg fingolimod mellett átlagosan 12-13 szívverés volt percenként. Felnőtteknél 40 ütés per perc, gyermekeknél és serdülőknél ötven ütés per perc alatti szívfrekvenciát ritkán észleltek a 0,5 mg fingolimodot kapó betegeknél. Az átlagos szívfrekvencia a tartós adagolás mellett 1 hónapon belül visszatért a kiindulási szintre. A bradycardia rendszerint tünetmentes volt, de néhány beteg enyhe, közepesen súlyos tüneteket észlelt, köztük hypotensiót, szédülést, fáradtságot és/vagy palpitációkat, amelyek a kezelés megkezdését követő első 24 órán belül megszűntek (lásd még 4.4 és 5.1 pont).</w:t>
      </w:r>
    </w:p>
    <w:p w14:paraId="76284843" w14:textId="77777777" w:rsidR="003F0FF1" w:rsidRDefault="003F0FF1">
      <w:pPr>
        <w:rPr>
          <w:rFonts w:ascii="Times New Roman" w:eastAsia="Times New Roman" w:hAnsi="Times New Roman" w:cs="Times New Roman"/>
          <w:lang w:val="hu-HU"/>
        </w:rPr>
      </w:pPr>
    </w:p>
    <w:p w14:paraId="0269335F" w14:textId="77777777" w:rsidR="003F0FF1" w:rsidRDefault="001156D9">
      <w:pPr>
        <w:pStyle w:val="Szvegtrzs"/>
        <w:ind w:left="0"/>
        <w:rPr>
          <w:rFonts w:cs="Times New Roman"/>
          <w:lang w:val="hu-HU"/>
        </w:rPr>
      </w:pPr>
      <w:r>
        <w:rPr>
          <w:rFonts w:cs="Times New Roman"/>
          <w:lang w:val="hu-HU"/>
        </w:rPr>
        <w:t>A sclerosis multiplex klinikai vizsgálataiban a kezelés megkezdését követően elsőfokú atrioventricularis blokkot (a PR-távolság megnyúlását az EKG-n) figyeltek meg felnőtteknél, gyermekeknél és serdülőknél. A felnőttekkel végzett klinikai vizsgálatokban ezt a 0,5 mg fingolimodot kapó betegek 4,7%-ánál, az intramuscularis interferon béta-1a-t kapó betegek 2,8%-ánál, és a placebót kapó betegek 1,6%-ánál észlelték. Másodfokú atrioventricularis blokkot a 0,5 mg fingolimodot kapó felnőtt betegek kevesebb mint 0,2%-ánál mutattak ki. A forgalomba hozatalt követően a fingolimod első dózisának beadása utáni hatórás monitorozási periódus alatt átmeneti, spontán megszűnő teljes AV-blokkról szóló izolált eseteket észleltek. A betegek állapota spontán rendeződött. A klinikai vizsgálatokat és a forgalomba hozatalt követően egyaránt megfigyelt vezetési zavarok jellemző módon átmeneti jellegűek és tünetmentesek voltak, és a kezelés megkezdését követő első 24 órán belül megszűntek. Bár a legtöbb betegnek nem volt szüksége orvosi beavatkozásra, egy, 0,5 mg fingolimodot kapó beteg a tünetmentes másodfokú Mobitz I atrioventricularis blokkra izoprenalint kapott.</w:t>
      </w:r>
    </w:p>
    <w:p w14:paraId="18E46EE6" w14:textId="77777777" w:rsidR="003F0FF1" w:rsidRDefault="003F0FF1">
      <w:pPr>
        <w:rPr>
          <w:rFonts w:ascii="Times New Roman" w:eastAsia="Times New Roman" w:hAnsi="Times New Roman" w:cs="Times New Roman"/>
          <w:lang w:val="hu-HU"/>
        </w:rPr>
      </w:pPr>
    </w:p>
    <w:p w14:paraId="0E7F278E" w14:textId="77777777" w:rsidR="003F0FF1" w:rsidRDefault="001156D9">
      <w:pPr>
        <w:pStyle w:val="Szvegtrzs"/>
        <w:ind w:left="0"/>
        <w:rPr>
          <w:rFonts w:cs="Times New Roman"/>
          <w:lang w:val="hu-HU"/>
        </w:rPr>
      </w:pPr>
      <w:r>
        <w:rPr>
          <w:rFonts w:cs="Times New Roman"/>
          <w:lang w:val="hu-HU"/>
        </w:rPr>
        <w:t>A forgalomba hozatalt követően izolált, késői megjelenésű események, köztük tranziens asystolia és tisztázatlan eredetű halál fordultak elő az első dózis után 24 órán belül. Ezeknek az eseteknek a megítélését egyidejűleg alkalmazott gyógyszerek és/vagy már meglévő betegségek zavarták. Az ilyen események és a fingolimod közti összefüggés bizonytalan.</w:t>
      </w:r>
    </w:p>
    <w:p w14:paraId="3F1D2D55" w14:textId="77777777" w:rsidR="003F0FF1" w:rsidRDefault="003F0FF1">
      <w:pPr>
        <w:rPr>
          <w:rFonts w:ascii="Times New Roman" w:hAnsi="Times New Roman" w:cs="Times New Roman"/>
          <w:i/>
          <w:u w:val="single" w:color="000000"/>
          <w:lang w:val="hu-HU"/>
        </w:rPr>
      </w:pPr>
    </w:p>
    <w:p w14:paraId="5D60D8F0" w14:textId="77777777" w:rsidR="003F0FF1" w:rsidRDefault="001156D9">
      <w:pPr>
        <w:rPr>
          <w:rFonts w:ascii="Times New Roman" w:eastAsia="Times New Roman" w:hAnsi="Times New Roman" w:cs="Times New Roman"/>
          <w:lang w:val="hu-HU"/>
        </w:rPr>
      </w:pPr>
      <w:r>
        <w:rPr>
          <w:rFonts w:ascii="Times New Roman" w:hAnsi="Times New Roman" w:cs="Times New Roman"/>
          <w:i/>
          <w:u w:val="single" w:color="000000"/>
          <w:lang w:val="hu-HU"/>
        </w:rPr>
        <w:t>Vérnyomás</w:t>
      </w:r>
    </w:p>
    <w:p w14:paraId="676F5ED4" w14:textId="77777777" w:rsidR="003F0FF1" w:rsidRDefault="001156D9">
      <w:pPr>
        <w:pStyle w:val="Szvegtrzs"/>
        <w:ind w:left="0"/>
        <w:rPr>
          <w:rFonts w:cs="Times New Roman"/>
          <w:lang w:val="hu-HU"/>
        </w:rPr>
      </w:pPr>
      <w:r>
        <w:rPr>
          <w:rFonts w:cs="Times New Roman"/>
          <w:lang w:val="hu-HU"/>
        </w:rPr>
        <w:t>A sclerosis multiplex miatt végzett klinikai vizsgálatokban a 0,5 mg fingolimod-kezelés a szisztolés vérnyomás mintegy 3 Hgmm-es és a diasztolés vérnyomás megközelítőleg 1 Hgmm-es átlagos emelkedésével járt, ami mintegy 1 hónappal a kezelés megkezdését követően manifesztálódott. Ez az emelkedés a kezelés folytatásakor megmaradt. Magas vérnyomásról a 0,5 mg fingolimodot kapó betegek 6,5%-ánál és a placebót kapó betegek 3,3%-ánál számoltak be. A forgalomba hozatal után a kezelés elkezdését követő első hónapban és a kezelés első napján kialakuló hypertoniás esetekről számoltak be, ez vérnyomáscsökkentő-kezelést vagy a fingolimod abbahagyását teheti szükségessé (lásd még 4.4 pont, A vérnyomásra gyakorolt hatások).</w:t>
      </w:r>
    </w:p>
    <w:p w14:paraId="3695DD95" w14:textId="77777777" w:rsidR="003F0FF1" w:rsidRDefault="003F0FF1">
      <w:pPr>
        <w:rPr>
          <w:rFonts w:ascii="Times New Roman" w:eastAsia="Times New Roman" w:hAnsi="Times New Roman" w:cs="Times New Roman"/>
          <w:lang w:val="hu-HU"/>
        </w:rPr>
      </w:pPr>
    </w:p>
    <w:p w14:paraId="2E626C8E" w14:textId="77777777" w:rsidR="003F0FF1" w:rsidRDefault="001156D9">
      <w:pPr>
        <w:rPr>
          <w:rFonts w:ascii="Times New Roman" w:eastAsia="Times New Roman" w:hAnsi="Times New Roman" w:cs="Times New Roman"/>
          <w:lang w:val="hu-HU"/>
        </w:rPr>
      </w:pPr>
      <w:r>
        <w:rPr>
          <w:rFonts w:ascii="Times New Roman" w:hAnsi="Times New Roman" w:cs="Times New Roman"/>
          <w:i/>
          <w:u w:val="single" w:color="000000"/>
          <w:lang w:val="hu-HU"/>
        </w:rPr>
        <w:lastRenderedPageBreak/>
        <w:t>Májfunkció</w:t>
      </w:r>
    </w:p>
    <w:p w14:paraId="10EB4BBF" w14:textId="77777777" w:rsidR="003F0FF1" w:rsidRDefault="001156D9">
      <w:pPr>
        <w:pStyle w:val="Szvegtrzs"/>
        <w:ind w:left="0"/>
        <w:rPr>
          <w:rFonts w:cs="Times New Roman"/>
          <w:lang w:val="hu-HU"/>
        </w:rPr>
      </w:pPr>
      <w:r>
        <w:rPr>
          <w:rFonts w:cs="Times New Roman"/>
          <w:lang w:val="hu-HU"/>
        </w:rPr>
        <w:t>A fingolimoddal kezelt sclerosis multiplexben szenvedő felnőttek, gyermekek és serdülők esetében emelkedett májenzimszint értékeket jelentettek. A klinikai vizsgálatokban a 0,5 mg fingolimoddal kezelt felnőtt betegek 8,0%-ánál észlelték a GPT (ALAT)-szérumszint normálérték felső határának ≥ háromszorosára, és 1,8%-ánál észlelték annak ≥ ötszörösére történő emelkedését. A hepaticus transzaminázok szintjének ismételt emelkedése a kezelés újbóli elkezdésekor a betegek egy részénél ismét kialakult, ami alátámasztja a gyógyszerrel való összefüggést. Klinikai vizsgálatok során a transzaminázok szintjének emelkedése a kezelés alatt bármikor előfordult, bár a legtöbbször ez az első 12 hónapon belül történt. A GPT (ALAT)-szintek a fingolimod szedésének abbahagyását követően kb. 2 hónap elteltével normalizálódtak.</w:t>
      </w:r>
    </w:p>
    <w:p w14:paraId="2DC58ECB" w14:textId="3535A1B2" w:rsidR="003F0FF1" w:rsidRDefault="001156D9">
      <w:pPr>
        <w:pStyle w:val="Szvegtrzs"/>
        <w:ind w:left="0"/>
        <w:rPr>
          <w:rFonts w:cs="Times New Roman"/>
          <w:lang w:val="hu-HU"/>
        </w:rPr>
      </w:pPr>
      <w:r>
        <w:rPr>
          <w:rFonts w:cs="Times New Roman"/>
          <w:lang w:val="hu-HU"/>
        </w:rPr>
        <w:t>Kisszámú (az 1,25 mg-ot kapóknál n = 10, a 0,5</w:t>
      </w:r>
      <w:r w:rsidR="00660B10">
        <w:rPr>
          <w:rFonts w:cs="Times New Roman"/>
          <w:lang w:val="hu-HU"/>
        </w:rPr>
        <w:t> </w:t>
      </w:r>
      <w:r>
        <w:rPr>
          <w:rFonts w:cs="Times New Roman"/>
          <w:lang w:val="hu-HU"/>
        </w:rPr>
        <w:t>mg-ot kapóknál n = 2) olyan betegnél, akinél az GPT</w:t>
      </w:r>
      <w:r w:rsidR="00660B10">
        <w:rPr>
          <w:rFonts w:cs="Times New Roman"/>
          <w:lang w:val="hu-HU"/>
        </w:rPr>
        <w:t>-</w:t>
      </w:r>
      <w:r>
        <w:rPr>
          <w:rFonts w:cs="Times New Roman"/>
          <w:lang w:val="hu-HU"/>
        </w:rPr>
        <w:t xml:space="preserve"> (ALAT)</w:t>
      </w:r>
      <w:r w:rsidR="00660B10">
        <w:rPr>
          <w:rFonts w:cs="Times New Roman"/>
          <w:lang w:val="hu-HU"/>
        </w:rPr>
        <w:t xml:space="preserve"> </w:t>
      </w:r>
      <w:r>
        <w:rPr>
          <w:rFonts w:cs="Times New Roman"/>
          <w:lang w:val="hu-HU"/>
        </w:rPr>
        <w:t>szint normálérték felső határának ≥</w:t>
      </w:r>
      <w:r w:rsidR="00660B10">
        <w:rPr>
          <w:rFonts w:cs="Times New Roman"/>
          <w:lang w:val="hu-HU"/>
        </w:rPr>
        <w:t> </w:t>
      </w:r>
      <w:r>
        <w:rPr>
          <w:rFonts w:cs="Times New Roman"/>
          <w:lang w:val="hu-HU"/>
        </w:rPr>
        <w:t>5-szörösére történő emelkedését észlelték, és akik folytatták a kezelést, a GPT</w:t>
      </w:r>
      <w:r w:rsidR="00660B10">
        <w:rPr>
          <w:rFonts w:cs="Times New Roman"/>
          <w:lang w:val="hu-HU"/>
        </w:rPr>
        <w:t>-</w:t>
      </w:r>
      <w:r>
        <w:rPr>
          <w:rFonts w:cs="Times New Roman"/>
          <w:lang w:val="hu-HU"/>
        </w:rPr>
        <w:t xml:space="preserve"> (ALAT)</w:t>
      </w:r>
      <w:r w:rsidR="00660B10">
        <w:rPr>
          <w:rFonts w:cs="Times New Roman"/>
          <w:lang w:val="hu-HU"/>
        </w:rPr>
        <w:t xml:space="preserve"> </w:t>
      </w:r>
      <w:r>
        <w:rPr>
          <w:rFonts w:cs="Times New Roman"/>
          <w:lang w:val="hu-HU"/>
        </w:rPr>
        <w:t>szint megközelítőleg 5 hónapon belül normalizálódott (lásd még 4.4 pont, Májfunkció).</w:t>
      </w:r>
    </w:p>
    <w:p w14:paraId="0F03C243" w14:textId="77777777" w:rsidR="003F0FF1" w:rsidRDefault="003F0FF1">
      <w:pPr>
        <w:rPr>
          <w:rFonts w:ascii="Times New Roman" w:eastAsia="Times New Roman" w:hAnsi="Times New Roman" w:cs="Times New Roman"/>
          <w:lang w:val="hu-HU"/>
        </w:rPr>
      </w:pPr>
    </w:p>
    <w:p w14:paraId="1E4046E1" w14:textId="77777777" w:rsidR="003F0FF1" w:rsidRDefault="001156D9">
      <w:pPr>
        <w:rPr>
          <w:rFonts w:ascii="Times New Roman" w:eastAsia="Times New Roman" w:hAnsi="Times New Roman" w:cs="Times New Roman"/>
          <w:lang w:val="hu-HU"/>
        </w:rPr>
      </w:pPr>
      <w:r>
        <w:rPr>
          <w:rFonts w:ascii="Times New Roman" w:hAnsi="Times New Roman" w:cs="Times New Roman"/>
          <w:i/>
          <w:u w:val="single" w:color="000000"/>
          <w:lang w:val="hu-HU"/>
        </w:rPr>
        <w:t>Idegrendszeri betegségek és tünetek</w:t>
      </w:r>
    </w:p>
    <w:p w14:paraId="22EBE49B" w14:textId="5435BF16" w:rsidR="003F0FF1" w:rsidRDefault="001156D9">
      <w:pPr>
        <w:pStyle w:val="Szvegtrzs"/>
        <w:ind w:left="0"/>
        <w:rPr>
          <w:rFonts w:cs="Times New Roman"/>
          <w:lang w:val="hu-HU"/>
        </w:rPr>
      </w:pPr>
      <w:r>
        <w:rPr>
          <w:rFonts w:cs="Times New Roman"/>
          <w:lang w:val="hu-HU"/>
        </w:rPr>
        <w:t>A klinikai vizsgálatokban a magasabb fingolimod adagokkal (1,25 mg vagy 5,0</w:t>
      </w:r>
      <w:r w:rsidR="00660B10">
        <w:rPr>
          <w:rFonts w:cs="Times New Roman"/>
          <w:lang w:val="hu-HU"/>
        </w:rPr>
        <w:t> </w:t>
      </w:r>
      <w:r>
        <w:rPr>
          <w:rFonts w:cs="Times New Roman"/>
          <w:lang w:val="hu-HU"/>
        </w:rPr>
        <w:t>mg) kezelt betegeknél ritka, idegrendszert érintő események fordultak elő, közéjük tartozott az ischaemiás és haemorrhagiás stroke és az atípusos neurológiai kórképek, mint például az akut disszeminált encephalomyelitis</w:t>
      </w:r>
      <w:r w:rsidR="00660B10">
        <w:rPr>
          <w:rFonts w:cs="Times New Roman"/>
          <w:lang w:val="hu-HU"/>
        </w:rPr>
        <w:t>-</w:t>
      </w:r>
      <w:r>
        <w:rPr>
          <w:rFonts w:cs="Times New Roman"/>
          <w:lang w:val="hu-HU"/>
        </w:rPr>
        <w:t xml:space="preserve"> (ADEM) szerű események.</w:t>
      </w:r>
    </w:p>
    <w:p w14:paraId="4EADD0FF" w14:textId="77777777" w:rsidR="003F0FF1" w:rsidRDefault="003F0FF1">
      <w:pPr>
        <w:rPr>
          <w:rFonts w:ascii="Times New Roman" w:eastAsia="Times New Roman" w:hAnsi="Times New Roman" w:cs="Times New Roman"/>
          <w:lang w:val="hu-HU"/>
        </w:rPr>
      </w:pPr>
    </w:p>
    <w:p w14:paraId="7D37936F" w14:textId="77777777" w:rsidR="003F0FF1" w:rsidRDefault="001156D9">
      <w:pPr>
        <w:pStyle w:val="Szvegtrzs"/>
        <w:ind w:left="0"/>
        <w:rPr>
          <w:rFonts w:cs="Times New Roman"/>
          <w:lang w:val="hu-HU"/>
        </w:rPr>
      </w:pPr>
      <w:r>
        <w:rPr>
          <w:rFonts w:cs="Times New Roman"/>
          <w:lang w:val="hu-HU"/>
        </w:rPr>
        <w:t>Klinikai vizsgálatokban és a forgalomba hozatalt követően görcsrohamok, így status epilepticus, előfordulásáról számoltak be a fingolimod alkalmazásával összefüggésben.</w:t>
      </w:r>
    </w:p>
    <w:p w14:paraId="5820107E" w14:textId="77777777" w:rsidR="003F0FF1" w:rsidRDefault="003F0FF1">
      <w:pPr>
        <w:rPr>
          <w:rFonts w:ascii="Times New Roman" w:eastAsia="Times New Roman" w:hAnsi="Times New Roman" w:cs="Times New Roman"/>
          <w:lang w:val="hu-HU"/>
        </w:rPr>
      </w:pPr>
    </w:p>
    <w:p w14:paraId="6125A5B0" w14:textId="77777777" w:rsidR="003F0FF1" w:rsidRDefault="001156D9">
      <w:pPr>
        <w:rPr>
          <w:rFonts w:ascii="Times New Roman" w:eastAsia="Times New Roman" w:hAnsi="Times New Roman" w:cs="Times New Roman"/>
          <w:lang w:val="hu-HU"/>
        </w:rPr>
      </w:pPr>
      <w:r>
        <w:rPr>
          <w:rFonts w:ascii="Times New Roman" w:hAnsi="Times New Roman" w:cs="Times New Roman"/>
          <w:i/>
          <w:u w:val="single" w:color="000000"/>
          <w:lang w:val="hu-HU"/>
        </w:rPr>
        <w:t>Érbetegségek és tünetek</w:t>
      </w:r>
    </w:p>
    <w:p w14:paraId="7C522AB3" w14:textId="2CF09379" w:rsidR="003F0FF1" w:rsidRDefault="001156D9">
      <w:pPr>
        <w:pStyle w:val="Szvegtrzs"/>
        <w:ind w:left="0"/>
        <w:rPr>
          <w:rFonts w:cs="Times New Roman"/>
          <w:lang w:val="hu-HU"/>
        </w:rPr>
      </w:pPr>
      <w:r>
        <w:rPr>
          <w:rFonts w:cs="Times New Roman"/>
          <w:lang w:val="hu-HU"/>
        </w:rPr>
        <w:t>A nagyobb fingolimod dózisokkal (1,25</w:t>
      </w:r>
      <w:r w:rsidR="00660B10">
        <w:rPr>
          <w:rFonts w:cs="Times New Roman"/>
          <w:lang w:val="hu-HU"/>
        </w:rPr>
        <w:t> </w:t>
      </w:r>
      <w:r>
        <w:rPr>
          <w:rFonts w:cs="Times New Roman"/>
          <w:lang w:val="hu-HU"/>
        </w:rPr>
        <w:t>mg) kezelt betegeknél ritka esetben perifériás verőérszűkület alakult ki.</w:t>
      </w:r>
    </w:p>
    <w:p w14:paraId="773D0617" w14:textId="77777777" w:rsidR="003F0FF1" w:rsidRDefault="003F0FF1" w:rsidP="00CE583C">
      <w:pPr>
        <w:pStyle w:val="Szvegtrzs"/>
        <w:ind w:left="0"/>
        <w:rPr>
          <w:lang w:val="hu-HU"/>
        </w:rPr>
      </w:pPr>
    </w:p>
    <w:p w14:paraId="7B1FA44D" w14:textId="77777777" w:rsidR="003F0FF1" w:rsidRDefault="001156D9">
      <w:pPr>
        <w:rPr>
          <w:rFonts w:ascii="Times New Roman" w:eastAsia="Times New Roman" w:hAnsi="Times New Roman" w:cs="Times New Roman"/>
          <w:lang w:val="hu-HU"/>
        </w:rPr>
      </w:pPr>
      <w:r>
        <w:rPr>
          <w:rFonts w:ascii="Times New Roman" w:hAnsi="Times New Roman" w:cs="Times New Roman"/>
          <w:i/>
          <w:u w:val="single" w:color="000000"/>
          <w:lang w:val="hu-HU"/>
        </w:rPr>
        <w:t xml:space="preserve">Légzőrendszer </w:t>
      </w:r>
    </w:p>
    <w:p w14:paraId="07EF193C" w14:textId="1EAEF997" w:rsidR="003F0FF1" w:rsidRDefault="001156D9">
      <w:pPr>
        <w:pStyle w:val="Szvegtrzs"/>
        <w:ind w:left="0"/>
        <w:rPr>
          <w:rFonts w:cs="Times New Roman"/>
          <w:lang w:val="hu-HU"/>
        </w:rPr>
      </w:pPr>
      <w:r>
        <w:rPr>
          <w:rFonts w:cs="Times New Roman"/>
          <w:lang w:val="hu-HU"/>
        </w:rPr>
        <w:t>A fingolimod-kezelés mellett a forszírozott exspirációs volumen (FEV</w:t>
      </w:r>
      <w:r>
        <w:rPr>
          <w:rFonts w:cs="Times New Roman"/>
          <w:vertAlign w:val="subscript"/>
          <w:lang w:val="hu-HU"/>
        </w:rPr>
        <w:t>1</w:t>
      </w:r>
      <w:r>
        <w:rPr>
          <w:rFonts w:cs="Times New Roman"/>
          <w:lang w:val="hu-HU"/>
        </w:rPr>
        <w:t>) és a szén-monoxid-diffúziós kapacitás értékekben észlelt csekély, dózisfüggő csökkenés az első hónapban kezdődött, majd azt követően nem változott. A 24. hónapban a százalékos előrejelzett FEV</w:t>
      </w:r>
      <w:r>
        <w:rPr>
          <w:rFonts w:cs="Times New Roman"/>
          <w:vertAlign w:val="subscript"/>
          <w:lang w:val="hu-HU"/>
        </w:rPr>
        <w:t>1</w:t>
      </w:r>
      <w:r>
        <w:rPr>
          <w:rFonts w:cs="Times New Roman"/>
          <w:lang w:val="hu-HU"/>
        </w:rPr>
        <w:t>-értékben bekövetkezett, a kiindulási értékhez viszonyított csökkenés 2,7% volt a 0,5</w:t>
      </w:r>
      <w:r w:rsidR="00660B10">
        <w:rPr>
          <w:rFonts w:cs="Times New Roman"/>
          <w:lang w:val="hu-HU"/>
        </w:rPr>
        <w:t> </w:t>
      </w:r>
      <w:r>
        <w:rPr>
          <w:rFonts w:cs="Times New Roman"/>
          <w:lang w:val="hu-HU"/>
        </w:rPr>
        <w:t>mg fingolimod, és 1,2% volt a placebo esetén, és ez a különbség a kezelés abbahagyását követően eltűnt. A szén-monoxid-diffúziós kapacitás csökkenése a 24. hónapban 3,3% volt a 0,5</w:t>
      </w:r>
      <w:r w:rsidR="00660B10">
        <w:rPr>
          <w:rFonts w:cs="Times New Roman"/>
          <w:lang w:val="hu-HU"/>
        </w:rPr>
        <w:t> </w:t>
      </w:r>
      <w:r>
        <w:rPr>
          <w:rFonts w:cs="Times New Roman"/>
          <w:lang w:val="hu-HU"/>
        </w:rPr>
        <w:t xml:space="preserve">mg fingolimod, és 2,7% volt a placebo esetén </w:t>
      </w:r>
      <w:r>
        <w:rPr>
          <w:lang w:val="hu-HU"/>
        </w:rPr>
        <w:t>(lásd még 4.4 pont, Légzőrendszeri hatások)</w:t>
      </w:r>
      <w:r>
        <w:rPr>
          <w:rFonts w:cs="Times New Roman"/>
          <w:lang w:val="hu-HU"/>
        </w:rPr>
        <w:t>.</w:t>
      </w:r>
    </w:p>
    <w:p w14:paraId="7AA7BEA0" w14:textId="77777777" w:rsidR="003F0FF1" w:rsidRDefault="003F0FF1">
      <w:pPr>
        <w:rPr>
          <w:rFonts w:ascii="Times New Roman" w:eastAsia="Times New Roman" w:hAnsi="Times New Roman" w:cs="Times New Roman"/>
          <w:lang w:val="hu-HU"/>
        </w:rPr>
      </w:pPr>
    </w:p>
    <w:p w14:paraId="10490A4C" w14:textId="77777777" w:rsidR="003F0FF1" w:rsidRDefault="001156D9">
      <w:pPr>
        <w:rPr>
          <w:rFonts w:ascii="Times New Roman" w:eastAsia="Times New Roman" w:hAnsi="Times New Roman" w:cs="Times New Roman"/>
          <w:lang w:val="hu-HU"/>
        </w:rPr>
      </w:pPr>
      <w:r>
        <w:rPr>
          <w:rFonts w:ascii="Times New Roman" w:hAnsi="Times New Roman" w:cs="Times New Roman"/>
          <w:i/>
          <w:u w:val="single" w:color="000000"/>
          <w:lang w:val="hu-HU"/>
        </w:rPr>
        <w:t>Lymphomák</w:t>
      </w:r>
    </w:p>
    <w:p w14:paraId="5D1CB6FC" w14:textId="77777777" w:rsidR="003F0FF1" w:rsidRDefault="001156D9">
      <w:pPr>
        <w:pStyle w:val="Szvegtrzs"/>
        <w:ind w:left="0"/>
        <w:rPr>
          <w:rFonts w:cs="Times New Roman"/>
          <w:lang w:val="hu-HU"/>
        </w:rPr>
      </w:pPr>
      <w:r>
        <w:rPr>
          <w:rFonts w:cs="Times New Roman"/>
          <w:lang w:val="hu-HU"/>
        </w:rPr>
        <w:t xml:space="preserve">Mind a klinikai vizsgálatokban, mind a forgalomba hozatalt követően előfordultak különböző fajta lymphoma esetek, beleértve egy halálos kimenetelű Epstein-Barr vírus (EBV) pozitív, B-sejtes lymphoma esetet is. A non-Hodgkin lymphoma (B-sejtes és T-sejtes) előfordulási gyakorisága magasabb volt a klinikai vizsgálatokban, mint ahogy az az átlagpopulációban várható. A forgalomba hozatalt követően néhány T-sejtes lymphoma, így cutan T-sejtes lymphoma (mycosis fungoides) esetet is jelentettek </w:t>
      </w:r>
      <w:r>
        <w:rPr>
          <w:lang w:val="hu-HU"/>
        </w:rPr>
        <w:t>(lásd még 4.4 pont, Malignitások)</w:t>
      </w:r>
      <w:r>
        <w:rPr>
          <w:rFonts w:cs="Times New Roman"/>
          <w:lang w:val="hu-HU"/>
        </w:rPr>
        <w:t>.</w:t>
      </w:r>
    </w:p>
    <w:p w14:paraId="31A4D649" w14:textId="77777777" w:rsidR="003F0FF1" w:rsidRDefault="003F0FF1">
      <w:pPr>
        <w:rPr>
          <w:rFonts w:ascii="Times New Roman" w:hAnsi="Times New Roman" w:cs="Times New Roman"/>
          <w:i/>
          <w:u w:val="single" w:color="000000"/>
          <w:lang w:val="hu-HU"/>
        </w:rPr>
      </w:pPr>
    </w:p>
    <w:p w14:paraId="1BBD8836" w14:textId="77777777" w:rsidR="003F0FF1" w:rsidRDefault="001156D9">
      <w:pPr>
        <w:rPr>
          <w:rFonts w:ascii="Times New Roman" w:eastAsia="Times New Roman" w:hAnsi="Times New Roman" w:cs="Times New Roman"/>
          <w:lang w:val="hu-HU"/>
        </w:rPr>
      </w:pPr>
      <w:r>
        <w:rPr>
          <w:rFonts w:ascii="Times New Roman" w:hAnsi="Times New Roman" w:cs="Times New Roman"/>
          <w:i/>
          <w:u w:val="single" w:color="000000"/>
          <w:lang w:val="hu-HU"/>
        </w:rPr>
        <w:t>Haemophagocytás szindróma</w:t>
      </w:r>
    </w:p>
    <w:p w14:paraId="511F435A" w14:textId="77777777" w:rsidR="003F0FF1" w:rsidRDefault="001156D9">
      <w:pPr>
        <w:pStyle w:val="Szvegtrzs"/>
        <w:ind w:left="0"/>
        <w:rPr>
          <w:rFonts w:cs="Times New Roman"/>
          <w:lang w:val="hu-HU"/>
        </w:rPr>
      </w:pPr>
      <w:r>
        <w:rPr>
          <w:rFonts w:cs="Times New Roman"/>
          <w:lang w:val="hu-HU"/>
        </w:rPr>
        <w:t>A fingolimoddal kezelt betegeknél fertőzéssel összefüggő haemophagocytás szindróma (HPS) nagyon ritka eseteit jelentették, végzetes kimenetellel. A HPS egy ritka betegség, amit fertőzésekkel immunszuppresszióval és különböző autoimmun betegségekkel összefüggésben írtak le.</w:t>
      </w:r>
    </w:p>
    <w:p w14:paraId="3767B554" w14:textId="77777777" w:rsidR="003F0FF1" w:rsidRDefault="003F0FF1">
      <w:pPr>
        <w:rPr>
          <w:rFonts w:ascii="Times New Roman" w:eastAsia="Times New Roman" w:hAnsi="Times New Roman" w:cs="Times New Roman"/>
          <w:lang w:val="hu-HU"/>
        </w:rPr>
      </w:pPr>
    </w:p>
    <w:p w14:paraId="20A424FE" w14:textId="77777777" w:rsidR="003F0FF1" w:rsidRDefault="001156D9">
      <w:pPr>
        <w:pStyle w:val="Szvegtrzs"/>
        <w:ind w:left="0"/>
        <w:rPr>
          <w:rFonts w:cs="Times New Roman"/>
          <w:lang w:val="hu-HU"/>
        </w:rPr>
      </w:pPr>
      <w:r>
        <w:rPr>
          <w:rFonts w:cs="Times New Roman"/>
          <w:u w:val="single" w:color="000000"/>
          <w:lang w:val="hu-HU"/>
        </w:rPr>
        <w:t>Gyermekek és serdülők</w:t>
      </w:r>
    </w:p>
    <w:p w14:paraId="542BF711" w14:textId="77777777" w:rsidR="003F0FF1" w:rsidRDefault="001156D9">
      <w:pPr>
        <w:pStyle w:val="Szvegtrzs"/>
        <w:ind w:left="0"/>
        <w:rPr>
          <w:rFonts w:cs="Times New Roman"/>
          <w:lang w:val="hu-HU"/>
        </w:rPr>
      </w:pPr>
      <w:r>
        <w:rPr>
          <w:rFonts w:cs="Times New Roman"/>
          <w:lang w:val="hu-HU"/>
        </w:rPr>
        <w:t>A D2311 jelzésű, kontrollos, gyermekek és serdülők körében végzett vizsgálatban (lásd 5.1 pont) a biztonságossági profil (10 és legfeljebb 18 év közötti beteg), naponta 0,25 mg vagy 0,5 mg fingolimodot kapó gyermek és serdülőkorú betegeknél általánosan hasonló volt a felnőtt betegeknél megfigyeltekhez.</w:t>
      </w:r>
    </w:p>
    <w:p w14:paraId="35B23C5D" w14:textId="77777777" w:rsidR="003F0FF1" w:rsidRDefault="001156D9">
      <w:pPr>
        <w:pStyle w:val="Szvegtrzs"/>
        <w:ind w:left="0"/>
        <w:rPr>
          <w:rFonts w:cs="Times New Roman"/>
          <w:lang w:val="hu-HU"/>
        </w:rPr>
      </w:pPr>
      <w:r>
        <w:rPr>
          <w:rFonts w:cs="Times New Roman"/>
          <w:lang w:val="hu-HU"/>
        </w:rPr>
        <w:t>Ugyanakkor a vizsgálatban több neurológiai és pszichiátriai zavar fordult elő. A klinikai vizsgálatból származó korlátozott ismeretek miatt ebben az alcsoportban elővigyázatosság szükséges.</w:t>
      </w:r>
    </w:p>
    <w:p w14:paraId="11C298ED" w14:textId="77777777" w:rsidR="003F0FF1" w:rsidRDefault="003F0FF1">
      <w:pPr>
        <w:rPr>
          <w:rFonts w:ascii="Times New Roman" w:eastAsia="Times New Roman" w:hAnsi="Times New Roman" w:cs="Times New Roman"/>
          <w:lang w:val="hu-HU"/>
        </w:rPr>
      </w:pPr>
    </w:p>
    <w:p w14:paraId="7171671B" w14:textId="77777777" w:rsidR="003F0FF1" w:rsidRDefault="001156D9">
      <w:pPr>
        <w:pStyle w:val="Szvegtrzs"/>
        <w:ind w:left="0"/>
        <w:rPr>
          <w:rFonts w:cs="Times New Roman"/>
          <w:lang w:val="hu-HU"/>
        </w:rPr>
      </w:pPr>
      <w:r>
        <w:rPr>
          <w:rFonts w:cs="Times New Roman"/>
          <w:lang w:val="hu-HU"/>
        </w:rPr>
        <w:t>A gyermekek és serdülők körében végzett vizsgálatban görcsrohamokról számoltak be a fingolimoddal kezelt betegek 5,6%-ánál és az interferon béta-1a-val kezelt betegek 0,9%-ánál.</w:t>
      </w:r>
    </w:p>
    <w:p w14:paraId="268D5AB1" w14:textId="77777777" w:rsidR="003F0FF1" w:rsidRDefault="003F0FF1">
      <w:pPr>
        <w:rPr>
          <w:rFonts w:ascii="Times New Roman" w:eastAsia="Times New Roman" w:hAnsi="Times New Roman" w:cs="Times New Roman"/>
          <w:lang w:val="hu-HU"/>
        </w:rPr>
      </w:pPr>
    </w:p>
    <w:p w14:paraId="17DCF0B9" w14:textId="77777777" w:rsidR="003F0FF1" w:rsidRDefault="001156D9" w:rsidP="00CE583C">
      <w:pPr>
        <w:pStyle w:val="Szvegtrzs"/>
        <w:widowControl/>
        <w:ind w:left="0"/>
        <w:rPr>
          <w:rFonts w:cs="Times New Roman"/>
          <w:lang w:val="hu-HU"/>
        </w:rPr>
      </w:pPr>
      <w:r>
        <w:rPr>
          <w:rFonts w:cs="Times New Roman"/>
          <w:lang w:val="hu-HU"/>
        </w:rPr>
        <w:t>Ismert tény, hogy a sclerosis multiplex-ben szenvedő betegeknél nagyobb gyakorisággal fordul elő depresszió és szorongás. A fingolimoddal kezelt gyermekeknél és serdülőknél is beszámoltak depresszió és szorongás kialakulásáról.</w:t>
      </w:r>
    </w:p>
    <w:p w14:paraId="120BBA6F" w14:textId="77777777" w:rsidR="003F0FF1" w:rsidRDefault="003F0FF1">
      <w:pPr>
        <w:rPr>
          <w:rFonts w:ascii="Times New Roman" w:eastAsia="Times New Roman" w:hAnsi="Times New Roman" w:cs="Times New Roman"/>
          <w:lang w:val="hu-HU"/>
        </w:rPr>
      </w:pPr>
    </w:p>
    <w:p w14:paraId="66FBE3E7" w14:textId="77777777" w:rsidR="003F0FF1" w:rsidRDefault="001156D9">
      <w:pPr>
        <w:pStyle w:val="Szvegtrzs"/>
        <w:ind w:left="0"/>
        <w:rPr>
          <w:rFonts w:cs="Times New Roman"/>
          <w:lang w:val="hu-HU"/>
        </w:rPr>
      </w:pPr>
      <w:r>
        <w:rPr>
          <w:rFonts w:cs="Times New Roman"/>
          <w:lang w:val="hu-HU"/>
        </w:rPr>
        <w:t>A bilirubinszint enyhe növekedését figyelték meg a fingolimoddal kezelt gyermekeknél és serdülőknél.</w:t>
      </w:r>
    </w:p>
    <w:p w14:paraId="6862FBDE" w14:textId="77777777" w:rsidR="003F0FF1" w:rsidRDefault="003F0FF1">
      <w:pPr>
        <w:pStyle w:val="Szvegtrzs"/>
        <w:ind w:left="0"/>
        <w:rPr>
          <w:rFonts w:cs="Times New Roman"/>
          <w:u w:val="single" w:color="000000"/>
          <w:lang w:val="hu-HU"/>
        </w:rPr>
      </w:pPr>
    </w:p>
    <w:p w14:paraId="38656384" w14:textId="77777777" w:rsidR="003F0FF1" w:rsidRDefault="001156D9">
      <w:pPr>
        <w:pStyle w:val="Szvegtrzs"/>
        <w:ind w:left="0"/>
        <w:rPr>
          <w:rFonts w:cs="Times New Roman"/>
          <w:lang w:val="hu-HU"/>
        </w:rPr>
      </w:pPr>
      <w:r>
        <w:rPr>
          <w:rFonts w:cs="Times New Roman"/>
          <w:u w:val="single" w:color="000000"/>
          <w:lang w:val="hu-HU"/>
        </w:rPr>
        <w:t>Feltételezett mellékhatások bejelentése</w:t>
      </w:r>
    </w:p>
    <w:p w14:paraId="24A7A010" w14:textId="77777777" w:rsidR="003F0FF1" w:rsidRDefault="001156D9">
      <w:pPr>
        <w:pStyle w:val="Szvegtrzs"/>
        <w:ind w:left="0"/>
        <w:rPr>
          <w:rFonts w:cs="Times New Roman"/>
          <w:lang w:val="hu-HU"/>
        </w:rPr>
      </w:pPr>
      <w:r>
        <w:rPr>
          <w:rFonts w:cs="Times New Roman"/>
          <w:lang w:val="hu-HU"/>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8">
        <w:r>
          <w:rPr>
            <w:rFonts w:cs="Times New Roman"/>
            <w:color w:val="0000FF"/>
            <w:shd w:val="clear" w:color="auto" w:fill="BFBFBF" w:themeFill="background1" w:themeFillShade="BF"/>
            <w:lang w:val="hu-HU"/>
          </w:rPr>
          <w:t>V. függelékben</w:t>
        </w:r>
      </w:hyperlink>
      <w:r>
        <w:rPr>
          <w:rFonts w:cs="Times New Roman"/>
          <w:color w:val="0000FF"/>
          <w:shd w:val="clear" w:color="auto" w:fill="BFBFBF" w:themeFill="background1" w:themeFillShade="BF"/>
          <w:lang w:val="hu-HU"/>
        </w:rPr>
        <w:t xml:space="preserve"> </w:t>
      </w:r>
      <w:r>
        <w:rPr>
          <w:rFonts w:cs="Times New Roman"/>
          <w:shd w:val="clear" w:color="auto" w:fill="BFBFBF" w:themeFill="background1" w:themeFillShade="BF"/>
          <w:lang w:val="hu-HU"/>
        </w:rPr>
        <w:t>található elérhetőségek valamelyikén keresztül.</w:t>
      </w:r>
    </w:p>
    <w:p w14:paraId="4DB448DF" w14:textId="77777777" w:rsidR="003F0FF1" w:rsidRDefault="003F0FF1">
      <w:pPr>
        <w:rPr>
          <w:rFonts w:ascii="Times New Roman" w:eastAsia="Times New Roman" w:hAnsi="Times New Roman" w:cs="Times New Roman"/>
          <w:lang w:val="hu-HU"/>
        </w:rPr>
      </w:pPr>
    </w:p>
    <w:p w14:paraId="185C82A8" w14:textId="77777777" w:rsidR="003F0FF1" w:rsidRDefault="001156D9">
      <w:pPr>
        <w:pStyle w:val="Cmsor1"/>
        <w:tabs>
          <w:tab w:val="left" w:pos="567"/>
        </w:tabs>
        <w:ind w:left="0"/>
        <w:rPr>
          <w:rFonts w:cs="Times New Roman"/>
          <w:b w:val="0"/>
          <w:bCs w:val="0"/>
          <w:lang w:val="hu-HU"/>
        </w:rPr>
      </w:pPr>
      <w:r>
        <w:rPr>
          <w:rFonts w:cs="Times New Roman"/>
          <w:lang w:val="hu-HU"/>
        </w:rPr>
        <w:t>4.9</w:t>
      </w:r>
      <w:r>
        <w:rPr>
          <w:rFonts w:cs="Times New Roman"/>
          <w:lang w:val="hu-HU"/>
        </w:rPr>
        <w:tab/>
        <w:t>Túladagolás</w:t>
      </w:r>
    </w:p>
    <w:p w14:paraId="300D333C" w14:textId="77777777" w:rsidR="003F0FF1" w:rsidRDefault="003F0FF1">
      <w:pPr>
        <w:rPr>
          <w:rFonts w:ascii="Times New Roman" w:eastAsia="Times New Roman" w:hAnsi="Times New Roman" w:cs="Times New Roman"/>
          <w:b/>
          <w:bCs/>
          <w:lang w:val="hu-HU"/>
        </w:rPr>
      </w:pPr>
    </w:p>
    <w:p w14:paraId="0573543A" w14:textId="42192DFD" w:rsidR="003F0FF1" w:rsidRDefault="001156D9">
      <w:pPr>
        <w:pStyle w:val="Szvegtrzs"/>
        <w:ind w:left="0"/>
        <w:rPr>
          <w:rFonts w:cs="Times New Roman"/>
          <w:lang w:val="hu-HU"/>
        </w:rPr>
      </w:pPr>
      <w:r>
        <w:rPr>
          <w:rFonts w:cs="Times New Roman"/>
          <w:lang w:val="hu-HU"/>
        </w:rPr>
        <w:t>Egészséges felnőtt önkéntesek az ajánlott (0,5 mg-os) adag akár 80-szorosát is jól tolerálták. A 40</w:t>
      </w:r>
      <w:r w:rsidR="00660B10">
        <w:rPr>
          <w:rFonts w:cs="Times New Roman"/>
          <w:lang w:val="hu-HU"/>
        </w:rPr>
        <w:t> </w:t>
      </w:r>
      <w:r>
        <w:rPr>
          <w:rFonts w:cs="Times New Roman"/>
          <w:lang w:val="hu-HU"/>
        </w:rPr>
        <w:t>mg</w:t>
      </w:r>
      <w:r w:rsidR="00660B10">
        <w:rPr>
          <w:rFonts w:cs="Times New Roman"/>
          <w:lang w:val="hu-HU"/>
        </w:rPr>
        <w:noBreakHyphen/>
      </w:r>
      <w:r>
        <w:rPr>
          <w:rFonts w:cs="Times New Roman"/>
          <w:lang w:val="hu-HU"/>
        </w:rPr>
        <w:t>os adag mellett 6 alany közül 5 számolt be mellkasi szorító érzésről vagy diszkomfortról, ami klinikailag a kis légutak reaktivitásával volt összefüggésben.</w:t>
      </w:r>
    </w:p>
    <w:p w14:paraId="3472D6DD" w14:textId="77777777" w:rsidR="003F0FF1" w:rsidRDefault="003F0FF1">
      <w:pPr>
        <w:rPr>
          <w:rFonts w:ascii="Times New Roman" w:eastAsia="Times New Roman" w:hAnsi="Times New Roman" w:cs="Times New Roman"/>
          <w:lang w:val="hu-HU"/>
        </w:rPr>
      </w:pPr>
    </w:p>
    <w:p w14:paraId="34A9B30E" w14:textId="77777777" w:rsidR="003F0FF1" w:rsidRDefault="001156D9">
      <w:pPr>
        <w:pStyle w:val="Szvegtrzs"/>
        <w:ind w:left="0"/>
        <w:rPr>
          <w:rFonts w:cs="Times New Roman"/>
          <w:lang w:val="hu-HU"/>
        </w:rPr>
      </w:pPr>
      <w:r>
        <w:rPr>
          <w:rFonts w:cs="Times New Roman"/>
          <w:lang w:val="hu-HU"/>
        </w:rPr>
        <w:t>A fingolimod a kezelés elkezdésekor bradycardiát válthat ki. A szívfrekvencia csökkenése rendszerint az első adag után egy órán belül elkezdődik, és 6 órán belül a legkifejezettebb. A fingolimod negatív chronotrop hatása 6 órán túl is fennmarad, és a kezelés következő napjain progresszíven gyengül (a részletekért lásd 4.4 pont). Vannak lassú atrioventricularis átvezetésről szóló beszámolók, és átmeneti, spontán megszűnő, teljes AV-blokkról szóló, izolált beszámolók (lásd 4.4 és 4.8 pont).</w:t>
      </w:r>
    </w:p>
    <w:p w14:paraId="6D46E099" w14:textId="77777777" w:rsidR="003F0FF1" w:rsidRDefault="003F0FF1">
      <w:pPr>
        <w:rPr>
          <w:rFonts w:ascii="Times New Roman" w:eastAsia="Times New Roman" w:hAnsi="Times New Roman" w:cs="Times New Roman"/>
          <w:lang w:val="hu-HU"/>
        </w:rPr>
      </w:pPr>
    </w:p>
    <w:p w14:paraId="5323367B" w14:textId="5B062AE9" w:rsidR="003F0FF1" w:rsidRDefault="001156D9">
      <w:pPr>
        <w:pStyle w:val="Szvegtrzs"/>
        <w:ind w:left="0"/>
        <w:rPr>
          <w:rFonts w:cs="Times New Roman"/>
          <w:lang w:val="hu-HU"/>
        </w:rPr>
      </w:pPr>
      <w:r>
        <w:rPr>
          <w:rFonts w:cs="Times New Roman"/>
          <w:lang w:val="hu-HU"/>
        </w:rPr>
        <w:t>Ha a túladagolás a fingolimod első expozíciója, akkor fontos a betegek folyamatos (valós idejű) EKG</w:t>
      </w:r>
      <w:r w:rsidR="00660B10">
        <w:rPr>
          <w:rFonts w:cs="Times New Roman"/>
          <w:lang w:val="hu-HU"/>
        </w:rPr>
        <w:noBreakHyphen/>
      </w:r>
      <w:r>
        <w:rPr>
          <w:rFonts w:cs="Times New Roman"/>
          <w:lang w:val="hu-HU"/>
        </w:rPr>
        <w:t>val történő monitorozása, valamint a pulzusszám és a vérnyomás óránkénti mérése, legalább az első 6 óra alatt (lásd 4.4 pont).</w:t>
      </w:r>
    </w:p>
    <w:p w14:paraId="08EDF1EA" w14:textId="77777777" w:rsidR="003F0FF1" w:rsidRDefault="003F0FF1">
      <w:pPr>
        <w:rPr>
          <w:rFonts w:ascii="Times New Roman" w:eastAsia="Times New Roman" w:hAnsi="Times New Roman" w:cs="Times New Roman"/>
          <w:lang w:val="hu-HU"/>
        </w:rPr>
      </w:pPr>
    </w:p>
    <w:p w14:paraId="2B6660B2" w14:textId="77777777" w:rsidR="003F0FF1" w:rsidRDefault="001156D9">
      <w:pPr>
        <w:pStyle w:val="Szvegtrzs"/>
        <w:ind w:left="0"/>
        <w:rPr>
          <w:rFonts w:cs="Times New Roman"/>
          <w:lang w:val="hu-HU"/>
        </w:rPr>
      </w:pPr>
      <w:r>
        <w:rPr>
          <w:rFonts w:cs="Times New Roman"/>
          <w:lang w:val="hu-HU"/>
        </w:rPr>
        <w:t>Ezen kívül, ha 6 óra múlva a percenkénti szívfrekvencia &lt;</w:t>
      </w:r>
      <w:r w:rsidR="00660B10">
        <w:rPr>
          <w:rFonts w:cs="Times New Roman"/>
          <w:lang w:val="hu-HU"/>
        </w:rPr>
        <w:t> </w:t>
      </w:r>
      <w:r>
        <w:rPr>
          <w:rFonts w:cs="Times New Roman"/>
          <w:lang w:val="hu-HU"/>
        </w:rPr>
        <w:t>45 felnőtteknél, &lt;</w:t>
      </w:r>
      <w:r w:rsidR="00660B10">
        <w:rPr>
          <w:rFonts w:cs="Times New Roman"/>
          <w:lang w:val="hu-HU"/>
        </w:rPr>
        <w:t> </w:t>
      </w:r>
      <w:r>
        <w:rPr>
          <w:rFonts w:cs="Times New Roman"/>
          <w:lang w:val="hu-HU"/>
        </w:rPr>
        <w:t>55 tizenkét év feletti gyermekeknél, illetve &lt;60 tíz és tizenkét éves kor közötti gyermekeknél, vagy ha 6 órával az első dózis után az EKG másodfokú vagy magasabb fokú AV-blokkot vagy ≥ 500 ms-os QTc-távolságot mutat, akkor a monitorozást hosszabb ideig kell végezni, legalább egész éjszakán át, mindaddig, amíg ezek az eltérések meg nem szűnnek. Bármikor megjelenő harmadfokú AV-blokk szintén meghosszabbított monitorozást kell</w:t>
      </w:r>
      <w:r w:rsidR="00660B10">
        <w:rPr>
          <w:rFonts w:cs="Times New Roman"/>
          <w:lang w:val="hu-HU"/>
        </w:rPr>
        <w:t>,</w:t>
      </w:r>
      <w:r>
        <w:rPr>
          <w:rFonts w:cs="Times New Roman"/>
          <w:lang w:val="hu-HU"/>
        </w:rPr>
        <w:t xml:space="preserve"> hogy eredményezzen, beleértve az egész éjszakán át tartó monitorozást is.</w:t>
      </w:r>
    </w:p>
    <w:p w14:paraId="11985978" w14:textId="77777777" w:rsidR="003F0FF1" w:rsidRDefault="003F0FF1">
      <w:pPr>
        <w:rPr>
          <w:rFonts w:ascii="Times New Roman" w:eastAsia="Times New Roman" w:hAnsi="Times New Roman" w:cs="Times New Roman"/>
          <w:lang w:val="hu-HU"/>
        </w:rPr>
      </w:pPr>
    </w:p>
    <w:p w14:paraId="1CAD0B0A" w14:textId="77777777" w:rsidR="003F0FF1" w:rsidRDefault="001156D9">
      <w:pPr>
        <w:pStyle w:val="Szvegtrzs"/>
        <w:ind w:left="0"/>
        <w:rPr>
          <w:rFonts w:cs="Times New Roman"/>
          <w:lang w:val="hu-HU"/>
        </w:rPr>
      </w:pPr>
      <w:r>
        <w:rPr>
          <w:rFonts w:cs="Times New Roman"/>
          <w:lang w:val="hu-HU"/>
        </w:rPr>
        <w:t>Sem a dialízis, sem a plazmacsere nem távolítja el a fingolimodot a szervezetből.</w:t>
      </w:r>
    </w:p>
    <w:p w14:paraId="358D4C2F" w14:textId="77777777" w:rsidR="003F0FF1" w:rsidRDefault="003F0FF1">
      <w:pPr>
        <w:pStyle w:val="Cmsor1"/>
        <w:tabs>
          <w:tab w:val="left" w:pos="686"/>
        </w:tabs>
        <w:ind w:left="0"/>
        <w:rPr>
          <w:rFonts w:cs="Times New Roman"/>
          <w:b w:val="0"/>
          <w:bCs w:val="0"/>
          <w:lang w:val="hu-HU"/>
        </w:rPr>
      </w:pPr>
    </w:p>
    <w:p w14:paraId="08B080D8" w14:textId="77777777" w:rsidR="003F0FF1" w:rsidRDefault="003F0FF1">
      <w:pPr>
        <w:tabs>
          <w:tab w:val="left" w:pos="686"/>
        </w:tabs>
        <w:outlineLvl w:val="0"/>
        <w:rPr>
          <w:rFonts w:ascii="Times New Roman" w:eastAsia="Times New Roman" w:hAnsi="Times New Roman" w:cs="Times New Roman"/>
          <w:lang w:val="hu-HU"/>
        </w:rPr>
      </w:pPr>
    </w:p>
    <w:p w14:paraId="764B82CE" w14:textId="77777777" w:rsidR="003F0FF1" w:rsidRDefault="001156D9">
      <w:pPr>
        <w:pStyle w:val="Cmsor1"/>
        <w:numPr>
          <w:ilvl w:val="0"/>
          <w:numId w:val="28"/>
        </w:numPr>
        <w:tabs>
          <w:tab w:val="left" w:pos="567"/>
        </w:tabs>
        <w:ind w:left="0" w:firstLine="0"/>
        <w:rPr>
          <w:rFonts w:cs="Times New Roman"/>
          <w:lang w:val="hu-HU"/>
        </w:rPr>
      </w:pPr>
      <w:r>
        <w:rPr>
          <w:rFonts w:cs="Times New Roman"/>
          <w:lang w:val="hu-HU"/>
        </w:rPr>
        <w:t>FARMAKOLÓGIAI TULAJDONSÁGOK</w:t>
      </w:r>
    </w:p>
    <w:p w14:paraId="49E61CB6" w14:textId="77777777" w:rsidR="003F0FF1" w:rsidRDefault="003F0FF1">
      <w:pPr>
        <w:rPr>
          <w:rFonts w:ascii="Times New Roman" w:eastAsia="Times New Roman" w:hAnsi="Times New Roman" w:cs="Times New Roman"/>
          <w:b/>
          <w:bCs/>
          <w:lang w:val="hu-HU"/>
        </w:rPr>
      </w:pPr>
    </w:p>
    <w:p w14:paraId="1BE83FF8" w14:textId="77777777" w:rsidR="003F0FF1" w:rsidRDefault="001156D9">
      <w:pPr>
        <w:numPr>
          <w:ilvl w:val="1"/>
          <w:numId w:val="28"/>
        </w:numPr>
        <w:tabs>
          <w:tab w:val="left" w:pos="567"/>
        </w:tabs>
        <w:ind w:left="567" w:hanging="567"/>
        <w:rPr>
          <w:rFonts w:ascii="Times New Roman" w:eastAsia="Times New Roman" w:hAnsi="Times New Roman" w:cs="Times New Roman"/>
          <w:lang w:val="hu-HU"/>
        </w:rPr>
      </w:pPr>
      <w:r>
        <w:rPr>
          <w:rFonts w:ascii="Times New Roman" w:hAnsi="Times New Roman" w:cs="Times New Roman"/>
          <w:b/>
          <w:lang w:val="hu-HU"/>
        </w:rPr>
        <w:t>Farmakodinámiás tulajdonságok</w:t>
      </w:r>
    </w:p>
    <w:p w14:paraId="37EADC5E" w14:textId="77777777" w:rsidR="003F0FF1" w:rsidRDefault="003F0FF1">
      <w:pPr>
        <w:rPr>
          <w:rFonts w:ascii="Times New Roman" w:eastAsia="Times New Roman" w:hAnsi="Times New Roman" w:cs="Times New Roman"/>
          <w:b/>
          <w:bCs/>
          <w:lang w:val="hu-HU"/>
        </w:rPr>
      </w:pPr>
    </w:p>
    <w:p w14:paraId="4814E2BB" w14:textId="5D23D7F1"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Farmakoterápiás csoport: Immuns</w:t>
      </w:r>
      <w:r w:rsidR="00660B10">
        <w:rPr>
          <w:rFonts w:ascii="Times New Roman" w:eastAsia="Times New Roman" w:hAnsi="Times New Roman" w:cs="Times New Roman"/>
          <w:lang w:val="hu-HU"/>
        </w:rPr>
        <w:t>z</w:t>
      </w:r>
      <w:r>
        <w:rPr>
          <w:rFonts w:ascii="Times New Roman" w:eastAsia="Times New Roman" w:hAnsi="Times New Roman" w:cs="Times New Roman"/>
          <w:lang w:val="hu-HU"/>
        </w:rPr>
        <w:t>uppress</w:t>
      </w:r>
      <w:r w:rsidR="00660B10">
        <w:rPr>
          <w:rFonts w:ascii="Times New Roman" w:eastAsia="Times New Roman" w:hAnsi="Times New Roman" w:cs="Times New Roman"/>
          <w:lang w:val="hu-HU"/>
        </w:rPr>
        <w:t>zá</w:t>
      </w:r>
      <w:r>
        <w:rPr>
          <w:rFonts w:ascii="Times New Roman" w:eastAsia="Times New Roman" w:hAnsi="Times New Roman" w:cs="Times New Roman"/>
          <w:lang w:val="hu-HU"/>
        </w:rPr>
        <w:t xml:space="preserve">nsok, </w:t>
      </w:r>
      <w:r w:rsidR="00660B10">
        <w:rPr>
          <w:rFonts w:ascii="Times New Roman" w:eastAsia="Times New Roman" w:hAnsi="Times New Roman" w:cs="Times New Roman"/>
          <w:lang w:val="hu-HU"/>
        </w:rPr>
        <w:t>S</w:t>
      </w:r>
      <w:r w:rsidR="00660B10" w:rsidRPr="00660B10">
        <w:rPr>
          <w:rFonts w:ascii="Times New Roman" w:eastAsia="Times New Roman" w:hAnsi="Times New Roman" w:cs="Times New Roman"/>
          <w:lang w:val="hu-HU"/>
        </w:rPr>
        <w:t>zfingozin 1-foszfát</w:t>
      </w:r>
      <w:r w:rsidR="00660B10">
        <w:rPr>
          <w:rFonts w:ascii="Times New Roman" w:eastAsia="Times New Roman" w:hAnsi="Times New Roman" w:cs="Times New Roman"/>
          <w:lang w:val="hu-HU"/>
        </w:rPr>
        <w:t>-</w:t>
      </w:r>
      <w:r w:rsidR="00660B10" w:rsidRPr="00660B10" w:rsidDel="00660B10">
        <w:rPr>
          <w:rFonts w:ascii="Times New Roman" w:eastAsia="Times New Roman" w:hAnsi="Times New Roman" w:cs="Times New Roman"/>
          <w:lang w:val="hu-HU"/>
        </w:rPr>
        <w:t xml:space="preserve"> </w:t>
      </w:r>
      <w:r>
        <w:rPr>
          <w:rFonts w:ascii="Times New Roman" w:eastAsia="Times New Roman" w:hAnsi="Times New Roman" w:cs="Times New Roman"/>
          <w:lang w:val="hu-HU"/>
        </w:rPr>
        <w:t>(S1P) receptor</w:t>
      </w:r>
      <w:r w:rsidR="00660B10">
        <w:rPr>
          <w:rFonts w:ascii="Times New Roman" w:eastAsia="Times New Roman" w:hAnsi="Times New Roman" w:cs="Times New Roman"/>
          <w:lang w:val="hu-HU"/>
        </w:rPr>
        <w:t>-</w:t>
      </w:r>
      <w:r>
        <w:rPr>
          <w:rFonts w:ascii="Times New Roman" w:eastAsia="Times New Roman" w:hAnsi="Times New Roman" w:cs="Times New Roman"/>
          <w:lang w:val="hu-HU"/>
        </w:rPr>
        <w:t>modulátorok, ATC kód: L04AE01</w:t>
      </w:r>
    </w:p>
    <w:p w14:paraId="644AFEF1" w14:textId="77777777" w:rsidR="003F0FF1" w:rsidRDefault="003F0FF1">
      <w:pPr>
        <w:rPr>
          <w:rFonts w:ascii="Times New Roman" w:eastAsia="Times New Roman" w:hAnsi="Times New Roman" w:cs="Times New Roman"/>
          <w:lang w:val="hu-HU"/>
        </w:rPr>
      </w:pPr>
    </w:p>
    <w:p w14:paraId="2C2349AE" w14:textId="77777777" w:rsidR="003F0FF1" w:rsidRDefault="001156D9">
      <w:pPr>
        <w:rPr>
          <w:rFonts w:ascii="Times New Roman" w:eastAsia="Times New Roman" w:hAnsi="Times New Roman" w:cs="Times New Roman"/>
          <w:u w:val="single" w:color="000000"/>
          <w:lang w:val="hu-HU"/>
        </w:rPr>
      </w:pPr>
      <w:r>
        <w:rPr>
          <w:rFonts w:ascii="Times New Roman" w:eastAsia="Times New Roman" w:hAnsi="Times New Roman" w:cs="Times New Roman"/>
          <w:u w:val="single" w:color="000000"/>
          <w:lang w:val="hu-HU"/>
        </w:rPr>
        <w:t>Hatásmechanizmus</w:t>
      </w:r>
    </w:p>
    <w:p w14:paraId="60CE61CA" w14:textId="77777777" w:rsidR="003F0FF1" w:rsidRDefault="003F0FF1">
      <w:pPr>
        <w:rPr>
          <w:rFonts w:ascii="Times New Roman" w:eastAsia="Times New Roman" w:hAnsi="Times New Roman" w:cs="Times New Roman"/>
          <w:lang w:val="hu-HU"/>
        </w:rPr>
      </w:pPr>
    </w:p>
    <w:p w14:paraId="688A6A75" w14:textId="11D730FE"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A fingolimod egy szfingozin 1-foszfát-receptor modulátor. A fingolimod a szfingozin-kináz révén metabolizálódik aktív metabolittá, fingolimod-foszfáttá. A fingolimod-foszfát alacsony, nanomoláris koncentrációban kötődik a lymphocytákon található szfingozin 1-foszfát-receptor</w:t>
      </w:r>
      <w:r w:rsidR="00660B10">
        <w:rPr>
          <w:rFonts w:ascii="Times New Roman" w:eastAsia="Times New Roman" w:hAnsi="Times New Roman" w:cs="Times New Roman"/>
          <w:lang w:val="hu-HU"/>
        </w:rPr>
        <w:t> </w:t>
      </w:r>
      <w:r>
        <w:rPr>
          <w:rFonts w:ascii="Times New Roman" w:eastAsia="Times New Roman" w:hAnsi="Times New Roman" w:cs="Times New Roman"/>
          <w:lang w:val="hu-HU"/>
        </w:rPr>
        <w:t>1-hez (S1P</w:t>
      </w:r>
      <w:r w:rsidR="00660B10">
        <w:rPr>
          <w:rFonts w:ascii="Times New Roman" w:eastAsia="Times New Roman" w:hAnsi="Times New Roman" w:cs="Times New Roman"/>
          <w:lang w:val="hu-HU"/>
        </w:rPr>
        <w:noBreakHyphen/>
      </w:r>
      <w:r>
        <w:rPr>
          <w:rFonts w:ascii="Times New Roman" w:eastAsia="Times New Roman" w:hAnsi="Times New Roman" w:cs="Times New Roman"/>
          <w:lang w:val="hu-HU"/>
        </w:rPr>
        <w:t>receptor</w:t>
      </w:r>
      <w:r>
        <w:rPr>
          <w:rFonts w:cs="Times New Roman"/>
          <w:lang w:val="hu-HU"/>
        </w:rPr>
        <w:t> </w:t>
      </w:r>
      <w:r>
        <w:rPr>
          <w:rFonts w:ascii="Times New Roman" w:eastAsia="Times New Roman" w:hAnsi="Times New Roman" w:cs="Times New Roman"/>
          <w:lang w:val="hu-HU"/>
        </w:rPr>
        <w:t xml:space="preserve">1), és könnyen átjutva a vér-agy gáton, kötődik a központi idegrendszer idegsejtjein </w:t>
      </w:r>
      <w:r>
        <w:rPr>
          <w:rFonts w:ascii="Times New Roman" w:eastAsia="Times New Roman" w:hAnsi="Times New Roman" w:cs="Times New Roman"/>
          <w:lang w:val="hu-HU"/>
        </w:rPr>
        <w:lastRenderedPageBreak/>
        <w:t>lévő S1P-receptor</w:t>
      </w:r>
      <w:r>
        <w:rPr>
          <w:rFonts w:cs="Times New Roman"/>
          <w:lang w:val="hu-HU"/>
        </w:rPr>
        <w:t> </w:t>
      </w:r>
      <w:r>
        <w:rPr>
          <w:rFonts w:ascii="Times New Roman" w:eastAsia="Times New Roman" w:hAnsi="Times New Roman" w:cs="Times New Roman"/>
          <w:lang w:val="hu-HU"/>
        </w:rPr>
        <w:t xml:space="preserve">1-hez is. A lymphocytákon lévő S1P-receptorok funkcionális antagonistájaként hatva, a fingolimod-foszfát gátolja a lymphocytáknak azt a képességét, hogy kilépjenek a nyirokcsomókból, ami lymphocyta-depléció helyett inkább azok redisztribúcióját eredményezi. Állatkísérletek azt mutatták, hogy ez a redisztribúció csökkenti a központi idegrendszer patogén lymphocytákkal történő infiltrációját, beleértve a proinflammatórikus Th17-es sejteket is, ahol azok az idegek gyulladásában és az idegszövet károsításában vennének részt. Állatkísérletek és </w:t>
      </w:r>
      <w:r>
        <w:rPr>
          <w:rFonts w:ascii="Times New Roman" w:eastAsia="Times New Roman" w:hAnsi="Times New Roman" w:cs="Times New Roman"/>
          <w:i/>
          <w:lang w:val="hu-HU"/>
        </w:rPr>
        <w:t xml:space="preserve">in vitro </w:t>
      </w:r>
      <w:r>
        <w:rPr>
          <w:rFonts w:ascii="Times New Roman" w:eastAsia="Times New Roman" w:hAnsi="Times New Roman" w:cs="Times New Roman"/>
          <w:lang w:val="hu-HU"/>
        </w:rPr>
        <w:t>kísérletek arra utalnak, hogy a fingolimod az idegsejteken lévő S1P-receptorokra gyakorolt kölcsönhatás révén is hathat.</w:t>
      </w:r>
    </w:p>
    <w:p w14:paraId="2122EFCF" w14:textId="77777777" w:rsidR="003F0FF1" w:rsidRDefault="003F0FF1">
      <w:pPr>
        <w:rPr>
          <w:rFonts w:ascii="Times New Roman" w:eastAsia="Times New Roman" w:hAnsi="Times New Roman" w:cs="Times New Roman"/>
          <w:lang w:val="hu-HU"/>
        </w:rPr>
      </w:pPr>
    </w:p>
    <w:p w14:paraId="5456A1DA"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u w:val="single" w:color="000000"/>
          <w:lang w:val="hu-HU"/>
        </w:rPr>
        <w:t>Farmakodinámiás hatások</w:t>
      </w:r>
    </w:p>
    <w:p w14:paraId="1A8C173E" w14:textId="77777777" w:rsidR="003F0FF1" w:rsidRDefault="003F0FF1">
      <w:pPr>
        <w:rPr>
          <w:rFonts w:ascii="Times New Roman" w:eastAsia="Times New Roman" w:hAnsi="Times New Roman" w:cs="Times New Roman"/>
          <w:lang w:val="hu-HU"/>
        </w:rPr>
      </w:pPr>
    </w:p>
    <w:p w14:paraId="0B646058" w14:textId="34CBEB9D"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Az első 0,5 mg adag fingolimod után 4-6 órán belül a lymphocyta-szám a perifériás vérben a kiindulási érték kb. 75%-ára csökken. A napi adagolás folytatása mellett a lymphocyta-szám egy kéthetes időszak alatt tovább csökken, és egy megközelítőleg 500 sejt/mikroliteres minimális számot vagy a kiindulási érték kb. 30%-át éri el. A betegek 18%-a ért el legalább egy alkalommal 200</w:t>
      </w:r>
      <w:r w:rsidR="003F1EAC">
        <w:rPr>
          <w:rFonts w:ascii="Times New Roman" w:eastAsia="Times New Roman" w:hAnsi="Times New Roman" w:cs="Times New Roman"/>
          <w:lang w:val="hu-HU"/>
        </w:rPr>
        <w:t> </w:t>
      </w:r>
      <w:r>
        <w:rPr>
          <w:rFonts w:ascii="Times New Roman" w:eastAsia="Times New Roman" w:hAnsi="Times New Roman" w:cs="Times New Roman"/>
          <w:lang w:val="hu-HU"/>
        </w:rPr>
        <w:t>sejt/mikroliter alatti minimális számot. A tartós naponkénti adagolással az alacsony lymphocyta</w:t>
      </w:r>
      <w:r w:rsidR="003F1EAC">
        <w:rPr>
          <w:rFonts w:ascii="Times New Roman" w:eastAsia="Times New Roman" w:hAnsi="Times New Roman" w:cs="Times New Roman"/>
          <w:lang w:val="hu-HU"/>
        </w:rPr>
        <w:noBreakHyphen/>
      </w:r>
      <w:r>
        <w:rPr>
          <w:rFonts w:ascii="Times New Roman" w:eastAsia="Times New Roman" w:hAnsi="Times New Roman" w:cs="Times New Roman"/>
          <w:lang w:val="hu-HU"/>
        </w:rPr>
        <w:t>szám fennmarad. A T- és B-lymphocyták többsége rendszeresen áthalad a nyirokszerveken, a fingolimod elsősorban ezekre a sejtekre hat. A T-lymphocyták kb. 15-20%-a effektor memória fenotípusú, ezek fontos szerepet töltenek be a perifériás immunrendszerben (surveillance). Mivel a lymphocytáknak ez az altípusa jellemző módon nem halad át a nyirokszerven, ezért ezekre nem hat a fingolimod. A perifériás lymphocyta-szám emelkedése a fingolimod-kezelés leállítása után napokon belül nyilvánvalóvá válik, és a normális szám jellemző módon egy-két hónapon belül visszatér. A fingolimod tartós adagolása a neutrophil-szám enyhe, a kiindulási érték kb. 80%-áig tartó csökkenéséhez vezet. A fingolimod nem hat a monocytákra.</w:t>
      </w:r>
    </w:p>
    <w:p w14:paraId="24D0DA00" w14:textId="77777777" w:rsidR="003F0FF1" w:rsidRDefault="003F0FF1">
      <w:pPr>
        <w:rPr>
          <w:rFonts w:ascii="Times New Roman" w:eastAsia="Times New Roman" w:hAnsi="Times New Roman" w:cs="Times New Roman"/>
          <w:lang w:val="hu-HU"/>
        </w:rPr>
      </w:pPr>
    </w:p>
    <w:p w14:paraId="7B47F728" w14:textId="0E1ABDC8"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A fingolimod a kezelés megkezdésekor a szívfrekvencia átmeneti csökkenését és az atrioventricularis átvezetés lassulását idézi elő (lásd 4.4 és 4.8 pont). A szívfrekvencia maximális csökkenését az adagolás megkezdése utáni 6 órán belül észlelték, és a negatív chronotrop hatás 70%-a az első napon kialakult. Az adagolás folytatása mellett a szívfrekvencia egy hónapon belül visszatér a kiindulási szintre. A szívfrekvencia fingolimod által kiváltott csökkenése atropin vagy izoprenalin parenterális adagolásával visszafordítható. Az inhalált szalmeterolról is kimutatták, hogy mérsékelten pozitív chronotrop hatása van. A fingolimod-kezelés elkezdésével szaporodnak az idő előtti pitvari kontrakciók, de nem nő a pitvarfibrilláció vagy pitvari flattern, a ventricularis arrhythmiák vagy az ectopiás ütések aránya. A fingolimod-kezelés nem jár a perctérfogat csökkenésével. A fingolimod</w:t>
      </w:r>
      <w:r w:rsidR="003F1EAC">
        <w:rPr>
          <w:rFonts w:ascii="Times New Roman" w:eastAsia="Times New Roman" w:hAnsi="Times New Roman" w:cs="Times New Roman"/>
          <w:lang w:val="hu-HU"/>
        </w:rPr>
        <w:noBreakHyphen/>
      </w:r>
      <w:r>
        <w:rPr>
          <w:rFonts w:ascii="Times New Roman" w:eastAsia="Times New Roman" w:hAnsi="Times New Roman" w:cs="Times New Roman"/>
          <w:lang w:val="hu-HU"/>
        </w:rPr>
        <w:t>kezelés nem befolyásolja a szív autonóm válaszát, beleértve a szívfrekvencia diurnális változását, és a terhelésre adott választ is.</w:t>
      </w:r>
    </w:p>
    <w:p w14:paraId="12E1AC79" w14:textId="77777777" w:rsidR="003F0FF1" w:rsidRDefault="003F0FF1">
      <w:pPr>
        <w:rPr>
          <w:rFonts w:ascii="Times New Roman" w:eastAsia="Times New Roman" w:hAnsi="Times New Roman" w:cs="Times New Roman"/>
          <w:lang w:val="hu-HU"/>
        </w:rPr>
      </w:pPr>
    </w:p>
    <w:p w14:paraId="76A26A02" w14:textId="32EF49AB"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 xml:space="preserve">Az S1P4 részben hozzájárulhatott a hatáshoz, de nem ez volt a lymphoid deplécióért felelős fő receptor. A bradycardia és a vasoconstrictio kialakulásának mechanizmusát </w:t>
      </w:r>
      <w:r>
        <w:rPr>
          <w:rFonts w:ascii="Times New Roman" w:eastAsia="Times New Roman" w:hAnsi="Times New Roman" w:cs="Times New Roman"/>
          <w:i/>
          <w:lang w:val="hu-HU"/>
        </w:rPr>
        <w:t xml:space="preserve">in vitro </w:t>
      </w:r>
      <w:r>
        <w:rPr>
          <w:rFonts w:ascii="Times New Roman" w:eastAsia="Times New Roman" w:hAnsi="Times New Roman" w:cs="Times New Roman"/>
          <w:lang w:val="hu-HU"/>
        </w:rPr>
        <w:t>vizsgálatokban is értékelték tengerimalacokon, valamint nyúl aorta- és koszorúér-izolátumokon. Azt a következtetést vonták le, hogy a bradycardia elsősorban a befelé irányuló (ún. inward-rectifying) káliumcsatorna vagy G-protein által aktivált befelé irányuló K</w:t>
      </w:r>
      <w:r>
        <w:rPr>
          <w:rFonts w:ascii="Times New Roman" w:eastAsia="Times New Roman" w:hAnsi="Times New Roman" w:cs="Times New Roman"/>
          <w:vertAlign w:val="superscript"/>
          <w:lang w:val="hu-HU"/>
        </w:rPr>
        <w:t>+</w:t>
      </w:r>
      <w:r w:rsidR="003F1EAC" w:rsidRPr="00CE583C">
        <w:rPr>
          <w:rFonts w:ascii="Times New Roman" w:eastAsia="Times New Roman" w:hAnsi="Times New Roman" w:cs="Times New Roman"/>
          <w:lang w:val="hu-HU"/>
        </w:rPr>
        <w:noBreakHyphen/>
      </w:r>
      <w:r>
        <w:rPr>
          <w:rFonts w:ascii="Times New Roman" w:eastAsia="Times New Roman" w:hAnsi="Times New Roman" w:cs="Times New Roman"/>
          <w:lang w:val="hu-HU"/>
        </w:rPr>
        <w:t>csatorna (IKACh/GIRK) aktiválódása következtében alakul ki, a vasoconstrictiót pedig úgy tűnik, hogy egy Rho-kináz és kalciumfüggő mechanizmus mediálja.</w:t>
      </w:r>
    </w:p>
    <w:p w14:paraId="4FC9B694" w14:textId="77777777" w:rsidR="003F0FF1" w:rsidRDefault="003F0FF1">
      <w:pPr>
        <w:rPr>
          <w:rFonts w:ascii="Times New Roman" w:eastAsia="Times New Roman" w:hAnsi="Times New Roman" w:cs="Times New Roman"/>
          <w:lang w:val="hu-HU"/>
        </w:rPr>
      </w:pPr>
    </w:p>
    <w:p w14:paraId="086E1C51"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Egyszeri vagy többszöri 0,5 és 1,25 mg-os adagokkal 2 héten át végzett fingolimod-kezelés nem járt a légúti ellenállás FEV</w:t>
      </w:r>
      <w:r>
        <w:rPr>
          <w:rFonts w:ascii="Times New Roman" w:eastAsia="Times New Roman" w:hAnsi="Times New Roman" w:cs="Times New Roman"/>
          <w:position w:val="-1"/>
          <w:vertAlign w:val="subscript"/>
          <w:lang w:val="hu-HU"/>
        </w:rPr>
        <w:t>1</w:t>
      </w:r>
      <w:r>
        <w:rPr>
          <w:rFonts w:ascii="Times New Roman" w:eastAsia="Times New Roman" w:hAnsi="Times New Roman" w:cs="Times New Roman"/>
          <w:lang w:val="hu-HU"/>
        </w:rPr>
        <w:t>-gyel vagy az erőltetett kilégzési légáramlási sebességgel (FEF 25-75) mért, kimutatható növekedésével. Ugyanakkor az egyszeri, ≥ 5 mg-os (az ajánlott adag 10-szerese) fingolimod dózisok a légúti ellenállás dózisfüggő növekedésével járt. A többszöri, a 0,5, az 1,25 vagy az 5 mg-os adagokkal végzett fingolimod-kezelés nem jár az oxigenizáció vagy az oxigén-szaturáció terhelésre jelentkező csökkenésével vagy a légutak metakolinra adott fokozott reaktivitásával. A fingolimoddal kezelt betegek az inhalált béta-agonistákra normális bronchodilatációval reagálnak.</w:t>
      </w:r>
    </w:p>
    <w:p w14:paraId="03410D05" w14:textId="77777777" w:rsidR="003F0FF1" w:rsidRDefault="003F0FF1">
      <w:pPr>
        <w:rPr>
          <w:rFonts w:ascii="Times New Roman" w:eastAsia="Times New Roman" w:hAnsi="Times New Roman" w:cs="Times New Roman"/>
          <w:lang w:val="hu-HU"/>
        </w:rPr>
      </w:pPr>
    </w:p>
    <w:p w14:paraId="719D3821"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u w:val="single" w:color="000000"/>
          <w:lang w:val="hu-HU"/>
        </w:rPr>
        <w:t>Klinikai hatásosság és biztonságosság</w:t>
      </w:r>
    </w:p>
    <w:p w14:paraId="377F367D"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 xml:space="preserve">A fingolimod hatásosságát két olyan vizsgálatban igazolták, amely a napi egyszeri 0,5 mg-os és 1,25 mg-os fingolimod adagokat vizsgálta a relapszáló-remittáló sclerosis multiplexben (RRSM) szenvedő felnőtt betegeknél. Mindkét vizsgálatban olyan felnőtt betegek vettek részt, akiknek a </w:t>
      </w:r>
      <w:r>
        <w:rPr>
          <w:rFonts w:ascii="Times New Roman" w:eastAsia="Times New Roman" w:hAnsi="Times New Roman" w:cs="Times New Roman"/>
          <w:lang w:val="hu-HU"/>
        </w:rPr>
        <w:lastRenderedPageBreak/>
        <w:t>megelőző 2 évben legalább 2, vagy a megelőző 1 évben legalább 1 relapszusa volt, és a kiterjesztett rokkantsági skála (Expanded Disability Status Score, EDSS) pontszáma 0 és 5,5 között volt. Egy harmadik, ugyanezen felnőtt betegpopulációban végzett klinikai vizsgálatot a fingolimod engedélyezését követően fejeztek be.</w:t>
      </w:r>
    </w:p>
    <w:p w14:paraId="265A2491" w14:textId="77777777" w:rsidR="003F0FF1" w:rsidRDefault="003F0FF1">
      <w:pPr>
        <w:rPr>
          <w:rFonts w:ascii="Times New Roman" w:eastAsia="Times New Roman" w:hAnsi="Times New Roman" w:cs="Times New Roman"/>
          <w:lang w:val="hu-HU"/>
        </w:rPr>
      </w:pPr>
    </w:p>
    <w:p w14:paraId="6B398944" w14:textId="4BE1354C"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A D2301 jelzésű (FREEDOMS) vizsgálat egy 2 évig tartó, randomizált, kettős</w:t>
      </w:r>
      <w:r w:rsidR="003F1EAC">
        <w:rPr>
          <w:rFonts w:ascii="Times New Roman" w:eastAsia="Times New Roman" w:hAnsi="Times New Roman" w:cs="Times New Roman"/>
          <w:lang w:val="hu-HU"/>
        </w:rPr>
        <w:t xml:space="preserve"> </w:t>
      </w:r>
      <w:r>
        <w:rPr>
          <w:rFonts w:ascii="Times New Roman" w:eastAsia="Times New Roman" w:hAnsi="Times New Roman" w:cs="Times New Roman"/>
          <w:lang w:val="hu-HU"/>
        </w:rPr>
        <w:t xml:space="preserve">vak, placebokontrollos </w:t>
      </w:r>
      <w:r>
        <w:rPr>
          <w:rFonts w:ascii="Times New Roman" w:hAnsi="Times New Roman" w:cs="Times New Roman"/>
          <w:lang w:val="hu-HU"/>
        </w:rPr>
        <w:t>III.</w:t>
      </w:r>
      <w:r>
        <w:rPr>
          <w:rFonts w:ascii="Times New Roman" w:eastAsia="Times New Roman" w:hAnsi="Times New Roman" w:cs="Times New Roman"/>
          <w:lang w:val="hu-HU"/>
        </w:rPr>
        <w:t xml:space="preserve">  </w:t>
      </w:r>
      <w:r>
        <w:rPr>
          <w:rFonts w:ascii="Times New Roman" w:hAnsi="Times New Roman" w:cs="Times New Roman"/>
          <w:lang w:val="hu-HU"/>
        </w:rPr>
        <w:t>fázisú</w:t>
      </w:r>
      <w:r>
        <w:rPr>
          <w:rFonts w:cs="Times New Roman"/>
          <w:lang w:val="hu-HU"/>
        </w:rPr>
        <w:t xml:space="preserve"> </w:t>
      </w:r>
      <w:r>
        <w:rPr>
          <w:rFonts w:ascii="Times New Roman" w:eastAsia="Times New Roman" w:hAnsi="Times New Roman" w:cs="Times New Roman"/>
          <w:lang w:val="hu-HU"/>
        </w:rPr>
        <w:t>vizsgálat volt, amit 1272 beteggel végeztek (közülük n</w:t>
      </w:r>
      <w:r w:rsidR="003F1EAC">
        <w:rPr>
          <w:rFonts w:ascii="Times New Roman" w:eastAsia="Times New Roman" w:hAnsi="Times New Roman" w:cs="Times New Roman"/>
          <w:lang w:val="hu-HU"/>
        </w:rPr>
        <w:t> </w:t>
      </w:r>
      <w:r>
        <w:rPr>
          <w:rFonts w:ascii="Times New Roman" w:eastAsia="Times New Roman" w:hAnsi="Times New Roman" w:cs="Times New Roman"/>
          <w:lang w:val="hu-HU"/>
        </w:rPr>
        <w:t>=</w:t>
      </w:r>
      <w:r w:rsidR="003F1EAC">
        <w:rPr>
          <w:rFonts w:ascii="Times New Roman" w:eastAsia="Times New Roman" w:hAnsi="Times New Roman" w:cs="Times New Roman"/>
          <w:lang w:val="hu-HU"/>
        </w:rPr>
        <w:t> </w:t>
      </w:r>
      <w:r>
        <w:rPr>
          <w:rFonts w:ascii="Times New Roman" w:eastAsia="Times New Roman" w:hAnsi="Times New Roman" w:cs="Times New Roman"/>
          <w:lang w:val="hu-HU"/>
        </w:rPr>
        <w:t>425 kapott 0,5 mg, 429 kapott 1,25 mg fingolimodot és 418 kapott placebót). A kiindulási jellemzők medián értékei a következők voltak: életkor 37 év, a betegség fennállásának időtartama 6,7 év és az EDSS-pontszám 2,0. A vizsgálat eredményeit az 1. táblázat mutatja. A 0,5 mg-os és az 1,25 mg-os dózisok között egyik végpont tekintetében sem volt lényeges különbség.</w:t>
      </w:r>
    </w:p>
    <w:p w14:paraId="1953F78E" w14:textId="77777777" w:rsidR="003F0FF1" w:rsidRDefault="003F0FF1">
      <w:pPr>
        <w:rPr>
          <w:rFonts w:ascii="Times New Roman" w:eastAsia="Times New Roman" w:hAnsi="Times New Roman" w:cs="Times New Roman"/>
          <w:lang w:val="hu-HU"/>
        </w:rPr>
      </w:pPr>
    </w:p>
    <w:p w14:paraId="454CD42F" w14:textId="77777777" w:rsidR="003F0FF1" w:rsidRDefault="001156D9">
      <w:pPr>
        <w:numPr>
          <w:ilvl w:val="0"/>
          <w:numId w:val="30"/>
        </w:numPr>
        <w:tabs>
          <w:tab w:val="left" w:pos="340"/>
        </w:tabs>
        <w:outlineLvl w:val="0"/>
        <w:rPr>
          <w:rFonts w:ascii="Times New Roman" w:eastAsia="Times New Roman" w:hAnsi="Times New Roman" w:cs="Times New Roman"/>
          <w:i/>
          <w:lang w:val="hu-HU"/>
        </w:rPr>
      </w:pPr>
      <w:r>
        <w:rPr>
          <w:rFonts w:ascii="Times New Roman" w:eastAsia="Times New Roman" w:hAnsi="Times New Roman" w:cs="Times New Roman"/>
          <w:b/>
          <w:bCs/>
          <w:i/>
          <w:lang w:val="hu-HU"/>
        </w:rPr>
        <w:t>táblázat</w:t>
      </w:r>
      <w:r>
        <w:rPr>
          <w:rFonts w:ascii="Times New Roman" w:eastAsia="Times New Roman" w:hAnsi="Times New Roman" w:cs="Times New Roman"/>
          <w:b/>
          <w:bCs/>
          <w:i/>
          <w:lang w:val="hu-HU"/>
        </w:rPr>
        <w:tab/>
        <w:t>D2301 jelzésű (FREEDOMS) vizsgálat: a legfontosabb eredmények</w:t>
      </w:r>
    </w:p>
    <w:p w14:paraId="2F74E17F" w14:textId="77777777" w:rsidR="003F0FF1" w:rsidRDefault="003F0FF1">
      <w:pPr>
        <w:rPr>
          <w:rFonts w:ascii="Times New Roman" w:eastAsia="Times New Roman" w:hAnsi="Times New Roman" w:cs="Times New Roman"/>
          <w:b/>
          <w:bCs/>
          <w:lang w:val="hu-HU"/>
        </w:rPr>
      </w:pPr>
    </w:p>
    <w:tbl>
      <w:tblPr>
        <w:tblStyle w:val="TableNormal1"/>
        <w:tblW w:w="0" w:type="auto"/>
        <w:tblInd w:w="-6" w:type="dxa"/>
        <w:tblLayout w:type="fixed"/>
        <w:tblLook w:val="01E0" w:firstRow="1" w:lastRow="1" w:firstColumn="1" w:lastColumn="1" w:noHBand="0" w:noVBand="0"/>
      </w:tblPr>
      <w:tblGrid>
        <w:gridCol w:w="4767"/>
        <w:gridCol w:w="1844"/>
        <w:gridCol w:w="1843"/>
      </w:tblGrid>
      <w:tr w:rsidR="003F0FF1" w14:paraId="61238DE6" w14:textId="77777777">
        <w:trPr>
          <w:trHeight w:hRule="exact" w:val="529"/>
        </w:trPr>
        <w:tc>
          <w:tcPr>
            <w:tcW w:w="4767" w:type="dxa"/>
            <w:tcBorders>
              <w:top w:val="single" w:sz="5" w:space="0" w:color="000000"/>
              <w:left w:val="single" w:sz="5" w:space="0" w:color="000000"/>
              <w:bottom w:val="single" w:sz="5" w:space="0" w:color="000000"/>
              <w:right w:val="single" w:sz="5" w:space="0" w:color="000000"/>
            </w:tcBorders>
          </w:tcPr>
          <w:p w14:paraId="31FB977C" w14:textId="77777777" w:rsidR="003F0FF1" w:rsidRDefault="003F0FF1">
            <w:pPr>
              <w:rPr>
                <w:rFonts w:ascii="Times New Roman" w:hAnsi="Times New Roman" w:cs="Times New Roman"/>
                <w:lang w:val="hu-HU"/>
              </w:rPr>
            </w:pPr>
          </w:p>
        </w:tc>
        <w:tc>
          <w:tcPr>
            <w:tcW w:w="1844" w:type="dxa"/>
            <w:tcBorders>
              <w:top w:val="single" w:sz="5" w:space="0" w:color="000000"/>
              <w:left w:val="single" w:sz="5" w:space="0" w:color="000000"/>
              <w:bottom w:val="single" w:sz="5" w:space="0" w:color="000000"/>
              <w:right w:val="single" w:sz="5" w:space="0" w:color="000000"/>
            </w:tcBorders>
          </w:tcPr>
          <w:p w14:paraId="1BEF3B6D" w14:textId="77777777" w:rsidR="003F0FF1" w:rsidRDefault="001156D9">
            <w:pPr>
              <w:rPr>
                <w:rFonts w:ascii="Times New Roman" w:hAnsi="Times New Roman" w:cs="Times New Roman"/>
                <w:b/>
                <w:lang w:val="hu-HU"/>
              </w:rPr>
            </w:pPr>
            <w:r>
              <w:rPr>
                <w:rFonts w:ascii="Times New Roman" w:hAnsi="Times New Roman" w:cs="Times New Roman"/>
                <w:b/>
                <w:lang w:val="hu-HU"/>
              </w:rPr>
              <w:t xml:space="preserve">Fingolimod </w:t>
            </w:r>
          </w:p>
          <w:p w14:paraId="43C79419" w14:textId="77777777" w:rsidR="003F0FF1" w:rsidRDefault="001156D9">
            <w:pPr>
              <w:rPr>
                <w:rFonts w:ascii="Times New Roman" w:eastAsia="Times New Roman" w:hAnsi="Times New Roman" w:cs="Times New Roman"/>
                <w:lang w:val="hu-HU"/>
              </w:rPr>
            </w:pPr>
            <w:r>
              <w:rPr>
                <w:rFonts w:ascii="Times New Roman" w:hAnsi="Times New Roman" w:cs="Times New Roman"/>
                <w:b/>
                <w:lang w:val="hu-HU"/>
              </w:rPr>
              <w:t>0,5 mg</w:t>
            </w:r>
          </w:p>
        </w:tc>
        <w:tc>
          <w:tcPr>
            <w:tcW w:w="1843" w:type="dxa"/>
            <w:tcBorders>
              <w:top w:val="single" w:sz="5" w:space="0" w:color="000000"/>
              <w:left w:val="single" w:sz="5" w:space="0" w:color="000000"/>
              <w:bottom w:val="single" w:sz="5" w:space="0" w:color="000000"/>
              <w:right w:val="single" w:sz="5" w:space="0" w:color="000000"/>
            </w:tcBorders>
          </w:tcPr>
          <w:p w14:paraId="5A895234" w14:textId="77777777" w:rsidR="003F0FF1" w:rsidRDefault="001156D9">
            <w:pPr>
              <w:rPr>
                <w:rFonts w:ascii="Times New Roman" w:eastAsia="Times New Roman" w:hAnsi="Times New Roman" w:cs="Times New Roman"/>
                <w:lang w:val="hu-HU"/>
              </w:rPr>
            </w:pPr>
            <w:r>
              <w:rPr>
                <w:rFonts w:ascii="Times New Roman" w:hAnsi="Times New Roman" w:cs="Times New Roman"/>
                <w:b/>
                <w:lang w:val="hu-HU"/>
              </w:rPr>
              <w:t>Placebo</w:t>
            </w:r>
          </w:p>
        </w:tc>
      </w:tr>
      <w:tr w:rsidR="003F1EAC" w14:paraId="4E83D19A" w14:textId="77777777" w:rsidTr="00F20AFE">
        <w:trPr>
          <w:trHeight w:hRule="exact" w:val="270"/>
        </w:trPr>
        <w:tc>
          <w:tcPr>
            <w:tcW w:w="4767" w:type="dxa"/>
            <w:tcBorders>
              <w:top w:val="single" w:sz="5" w:space="0" w:color="000000"/>
              <w:left w:val="single" w:sz="5" w:space="0" w:color="000000"/>
              <w:bottom w:val="single" w:sz="5" w:space="0" w:color="000000"/>
              <w:right w:val="single" w:sz="5" w:space="0" w:color="000000"/>
            </w:tcBorders>
          </w:tcPr>
          <w:p w14:paraId="2C0797CF" w14:textId="77777777" w:rsidR="003F1EAC" w:rsidRDefault="003F1EAC">
            <w:pPr>
              <w:rPr>
                <w:rFonts w:ascii="Times New Roman" w:eastAsia="Times New Roman" w:hAnsi="Times New Roman" w:cs="Times New Roman"/>
                <w:lang w:val="hu-HU"/>
              </w:rPr>
            </w:pPr>
            <w:r>
              <w:rPr>
                <w:rFonts w:ascii="Times New Roman" w:hAnsi="Times New Roman" w:cs="Times New Roman"/>
                <w:b/>
                <w:lang w:val="hu-HU"/>
              </w:rPr>
              <w:t>Klinikai végpontok</w:t>
            </w:r>
          </w:p>
        </w:tc>
        <w:tc>
          <w:tcPr>
            <w:tcW w:w="3687" w:type="dxa"/>
            <w:gridSpan w:val="2"/>
            <w:tcBorders>
              <w:top w:val="single" w:sz="5" w:space="0" w:color="000000"/>
              <w:left w:val="single" w:sz="5" w:space="0" w:color="000000"/>
              <w:bottom w:val="single" w:sz="5" w:space="0" w:color="000000"/>
              <w:right w:val="single" w:sz="5" w:space="0" w:color="000000"/>
            </w:tcBorders>
          </w:tcPr>
          <w:p w14:paraId="3A579F37" w14:textId="77777777" w:rsidR="003F1EAC" w:rsidRDefault="003F1EAC">
            <w:pPr>
              <w:rPr>
                <w:rFonts w:ascii="Times New Roman" w:hAnsi="Times New Roman" w:cs="Times New Roman"/>
                <w:lang w:val="hu-HU"/>
              </w:rPr>
            </w:pPr>
          </w:p>
        </w:tc>
      </w:tr>
      <w:tr w:rsidR="003F0FF1" w14:paraId="0AFCF7C3" w14:textId="77777777">
        <w:trPr>
          <w:trHeight w:hRule="exact" w:val="270"/>
        </w:trPr>
        <w:tc>
          <w:tcPr>
            <w:tcW w:w="4767" w:type="dxa"/>
            <w:tcBorders>
              <w:top w:val="single" w:sz="5" w:space="0" w:color="000000"/>
              <w:left w:val="single" w:sz="5" w:space="0" w:color="000000"/>
              <w:bottom w:val="single" w:sz="5" w:space="0" w:color="000000"/>
              <w:right w:val="single" w:sz="5" w:space="0" w:color="000000"/>
            </w:tcBorders>
          </w:tcPr>
          <w:p w14:paraId="320CEBDF"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Évenkénti relapszus ráta (elsődleges végpont)</w:t>
            </w:r>
          </w:p>
        </w:tc>
        <w:tc>
          <w:tcPr>
            <w:tcW w:w="1844" w:type="dxa"/>
            <w:tcBorders>
              <w:top w:val="single" w:sz="5" w:space="0" w:color="000000"/>
              <w:left w:val="single" w:sz="5" w:space="0" w:color="000000"/>
              <w:bottom w:val="single" w:sz="5" w:space="0" w:color="000000"/>
              <w:right w:val="single" w:sz="5" w:space="0" w:color="000000"/>
            </w:tcBorders>
          </w:tcPr>
          <w:p w14:paraId="34C18535"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0,18**</w:t>
            </w:r>
          </w:p>
        </w:tc>
        <w:tc>
          <w:tcPr>
            <w:tcW w:w="1843" w:type="dxa"/>
            <w:tcBorders>
              <w:top w:val="single" w:sz="5" w:space="0" w:color="000000"/>
              <w:left w:val="single" w:sz="5" w:space="0" w:color="000000"/>
              <w:bottom w:val="single" w:sz="5" w:space="0" w:color="000000"/>
              <w:right w:val="single" w:sz="5" w:space="0" w:color="000000"/>
            </w:tcBorders>
          </w:tcPr>
          <w:p w14:paraId="7F2008C2"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0,40</w:t>
            </w:r>
          </w:p>
        </w:tc>
      </w:tr>
      <w:tr w:rsidR="003F0FF1" w14:paraId="5BF8295C" w14:textId="77777777">
        <w:trPr>
          <w:trHeight w:hRule="exact" w:val="530"/>
        </w:trPr>
        <w:tc>
          <w:tcPr>
            <w:tcW w:w="4767" w:type="dxa"/>
            <w:tcBorders>
              <w:top w:val="single" w:sz="5" w:space="0" w:color="000000"/>
              <w:left w:val="single" w:sz="5" w:space="0" w:color="000000"/>
              <w:bottom w:val="single" w:sz="5" w:space="0" w:color="000000"/>
              <w:right w:val="single" w:sz="5" w:space="0" w:color="000000"/>
            </w:tcBorders>
          </w:tcPr>
          <w:p w14:paraId="25B99BEE"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A 24. hónapban relapszus-mentesen maradó betegek százalékos aránya</w:t>
            </w:r>
          </w:p>
        </w:tc>
        <w:tc>
          <w:tcPr>
            <w:tcW w:w="1844" w:type="dxa"/>
            <w:tcBorders>
              <w:top w:val="single" w:sz="5" w:space="0" w:color="000000"/>
              <w:left w:val="single" w:sz="5" w:space="0" w:color="000000"/>
              <w:bottom w:val="single" w:sz="5" w:space="0" w:color="000000"/>
              <w:right w:val="single" w:sz="5" w:space="0" w:color="000000"/>
            </w:tcBorders>
          </w:tcPr>
          <w:p w14:paraId="5C9FB3C1"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70%**</w:t>
            </w:r>
          </w:p>
        </w:tc>
        <w:tc>
          <w:tcPr>
            <w:tcW w:w="1843" w:type="dxa"/>
            <w:tcBorders>
              <w:top w:val="single" w:sz="5" w:space="0" w:color="000000"/>
              <w:left w:val="single" w:sz="5" w:space="0" w:color="000000"/>
              <w:bottom w:val="single" w:sz="5" w:space="0" w:color="000000"/>
              <w:right w:val="single" w:sz="5" w:space="0" w:color="000000"/>
            </w:tcBorders>
          </w:tcPr>
          <w:p w14:paraId="75BFD916"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46%</w:t>
            </w:r>
          </w:p>
        </w:tc>
      </w:tr>
      <w:tr w:rsidR="003F0FF1" w14:paraId="4FFCC4F7" w14:textId="77777777">
        <w:trPr>
          <w:trHeight w:hRule="exact" w:val="531"/>
        </w:trPr>
        <w:tc>
          <w:tcPr>
            <w:tcW w:w="4767" w:type="dxa"/>
            <w:tcBorders>
              <w:top w:val="single" w:sz="5" w:space="0" w:color="000000"/>
              <w:left w:val="single" w:sz="5" w:space="0" w:color="000000"/>
              <w:bottom w:val="nil"/>
              <w:right w:val="single" w:sz="5" w:space="0" w:color="000000"/>
            </w:tcBorders>
          </w:tcPr>
          <w:p w14:paraId="6E719D36" w14:textId="19C6863E" w:rsidR="003F0FF1" w:rsidRDefault="001156D9" w:rsidP="003F1EAC">
            <w:pPr>
              <w:rPr>
                <w:rFonts w:ascii="Times New Roman" w:eastAsia="Times New Roman" w:hAnsi="Times New Roman" w:cs="Times New Roman"/>
                <w:lang w:val="hu-HU"/>
              </w:rPr>
            </w:pPr>
            <w:r>
              <w:rPr>
                <w:rFonts w:ascii="Times New Roman" w:hAnsi="Times New Roman" w:cs="Times New Roman"/>
                <w:lang w:val="hu-HU"/>
              </w:rPr>
              <w:t>A 3 hónapja tartó, funkcióromláshoz vezető,</w:t>
            </w:r>
            <w:r w:rsidR="003F1EAC">
              <w:rPr>
                <w:rFonts w:ascii="Times New Roman" w:hAnsi="Times New Roman" w:cs="Times New Roman"/>
                <w:lang w:val="hu-HU"/>
              </w:rPr>
              <w:t xml:space="preserve"> </w:t>
            </w:r>
            <w:r>
              <w:rPr>
                <w:rFonts w:ascii="Times New Roman" w:eastAsia="Times New Roman" w:hAnsi="Times New Roman" w:cs="Times New Roman"/>
                <w:lang w:val="hu-HU"/>
              </w:rPr>
              <w:t>igazolt progresszió aránya†</w:t>
            </w:r>
          </w:p>
        </w:tc>
        <w:tc>
          <w:tcPr>
            <w:tcW w:w="1844" w:type="dxa"/>
            <w:tcBorders>
              <w:top w:val="single" w:sz="5" w:space="0" w:color="000000"/>
              <w:left w:val="single" w:sz="5" w:space="0" w:color="000000"/>
              <w:bottom w:val="nil"/>
              <w:right w:val="single" w:sz="5" w:space="0" w:color="000000"/>
            </w:tcBorders>
          </w:tcPr>
          <w:p w14:paraId="17A917AE"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17%</w:t>
            </w:r>
          </w:p>
        </w:tc>
        <w:tc>
          <w:tcPr>
            <w:tcW w:w="1843" w:type="dxa"/>
            <w:tcBorders>
              <w:top w:val="single" w:sz="5" w:space="0" w:color="000000"/>
              <w:left w:val="single" w:sz="5" w:space="0" w:color="000000"/>
              <w:bottom w:val="nil"/>
              <w:right w:val="single" w:sz="5" w:space="0" w:color="000000"/>
            </w:tcBorders>
          </w:tcPr>
          <w:p w14:paraId="4CFE39D0"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24%</w:t>
            </w:r>
          </w:p>
        </w:tc>
      </w:tr>
      <w:tr w:rsidR="003F0FF1" w14:paraId="6B9E8CD0" w14:textId="77777777">
        <w:trPr>
          <w:trHeight w:hRule="exact" w:val="259"/>
        </w:trPr>
        <w:tc>
          <w:tcPr>
            <w:tcW w:w="4767" w:type="dxa"/>
            <w:tcBorders>
              <w:top w:val="nil"/>
              <w:left w:val="single" w:sz="5" w:space="0" w:color="000000"/>
              <w:bottom w:val="single" w:sz="5" w:space="0" w:color="000000"/>
              <w:right w:val="single" w:sz="5" w:space="0" w:color="000000"/>
            </w:tcBorders>
          </w:tcPr>
          <w:p w14:paraId="2F1D20DB"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Relatív hazárd (95%-os CI)</w:t>
            </w:r>
          </w:p>
        </w:tc>
        <w:tc>
          <w:tcPr>
            <w:tcW w:w="1844" w:type="dxa"/>
            <w:tcBorders>
              <w:top w:val="nil"/>
              <w:left w:val="single" w:sz="5" w:space="0" w:color="000000"/>
              <w:bottom w:val="single" w:sz="5" w:space="0" w:color="000000"/>
              <w:right w:val="single" w:sz="5" w:space="0" w:color="000000"/>
            </w:tcBorders>
          </w:tcPr>
          <w:p w14:paraId="0B824555"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0,70 (0,52; 0,96)*</w:t>
            </w:r>
          </w:p>
        </w:tc>
        <w:tc>
          <w:tcPr>
            <w:tcW w:w="1843" w:type="dxa"/>
            <w:tcBorders>
              <w:top w:val="nil"/>
              <w:left w:val="single" w:sz="5" w:space="0" w:color="000000"/>
              <w:bottom w:val="single" w:sz="5" w:space="0" w:color="000000"/>
              <w:right w:val="single" w:sz="5" w:space="0" w:color="000000"/>
            </w:tcBorders>
          </w:tcPr>
          <w:p w14:paraId="1FAA8434" w14:textId="77777777" w:rsidR="003F0FF1" w:rsidRDefault="003F0FF1">
            <w:pPr>
              <w:rPr>
                <w:rFonts w:ascii="Times New Roman" w:hAnsi="Times New Roman" w:cs="Times New Roman"/>
                <w:lang w:val="hu-HU"/>
              </w:rPr>
            </w:pPr>
          </w:p>
        </w:tc>
      </w:tr>
      <w:tr w:rsidR="003F1EAC" w14:paraId="71565EE1" w14:textId="77777777" w:rsidTr="007D5780">
        <w:trPr>
          <w:trHeight w:hRule="exact" w:val="270"/>
        </w:trPr>
        <w:tc>
          <w:tcPr>
            <w:tcW w:w="4767" w:type="dxa"/>
            <w:tcBorders>
              <w:top w:val="single" w:sz="5" w:space="0" w:color="000000"/>
              <w:left w:val="single" w:sz="5" w:space="0" w:color="000000"/>
              <w:bottom w:val="single" w:sz="5" w:space="0" w:color="000000"/>
              <w:right w:val="single" w:sz="5" w:space="0" w:color="000000"/>
            </w:tcBorders>
          </w:tcPr>
          <w:p w14:paraId="3C8D042B" w14:textId="77777777" w:rsidR="003F1EAC" w:rsidRDefault="003F1EAC">
            <w:pPr>
              <w:rPr>
                <w:rFonts w:ascii="Times New Roman" w:eastAsia="Times New Roman" w:hAnsi="Times New Roman" w:cs="Times New Roman"/>
                <w:lang w:val="hu-HU"/>
              </w:rPr>
            </w:pPr>
            <w:r>
              <w:rPr>
                <w:rFonts w:ascii="Times New Roman" w:hAnsi="Times New Roman" w:cs="Times New Roman"/>
                <w:b/>
                <w:lang w:val="hu-HU"/>
              </w:rPr>
              <w:t>MR-végpontok</w:t>
            </w:r>
          </w:p>
        </w:tc>
        <w:tc>
          <w:tcPr>
            <w:tcW w:w="3687" w:type="dxa"/>
            <w:gridSpan w:val="2"/>
            <w:tcBorders>
              <w:top w:val="single" w:sz="5" w:space="0" w:color="000000"/>
              <w:left w:val="single" w:sz="5" w:space="0" w:color="000000"/>
              <w:bottom w:val="single" w:sz="5" w:space="0" w:color="000000"/>
              <w:right w:val="single" w:sz="5" w:space="0" w:color="000000"/>
            </w:tcBorders>
          </w:tcPr>
          <w:p w14:paraId="08E5C229" w14:textId="77777777" w:rsidR="003F1EAC" w:rsidRDefault="003F1EAC">
            <w:pPr>
              <w:rPr>
                <w:rFonts w:ascii="Times New Roman" w:hAnsi="Times New Roman" w:cs="Times New Roman"/>
                <w:lang w:val="hu-HU"/>
              </w:rPr>
            </w:pPr>
          </w:p>
        </w:tc>
      </w:tr>
      <w:tr w:rsidR="003F0FF1" w14:paraId="0784AFC6" w14:textId="77777777">
        <w:trPr>
          <w:trHeight w:hRule="exact" w:val="530"/>
        </w:trPr>
        <w:tc>
          <w:tcPr>
            <w:tcW w:w="4767" w:type="dxa"/>
            <w:tcBorders>
              <w:top w:val="single" w:sz="5" w:space="0" w:color="000000"/>
              <w:left w:val="single" w:sz="5" w:space="0" w:color="000000"/>
              <w:bottom w:val="single" w:sz="5" w:space="0" w:color="000000"/>
              <w:right w:val="single" w:sz="5" w:space="0" w:color="000000"/>
            </w:tcBorders>
          </w:tcPr>
          <w:p w14:paraId="1982E297"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Az új vagy növekvő T2 léziók medián (átlagos) száma 24 hónap alatt</w:t>
            </w:r>
          </w:p>
        </w:tc>
        <w:tc>
          <w:tcPr>
            <w:tcW w:w="1844" w:type="dxa"/>
            <w:tcBorders>
              <w:top w:val="single" w:sz="5" w:space="0" w:color="000000"/>
              <w:left w:val="single" w:sz="5" w:space="0" w:color="000000"/>
              <w:bottom w:val="single" w:sz="5" w:space="0" w:color="000000"/>
              <w:right w:val="single" w:sz="5" w:space="0" w:color="000000"/>
            </w:tcBorders>
          </w:tcPr>
          <w:p w14:paraId="4D3B7047"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0,0 (2,5)**</w:t>
            </w:r>
          </w:p>
        </w:tc>
        <w:tc>
          <w:tcPr>
            <w:tcW w:w="1843" w:type="dxa"/>
            <w:tcBorders>
              <w:top w:val="single" w:sz="5" w:space="0" w:color="000000"/>
              <w:left w:val="single" w:sz="5" w:space="0" w:color="000000"/>
              <w:bottom w:val="single" w:sz="5" w:space="0" w:color="000000"/>
              <w:right w:val="single" w:sz="5" w:space="0" w:color="000000"/>
            </w:tcBorders>
          </w:tcPr>
          <w:p w14:paraId="7C4F412F"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5,0 (9,8)</w:t>
            </w:r>
          </w:p>
        </w:tc>
      </w:tr>
      <w:tr w:rsidR="003F0FF1" w14:paraId="11D6B2C5" w14:textId="77777777">
        <w:trPr>
          <w:trHeight w:hRule="exact" w:val="530"/>
        </w:trPr>
        <w:tc>
          <w:tcPr>
            <w:tcW w:w="4767" w:type="dxa"/>
            <w:tcBorders>
              <w:top w:val="single" w:sz="5" w:space="0" w:color="000000"/>
              <w:left w:val="single" w:sz="5" w:space="0" w:color="000000"/>
              <w:bottom w:val="single" w:sz="5" w:space="0" w:color="000000"/>
              <w:right w:val="single" w:sz="5" w:space="0" w:color="000000"/>
            </w:tcBorders>
          </w:tcPr>
          <w:p w14:paraId="0857F09C"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A gadolíniumot halmozó léziók medián (átlagos) száma a 24. hónapban</w:t>
            </w:r>
          </w:p>
        </w:tc>
        <w:tc>
          <w:tcPr>
            <w:tcW w:w="1844" w:type="dxa"/>
            <w:tcBorders>
              <w:top w:val="single" w:sz="5" w:space="0" w:color="000000"/>
              <w:left w:val="single" w:sz="5" w:space="0" w:color="000000"/>
              <w:bottom w:val="single" w:sz="5" w:space="0" w:color="000000"/>
              <w:right w:val="single" w:sz="5" w:space="0" w:color="000000"/>
            </w:tcBorders>
          </w:tcPr>
          <w:p w14:paraId="30B6548F"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0,0 (0,2)**</w:t>
            </w:r>
          </w:p>
        </w:tc>
        <w:tc>
          <w:tcPr>
            <w:tcW w:w="1843" w:type="dxa"/>
            <w:tcBorders>
              <w:top w:val="single" w:sz="5" w:space="0" w:color="000000"/>
              <w:left w:val="single" w:sz="5" w:space="0" w:color="000000"/>
              <w:bottom w:val="single" w:sz="5" w:space="0" w:color="000000"/>
              <w:right w:val="single" w:sz="5" w:space="0" w:color="000000"/>
            </w:tcBorders>
          </w:tcPr>
          <w:p w14:paraId="5DD6BB27"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0,0 (1,1)</w:t>
            </w:r>
          </w:p>
        </w:tc>
      </w:tr>
      <w:tr w:rsidR="003F0FF1" w14:paraId="7F82B185" w14:textId="77777777">
        <w:trPr>
          <w:trHeight w:hRule="exact" w:val="529"/>
        </w:trPr>
        <w:tc>
          <w:tcPr>
            <w:tcW w:w="4767" w:type="dxa"/>
            <w:tcBorders>
              <w:top w:val="single" w:sz="5" w:space="0" w:color="000000"/>
              <w:left w:val="single" w:sz="5" w:space="0" w:color="000000"/>
              <w:bottom w:val="single" w:sz="5" w:space="0" w:color="000000"/>
              <w:right w:val="single" w:sz="5" w:space="0" w:color="000000"/>
            </w:tcBorders>
          </w:tcPr>
          <w:p w14:paraId="7494DCBF" w14:textId="7018C5FF" w:rsidR="003F0FF1" w:rsidRDefault="001156D9">
            <w:pPr>
              <w:rPr>
                <w:rFonts w:ascii="Times New Roman" w:eastAsia="Times New Roman" w:hAnsi="Times New Roman" w:cs="Times New Roman"/>
                <w:lang w:val="hu-HU"/>
              </w:rPr>
            </w:pPr>
            <w:r>
              <w:rPr>
                <w:rFonts w:ascii="Times New Roman" w:hAnsi="Times New Roman" w:cs="Times New Roman"/>
                <w:lang w:val="hu-HU"/>
              </w:rPr>
              <w:t>Az agytérfogat medián (átlagos) %-os változása 24</w:t>
            </w:r>
            <w:r w:rsidR="003F1EAC">
              <w:rPr>
                <w:rFonts w:ascii="Times New Roman" w:hAnsi="Times New Roman" w:cs="Times New Roman"/>
                <w:lang w:val="hu-HU"/>
              </w:rPr>
              <w:t> </w:t>
            </w:r>
            <w:r>
              <w:rPr>
                <w:rFonts w:ascii="Times New Roman" w:hAnsi="Times New Roman" w:cs="Times New Roman"/>
                <w:lang w:val="hu-HU"/>
              </w:rPr>
              <w:t>hónap alatt</w:t>
            </w:r>
          </w:p>
        </w:tc>
        <w:tc>
          <w:tcPr>
            <w:tcW w:w="1844" w:type="dxa"/>
            <w:tcBorders>
              <w:top w:val="single" w:sz="5" w:space="0" w:color="000000"/>
              <w:left w:val="single" w:sz="5" w:space="0" w:color="000000"/>
              <w:bottom w:val="single" w:sz="5" w:space="0" w:color="000000"/>
              <w:right w:val="single" w:sz="5" w:space="0" w:color="000000"/>
            </w:tcBorders>
          </w:tcPr>
          <w:p w14:paraId="0DE57989"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-0,7 (-0,8)**</w:t>
            </w:r>
          </w:p>
        </w:tc>
        <w:tc>
          <w:tcPr>
            <w:tcW w:w="1843" w:type="dxa"/>
            <w:tcBorders>
              <w:top w:val="single" w:sz="5" w:space="0" w:color="000000"/>
              <w:left w:val="single" w:sz="5" w:space="0" w:color="000000"/>
              <w:bottom w:val="single" w:sz="5" w:space="0" w:color="000000"/>
              <w:right w:val="single" w:sz="5" w:space="0" w:color="000000"/>
            </w:tcBorders>
          </w:tcPr>
          <w:p w14:paraId="377430D8"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-1,0 (-1,3)</w:t>
            </w:r>
          </w:p>
        </w:tc>
      </w:tr>
      <w:tr w:rsidR="003F0FF1" w14:paraId="1E0C3FD7" w14:textId="77777777">
        <w:trPr>
          <w:trHeight w:hRule="exact" w:val="1126"/>
        </w:trPr>
        <w:tc>
          <w:tcPr>
            <w:tcW w:w="8454" w:type="dxa"/>
            <w:gridSpan w:val="3"/>
            <w:tcBorders>
              <w:top w:val="single" w:sz="5" w:space="0" w:color="000000"/>
              <w:left w:val="single" w:sz="5" w:space="0" w:color="000000"/>
              <w:bottom w:val="single" w:sz="5" w:space="0" w:color="000000"/>
              <w:right w:val="single" w:sz="5" w:space="0" w:color="000000"/>
            </w:tcBorders>
          </w:tcPr>
          <w:p w14:paraId="53E14077" w14:textId="77777777" w:rsidR="003F0FF1" w:rsidRDefault="001156D9">
            <w:pPr>
              <w:tabs>
                <w:tab w:val="left" w:pos="555"/>
              </w:tabs>
              <w:rPr>
                <w:rFonts w:ascii="Times New Roman" w:eastAsia="Times New Roman" w:hAnsi="Times New Roman" w:cs="Times New Roman"/>
                <w:sz w:val="18"/>
                <w:szCs w:val="18"/>
                <w:lang w:val="hu-HU"/>
              </w:rPr>
            </w:pPr>
            <w:r>
              <w:rPr>
                <w:rFonts w:ascii="Times New Roman" w:eastAsia="Times New Roman" w:hAnsi="Times New Roman" w:cs="Times New Roman"/>
                <w:sz w:val="18"/>
                <w:szCs w:val="18"/>
                <w:lang w:val="hu-HU"/>
              </w:rPr>
              <w:t>†</w:t>
            </w:r>
            <w:r>
              <w:rPr>
                <w:rFonts w:ascii="Times New Roman" w:eastAsia="Times New Roman" w:hAnsi="Times New Roman" w:cs="Times New Roman"/>
                <w:sz w:val="18"/>
                <w:szCs w:val="18"/>
                <w:lang w:val="hu-HU"/>
              </w:rPr>
              <w:tab/>
              <w:t>A funkcióromláshoz vezető progresszió meghatározása az EDSS 3 hónappal későbbi,</w:t>
            </w:r>
          </w:p>
          <w:p w14:paraId="0372E688" w14:textId="77777777" w:rsidR="003F0FF1" w:rsidRDefault="001156D9">
            <w:pPr>
              <w:ind w:left="567"/>
              <w:rPr>
                <w:rFonts w:ascii="Times New Roman" w:eastAsia="Times New Roman" w:hAnsi="Times New Roman" w:cs="Times New Roman"/>
                <w:sz w:val="18"/>
                <w:szCs w:val="18"/>
                <w:lang w:val="hu-HU"/>
              </w:rPr>
            </w:pPr>
            <w:r>
              <w:rPr>
                <w:rFonts w:ascii="Times New Roman" w:hAnsi="Times New Roman" w:cs="Times New Roman"/>
                <w:sz w:val="18"/>
                <w:szCs w:val="18"/>
                <w:lang w:val="hu-HU"/>
              </w:rPr>
              <w:t>1 ponttal történő, igazolt emelkedése.</w:t>
            </w:r>
          </w:p>
          <w:p w14:paraId="6A02A5F4" w14:textId="77777777" w:rsidR="003F0FF1" w:rsidRDefault="001156D9">
            <w:pPr>
              <w:tabs>
                <w:tab w:val="left" w:pos="567"/>
              </w:tabs>
              <w:rPr>
                <w:rFonts w:ascii="Times New Roman" w:eastAsia="Times New Roman" w:hAnsi="Times New Roman" w:cs="Times New Roman"/>
                <w:sz w:val="18"/>
                <w:szCs w:val="18"/>
                <w:lang w:val="hu-HU"/>
              </w:rPr>
            </w:pPr>
            <w:r>
              <w:rPr>
                <w:rFonts w:ascii="Times New Roman" w:hAnsi="Times New Roman" w:cs="Times New Roman"/>
                <w:sz w:val="18"/>
                <w:szCs w:val="18"/>
                <w:lang w:val="hu-HU"/>
              </w:rPr>
              <w:t>**</w:t>
            </w:r>
            <w:r>
              <w:rPr>
                <w:rFonts w:ascii="Times New Roman" w:hAnsi="Times New Roman" w:cs="Times New Roman"/>
                <w:sz w:val="18"/>
                <w:szCs w:val="18"/>
                <w:lang w:val="hu-HU"/>
              </w:rPr>
              <w:tab/>
              <w:t>p&lt; 0,001, *p&lt; 0,05 a placebóhoz képest</w:t>
            </w:r>
          </w:p>
          <w:p w14:paraId="02A5647A" w14:textId="77777777" w:rsidR="003F0FF1" w:rsidRDefault="001156D9">
            <w:pPr>
              <w:rPr>
                <w:rFonts w:ascii="Times New Roman" w:eastAsia="Times New Roman" w:hAnsi="Times New Roman" w:cs="Times New Roman"/>
                <w:sz w:val="18"/>
                <w:szCs w:val="18"/>
                <w:lang w:val="hu-HU"/>
              </w:rPr>
            </w:pPr>
            <w:r>
              <w:rPr>
                <w:rFonts w:ascii="Times New Roman" w:hAnsi="Times New Roman" w:cs="Times New Roman"/>
                <w:sz w:val="18"/>
                <w:szCs w:val="18"/>
                <w:lang w:val="hu-HU"/>
              </w:rPr>
              <w:t>A klinikai végpontok összes analízise a beválasztás szerinti (intent-to-treat) populációval történt. Az MR analízisekhez értékelhető adatállományokat használtak.</w:t>
            </w:r>
          </w:p>
        </w:tc>
      </w:tr>
    </w:tbl>
    <w:p w14:paraId="56F9D254" w14:textId="77777777" w:rsidR="003F0FF1" w:rsidRDefault="003F0FF1">
      <w:pPr>
        <w:rPr>
          <w:rFonts w:ascii="Times New Roman" w:eastAsia="Times New Roman" w:hAnsi="Times New Roman" w:cs="Times New Roman"/>
          <w:lang w:val="hu-HU"/>
        </w:rPr>
      </w:pPr>
    </w:p>
    <w:p w14:paraId="4906CC56"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Azok a betegek, akik befejezték a 24 hónapos FREEDOMS fő vizsgálatot, beléphettek egy, a dózis tekintetében vak, kiterjesztett vizsgálatba (D2301E1), és fingolimodot kaptak. Összesen 920 beteg lépett be (n = 331 kapta tovább a 0,5 mg-ot, 289 kapta tovább az 1,25 mg-ot, 155-öt állítottak át placebóról 0,5 mg-ra és 145-öt állítottak át placebóról 1,25 mg-ra). Tizenkét hónap után (36 hónap) 856 beteg (93%) vett még mindig részt a vizsgálatban. A 24. és 36. hónap között a fő vizsgálatban 0,5 mg fingolimodot kapó betegek közül azoknál, akik továbbra is 0,5 mg-ot kaptak, az évenkénti relapszus-ráta (ARR) 0,17 volt (0,21 a fő vizsgálatban). A placebóról 0,5 mg fingolimodra átállított betegeknél az évenkénti relapszus-ráta 0,22 volt (0,42 a fő vizsgálatban).</w:t>
      </w:r>
    </w:p>
    <w:p w14:paraId="24D9E7B2" w14:textId="77777777" w:rsidR="003F0FF1" w:rsidRDefault="003F0FF1">
      <w:pPr>
        <w:rPr>
          <w:rFonts w:ascii="Times New Roman" w:eastAsia="Times New Roman" w:hAnsi="Times New Roman" w:cs="Times New Roman"/>
          <w:lang w:val="hu-HU"/>
        </w:rPr>
      </w:pPr>
    </w:p>
    <w:p w14:paraId="569A5315" w14:textId="5223FDF4"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Hasonló eredményeket mutattak egy 2 éves, randomizált kettős</w:t>
      </w:r>
      <w:r w:rsidR="003F1EAC">
        <w:rPr>
          <w:rFonts w:ascii="Times New Roman" w:eastAsia="Times New Roman" w:hAnsi="Times New Roman" w:cs="Times New Roman"/>
          <w:lang w:val="hu-HU"/>
        </w:rPr>
        <w:t xml:space="preserve"> </w:t>
      </w:r>
      <w:r>
        <w:rPr>
          <w:rFonts w:ascii="Times New Roman" w:eastAsia="Times New Roman" w:hAnsi="Times New Roman" w:cs="Times New Roman"/>
          <w:lang w:val="hu-HU"/>
        </w:rPr>
        <w:t>vak, placebokontrollos, fingolimoddal végzett III  fázisú replika vizsgálatban, amelyben 1083, RRMS-ben szenvedő beteg vet részt (n</w:t>
      </w:r>
      <w:r w:rsidR="003F1EAC">
        <w:rPr>
          <w:rFonts w:ascii="Times New Roman" w:eastAsia="Times New Roman" w:hAnsi="Times New Roman" w:cs="Times New Roman"/>
          <w:lang w:val="hu-HU"/>
        </w:rPr>
        <w:t> </w:t>
      </w:r>
      <w:r>
        <w:rPr>
          <w:rFonts w:ascii="Times New Roman" w:eastAsia="Times New Roman" w:hAnsi="Times New Roman" w:cs="Times New Roman"/>
          <w:lang w:val="hu-HU"/>
        </w:rPr>
        <w:t>=</w:t>
      </w:r>
      <w:r w:rsidR="003F1EAC">
        <w:rPr>
          <w:rFonts w:ascii="Times New Roman" w:eastAsia="Times New Roman" w:hAnsi="Times New Roman" w:cs="Times New Roman"/>
          <w:lang w:val="hu-HU"/>
        </w:rPr>
        <w:t> </w:t>
      </w:r>
      <w:r>
        <w:rPr>
          <w:rFonts w:ascii="Times New Roman" w:eastAsia="Times New Roman" w:hAnsi="Times New Roman" w:cs="Times New Roman"/>
          <w:lang w:val="hu-HU"/>
        </w:rPr>
        <w:t>358 kapott 0,5 mg-ot, 370 kapott 1,25 mg-ot, 355 kapott placebót) (D2309; FREEDOMS 2). A kiindulási jellemzők medián értékei a következők voltak: életkor 41 év, a betegség fennállásának időtartama 8,9</w:t>
      </w:r>
      <w:r w:rsidR="003F1EAC">
        <w:rPr>
          <w:rFonts w:ascii="Times New Roman" w:eastAsia="Times New Roman" w:hAnsi="Times New Roman" w:cs="Times New Roman"/>
          <w:lang w:val="hu-HU"/>
        </w:rPr>
        <w:t> </w:t>
      </w:r>
      <w:r>
        <w:rPr>
          <w:rFonts w:ascii="Times New Roman" w:eastAsia="Times New Roman" w:hAnsi="Times New Roman" w:cs="Times New Roman"/>
          <w:lang w:val="hu-HU"/>
        </w:rPr>
        <w:t>év, az EDSS-pontszám 2,5.</w:t>
      </w:r>
    </w:p>
    <w:p w14:paraId="7972280A" w14:textId="77777777" w:rsidR="003F0FF1" w:rsidRDefault="003F0FF1">
      <w:pPr>
        <w:rPr>
          <w:rFonts w:ascii="Times New Roman" w:eastAsia="Times New Roman" w:hAnsi="Times New Roman" w:cs="Times New Roman"/>
          <w:lang w:val="hu-HU"/>
        </w:rPr>
      </w:pPr>
    </w:p>
    <w:p w14:paraId="2B76F88D" w14:textId="77777777" w:rsidR="003F0FF1" w:rsidRDefault="001156D9" w:rsidP="00CE583C">
      <w:pPr>
        <w:keepNext/>
        <w:numPr>
          <w:ilvl w:val="0"/>
          <w:numId w:val="30"/>
        </w:numPr>
        <w:tabs>
          <w:tab w:val="left" w:pos="340"/>
        </w:tabs>
        <w:outlineLvl w:val="0"/>
        <w:rPr>
          <w:rFonts w:ascii="Times New Roman" w:eastAsia="Times New Roman" w:hAnsi="Times New Roman" w:cs="Times New Roman"/>
          <w:b/>
          <w:i/>
          <w:lang w:val="hu-HU"/>
        </w:rPr>
      </w:pPr>
      <w:r>
        <w:rPr>
          <w:rFonts w:ascii="Times New Roman" w:eastAsia="Times New Roman" w:hAnsi="Times New Roman" w:cs="Times New Roman"/>
          <w:b/>
          <w:bCs/>
          <w:i/>
          <w:lang w:val="hu-HU"/>
        </w:rPr>
        <w:lastRenderedPageBreak/>
        <w:t>táblázat</w:t>
      </w:r>
      <w:r>
        <w:rPr>
          <w:rFonts w:ascii="Times New Roman" w:eastAsia="Times New Roman" w:hAnsi="Times New Roman" w:cs="Times New Roman"/>
          <w:b/>
          <w:bCs/>
          <w:i/>
          <w:lang w:val="hu-HU"/>
        </w:rPr>
        <w:tab/>
        <w:t>D2309 jelzésű (FREEDOMS 2) vizsgálat: a legfontosabb eredmények</w:t>
      </w:r>
    </w:p>
    <w:p w14:paraId="0E2A08E0" w14:textId="77777777" w:rsidR="003F0FF1" w:rsidRDefault="003F0FF1" w:rsidP="00CE583C">
      <w:pPr>
        <w:keepNext/>
        <w:rPr>
          <w:rFonts w:ascii="Times New Roman" w:eastAsia="Times New Roman" w:hAnsi="Times New Roman" w:cs="Times New Roman"/>
          <w:b/>
          <w:bCs/>
          <w:lang w:val="hu-HU"/>
        </w:rPr>
      </w:pPr>
    </w:p>
    <w:tbl>
      <w:tblPr>
        <w:tblStyle w:val="TableNormal1"/>
        <w:tblW w:w="0" w:type="auto"/>
        <w:tblInd w:w="-6" w:type="dxa"/>
        <w:tblLayout w:type="fixed"/>
        <w:tblLook w:val="01E0" w:firstRow="1" w:lastRow="1" w:firstColumn="1" w:lastColumn="1" w:noHBand="0" w:noVBand="0"/>
      </w:tblPr>
      <w:tblGrid>
        <w:gridCol w:w="4731"/>
        <w:gridCol w:w="1890"/>
        <w:gridCol w:w="1940"/>
      </w:tblGrid>
      <w:tr w:rsidR="003F0FF1" w14:paraId="5D25194D" w14:textId="77777777">
        <w:trPr>
          <w:trHeight w:hRule="exact" w:val="530"/>
        </w:trPr>
        <w:tc>
          <w:tcPr>
            <w:tcW w:w="4731" w:type="dxa"/>
            <w:tcBorders>
              <w:top w:val="single" w:sz="5" w:space="0" w:color="000000"/>
              <w:left w:val="single" w:sz="5" w:space="0" w:color="000000"/>
              <w:bottom w:val="single" w:sz="5" w:space="0" w:color="000000"/>
              <w:right w:val="single" w:sz="5" w:space="0" w:color="000000"/>
            </w:tcBorders>
          </w:tcPr>
          <w:p w14:paraId="7DA33012" w14:textId="77777777" w:rsidR="003F0FF1" w:rsidRDefault="003F0FF1" w:rsidP="00CE583C">
            <w:pPr>
              <w:keepNext/>
              <w:rPr>
                <w:rFonts w:ascii="Times New Roman" w:hAnsi="Times New Roman" w:cs="Times New Roman"/>
                <w:lang w:val="hu-HU"/>
              </w:rPr>
            </w:pPr>
          </w:p>
        </w:tc>
        <w:tc>
          <w:tcPr>
            <w:tcW w:w="1890" w:type="dxa"/>
            <w:tcBorders>
              <w:top w:val="single" w:sz="5" w:space="0" w:color="000000"/>
              <w:left w:val="single" w:sz="5" w:space="0" w:color="000000"/>
              <w:bottom w:val="single" w:sz="5" w:space="0" w:color="000000"/>
              <w:right w:val="single" w:sz="5" w:space="0" w:color="000000"/>
            </w:tcBorders>
          </w:tcPr>
          <w:p w14:paraId="7878134E" w14:textId="77777777" w:rsidR="003F0FF1" w:rsidRDefault="001156D9" w:rsidP="00CE583C">
            <w:pPr>
              <w:keepNext/>
              <w:rPr>
                <w:rFonts w:ascii="Times New Roman" w:hAnsi="Times New Roman" w:cs="Times New Roman"/>
                <w:b/>
                <w:lang w:val="hu-HU"/>
              </w:rPr>
            </w:pPr>
            <w:r>
              <w:rPr>
                <w:rFonts w:ascii="Times New Roman" w:hAnsi="Times New Roman" w:cs="Times New Roman"/>
                <w:b/>
                <w:lang w:val="hu-HU"/>
              </w:rPr>
              <w:t>Fingolimod</w:t>
            </w:r>
          </w:p>
          <w:p w14:paraId="31897F6A" w14:textId="77777777" w:rsidR="003F0FF1" w:rsidRDefault="001156D9" w:rsidP="00CE583C">
            <w:pPr>
              <w:keepNext/>
              <w:rPr>
                <w:rFonts w:ascii="Times New Roman" w:eastAsia="Times New Roman" w:hAnsi="Times New Roman" w:cs="Times New Roman"/>
                <w:lang w:val="hu-HU"/>
              </w:rPr>
            </w:pPr>
            <w:r>
              <w:rPr>
                <w:rFonts w:ascii="Times New Roman" w:hAnsi="Times New Roman" w:cs="Times New Roman"/>
                <w:b/>
                <w:lang w:val="hu-HU"/>
              </w:rPr>
              <w:t>0,5 mg</w:t>
            </w:r>
          </w:p>
        </w:tc>
        <w:tc>
          <w:tcPr>
            <w:tcW w:w="1940" w:type="dxa"/>
            <w:tcBorders>
              <w:top w:val="single" w:sz="5" w:space="0" w:color="000000"/>
              <w:left w:val="single" w:sz="5" w:space="0" w:color="000000"/>
              <w:bottom w:val="single" w:sz="5" w:space="0" w:color="000000"/>
              <w:right w:val="single" w:sz="5" w:space="0" w:color="000000"/>
            </w:tcBorders>
          </w:tcPr>
          <w:p w14:paraId="02E9C487" w14:textId="77777777" w:rsidR="003F0FF1" w:rsidRDefault="001156D9" w:rsidP="00CE583C">
            <w:pPr>
              <w:keepNext/>
              <w:rPr>
                <w:rFonts w:ascii="Times New Roman" w:eastAsia="Times New Roman" w:hAnsi="Times New Roman" w:cs="Times New Roman"/>
                <w:lang w:val="hu-HU"/>
              </w:rPr>
            </w:pPr>
            <w:r>
              <w:rPr>
                <w:rFonts w:ascii="Times New Roman" w:hAnsi="Times New Roman" w:cs="Times New Roman"/>
                <w:b/>
                <w:lang w:val="hu-HU"/>
              </w:rPr>
              <w:t>Placebo</w:t>
            </w:r>
          </w:p>
        </w:tc>
      </w:tr>
      <w:tr w:rsidR="003F1EAC" w14:paraId="4845BFA1" w14:textId="77777777" w:rsidTr="00A37F51">
        <w:trPr>
          <w:trHeight w:hRule="exact" w:val="270"/>
        </w:trPr>
        <w:tc>
          <w:tcPr>
            <w:tcW w:w="4731" w:type="dxa"/>
            <w:tcBorders>
              <w:top w:val="single" w:sz="5" w:space="0" w:color="000000"/>
              <w:left w:val="single" w:sz="5" w:space="0" w:color="000000"/>
              <w:bottom w:val="single" w:sz="5" w:space="0" w:color="000000"/>
              <w:right w:val="single" w:sz="5" w:space="0" w:color="000000"/>
            </w:tcBorders>
          </w:tcPr>
          <w:p w14:paraId="734889E5" w14:textId="77777777" w:rsidR="003F1EAC" w:rsidRDefault="003F1EAC" w:rsidP="00CE583C">
            <w:pPr>
              <w:keepNext/>
              <w:rPr>
                <w:rFonts w:ascii="Times New Roman" w:eastAsia="Times New Roman" w:hAnsi="Times New Roman" w:cs="Times New Roman"/>
                <w:lang w:val="hu-HU"/>
              </w:rPr>
            </w:pPr>
            <w:r>
              <w:rPr>
                <w:rFonts w:ascii="Times New Roman" w:hAnsi="Times New Roman" w:cs="Times New Roman"/>
                <w:b/>
                <w:lang w:val="hu-HU"/>
              </w:rPr>
              <w:t>Klinikai végpontok</w:t>
            </w:r>
          </w:p>
        </w:tc>
        <w:tc>
          <w:tcPr>
            <w:tcW w:w="3830" w:type="dxa"/>
            <w:gridSpan w:val="2"/>
            <w:tcBorders>
              <w:top w:val="single" w:sz="5" w:space="0" w:color="000000"/>
              <w:left w:val="single" w:sz="5" w:space="0" w:color="000000"/>
              <w:bottom w:val="single" w:sz="5" w:space="0" w:color="000000"/>
              <w:right w:val="single" w:sz="5" w:space="0" w:color="000000"/>
            </w:tcBorders>
          </w:tcPr>
          <w:p w14:paraId="40DF0EC0" w14:textId="77777777" w:rsidR="003F1EAC" w:rsidRDefault="003F1EAC" w:rsidP="00CE583C">
            <w:pPr>
              <w:keepNext/>
              <w:rPr>
                <w:rFonts w:ascii="Times New Roman" w:hAnsi="Times New Roman" w:cs="Times New Roman"/>
                <w:lang w:val="hu-HU"/>
              </w:rPr>
            </w:pPr>
          </w:p>
        </w:tc>
      </w:tr>
      <w:tr w:rsidR="003F0FF1" w14:paraId="4BDE0B6C" w14:textId="77777777">
        <w:trPr>
          <w:trHeight w:hRule="exact" w:val="270"/>
        </w:trPr>
        <w:tc>
          <w:tcPr>
            <w:tcW w:w="4731" w:type="dxa"/>
            <w:tcBorders>
              <w:top w:val="single" w:sz="5" w:space="0" w:color="000000"/>
              <w:left w:val="single" w:sz="5" w:space="0" w:color="000000"/>
              <w:bottom w:val="single" w:sz="5" w:space="0" w:color="000000"/>
              <w:right w:val="single" w:sz="5" w:space="0" w:color="000000"/>
            </w:tcBorders>
          </w:tcPr>
          <w:p w14:paraId="36D56233"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Évenkénti relapszus ráta (elsődleges végpont)</w:t>
            </w:r>
          </w:p>
        </w:tc>
        <w:tc>
          <w:tcPr>
            <w:tcW w:w="1890" w:type="dxa"/>
            <w:tcBorders>
              <w:top w:val="single" w:sz="5" w:space="0" w:color="000000"/>
              <w:left w:val="single" w:sz="5" w:space="0" w:color="000000"/>
              <w:bottom w:val="single" w:sz="5" w:space="0" w:color="000000"/>
              <w:right w:val="single" w:sz="5" w:space="0" w:color="000000"/>
            </w:tcBorders>
          </w:tcPr>
          <w:p w14:paraId="332508C8"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0,21**</w:t>
            </w:r>
          </w:p>
        </w:tc>
        <w:tc>
          <w:tcPr>
            <w:tcW w:w="1940" w:type="dxa"/>
            <w:tcBorders>
              <w:top w:val="single" w:sz="5" w:space="0" w:color="000000"/>
              <w:left w:val="single" w:sz="5" w:space="0" w:color="000000"/>
              <w:bottom w:val="single" w:sz="5" w:space="0" w:color="000000"/>
              <w:right w:val="single" w:sz="5" w:space="0" w:color="000000"/>
            </w:tcBorders>
          </w:tcPr>
          <w:p w14:paraId="2ECEBAB9"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0,40</w:t>
            </w:r>
          </w:p>
        </w:tc>
      </w:tr>
      <w:tr w:rsidR="003F0FF1" w14:paraId="5E38A972" w14:textId="77777777">
        <w:trPr>
          <w:trHeight w:hRule="exact" w:val="530"/>
        </w:trPr>
        <w:tc>
          <w:tcPr>
            <w:tcW w:w="4731" w:type="dxa"/>
            <w:tcBorders>
              <w:top w:val="single" w:sz="5" w:space="0" w:color="000000"/>
              <w:left w:val="single" w:sz="5" w:space="0" w:color="000000"/>
              <w:bottom w:val="single" w:sz="5" w:space="0" w:color="000000"/>
              <w:right w:val="single" w:sz="5" w:space="0" w:color="000000"/>
            </w:tcBorders>
          </w:tcPr>
          <w:p w14:paraId="2068FB43"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A 24. hónapban relapszus-mentesen maradó betegek százalékos aránya</w:t>
            </w:r>
          </w:p>
        </w:tc>
        <w:tc>
          <w:tcPr>
            <w:tcW w:w="1890" w:type="dxa"/>
            <w:tcBorders>
              <w:top w:val="single" w:sz="5" w:space="0" w:color="000000"/>
              <w:left w:val="single" w:sz="5" w:space="0" w:color="000000"/>
              <w:bottom w:val="single" w:sz="5" w:space="0" w:color="000000"/>
              <w:right w:val="single" w:sz="5" w:space="0" w:color="000000"/>
            </w:tcBorders>
          </w:tcPr>
          <w:p w14:paraId="767C08B0"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71,5%**</w:t>
            </w:r>
          </w:p>
        </w:tc>
        <w:tc>
          <w:tcPr>
            <w:tcW w:w="1940" w:type="dxa"/>
            <w:tcBorders>
              <w:top w:val="single" w:sz="5" w:space="0" w:color="000000"/>
              <w:left w:val="single" w:sz="5" w:space="0" w:color="000000"/>
              <w:bottom w:val="single" w:sz="5" w:space="0" w:color="000000"/>
              <w:right w:val="single" w:sz="5" w:space="0" w:color="000000"/>
            </w:tcBorders>
          </w:tcPr>
          <w:p w14:paraId="0F662F7E"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52,7%</w:t>
            </w:r>
          </w:p>
        </w:tc>
      </w:tr>
      <w:tr w:rsidR="003F0FF1" w14:paraId="6A54E0D9" w14:textId="77777777">
        <w:trPr>
          <w:trHeight w:hRule="exact" w:val="530"/>
        </w:trPr>
        <w:tc>
          <w:tcPr>
            <w:tcW w:w="4731" w:type="dxa"/>
            <w:tcBorders>
              <w:top w:val="single" w:sz="5" w:space="0" w:color="000000"/>
              <w:left w:val="single" w:sz="5" w:space="0" w:color="000000"/>
              <w:bottom w:val="nil"/>
              <w:right w:val="single" w:sz="5" w:space="0" w:color="000000"/>
            </w:tcBorders>
          </w:tcPr>
          <w:p w14:paraId="3EC96EDA"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A 3 hónapja tartó, funkcióromláshoz vezető, igazolt progresszió aránya †</w:t>
            </w:r>
          </w:p>
        </w:tc>
        <w:tc>
          <w:tcPr>
            <w:tcW w:w="1890" w:type="dxa"/>
            <w:tcBorders>
              <w:top w:val="single" w:sz="5" w:space="0" w:color="000000"/>
              <w:left w:val="single" w:sz="5" w:space="0" w:color="000000"/>
              <w:bottom w:val="nil"/>
              <w:right w:val="single" w:sz="5" w:space="0" w:color="000000"/>
            </w:tcBorders>
          </w:tcPr>
          <w:p w14:paraId="50AE8560"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25%</w:t>
            </w:r>
          </w:p>
        </w:tc>
        <w:tc>
          <w:tcPr>
            <w:tcW w:w="1940" w:type="dxa"/>
            <w:tcBorders>
              <w:top w:val="single" w:sz="5" w:space="0" w:color="000000"/>
              <w:left w:val="single" w:sz="5" w:space="0" w:color="000000"/>
              <w:bottom w:val="nil"/>
              <w:right w:val="single" w:sz="5" w:space="0" w:color="000000"/>
            </w:tcBorders>
          </w:tcPr>
          <w:p w14:paraId="523F8818"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29%</w:t>
            </w:r>
          </w:p>
        </w:tc>
      </w:tr>
      <w:tr w:rsidR="003F0FF1" w14:paraId="41B0F171" w14:textId="77777777">
        <w:trPr>
          <w:trHeight w:hRule="exact" w:val="259"/>
        </w:trPr>
        <w:tc>
          <w:tcPr>
            <w:tcW w:w="4731" w:type="dxa"/>
            <w:tcBorders>
              <w:top w:val="nil"/>
              <w:left w:val="single" w:sz="5" w:space="0" w:color="000000"/>
              <w:bottom w:val="single" w:sz="5" w:space="0" w:color="000000"/>
              <w:right w:val="single" w:sz="5" w:space="0" w:color="000000"/>
            </w:tcBorders>
          </w:tcPr>
          <w:p w14:paraId="5542E6C2"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Relatív hazárd (95%-os CI)</w:t>
            </w:r>
          </w:p>
        </w:tc>
        <w:tc>
          <w:tcPr>
            <w:tcW w:w="1890" w:type="dxa"/>
            <w:tcBorders>
              <w:top w:val="nil"/>
              <w:left w:val="single" w:sz="5" w:space="0" w:color="000000"/>
              <w:bottom w:val="single" w:sz="5" w:space="0" w:color="000000"/>
              <w:right w:val="single" w:sz="5" w:space="0" w:color="000000"/>
            </w:tcBorders>
          </w:tcPr>
          <w:p w14:paraId="029B78F9"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0,83 (0,61; 1,12)</w:t>
            </w:r>
          </w:p>
        </w:tc>
        <w:tc>
          <w:tcPr>
            <w:tcW w:w="1940" w:type="dxa"/>
            <w:tcBorders>
              <w:top w:val="nil"/>
              <w:left w:val="single" w:sz="5" w:space="0" w:color="000000"/>
              <w:bottom w:val="single" w:sz="5" w:space="0" w:color="000000"/>
              <w:right w:val="single" w:sz="5" w:space="0" w:color="000000"/>
            </w:tcBorders>
          </w:tcPr>
          <w:p w14:paraId="217C896D" w14:textId="77777777" w:rsidR="003F0FF1" w:rsidRDefault="003F0FF1">
            <w:pPr>
              <w:rPr>
                <w:rFonts w:ascii="Times New Roman" w:hAnsi="Times New Roman" w:cs="Times New Roman"/>
                <w:lang w:val="hu-HU"/>
              </w:rPr>
            </w:pPr>
          </w:p>
        </w:tc>
      </w:tr>
      <w:tr w:rsidR="003F1EAC" w14:paraId="506DF61C" w14:textId="77777777" w:rsidTr="000364C7">
        <w:trPr>
          <w:trHeight w:hRule="exact" w:val="270"/>
        </w:trPr>
        <w:tc>
          <w:tcPr>
            <w:tcW w:w="4731" w:type="dxa"/>
            <w:tcBorders>
              <w:top w:val="single" w:sz="5" w:space="0" w:color="000000"/>
              <w:left w:val="single" w:sz="5" w:space="0" w:color="000000"/>
              <w:bottom w:val="single" w:sz="5" w:space="0" w:color="000000"/>
              <w:right w:val="single" w:sz="5" w:space="0" w:color="000000"/>
            </w:tcBorders>
          </w:tcPr>
          <w:p w14:paraId="3C2B5A89" w14:textId="77777777" w:rsidR="003F1EAC" w:rsidRDefault="003F1EAC">
            <w:pPr>
              <w:rPr>
                <w:rFonts w:ascii="Times New Roman" w:eastAsia="Times New Roman" w:hAnsi="Times New Roman" w:cs="Times New Roman"/>
                <w:lang w:val="hu-HU"/>
              </w:rPr>
            </w:pPr>
            <w:r>
              <w:rPr>
                <w:rFonts w:ascii="Times New Roman" w:hAnsi="Times New Roman" w:cs="Times New Roman"/>
                <w:b/>
                <w:lang w:val="hu-HU"/>
              </w:rPr>
              <w:t>MR-végpontok</w:t>
            </w:r>
          </w:p>
        </w:tc>
        <w:tc>
          <w:tcPr>
            <w:tcW w:w="3830" w:type="dxa"/>
            <w:gridSpan w:val="2"/>
            <w:tcBorders>
              <w:top w:val="single" w:sz="5" w:space="0" w:color="000000"/>
              <w:left w:val="single" w:sz="5" w:space="0" w:color="000000"/>
              <w:bottom w:val="single" w:sz="5" w:space="0" w:color="000000"/>
              <w:right w:val="single" w:sz="5" w:space="0" w:color="000000"/>
            </w:tcBorders>
          </w:tcPr>
          <w:p w14:paraId="663D157B" w14:textId="77777777" w:rsidR="003F1EAC" w:rsidRDefault="003F1EAC">
            <w:pPr>
              <w:rPr>
                <w:rFonts w:ascii="Times New Roman" w:hAnsi="Times New Roman" w:cs="Times New Roman"/>
                <w:lang w:val="hu-HU"/>
              </w:rPr>
            </w:pPr>
          </w:p>
        </w:tc>
      </w:tr>
      <w:tr w:rsidR="003F0FF1" w14:paraId="4CCB7657" w14:textId="77777777">
        <w:trPr>
          <w:trHeight w:hRule="exact" w:val="530"/>
        </w:trPr>
        <w:tc>
          <w:tcPr>
            <w:tcW w:w="4731" w:type="dxa"/>
            <w:tcBorders>
              <w:top w:val="single" w:sz="5" w:space="0" w:color="000000"/>
              <w:left w:val="single" w:sz="5" w:space="0" w:color="000000"/>
              <w:bottom w:val="single" w:sz="5" w:space="0" w:color="000000"/>
              <w:right w:val="single" w:sz="5" w:space="0" w:color="000000"/>
            </w:tcBorders>
          </w:tcPr>
          <w:p w14:paraId="58B852B7" w14:textId="49D26A8F" w:rsidR="003F0FF1" w:rsidRDefault="001156D9" w:rsidP="003F1EAC">
            <w:pPr>
              <w:rPr>
                <w:rFonts w:ascii="Times New Roman" w:eastAsia="Times New Roman" w:hAnsi="Times New Roman" w:cs="Times New Roman"/>
                <w:lang w:val="hu-HU"/>
              </w:rPr>
            </w:pPr>
            <w:r>
              <w:rPr>
                <w:rFonts w:ascii="Times New Roman" w:hAnsi="Times New Roman" w:cs="Times New Roman"/>
                <w:lang w:val="hu-HU"/>
              </w:rPr>
              <w:t>Az új vagy növekvő T2 léziók medián (átlagos)</w:t>
            </w:r>
            <w:r w:rsidR="003F1EAC">
              <w:rPr>
                <w:rFonts w:ascii="Times New Roman" w:hAnsi="Times New Roman" w:cs="Times New Roman"/>
                <w:lang w:val="hu-HU"/>
              </w:rPr>
              <w:t xml:space="preserve"> </w:t>
            </w:r>
            <w:r>
              <w:rPr>
                <w:rFonts w:ascii="Times New Roman" w:hAnsi="Times New Roman" w:cs="Times New Roman"/>
                <w:lang w:val="hu-HU"/>
              </w:rPr>
              <w:t>száma 24 hónap alatt</w:t>
            </w:r>
          </w:p>
        </w:tc>
        <w:tc>
          <w:tcPr>
            <w:tcW w:w="1890" w:type="dxa"/>
            <w:tcBorders>
              <w:top w:val="single" w:sz="5" w:space="0" w:color="000000"/>
              <w:left w:val="single" w:sz="5" w:space="0" w:color="000000"/>
              <w:bottom w:val="single" w:sz="5" w:space="0" w:color="000000"/>
              <w:right w:val="single" w:sz="5" w:space="0" w:color="000000"/>
            </w:tcBorders>
          </w:tcPr>
          <w:p w14:paraId="324A1D49"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0,0 (2,3)**</w:t>
            </w:r>
          </w:p>
        </w:tc>
        <w:tc>
          <w:tcPr>
            <w:tcW w:w="1940" w:type="dxa"/>
            <w:tcBorders>
              <w:top w:val="single" w:sz="5" w:space="0" w:color="000000"/>
              <w:left w:val="single" w:sz="5" w:space="0" w:color="000000"/>
              <w:bottom w:val="single" w:sz="5" w:space="0" w:color="000000"/>
              <w:right w:val="single" w:sz="5" w:space="0" w:color="000000"/>
            </w:tcBorders>
          </w:tcPr>
          <w:p w14:paraId="60523516"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4,0 (8,9)</w:t>
            </w:r>
          </w:p>
        </w:tc>
      </w:tr>
      <w:tr w:rsidR="003F0FF1" w14:paraId="41F11AFA" w14:textId="77777777">
        <w:trPr>
          <w:trHeight w:hRule="exact" w:val="529"/>
        </w:trPr>
        <w:tc>
          <w:tcPr>
            <w:tcW w:w="4731" w:type="dxa"/>
            <w:tcBorders>
              <w:top w:val="single" w:sz="5" w:space="0" w:color="000000"/>
              <w:left w:val="single" w:sz="5" w:space="0" w:color="000000"/>
              <w:bottom w:val="single" w:sz="5" w:space="0" w:color="000000"/>
              <w:right w:val="single" w:sz="5" w:space="0" w:color="000000"/>
            </w:tcBorders>
          </w:tcPr>
          <w:p w14:paraId="3487D048"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A gadolíniumot halmozó léziók medián (átlagos) száma a 24. hónapban</w:t>
            </w:r>
          </w:p>
        </w:tc>
        <w:tc>
          <w:tcPr>
            <w:tcW w:w="1890" w:type="dxa"/>
            <w:tcBorders>
              <w:top w:val="single" w:sz="5" w:space="0" w:color="000000"/>
              <w:left w:val="single" w:sz="5" w:space="0" w:color="000000"/>
              <w:bottom w:val="single" w:sz="5" w:space="0" w:color="000000"/>
              <w:right w:val="single" w:sz="5" w:space="0" w:color="000000"/>
            </w:tcBorders>
          </w:tcPr>
          <w:p w14:paraId="594E2A7A"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0,0 (0,4)**</w:t>
            </w:r>
          </w:p>
        </w:tc>
        <w:tc>
          <w:tcPr>
            <w:tcW w:w="1940" w:type="dxa"/>
            <w:tcBorders>
              <w:top w:val="single" w:sz="5" w:space="0" w:color="000000"/>
              <w:left w:val="single" w:sz="5" w:space="0" w:color="000000"/>
              <w:bottom w:val="single" w:sz="5" w:space="0" w:color="000000"/>
              <w:right w:val="single" w:sz="5" w:space="0" w:color="000000"/>
            </w:tcBorders>
          </w:tcPr>
          <w:p w14:paraId="26C07FBC"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0,0 (1,2)</w:t>
            </w:r>
          </w:p>
        </w:tc>
      </w:tr>
      <w:tr w:rsidR="003F0FF1" w14:paraId="16E4F889" w14:textId="77777777">
        <w:trPr>
          <w:trHeight w:hRule="exact" w:val="530"/>
        </w:trPr>
        <w:tc>
          <w:tcPr>
            <w:tcW w:w="4731" w:type="dxa"/>
            <w:tcBorders>
              <w:top w:val="single" w:sz="5" w:space="0" w:color="000000"/>
              <w:left w:val="single" w:sz="5" w:space="0" w:color="000000"/>
              <w:bottom w:val="single" w:sz="5" w:space="0" w:color="000000"/>
              <w:right w:val="single" w:sz="5" w:space="0" w:color="000000"/>
            </w:tcBorders>
          </w:tcPr>
          <w:p w14:paraId="59A4ADD4" w14:textId="284EBF86" w:rsidR="003F0FF1" w:rsidRDefault="001156D9">
            <w:pPr>
              <w:rPr>
                <w:rFonts w:ascii="Times New Roman" w:eastAsia="Times New Roman" w:hAnsi="Times New Roman" w:cs="Times New Roman"/>
                <w:lang w:val="hu-HU"/>
              </w:rPr>
            </w:pPr>
            <w:r>
              <w:rPr>
                <w:rFonts w:ascii="Times New Roman" w:hAnsi="Times New Roman" w:cs="Times New Roman"/>
                <w:lang w:val="hu-HU"/>
              </w:rPr>
              <w:t>Az agytérfogat medián (átlagos) %-os változása 24</w:t>
            </w:r>
            <w:r w:rsidR="003F1EAC">
              <w:rPr>
                <w:rFonts w:ascii="Times New Roman" w:hAnsi="Times New Roman" w:cs="Times New Roman"/>
                <w:lang w:val="hu-HU"/>
              </w:rPr>
              <w:t> </w:t>
            </w:r>
            <w:r>
              <w:rPr>
                <w:rFonts w:ascii="Times New Roman" w:hAnsi="Times New Roman" w:cs="Times New Roman"/>
                <w:lang w:val="hu-HU"/>
              </w:rPr>
              <w:t>hónap alatt</w:t>
            </w:r>
          </w:p>
        </w:tc>
        <w:tc>
          <w:tcPr>
            <w:tcW w:w="1890" w:type="dxa"/>
            <w:tcBorders>
              <w:top w:val="single" w:sz="5" w:space="0" w:color="000000"/>
              <w:left w:val="single" w:sz="5" w:space="0" w:color="000000"/>
              <w:bottom w:val="single" w:sz="5" w:space="0" w:color="000000"/>
              <w:right w:val="single" w:sz="5" w:space="0" w:color="000000"/>
            </w:tcBorders>
          </w:tcPr>
          <w:p w14:paraId="1DAD8305"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-0,71 (-0,86)**</w:t>
            </w:r>
          </w:p>
        </w:tc>
        <w:tc>
          <w:tcPr>
            <w:tcW w:w="1940" w:type="dxa"/>
            <w:tcBorders>
              <w:top w:val="single" w:sz="5" w:space="0" w:color="000000"/>
              <w:left w:val="single" w:sz="5" w:space="0" w:color="000000"/>
              <w:bottom w:val="single" w:sz="5" w:space="0" w:color="000000"/>
              <w:right w:val="single" w:sz="5" w:space="0" w:color="000000"/>
            </w:tcBorders>
          </w:tcPr>
          <w:p w14:paraId="24882AF6"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-1,02 (-1,28)</w:t>
            </w:r>
          </w:p>
        </w:tc>
      </w:tr>
      <w:tr w:rsidR="003F0FF1" w14:paraId="6F0083B8" w14:textId="77777777">
        <w:trPr>
          <w:trHeight w:hRule="exact" w:val="1098"/>
        </w:trPr>
        <w:tc>
          <w:tcPr>
            <w:tcW w:w="8561" w:type="dxa"/>
            <w:gridSpan w:val="3"/>
            <w:tcBorders>
              <w:top w:val="single" w:sz="5" w:space="0" w:color="000000"/>
              <w:left w:val="single" w:sz="5" w:space="0" w:color="000000"/>
              <w:bottom w:val="single" w:sz="5" w:space="0" w:color="000000"/>
              <w:right w:val="single" w:sz="5" w:space="0" w:color="000000"/>
            </w:tcBorders>
          </w:tcPr>
          <w:p w14:paraId="691F5916" w14:textId="77777777" w:rsidR="003F0FF1" w:rsidRDefault="001156D9">
            <w:pPr>
              <w:ind w:left="567" w:hanging="567"/>
              <w:rPr>
                <w:rFonts w:ascii="Times New Roman" w:eastAsia="Times New Roman" w:hAnsi="Times New Roman" w:cs="Times New Roman"/>
                <w:sz w:val="18"/>
                <w:szCs w:val="18"/>
                <w:lang w:val="hu-HU"/>
              </w:rPr>
            </w:pPr>
            <w:r>
              <w:rPr>
                <w:rFonts w:ascii="Times New Roman" w:eastAsia="Times New Roman" w:hAnsi="Times New Roman" w:cs="Times New Roman"/>
                <w:sz w:val="18"/>
                <w:szCs w:val="18"/>
                <w:lang w:val="hu-HU"/>
              </w:rPr>
              <w:t>†</w:t>
            </w:r>
            <w:r>
              <w:rPr>
                <w:rFonts w:ascii="Times New Roman" w:eastAsia="Times New Roman" w:hAnsi="Times New Roman" w:cs="Times New Roman"/>
                <w:sz w:val="18"/>
                <w:szCs w:val="18"/>
                <w:lang w:val="hu-HU"/>
              </w:rPr>
              <w:tab/>
              <w:t>A funkcióromláshoz vezető progresszió meghatározása az EDSS 3 hónappal későbbi,</w:t>
            </w:r>
            <w:r>
              <w:rPr>
                <w:rFonts w:ascii="Times New Roman" w:hAnsi="Times New Roman" w:cs="Times New Roman"/>
                <w:sz w:val="18"/>
                <w:szCs w:val="18"/>
                <w:lang w:val="hu-HU"/>
              </w:rPr>
              <w:t xml:space="preserve"> 1 ponttal történő, igazolt emelkedése.</w:t>
            </w:r>
          </w:p>
          <w:p w14:paraId="72A99F78" w14:textId="77777777" w:rsidR="003F0FF1" w:rsidRDefault="001156D9">
            <w:pPr>
              <w:tabs>
                <w:tab w:val="left" w:pos="567"/>
              </w:tabs>
              <w:rPr>
                <w:rFonts w:ascii="Times New Roman" w:eastAsia="Times New Roman" w:hAnsi="Times New Roman" w:cs="Times New Roman"/>
                <w:sz w:val="18"/>
                <w:szCs w:val="18"/>
                <w:lang w:val="hu-HU"/>
              </w:rPr>
            </w:pPr>
            <w:r>
              <w:rPr>
                <w:rFonts w:ascii="Times New Roman" w:hAnsi="Times New Roman" w:cs="Times New Roman"/>
                <w:sz w:val="18"/>
                <w:szCs w:val="18"/>
                <w:lang w:val="hu-HU"/>
              </w:rPr>
              <w:t>**</w:t>
            </w:r>
            <w:r>
              <w:rPr>
                <w:rFonts w:ascii="Times New Roman" w:hAnsi="Times New Roman" w:cs="Times New Roman"/>
                <w:sz w:val="18"/>
                <w:szCs w:val="18"/>
                <w:lang w:val="hu-HU"/>
              </w:rPr>
              <w:tab/>
              <w:t>p&lt; 0,001 a placebóhoz képest</w:t>
            </w:r>
          </w:p>
          <w:p w14:paraId="7057AFCF" w14:textId="77777777" w:rsidR="003F0FF1" w:rsidRDefault="001156D9">
            <w:pPr>
              <w:rPr>
                <w:rFonts w:ascii="Times New Roman" w:eastAsia="Times New Roman" w:hAnsi="Times New Roman" w:cs="Times New Roman"/>
                <w:sz w:val="18"/>
                <w:szCs w:val="18"/>
                <w:lang w:val="hu-HU"/>
              </w:rPr>
            </w:pPr>
            <w:r>
              <w:rPr>
                <w:rFonts w:ascii="Times New Roman" w:hAnsi="Times New Roman" w:cs="Times New Roman"/>
                <w:sz w:val="18"/>
                <w:szCs w:val="18"/>
                <w:lang w:val="hu-HU"/>
              </w:rPr>
              <w:t>A klinikai végpontok összes analízise a beválogatás szerinti populáción (intent-to-treat) történt. Az MR analízisekhez értékelhető adatállományokat használtak.</w:t>
            </w:r>
          </w:p>
        </w:tc>
      </w:tr>
    </w:tbl>
    <w:p w14:paraId="01CA1CDD" w14:textId="77777777" w:rsidR="003F0FF1" w:rsidRDefault="003F0FF1">
      <w:pPr>
        <w:rPr>
          <w:rFonts w:ascii="Times New Roman" w:eastAsia="Times New Roman" w:hAnsi="Times New Roman" w:cs="Times New Roman"/>
          <w:b/>
          <w:bCs/>
          <w:lang w:val="hu-HU"/>
        </w:rPr>
      </w:pPr>
    </w:p>
    <w:p w14:paraId="41C1F6DE" w14:textId="3E04110F"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A D2302 jelzésű (TRANSFORMS) egy 1 évig tartó, randomizált, kettős</w:t>
      </w:r>
      <w:r w:rsidR="003F1EAC">
        <w:rPr>
          <w:rFonts w:ascii="Times New Roman" w:eastAsia="Times New Roman" w:hAnsi="Times New Roman" w:cs="Times New Roman"/>
          <w:lang w:val="hu-HU"/>
        </w:rPr>
        <w:t xml:space="preserve"> </w:t>
      </w:r>
      <w:r>
        <w:rPr>
          <w:rFonts w:ascii="Times New Roman" w:eastAsia="Times New Roman" w:hAnsi="Times New Roman" w:cs="Times New Roman"/>
          <w:lang w:val="hu-HU"/>
        </w:rPr>
        <w:t>vak, dupla</w:t>
      </w:r>
      <w:r w:rsidR="003F1EAC">
        <w:rPr>
          <w:rFonts w:ascii="Times New Roman" w:eastAsia="Times New Roman" w:hAnsi="Times New Roman" w:cs="Times New Roman"/>
          <w:lang w:val="hu-HU"/>
        </w:rPr>
        <w:t xml:space="preserve"> </w:t>
      </w:r>
      <w:r>
        <w:rPr>
          <w:rFonts w:ascii="Times New Roman" w:eastAsia="Times New Roman" w:hAnsi="Times New Roman" w:cs="Times New Roman"/>
          <w:lang w:val="hu-HU"/>
        </w:rPr>
        <w:t>placebós (double-dummy), aktívkontrollos (interferon béta-1a), III  fázisú vizsgálat volt, amit 1280 beteggel végeztek (közülük n</w:t>
      </w:r>
      <w:r w:rsidR="003F1EAC">
        <w:rPr>
          <w:rFonts w:ascii="Times New Roman" w:eastAsia="Times New Roman" w:hAnsi="Times New Roman" w:cs="Times New Roman"/>
          <w:lang w:val="hu-HU"/>
        </w:rPr>
        <w:t> </w:t>
      </w:r>
      <w:r>
        <w:rPr>
          <w:rFonts w:ascii="Times New Roman" w:eastAsia="Times New Roman" w:hAnsi="Times New Roman" w:cs="Times New Roman"/>
          <w:lang w:val="hu-HU"/>
        </w:rPr>
        <w:t>=</w:t>
      </w:r>
      <w:r w:rsidR="003F1EAC">
        <w:rPr>
          <w:rFonts w:ascii="Times New Roman" w:eastAsia="Times New Roman" w:hAnsi="Times New Roman" w:cs="Times New Roman"/>
          <w:lang w:val="hu-HU"/>
        </w:rPr>
        <w:t> </w:t>
      </w:r>
      <w:r>
        <w:rPr>
          <w:rFonts w:ascii="Times New Roman" w:eastAsia="Times New Roman" w:hAnsi="Times New Roman" w:cs="Times New Roman"/>
          <w:lang w:val="hu-HU"/>
        </w:rPr>
        <w:t>429 kapott 0,5 mg, 420 kapott 1,25 mg fingolimodot, 431 kapott hetente egyszer 30 µg interferon béta-1a-t intramuscul</w:t>
      </w:r>
      <w:r w:rsidR="003F1EAC">
        <w:rPr>
          <w:rFonts w:ascii="Times New Roman" w:eastAsia="Times New Roman" w:hAnsi="Times New Roman" w:cs="Times New Roman"/>
          <w:lang w:val="hu-HU"/>
        </w:rPr>
        <w:t>a</w:t>
      </w:r>
      <w:r>
        <w:rPr>
          <w:rFonts w:ascii="Times New Roman" w:eastAsia="Times New Roman" w:hAnsi="Times New Roman" w:cs="Times New Roman"/>
          <w:lang w:val="hu-HU"/>
        </w:rPr>
        <w:t>ris injekcióban). A kiindulási jellemzők medián értékei a következők voltak: életkor 36 év, a betegség fennállásának időtartama 5,9 év és EDSS-pontszám 2,0. A vizsgálat eredményeit a 3. táblázat mutatja. A 0,5 mg-os és az 1,25 mg-os dózisok között egyik végpont tekintetében sem volt lényeges különbség.</w:t>
      </w:r>
    </w:p>
    <w:p w14:paraId="49287F69" w14:textId="77777777" w:rsidR="003F0FF1" w:rsidRDefault="003F0FF1">
      <w:pPr>
        <w:tabs>
          <w:tab w:val="left" w:pos="340"/>
        </w:tabs>
        <w:outlineLvl w:val="0"/>
        <w:rPr>
          <w:rFonts w:ascii="Times New Roman" w:eastAsia="Times New Roman" w:hAnsi="Times New Roman" w:cs="Times New Roman"/>
          <w:i/>
          <w:lang w:val="hu-HU"/>
        </w:rPr>
      </w:pPr>
    </w:p>
    <w:p w14:paraId="31ACCB0B" w14:textId="77777777" w:rsidR="003F0FF1" w:rsidRDefault="001156D9">
      <w:pPr>
        <w:numPr>
          <w:ilvl w:val="0"/>
          <w:numId w:val="30"/>
        </w:numPr>
        <w:tabs>
          <w:tab w:val="left" w:pos="340"/>
        </w:tabs>
        <w:ind w:left="0" w:firstLine="0"/>
        <w:outlineLvl w:val="0"/>
        <w:rPr>
          <w:rFonts w:ascii="Times New Roman" w:eastAsia="Times New Roman" w:hAnsi="Times New Roman" w:cs="Times New Roman"/>
          <w:i/>
          <w:lang w:val="hu-HU"/>
        </w:rPr>
      </w:pPr>
      <w:r>
        <w:rPr>
          <w:rFonts w:ascii="Times New Roman" w:eastAsia="Times New Roman" w:hAnsi="Times New Roman" w:cs="Times New Roman"/>
          <w:b/>
          <w:bCs/>
          <w:i/>
          <w:lang w:val="hu-HU"/>
        </w:rPr>
        <w:t xml:space="preserve">táblázat </w:t>
      </w:r>
      <w:r>
        <w:rPr>
          <w:rFonts w:ascii="Times New Roman" w:eastAsia="Times New Roman" w:hAnsi="Times New Roman" w:cs="Times New Roman"/>
          <w:b/>
          <w:bCs/>
          <w:i/>
          <w:lang w:val="hu-HU"/>
        </w:rPr>
        <w:tab/>
        <w:t>D2302 jelű vizsgálat (TRANSFORMS): a legfontosabb eredmények</w:t>
      </w:r>
    </w:p>
    <w:p w14:paraId="4CF62E0D" w14:textId="77777777" w:rsidR="003F0FF1" w:rsidRDefault="003F0FF1">
      <w:pPr>
        <w:rPr>
          <w:rFonts w:ascii="Times New Roman" w:eastAsia="Times New Roman" w:hAnsi="Times New Roman" w:cs="Times New Roman"/>
          <w:b/>
          <w:bCs/>
          <w:lang w:val="hu-HU"/>
        </w:rPr>
      </w:pPr>
    </w:p>
    <w:tbl>
      <w:tblPr>
        <w:tblStyle w:val="TableNormal1"/>
        <w:tblW w:w="0" w:type="auto"/>
        <w:tblInd w:w="-6" w:type="dxa"/>
        <w:tblLayout w:type="fixed"/>
        <w:tblLook w:val="01E0" w:firstRow="1" w:lastRow="1" w:firstColumn="1" w:lastColumn="1" w:noHBand="0" w:noVBand="0"/>
      </w:tblPr>
      <w:tblGrid>
        <w:gridCol w:w="4767"/>
        <w:gridCol w:w="1844"/>
        <w:gridCol w:w="1843"/>
      </w:tblGrid>
      <w:tr w:rsidR="003F0FF1" w14:paraId="3DF2E88C" w14:textId="77777777">
        <w:trPr>
          <w:trHeight w:hRule="exact" w:val="529"/>
        </w:trPr>
        <w:tc>
          <w:tcPr>
            <w:tcW w:w="4767" w:type="dxa"/>
            <w:tcBorders>
              <w:top w:val="single" w:sz="5" w:space="0" w:color="000000"/>
              <w:left w:val="single" w:sz="5" w:space="0" w:color="000000"/>
              <w:bottom w:val="single" w:sz="5" w:space="0" w:color="000000"/>
              <w:right w:val="single" w:sz="5" w:space="0" w:color="000000"/>
            </w:tcBorders>
          </w:tcPr>
          <w:p w14:paraId="1B518663" w14:textId="77777777" w:rsidR="003F0FF1" w:rsidRDefault="003F0FF1">
            <w:pPr>
              <w:rPr>
                <w:rFonts w:ascii="Times New Roman" w:hAnsi="Times New Roman" w:cs="Times New Roman"/>
                <w:lang w:val="hu-HU"/>
              </w:rPr>
            </w:pPr>
          </w:p>
        </w:tc>
        <w:tc>
          <w:tcPr>
            <w:tcW w:w="1844" w:type="dxa"/>
            <w:tcBorders>
              <w:top w:val="single" w:sz="5" w:space="0" w:color="000000"/>
              <w:left w:val="single" w:sz="5" w:space="0" w:color="000000"/>
              <w:bottom w:val="single" w:sz="5" w:space="0" w:color="000000"/>
              <w:right w:val="single" w:sz="5" w:space="0" w:color="000000"/>
            </w:tcBorders>
          </w:tcPr>
          <w:p w14:paraId="219D3964" w14:textId="77777777" w:rsidR="003F0FF1" w:rsidRDefault="001156D9">
            <w:pPr>
              <w:rPr>
                <w:rFonts w:ascii="Times New Roman" w:hAnsi="Times New Roman" w:cs="Times New Roman"/>
                <w:b/>
                <w:lang w:val="hu-HU"/>
              </w:rPr>
            </w:pPr>
            <w:r>
              <w:rPr>
                <w:rFonts w:ascii="Times New Roman" w:hAnsi="Times New Roman" w:cs="Times New Roman"/>
                <w:b/>
                <w:lang w:val="hu-HU"/>
              </w:rPr>
              <w:t>Fingolimod</w:t>
            </w:r>
          </w:p>
          <w:p w14:paraId="27AF785D" w14:textId="77777777" w:rsidR="003F0FF1" w:rsidRDefault="001156D9">
            <w:pPr>
              <w:rPr>
                <w:rFonts w:ascii="Times New Roman" w:eastAsia="Times New Roman" w:hAnsi="Times New Roman" w:cs="Times New Roman"/>
                <w:lang w:val="hu-HU"/>
              </w:rPr>
            </w:pPr>
            <w:r>
              <w:rPr>
                <w:rFonts w:ascii="Times New Roman" w:hAnsi="Times New Roman" w:cs="Times New Roman"/>
                <w:b/>
                <w:lang w:val="hu-HU"/>
              </w:rPr>
              <w:t>0,5 mg</w:t>
            </w:r>
          </w:p>
        </w:tc>
        <w:tc>
          <w:tcPr>
            <w:tcW w:w="1843" w:type="dxa"/>
            <w:tcBorders>
              <w:top w:val="single" w:sz="5" w:space="0" w:color="000000"/>
              <w:left w:val="single" w:sz="5" w:space="0" w:color="000000"/>
              <w:bottom w:val="single" w:sz="5" w:space="0" w:color="000000"/>
              <w:right w:val="single" w:sz="5" w:space="0" w:color="000000"/>
            </w:tcBorders>
          </w:tcPr>
          <w:p w14:paraId="11A942C2" w14:textId="77777777" w:rsidR="003F0FF1" w:rsidRDefault="001156D9">
            <w:pPr>
              <w:rPr>
                <w:rFonts w:ascii="Times New Roman" w:hAnsi="Times New Roman" w:cs="Times New Roman"/>
                <w:b/>
                <w:lang w:val="hu-HU"/>
              </w:rPr>
            </w:pPr>
            <w:r>
              <w:rPr>
                <w:rFonts w:ascii="Times New Roman" w:hAnsi="Times New Roman" w:cs="Times New Roman"/>
                <w:b/>
                <w:lang w:val="hu-HU"/>
              </w:rPr>
              <w:t xml:space="preserve">Interferon </w:t>
            </w:r>
          </w:p>
          <w:p w14:paraId="2572BE15" w14:textId="77777777" w:rsidR="003F0FF1" w:rsidRDefault="001156D9">
            <w:pPr>
              <w:rPr>
                <w:rFonts w:ascii="Times New Roman" w:eastAsia="Times New Roman" w:hAnsi="Times New Roman" w:cs="Times New Roman"/>
                <w:lang w:val="hu-HU"/>
              </w:rPr>
            </w:pPr>
            <w:r>
              <w:rPr>
                <w:rFonts w:ascii="Times New Roman" w:hAnsi="Times New Roman" w:cs="Times New Roman"/>
                <w:b/>
                <w:lang w:val="hu-HU"/>
              </w:rPr>
              <w:t>béta-1a, 30 μg</w:t>
            </w:r>
          </w:p>
        </w:tc>
      </w:tr>
      <w:tr w:rsidR="003F1EAC" w14:paraId="110928AE" w14:textId="77777777" w:rsidTr="00192CCF">
        <w:trPr>
          <w:trHeight w:hRule="exact" w:val="270"/>
        </w:trPr>
        <w:tc>
          <w:tcPr>
            <w:tcW w:w="4767" w:type="dxa"/>
            <w:tcBorders>
              <w:top w:val="single" w:sz="5" w:space="0" w:color="000000"/>
              <w:left w:val="single" w:sz="5" w:space="0" w:color="000000"/>
              <w:bottom w:val="single" w:sz="5" w:space="0" w:color="000000"/>
              <w:right w:val="single" w:sz="5" w:space="0" w:color="000000"/>
            </w:tcBorders>
          </w:tcPr>
          <w:p w14:paraId="2AD01030" w14:textId="77777777" w:rsidR="003F1EAC" w:rsidRDefault="003F1EAC">
            <w:pPr>
              <w:rPr>
                <w:rFonts w:ascii="Times New Roman" w:eastAsia="Times New Roman" w:hAnsi="Times New Roman" w:cs="Times New Roman"/>
                <w:lang w:val="hu-HU"/>
              </w:rPr>
            </w:pPr>
            <w:r>
              <w:rPr>
                <w:rFonts w:ascii="Times New Roman" w:hAnsi="Times New Roman" w:cs="Times New Roman"/>
                <w:b/>
                <w:lang w:val="hu-HU"/>
              </w:rPr>
              <w:t>Klinikai végpontok</w:t>
            </w:r>
          </w:p>
        </w:tc>
        <w:tc>
          <w:tcPr>
            <w:tcW w:w="3687" w:type="dxa"/>
            <w:gridSpan w:val="2"/>
            <w:tcBorders>
              <w:top w:val="single" w:sz="5" w:space="0" w:color="000000"/>
              <w:left w:val="single" w:sz="5" w:space="0" w:color="000000"/>
              <w:bottom w:val="single" w:sz="5" w:space="0" w:color="000000"/>
              <w:right w:val="single" w:sz="5" w:space="0" w:color="000000"/>
            </w:tcBorders>
          </w:tcPr>
          <w:p w14:paraId="0B09C64D" w14:textId="77777777" w:rsidR="003F1EAC" w:rsidRDefault="003F1EAC">
            <w:pPr>
              <w:rPr>
                <w:rFonts w:ascii="Times New Roman" w:hAnsi="Times New Roman" w:cs="Times New Roman"/>
                <w:lang w:val="hu-HU"/>
              </w:rPr>
            </w:pPr>
          </w:p>
        </w:tc>
      </w:tr>
      <w:tr w:rsidR="003F0FF1" w14:paraId="33ECEBEF" w14:textId="77777777">
        <w:trPr>
          <w:trHeight w:hRule="exact" w:val="270"/>
        </w:trPr>
        <w:tc>
          <w:tcPr>
            <w:tcW w:w="4767" w:type="dxa"/>
            <w:tcBorders>
              <w:top w:val="single" w:sz="5" w:space="0" w:color="000000"/>
              <w:left w:val="single" w:sz="5" w:space="0" w:color="000000"/>
              <w:bottom w:val="single" w:sz="5" w:space="0" w:color="000000"/>
              <w:right w:val="single" w:sz="5" w:space="0" w:color="000000"/>
            </w:tcBorders>
          </w:tcPr>
          <w:p w14:paraId="276A513C"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Évenkénti relapszus ráta (elsődleges végpont)</w:t>
            </w:r>
          </w:p>
        </w:tc>
        <w:tc>
          <w:tcPr>
            <w:tcW w:w="1844" w:type="dxa"/>
            <w:tcBorders>
              <w:top w:val="single" w:sz="5" w:space="0" w:color="000000"/>
              <w:left w:val="single" w:sz="5" w:space="0" w:color="000000"/>
              <w:bottom w:val="single" w:sz="5" w:space="0" w:color="000000"/>
              <w:right w:val="single" w:sz="5" w:space="0" w:color="000000"/>
            </w:tcBorders>
          </w:tcPr>
          <w:p w14:paraId="34BB4337"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0,16**</w:t>
            </w:r>
          </w:p>
        </w:tc>
        <w:tc>
          <w:tcPr>
            <w:tcW w:w="1843" w:type="dxa"/>
            <w:tcBorders>
              <w:top w:val="single" w:sz="5" w:space="0" w:color="000000"/>
              <w:left w:val="single" w:sz="5" w:space="0" w:color="000000"/>
              <w:bottom w:val="single" w:sz="5" w:space="0" w:color="000000"/>
              <w:right w:val="single" w:sz="5" w:space="0" w:color="000000"/>
            </w:tcBorders>
          </w:tcPr>
          <w:p w14:paraId="0F0E5559"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0,33</w:t>
            </w:r>
          </w:p>
        </w:tc>
      </w:tr>
      <w:tr w:rsidR="003F0FF1" w14:paraId="6405E93A" w14:textId="77777777">
        <w:trPr>
          <w:trHeight w:hRule="exact" w:val="530"/>
        </w:trPr>
        <w:tc>
          <w:tcPr>
            <w:tcW w:w="4767" w:type="dxa"/>
            <w:tcBorders>
              <w:top w:val="single" w:sz="5" w:space="0" w:color="000000"/>
              <w:left w:val="single" w:sz="5" w:space="0" w:color="000000"/>
              <w:bottom w:val="single" w:sz="5" w:space="0" w:color="000000"/>
              <w:right w:val="single" w:sz="5" w:space="0" w:color="000000"/>
            </w:tcBorders>
          </w:tcPr>
          <w:p w14:paraId="2323F6EF"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A 12. hónapban relapszus-mentesen maradó betegek százalékos aránya</w:t>
            </w:r>
          </w:p>
        </w:tc>
        <w:tc>
          <w:tcPr>
            <w:tcW w:w="1844" w:type="dxa"/>
            <w:tcBorders>
              <w:top w:val="single" w:sz="5" w:space="0" w:color="000000"/>
              <w:left w:val="single" w:sz="5" w:space="0" w:color="000000"/>
              <w:bottom w:val="single" w:sz="5" w:space="0" w:color="000000"/>
              <w:right w:val="single" w:sz="5" w:space="0" w:color="000000"/>
            </w:tcBorders>
          </w:tcPr>
          <w:p w14:paraId="35C4F0C3"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83%**</w:t>
            </w:r>
          </w:p>
        </w:tc>
        <w:tc>
          <w:tcPr>
            <w:tcW w:w="1843" w:type="dxa"/>
            <w:tcBorders>
              <w:top w:val="single" w:sz="5" w:space="0" w:color="000000"/>
              <w:left w:val="single" w:sz="5" w:space="0" w:color="000000"/>
              <w:bottom w:val="single" w:sz="5" w:space="0" w:color="000000"/>
              <w:right w:val="single" w:sz="5" w:space="0" w:color="000000"/>
            </w:tcBorders>
          </w:tcPr>
          <w:p w14:paraId="5F553CAF"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71%</w:t>
            </w:r>
          </w:p>
        </w:tc>
      </w:tr>
      <w:tr w:rsidR="003F0FF1" w14:paraId="173DDEE2" w14:textId="77777777">
        <w:trPr>
          <w:trHeight w:hRule="exact" w:val="531"/>
        </w:trPr>
        <w:tc>
          <w:tcPr>
            <w:tcW w:w="4767" w:type="dxa"/>
            <w:tcBorders>
              <w:top w:val="single" w:sz="5" w:space="0" w:color="000000"/>
              <w:left w:val="single" w:sz="5" w:space="0" w:color="000000"/>
              <w:bottom w:val="nil"/>
              <w:right w:val="single" w:sz="5" w:space="0" w:color="000000"/>
            </w:tcBorders>
          </w:tcPr>
          <w:p w14:paraId="648068C6" w14:textId="3D0F4ED5" w:rsidR="003F0FF1" w:rsidRDefault="001156D9" w:rsidP="003F1EAC">
            <w:pPr>
              <w:rPr>
                <w:rFonts w:ascii="Times New Roman" w:eastAsia="Times New Roman" w:hAnsi="Times New Roman" w:cs="Times New Roman"/>
                <w:lang w:val="hu-HU"/>
              </w:rPr>
            </w:pPr>
            <w:r>
              <w:rPr>
                <w:rFonts w:ascii="Times New Roman" w:hAnsi="Times New Roman" w:cs="Times New Roman"/>
                <w:lang w:val="hu-HU"/>
              </w:rPr>
              <w:t>A 3 hónapja tartó, funkcióromláshoz vezető,</w:t>
            </w:r>
            <w:r w:rsidR="003F1EAC">
              <w:rPr>
                <w:rFonts w:ascii="Times New Roman" w:hAnsi="Times New Roman" w:cs="Times New Roman"/>
                <w:lang w:val="hu-HU"/>
              </w:rPr>
              <w:t xml:space="preserve"> </w:t>
            </w:r>
            <w:r>
              <w:rPr>
                <w:rFonts w:ascii="Times New Roman" w:eastAsia="Times New Roman" w:hAnsi="Times New Roman" w:cs="Times New Roman"/>
                <w:lang w:val="hu-HU"/>
              </w:rPr>
              <w:t>igazolt progresszió aránya†</w:t>
            </w:r>
          </w:p>
        </w:tc>
        <w:tc>
          <w:tcPr>
            <w:tcW w:w="1844" w:type="dxa"/>
            <w:tcBorders>
              <w:top w:val="single" w:sz="5" w:space="0" w:color="000000"/>
              <w:left w:val="single" w:sz="5" w:space="0" w:color="000000"/>
              <w:bottom w:val="nil"/>
              <w:right w:val="single" w:sz="5" w:space="0" w:color="000000"/>
            </w:tcBorders>
          </w:tcPr>
          <w:p w14:paraId="2D40733C"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6%</w:t>
            </w:r>
          </w:p>
        </w:tc>
        <w:tc>
          <w:tcPr>
            <w:tcW w:w="1843" w:type="dxa"/>
            <w:tcBorders>
              <w:top w:val="single" w:sz="5" w:space="0" w:color="000000"/>
              <w:left w:val="single" w:sz="5" w:space="0" w:color="000000"/>
              <w:bottom w:val="nil"/>
              <w:right w:val="single" w:sz="5" w:space="0" w:color="000000"/>
            </w:tcBorders>
          </w:tcPr>
          <w:p w14:paraId="1C918F94"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8%</w:t>
            </w:r>
          </w:p>
        </w:tc>
      </w:tr>
      <w:tr w:rsidR="003F0FF1" w14:paraId="1E2AFDDD" w14:textId="77777777">
        <w:trPr>
          <w:trHeight w:hRule="exact" w:val="259"/>
        </w:trPr>
        <w:tc>
          <w:tcPr>
            <w:tcW w:w="4767" w:type="dxa"/>
            <w:tcBorders>
              <w:top w:val="nil"/>
              <w:left w:val="single" w:sz="5" w:space="0" w:color="000000"/>
              <w:bottom w:val="single" w:sz="5" w:space="0" w:color="000000"/>
              <w:right w:val="single" w:sz="5" w:space="0" w:color="000000"/>
            </w:tcBorders>
          </w:tcPr>
          <w:p w14:paraId="3B9C4DD5"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Relatív hazárd (95%-os CI)</w:t>
            </w:r>
          </w:p>
        </w:tc>
        <w:tc>
          <w:tcPr>
            <w:tcW w:w="1844" w:type="dxa"/>
            <w:tcBorders>
              <w:top w:val="nil"/>
              <w:left w:val="single" w:sz="5" w:space="0" w:color="000000"/>
              <w:bottom w:val="single" w:sz="5" w:space="0" w:color="000000"/>
              <w:right w:val="single" w:sz="5" w:space="0" w:color="000000"/>
            </w:tcBorders>
          </w:tcPr>
          <w:p w14:paraId="7662B406"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0,71 (0,42; 1,21)</w:t>
            </w:r>
          </w:p>
        </w:tc>
        <w:tc>
          <w:tcPr>
            <w:tcW w:w="1843" w:type="dxa"/>
            <w:tcBorders>
              <w:top w:val="nil"/>
              <w:left w:val="single" w:sz="5" w:space="0" w:color="000000"/>
              <w:bottom w:val="single" w:sz="5" w:space="0" w:color="000000"/>
              <w:right w:val="single" w:sz="5" w:space="0" w:color="000000"/>
            </w:tcBorders>
          </w:tcPr>
          <w:p w14:paraId="43A14D9B" w14:textId="77777777" w:rsidR="003F0FF1" w:rsidRDefault="003F0FF1">
            <w:pPr>
              <w:rPr>
                <w:rFonts w:ascii="Times New Roman" w:hAnsi="Times New Roman" w:cs="Times New Roman"/>
                <w:lang w:val="hu-HU"/>
              </w:rPr>
            </w:pPr>
          </w:p>
        </w:tc>
      </w:tr>
      <w:tr w:rsidR="003F1EAC" w14:paraId="0CCC440E" w14:textId="77777777" w:rsidTr="008112FA">
        <w:trPr>
          <w:trHeight w:hRule="exact" w:val="270"/>
        </w:trPr>
        <w:tc>
          <w:tcPr>
            <w:tcW w:w="4767" w:type="dxa"/>
            <w:tcBorders>
              <w:top w:val="single" w:sz="5" w:space="0" w:color="000000"/>
              <w:left w:val="single" w:sz="5" w:space="0" w:color="000000"/>
              <w:bottom w:val="single" w:sz="5" w:space="0" w:color="000000"/>
              <w:right w:val="single" w:sz="5" w:space="0" w:color="000000"/>
            </w:tcBorders>
          </w:tcPr>
          <w:p w14:paraId="7259D6DB" w14:textId="77777777" w:rsidR="003F1EAC" w:rsidRDefault="003F1EAC">
            <w:pPr>
              <w:rPr>
                <w:rFonts w:ascii="Times New Roman" w:eastAsia="Times New Roman" w:hAnsi="Times New Roman" w:cs="Times New Roman"/>
                <w:lang w:val="hu-HU"/>
              </w:rPr>
            </w:pPr>
            <w:r>
              <w:rPr>
                <w:rFonts w:ascii="Times New Roman" w:hAnsi="Times New Roman" w:cs="Times New Roman"/>
                <w:b/>
                <w:lang w:val="hu-HU"/>
              </w:rPr>
              <w:t>MR-végpontok</w:t>
            </w:r>
          </w:p>
        </w:tc>
        <w:tc>
          <w:tcPr>
            <w:tcW w:w="3687" w:type="dxa"/>
            <w:gridSpan w:val="2"/>
            <w:tcBorders>
              <w:top w:val="single" w:sz="5" w:space="0" w:color="000000"/>
              <w:left w:val="single" w:sz="5" w:space="0" w:color="000000"/>
              <w:bottom w:val="single" w:sz="5" w:space="0" w:color="000000"/>
              <w:right w:val="single" w:sz="5" w:space="0" w:color="000000"/>
            </w:tcBorders>
          </w:tcPr>
          <w:p w14:paraId="7B948C03" w14:textId="77777777" w:rsidR="003F1EAC" w:rsidRDefault="003F1EAC">
            <w:pPr>
              <w:rPr>
                <w:rFonts w:ascii="Times New Roman" w:hAnsi="Times New Roman" w:cs="Times New Roman"/>
                <w:lang w:val="hu-HU"/>
              </w:rPr>
            </w:pPr>
          </w:p>
        </w:tc>
      </w:tr>
      <w:tr w:rsidR="003F0FF1" w14:paraId="4B6C14D7" w14:textId="77777777">
        <w:trPr>
          <w:trHeight w:hRule="exact" w:val="530"/>
        </w:trPr>
        <w:tc>
          <w:tcPr>
            <w:tcW w:w="4767" w:type="dxa"/>
            <w:tcBorders>
              <w:top w:val="single" w:sz="5" w:space="0" w:color="000000"/>
              <w:left w:val="single" w:sz="5" w:space="0" w:color="000000"/>
              <w:bottom w:val="single" w:sz="5" w:space="0" w:color="000000"/>
              <w:right w:val="single" w:sz="5" w:space="0" w:color="000000"/>
            </w:tcBorders>
          </w:tcPr>
          <w:p w14:paraId="3B7F0208" w14:textId="0F5007D1" w:rsidR="003F0FF1" w:rsidRDefault="001156D9" w:rsidP="003F1EAC">
            <w:pPr>
              <w:rPr>
                <w:rFonts w:ascii="Times New Roman" w:eastAsia="Times New Roman" w:hAnsi="Times New Roman" w:cs="Times New Roman"/>
                <w:lang w:val="hu-HU"/>
              </w:rPr>
            </w:pPr>
            <w:r>
              <w:rPr>
                <w:rFonts w:ascii="Times New Roman" w:hAnsi="Times New Roman" w:cs="Times New Roman"/>
                <w:lang w:val="hu-HU"/>
              </w:rPr>
              <w:t>Az új vagy növekvő T2 léziók medián (átlagos)</w:t>
            </w:r>
            <w:r w:rsidR="003F1EAC">
              <w:rPr>
                <w:rFonts w:ascii="Times New Roman" w:hAnsi="Times New Roman" w:cs="Times New Roman"/>
                <w:lang w:val="hu-HU"/>
              </w:rPr>
              <w:t xml:space="preserve"> </w:t>
            </w:r>
            <w:r>
              <w:rPr>
                <w:rFonts w:ascii="Times New Roman" w:hAnsi="Times New Roman" w:cs="Times New Roman"/>
                <w:lang w:val="hu-HU"/>
              </w:rPr>
              <w:t>száma 12 hónap alatt</w:t>
            </w:r>
          </w:p>
        </w:tc>
        <w:tc>
          <w:tcPr>
            <w:tcW w:w="1844" w:type="dxa"/>
            <w:tcBorders>
              <w:top w:val="single" w:sz="5" w:space="0" w:color="000000"/>
              <w:left w:val="single" w:sz="5" w:space="0" w:color="000000"/>
              <w:bottom w:val="single" w:sz="5" w:space="0" w:color="000000"/>
              <w:right w:val="single" w:sz="5" w:space="0" w:color="000000"/>
            </w:tcBorders>
          </w:tcPr>
          <w:p w14:paraId="127DCB8B"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0,0 (1,7)*</w:t>
            </w:r>
          </w:p>
        </w:tc>
        <w:tc>
          <w:tcPr>
            <w:tcW w:w="1843" w:type="dxa"/>
            <w:tcBorders>
              <w:top w:val="single" w:sz="5" w:space="0" w:color="000000"/>
              <w:left w:val="single" w:sz="5" w:space="0" w:color="000000"/>
              <w:bottom w:val="single" w:sz="5" w:space="0" w:color="000000"/>
              <w:right w:val="single" w:sz="5" w:space="0" w:color="000000"/>
            </w:tcBorders>
          </w:tcPr>
          <w:p w14:paraId="7EF656C7"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1,0 (2,6)</w:t>
            </w:r>
          </w:p>
        </w:tc>
      </w:tr>
      <w:tr w:rsidR="003F0FF1" w14:paraId="694DFAFC" w14:textId="77777777">
        <w:trPr>
          <w:trHeight w:hRule="exact" w:val="530"/>
        </w:trPr>
        <w:tc>
          <w:tcPr>
            <w:tcW w:w="4767" w:type="dxa"/>
            <w:tcBorders>
              <w:top w:val="single" w:sz="5" w:space="0" w:color="000000"/>
              <w:left w:val="single" w:sz="5" w:space="0" w:color="000000"/>
              <w:bottom w:val="single" w:sz="5" w:space="0" w:color="000000"/>
              <w:right w:val="single" w:sz="5" w:space="0" w:color="000000"/>
            </w:tcBorders>
          </w:tcPr>
          <w:p w14:paraId="0C686263"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A gadolíniumot halmozó léziók medián (átlagos) száma a 12. hónapban</w:t>
            </w:r>
          </w:p>
        </w:tc>
        <w:tc>
          <w:tcPr>
            <w:tcW w:w="1844" w:type="dxa"/>
            <w:tcBorders>
              <w:top w:val="single" w:sz="5" w:space="0" w:color="000000"/>
              <w:left w:val="single" w:sz="5" w:space="0" w:color="000000"/>
              <w:bottom w:val="single" w:sz="5" w:space="0" w:color="000000"/>
              <w:right w:val="single" w:sz="5" w:space="0" w:color="000000"/>
            </w:tcBorders>
          </w:tcPr>
          <w:p w14:paraId="1B93211F"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0,0 (0,2)**</w:t>
            </w:r>
          </w:p>
        </w:tc>
        <w:tc>
          <w:tcPr>
            <w:tcW w:w="1843" w:type="dxa"/>
            <w:tcBorders>
              <w:top w:val="single" w:sz="5" w:space="0" w:color="000000"/>
              <w:left w:val="single" w:sz="5" w:space="0" w:color="000000"/>
              <w:bottom w:val="single" w:sz="5" w:space="0" w:color="000000"/>
              <w:right w:val="single" w:sz="5" w:space="0" w:color="000000"/>
            </w:tcBorders>
          </w:tcPr>
          <w:p w14:paraId="766A5BBB"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0,0 (0,5)</w:t>
            </w:r>
          </w:p>
        </w:tc>
      </w:tr>
      <w:tr w:rsidR="003F0FF1" w14:paraId="7ECD69A3" w14:textId="77777777">
        <w:trPr>
          <w:trHeight w:hRule="exact" w:val="529"/>
        </w:trPr>
        <w:tc>
          <w:tcPr>
            <w:tcW w:w="4767" w:type="dxa"/>
            <w:tcBorders>
              <w:top w:val="single" w:sz="5" w:space="0" w:color="000000"/>
              <w:left w:val="single" w:sz="5" w:space="0" w:color="000000"/>
              <w:bottom w:val="single" w:sz="5" w:space="0" w:color="000000"/>
              <w:right w:val="single" w:sz="5" w:space="0" w:color="000000"/>
            </w:tcBorders>
          </w:tcPr>
          <w:p w14:paraId="6FA27EAB" w14:textId="0C488684" w:rsidR="003F0FF1" w:rsidRDefault="001156D9">
            <w:pPr>
              <w:rPr>
                <w:rFonts w:ascii="Times New Roman" w:eastAsia="Times New Roman" w:hAnsi="Times New Roman" w:cs="Times New Roman"/>
                <w:lang w:val="hu-HU"/>
              </w:rPr>
            </w:pPr>
            <w:r>
              <w:rPr>
                <w:rFonts w:ascii="Times New Roman" w:hAnsi="Times New Roman" w:cs="Times New Roman"/>
                <w:lang w:val="hu-HU"/>
              </w:rPr>
              <w:t>Az agytérfogat medián (átlagos) %-os változása 12</w:t>
            </w:r>
            <w:r w:rsidR="003F1EAC">
              <w:rPr>
                <w:rFonts w:ascii="Times New Roman" w:hAnsi="Times New Roman" w:cs="Times New Roman"/>
                <w:lang w:val="hu-HU"/>
              </w:rPr>
              <w:t> </w:t>
            </w:r>
            <w:r>
              <w:rPr>
                <w:rFonts w:ascii="Times New Roman" w:hAnsi="Times New Roman" w:cs="Times New Roman"/>
                <w:lang w:val="hu-HU"/>
              </w:rPr>
              <w:t>hónap alatt</w:t>
            </w:r>
          </w:p>
        </w:tc>
        <w:tc>
          <w:tcPr>
            <w:tcW w:w="1844" w:type="dxa"/>
            <w:tcBorders>
              <w:top w:val="single" w:sz="5" w:space="0" w:color="000000"/>
              <w:left w:val="single" w:sz="5" w:space="0" w:color="000000"/>
              <w:bottom w:val="single" w:sz="5" w:space="0" w:color="000000"/>
              <w:right w:val="single" w:sz="5" w:space="0" w:color="000000"/>
            </w:tcBorders>
          </w:tcPr>
          <w:p w14:paraId="47E26041"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-0,2 (-0,3)**</w:t>
            </w:r>
          </w:p>
        </w:tc>
        <w:tc>
          <w:tcPr>
            <w:tcW w:w="1843" w:type="dxa"/>
            <w:tcBorders>
              <w:top w:val="single" w:sz="5" w:space="0" w:color="000000"/>
              <w:left w:val="single" w:sz="5" w:space="0" w:color="000000"/>
              <w:bottom w:val="single" w:sz="5" w:space="0" w:color="000000"/>
              <w:right w:val="single" w:sz="5" w:space="0" w:color="000000"/>
            </w:tcBorders>
          </w:tcPr>
          <w:p w14:paraId="52937A73"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-0,4 (-0,5)</w:t>
            </w:r>
          </w:p>
        </w:tc>
      </w:tr>
      <w:tr w:rsidR="003F0FF1" w14:paraId="7EB3998A" w14:textId="77777777">
        <w:trPr>
          <w:trHeight w:hRule="exact" w:val="1136"/>
        </w:trPr>
        <w:tc>
          <w:tcPr>
            <w:tcW w:w="8454" w:type="dxa"/>
            <w:gridSpan w:val="3"/>
            <w:tcBorders>
              <w:top w:val="single" w:sz="5" w:space="0" w:color="000000"/>
              <w:left w:val="single" w:sz="5" w:space="0" w:color="000000"/>
              <w:bottom w:val="single" w:sz="5" w:space="0" w:color="000000"/>
              <w:right w:val="single" w:sz="5" w:space="0" w:color="000000"/>
            </w:tcBorders>
          </w:tcPr>
          <w:p w14:paraId="295A8695" w14:textId="77777777" w:rsidR="003F0FF1" w:rsidRDefault="001156D9">
            <w:pPr>
              <w:ind w:left="567" w:hanging="567"/>
              <w:rPr>
                <w:rFonts w:ascii="Times New Roman" w:eastAsia="Times New Roman" w:hAnsi="Times New Roman" w:cs="Times New Roman"/>
                <w:sz w:val="18"/>
                <w:szCs w:val="18"/>
                <w:lang w:val="hu-HU"/>
              </w:rPr>
            </w:pPr>
            <w:r>
              <w:rPr>
                <w:rFonts w:ascii="Times New Roman" w:eastAsia="Times New Roman" w:hAnsi="Times New Roman" w:cs="Times New Roman"/>
                <w:sz w:val="18"/>
                <w:szCs w:val="18"/>
                <w:lang w:val="hu-HU"/>
              </w:rPr>
              <w:t>†</w:t>
            </w:r>
            <w:r>
              <w:rPr>
                <w:rFonts w:ascii="Times New Roman" w:eastAsia="Times New Roman" w:hAnsi="Times New Roman" w:cs="Times New Roman"/>
                <w:sz w:val="18"/>
                <w:szCs w:val="18"/>
                <w:lang w:val="hu-HU"/>
              </w:rPr>
              <w:tab/>
              <w:t xml:space="preserve">A funkcióromláshoz vezető progresszió meghatározása az EDSS 3 hónappal későbbi, </w:t>
            </w:r>
            <w:r>
              <w:rPr>
                <w:rFonts w:ascii="Times New Roman" w:hAnsi="Times New Roman" w:cs="Times New Roman"/>
                <w:sz w:val="18"/>
                <w:szCs w:val="18"/>
                <w:lang w:val="hu-HU"/>
              </w:rPr>
              <w:t>1 ponttal történő, igazolt emelkedése.</w:t>
            </w:r>
          </w:p>
          <w:p w14:paraId="10E9B90E" w14:textId="77777777" w:rsidR="003F0FF1" w:rsidRDefault="001156D9">
            <w:pPr>
              <w:tabs>
                <w:tab w:val="left" w:pos="567"/>
              </w:tabs>
              <w:rPr>
                <w:rFonts w:ascii="Times New Roman" w:eastAsia="Times New Roman" w:hAnsi="Times New Roman" w:cs="Times New Roman"/>
                <w:sz w:val="18"/>
                <w:szCs w:val="18"/>
                <w:lang w:val="hu-HU"/>
              </w:rPr>
            </w:pPr>
            <w:r>
              <w:rPr>
                <w:rFonts w:ascii="Times New Roman" w:hAnsi="Times New Roman" w:cs="Times New Roman"/>
                <w:sz w:val="18"/>
                <w:szCs w:val="18"/>
                <w:lang w:val="hu-HU"/>
              </w:rPr>
              <w:t>**</w:t>
            </w:r>
            <w:r>
              <w:rPr>
                <w:rFonts w:ascii="Times New Roman" w:hAnsi="Times New Roman" w:cs="Times New Roman"/>
                <w:sz w:val="18"/>
                <w:szCs w:val="18"/>
                <w:lang w:val="hu-HU"/>
              </w:rPr>
              <w:tab/>
              <w:t>p&lt; 0,01, *p&lt; 0,01 az interferon béta-1a-hoz képest</w:t>
            </w:r>
          </w:p>
          <w:p w14:paraId="716D0707" w14:textId="77777777" w:rsidR="003F0FF1" w:rsidRDefault="001156D9">
            <w:pPr>
              <w:rPr>
                <w:rFonts w:ascii="Times New Roman" w:eastAsia="Times New Roman" w:hAnsi="Times New Roman" w:cs="Times New Roman"/>
                <w:lang w:val="hu-HU"/>
              </w:rPr>
            </w:pPr>
            <w:r>
              <w:rPr>
                <w:rFonts w:ascii="Times New Roman" w:hAnsi="Times New Roman" w:cs="Times New Roman"/>
                <w:sz w:val="18"/>
                <w:szCs w:val="18"/>
                <w:lang w:val="hu-HU"/>
              </w:rPr>
              <w:t>A klinikai végpontok összes analízise a beválogatás szerinti populáción (intent-to-treat) történt. Az MRI analízisekhez értékelhető adatállományokat használtak.</w:t>
            </w:r>
          </w:p>
        </w:tc>
      </w:tr>
    </w:tbl>
    <w:p w14:paraId="4B164908" w14:textId="77777777" w:rsidR="003F0FF1" w:rsidRDefault="003F0FF1">
      <w:pPr>
        <w:rPr>
          <w:rFonts w:ascii="Times New Roman" w:eastAsia="Times New Roman" w:hAnsi="Times New Roman" w:cs="Times New Roman"/>
          <w:b/>
          <w:bCs/>
          <w:lang w:val="hu-HU"/>
        </w:rPr>
      </w:pPr>
    </w:p>
    <w:p w14:paraId="30FC8229" w14:textId="555D2229" w:rsidR="003F0FF1" w:rsidRDefault="001156D9" w:rsidP="00CE583C">
      <w:pPr>
        <w:widowControl/>
        <w:rPr>
          <w:rFonts w:ascii="Times New Roman" w:eastAsia="Times New Roman" w:hAnsi="Times New Roman" w:cs="Times New Roman"/>
          <w:lang w:val="hu-HU"/>
        </w:rPr>
      </w:pPr>
      <w:r>
        <w:rPr>
          <w:rFonts w:ascii="Times New Roman" w:eastAsia="Times New Roman" w:hAnsi="Times New Roman" w:cs="Times New Roman"/>
          <w:lang w:val="hu-HU"/>
        </w:rPr>
        <w:lastRenderedPageBreak/>
        <w:t xml:space="preserve">Azok a betegek, akik befejezték a 12 hónapos TRANSFORMS fő vizsgálatot, beléphettek egy, a dózis tekintetében </w:t>
      </w:r>
      <w:r>
        <w:rPr>
          <w:rFonts w:ascii="Times New Roman" w:hAnsi="Times New Roman" w:cs="Times New Roman"/>
          <w:lang w:val="hu-HU"/>
        </w:rPr>
        <w:t>ismeretlen besorolású</w:t>
      </w:r>
      <w:r>
        <w:rPr>
          <w:rFonts w:ascii="Times New Roman" w:eastAsia="Times New Roman" w:hAnsi="Times New Roman" w:cs="Times New Roman"/>
          <w:lang w:val="hu-HU"/>
        </w:rPr>
        <w:t>, kiterjesztett vizsgálatba (D2302E1), és fingolimodot kaptak. Összesen 1030 beteget vontak be, ugyanakkor közülük 3 beteg nem kapott kezelést (n = 356 kapta tovább a 0,5 mg-ot, 330 kapta tovább az 1,25 mg-ot, 167 lett átállítva interferon béta-1a-ról 0,5 mg-ra, és 174 lett átállítva interferon béta-1a-ról 1,25 mg-ra). Tizenkét hónap után (24 hónap) 882 beteg (86%) vett még mindig részt a vizsgálatban. A 12. és 24. hónap között a fő vizsgálatban 0,5 mg fingolimodot kapó betegek közül azoknál, akik továbbra is 0,5 mg-ot kaptak, az évenkénti relapszus</w:t>
      </w:r>
      <w:r w:rsidR="00722E2D">
        <w:rPr>
          <w:rFonts w:ascii="Times New Roman" w:eastAsia="Times New Roman" w:hAnsi="Times New Roman" w:cs="Times New Roman"/>
          <w:lang w:val="hu-HU"/>
        </w:rPr>
        <w:noBreakHyphen/>
      </w:r>
      <w:r>
        <w:rPr>
          <w:rFonts w:ascii="Times New Roman" w:eastAsia="Times New Roman" w:hAnsi="Times New Roman" w:cs="Times New Roman"/>
          <w:lang w:val="hu-HU"/>
        </w:rPr>
        <w:t>ráta 0,20 volt (0,19 a fő vizsgálatban). Az interferon béta-1a-ról 0,5 mg fingolimodra átállított betegeknél az évenkénti relapszus-ráta 0,33 volt (0,48 a fő vizsgálatban).</w:t>
      </w:r>
    </w:p>
    <w:p w14:paraId="621A38F5" w14:textId="77777777" w:rsidR="003F0FF1" w:rsidRDefault="003F0FF1">
      <w:pPr>
        <w:rPr>
          <w:rFonts w:ascii="Times New Roman" w:eastAsia="Times New Roman" w:hAnsi="Times New Roman" w:cs="Times New Roman"/>
          <w:lang w:val="hu-HU"/>
        </w:rPr>
      </w:pPr>
    </w:p>
    <w:p w14:paraId="2307F595"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A D2301 és D2302 jelzésű vizsgálatok összesített eredményei az évenkénti relapszus-ráta komparátorhoz viszonyított konzisztens és statisztikailag szignifikáns csökkenését mutatták az alábbi alcsoportok esetén: nem, életkor, sclerosis multiplex korábbi kezelése, betegség kiindulási aktivitása, vagy kiindulási mozgáskorlátozottság.</w:t>
      </w:r>
    </w:p>
    <w:p w14:paraId="03652229" w14:textId="77777777" w:rsidR="003F0FF1" w:rsidRDefault="003F0FF1">
      <w:pPr>
        <w:rPr>
          <w:rFonts w:ascii="Times New Roman" w:eastAsia="Times New Roman" w:hAnsi="Times New Roman" w:cs="Times New Roman"/>
          <w:lang w:val="hu-HU"/>
        </w:rPr>
      </w:pPr>
    </w:p>
    <w:p w14:paraId="59DC27E1"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A klinikai vizsgálati adatok további elemzése a relapszáló-remittáló sclerosis multiplexben szenvedő betegek nagyon aktív alcsoportjában konzisztens terápiás hatásokat igazolt.</w:t>
      </w:r>
    </w:p>
    <w:p w14:paraId="6DF2CA49" w14:textId="77777777" w:rsidR="003F0FF1" w:rsidRDefault="003F0FF1">
      <w:pPr>
        <w:rPr>
          <w:rFonts w:ascii="Times New Roman" w:eastAsia="Times New Roman" w:hAnsi="Times New Roman" w:cs="Times New Roman"/>
          <w:lang w:val="hu-HU"/>
        </w:rPr>
      </w:pPr>
    </w:p>
    <w:p w14:paraId="164753C6"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u w:val="single" w:color="000000"/>
          <w:lang w:val="hu-HU"/>
        </w:rPr>
        <w:t>Gyermekek és serdülők</w:t>
      </w:r>
    </w:p>
    <w:p w14:paraId="49659325"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A fingolimod 0,25 mg vagy a 0,5 mg naponta egyszeri adagjainak (a testömeg és az expozíciómérés alapján kiválasztott adag) hatásosságát és biztonságosságát 10 és &lt; 18 év közötti életkorú, relapszáló-remittáló sclerosis multiplexben szenvedő, gyermekgyógyászati betegek esetében igazolták.</w:t>
      </w:r>
    </w:p>
    <w:p w14:paraId="58CABF77" w14:textId="77777777" w:rsidR="003F0FF1" w:rsidRDefault="003F0FF1">
      <w:pPr>
        <w:rPr>
          <w:rFonts w:ascii="Times New Roman" w:eastAsia="Times New Roman" w:hAnsi="Times New Roman" w:cs="Times New Roman"/>
          <w:lang w:val="hu-HU"/>
        </w:rPr>
      </w:pPr>
    </w:p>
    <w:p w14:paraId="75202DF1" w14:textId="70F45F2D"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A D2311 (PARADIGMS) egy kettős</w:t>
      </w:r>
      <w:r w:rsidR="00722E2D">
        <w:rPr>
          <w:rFonts w:ascii="Times New Roman" w:eastAsia="Times New Roman" w:hAnsi="Times New Roman" w:cs="Times New Roman"/>
          <w:lang w:val="hu-HU"/>
        </w:rPr>
        <w:t xml:space="preserve"> </w:t>
      </w:r>
      <w:r>
        <w:rPr>
          <w:rFonts w:ascii="Times New Roman" w:eastAsia="Times New Roman" w:hAnsi="Times New Roman" w:cs="Times New Roman"/>
          <w:lang w:val="hu-HU"/>
        </w:rPr>
        <w:t>vak, dupla-placebós (double-dummy), aktív-kontrollos, rugalmas időtartamú, legfeljebb 24 hónapos vizsgálat volt, amelyben 215, 10 és &lt; 18 év közötti életkorú beteg vett részt (n = 107 a fingolimodot kapott, n = 108 pedig hetente egyszer 30 µg interferon béta-1a-t kapott intramuscularis injekcióban).</w:t>
      </w:r>
    </w:p>
    <w:p w14:paraId="6E8F5E19" w14:textId="77777777" w:rsidR="003F0FF1" w:rsidRDefault="003F0FF1">
      <w:pPr>
        <w:rPr>
          <w:rFonts w:ascii="Times New Roman" w:eastAsia="Times New Roman" w:hAnsi="Times New Roman" w:cs="Times New Roman"/>
          <w:lang w:val="hu-HU"/>
        </w:rPr>
      </w:pPr>
    </w:p>
    <w:p w14:paraId="0D19E67D"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A kiindulási jellemzők medián értékei a következők voltak: 16 év, a betegség medián időtartama 1,5 év, EDSS pontszám: 1,5. A betegek többségénél a Tanner-stádium 2 vagy annál magasabb volt (94,4%), a testtömeg pedig &gt;40 kg (95,3%). Összefoglalva, a betegek közül 180-an (84%) fejezték be a vizsgálat alapfázisát a vizsgálati készítmény alkalmazásával (n = 99 [92,5%] a fingolimod csoportban, 81 [75%] az interferon béta-1a csoportban). A végpontokra vonatkozó eredményeket a 4. táblázat mutatja be.</w:t>
      </w:r>
    </w:p>
    <w:p w14:paraId="35ABF133" w14:textId="77777777" w:rsidR="003F0FF1" w:rsidRDefault="003F0FF1">
      <w:pPr>
        <w:rPr>
          <w:rFonts w:ascii="Times New Roman" w:eastAsia="Times New Roman" w:hAnsi="Times New Roman" w:cs="Times New Roman"/>
          <w:lang w:val="hu-HU"/>
        </w:rPr>
      </w:pPr>
    </w:p>
    <w:p w14:paraId="2050F650" w14:textId="77777777" w:rsidR="003F0FF1" w:rsidRDefault="001156D9">
      <w:pPr>
        <w:numPr>
          <w:ilvl w:val="0"/>
          <w:numId w:val="30"/>
        </w:numPr>
        <w:tabs>
          <w:tab w:val="left" w:pos="340"/>
        </w:tabs>
        <w:ind w:left="0" w:firstLine="0"/>
        <w:outlineLvl w:val="0"/>
        <w:rPr>
          <w:rFonts w:ascii="Times New Roman" w:eastAsia="Times New Roman" w:hAnsi="Times New Roman" w:cs="Times New Roman"/>
          <w:i/>
          <w:lang w:val="hu-HU"/>
        </w:rPr>
      </w:pPr>
      <w:r>
        <w:rPr>
          <w:rFonts w:ascii="Times New Roman" w:eastAsia="Times New Roman" w:hAnsi="Times New Roman" w:cs="Times New Roman"/>
          <w:b/>
          <w:bCs/>
          <w:i/>
          <w:lang w:val="hu-HU"/>
        </w:rPr>
        <w:t>táblázat</w:t>
      </w:r>
      <w:r>
        <w:rPr>
          <w:rFonts w:ascii="Times New Roman" w:eastAsia="Times New Roman" w:hAnsi="Times New Roman" w:cs="Times New Roman"/>
          <w:b/>
          <w:bCs/>
          <w:i/>
          <w:lang w:val="hu-HU"/>
        </w:rPr>
        <w:tab/>
        <w:t>D2311 jelzésű (PARADIGMS) vizsgálat: a legfontosabb eredmények</w:t>
      </w:r>
    </w:p>
    <w:p w14:paraId="5D062B29" w14:textId="77777777" w:rsidR="003F0FF1" w:rsidRDefault="003F0FF1">
      <w:pPr>
        <w:rPr>
          <w:rFonts w:ascii="Times New Roman" w:eastAsia="Times New Roman" w:hAnsi="Times New Roman" w:cs="Times New Roman"/>
          <w:b/>
          <w:bCs/>
          <w:lang w:val="hu-HU"/>
        </w:rPr>
      </w:pPr>
    </w:p>
    <w:tbl>
      <w:tblPr>
        <w:tblStyle w:val="TableNormal1"/>
        <w:tblW w:w="9185" w:type="dxa"/>
        <w:tblInd w:w="-6" w:type="dxa"/>
        <w:tblLayout w:type="fixed"/>
        <w:tblLook w:val="01E0" w:firstRow="1" w:lastRow="1" w:firstColumn="1" w:lastColumn="1" w:noHBand="0" w:noVBand="0"/>
      </w:tblPr>
      <w:tblGrid>
        <w:gridCol w:w="5071"/>
        <w:gridCol w:w="2057"/>
        <w:gridCol w:w="2057"/>
      </w:tblGrid>
      <w:tr w:rsidR="003F0FF1" w14:paraId="40EE5D80" w14:textId="77777777">
        <w:trPr>
          <w:trHeight w:hRule="exact" w:val="769"/>
        </w:trPr>
        <w:tc>
          <w:tcPr>
            <w:tcW w:w="5071" w:type="dxa"/>
            <w:tcBorders>
              <w:top w:val="single" w:sz="5" w:space="0" w:color="000000"/>
              <w:left w:val="single" w:sz="5" w:space="0" w:color="000000"/>
              <w:bottom w:val="single" w:sz="5" w:space="0" w:color="000000"/>
              <w:right w:val="single" w:sz="5" w:space="0" w:color="000000"/>
            </w:tcBorders>
          </w:tcPr>
          <w:p w14:paraId="50B2A467" w14:textId="77777777" w:rsidR="003F0FF1" w:rsidRDefault="003F0FF1">
            <w:pPr>
              <w:rPr>
                <w:rFonts w:ascii="Times New Roman" w:hAnsi="Times New Roman" w:cs="Times New Roman"/>
                <w:lang w:val="hu-HU"/>
              </w:rPr>
            </w:pPr>
          </w:p>
        </w:tc>
        <w:tc>
          <w:tcPr>
            <w:tcW w:w="2057" w:type="dxa"/>
            <w:tcBorders>
              <w:top w:val="single" w:sz="5" w:space="0" w:color="000000"/>
              <w:left w:val="single" w:sz="5" w:space="0" w:color="000000"/>
              <w:bottom w:val="single" w:sz="5" w:space="0" w:color="000000"/>
              <w:right w:val="single" w:sz="5" w:space="0" w:color="000000"/>
            </w:tcBorders>
          </w:tcPr>
          <w:p w14:paraId="7059DB75" w14:textId="77777777" w:rsidR="003F0FF1" w:rsidRDefault="001156D9">
            <w:pPr>
              <w:rPr>
                <w:rFonts w:ascii="Times New Roman" w:hAnsi="Times New Roman" w:cs="Times New Roman"/>
                <w:b/>
                <w:lang w:val="hu-HU"/>
              </w:rPr>
            </w:pPr>
            <w:r>
              <w:rPr>
                <w:rFonts w:ascii="Times New Roman" w:hAnsi="Times New Roman" w:cs="Times New Roman"/>
                <w:b/>
                <w:lang w:val="hu-HU"/>
              </w:rPr>
              <w:t>Fingolimod</w:t>
            </w:r>
          </w:p>
          <w:p w14:paraId="424501C1" w14:textId="77777777" w:rsidR="003F0FF1" w:rsidRDefault="001156D9">
            <w:pPr>
              <w:rPr>
                <w:rFonts w:ascii="Times New Roman" w:eastAsia="Times New Roman" w:hAnsi="Times New Roman" w:cs="Times New Roman"/>
                <w:lang w:val="hu-HU"/>
              </w:rPr>
            </w:pPr>
            <w:r>
              <w:rPr>
                <w:rFonts w:ascii="Times New Roman" w:hAnsi="Times New Roman" w:cs="Times New Roman"/>
                <w:b/>
                <w:lang w:val="hu-HU"/>
              </w:rPr>
              <w:t>0,25 mg vagy</w:t>
            </w:r>
          </w:p>
          <w:p w14:paraId="6C611277" w14:textId="77777777" w:rsidR="003F0FF1" w:rsidRDefault="001156D9">
            <w:pPr>
              <w:rPr>
                <w:rFonts w:ascii="Times New Roman" w:eastAsia="Times New Roman" w:hAnsi="Times New Roman" w:cs="Times New Roman"/>
                <w:lang w:val="hu-HU"/>
              </w:rPr>
            </w:pPr>
            <w:r>
              <w:rPr>
                <w:rFonts w:ascii="Times New Roman" w:hAnsi="Times New Roman" w:cs="Times New Roman"/>
                <w:b/>
                <w:lang w:val="hu-HU"/>
              </w:rPr>
              <w:t>0,5 mg</w:t>
            </w:r>
          </w:p>
        </w:tc>
        <w:tc>
          <w:tcPr>
            <w:tcW w:w="2057" w:type="dxa"/>
            <w:tcBorders>
              <w:top w:val="single" w:sz="5" w:space="0" w:color="000000"/>
              <w:left w:val="single" w:sz="5" w:space="0" w:color="000000"/>
              <w:bottom w:val="single" w:sz="5" w:space="0" w:color="000000"/>
              <w:right w:val="single" w:sz="5" w:space="0" w:color="000000"/>
            </w:tcBorders>
          </w:tcPr>
          <w:p w14:paraId="630E58C3" w14:textId="77777777" w:rsidR="003F0FF1" w:rsidRDefault="001156D9">
            <w:pPr>
              <w:rPr>
                <w:rFonts w:ascii="Times New Roman" w:hAnsi="Times New Roman" w:cs="Times New Roman"/>
                <w:b/>
                <w:lang w:val="hu-HU"/>
              </w:rPr>
            </w:pPr>
            <w:r>
              <w:rPr>
                <w:rFonts w:ascii="Times New Roman" w:hAnsi="Times New Roman" w:cs="Times New Roman"/>
                <w:b/>
                <w:lang w:val="hu-HU"/>
              </w:rPr>
              <w:t>Interferon béta-1a</w:t>
            </w:r>
          </w:p>
          <w:p w14:paraId="387022A8" w14:textId="77777777" w:rsidR="003F0FF1" w:rsidRDefault="001156D9">
            <w:pPr>
              <w:rPr>
                <w:rFonts w:ascii="Times New Roman" w:eastAsia="Times New Roman" w:hAnsi="Times New Roman" w:cs="Times New Roman"/>
                <w:lang w:val="hu-HU"/>
              </w:rPr>
            </w:pPr>
            <w:r>
              <w:rPr>
                <w:rFonts w:ascii="Times New Roman" w:hAnsi="Times New Roman" w:cs="Times New Roman"/>
                <w:b/>
                <w:lang w:val="hu-HU"/>
              </w:rPr>
              <w:t>30 µg</w:t>
            </w:r>
          </w:p>
        </w:tc>
      </w:tr>
      <w:tr w:rsidR="003F0FF1" w14:paraId="55054227" w14:textId="77777777">
        <w:trPr>
          <w:trHeight w:hRule="exact" w:val="342"/>
        </w:trPr>
        <w:tc>
          <w:tcPr>
            <w:tcW w:w="5071" w:type="dxa"/>
            <w:tcBorders>
              <w:top w:val="single" w:sz="5" w:space="0" w:color="000000"/>
              <w:left w:val="single" w:sz="5" w:space="0" w:color="000000"/>
              <w:bottom w:val="single" w:sz="5" w:space="0" w:color="000000"/>
              <w:right w:val="single" w:sz="5" w:space="0" w:color="000000"/>
            </w:tcBorders>
          </w:tcPr>
          <w:p w14:paraId="1385C282" w14:textId="77777777" w:rsidR="003F0FF1" w:rsidRDefault="001156D9">
            <w:pPr>
              <w:rPr>
                <w:rFonts w:ascii="Times New Roman" w:eastAsia="Times New Roman" w:hAnsi="Times New Roman" w:cs="Times New Roman"/>
                <w:lang w:val="hu-HU"/>
              </w:rPr>
            </w:pPr>
            <w:r>
              <w:rPr>
                <w:rFonts w:ascii="Times New Roman" w:hAnsi="Times New Roman" w:cs="Times New Roman"/>
                <w:b/>
                <w:lang w:val="hu-HU"/>
              </w:rPr>
              <w:t>Klinikai végpontok</w:t>
            </w:r>
          </w:p>
        </w:tc>
        <w:tc>
          <w:tcPr>
            <w:tcW w:w="2057" w:type="dxa"/>
            <w:tcBorders>
              <w:top w:val="single" w:sz="5" w:space="0" w:color="000000"/>
              <w:left w:val="single" w:sz="5" w:space="0" w:color="000000"/>
              <w:bottom w:val="single" w:sz="5" w:space="0" w:color="000000"/>
              <w:right w:val="single" w:sz="5" w:space="0" w:color="000000"/>
            </w:tcBorders>
          </w:tcPr>
          <w:p w14:paraId="0D83A1E3"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n = 107</w:t>
            </w:r>
          </w:p>
        </w:tc>
        <w:tc>
          <w:tcPr>
            <w:tcW w:w="2057" w:type="dxa"/>
            <w:tcBorders>
              <w:top w:val="single" w:sz="5" w:space="0" w:color="000000"/>
              <w:left w:val="single" w:sz="5" w:space="0" w:color="000000"/>
              <w:bottom w:val="single" w:sz="5" w:space="0" w:color="000000"/>
              <w:right w:val="single" w:sz="5" w:space="0" w:color="000000"/>
            </w:tcBorders>
          </w:tcPr>
          <w:p w14:paraId="0DE63ED6"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n = 107</w:t>
            </w:r>
            <w:r>
              <w:rPr>
                <w:rFonts w:ascii="Times New Roman" w:hAnsi="Times New Roman" w:cs="Times New Roman"/>
                <w:vertAlign w:val="superscript"/>
                <w:lang w:val="hu-HU"/>
              </w:rPr>
              <w:t>#</w:t>
            </w:r>
          </w:p>
        </w:tc>
      </w:tr>
      <w:tr w:rsidR="003F0FF1" w14:paraId="4BE473C5" w14:textId="77777777">
        <w:trPr>
          <w:trHeight w:hRule="exact" w:val="263"/>
        </w:trPr>
        <w:tc>
          <w:tcPr>
            <w:tcW w:w="5071" w:type="dxa"/>
            <w:tcBorders>
              <w:top w:val="single" w:sz="5" w:space="0" w:color="000000"/>
              <w:left w:val="single" w:sz="5" w:space="0" w:color="000000"/>
              <w:bottom w:val="single" w:sz="5" w:space="0" w:color="000000"/>
              <w:right w:val="single" w:sz="5" w:space="0" w:color="000000"/>
            </w:tcBorders>
          </w:tcPr>
          <w:p w14:paraId="45C7A4AA"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Évenkénti relapszus ráta (elsődleges végpont)</w:t>
            </w:r>
          </w:p>
        </w:tc>
        <w:tc>
          <w:tcPr>
            <w:tcW w:w="2057" w:type="dxa"/>
            <w:tcBorders>
              <w:top w:val="single" w:sz="5" w:space="0" w:color="000000"/>
              <w:left w:val="single" w:sz="5" w:space="0" w:color="000000"/>
              <w:bottom w:val="single" w:sz="5" w:space="0" w:color="000000"/>
              <w:right w:val="single" w:sz="5" w:space="0" w:color="000000"/>
            </w:tcBorders>
          </w:tcPr>
          <w:p w14:paraId="1704E713"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0,122**</w:t>
            </w:r>
          </w:p>
        </w:tc>
        <w:tc>
          <w:tcPr>
            <w:tcW w:w="2057" w:type="dxa"/>
            <w:tcBorders>
              <w:top w:val="single" w:sz="5" w:space="0" w:color="000000"/>
              <w:left w:val="single" w:sz="5" w:space="0" w:color="000000"/>
              <w:bottom w:val="single" w:sz="5" w:space="0" w:color="000000"/>
              <w:right w:val="single" w:sz="5" w:space="0" w:color="000000"/>
            </w:tcBorders>
          </w:tcPr>
          <w:p w14:paraId="32218B29"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0,675</w:t>
            </w:r>
          </w:p>
        </w:tc>
      </w:tr>
      <w:tr w:rsidR="003F0FF1" w14:paraId="4865B51B" w14:textId="77777777">
        <w:trPr>
          <w:trHeight w:hRule="exact" w:val="516"/>
        </w:trPr>
        <w:tc>
          <w:tcPr>
            <w:tcW w:w="5071" w:type="dxa"/>
            <w:tcBorders>
              <w:top w:val="single" w:sz="5" w:space="0" w:color="000000"/>
              <w:left w:val="single" w:sz="5" w:space="0" w:color="000000"/>
              <w:bottom w:val="single" w:sz="5" w:space="0" w:color="000000"/>
              <w:right w:val="single" w:sz="5" w:space="0" w:color="000000"/>
            </w:tcBorders>
          </w:tcPr>
          <w:p w14:paraId="163A182C"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A 24. hónapban relapszus mentesen maradó betegek százalékaránya</w:t>
            </w:r>
          </w:p>
        </w:tc>
        <w:tc>
          <w:tcPr>
            <w:tcW w:w="2057" w:type="dxa"/>
            <w:tcBorders>
              <w:top w:val="single" w:sz="5" w:space="0" w:color="000000"/>
              <w:left w:val="single" w:sz="5" w:space="0" w:color="000000"/>
              <w:bottom w:val="single" w:sz="5" w:space="0" w:color="000000"/>
              <w:right w:val="single" w:sz="5" w:space="0" w:color="000000"/>
            </w:tcBorders>
          </w:tcPr>
          <w:p w14:paraId="4DBE0E06"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85,7**</w:t>
            </w:r>
          </w:p>
        </w:tc>
        <w:tc>
          <w:tcPr>
            <w:tcW w:w="2057" w:type="dxa"/>
            <w:tcBorders>
              <w:top w:val="single" w:sz="5" w:space="0" w:color="000000"/>
              <w:left w:val="single" w:sz="5" w:space="0" w:color="000000"/>
              <w:bottom w:val="single" w:sz="5" w:space="0" w:color="000000"/>
              <w:right w:val="single" w:sz="5" w:space="0" w:color="000000"/>
            </w:tcBorders>
          </w:tcPr>
          <w:p w14:paraId="0F2CE54F"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38,8</w:t>
            </w:r>
          </w:p>
        </w:tc>
      </w:tr>
      <w:tr w:rsidR="003F0FF1" w14:paraId="44ED2029" w14:textId="77777777">
        <w:trPr>
          <w:trHeight w:hRule="exact" w:val="264"/>
        </w:trPr>
        <w:tc>
          <w:tcPr>
            <w:tcW w:w="5071" w:type="dxa"/>
            <w:tcBorders>
              <w:top w:val="single" w:sz="5" w:space="0" w:color="000000"/>
              <w:left w:val="single" w:sz="5" w:space="0" w:color="000000"/>
              <w:bottom w:val="single" w:sz="5" w:space="0" w:color="000000"/>
              <w:right w:val="single" w:sz="5" w:space="0" w:color="000000"/>
            </w:tcBorders>
          </w:tcPr>
          <w:p w14:paraId="00E1A980" w14:textId="77777777" w:rsidR="003F0FF1" w:rsidRDefault="001156D9">
            <w:pPr>
              <w:rPr>
                <w:rFonts w:ascii="Times New Roman" w:eastAsia="Times New Roman" w:hAnsi="Times New Roman" w:cs="Times New Roman"/>
                <w:lang w:val="hu-HU"/>
              </w:rPr>
            </w:pPr>
            <w:r>
              <w:rPr>
                <w:rFonts w:ascii="Times New Roman" w:hAnsi="Times New Roman" w:cs="Times New Roman"/>
                <w:b/>
                <w:lang w:val="hu-HU"/>
              </w:rPr>
              <w:t>MRvégpontok</w:t>
            </w:r>
          </w:p>
        </w:tc>
        <w:tc>
          <w:tcPr>
            <w:tcW w:w="2057" w:type="dxa"/>
            <w:tcBorders>
              <w:top w:val="single" w:sz="5" w:space="0" w:color="000000"/>
              <w:left w:val="single" w:sz="5" w:space="0" w:color="000000"/>
              <w:bottom w:val="single" w:sz="5" w:space="0" w:color="000000"/>
              <w:right w:val="single" w:sz="5" w:space="0" w:color="000000"/>
            </w:tcBorders>
          </w:tcPr>
          <w:p w14:paraId="6C303B0F" w14:textId="77777777" w:rsidR="003F0FF1" w:rsidRDefault="003F0FF1">
            <w:pPr>
              <w:rPr>
                <w:rFonts w:ascii="Times New Roman" w:hAnsi="Times New Roman" w:cs="Times New Roman"/>
                <w:lang w:val="hu-HU"/>
              </w:rPr>
            </w:pPr>
          </w:p>
        </w:tc>
        <w:tc>
          <w:tcPr>
            <w:tcW w:w="2057" w:type="dxa"/>
            <w:tcBorders>
              <w:top w:val="single" w:sz="5" w:space="0" w:color="000000"/>
              <w:left w:val="single" w:sz="5" w:space="0" w:color="000000"/>
              <w:bottom w:val="single" w:sz="5" w:space="0" w:color="000000"/>
              <w:right w:val="single" w:sz="5" w:space="0" w:color="000000"/>
            </w:tcBorders>
          </w:tcPr>
          <w:p w14:paraId="1156AB0F" w14:textId="77777777" w:rsidR="003F0FF1" w:rsidRDefault="003F0FF1">
            <w:pPr>
              <w:rPr>
                <w:rFonts w:ascii="Times New Roman" w:hAnsi="Times New Roman" w:cs="Times New Roman"/>
                <w:lang w:val="hu-HU"/>
              </w:rPr>
            </w:pPr>
          </w:p>
        </w:tc>
      </w:tr>
      <w:tr w:rsidR="003F0FF1" w14:paraId="1F96244C" w14:textId="77777777">
        <w:trPr>
          <w:trHeight w:hRule="exact" w:val="515"/>
        </w:trPr>
        <w:tc>
          <w:tcPr>
            <w:tcW w:w="5071" w:type="dxa"/>
            <w:tcBorders>
              <w:top w:val="single" w:sz="5" w:space="0" w:color="000000"/>
              <w:left w:val="single" w:sz="5" w:space="0" w:color="000000"/>
              <w:bottom w:val="single" w:sz="5" w:space="0" w:color="000000"/>
              <w:right w:val="single" w:sz="5" w:space="0" w:color="000000"/>
            </w:tcBorders>
          </w:tcPr>
          <w:p w14:paraId="57F7AA32"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Az új vagy újonnan növekvő T2 léziók számának évenkénti rátája</w:t>
            </w:r>
          </w:p>
        </w:tc>
        <w:tc>
          <w:tcPr>
            <w:tcW w:w="2057" w:type="dxa"/>
            <w:tcBorders>
              <w:top w:val="single" w:sz="5" w:space="0" w:color="000000"/>
              <w:left w:val="single" w:sz="5" w:space="0" w:color="000000"/>
              <w:bottom w:val="single" w:sz="5" w:space="0" w:color="000000"/>
              <w:right w:val="single" w:sz="5" w:space="0" w:color="000000"/>
            </w:tcBorders>
          </w:tcPr>
          <w:p w14:paraId="5349302E"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n = 106</w:t>
            </w:r>
          </w:p>
        </w:tc>
        <w:tc>
          <w:tcPr>
            <w:tcW w:w="2057" w:type="dxa"/>
            <w:tcBorders>
              <w:top w:val="single" w:sz="5" w:space="0" w:color="000000"/>
              <w:left w:val="single" w:sz="5" w:space="0" w:color="000000"/>
              <w:bottom w:val="single" w:sz="5" w:space="0" w:color="000000"/>
              <w:right w:val="single" w:sz="5" w:space="0" w:color="000000"/>
            </w:tcBorders>
          </w:tcPr>
          <w:p w14:paraId="39CA43C1"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n = 102</w:t>
            </w:r>
          </w:p>
        </w:tc>
      </w:tr>
      <w:tr w:rsidR="003F0FF1" w14:paraId="519A9010" w14:textId="77777777">
        <w:trPr>
          <w:trHeight w:hRule="exact" w:val="264"/>
        </w:trPr>
        <w:tc>
          <w:tcPr>
            <w:tcW w:w="5071" w:type="dxa"/>
            <w:tcBorders>
              <w:top w:val="single" w:sz="5" w:space="0" w:color="000000"/>
              <w:left w:val="single" w:sz="5" w:space="0" w:color="000000"/>
              <w:bottom w:val="single" w:sz="5" w:space="0" w:color="000000"/>
              <w:right w:val="single" w:sz="5" w:space="0" w:color="000000"/>
            </w:tcBorders>
          </w:tcPr>
          <w:p w14:paraId="5DFB41A3"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Korrigált átlag</w:t>
            </w:r>
          </w:p>
        </w:tc>
        <w:tc>
          <w:tcPr>
            <w:tcW w:w="2057" w:type="dxa"/>
            <w:tcBorders>
              <w:top w:val="single" w:sz="5" w:space="0" w:color="000000"/>
              <w:left w:val="single" w:sz="5" w:space="0" w:color="000000"/>
              <w:bottom w:val="single" w:sz="5" w:space="0" w:color="000000"/>
              <w:right w:val="single" w:sz="5" w:space="0" w:color="000000"/>
            </w:tcBorders>
          </w:tcPr>
          <w:p w14:paraId="0B11F5BE"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4,393**</w:t>
            </w:r>
          </w:p>
        </w:tc>
        <w:tc>
          <w:tcPr>
            <w:tcW w:w="2057" w:type="dxa"/>
            <w:tcBorders>
              <w:top w:val="single" w:sz="5" w:space="0" w:color="000000"/>
              <w:left w:val="single" w:sz="5" w:space="0" w:color="000000"/>
              <w:bottom w:val="single" w:sz="5" w:space="0" w:color="000000"/>
              <w:right w:val="single" w:sz="5" w:space="0" w:color="000000"/>
            </w:tcBorders>
          </w:tcPr>
          <w:p w14:paraId="4B0D203D"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9,269</w:t>
            </w:r>
          </w:p>
        </w:tc>
      </w:tr>
      <w:tr w:rsidR="003F0FF1" w14:paraId="6444D210" w14:textId="77777777">
        <w:trPr>
          <w:trHeight w:hRule="exact" w:val="516"/>
        </w:trPr>
        <w:tc>
          <w:tcPr>
            <w:tcW w:w="5071" w:type="dxa"/>
            <w:tcBorders>
              <w:top w:val="single" w:sz="5" w:space="0" w:color="000000"/>
              <w:left w:val="single" w:sz="5" w:space="0" w:color="000000"/>
              <w:bottom w:val="single" w:sz="5" w:space="0" w:color="000000"/>
              <w:right w:val="single" w:sz="5" w:space="0" w:color="000000"/>
            </w:tcBorders>
          </w:tcPr>
          <w:p w14:paraId="31958FBA"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A gadolíniumot halmozó T1 léziók száma vizsgálatonként a 24. hónapig</w:t>
            </w:r>
          </w:p>
        </w:tc>
        <w:tc>
          <w:tcPr>
            <w:tcW w:w="2057" w:type="dxa"/>
            <w:tcBorders>
              <w:top w:val="single" w:sz="5" w:space="0" w:color="000000"/>
              <w:left w:val="single" w:sz="5" w:space="0" w:color="000000"/>
              <w:bottom w:val="single" w:sz="5" w:space="0" w:color="000000"/>
              <w:right w:val="single" w:sz="5" w:space="0" w:color="000000"/>
            </w:tcBorders>
          </w:tcPr>
          <w:p w14:paraId="51B7AB36" w14:textId="69F42AD8" w:rsidR="003F0FF1" w:rsidRDefault="001156D9">
            <w:pPr>
              <w:rPr>
                <w:rFonts w:ascii="Times New Roman" w:eastAsia="Times New Roman" w:hAnsi="Times New Roman" w:cs="Times New Roman"/>
                <w:lang w:val="hu-HU"/>
              </w:rPr>
            </w:pPr>
            <w:r>
              <w:rPr>
                <w:rFonts w:ascii="Times New Roman" w:hAnsi="Times New Roman" w:cs="Times New Roman"/>
                <w:lang w:val="hu-HU"/>
              </w:rPr>
              <w:t>n = 106</w:t>
            </w:r>
          </w:p>
        </w:tc>
        <w:tc>
          <w:tcPr>
            <w:tcW w:w="2057" w:type="dxa"/>
            <w:tcBorders>
              <w:top w:val="single" w:sz="5" w:space="0" w:color="000000"/>
              <w:left w:val="single" w:sz="5" w:space="0" w:color="000000"/>
              <w:bottom w:val="single" w:sz="5" w:space="0" w:color="000000"/>
              <w:right w:val="single" w:sz="5" w:space="0" w:color="000000"/>
            </w:tcBorders>
          </w:tcPr>
          <w:p w14:paraId="0E300BE4" w14:textId="571C9714" w:rsidR="003F0FF1" w:rsidRDefault="001156D9">
            <w:pPr>
              <w:rPr>
                <w:rFonts w:ascii="Times New Roman" w:eastAsia="Times New Roman" w:hAnsi="Times New Roman" w:cs="Times New Roman"/>
                <w:lang w:val="hu-HU"/>
              </w:rPr>
            </w:pPr>
            <w:r>
              <w:rPr>
                <w:rFonts w:ascii="Times New Roman" w:hAnsi="Times New Roman" w:cs="Times New Roman"/>
                <w:lang w:val="hu-HU"/>
              </w:rPr>
              <w:t>n = 101</w:t>
            </w:r>
          </w:p>
        </w:tc>
      </w:tr>
      <w:tr w:rsidR="003F0FF1" w14:paraId="70192C2D" w14:textId="77777777">
        <w:trPr>
          <w:trHeight w:hRule="exact" w:val="263"/>
        </w:trPr>
        <w:tc>
          <w:tcPr>
            <w:tcW w:w="5071" w:type="dxa"/>
            <w:tcBorders>
              <w:top w:val="single" w:sz="5" w:space="0" w:color="000000"/>
              <w:left w:val="single" w:sz="5" w:space="0" w:color="000000"/>
              <w:bottom w:val="single" w:sz="5" w:space="0" w:color="000000"/>
              <w:right w:val="single" w:sz="5" w:space="0" w:color="000000"/>
            </w:tcBorders>
          </w:tcPr>
          <w:p w14:paraId="3F3B9E68"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Korrigált átlag</w:t>
            </w:r>
          </w:p>
        </w:tc>
        <w:tc>
          <w:tcPr>
            <w:tcW w:w="2057" w:type="dxa"/>
            <w:tcBorders>
              <w:top w:val="single" w:sz="5" w:space="0" w:color="000000"/>
              <w:left w:val="single" w:sz="5" w:space="0" w:color="000000"/>
              <w:bottom w:val="single" w:sz="5" w:space="0" w:color="000000"/>
              <w:right w:val="single" w:sz="5" w:space="0" w:color="000000"/>
            </w:tcBorders>
          </w:tcPr>
          <w:p w14:paraId="6D38D984"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0,436**</w:t>
            </w:r>
          </w:p>
        </w:tc>
        <w:tc>
          <w:tcPr>
            <w:tcW w:w="2057" w:type="dxa"/>
            <w:tcBorders>
              <w:top w:val="single" w:sz="5" w:space="0" w:color="000000"/>
              <w:left w:val="single" w:sz="5" w:space="0" w:color="000000"/>
              <w:bottom w:val="single" w:sz="5" w:space="0" w:color="000000"/>
              <w:right w:val="single" w:sz="5" w:space="0" w:color="000000"/>
            </w:tcBorders>
          </w:tcPr>
          <w:p w14:paraId="38FD7FB6"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1,282</w:t>
            </w:r>
          </w:p>
        </w:tc>
      </w:tr>
      <w:tr w:rsidR="003F0FF1" w14:paraId="769A0AAA" w14:textId="77777777">
        <w:trPr>
          <w:trHeight w:hRule="exact" w:val="516"/>
        </w:trPr>
        <w:tc>
          <w:tcPr>
            <w:tcW w:w="5071" w:type="dxa"/>
            <w:tcBorders>
              <w:top w:val="single" w:sz="5" w:space="0" w:color="000000"/>
              <w:left w:val="single" w:sz="5" w:space="0" w:color="000000"/>
              <w:bottom w:val="single" w:sz="5" w:space="0" w:color="000000"/>
              <w:right w:val="single" w:sz="5" w:space="0" w:color="000000"/>
            </w:tcBorders>
          </w:tcPr>
          <w:p w14:paraId="10C0A9FE" w14:textId="77777777" w:rsidR="003F0FF1" w:rsidRDefault="001156D9" w:rsidP="00CE583C">
            <w:pPr>
              <w:keepNext/>
              <w:rPr>
                <w:rFonts w:ascii="Times New Roman" w:hAnsi="Times New Roman" w:cs="Times New Roman"/>
                <w:lang w:val="hu-HU"/>
              </w:rPr>
            </w:pPr>
            <w:r>
              <w:rPr>
                <w:rFonts w:ascii="Times New Roman" w:hAnsi="Times New Roman" w:cs="Times New Roman"/>
                <w:lang w:val="hu-HU"/>
              </w:rPr>
              <w:lastRenderedPageBreak/>
              <w:t>Az agyi atrophia évenkénti rátája a vizsgálat</w:t>
            </w:r>
          </w:p>
          <w:p w14:paraId="4A4641A0" w14:textId="77777777" w:rsidR="003F0FF1" w:rsidRDefault="001156D9" w:rsidP="00CE583C">
            <w:pPr>
              <w:keepNext/>
              <w:rPr>
                <w:rFonts w:ascii="Times New Roman" w:eastAsia="Times New Roman" w:hAnsi="Times New Roman" w:cs="Times New Roman"/>
                <w:lang w:val="hu-HU"/>
              </w:rPr>
            </w:pPr>
            <w:r>
              <w:rPr>
                <w:rFonts w:ascii="Times New Roman" w:hAnsi="Times New Roman" w:cs="Times New Roman"/>
                <w:lang w:val="hu-HU"/>
              </w:rPr>
              <w:t>megkezdése és legfeljebb a 24. hónap között</w:t>
            </w:r>
          </w:p>
        </w:tc>
        <w:tc>
          <w:tcPr>
            <w:tcW w:w="2057" w:type="dxa"/>
            <w:tcBorders>
              <w:top w:val="single" w:sz="5" w:space="0" w:color="000000"/>
              <w:left w:val="single" w:sz="5" w:space="0" w:color="000000"/>
              <w:bottom w:val="single" w:sz="5" w:space="0" w:color="000000"/>
              <w:right w:val="single" w:sz="5" w:space="0" w:color="000000"/>
            </w:tcBorders>
          </w:tcPr>
          <w:p w14:paraId="0450747D" w14:textId="77777777" w:rsidR="003F0FF1" w:rsidRDefault="001156D9" w:rsidP="00CE583C">
            <w:pPr>
              <w:keepNext/>
              <w:rPr>
                <w:rFonts w:ascii="Times New Roman" w:eastAsia="Times New Roman" w:hAnsi="Times New Roman" w:cs="Times New Roman"/>
                <w:lang w:val="hu-HU"/>
              </w:rPr>
            </w:pPr>
            <w:r>
              <w:rPr>
                <w:rFonts w:ascii="Times New Roman" w:hAnsi="Times New Roman" w:cs="Times New Roman"/>
                <w:lang w:val="hu-HU"/>
              </w:rPr>
              <w:t>n = 96</w:t>
            </w:r>
          </w:p>
        </w:tc>
        <w:tc>
          <w:tcPr>
            <w:tcW w:w="2057" w:type="dxa"/>
            <w:tcBorders>
              <w:top w:val="single" w:sz="5" w:space="0" w:color="000000"/>
              <w:left w:val="single" w:sz="5" w:space="0" w:color="000000"/>
              <w:bottom w:val="single" w:sz="5" w:space="0" w:color="000000"/>
              <w:right w:val="single" w:sz="5" w:space="0" w:color="000000"/>
            </w:tcBorders>
          </w:tcPr>
          <w:p w14:paraId="1D919F54" w14:textId="77777777" w:rsidR="003F0FF1" w:rsidRDefault="001156D9" w:rsidP="00CE583C">
            <w:pPr>
              <w:keepNext/>
              <w:rPr>
                <w:rFonts w:ascii="Times New Roman" w:eastAsia="Times New Roman" w:hAnsi="Times New Roman" w:cs="Times New Roman"/>
                <w:lang w:val="hu-HU"/>
              </w:rPr>
            </w:pPr>
            <w:r>
              <w:rPr>
                <w:rFonts w:ascii="Times New Roman" w:hAnsi="Times New Roman" w:cs="Times New Roman"/>
                <w:lang w:val="hu-HU"/>
              </w:rPr>
              <w:t>n = 89</w:t>
            </w:r>
          </w:p>
        </w:tc>
      </w:tr>
      <w:tr w:rsidR="003F0FF1" w14:paraId="7EDF71AA" w14:textId="77777777">
        <w:trPr>
          <w:trHeight w:hRule="exact" w:val="278"/>
        </w:trPr>
        <w:tc>
          <w:tcPr>
            <w:tcW w:w="5071" w:type="dxa"/>
            <w:tcBorders>
              <w:top w:val="single" w:sz="5" w:space="0" w:color="000000"/>
              <w:left w:val="single" w:sz="5" w:space="0" w:color="000000"/>
              <w:bottom w:val="single" w:sz="5" w:space="0" w:color="000000"/>
              <w:right w:val="single" w:sz="5" w:space="0" w:color="000000"/>
            </w:tcBorders>
          </w:tcPr>
          <w:p w14:paraId="0E9821F5" w14:textId="77777777" w:rsidR="003F0FF1" w:rsidRDefault="001156D9" w:rsidP="00CE583C">
            <w:pPr>
              <w:keepNext/>
              <w:rPr>
                <w:rFonts w:ascii="Times New Roman" w:eastAsia="Times New Roman" w:hAnsi="Times New Roman" w:cs="Times New Roman"/>
                <w:lang w:val="hu-HU"/>
              </w:rPr>
            </w:pPr>
            <w:r>
              <w:rPr>
                <w:rFonts w:ascii="Times New Roman" w:hAnsi="Times New Roman" w:cs="Times New Roman"/>
                <w:lang w:val="hu-HU"/>
              </w:rPr>
              <w:t>Legkisebb négyzetes átlag</w:t>
            </w:r>
          </w:p>
        </w:tc>
        <w:tc>
          <w:tcPr>
            <w:tcW w:w="2057" w:type="dxa"/>
            <w:tcBorders>
              <w:top w:val="single" w:sz="5" w:space="0" w:color="000000"/>
              <w:left w:val="single" w:sz="5" w:space="0" w:color="000000"/>
              <w:bottom w:val="single" w:sz="5" w:space="0" w:color="000000"/>
              <w:right w:val="single" w:sz="5" w:space="0" w:color="000000"/>
            </w:tcBorders>
          </w:tcPr>
          <w:p w14:paraId="7D5B73C4" w14:textId="77777777" w:rsidR="003F0FF1" w:rsidRDefault="001156D9" w:rsidP="00CE583C">
            <w:pPr>
              <w:keepNext/>
              <w:rPr>
                <w:rFonts w:ascii="Times New Roman" w:eastAsia="Times New Roman" w:hAnsi="Times New Roman" w:cs="Times New Roman"/>
                <w:lang w:val="hu-HU"/>
              </w:rPr>
            </w:pPr>
            <w:r>
              <w:rPr>
                <w:rFonts w:ascii="Times New Roman" w:hAnsi="Times New Roman" w:cs="Times New Roman"/>
                <w:lang w:val="hu-HU"/>
              </w:rPr>
              <w:t>-0,48*</w:t>
            </w:r>
          </w:p>
        </w:tc>
        <w:tc>
          <w:tcPr>
            <w:tcW w:w="2057" w:type="dxa"/>
            <w:tcBorders>
              <w:top w:val="single" w:sz="5" w:space="0" w:color="000000"/>
              <w:left w:val="single" w:sz="5" w:space="0" w:color="000000"/>
              <w:bottom w:val="single" w:sz="5" w:space="0" w:color="000000"/>
              <w:right w:val="single" w:sz="5" w:space="0" w:color="000000"/>
            </w:tcBorders>
          </w:tcPr>
          <w:p w14:paraId="38751626" w14:textId="77777777" w:rsidR="003F0FF1" w:rsidRDefault="001156D9" w:rsidP="00CE583C">
            <w:pPr>
              <w:keepNext/>
              <w:rPr>
                <w:rFonts w:ascii="Times New Roman" w:eastAsia="Times New Roman" w:hAnsi="Times New Roman" w:cs="Times New Roman"/>
                <w:lang w:val="hu-HU"/>
              </w:rPr>
            </w:pPr>
            <w:r>
              <w:rPr>
                <w:rFonts w:ascii="Times New Roman" w:hAnsi="Times New Roman" w:cs="Times New Roman"/>
                <w:lang w:val="hu-HU"/>
              </w:rPr>
              <w:t>-0,80</w:t>
            </w:r>
          </w:p>
        </w:tc>
      </w:tr>
      <w:tr w:rsidR="003F0FF1" w14:paraId="37D4AF1C" w14:textId="77777777">
        <w:trPr>
          <w:trHeight w:hRule="exact" w:val="967"/>
        </w:trPr>
        <w:tc>
          <w:tcPr>
            <w:tcW w:w="9185" w:type="dxa"/>
            <w:gridSpan w:val="3"/>
            <w:tcBorders>
              <w:top w:val="single" w:sz="5" w:space="0" w:color="000000"/>
              <w:left w:val="single" w:sz="5" w:space="0" w:color="000000"/>
              <w:bottom w:val="single" w:sz="5" w:space="0" w:color="000000"/>
              <w:right w:val="single" w:sz="5" w:space="0" w:color="000000"/>
            </w:tcBorders>
          </w:tcPr>
          <w:p w14:paraId="5D1879FF" w14:textId="77777777" w:rsidR="003F0FF1" w:rsidRDefault="001156D9">
            <w:pPr>
              <w:ind w:left="567" w:hanging="567"/>
              <w:rPr>
                <w:rFonts w:ascii="Times New Roman" w:eastAsia="Times New Roman" w:hAnsi="Times New Roman" w:cs="Times New Roman"/>
                <w:sz w:val="18"/>
                <w:szCs w:val="18"/>
                <w:lang w:val="hu-HU"/>
              </w:rPr>
            </w:pPr>
            <w:r>
              <w:rPr>
                <w:rFonts w:ascii="Times New Roman" w:hAnsi="Times New Roman" w:cs="Times New Roman"/>
                <w:sz w:val="18"/>
                <w:szCs w:val="18"/>
                <w:lang w:val="hu-HU"/>
              </w:rPr>
              <w:t>#</w:t>
            </w:r>
            <w:r>
              <w:rPr>
                <w:rFonts w:ascii="Times New Roman" w:hAnsi="Times New Roman" w:cs="Times New Roman"/>
                <w:sz w:val="18"/>
                <w:szCs w:val="18"/>
                <w:lang w:val="hu-HU"/>
              </w:rPr>
              <w:tab/>
              <w:t>Egy, interferon béta-1a intramuscularis injekciós kezelésre randomizált beteg nem tudta lenyelni a kétszeresen álcázott gyógyszert, és kizárásra került a vizsgálatból. A beteget kizárták a teljes analízis és a biztonságossági halmazból.</w:t>
            </w:r>
          </w:p>
          <w:p w14:paraId="0F0D1391" w14:textId="77777777" w:rsidR="003F0FF1" w:rsidRDefault="001156D9">
            <w:pPr>
              <w:tabs>
                <w:tab w:val="left" w:pos="567"/>
              </w:tabs>
              <w:rPr>
                <w:rFonts w:ascii="Times New Roman" w:eastAsia="Times New Roman" w:hAnsi="Times New Roman" w:cs="Times New Roman"/>
                <w:sz w:val="18"/>
                <w:szCs w:val="18"/>
                <w:lang w:val="hu-HU"/>
              </w:rPr>
            </w:pPr>
            <w:r>
              <w:rPr>
                <w:rFonts w:ascii="Times New Roman" w:hAnsi="Times New Roman" w:cs="Times New Roman"/>
                <w:sz w:val="18"/>
                <w:szCs w:val="18"/>
                <w:lang w:val="hu-HU"/>
              </w:rPr>
              <w:t>*</w:t>
            </w:r>
            <w:r>
              <w:rPr>
                <w:rFonts w:ascii="Times New Roman" w:hAnsi="Times New Roman" w:cs="Times New Roman"/>
                <w:sz w:val="18"/>
                <w:szCs w:val="18"/>
                <w:lang w:val="hu-HU"/>
              </w:rPr>
              <w:tab/>
              <w:t>p&lt; 0,05, ** p&lt; 0,001, az interferon béta-1a-hoz képest.</w:t>
            </w:r>
          </w:p>
          <w:p w14:paraId="03B452AF" w14:textId="77777777" w:rsidR="003F0FF1" w:rsidRDefault="001156D9">
            <w:pPr>
              <w:rPr>
                <w:rFonts w:ascii="Times New Roman" w:eastAsia="Times New Roman" w:hAnsi="Times New Roman" w:cs="Times New Roman"/>
                <w:sz w:val="18"/>
                <w:szCs w:val="18"/>
                <w:lang w:val="hu-HU"/>
              </w:rPr>
            </w:pPr>
            <w:r>
              <w:rPr>
                <w:rFonts w:ascii="Times New Roman" w:hAnsi="Times New Roman" w:cs="Times New Roman"/>
                <w:sz w:val="18"/>
                <w:szCs w:val="18"/>
                <w:lang w:val="hu-HU"/>
              </w:rPr>
              <w:t>A klinikai végpontok elemzését a teljes analízis halmazzal végezték.</w:t>
            </w:r>
          </w:p>
        </w:tc>
      </w:tr>
    </w:tbl>
    <w:p w14:paraId="754E8D1A" w14:textId="77777777" w:rsidR="003F0FF1" w:rsidRDefault="003F0FF1">
      <w:pPr>
        <w:rPr>
          <w:rFonts w:ascii="Times New Roman" w:eastAsia="Times New Roman" w:hAnsi="Times New Roman" w:cs="Times New Roman"/>
          <w:b/>
          <w:bCs/>
          <w:lang w:val="hu-HU"/>
        </w:rPr>
      </w:pPr>
    </w:p>
    <w:p w14:paraId="618806AB" w14:textId="77777777" w:rsidR="003F0FF1" w:rsidRDefault="001156D9">
      <w:pPr>
        <w:numPr>
          <w:ilvl w:val="1"/>
          <w:numId w:val="28"/>
        </w:numPr>
        <w:tabs>
          <w:tab w:val="left" w:pos="567"/>
        </w:tabs>
        <w:ind w:left="567" w:hanging="567"/>
        <w:rPr>
          <w:rFonts w:ascii="Times New Roman" w:hAnsi="Times New Roman" w:cs="Times New Roman"/>
          <w:b/>
          <w:lang w:val="hu-HU"/>
        </w:rPr>
      </w:pPr>
      <w:r>
        <w:rPr>
          <w:rFonts w:ascii="Times New Roman" w:hAnsi="Times New Roman" w:cs="Times New Roman"/>
          <w:b/>
          <w:lang w:val="hu-HU"/>
        </w:rPr>
        <w:t>Farmakokinetikai tulajdonságok</w:t>
      </w:r>
    </w:p>
    <w:p w14:paraId="3A74C170" w14:textId="77777777" w:rsidR="003F0FF1" w:rsidRDefault="003F0FF1">
      <w:pPr>
        <w:rPr>
          <w:rFonts w:ascii="Times New Roman" w:eastAsia="Times New Roman" w:hAnsi="Times New Roman" w:cs="Times New Roman"/>
          <w:b/>
          <w:bCs/>
          <w:lang w:val="hu-HU"/>
        </w:rPr>
      </w:pPr>
    </w:p>
    <w:p w14:paraId="2C2DAE12"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A farmakokinetikai adatok egészséges felnőtt önkéntesektől, vesetranszplantált felnőtt betegektől és sclerosis multiplexben szenvedő felnőtt betegektől származnak.</w:t>
      </w:r>
    </w:p>
    <w:p w14:paraId="6F7BADD8" w14:textId="77777777" w:rsidR="003F0FF1" w:rsidRDefault="003F0FF1">
      <w:pPr>
        <w:rPr>
          <w:rFonts w:ascii="Times New Roman" w:eastAsia="Times New Roman" w:hAnsi="Times New Roman" w:cs="Times New Roman"/>
          <w:lang w:val="hu-HU"/>
        </w:rPr>
      </w:pPr>
    </w:p>
    <w:p w14:paraId="76C93858"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A hatásosságért felelős, farmakológiailag aktív metabolit a fingolimod-foszfát.</w:t>
      </w:r>
    </w:p>
    <w:p w14:paraId="208371FF" w14:textId="77777777" w:rsidR="003F0FF1" w:rsidRDefault="003F0FF1">
      <w:pPr>
        <w:rPr>
          <w:rFonts w:ascii="Times New Roman" w:eastAsia="Times New Roman" w:hAnsi="Times New Roman" w:cs="Times New Roman"/>
          <w:lang w:val="hu-HU"/>
        </w:rPr>
      </w:pPr>
    </w:p>
    <w:p w14:paraId="6DB8F802" w14:textId="77777777" w:rsidR="003F0FF1" w:rsidRDefault="001156D9">
      <w:pPr>
        <w:rPr>
          <w:rFonts w:ascii="Times New Roman" w:eastAsia="Times New Roman" w:hAnsi="Times New Roman" w:cs="Times New Roman"/>
          <w:u w:val="single" w:color="000000"/>
          <w:lang w:val="hu-HU"/>
        </w:rPr>
      </w:pPr>
      <w:r>
        <w:rPr>
          <w:rFonts w:ascii="Times New Roman" w:eastAsia="Times New Roman" w:hAnsi="Times New Roman" w:cs="Times New Roman"/>
          <w:u w:val="single" w:color="000000"/>
          <w:lang w:val="hu-HU"/>
        </w:rPr>
        <w:t>Felszívódás</w:t>
      </w:r>
    </w:p>
    <w:p w14:paraId="6C0F63A7" w14:textId="77777777" w:rsidR="003F0FF1" w:rsidRDefault="003F0FF1">
      <w:pPr>
        <w:rPr>
          <w:rFonts w:ascii="Times New Roman" w:eastAsia="Times New Roman" w:hAnsi="Times New Roman" w:cs="Times New Roman"/>
          <w:lang w:val="hu-HU"/>
        </w:rPr>
      </w:pPr>
    </w:p>
    <w:p w14:paraId="256EF27C"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A fingolimod felszívódása lassú (12-16 órás t</w:t>
      </w:r>
      <w:r>
        <w:rPr>
          <w:rFonts w:ascii="Times New Roman" w:eastAsia="Times New Roman" w:hAnsi="Times New Roman" w:cs="Times New Roman"/>
          <w:position w:val="-1"/>
          <w:vertAlign w:val="subscript"/>
          <w:lang w:val="hu-HU"/>
        </w:rPr>
        <w:t>max</w:t>
      </w:r>
      <w:r>
        <w:rPr>
          <w:rFonts w:ascii="Times New Roman" w:eastAsia="Times New Roman" w:hAnsi="Times New Roman" w:cs="Times New Roman"/>
          <w:lang w:val="hu-HU"/>
        </w:rPr>
        <w:t>) és extenzív (≥ 85%). A látszólagos abszolút orális biohasznosulás 93% (95%-os konfidencia intervallum: 79-111%). A dinamikus egyensúlyi állapotú vérkoncentráció napi egyszeri adagolást követően 1-2 hónapon belül alakul ki, és a dinamikus egyensúlyi állapotú szint megközelítőleg 10-szer magasabb, mint a kezdő dózis esetén mért.</w:t>
      </w:r>
    </w:p>
    <w:p w14:paraId="2C59396B" w14:textId="77777777" w:rsidR="003F0FF1" w:rsidRDefault="003F0FF1">
      <w:pPr>
        <w:rPr>
          <w:rFonts w:ascii="Times New Roman" w:eastAsia="Times New Roman" w:hAnsi="Times New Roman" w:cs="Times New Roman"/>
          <w:lang w:val="hu-HU"/>
        </w:rPr>
      </w:pPr>
    </w:p>
    <w:p w14:paraId="75FC8473" w14:textId="7EDCC8B5"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A táplálkozás nem változtatja meg a fingolimod C</w:t>
      </w:r>
      <w:r>
        <w:rPr>
          <w:rFonts w:ascii="Times New Roman" w:eastAsia="Times New Roman" w:hAnsi="Times New Roman" w:cs="Times New Roman"/>
          <w:position w:val="-1"/>
          <w:vertAlign w:val="subscript"/>
          <w:lang w:val="hu-HU"/>
        </w:rPr>
        <w:t>max</w:t>
      </w:r>
      <w:r>
        <w:rPr>
          <w:rFonts w:ascii="Times New Roman" w:eastAsia="Times New Roman" w:hAnsi="Times New Roman" w:cs="Times New Roman"/>
          <w:lang w:val="hu-HU"/>
        </w:rPr>
        <w:t>-át vagy expozícióját (AUC). A fingolimod</w:t>
      </w:r>
      <w:r w:rsidR="003F1EAC">
        <w:rPr>
          <w:rFonts w:ascii="Times New Roman" w:eastAsia="Times New Roman" w:hAnsi="Times New Roman" w:cs="Times New Roman"/>
          <w:lang w:val="hu-HU"/>
        </w:rPr>
        <w:noBreakHyphen/>
      </w:r>
      <w:r>
        <w:rPr>
          <w:rFonts w:ascii="Times New Roman" w:eastAsia="Times New Roman" w:hAnsi="Times New Roman" w:cs="Times New Roman"/>
          <w:lang w:val="hu-HU"/>
        </w:rPr>
        <w:t>foszfát C</w:t>
      </w:r>
      <w:r>
        <w:rPr>
          <w:rFonts w:ascii="Times New Roman" w:eastAsia="Times New Roman" w:hAnsi="Times New Roman" w:cs="Times New Roman"/>
          <w:position w:val="-1"/>
          <w:vertAlign w:val="subscript"/>
          <w:lang w:val="hu-HU"/>
        </w:rPr>
        <w:t>max</w:t>
      </w:r>
      <w:r>
        <w:rPr>
          <w:rFonts w:ascii="Times New Roman" w:eastAsia="Times New Roman" w:hAnsi="Times New Roman" w:cs="Times New Roman"/>
          <w:lang w:val="hu-HU"/>
        </w:rPr>
        <w:t>-a enyhén, 34%-kal csökkent, de az AUC változatlan volt. Ezért a fingolimod étkezéstől függetlenül is szedhető (lásd 4.2 pont).</w:t>
      </w:r>
    </w:p>
    <w:p w14:paraId="73723406" w14:textId="77777777" w:rsidR="003F0FF1" w:rsidRDefault="003F0FF1">
      <w:pPr>
        <w:rPr>
          <w:rFonts w:ascii="Times New Roman" w:eastAsia="Times New Roman" w:hAnsi="Times New Roman" w:cs="Times New Roman"/>
          <w:lang w:val="hu-HU"/>
        </w:rPr>
      </w:pPr>
    </w:p>
    <w:p w14:paraId="7F42BAF1"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u w:val="single" w:color="000000"/>
          <w:lang w:val="hu-HU"/>
        </w:rPr>
        <w:t>Eloszlás</w:t>
      </w:r>
    </w:p>
    <w:p w14:paraId="3E0ABDFD"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A fingolimod eloszlása a vörösvértestekben magas, a vérsejt-frakcióban ez 86%. A fingolimod-foszfát vérsejtekbe történő felvétele alacsonyabb ez &lt; 17%. A fingolimod és a fingolimod-foszfát nagymértékben (&gt;99%) kötődik a fehérjékhez.</w:t>
      </w:r>
    </w:p>
    <w:p w14:paraId="3D27784A" w14:textId="77777777" w:rsidR="003F0FF1" w:rsidRDefault="003F0FF1">
      <w:pPr>
        <w:rPr>
          <w:rFonts w:ascii="Times New Roman" w:eastAsia="Times New Roman" w:hAnsi="Times New Roman" w:cs="Times New Roman"/>
          <w:lang w:val="hu-HU"/>
        </w:rPr>
      </w:pPr>
    </w:p>
    <w:p w14:paraId="2E3E7F82"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A fingolimod nagymértékben megoszlik a test szöveteiben, megoszlási térfogata mintegy 1200±260 liter. Egy vizsgálat, melynek során négy egészséges önkéntes egyszeri intravénás, jódizotóppal jelzett fingolimod analógot kapott, azt mutatta, hogy a fingolimod bejut az agyba.</w:t>
      </w:r>
    </w:p>
    <w:p w14:paraId="2EAE62CA"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Tizenhárom, sclerosis multiplexben szenvedő, 0,5 mg/nap fingolimodot kapó férfi beteggel végzett vizsgálatban a fingolimod (fingolimod-foszfát) átlagos mennyisége dinamikus egyensúlyi állapotban a szájon át beadott (0,5 mg) adagnál kb. 10 000-szer alacsonyabb volt az ejakulátumban.</w:t>
      </w:r>
    </w:p>
    <w:p w14:paraId="73109A93" w14:textId="77777777" w:rsidR="003F0FF1" w:rsidRDefault="003F0FF1">
      <w:pPr>
        <w:rPr>
          <w:rFonts w:ascii="Times New Roman" w:eastAsia="Times New Roman" w:hAnsi="Times New Roman" w:cs="Times New Roman"/>
          <w:lang w:val="hu-HU"/>
        </w:rPr>
      </w:pPr>
    </w:p>
    <w:p w14:paraId="5F06E646"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u w:val="single" w:color="000000"/>
          <w:lang w:val="hu-HU"/>
        </w:rPr>
        <w:t>Biotranszformáció</w:t>
      </w:r>
    </w:p>
    <w:p w14:paraId="26BCE26C" w14:textId="770CBDEA" w:rsidR="003F0FF1" w:rsidRDefault="001156D9">
      <w:pPr>
        <w:rPr>
          <w:rFonts w:ascii="Times New Roman" w:eastAsia="Times New Roman" w:hAnsi="Times New Roman" w:cs="Times New Roman"/>
          <w:lang w:val="hu-HU"/>
        </w:rPr>
      </w:pPr>
      <w:r>
        <w:rPr>
          <w:rFonts w:ascii="Times New Roman" w:hAnsi="Times New Roman" w:cs="Times New Roman"/>
          <w:lang w:val="hu-HU"/>
        </w:rPr>
        <w:t>Humán</w:t>
      </w:r>
      <w:r>
        <w:rPr>
          <w:rFonts w:ascii="Times New Roman" w:eastAsia="Times New Roman" w:hAnsi="Times New Roman" w:cs="Times New Roman"/>
          <w:lang w:val="hu-HU"/>
        </w:rPr>
        <w:t xml:space="preserve"> a fingolimod a fingolimod-foszfát farmakológiailag aktív (S)-enantiomerjévé reverzíbilis sztereoszelektív foszforiláció útján alakul át. A fingolimod eliminációja elsősorban a CYP4F2 és esetleg más izoenzimek által katalizált oxidatív biotranszformáció, és az azt követő, inaktív metabolittá történő, zsírsavhoz hasonló lebomlás. Megfigyelték, hogy a fingolimod farmakológiailag inaktív, nem poláros ceramid-analógjainak képződése útján megy végbe. A fingolimod metabolizmusában résztvevő legfontosabb enzimet részben azonosították, és az vagy a CYP4F2 vagy a CYP3A4 lehet.</w:t>
      </w:r>
    </w:p>
    <w:p w14:paraId="37471EA7" w14:textId="77777777" w:rsidR="003F0FF1" w:rsidRDefault="003F0FF1">
      <w:pPr>
        <w:rPr>
          <w:rFonts w:ascii="Times New Roman" w:eastAsia="Times New Roman" w:hAnsi="Times New Roman" w:cs="Times New Roman"/>
          <w:lang w:val="hu-HU"/>
        </w:rPr>
      </w:pPr>
    </w:p>
    <w:p w14:paraId="3E6FC934"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A [</w:t>
      </w:r>
      <w:r>
        <w:rPr>
          <w:rFonts w:ascii="Times New Roman" w:eastAsia="Times New Roman" w:hAnsi="Times New Roman" w:cs="Times New Roman"/>
          <w:vertAlign w:val="superscript"/>
          <w:lang w:val="hu-HU"/>
        </w:rPr>
        <w:t>14</w:t>
      </w:r>
      <w:r>
        <w:rPr>
          <w:rFonts w:ascii="Times New Roman" w:eastAsia="Times New Roman" w:hAnsi="Times New Roman" w:cs="Times New Roman"/>
          <w:lang w:val="hu-HU"/>
        </w:rPr>
        <w:t xml:space="preserve">C] fingolimod egyszeri, </w:t>
      </w:r>
      <w:r>
        <w:rPr>
          <w:rFonts w:ascii="Times New Roman" w:eastAsia="Times New Roman" w:hAnsi="Times New Roman" w:cs="Times New Roman"/>
          <w:i/>
          <w:lang w:val="hu-HU"/>
        </w:rPr>
        <w:t>per os</w:t>
      </w:r>
      <w:r>
        <w:rPr>
          <w:rFonts w:ascii="Times New Roman" w:eastAsia="Times New Roman" w:hAnsi="Times New Roman" w:cs="Times New Roman"/>
          <w:lang w:val="hu-HU"/>
        </w:rPr>
        <w:t xml:space="preserve"> adását követően az összes, izotóppal jelölt összetevőnek az adagolást követően legfeljebb 34 nappal később, a vérben lévő, fő, a fingolimoddal összefüggésbe hozható komponensei, az AUC-ben való részvételük alapján következtetve: maga a fingolimod (23%), a fingolimod-foszfát (10%) és az inaktív metabolitok (M3 karboxilátsav metabolit (8%), M29 ceramid metabolit (9%) és M30 ceramid metabolit (7%)).</w:t>
      </w:r>
    </w:p>
    <w:p w14:paraId="6186B63E" w14:textId="77777777" w:rsidR="003F0FF1" w:rsidRDefault="003F0FF1">
      <w:pPr>
        <w:rPr>
          <w:rFonts w:ascii="Times New Roman" w:eastAsia="Times New Roman" w:hAnsi="Times New Roman" w:cs="Times New Roman"/>
          <w:lang w:val="hu-HU"/>
        </w:rPr>
      </w:pPr>
    </w:p>
    <w:p w14:paraId="080A4703"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u w:val="single" w:color="000000"/>
          <w:lang w:val="hu-HU"/>
        </w:rPr>
        <w:t>Elimináció</w:t>
      </w:r>
    </w:p>
    <w:p w14:paraId="0D52F371"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A fingolimod vérből történő clearance-e 6,3±2,3 l/h, és az átlagos látszólagos terminális eliminációs felezési ideje (t</w:t>
      </w:r>
      <w:r>
        <w:rPr>
          <w:rFonts w:ascii="Times New Roman" w:eastAsia="Times New Roman" w:hAnsi="Times New Roman" w:cs="Times New Roman"/>
          <w:position w:val="-1"/>
          <w:vertAlign w:val="subscript"/>
          <w:lang w:val="hu-HU"/>
        </w:rPr>
        <w:t>1/2</w:t>
      </w:r>
      <w:r>
        <w:rPr>
          <w:rFonts w:ascii="Times New Roman" w:eastAsia="Times New Roman" w:hAnsi="Times New Roman" w:cs="Times New Roman"/>
          <w:lang w:val="hu-HU"/>
        </w:rPr>
        <w:t>) 6-9 nap. A fingolimod és a fingolimod-foszfát vérszintje a terminális fázisban párhuzamosan csökken, ami mindkettő esetén hasonló felezési időhöz vezet.</w:t>
      </w:r>
    </w:p>
    <w:p w14:paraId="4251F61D" w14:textId="77777777" w:rsidR="003F0FF1" w:rsidRDefault="003F0FF1">
      <w:pPr>
        <w:rPr>
          <w:rFonts w:ascii="Times New Roman" w:eastAsia="Times New Roman" w:hAnsi="Times New Roman" w:cs="Times New Roman"/>
          <w:lang w:val="hu-HU"/>
        </w:rPr>
      </w:pPr>
    </w:p>
    <w:p w14:paraId="5D5B9BFD"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Szájon át történő adását követően az adag kb. 81%-a lassan, inaktív metabolitok formájában választódik ki a vizeletbe. A fingolimod és a fingolimod-foszfát nem választódik ki változatlan formában a vizelettel, de ezek a fő komponensek a székletben, melyek mennyisége mindkét esetben kevesebb mint 2,5%. Harmincnégy nap után a visszanyerhető mennyiség az alkalmazott dózis 89%-a.</w:t>
      </w:r>
    </w:p>
    <w:p w14:paraId="1E7C1081" w14:textId="77777777" w:rsidR="003F0FF1" w:rsidRDefault="003F0FF1">
      <w:pPr>
        <w:rPr>
          <w:rFonts w:ascii="Times New Roman" w:eastAsia="Times New Roman" w:hAnsi="Times New Roman" w:cs="Times New Roman"/>
          <w:lang w:val="hu-HU"/>
        </w:rPr>
      </w:pPr>
    </w:p>
    <w:p w14:paraId="1891E54E"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u w:val="single" w:color="000000"/>
          <w:lang w:val="hu-HU"/>
        </w:rPr>
        <w:t>Linearitás</w:t>
      </w:r>
    </w:p>
    <w:p w14:paraId="30169CE8"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A fingolimod és a fingolimod-foszfát-koncentráció napi egyszeri 0,5 mg és 1,25 mg-os dózisok többszöri adása után látszólag a dózissal arányos módon növekszik.</w:t>
      </w:r>
    </w:p>
    <w:p w14:paraId="6E8E3344" w14:textId="77777777" w:rsidR="003F0FF1" w:rsidRDefault="003F0FF1">
      <w:pPr>
        <w:rPr>
          <w:rFonts w:ascii="Times New Roman" w:eastAsia="Times New Roman" w:hAnsi="Times New Roman" w:cs="Times New Roman"/>
          <w:lang w:val="hu-HU"/>
        </w:rPr>
      </w:pPr>
    </w:p>
    <w:p w14:paraId="6051A060"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u w:val="single" w:color="000000"/>
          <w:lang w:val="hu-HU"/>
        </w:rPr>
        <w:t>Jellemzői különleges betegcsoportokban</w:t>
      </w:r>
    </w:p>
    <w:p w14:paraId="368279A3" w14:textId="77777777" w:rsidR="003F0FF1" w:rsidRDefault="003F0FF1">
      <w:pPr>
        <w:rPr>
          <w:rFonts w:ascii="Times New Roman" w:eastAsia="Times New Roman" w:hAnsi="Times New Roman" w:cs="Times New Roman"/>
          <w:lang w:val="hu-HU"/>
        </w:rPr>
      </w:pPr>
    </w:p>
    <w:p w14:paraId="4681383C" w14:textId="77777777" w:rsidR="003F0FF1" w:rsidRDefault="001156D9">
      <w:pPr>
        <w:rPr>
          <w:rFonts w:ascii="Times New Roman" w:eastAsia="Times New Roman" w:hAnsi="Times New Roman"/>
          <w:i/>
          <w:lang w:val="hu-HU"/>
        </w:rPr>
      </w:pPr>
      <w:r>
        <w:rPr>
          <w:rFonts w:ascii="Times New Roman" w:eastAsia="Times New Roman" w:hAnsi="Times New Roman"/>
          <w:i/>
          <w:lang w:val="hu-HU"/>
        </w:rPr>
        <w:t>Nemi/etnikai hovatartozás és vesekárosodás</w:t>
      </w:r>
    </w:p>
    <w:p w14:paraId="66571D5A" w14:textId="3EDEA515"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A fingolimod és a fingolimod-foszfát farmakokinetikai tulajdonságai nem térnek el egymástól férfiaknál és nőknél, különböző etnikai eredetű betegeknél, vagy enyh</w:t>
      </w:r>
      <w:r w:rsidR="003F1EAC">
        <w:rPr>
          <w:rFonts w:ascii="Times New Roman" w:eastAsia="Times New Roman" w:hAnsi="Times New Roman" w:cs="Times New Roman"/>
          <w:lang w:val="hu-HU"/>
        </w:rPr>
        <w:t>e</w:t>
      </w:r>
      <w:r>
        <w:rPr>
          <w:rFonts w:ascii="Times New Roman" w:eastAsia="Times New Roman" w:hAnsi="Times New Roman" w:cs="Times New Roman"/>
          <w:lang w:val="hu-HU"/>
        </w:rPr>
        <w:t xml:space="preserve"> – súlyos vesekárosodásban szenvedő betegeknél.</w:t>
      </w:r>
    </w:p>
    <w:p w14:paraId="370DF171" w14:textId="77777777" w:rsidR="003F0FF1" w:rsidRDefault="003F0FF1">
      <w:pPr>
        <w:rPr>
          <w:rFonts w:ascii="Times New Roman" w:eastAsia="Times New Roman" w:hAnsi="Times New Roman"/>
          <w:i/>
          <w:lang w:val="hu-HU"/>
        </w:rPr>
      </w:pPr>
    </w:p>
    <w:p w14:paraId="2CF45D89" w14:textId="77777777" w:rsidR="003F0FF1" w:rsidRDefault="001156D9">
      <w:pPr>
        <w:rPr>
          <w:rFonts w:ascii="Times New Roman" w:eastAsia="Times New Roman" w:hAnsi="Times New Roman"/>
          <w:i/>
          <w:lang w:val="hu-HU"/>
        </w:rPr>
      </w:pPr>
      <w:r>
        <w:rPr>
          <w:rFonts w:ascii="Times New Roman" w:eastAsia="Times New Roman" w:hAnsi="Times New Roman"/>
          <w:i/>
          <w:lang w:val="hu-HU"/>
        </w:rPr>
        <w:t>Májkárosodás</w:t>
      </w:r>
    </w:p>
    <w:p w14:paraId="35B5104F" w14:textId="24EAD9FA"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Az enyhe, közepesen súlyos vagy súlyos fokú májkárosodásban szenvedő betegeknél (Child-Pugh A, B és C stádium) nem észlelték a fingolimod C</w:t>
      </w:r>
      <w:r>
        <w:rPr>
          <w:rFonts w:ascii="Times New Roman" w:eastAsia="Times New Roman" w:hAnsi="Times New Roman" w:cs="Times New Roman"/>
          <w:position w:val="-1"/>
          <w:vertAlign w:val="subscript"/>
          <w:lang w:val="hu-HU"/>
        </w:rPr>
        <w:t>max</w:t>
      </w:r>
      <w:r>
        <w:rPr>
          <w:rFonts w:ascii="Times New Roman" w:eastAsia="Times New Roman" w:hAnsi="Times New Roman" w:cs="Times New Roman"/>
          <w:position w:val="-1"/>
          <w:lang w:val="hu-HU"/>
        </w:rPr>
        <w:t xml:space="preserve"> </w:t>
      </w:r>
      <w:r>
        <w:rPr>
          <w:rFonts w:ascii="Times New Roman" w:eastAsia="Times New Roman" w:hAnsi="Times New Roman" w:cs="Times New Roman"/>
          <w:lang w:val="hu-HU"/>
        </w:rPr>
        <w:t>változását, de a fingolimod AUC-je sorrendben 12%</w:t>
      </w:r>
      <w:r w:rsidR="004C4CC7">
        <w:rPr>
          <w:rFonts w:ascii="Times New Roman" w:eastAsia="Times New Roman" w:hAnsi="Times New Roman" w:cs="Times New Roman"/>
          <w:lang w:val="hu-HU"/>
        </w:rPr>
        <w:noBreakHyphen/>
      </w:r>
      <w:r>
        <w:rPr>
          <w:rFonts w:ascii="Times New Roman" w:eastAsia="Times New Roman" w:hAnsi="Times New Roman" w:cs="Times New Roman"/>
          <w:lang w:val="hu-HU"/>
        </w:rPr>
        <w:t>kal, 44%-kal és 103%-kal emelkedett. A súlyosan beszűkült májműködésű betegeknél (Child</w:t>
      </w:r>
      <w:r w:rsidR="004C4CC7">
        <w:rPr>
          <w:rFonts w:ascii="Times New Roman" w:eastAsia="Times New Roman" w:hAnsi="Times New Roman" w:cs="Times New Roman"/>
          <w:lang w:val="hu-HU"/>
        </w:rPr>
        <w:noBreakHyphen/>
      </w:r>
      <w:r>
        <w:rPr>
          <w:rFonts w:ascii="Times New Roman" w:eastAsia="Times New Roman" w:hAnsi="Times New Roman" w:cs="Times New Roman"/>
          <w:lang w:val="hu-HU"/>
        </w:rPr>
        <w:t>Pugh C stádium) a fingolimod-foszfát C</w:t>
      </w:r>
      <w:r>
        <w:rPr>
          <w:rFonts w:ascii="Times New Roman" w:eastAsia="Times New Roman" w:hAnsi="Times New Roman" w:cs="Times New Roman"/>
          <w:position w:val="-1"/>
          <w:vertAlign w:val="subscript"/>
          <w:lang w:val="hu-HU"/>
        </w:rPr>
        <w:t>max</w:t>
      </w:r>
      <w:r>
        <w:rPr>
          <w:rFonts w:ascii="Times New Roman" w:eastAsia="Times New Roman" w:hAnsi="Times New Roman" w:cs="Times New Roman"/>
          <w:lang w:val="hu-HU"/>
        </w:rPr>
        <w:t xml:space="preserve">-a 22%-kal csökkent, és az AUC nem változott lényegesen. A fingolimod-foszfát farmakokinetikáját az enyhe vagy közepesen súlyos </w:t>
      </w:r>
      <w:r>
        <w:rPr>
          <w:rFonts w:ascii="Times New Roman" w:eastAsia="Times New Roman" w:hAnsi="Times New Roman"/>
          <w:lang w:val="hu-HU"/>
        </w:rPr>
        <w:t>májkárosodásban szenvedő</w:t>
      </w:r>
      <w:r>
        <w:rPr>
          <w:rFonts w:ascii="Times New Roman" w:eastAsia="Times New Roman" w:hAnsi="Times New Roman" w:cs="Times New Roman"/>
          <w:lang w:val="hu-HU"/>
        </w:rPr>
        <w:t xml:space="preserve"> betegeknél nem vizsgálták. A fingolimod látszólagos eliminációs felezési ideje az enyhe </w:t>
      </w:r>
      <w:r>
        <w:rPr>
          <w:rFonts w:ascii="Times New Roman" w:eastAsia="Times New Roman" w:hAnsi="Times New Roman"/>
          <w:lang w:val="hu-HU"/>
        </w:rPr>
        <w:t xml:space="preserve">májkárosodásban szenvedő </w:t>
      </w:r>
      <w:r>
        <w:rPr>
          <w:rFonts w:ascii="Times New Roman" w:eastAsia="Times New Roman" w:hAnsi="Times New Roman" w:cs="Times New Roman"/>
          <w:lang w:val="hu-HU"/>
        </w:rPr>
        <w:t xml:space="preserve">betegeknél változatlan, de a közepesen súlyos vagy súlyos fokú </w:t>
      </w:r>
      <w:r>
        <w:rPr>
          <w:rFonts w:ascii="Times New Roman" w:eastAsia="Times New Roman" w:hAnsi="Times New Roman"/>
          <w:lang w:val="hu-HU"/>
        </w:rPr>
        <w:t xml:space="preserve">májkárosodásban szenvedő </w:t>
      </w:r>
      <w:r>
        <w:rPr>
          <w:rFonts w:ascii="Times New Roman" w:eastAsia="Times New Roman" w:hAnsi="Times New Roman" w:cs="Times New Roman"/>
          <w:lang w:val="hu-HU"/>
        </w:rPr>
        <w:t>betegeknél kb. 50%-kal megnyúlt.</w:t>
      </w:r>
    </w:p>
    <w:p w14:paraId="7E3F81BC" w14:textId="77777777" w:rsidR="003F0FF1" w:rsidRDefault="003F0FF1">
      <w:pPr>
        <w:rPr>
          <w:rFonts w:ascii="Times New Roman" w:eastAsia="Times New Roman" w:hAnsi="Times New Roman" w:cs="Times New Roman"/>
          <w:lang w:val="hu-HU"/>
        </w:rPr>
      </w:pPr>
    </w:p>
    <w:p w14:paraId="6560FDBC"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 xml:space="preserve">A fingolimod a súlyos fokú </w:t>
      </w:r>
      <w:r>
        <w:rPr>
          <w:rFonts w:ascii="Times New Roman" w:eastAsia="Times New Roman" w:hAnsi="Times New Roman"/>
          <w:lang w:val="hu-HU"/>
        </w:rPr>
        <w:t xml:space="preserve">májkárosodásban szenvedő </w:t>
      </w:r>
      <w:r>
        <w:rPr>
          <w:rFonts w:ascii="Times New Roman" w:eastAsia="Times New Roman" w:hAnsi="Times New Roman" w:cs="Times New Roman"/>
          <w:lang w:val="hu-HU"/>
        </w:rPr>
        <w:t xml:space="preserve">betegeknél (Child-Pugh C stádium) nem alkalmazható (lásd 4.3 pont). A fingolimod adását </w:t>
      </w:r>
      <w:r>
        <w:rPr>
          <w:rFonts w:ascii="Times New Roman" w:eastAsia="Times New Roman" w:hAnsi="Times New Roman"/>
          <w:lang w:val="hu-HU"/>
        </w:rPr>
        <w:t xml:space="preserve">az enyhe vagy közepesen súlyos fokú májkárosodásban szenvedő betegeknél </w:t>
      </w:r>
      <w:r>
        <w:rPr>
          <w:rFonts w:ascii="Times New Roman" w:eastAsia="Times New Roman" w:hAnsi="Times New Roman" w:cs="Times New Roman"/>
          <w:lang w:val="hu-HU"/>
        </w:rPr>
        <w:t>óvatosan kell elkezdeni (lásd 4.2 pont).</w:t>
      </w:r>
    </w:p>
    <w:p w14:paraId="54F2F9A0" w14:textId="77777777" w:rsidR="003F0FF1" w:rsidRDefault="003F0FF1">
      <w:pPr>
        <w:rPr>
          <w:rFonts w:ascii="Times New Roman" w:eastAsia="Times New Roman" w:hAnsi="Times New Roman" w:cs="Times New Roman"/>
          <w:lang w:val="hu-HU"/>
        </w:rPr>
      </w:pPr>
    </w:p>
    <w:p w14:paraId="085F5149" w14:textId="77777777" w:rsidR="003F0FF1" w:rsidRDefault="001156D9">
      <w:pPr>
        <w:rPr>
          <w:rFonts w:ascii="Times New Roman" w:eastAsia="Times New Roman" w:hAnsi="Times New Roman" w:cs="Times New Roman"/>
          <w:i/>
          <w:lang w:val="hu-HU"/>
        </w:rPr>
      </w:pPr>
      <w:r>
        <w:rPr>
          <w:rFonts w:ascii="Times New Roman" w:eastAsia="Times New Roman" w:hAnsi="Times New Roman" w:cs="Times New Roman"/>
          <w:i/>
          <w:lang w:val="hu-HU"/>
        </w:rPr>
        <w:t>Idősek</w:t>
      </w:r>
    </w:p>
    <w:p w14:paraId="4BBE0F0C"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A 65 évnél idősebb betegekkel szerzett klinikai tapasztalat és farmakokinetikai információ korlátozott. A fingolimodot a 65 éves és idősebb betegeknél óvatosan kell alkalmazni (lásd 4.2 pont).</w:t>
      </w:r>
    </w:p>
    <w:p w14:paraId="55541BAC" w14:textId="77777777" w:rsidR="003F0FF1" w:rsidRDefault="003F0FF1">
      <w:pPr>
        <w:rPr>
          <w:rFonts w:ascii="Times New Roman" w:eastAsia="Times New Roman" w:hAnsi="Times New Roman" w:cs="Times New Roman"/>
          <w:lang w:val="hu-HU"/>
        </w:rPr>
      </w:pPr>
    </w:p>
    <w:p w14:paraId="16B666EF"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u w:val="single" w:color="000000"/>
          <w:lang w:val="hu-HU"/>
        </w:rPr>
        <w:t>Gyermekek és serdülők</w:t>
      </w:r>
    </w:p>
    <w:p w14:paraId="6E97A34E"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Gyermek és serdülőkorú (10 éves vagy annál idősebb) betegeknél a fingolimod-foszfát koncentrációk nyilvánvalóan az adaggal arányosan növekednek a 0,25 mg-os és a 0,5 mg-os adag között.</w:t>
      </w:r>
    </w:p>
    <w:p w14:paraId="4A60E84A" w14:textId="77777777" w:rsidR="003F0FF1" w:rsidRDefault="003F0FF1">
      <w:pPr>
        <w:rPr>
          <w:rFonts w:ascii="Times New Roman" w:eastAsia="Times New Roman" w:hAnsi="Times New Roman" w:cs="Times New Roman"/>
          <w:lang w:val="hu-HU"/>
        </w:rPr>
      </w:pPr>
    </w:p>
    <w:p w14:paraId="02BC2997"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A fingolimod-foszfát dinamikus egyensúlyi koncentrációja napi 0,25 mg vagy 0,5 mg fingolimod alkalmazása után körülbelül 25%-kal alacsonyabb gyermek és serdülőkorú (10 éves vagy annál idősebb) betegeknél, a naponta egyszer 0,5 mg fingolimoddal kezelt felnőtteknél mérhető koncentrációhoz képest.</w:t>
      </w:r>
    </w:p>
    <w:p w14:paraId="07943D02" w14:textId="77777777" w:rsidR="003F0FF1" w:rsidRDefault="003F0FF1">
      <w:pPr>
        <w:rPr>
          <w:rFonts w:ascii="Times New Roman" w:eastAsia="Times New Roman" w:hAnsi="Times New Roman" w:cs="Times New Roman"/>
          <w:lang w:val="hu-HU"/>
        </w:rPr>
      </w:pPr>
    </w:p>
    <w:p w14:paraId="5CF51D37"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 xml:space="preserve">A 10 éves kor alatti </w:t>
      </w:r>
      <w:r>
        <w:rPr>
          <w:rFonts w:ascii="Times New Roman" w:eastAsia="Times New Roman" w:hAnsi="Times New Roman"/>
          <w:lang w:val="hu-HU"/>
        </w:rPr>
        <w:t>gyermekekre és serdülőkre</w:t>
      </w:r>
      <w:r>
        <w:rPr>
          <w:rFonts w:ascii="Times New Roman" w:eastAsia="Times New Roman" w:hAnsi="Times New Roman" w:cs="Times New Roman"/>
          <w:lang w:val="hu-HU"/>
        </w:rPr>
        <w:t xml:space="preserve"> vonatkozóan nem állnak rendelkezésre adatok.</w:t>
      </w:r>
    </w:p>
    <w:p w14:paraId="426EAD40" w14:textId="77777777" w:rsidR="003F0FF1" w:rsidRDefault="003F0FF1">
      <w:pPr>
        <w:rPr>
          <w:rFonts w:ascii="Times New Roman" w:eastAsia="Times New Roman" w:hAnsi="Times New Roman" w:cs="Times New Roman"/>
          <w:lang w:val="hu-HU"/>
        </w:rPr>
      </w:pPr>
    </w:p>
    <w:p w14:paraId="2AF9387C" w14:textId="77777777" w:rsidR="003F0FF1" w:rsidRDefault="001156D9">
      <w:pPr>
        <w:numPr>
          <w:ilvl w:val="1"/>
          <w:numId w:val="28"/>
        </w:numPr>
        <w:tabs>
          <w:tab w:val="left" w:pos="567"/>
        </w:tabs>
        <w:ind w:left="567" w:hanging="567"/>
        <w:outlineLvl w:val="0"/>
        <w:rPr>
          <w:rFonts w:ascii="Times New Roman" w:eastAsia="Times New Roman" w:hAnsi="Times New Roman" w:cs="Times New Roman"/>
          <w:lang w:val="hu-HU"/>
        </w:rPr>
      </w:pPr>
      <w:r>
        <w:rPr>
          <w:rFonts w:ascii="Times New Roman" w:eastAsia="Times New Roman" w:hAnsi="Times New Roman" w:cs="Times New Roman"/>
          <w:b/>
          <w:bCs/>
          <w:lang w:val="hu-HU"/>
        </w:rPr>
        <w:t>A preklinikai biztonságossági vizsgálatok eredményei</w:t>
      </w:r>
    </w:p>
    <w:p w14:paraId="35F8A46B" w14:textId="77777777" w:rsidR="003F0FF1" w:rsidRDefault="003F0FF1">
      <w:pPr>
        <w:rPr>
          <w:rFonts w:ascii="Times New Roman" w:eastAsia="Times New Roman" w:hAnsi="Times New Roman" w:cs="Times New Roman"/>
          <w:b/>
          <w:bCs/>
          <w:lang w:val="hu-HU"/>
        </w:rPr>
      </w:pPr>
    </w:p>
    <w:p w14:paraId="1EC87FA1" w14:textId="4A7C61AD"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A fingolimod preklinikai biztonságossági profilját egereken, patkányokon, kutyákon és majmokon értékelték. Egy 2-éves vizsgálatban a 0,5 mg-os napi dózis melletti humán szisztémás expozíció (AUC) megközelítőleg 4-szeres értékét képviselő 0,15 mg/kg-os és magasabb dózisok mellett a fő célszervek több fajnál is a nyirokrendszer (lymphopenia és lymphoid atrophia), a tüdők (szervtömeg</w:t>
      </w:r>
      <w:r w:rsidR="004C4CC7">
        <w:rPr>
          <w:rFonts w:ascii="Times New Roman" w:eastAsia="Times New Roman" w:hAnsi="Times New Roman" w:cs="Times New Roman"/>
          <w:lang w:val="hu-HU"/>
        </w:rPr>
        <w:noBreakHyphen/>
      </w:r>
      <w:r>
        <w:rPr>
          <w:rFonts w:ascii="Times New Roman" w:eastAsia="Times New Roman" w:hAnsi="Times New Roman" w:cs="Times New Roman"/>
          <w:lang w:val="hu-HU"/>
        </w:rPr>
        <w:t>növekedés, sim</w:t>
      </w:r>
      <w:r w:rsidR="007C44B8">
        <w:rPr>
          <w:rFonts w:ascii="Times New Roman" w:eastAsia="Times New Roman" w:hAnsi="Times New Roman" w:cs="Times New Roman"/>
          <w:lang w:val="hu-HU"/>
        </w:rPr>
        <w:t>a</w:t>
      </w:r>
      <w:r>
        <w:rPr>
          <w:rFonts w:ascii="Times New Roman" w:eastAsia="Times New Roman" w:hAnsi="Times New Roman" w:cs="Times New Roman"/>
          <w:lang w:val="hu-HU"/>
        </w:rPr>
        <w:t>izom</w:t>
      </w:r>
      <w:r w:rsidR="004C4CC7">
        <w:rPr>
          <w:rFonts w:ascii="Times New Roman" w:eastAsia="Times New Roman" w:hAnsi="Times New Roman" w:cs="Times New Roman"/>
          <w:lang w:val="hu-HU"/>
        </w:rPr>
        <w:noBreakHyphen/>
      </w:r>
      <w:r>
        <w:rPr>
          <w:rFonts w:ascii="Times New Roman" w:eastAsia="Times New Roman" w:hAnsi="Times New Roman" w:cs="Times New Roman"/>
          <w:lang w:val="hu-HU"/>
        </w:rPr>
        <w:t>hypertrophia a bronchioalveolaris juncti</w:t>
      </w:r>
      <w:r w:rsidR="004C4CC7">
        <w:rPr>
          <w:rFonts w:ascii="Times New Roman" w:eastAsia="Times New Roman" w:hAnsi="Times New Roman" w:cs="Times New Roman"/>
          <w:lang w:val="hu-HU"/>
        </w:rPr>
        <w:t>ó</w:t>
      </w:r>
      <w:r>
        <w:rPr>
          <w:rFonts w:ascii="Times New Roman" w:eastAsia="Times New Roman" w:hAnsi="Times New Roman" w:cs="Times New Roman"/>
          <w:lang w:val="hu-HU"/>
        </w:rPr>
        <w:t>ban), valamint a szív (negatív chronotrop hatás, vérnyomás-emelkedés, perivascularis elváltozások és myocardium degeneratio); és csak patkányoknál az erek (angiopathia) voltak.</w:t>
      </w:r>
    </w:p>
    <w:p w14:paraId="0CD50667" w14:textId="77777777" w:rsidR="003F0FF1" w:rsidRDefault="003F0FF1">
      <w:pPr>
        <w:rPr>
          <w:rFonts w:ascii="Times New Roman" w:eastAsia="Times New Roman" w:hAnsi="Times New Roman" w:cs="Times New Roman"/>
          <w:lang w:val="hu-HU"/>
        </w:rPr>
      </w:pPr>
    </w:p>
    <w:p w14:paraId="636358C2" w14:textId="77777777" w:rsidR="003F0FF1" w:rsidRDefault="001156D9" w:rsidP="00CE583C">
      <w:pPr>
        <w:widowControl/>
        <w:rPr>
          <w:rFonts w:ascii="Times New Roman" w:eastAsia="Times New Roman" w:hAnsi="Times New Roman" w:cs="Times New Roman"/>
          <w:lang w:val="hu-HU"/>
        </w:rPr>
      </w:pPr>
      <w:r>
        <w:rPr>
          <w:rFonts w:ascii="Times New Roman" w:eastAsia="Times New Roman" w:hAnsi="Times New Roman" w:cs="Times New Roman"/>
          <w:lang w:val="hu-HU"/>
        </w:rPr>
        <w:lastRenderedPageBreak/>
        <w:t>Egy patkányokkal végzett 2 éves bioassay vizsgálatban a fingolimod 2,5 mg/kg-os maximális tolerált dózisáig nem észleltek karcinogenitásra utaló bizonyítékot, ami a 0,5 mg-os dózis mellett észlelt humán szisztémás expozíciónál (AUC) mintegy 50-szer magasabb határértéket képvisel. Ugyanakkor egy egerekkel végzett, 2 évig tartó vizsgálatban 0,25 mg/kg-os és magasabb dózisok mellett a malignus lymphoma előfordulási gyakoriságának növekedését észlelték, ami a 0,5 mg-os napi dózis mellett észlelt humán szisztémás expozíciónál (AUC) mintegy 6-szor magasabb határértéket képvisel.</w:t>
      </w:r>
    </w:p>
    <w:p w14:paraId="75510548" w14:textId="77777777" w:rsidR="003F0FF1" w:rsidRDefault="003F0FF1">
      <w:pPr>
        <w:rPr>
          <w:rFonts w:ascii="Times New Roman" w:eastAsia="Times New Roman" w:hAnsi="Times New Roman" w:cs="Times New Roman"/>
          <w:lang w:val="hu-HU"/>
        </w:rPr>
      </w:pPr>
    </w:p>
    <w:p w14:paraId="40449032"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A fingolimod az állatkísérletekben nem volt sem mutagén, sem klasztogén.</w:t>
      </w:r>
    </w:p>
    <w:p w14:paraId="215C9D84" w14:textId="77777777" w:rsidR="003F0FF1" w:rsidRDefault="003F0FF1">
      <w:pPr>
        <w:rPr>
          <w:rFonts w:ascii="Times New Roman" w:eastAsia="Times New Roman" w:hAnsi="Times New Roman" w:cs="Times New Roman"/>
          <w:lang w:val="hu-HU"/>
        </w:rPr>
      </w:pPr>
    </w:p>
    <w:p w14:paraId="79139223"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Hím és nőstény patkányoknál a legmagasabb vizsgált adagokig (10 mg/kg) a fingolimodnak nem volt hatása a spermiumszámra/motilitásra és a termékenységre, ami a 0,5 mg-os napi dózis mellett észlelt humán szisztémás expozíciónál (AUC) mintegy 150-szer magasabb határértéket képvisel.</w:t>
      </w:r>
    </w:p>
    <w:p w14:paraId="7EDA49F6" w14:textId="77777777" w:rsidR="003F0FF1" w:rsidRDefault="003F0FF1">
      <w:pPr>
        <w:rPr>
          <w:rFonts w:ascii="Times New Roman" w:eastAsia="Times New Roman" w:hAnsi="Times New Roman" w:cs="Times New Roman"/>
          <w:lang w:val="hu-HU"/>
        </w:rPr>
      </w:pPr>
    </w:p>
    <w:p w14:paraId="17546F4F" w14:textId="20BBFA53"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A fingolimod patkányoknál 0,1 mg/kg-os vagy magasabb dózisokban teratogén volt. A patkányok gyógyszer-expozíciója ennél a dózisnál hasonló volt a terápiás dózissal (0,5 mg) kezelt betegekéhez. A leggyakoribb foetalis visceralis malformatiók közé tartozott a nyitott truncus arteriosus Botalli és a ventricularis septum defectus. A teratogén potenciált nyulaknál nem tudták teljes mértékben megállapítani, azonban 1,5 mg/kg-os és magasabb dózisokban fokozott embrio-foet</w:t>
      </w:r>
      <w:r w:rsidR="004C4CC7">
        <w:rPr>
          <w:rFonts w:ascii="Times New Roman" w:eastAsia="Times New Roman" w:hAnsi="Times New Roman" w:cs="Times New Roman"/>
          <w:lang w:val="hu-HU"/>
        </w:rPr>
        <w:t>a</w:t>
      </w:r>
      <w:r>
        <w:rPr>
          <w:rFonts w:ascii="Times New Roman" w:eastAsia="Times New Roman" w:hAnsi="Times New Roman" w:cs="Times New Roman"/>
          <w:lang w:val="hu-HU"/>
        </w:rPr>
        <w:t>lis toxicitást tapasztaltak, és 5 mg/kg-os adagoknál az életképes foetusok számának csökkenését és a foetalis növekedés retardációját észlelték. A nyulak gyógyszer-expozíciója ezeknél a dózisoknál hasonló volt a betegekéhez.</w:t>
      </w:r>
    </w:p>
    <w:p w14:paraId="1D3EF6CE" w14:textId="77777777" w:rsidR="003F0FF1" w:rsidRDefault="003F0FF1">
      <w:pPr>
        <w:rPr>
          <w:rFonts w:ascii="Times New Roman" w:eastAsia="Times New Roman" w:hAnsi="Times New Roman" w:cs="Times New Roman"/>
          <w:lang w:val="hu-HU"/>
        </w:rPr>
      </w:pPr>
    </w:p>
    <w:p w14:paraId="138EECCB" w14:textId="0A87A4B2"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Patkányoknál anyai toxicitást nem okozó dózisok mellett a korai postpartum időszakban az F1</w:t>
      </w:r>
      <w:r w:rsidR="004C4CC7">
        <w:rPr>
          <w:rFonts w:ascii="Times New Roman" w:eastAsia="Times New Roman" w:hAnsi="Times New Roman" w:cs="Times New Roman"/>
          <w:lang w:val="hu-HU"/>
        </w:rPr>
        <w:noBreakHyphen/>
      </w:r>
      <w:r>
        <w:rPr>
          <w:rFonts w:ascii="Times New Roman" w:eastAsia="Times New Roman" w:hAnsi="Times New Roman" w:cs="Times New Roman"/>
          <w:lang w:val="hu-HU"/>
        </w:rPr>
        <w:t>generációba tartozó utódok túlélése lecsökkent. Ugyanakkor az F1</w:t>
      </w:r>
      <w:r w:rsidR="004C4CC7">
        <w:rPr>
          <w:rFonts w:ascii="Times New Roman" w:eastAsia="Times New Roman" w:hAnsi="Times New Roman" w:cs="Times New Roman"/>
          <w:lang w:val="hu-HU"/>
        </w:rPr>
        <w:noBreakHyphen/>
      </w:r>
      <w:r>
        <w:rPr>
          <w:rFonts w:ascii="Times New Roman" w:eastAsia="Times New Roman" w:hAnsi="Times New Roman" w:cs="Times New Roman"/>
          <w:lang w:val="hu-HU"/>
        </w:rPr>
        <w:t>generációba tartozó utódok test</w:t>
      </w:r>
      <w:r w:rsidR="004C4CC7">
        <w:rPr>
          <w:rFonts w:ascii="Times New Roman" w:eastAsia="Times New Roman" w:hAnsi="Times New Roman" w:cs="Times New Roman"/>
          <w:lang w:val="hu-HU"/>
        </w:rPr>
        <w:t>tömegé</w:t>
      </w:r>
      <w:r>
        <w:rPr>
          <w:rFonts w:ascii="Times New Roman" w:eastAsia="Times New Roman" w:hAnsi="Times New Roman" w:cs="Times New Roman"/>
          <w:lang w:val="hu-HU"/>
        </w:rPr>
        <w:t>t, fejlődését, viselkedését és fertilitását nem befolyásolta a fingolimod.</w:t>
      </w:r>
    </w:p>
    <w:p w14:paraId="6D1EE4CF" w14:textId="77777777" w:rsidR="003F0FF1" w:rsidRDefault="003F0FF1">
      <w:pPr>
        <w:rPr>
          <w:rFonts w:ascii="Times New Roman" w:eastAsia="Times New Roman" w:hAnsi="Times New Roman" w:cs="Times New Roman"/>
          <w:lang w:val="hu-HU"/>
        </w:rPr>
      </w:pPr>
    </w:p>
    <w:p w14:paraId="553CDAD3"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A fingolimod a laktáció alatt 2-szer - 3-szor magasabb koncentrációban választódott ki a kezelt állatok anyatejébe, mint ami az anyai plazmában volt észlelhető. A fingolimod és annak metabolitjai vemhes nyulaknál átjutnak a placentáris barrieren.</w:t>
      </w:r>
    </w:p>
    <w:p w14:paraId="1AA3B3C9" w14:textId="77777777" w:rsidR="003F0FF1" w:rsidRDefault="003F0FF1">
      <w:pPr>
        <w:rPr>
          <w:rFonts w:ascii="Times New Roman" w:eastAsia="Times New Roman" w:hAnsi="Times New Roman" w:cs="Times New Roman"/>
          <w:lang w:val="hu-HU"/>
        </w:rPr>
      </w:pPr>
    </w:p>
    <w:p w14:paraId="1534E569"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u w:val="single" w:color="000000"/>
          <w:lang w:val="hu-HU"/>
        </w:rPr>
        <w:t>Fiatal állatokkal végzett vizsgálatok</w:t>
      </w:r>
    </w:p>
    <w:p w14:paraId="2951BA3F" w14:textId="77777777" w:rsidR="003F0FF1" w:rsidRDefault="003F0FF1">
      <w:pPr>
        <w:rPr>
          <w:rFonts w:ascii="Times New Roman" w:eastAsia="Times New Roman" w:hAnsi="Times New Roman" w:cs="Times New Roman"/>
          <w:lang w:val="hu-HU"/>
        </w:rPr>
      </w:pPr>
    </w:p>
    <w:p w14:paraId="3F62D934" w14:textId="10C5F844"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Fiatal patkányokkal végzett két toxicitási vizsgálat eredményei szerint a készítmény kis mértékben hatással van a neurológiai-viselkedési válaszreakcióra, késleltette a nemi érést, és csökkentette az ismételt KLH (lyukas csigából nyert hemocianin) stimulálással kiváltott immunválaszt, amelyeket nem tekintettek nemkívánatosnak. Összefoglalva, a fingolimod fiatal állatoknál jelentkező, kezeléssel összefüggő hatásai megfeleltek a hasonló szintű adagokat kapó felnőtt patkányoknál megfigyelt hatásokkal, a 1,5 mg/kg vagy annál nagyobb adagokat kapó fiatal állatokban megfigyelt csont ásványianyag-sűrűségi változások és a negatív neurológiai-viselkedési változások kivételével, valamint azzal az eltéréssel, hogy a fiatal patkányok tüdejében nem volt kimutatható simaizom</w:t>
      </w:r>
      <w:r w:rsidR="004C4CC7">
        <w:rPr>
          <w:rFonts w:ascii="Times New Roman" w:eastAsia="Times New Roman" w:hAnsi="Times New Roman" w:cs="Times New Roman"/>
          <w:lang w:val="hu-HU"/>
        </w:rPr>
        <w:noBreakHyphen/>
      </w:r>
      <w:r>
        <w:rPr>
          <w:rFonts w:ascii="Times New Roman" w:eastAsia="Times New Roman" w:hAnsi="Times New Roman" w:cs="Times New Roman"/>
          <w:lang w:val="hu-HU"/>
        </w:rPr>
        <w:t>atrophia.</w:t>
      </w:r>
    </w:p>
    <w:p w14:paraId="4E338352" w14:textId="77777777" w:rsidR="003F0FF1" w:rsidRDefault="003F0FF1">
      <w:pPr>
        <w:rPr>
          <w:rFonts w:ascii="Times New Roman" w:eastAsia="Times New Roman" w:hAnsi="Times New Roman" w:cs="Times New Roman"/>
          <w:lang w:val="hu-HU"/>
        </w:rPr>
      </w:pPr>
    </w:p>
    <w:p w14:paraId="2941BC0E" w14:textId="77777777" w:rsidR="003F0FF1" w:rsidRDefault="003F0FF1">
      <w:pPr>
        <w:rPr>
          <w:rFonts w:ascii="Times New Roman" w:eastAsia="Times New Roman" w:hAnsi="Times New Roman" w:cs="Times New Roman"/>
          <w:lang w:val="hu-HU"/>
        </w:rPr>
      </w:pPr>
    </w:p>
    <w:p w14:paraId="59D821B4" w14:textId="77777777" w:rsidR="003F0FF1" w:rsidRDefault="001156D9">
      <w:pPr>
        <w:pStyle w:val="Cmsor1"/>
        <w:numPr>
          <w:ilvl w:val="0"/>
          <w:numId w:val="28"/>
        </w:numPr>
        <w:tabs>
          <w:tab w:val="left" w:pos="567"/>
        </w:tabs>
        <w:ind w:left="0" w:firstLine="0"/>
        <w:rPr>
          <w:rFonts w:cs="Times New Roman"/>
          <w:lang w:val="hu-HU"/>
        </w:rPr>
      </w:pPr>
      <w:r>
        <w:rPr>
          <w:rFonts w:cs="Times New Roman"/>
          <w:lang w:val="hu-HU"/>
        </w:rPr>
        <w:t>GYÓGYSZERÉSZETI JELLEMZŐK</w:t>
      </w:r>
    </w:p>
    <w:p w14:paraId="5391CE35" w14:textId="77777777" w:rsidR="003F0FF1" w:rsidRDefault="003F0FF1">
      <w:pPr>
        <w:rPr>
          <w:rFonts w:ascii="Times New Roman" w:eastAsia="Times New Roman" w:hAnsi="Times New Roman" w:cs="Times New Roman"/>
          <w:b/>
          <w:bCs/>
          <w:lang w:val="hu-HU"/>
        </w:rPr>
      </w:pPr>
    </w:p>
    <w:p w14:paraId="1BA09C9A" w14:textId="77777777" w:rsidR="003F0FF1" w:rsidRDefault="001156D9">
      <w:pPr>
        <w:numPr>
          <w:ilvl w:val="1"/>
          <w:numId w:val="33"/>
        </w:numPr>
        <w:tabs>
          <w:tab w:val="left" w:pos="567"/>
        </w:tabs>
        <w:ind w:left="567" w:hanging="567"/>
        <w:rPr>
          <w:rFonts w:ascii="Times New Roman" w:eastAsia="Times New Roman" w:hAnsi="Times New Roman" w:cs="Times New Roman"/>
          <w:lang w:val="hu-HU"/>
        </w:rPr>
      </w:pPr>
      <w:r>
        <w:rPr>
          <w:rFonts w:ascii="Times New Roman" w:hAnsi="Times New Roman" w:cs="Times New Roman"/>
          <w:b/>
          <w:lang w:val="hu-HU"/>
        </w:rPr>
        <w:t>Segédanyagok felsorolása</w:t>
      </w:r>
    </w:p>
    <w:p w14:paraId="7BA46F26" w14:textId="77777777" w:rsidR="003F0FF1" w:rsidRDefault="003F0FF1">
      <w:pPr>
        <w:rPr>
          <w:rFonts w:ascii="Times New Roman" w:eastAsia="Times New Roman" w:hAnsi="Times New Roman" w:cs="Times New Roman"/>
          <w:b/>
          <w:bCs/>
          <w:lang w:val="hu-HU"/>
        </w:rPr>
      </w:pPr>
    </w:p>
    <w:p w14:paraId="6E48EF46" w14:textId="77777777" w:rsidR="003F0FF1" w:rsidRDefault="001156D9">
      <w:pPr>
        <w:rPr>
          <w:rFonts w:ascii="Times New Roman" w:eastAsia="Times New Roman" w:hAnsi="Times New Roman" w:cs="Times New Roman"/>
          <w:i/>
          <w:iCs/>
          <w:lang w:val="hu-HU"/>
        </w:rPr>
      </w:pPr>
      <w:r>
        <w:rPr>
          <w:rFonts w:ascii="Times New Roman" w:hAnsi="Times New Roman" w:cs="Times New Roman"/>
          <w:i/>
          <w:iCs/>
          <w:u w:val="single" w:color="000000"/>
          <w:lang w:val="hu-HU"/>
        </w:rPr>
        <w:t>Kapszulatöltet</w:t>
      </w:r>
    </w:p>
    <w:p w14:paraId="7F1054F9" w14:textId="77777777" w:rsidR="003F0FF1" w:rsidRDefault="001156D9">
      <w:pPr>
        <w:rPr>
          <w:rFonts w:ascii="Times New Roman" w:hAnsi="Times New Roman" w:cs="Times New Roman"/>
          <w:lang w:val="hu-HU"/>
        </w:rPr>
      </w:pPr>
      <w:r>
        <w:rPr>
          <w:rFonts w:ascii="Times New Roman" w:hAnsi="Times New Roman" w:cs="Times New Roman"/>
          <w:lang w:val="hu-HU"/>
        </w:rPr>
        <w:t>mikrokristályos cellulóz (E460)</w:t>
      </w:r>
    </w:p>
    <w:p w14:paraId="3098E119" w14:textId="77777777" w:rsidR="003F0FF1" w:rsidRDefault="001156D9">
      <w:pPr>
        <w:rPr>
          <w:rFonts w:ascii="Times New Roman" w:hAnsi="Times New Roman" w:cs="Times New Roman"/>
          <w:lang w:val="hu-HU"/>
        </w:rPr>
      </w:pPr>
      <w:r>
        <w:rPr>
          <w:rFonts w:ascii="Times New Roman" w:hAnsi="Times New Roman" w:cs="Times New Roman"/>
          <w:lang w:val="hu-HU"/>
        </w:rPr>
        <w:t>povidon</w:t>
      </w:r>
    </w:p>
    <w:p w14:paraId="740053AC" w14:textId="77777777" w:rsidR="003F0FF1" w:rsidRDefault="001156D9">
      <w:pPr>
        <w:rPr>
          <w:rFonts w:ascii="Times New Roman" w:eastAsia="Times New Roman" w:hAnsi="Times New Roman" w:cs="Times New Roman"/>
          <w:lang w:val="hu-HU"/>
        </w:rPr>
      </w:pPr>
      <w:r>
        <w:rPr>
          <w:rFonts w:ascii="Times New Roman" w:hAnsi="Times New Roman" w:cs="Times New Roman"/>
          <w:lang w:val="hu-HU"/>
        </w:rPr>
        <w:t>magnézium-sztearát (E470b)</w:t>
      </w:r>
    </w:p>
    <w:p w14:paraId="4B96D449" w14:textId="77777777" w:rsidR="003F0FF1" w:rsidRDefault="003F0FF1">
      <w:pPr>
        <w:rPr>
          <w:rFonts w:ascii="Times New Roman" w:eastAsia="Times New Roman" w:hAnsi="Times New Roman" w:cs="Times New Roman"/>
          <w:lang w:val="hu-HU"/>
        </w:rPr>
      </w:pPr>
    </w:p>
    <w:p w14:paraId="745AD673" w14:textId="77777777" w:rsidR="003F0FF1" w:rsidRDefault="001156D9">
      <w:pPr>
        <w:keepNext/>
        <w:rPr>
          <w:rFonts w:ascii="Times New Roman" w:hAnsi="Times New Roman" w:cs="Times New Roman"/>
          <w:i/>
          <w:u w:val="single"/>
          <w:lang w:val="hu-HU"/>
        </w:rPr>
      </w:pPr>
      <w:r>
        <w:rPr>
          <w:rFonts w:ascii="Times New Roman" w:hAnsi="Times New Roman" w:cs="Times New Roman"/>
          <w:i/>
          <w:u w:val="single"/>
          <w:lang w:val="hu-HU"/>
        </w:rPr>
        <w:t>Kapszula héj</w:t>
      </w:r>
    </w:p>
    <w:p w14:paraId="5BE1E320" w14:textId="77777777" w:rsidR="003F0FF1" w:rsidRDefault="001156D9">
      <w:pPr>
        <w:keepNext/>
        <w:rPr>
          <w:rFonts w:ascii="Times New Roman" w:hAnsi="Times New Roman" w:cs="Times New Roman"/>
          <w:lang w:val="hu-HU"/>
        </w:rPr>
      </w:pPr>
      <w:r>
        <w:rPr>
          <w:rFonts w:ascii="Times New Roman" w:hAnsi="Times New Roman" w:cs="Times New Roman"/>
          <w:lang w:val="hu-HU"/>
        </w:rPr>
        <w:t>titán-dioxid (E171)</w:t>
      </w:r>
    </w:p>
    <w:p w14:paraId="03D32B74" w14:textId="77777777" w:rsidR="003F0FF1" w:rsidRDefault="001156D9">
      <w:pPr>
        <w:rPr>
          <w:rFonts w:ascii="Times New Roman" w:hAnsi="Times New Roman" w:cs="Times New Roman"/>
          <w:lang w:val="hu-HU"/>
        </w:rPr>
      </w:pPr>
      <w:r>
        <w:rPr>
          <w:rFonts w:ascii="Times New Roman" w:hAnsi="Times New Roman" w:cs="Times New Roman"/>
          <w:lang w:val="hu-HU"/>
        </w:rPr>
        <w:t>karragenán</w:t>
      </w:r>
    </w:p>
    <w:p w14:paraId="5736B909" w14:textId="77777777" w:rsidR="003F0FF1" w:rsidRDefault="001156D9">
      <w:pPr>
        <w:rPr>
          <w:rFonts w:ascii="Times New Roman" w:hAnsi="Times New Roman" w:cs="Times New Roman"/>
          <w:lang w:val="hu-HU"/>
        </w:rPr>
      </w:pPr>
      <w:r>
        <w:rPr>
          <w:rFonts w:ascii="Times New Roman" w:hAnsi="Times New Roman" w:cs="Times New Roman"/>
          <w:lang w:val="hu-HU"/>
        </w:rPr>
        <w:t>kálium-klorid</w:t>
      </w:r>
    </w:p>
    <w:p w14:paraId="69657B70" w14:textId="77777777" w:rsidR="003F0FF1" w:rsidRDefault="001156D9">
      <w:pPr>
        <w:rPr>
          <w:rFonts w:ascii="Times New Roman" w:hAnsi="Times New Roman" w:cs="Times New Roman"/>
          <w:lang w:val="hu-HU"/>
        </w:rPr>
      </w:pPr>
      <w:r>
        <w:rPr>
          <w:rFonts w:ascii="Times New Roman" w:hAnsi="Times New Roman" w:cs="Times New Roman"/>
          <w:lang w:val="hu-HU"/>
        </w:rPr>
        <w:t>hipromellóz</w:t>
      </w:r>
    </w:p>
    <w:p w14:paraId="753D6A7A" w14:textId="77777777" w:rsidR="003F0FF1" w:rsidRDefault="001156D9">
      <w:pPr>
        <w:rPr>
          <w:rFonts w:ascii="Times New Roman" w:hAnsi="Times New Roman" w:cs="Times New Roman"/>
          <w:lang w:val="hu-HU"/>
        </w:rPr>
      </w:pPr>
      <w:r>
        <w:rPr>
          <w:rFonts w:ascii="Times New Roman" w:hAnsi="Times New Roman" w:cs="Times New Roman"/>
          <w:lang w:val="hu-HU"/>
        </w:rPr>
        <w:lastRenderedPageBreak/>
        <w:t>sárga vas-oxid (E172)</w:t>
      </w:r>
    </w:p>
    <w:p w14:paraId="502AAEA6" w14:textId="77777777" w:rsidR="003F0FF1" w:rsidRDefault="001156D9">
      <w:pPr>
        <w:rPr>
          <w:rFonts w:ascii="Times New Roman" w:hAnsi="Times New Roman" w:cs="Times New Roman"/>
          <w:lang w:val="hu-HU"/>
        </w:rPr>
      </w:pPr>
      <w:r>
        <w:rPr>
          <w:rFonts w:ascii="Times New Roman" w:hAnsi="Times New Roman" w:cs="Times New Roman"/>
          <w:lang w:val="hu-HU"/>
        </w:rPr>
        <w:t>jelölő festék (sellak (E904), fekete vas-oxid (E172))</w:t>
      </w:r>
    </w:p>
    <w:p w14:paraId="107AF88A" w14:textId="77777777" w:rsidR="003F0FF1" w:rsidRDefault="003F0FF1">
      <w:pPr>
        <w:rPr>
          <w:rFonts w:ascii="Times New Roman" w:eastAsia="Times New Roman" w:hAnsi="Times New Roman" w:cs="Times New Roman"/>
          <w:lang w:val="hu-HU"/>
        </w:rPr>
      </w:pPr>
    </w:p>
    <w:p w14:paraId="589D7EA1" w14:textId="77777777" w:rsidR="003F0FF1" w:rsidRDefault="001156D9">
      <w:pPr>
        <w:numPr>
          <w:ilvl w:val="1"/>
          <w:numId w:val="33"/>
        </w:numPr>
        <w:tabs>
          <w:tab w:val="left" w:pos="567"/>
        </w:tabs>
        <w:ind w:left="567" w:hanging="567"/>
        <w:rPr>
          <w:rFonts w:ascii="Times New Roman" w:hAnsi="Times New Roman" w:cs="Times New Roman"/>
          <w:b/>
          <w:lang w:val="hu-HU"/>
        </w:rPr>
      </w:pPr>
      <w:r>
        <w:rPr>
          <w:rFonts w:ascii="Times New Roman" w:hAnsi="Times New Roman" w:cs="Times New Roman"/>
          <w:b/>
          <w:lang w:val="hu-HU"/>
        </w:rPr>
        <w:t>Inkompatibilitások</w:t>
      </w:r>
    </w:p>
    <w:p w14:paraId="2D0FBEAE" w14:textId="77777777" w:rsidR="003F0FF1" w:rsidRDefault="003F0FF1">
      <w:pPr>
        <w:rPr>
          <w:rFonts w:ascii="Times New Roman" w:eastAsia="Times New Roman" w:hAnsi="Times New Roman" w:cs="Times New Roman"/>
          <w:b/>
          <w:bCs/>
          <w:lang w:val="hu-HU"/>
        </w:rPr>
      </w:pPr>
    </w:p>
    <w:p w14:paraId="5012EB08"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Nem értelmezhető.</w:t>
      </w:r>
    </w:p>
    <w:p w14:paraId="00CF793D" w14:textId="77777777" w:rsidR="003F0FF1" w:rsidRDefault="003F0FF1">
      <w:pPr>
        <w:rPr>
          <w:rFonts w:ascii="Times New Roman" w:eastAsia="Times New Roman" w:hAnsi="Times New Roman" w:cs="Times New Roman"/>
          <w:lang w:val="hu-HU"/>
        </w:rPr>
      </w:pPr>
    </w:p>
    <w:p w14:paraId="326AB8C8" w14:textId="77777777" w:rsidR="003F0FF1" w:rsidRDefault="001156D9">
      <w:pPr>
        <w:numPr>
          <w:ilvl w:val="1"/>
          <w:numId w:val="33"/>
        </w:numPr>
        <w:tabs>
          <w:tab w:val="left" w:pos="567"/>
        </w:tabs>
        <w:ind w:left="0" w:firstLine="0"/>
        <w:outlineLvl w:val="0"/>
        <w:rPr>
          <w:rFonts w:ascii="Times New Roman" w:eastAsia="Times New Roman" w:hAnsi="Times New Roman" w:cs="Times New Roman"/>
          <w:lang w:val="hu-HU"/>
        </w:rPr>
      </w:pPr>
      <w:r>
        <w:rPr>
          <w:rFonts w:ascii="Times New Roman" w:eastAsia="Times New Roman" w:hAnsi="Times New Roman" w:cs="Times New Roman"/>
          <w:b/>
          <w:bCs/>
          <w:lang w:val="hu-HU"/>
        </w:rPr>
        <w:t>Felhasználhatósági időtartam</w:t>
      </w:r>
    </w:p>
    <w:p w14:paraId="433F9D29" w14:textId="77777777" w:rsidR="003F0FF1" w:rsidRDefault="003F0FF1">
      <w:pPr>
        <w:rPr>
          <w:rFonts w:ascii="Times New Roman" w:eastAsia="Times New Roman" w:hAnsi="Times New Roman" w:cs="Times New Roman"/>
          <w:lang w:val="hu-HU"/>
        </w:rPr>
      </w:pPr>
    </w:p>
    <w:p w14:paraId="7A7CFE54"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3 év</w:t>
      </w:r>
    </w:p>
    <w:p w14:paraId="2835C92A" w14:textId="77777777" w:rsidR="003F0FF1" w:rsidRDefault="003F0FF1">
      <w:pPr>
        <w:rPr>
          <w:rFonts w:ascii="Times New Roman" w:eastAsia="Times New Roman" w:hAnsi="Times New Roman" w:cs="Times New Roman"/>
          <w:lang w:val="hu-HU"/>
        </w:rPr>
      </w:pPr>
    </w:p>
    <w:p w14:paraId="3273126C" w14:textId="77777777" w:rsidR="003F0FF1" w:rsidRDefault="001156D9">
      <w:pPr>
        <w:numPr>
          <w:ilvl w:val="1"/>
          <w:numId w:val="33"/>
        </w:numPr>
        <w:tabs>
          <w:tab w:val="left" w:pos="567"/>
        </w:tabs>
        <w:ind w:left="0" w:firstLine="0"/>
        <w:outlineLvl w:val="0"/>
        <w:rPr>
          <w:rFonts w:ascii="Times New Roman" w:eastAsia="Times New Roman" w:hAnsi="Times New Roman" w:cs="Times New Roman"/>
          <w:lang w:val="hu-HU"/>
        </w:rPr>
      </w:pPr>
      <w:r>
        <w:rPr>
          <w:rFonts w:ascii="Times New Roman" w:eastAsia="Times New Roman" w:hAnsi="Times New Roman" w:cs="Times New Roman"/>
          <w:b/>
          <w:bCs/>
          <w:lang w:val="hu-HU"/>
        </w:rPr>
        <w:t>Különleges tárolási előírások</w:t>
      </w:r>
    </w:p>
    <w:p w14:paraId="03967BA0" w14:textId="77777777" w:rsidR="003F0FF1" w:rsidRDefault="003F0FF1">
      <w:pPr>
        <w:rPr>
          <w:rFonts w:ascii="Times New Roman" w:eastAsia="Times New Roman" w:hAnsi="Times New Roman" w:cs="Times New Roman"/>
          <w:b/>
          <w:bCs/>
          <w:lang w:val="hu-HU"/>
        </w:rPr>
      </w:pPr>
    </w:p>
    <w:p w14:paraId="3F115A0E" w14:textId="77777777" w:rsidR="003F0FF1" w:rsidRDefault="001156D9">
      <w:pPr>
        <w:rPr>
          <w:rFonts w:ascii="Times New Roman" w:eastAsia="Times New Roman" w:hAnsi="Times New Roman" w:cs="Times New Roman"/>
          <w:i/>
          <w:lang w:val="hu-HU"/>
        </w:rPr>
      </w:pPr>
      <w:r>
        <w:rPr>
          <w:rFonts w:ascii="Times New Roman" w:eastAsia="Times New Roman" w:hAnsi="Times New Roman" w:cs="Times New Roman"/>
          <w:i/>
          <w:lang w:val="hu-HU"/>
        </w:rPr>
        <w:t>Buborékcsomagolás:</w:t>
      </w:r>
    </w:p>
    <w:p w14:paraId="17B89604"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Legfeljebb 25</w:t>
      </w:r>
      <w:r w:rsidR="004C4CC7">
        <w:rPr>
          <w:rFonts w:ascii="Times New Roman" w:eastAsia="Times New Roman" w:hAnsi="Times New Roman" w:cs="Times New Roman"/>
          <w:lang w:val="hu-HU"/>
        </w:rPr>
        <w:t xml:space="preserve"> </w:t>
      </w:r>
      <w:r>
        <w:rPr>
          <w:rFonts w:ascii="Times New Roman" w:eastAsia="Times New Roman" w:hAnsi="Times New Roman" w:cs="Times New Roman"/>
          <w:lang w:val="hu-HU"/>
        </w:rPr>
        <w:t>°C-on tárolandó.</w:t>
      </w:r>
    </w:p>
    <w:p w14:paraId="1F5FE382"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A nedvességtől való védelem érdekében az eredeti csomagolásban tárolandó.</w:t>
      </w:r>
    </w:p>
    <w:p w14:paraId="3CA7B3B7" w14:textId="77777777" w:rsidR="003F0FF1" w:rsidRDefault="003F0FF1">
      <w:pPr>
        <w:rPr>
          <w:rFonts w:ascii="Times New Roman" w:eastAsia="Times New Roman" w:hAnsi="Times New Roman" w:cs="Times New Roman"/>
          <w:lang w:val="hu-HU"/>
        </w:rPr>
      </w:pPr>
    </w:p>
    <w:p w14:paraId="08A643E2" w14:textId="77777777" w:rsidR="003F0FF1" w:rsidRDefault="001156D9">
      <w:pPr>
        <w:rPr>
          <w:rFonts w:ascii="Times New Roman" w:eastAsia="Times New Roman" w:hAnsi="Times New Roman" w:cs="Times New Roman"/>
          <w:i/>
          <w:lang w:val="hu-HU"/>
        </w:rPr>
      </w:pPr>
      <w:r>
        <w:rPr>
          <w:rFonts w:ascii="Times New Roman" w:eastAsia="Times New Roman" w:hAnsi="Times New Roman" w:cs="Times New Roman"/>
          <w:i/>
          <w:lang w:val="hu-HU"/>
        </w:rPr>
        <w:t>Tartály:</w:t>
      </w:r>
    </w:p>
    <w:p w14:paraId="6D86E4C1"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Legfeljebb 25</w:t>
      </w:r>
      <w:r w:rsidR="004C4CC7">
        <w:rPr>
          <w:rFonts w:ascii="Times New Roman" w:eastAsia="Times New Roman" w:hAnsi="Times New Roman" w:cs="Times New Roman"/>
          <w:lang w:val="hu-HU"/>
        </w:rPr>
        <w:t xml:space="preserve"> </w:t>
      </w:r>
      <w:r>
        <w:rPr>
          <w:rFonts w:ascii="Times New Roman" w:eastAsia="Times New Roman" w:hAnsi="Times New Roman" w:cs="Times New Roman"/>
          <w:lang w:val="hu-HU"/>
        </w:rPr>
        <w:t>°C-on tárolandó.</w:t>
      </w:r>
    </w:p>
    <w:p w14:paraId="6B02AE08"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A nedvességtől való védelem érdekében a tartályt tartsa jól lezárva.</w:t>
      </w:r>
    </w:p>
    <w:p w14:paraId="60DB54BA" w14:textId="77777777" w:rsidR="003F0FF1" w:rsidRDefault="003F0FF1">
      <w:pPr>
        <w:rPr>
          <w:rFonts w:ascii="Times New Roman" w:eastAsia="Times New Roman" w:hAnsi="Times New Roman" w:cs="Times New Roman"/>
          <w:lang w:val="hu-HU"/>
        </w:rPr>
      </w:pPr>
    </w:p>
    <w:p w14:paraId="594E4C18" w14:textId="77777777" w:rsidR="003F0FF1" w:rsidRDefault="001156D9">
      <w:pPr>
        <w:numPr>
          <w:ilvl w:val="1"/>
          <w:numId w:val="33"/>
        </w:numPr>
        <w:tabs>
          <w:tab w:val="left" w:pos="567"/>
        </w:tabs>
        <w:ind w:left="0" w:firstLine="0"/>
        <w:outlineLvl w:val="0"/>
        <w:rPr>
          <w:rFonts w:ascii="Times New Roman" w:eastAsia="Times New Roman" w:hAnsi="Times New Roman" w:cs="Times New Roman"/>
          <w:lang w:val="hu-HU"/>
        </w:rPr>
      </w:pPr>
      <w:r>
        <w:rPr>
          <w:rFonts w:ascii="Times New Roman" w:eastAsia="Times New Roman" w:hAnsi="Times New Roman" w:cs="Times New Roman"/>
          <w:b/>
          <w:bCs/>
          <w:lang w:val="hu-HU"/>
        </w:rPr>
        <w:t>Csomagolás típusa és kiszerelése</w:t>
      </w:r>
    </w:p>
    <w:p w14:paraId="2BCA1D78" w14:textId="77777777" w:rsidR="003F0FF1" w:rsidRDefault="003F0FF1">
      <w:pPr>
        <w:rPr>
          <w:rFonts w:ascii="Times New Roman" w:eastAsia="Times New Roman" w:hAnsi="Times New Roman" w:cs="Times New Roman"/>
          <w:b/>
          <w:bCs/>
          <w:lang w:val="hu-HU"/>
        </w:rPr>
      </w:pPr>
    </w:p>
    <w:p w14:paraId="03D95BE4"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7, 14, 28, 30, 56, 60, 90, 98 vagy 100 db kemény kapszula OPA/Al/PVC//Al buborékcsomagolásban és dobozban.</w:t>
      </w:r>
    </w:p>
    <w:p w14:paraId="44A6DE65"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30×1, 60×1, 90×1 vagy 100×1 db kemény kapszula OPA/Al/PVC//Al adagonként perforált buborékcsomagolásban és dobozban.</w:t>
      </w:r>
    </w:p>
    <w:p w14:paraId="50AE94BE"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7×1, 14×1, 28×1, 56×1 vagy 98×1 kemény kapszula naptárjelzéses, OPA/Al/PVC//Al adagonként perforált buborékcsomagolásban és dobozban.</w:t>
      </w:r>
    </w:p>
    <w:p w14:paraId="548D24E0"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30 db kemény kapszula gyermekbiztos, garanciazáras, polipropilén, nedvességmegkötőt tartalmazó kupakkal lezárt HDPE tartályban és dobozban.</w:t>
      </w:r>
    </w:p>
    <w:p w14:paraId="45CC75C6" w14:textId="77777777" w:rsidR="003F0FF1" w:rsidRDefault="003F0FF1">
      <w:pPr>
        <w:rPr>
          <w:rFonts w:ascii="Times New Roman" w:eastAsia="Times New Roman" w:hAnsi="Times New Roman" w:cs="Times New Roman"/>
          <w:lang w:val="hu-HU"/>
        </w:rPr>
      </w:pPr>
    </w:p>
    <w:p w14:paraId="4FCF02F2"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Nem feltétlenül mindegyik kiszerelés kerül kereskedelmi forgalomba.</w:t>
      </w:r>
    </w:p>
    <w:p w14:paraId="53B0EBD5" w14:textId="77777777" w:rsidR="003F0FF1" w:rsidRDefault="003F0FF1">
      <w:pPr>
        <w:rPr>
          <w:rFonts w:ascii="Times New Roman" w:eastAsia="Times New Roman" w:hAnsi="Times New Roman" w:cs="Times New Roman"/>
          <w:lang w:val="hu-HU"/>
        </w:rPr>
      </w:pPr>
    </w:p>
    <w:p w14:paraId="45543620" w14:textId="77777777" w:rsidR="003F0FF1" w:rsidRDefault="001156D9">
      <w:pPr>
        <w:numPr>
          <w:ilvl w:val="1"/>
          <w:numId w:val="33"/>
        </w:numPr>
        <w:tabs>
          <w:tab w:val="left" w:pos="567"/>
        </w:tabs>
        <w:ind w:left="0" w:firstLine="0"/>
        <w:outlineLvl w:val="0"/>
        <w:rPr>
          <w:rFonts w:ascii="Times New Roman" w:eastAsia="Times New Roman" w:hAnsi="Times New Roman" w:cs="Times New Roman"/>
          <w:lang w:val="hu-HU"/>
        </w:rPr>
      </w:pPr>
      <w:r>
        <w:rPr>
          <w:rFonts w:ascii="Times New Roman" w:eastAsia="Times New Roman" w:hAnsi="Times New Roman" w:cs="Times New Roman"/>
          <w:b/>
          <w:bCs/>
          <w:lang w:val="hu-HU"/>
        </w:rPr>
        <w:t>A megsemmisítésre vonatkozó különleges óvintézkedések</w:t>
      </w:r>
    </w:p>
    <w:p w14:paraId="4AAD4B1B" w14:textId="77777777" w:rsidR="003F0FF1" w:rsidRDefault="003F0FF1">
      <w:pPr>
        <w:rPr>
          <w:rFonts w:ascii="Times New Roman" w:eastAsia="Times New Roman" w:hAnsi="Times New Roman" w:cs="Times New Roman"/>
          <w:b/>
          <w:bCs/>
          <w:lang w:val="hu-HU"/>
        </w:rPr>
      </w:pPr>
    </w:p>
    <w:p w14:paraId="752730B5" w14:textId="77777777" w:rsidR="003F0FF1" w:rsidRDefault="001156D9">
      <w:pPr>
        <w:rPr>
          <w:rFonts w:ascii="Times New Roman" w:eastAsia="Times New Roman" w:hAnsi="Times New Roman" w:cs="Times New Roman"/>
          <w:lang w:val="hu-HU"/>
        </w:rPr>
      </w:pPr>
      <w:r>
        <w:rPr>
          <w:rFonts w:ascii="Times New Roman" w:eastAsia="Times New Roman" w:hAnsi="Times New Roman" w:cs="Times New Roman"/>
          <w:lang w:val="hu-HU"/>
        </w:rPr>
        <w:t>Bármilyen fel nem használt gyógyszer, illetve hulladékanyag megsemmisítését a gyógyszerekre vonatkozó előírások szerint kell végrehajtani.</w:t>
      </w:r>
    </w:p>
    <w:p w14:paraId="7B849127" w14:textId="77777777" w:rsidR="003F0FF1" w:rsidRDefault="003F0FF1">
      <w:pPr>
        <w:rPr>
          <w:rFonts w:ascii="Times New Roman" w:eastAsia="Times New Roman" w:hAnsi="Times New Roman" w:cs="Times New Roman"/>
          <w:lang w:val="hu-HU"/>
        </w:rPr>
      </w:pPr>
    </w:p>
    <w:p w14:paraId="27C179AF" w14:textId="77777777" w:rsidR="003F0FF1" w:rsidRDefault="001156D9">
      <w:pPr>
        <w:rPr>
          <w:rFonts w:ascii="Times New Roman" w:hAnsi="Times New Roman" w:cs="Times New Roman"/>
          <w:lang w:val="hu-HU"/>
        </w:rPr>
      </w:pPr>
      <w:r>
        <w:rPr>
          <w:rFonts w:ascii="Times New Roman" w:hAnsi="Times New Roman" w:cs="Times New Roman"/>
          <w:lang w:val="hu-HU"/>
        </w:rPr>
        <w:t xml:space="preserve">Megjegyzés: </w:t>
      </w:r>
      <w:r>
        <w:rPr>
          <w:rFonts w:ascii="Times New Roman" w:hAnsi="Times New Roman" w:cs="Times New Roman"/>
          <w:lang w:val="hu-HU"/>
        </w:rPr>
        <w:sym w:font="Wingdings" w:char="F058"/>
      </w:r>
      <w:r>
        <w:rPr>
          <w:rFonts w:ascii="Times New Roman" w:hAnsi="Times New Roman" w:cs="Times New Roman"/>
          <w:lang w:val="hu-HU"/>
        </w:rPr>
        <w:t xml:space="preserve"> (egy kereszt)</w:t>
      </w:r>
    </w:p>
    <w:p w14:paraId="4465F36F" w14:textId="77777777" w:rsidR="003F0FF1" w:rsidRDefault="001156D9">
      <w:pPr>
        <w:keepNext/>
        <w:keepLines/>
        <w:spacing w:before="40"/>
        <w:outlineLvl w:val="1"/>
        <w:rPr>
          <w:rFonts w:ascii="Times New Roman" w:eastAsiaTheme="majorEastAsia" w:hAnsi="Times New Roman" w:cs="Times New Roman"/>
          <w:lang w:val="hu-HU"/>
        </w:rPr>
      </w:pPr>
      <w:r>
        <w:rPr>
          <w:rFonts w:ascii="Times New Roman" w:eastAsiaTheme="majorEastAsia" w:hAnsi="Times New Roman" w:cs="Times New Roman"/>
          <w:lang w:val="hu-HU"/>
        </w:rPr>
        <w:t>Osztályozás: II./2 csoport</w:t>
      </w:r>
    </w:p>
    <w:p w14:paraId="1638C065" w14:textId="77777777" w:rsidR="003F0FF1" w:rsidRDefault="001156D9">
      <w:pPr>
        <w:rPr>
          <w:lang w:val="hu-HU"/>
        </w:rPr>
      </w:pPr>
      <w:r>
        <w:rPr>
          <w:rFonts w:ascii="Times New Roman" w:hAnsi="Times New Roman" w:cs="Times New Roman"/>
          <w:lang w:val="hu-HU"/>
        </w:rPr>
        <w:t>Korlátozott érvényű orvosi rendelvényhez kötött, szakorvosi/kórházi diagnózist követően folyamatos szakorvosi ellenőrzés mellett alkalmazható gyógyszer (Sz).</w:t>
      </w:r>
    </w:p>
    <w:p w14:paraId="1A3998B8" w14:textId="77777777" w:rsidR="003F0FF1" w:rsidRDefault="003F0FF1">
      <w:pPr>
        <w:spacing w:line="240" w:lineRule="exact"/>
        <w:rPr>
          <w:lang w:val="hu-HU"/>
        </w:rPr>
      </w:pPr>
    </w:p>
    <w:p w14:paraId="2EA47CE6" w14:textId="77777777" w:rsidR="003F0FF1" w:rsidRDefault="003F0FF1">
      <w:pPr>
        <w:rPr>
          <w:rFonts w:ascii="Times New Roman" w:eastAsia="Times New Roman" w:hAnsi="Times New Roman" w:cs="Times New Roman"/>
          <w:lang w:val="hu-HU"/>
        </w:rPr>
      </w:pPr>
    </w:p>
    <w:p w14:paraId="775843EA" w14:textId="77777777" w:rsidR="003F0FF1" w:rsidRDefault="001156D9">
      <w:pPr>
        <w:pStyle w:val="Cmsor1"/>
        <w:numPr>
          <w:ilvl w:val="0"/>
          <w:numId w:val="28"/>
        </w:numPr>
        <w:tabs>
          <w:tab w:val="left" w:pos="567"/>
        </w:tabs>
        <w:ind w:left="0" w:firstLine="0"/>
        <w:rPr>
          <w:rFonts w:cs="Times New Roman"/>
          <w:lang w:val="hu-HU"/>
        </w:rPr>
      </w:pPr>
      <w:r>
        <w:rPr>
          <w:rFonts w:cs="Times New Roman"/>
          <w:lang w:val="hu-HU"/>
        </w:rPr>
        <w:t>A FORGALOMBA HOZATALI ENGEDÉLY JOGOSULTJA</w:t>
      </w:r>
    </w:p>
    <w:p w14:paraId="10326956" w14:textId="77777777" w:rsidR="003F0FF1" w:rsidRDefault="003F0FF1">
      <w:pPr>
        <w:rPr>
          <w:rFonts w:ascii="Times New Roman" w:eastAsia="Times New Roman" w:hAnsi="Times New Roman" w:cs="Times New Roman"/>
          <w:b/>
          <w:bCs/>
          <w:lang w:val="hu-HU"/>
        </w:rPr>
      </w:pPr>
    </w:p>
    <w:p w14:paraId="78FFCF7F" w14:textId="77777777" w:rsidR="003F0FF1" w:rsidRDefault="001156D9">
      <w:pPr>
        <w:rPr>
          <w:rFonts w:ascii="Times New Roman" w:hAnsi="Times New Roman" w:cs="Times New Roman"/>
          <w:lang w:val="hu-HU"/>
        </w:rPr>
      </w:pPr>
      <w:r>
        <w:rPr>
          <w:rFonts w:ascii="Times New Roman" w:hAnsi="Times New Roman" w:cs="Times New Roman"/>
          <w:lang w:val="hu-HU"/>
        </w:rPr>
        <w:t>KRKA, d.d., Novo mesto,</w:t>
      </w:r>
    </w:p>
    <w:p w14:paraId="08C83161" w14:textId="77777777" w:rsidR="003F0FF1" w:rsidRDefault="001156D9">
      <w:pPr>
        <w:rPr>
          <w:rFonts w:ascii="Times New Roman" w:hAnsi="Times New Roman" w:cs="Times New Roman"/>
          <w:lang w:val="hu-HU"/>
        </w:rPr>
      </w:pPr>
      <w:r>
        <w:rPr>
          <w:rFonts w:ascii="Times New Roman" w:hAnsi="Times New Roman" w:cs="Times New Roman"/>
          <w:lang w:val="hu-HU"/>
        </w:rPr>
        <w:t>Šmarješka cesta 6,</w:t>
      </w:r>
    </w:p>
    <w:p w14:paraId="031AFBA2" w14:textId="77777777" w:rsidR="003F0FF1" w:rsidRDefault="001156D9">
      <w:pPr>
        <w:rPr>
          <w:rFonts w:ascii="Times New Roman" w:hAnsi="Times New Roman" w:cs="Times New Roman"/>
          <w:lang w:val="hu-HU"/>
        </w:rPr>
      </w:pPr>
      <w:r>
        <w:rPr>
          <w:rFonts w:ascii="Times New Roman" w:hAnsi="Times New Roman" w:cs="Times New Roman"/>
          <w:lang w:val="hu-HU"/>
        </w:rPr>
        <w:t>8501 Novo mesto,</w:t>
      </w:r>
    </w:p>
    <w:p w14:paraId="3D341B77" w14:textId="77777777" w:rsidR="003F0FF1" w:rsidRDefault="001156D9">
      <w:pPr>
        <w:rPr>
          <w:rFonts w:ascii="Times New Roman" w:hAnsi="Times New Roman" w:cs="Times New Roman"/>
          <w:lang w:val="hu-HU"/>
        </w:rPr>
      </w:pPr>
      <w:r>
        <w:rPr>
          <w:rFonts w:ascii="Times New Roman" w:hAnsi="Times New Roman" w:cs="Times New Roman"/>
          <w:lang w:val="hu-HU"/>
        </w:rPr>
        <w:t>Szlovénia</w:t>
      </w:r>
    </w:p>
    <w:p w14:paraId="130E851E" w14:textId="77777777" w:rsidR="003F0FF1" w:rsidRDefault="003F0FF1">
      <w:pPr>
        <w:rPr>
          <w:rFonts w:ascii="Times New Roman" w:hAnsi="Times New Roman" w:cs="Times New Roman"/>
          <w:lang w:val="hu-HU"/>
        </w:rPr>
      </w:pPr>
    </w:p>
    <w:p w14:paraId="2F15950F" w14:textId="77777777" w:rsidR="003F0FF1" w:rsidRDefault="003F0FF1">
      <w:pPr>
        <w:rPr>
          <w:rFonts w:ascii="Times New Roman" w:eastAsia="Times New Roman" w:hAnsi="Times New Roman" w:cs="Times New Roman"/>
          <w:lang w:val="hu-HU"/>
        </w:rPr>
      </w:pPr>
    </w:p>
    <w:p w14:paraId="6A042D06" w14:textId="77777777" w:rsidR="003F0FF1" w:rsidRDefault="001156D9" w:rsidP="00CE583C">
      <w:pPr>
        <w:pStyle w:val="Cmsor1"/>
        <w:keepNext/>
        <w:numPr>
          <w:ilvl w:val="0"/>
          <w:numId w:val="28"/>
        </w:numPr>
        <w:tabs>
          <w:tab w:val="left" w:pos="567"/>
        </w:tabs>
        <w:ind w:left="0" w:firstLine="0"/>
        <w:rPr>
          <w:rFonts w:cs="Times New Roman"/>
          <w:lang w:val="hu-HU"/>
        </w:rPr>
      </w:pPr>
      <w:r>
        <w:rPr>
          <w:rFonts w:cs="Times New Roman"/>
          <w:lang w:val="hu-HU"/>
        </w:rPr>
        <w:lastRenderedPageBreak/>
        <w:t>A FORGALOMBA HOZATALI ENGEDÉLY SZÁMA(I)</w:t>
      </w:r>
    </w:p>
    <w:p w14:paraId="3D403172" w14:textId="77777777" w:rsidR="003F0FF1" w:rsidRDefault="003F0FF1" w:rsidP="00CE583C">
      <w:pPr>
        <w:keepNext/>
        <w:widowControl/>
        <w:rPr>
          <w:rFonts w:ascii="Calibri" w:hAnsi="Calibri" w:cs="Times New Roman"/>
          <w:color w:val="000000"/>
          <w:sz w:val="24"/>
          <w:szCs w:val="24"/>
          <w:lang w:val="hu-HU" w:eastAsia="hu-HU"/>
        </w:rPr>
      </w:pPr>
    </w:p>
    <w:p w14:paraId="62B5BC54" w14:textId="327C9121" w:rsidR="003F0FF1" w:rsidRDefault="001156D9" w:rsidP="00CE583C">
      <w:pPr>
        <w:keepNext/>
        <w:rPr>
          <w:rFonts w:ascii="Times New Roman" w:hAnsi="Times New Roman" w:cs="Times New Roman"/>
          <w:lang w:val="hu-HU"/>
        </w:rPr>
      </w:pPr>
      <w:r>
        <w:rPr>
          <w:rFonts w:ascii="Times New Roman" w:hAnsi="Times New Roman" w:cs="Times New Roman"/>
          <w:lang w:val="hu-HU"/>
        </w:rPr>
        <w:t>OGYI-T-23815/01</w:t>
      </w:r>
      <w:r w:rsidR="004C4CC7">
        <w:rPr>
          <w:rFonts w:ascii="Times New Roman" w:hAnsi="Times New Roman" w:cs="Times New Roman"/>
          <w:lang w:val="hu-HU"/>
        </w:rPr>
        <w:tab/>
      </w:r>
      <w:r>
        <w:rPr>
          <w:rFonts w:ascii="Times New Roman" w:hAnsi="Times New Roman" w:cs="Times New Roman"/>
          <w:lang w:val="hu-HU"/>
        </w:rPr>
        <w:t>28</w:t>
      </w:r>
      <w:r w:rsidR="004C4CC7">
        <w:rPr>
          <w:rFonts w:ascii="Times New Roman" w:hAnsi="Times New Roman" w:cs="Times New Roman"/>
          <w:lang w:val="hu-HU"/>
        </w:rPr>
        <w:tab/>
      </w:r>
      <w:r>
        <w:rPr>
          <w:rFonts w:ascii="Times New Roman" w:hAnsi="Times New Roman" w:cs="Times New Roman"/>
          <w:lang w:val="hu-HU"/>
        </w:rPr>
        <w:t>OPA/Al/PVC//Al buborékcsomagolás</w:t>
      </w:r>
    </w:p>
    <w:p w14:paraId="7106BB27" w14:textId="6659CA56" w:rsidR="003F0FF1" w:rsidRDefault="001156D9" w:rsidP="00CE583C">
      <w:pPr>
        <w:widowControl/>
        <w:ind w:left="2126" w:hanging="2126"/>
        <w:rPr>
          <w:rFonts w:ascii="Times New Roman" w:hAnsi="Times New Roman" w:cs="Times New Roman"/>
          <w:lang w:val="hu-HU"/>
        </w:rPr>
      </w:pPr>
      <w:r>
        <w:rPr>
          <w:rFonts w:ascii="Times New Roman" w:hAnsi="Times New Roman" w:cs="Times New Roman"/>
          <w:lang w:val="hu-HU"/>
        </w:rPr>
        <w:t>OGYI-T-23815/02</w:t>
      </w:r>
      <w:r w:rsidR="004C4CC7">
        <w:rPr>
          <w:rFonts w:ascii="Times New Roman" w:hAnsi="Times New Roman" w:cs="Times New Roman"/>
          <w:lang w:val="hu-HU"/>
        </w:rPr>
        <w:tab/>
      </w:r>
      <w:r>
        <w:rPr>
          <w:rFonts w:ascii="Times New Roman" w:hAnsi="Times New Roman" w:cs="Times New Roman"/>
          <w:lang w:val="hu-HU"/>
        </w:rPr>
        <w:t>28</w:t>
      </w:r>
      <w:r w:rsidR="004C4CC7">
        <w:rPr>
          <w:rFonts w:ascii="Times New Roman" w:hAnsi="Times New Roman" w:cs="Times New Roman"/>
          <w:lang w:val="hu-HU"/>
        </w:rPr>
        <w:t>×</w:t>
      </w:r>
      <w:r>
        <w:rPr>
          <w:rFonts w:ascii="Times New Roman" w:hAnsi="Times New Roman" w:cs="Times New Roman"/>
          <w:lang w:val="hu-HU"/>
        </w:rPr>
        <w:t>1</w:t>
      </w:r>
      <w:r w:rsidR="004C4CC7">
        <w:rPr>
          <w:rFonts w:ascii="Times New Roman" w:hAnsi="Times New Roman" w:cs="Times New Roman"/>
          <w:lang w:val="hu-HU"/>
        </w:rPr>
        <w:tab/>
      </w:r>
      <w:r>
        <w:rPr>
          <w:rFonts w:ascii="Times New Roman" w:hAnsi="Times New Roman" w:cs="Times New Roman"/>
          <w:spacing w:val="-3"/>
          <w:lang w:val="hu-HU"/>
        </w:rPr>
        <w:t xml:space="preserve">naptárjelzéses </w:t>
      </w:r>
      <w:r>
        <w:rPr>
          <w:rFonts w:ascii="Times New Roman" w:hAnsi="Times New Roman" w:cs="Times New Roman"/>
          <w:lang w:val="hu-HU"/>
        </w:rPr>
        <w:t>OPA/Al/PVC//Al adagonként perforált buborékcsomagolás</w:t>
      </w:r>
    </w:p>
    <w:p w14:paraId="2A46C2CD" w14:textId="236F4AEA" w:rsidR="003F0FF1" w:rsidRDefault="001156D9">
      <w:pPr>
        <w:rPr>
          <w:rFonts w:ascii="Times New Roman" w:hAnsi="Times New Roman" w:cs="Times New Roman"/>
          <w:lang w:val="hu-HU"/>
        </w:rPr>
      </w:pPr>
      <w:r>
        <w:rPr>
          <w:rFonts w:ascii="Times New Roman" w:hAnsi="Times New Roman" w:cs="Times New Roman"/>
          <w:lang w:val="hu-HU"/>
        </w:rPr>
        <w:t>OGYI-T-23815/03</w:t>
      </w:r>
      <w:r w:rsidR="004C4CC7">
        <w:rPr>
          <w:rFonts w:ascii="Times New Roman" w:hAnsi="Times New Roman" w:cs="Times New Roman"/>
          <w:lang w:val="hu-HU"/>
        </w:rPr>
        <w:tab/>
      </w:r>
      <w:r>
        <w:rPr>
          <w:rFonts w:ascii="Times New Roman" w:hAnsi="Times New Roman" w:cs="Times New Roman"/>
          <w:lang w:val="hu-HU"/>
        </w:rPr>
        <w:t>30</w:t>
      </w:r>
      <w:r w:rsidR="004C4CC7">
        <w:rPr>
          <w:rFonts w:ascii="Times New Roman" w:hAnsi="Times New Roman" w:cs="Times New Roman"/>
          <w:lang w:val="hu-HU"/>
        </w:rPr>
        <w:tab/>
      </w:r>
      <w:r>
        <w:rPr>
          <w:rFonts w:ascii="Times New Roman" w:hAnsi="Times New Roman" w:cs="Times New Roman"/>
          <w:lang w:val="hu-HU"/>
        </w:rPr>
        <w:t>OPA/Al/PVC//Al buborékcsomagolás</w:t>
      </w:r>
    </w:p>
    <w:p w14:paraId="77AC0138" w14:textId="52C73ED4" w:rsidR="003F0FF1" w:rsidRDefault="001156D9">
      <w:pPr>
        <w:rPr>
          <w:rFonts w:ascii="Times New Roman" w:hAnsi="Times New Roman" w:cs="Times New Roman"/>
          <w:lang w:val="hu-HU"/>
        </w:rPr>
      </w:pPr>
      <w:r>
        <w:rPr>
          <w:rFonts w:ascii="Times New Roman" w:hAnsi="Times New Roman" w:cs="Times New Roman"/>
          <w:lang w:val="hu-HU"/>
        </w:rPr>
        <w:t>OGYI-T-23815/04</w:t>
      </w:r>
      <w:r w:rsidR="004C4CC7">
        <w:rPr>
          <w:rFonts w:ascii="Times New Roman" w:hAnsi="Times New Roman" w:cs="Times New Roman"/>
          <w:lang w:val="hu-HU"/>
        </w:rPr>
        <w:tab/>
      </w:r>
      <w:r>
        <w:rPr>
          <w:rFonts w:ascii="Times New Roman" w:hAnsi="Times New Roman" w:cs="Times New Roman"/>
          <w:lang w:val="hu-HU"/>
        </w:rPr>
        <w:t>30</w:t>
      </w:r>
      <w:r w:rsidR="004C4CC7">
        <w:rPr>
          <w:rFonts w:ascii="Times New Roman" w:hAnsi="Times New Roman" w:cs="Times New Roman"/>
          <w:lang w:val="hu-HU"/>
        </w:rPr>
        <w:t>×</w:t>
      </w:r>
      <w:r>
        <w:rPr>
          <w:rFonts w:ascii="Times New Roman" w:hAnsi="Times New Roman" w:cs="Times New Roman"/>
          <w:lang w:val="hu-HU"/>
        </w:rPr>
        <w:t>1</w:t>
      </w:r>
      <w:r w:rsidR="004C4CC7">
        <w:rPr>
          <w:rFonts w:ascii="Times New Roman" w:hAnsi="Times New Roman" w:cs="Times New Roman"/>
          <w:lang w:val="hu-HU"/>
        </w:rPr>
        <w:tab/>
      </w:r>
      <w:r>
        <w:rPr>
          <w:rFonts w:ascii="Times New Roman" w:hAnsi="Times New Roman" w:cs="Times New Roman"/>
          <w:lang w:val="hu-HU"/>
        </w:rPr>
        <w:t>OPA/Al/PVC//Al adagonként perforált buborékcsomagolás</w:t>
      </w:r>
    </w:p>
    <w:p w14:paraId="1CB7BDE1" w14:textId="2E63E72F" w:rsidR="003F0FF1" w:rsidRDefault="001156D9">
      <w:pPr>
        <w:rPr>
          <w:rFonts w:ascii="Times New Roman" w:hAnsi="Times New Roman" w:cs="Times New Roman"/>
          <w:lang w:val="hu-HU"/>
        </w:rPr>
      </w:pPr>
      <w:r>
        <w:rPr>
          <w:rFonts w:ascii="Times New Roman" w:hAnsi="Times New Roman" w:cs="Times New Roman"/>
          <w:lang w:val="hu-HU"/>
        </w:rPr>
        <w:t>OGYI-T-23815/05</w:t>
      </w:r>
      <w:r w:rsidR="004C4CC7">
        <w:rPr>
          <w:rFonts w:ascii="Times New Roman" w:hAnsi="Times New Roman" w:cs="Times New Roman"/>
          <w:lang w:val="hu-HU"/>
        </w:rPr>
        <w:tab/>
      </w:r>
      <w:r>
        <w:rPr>
          <w:rFonts w:ascii="Times New Roman" w:hAnsi="Times New Roman" w:cs="Times New Roman"/>
          <w:lang w:val="hu-HU"/>
        </w:rPr>
        <w:t>30</w:t>
      </w:r>
      <w:r w:rsidR="004C4CC7">
        <w:rPr>
          <w:rFonts w:ascii="Times New Roman" w:hAnsi="Times New Roman" w:cs="Times New Roman"/>
          <w:lang w:val="hu-HU"/>
        </w:rPr>
        <w:tab/>
      </w:r>
      <w:r>
        <w:rPr>
          <w:rFonts w:ascii="Times New Roman" w:hAnsi="Times New Roman" w:cs="Times New Roman"/>
          <w:lang w:val="hu-HU"/>
        </w:rPr>
        <w:t>HDPE tartály</w:t>
      </w:r>
    </w:p>
    <w:p w14:paraId="4FFC1004" w14:textId="67BF4968" w:rsidR="003F0FF1" w:rsidRDefault="001156D9">
      <w:pPr>
        <w:rPr>
          <w:rFonts w:ascii="Times New Roman" w:hAnsi="Times New Roman" w:cs="Times New Roman"/>
          <w:lang w:val="hu-HU"/>
        </w:rPr>
      </w:pPr>
      <w:r>
        <w:rPr>
          <w:rFonts w:ascii="Times New Roman" w:hAnsi="Times New Roman" w:cs="Times New Roman"/>
          <w:lang w:val="hu-HU"/>
        </w:rPr>
        <w:t>OGYI-T-23815/06</w:t>
      </w:r>
      <w:r w:rsidR="004C4CC7">
        <w:rPr>
          <w:rFonts w:ascii="Times New Roman" w:hAnsi="Times New Roman" w:cs="Times New Roman"/>
          <w:lang w:val="hu-HU"/>
        </w:rPr>
        <w:tab/>
      </w:r>
      <w:r>
        <w:rPr>
          <w:rFonts w:ascii="Times New Roman" w:hAnsi="Times New Roman" w:cs="Times New Roman"/>
          <w:lang w:val="hu-HU"/>
        </w:rPr>
        <w:t>56</w:t>
      </w:r>
      <w:r w:rsidR="004C4CC7">
        <w:rPr>
          <w:rFonts w:ascii="Times New Roman" w:hAnsi="Times New Roman" w:cs="Times New Roman"/>
          <w:lang w:val="hu-HU"/>
        </w:rPr>
        <w:tab/>
      </w:r>
      <w:r>
        <w:rPr>
          <w:rFonts w:ascii="Times New Roman" w:hAnsi="Times New Roman" w:cs="Times New Roman"/>
          <w:lang w:val="hu-HU"/>
        </w:rPr>
        <w:t>OPA/Al/PVC//Al buborékcsomagolás</w:t>
      </w:r>
    </w:p>
    <w:p w14:paraId="13FF5AE6" w14:textId="2297BE10" w:rsidR="003F0FF1" w:rsidRDefault="001156D9" w:rsidP="004C4CC7">
      <w:pPr>
        <w:ind w:left="2127" w:hanging="2127"/>
        <w:rPr>
          <w:rFonts w:ascii="Times New Roman" w:hAnsi="Times New Roman" w:cs="Times New Roman"/>
          <w:lang w:val="hu-HU"/>
        </w:rPr>
      </w:pPr>
      <w:r>
        <w:rPr>
          <w:rFonts w:ascii="Times New Roman" w:hAnsi="Times New Roman" w:cs="Times New Roman"/>
          <w:lang w:val="hu-HU"/>
        </w:rPr>
        <w:t>OGYI-T-23815/07</w:t>
      </w:r>
      <w:r w:rsidR="004C4CC7">
        <w:rPr>
          <w:rFonts w:ascii="Times New Roman" w:hAnsi="Times New Roman" w:cs="Times New Roman"/>
          <w:lang w:val="hu-HU"/>
        </w:rPr>
        <w:tab/>
      </w:r>
      <w:r>
        <w:rPr>
          <w:rFonts w:ascii="Times New Roman" w:hAnsi="Times New Roman" w:cs="Times New Roman"/>
          <w:lang w:val="hu-HU"/>
        </w:rPr>
        <w:t>56</w:t>
      </w:r>
      <w:r w:rsidR="004C4CC7">
        <w:rPr>
          <w:rFonts w:ascii="Times New Roman" w:hAnsi="Times New Roman" w:cs="Times New Roman"/>
          <w:lang w:val="hu-HU"/>
        </w:rPr>
        <w:t>×</w:t>
      </w:r>
      <w:r>
        <w:rPr>
          <w:rFonts w:ascii="Times New Roman" w:hAnsi="Times New Roman" w:cs="Times New Roman"/>
          <w:lang w:val="hu-HU"/>
        </w:rPr>
        <w:t>1</w:t>
      </w:r>
      <w:r w:rsidR="004C4CC7">
        <w:rPr>
          <w:rFonts w:ascii="Times New Roman" w:hAnsi="Times New Roman" w:cs="Times New Roman"/>
          <w:lang w:val="hu-HU"/>
        </w:rPr>
        <w:tab/>
      </w:r>
      <w:r>
        <w:rPr>
          <w:rFonts w:ascii="Times New Roman" w:hAnsi="Times New Roman" w:cs="Times New Roman"/>
          <w:spacing w:val="-3"/>
          <w:lang w:val="hu-HU"/>
        </w:rPr>
        <w:t xml:space="preserve">naptárjelzéses </w:t>
      </w:r>
      <w:r>
        <w:rPr>
          <w:rFonts w:ascii="Times New Roman" w:hAnsi="Times New Roman" w:cs="Times New Roman"/>
          <w:lang w:val="hu-HU"/>
        </w:rPr>
        <w:t>OPA/Al/PVC//Al adagonként perforált buborékcsomagolás</w:t>
      </w:r>
    </w:p>
    <w:p w14:paraId="464EDD2E" w14:textId="2374405D" w:rsidR="003F0FF1" w:rsidRDefault="001156D9">
      <w:pPr>
        <w:rPr>
          <w:rFonts w:ascii="Times New Roman" w:hAnsi="Times New Roman" w:cs="Times New Roman"/>
          <w:lang w:val="hu-HU"/>
        </w:rPr>
      </w:pPr>
      <w:r>
        <w:rPr>
          <w:rFonts w:ascii="Times New Roman" w:hAnsi="Times New Roman" w:cs="Times New Roman"/>
          <w:lang w:val="hu-HU"/>
        </w:rPr>
        <w:t>OGYI-T-23815/08</w:t>
      </w:r>
      <w:r w:rsidR="004C4CC7">
        <w:rPr>
          <w:rFonts w:ascii="Times New Roman" w:hAnsi="Times New Roman" w:cs="Times New Roman"/>
          <w:lang w:val="hu-HU"/>
        </w:rPr>
        <w:tab/>
      </w:r>
      <w:r>
        <w:rPr>
          <w:rFonts w:ascii="Times New Roman" w:hAnsi="Times New Roman" w:cs="Times New Roman"/>
          <w:lang w:val="hu-HU"/>
        </w:rPr>
        <w:t>60</w:t>
      </w:r>
      <w:r w:rsidR="004C4CC7">
        <w:rPr>
          <w:rFonts w:ascii="Times New Roman" w:hAnsi="Times New Roman" w:cs="Times New Roman"/>
          <w:lang w:val="hu-HU"/>
        </w:rPr>
        <w:tab/>
      </w:r>
      <w:r>
        <w:rPr>
          <w:rFonts w:ascii="Times New Roman" w:hAnsi="Times New Roman" w:cs="Times New Roman"/>
          <w:lang w:val="hu-HU"/>
        </w:rPr>
        <w:t>OPA/Al/PVC//Al buborékcsomagolás</w:t>
      </w:r>
    </w:p>
    <w:p w14:paraId="5A880D51" w14:textId="48F09D5B" w:rsidR="003F0FF1" w:rsidRDefault="001156D9">
      <w:pPr>
        <w:rPr>
          <w:rFonts w:ascii="Times New Roman" w:hAnsi="Times New Roman" w:cs="Times New Roman"/>
          <w:lang w:val="hu-HU"/>
        </w:rPr>
      </w:pPr>
      <w:r>
        <w:rPr>
          <w:rFonts w:ascii="Times New Roman" w:hAnsi="Times New Roman" w:cs="Times New Roman"/>
          <w:lang w:val="hu-HU"/>
        </w:rPr>
        <w:t>OGYI-T-23815/09</w:t>
      </w:r>
      <w:r w:rsidR="004C4CC7">
        <w:rPr>
          <w:rFonts w:ascii="Times New Roman" w:hAnsi="Times New Roman" w:cs="Times New Roman"/>
          <w:lang w:val="hu-HU"/>
        </w:rPr>
        <w:tab/>
      </w:r>
      <w:r>
        <w:rPr>
          <w:rFonts w:ascii="Times New Roman" w:hAnsi="Times New Roman" w:cs="Times New Roman"/>
          <w:lang w:val="hu-HU"/>
        </w:rPr>
        <w:t>60</w:t>
      </w:r>
      <w:r w:rsidR="004C4CC7">
        <w:rPr>
          <w:rFonts w:ascii="Times New Roman" w:hAnsi="Times New Roman" w:cs="Times New Roman"/>
          <w:lang w:val="hu-HU"/>
        </w:rPr>
        <w:t>×</w:t>
      </w:r>
      <w:r>
        <w:rPr>
          <w:rFonts w:ascii="Times New Roman" w:hAnsi="Times New Roman" w:cs="Times New Roman"/>
          <w:lang w:val="hu-HU"/>
        </w:rPr>
        <w:t>1</w:t>
      </w:r>
      <w:r w:rsidR="004C4CC7">
        <w:rPr>
          <w:rFonts w:ascii="Times New Roman" w:hAnsi="Times New Roman" w:cs="Times New Roman"/>
          <w:lang w:val="hu-HU"/>
        </w:rPr>
        <w:tab/>
      </w:r>
      <w:r>
        <w:rPr>
          <w:rFonts w:ascii="Times New Roman" w:hAnsi="Times New Roman" w:cs="Times New Roman"/>
          <w:lang w:val="hu-HU"/>
        </w:rPr>
        <w:t>OPA/Al/PVC//Al adagonként perforált buborékcsomagolás</w:t>
      </w:r>
    </w:p>
    <w:p w14:paraId="3073D3F0" w14:textId="6F71EA0F" w:rsidR="003F0FF1" w:rsidRDefault="001156D9">
      <w:pPr>
        <w:rPr>
          <w:rFonts w:ascii="Times New Roman" w:hAnsi="Times New Roman" w:cs="Times New Roman"/>
          <w:lang w:val="hu-HU"/>
        </w:rPr>
      </w:pPr>
      <w:r>
        <w:rPr>
          <w:rFonts w:ascii="Times New Roman" w:hAnsi="Times New Roman" w:cs="Times New Roman"/>
          <w:lang w:val="hu-HU"/>
        </w:rPr>
        <w:t>OGYI-T-23815/10</w:t>
      </w:r>
      <w:r w:rsidR="004C4CC7">
        <w:rPr>
          <w:rFonts w:ascii="Times New Roman" w:hAnsi="Times New Roman" w:cs="Times New Roman"/>
          <w:lang w:val="hu-HU"/>
        </w:rPr>
        <w:tab/>
      </w:r>
      <w:r>
        <w:rPr>
          <w:rFonts w:ascii="Times New Roman" w:hAnsi="Times New Roman" w:cs="Times New Roman"/>
          <w:lang w:val="hu-HU"/>
        </w:rPr>
        <w:t>90</w:t>
      </w:r>
      <w:r w:rsidR="004C4CC7">
        <w:rPr>
          <w:rFonts w:ascii="Times New Roman" w:hAnsi="Times New Roman" w:cs="Times New Roman"/>
          <w:lang w:val="hu-HU"/>
        </w:rPr>
        <w:tab/>
      </w:r>
      <w:r>
        <w:rPr>
          <w:rFonts w:ascii="Times New Roman" w:hAnsi="Times New Roman" w:cs="Times New Roman"/>
          <w:lang w:val="hu-HU"/>
        </w:rPr>
        <w:t>OPA/Al/PVC//Al buborékcsomagolás</w:t>
      </w:r>
    </w:p>
    <w:p w14:paraId="66966D29" w14:textId="35911257" w:rsidR="003F0FF1" w:rsidRDefault="001156D9">
      <w:pPr>
        <w:rPr>
          <w:rFonts w:ascii="Times New Roman" w:hAnsi="Times New Roman" w:cs="Times New Roman"/>
          <w:lang w:val="hu-HU"/>
        </w:rPr>
      </w:pPr>
      <w:r>
        <w:rPr>
          <w:rFonts w:ascii="Times New Roman" w:hAnsi="Times New Roman" w:cs="Times New Roman"/>
          <w:lang w:val="hu-HU"/>
        </w:rPr>
        <w:t>OGYI-T-23815/11</w:t>
      </w:r>
      <w:r w:rsidR="004C4CC7">
        <w:rPr>
          <w:rFonts w:ascii="Times New Roman" w:hAnsi="Times New Roman" w:cs="Times New Roman"/>
          <w:lang w:val="hu-HU"/>
        </w:rPr>
        <w:tab/>
      </w:r>
      <w:r>
        <w:rPr>
          <w:rFonts w:ascii="Times New Roman" w:hAnsi="Times New Roman" w:cs="Times New Roman"/>
          <w:lang w:val="hu-HU"/>
        </w:rPr>
        <w:t>90</w:t>
      </w:r>
      <w:r w:rsidR="004C4CC7">
        <w:rPr>
          <w:rFonts w:ascii="Times New Roman" w:hAnsi="Times New Roman" w:cs="Times New Roman"/>
          <w:lang w:val="hu-HU"/>
        </w:rPr>
        <w:t>×</w:t>
      </w:r>
      <w:r>
        <w:rPr>
          <w:rFonts w:ascii="Times New Roman" w:hAnsi="Times New Roman" w:cs="Times New Roman"/>
          <w:lang w:val="hu-HU"/>
        </w:rPr>
        <w:t>1</w:t>
      </w:r>
      <w:r w:rsidR="004C4CC7">
        <w:rPr>
          <w:rFonts w:ascii="Times New Roman" w:hAnsi="Times New Roman" w:cs="Times New Roman"/>
          <w:lang w:val="hu-HU"/>
        </w:rPr>
        <w:tab/>
      </w:r>
      <w:r>
        <w:rPr>
          <w:rFonts w:ascii="Times New Roman" w:hAnsi="Times New Roman" w:cs="Times New Roman"/>
          <w:lang w:val="hu-HU"/>
        </w:rPr>
        <w:t>OPA/Al/PVC//Al adagonként perforált buborékcsomagolás</w:t>
      </w:r>
    </w:p>
    <w:p w14:paraId="33E6A8F8" w14:textId="77777777" w:rsidR="003F0FF1" w:rsidRDefault="003F0FF1">
      <w:pPr>
        <w:rPr>
          <w:rFonts w:ascii="Times New Roman" w:eastAsia="Times New Roman" w:hAnsi="Times New Roman" w:cs="Times New Roman"/>
          <w:lang w:val="hu-HU"/>
        </w:rPr>
      </w:pPr>
    </w:p>
    <w:p w14:paraId="32ECFB3A" w14:textId="77777777" w:rsidR="003F0FF1" w:rsidRDefault="003F0FF1">
      <w:pPr>
        <w:rPr>
          <w:rFonts w:ascii="Times New Roman" w:eastAsia="Times New Roman" w:hAnsi="Times New Roman" w:cs="Times New Roman"/>
          <w:lang w:val="hu-HU"/>
        </w:rPr>
      </w:pPr>
    </w:p>
    <w:p w14:paraId="56BD20E8" w14:textId="60745696" w:rsidR="004C4CC7" w:rsidRPr="00CE583C" w:rsidRDefault="001156D9" w:rsidP="00CE583C">
      <w:pPr>
        <w:pStyle w:val="Cmsor1"/>
        <w:keepNext/>
        <w:widowControl/>
        <w:numPr>
          <w:ilvl w:val="0"/>
          <w:numId w:val="28"/>
        </w:numPr>
        <w:tabs>
          <w:tab w:val="left" w:pos="567"/>
        </w:tabs>
        <w:ind w:left="567" w:hanging="567"/>
        <w:rPr>
          <w:rFonts w:cs="Times New Roman"/>
          <w:lang w:val="hu-HU"/>
        </w:rPr>
      </w:pPr>
      <w:r w:rsidRPr="004C4CC7">
        <w:rPr>
          <w:rFonts w:cs="Times New Roman"/>
          <w:lang w:val="hu-HU"/>
        </w:rPr>
        <w:t>A FORGALOMBA HOZATALI ENGEDÉLY ELSŐ KIADÁSÁNAK/</w:t>
      </w:r>
      <w:r w:rsidR="004C4CC7" w:rsidRPr="004C4CC7">
        <w:rPr>
          <w:rFonts w:cs="Times New Roman"/>
          <w:lang w:val="hu-HU"/>
        </w:rPr>
        <w:t xml:space="preserve"> </w:t>
      </w:r>
      <w:r w:rsidRPr="004C4CC7">
        <w:rPr>
          <w:rFonts w:cs="Times New Roman"/>
          <w:lang w:val="hu-HU"/>
        </w:rPr>
        <w:t>MEGÚJÍTÁSÁNAK DÁTUMA</w:t>
      </w:r>
    </w:p>
    <w:p w14:paraId="30A4520D" w14:textId="77777777" w:rsidR="004C4CC7" w:rsidRPr="00CE583C" w:rsidRDefault="004C4CC7" w:rsidP="00CE583C">
      <w:pPr>
        <w:pStyle w:val="Cmsor1"/>
        <w:keepNext/>
        <w:widowControl/>
        <w:tabs>
          <w:tab w:val="left" w:pos="567"/>
        </w:tabs>
        <w:ind w:left="567"/>
        <w:rPr>
          <w:rFonts w:cs="Times New Roman"/>
          <w:lang w:val="hu-HU"/>
        </w:rPr>
      </w:pPr>
    </w:p>
    <w:p w14:paraId="2AEC9A89" w14:textId="77777777" w:rsidR="003F0FF1" w:rsidRPr="004C4CC7" w:rsidRDefault="001156D9" w:rsidP="00CE583C">
      <w:pPr>
        <w:pStyle w:val="Cmsor1"/>
        <w:keepNext/>
        <w:widowControl/>
        <w:tabs>
          <w:tab w:val="left" w:pos="567"/>
        </w:tabs>
        <w:ind w:left="567" w:hanging="567"/>
        <w:rPr>
          <w:rFonts w:cs="Times New Roman"/>
          <w:lang w:val="hu-HU"/>
        </w:rPr>
      </w:pPr>
      <w:r w:rsidRPr="004C4CC7">
        <w:rPr>
          <w:rFonts w:cs="Times New Roman"/>
          <w:b w:val="0"/>
          <w:lang w:val="hu-HU"/>
        </w:rPr>
        <w:t>2021. január 22.</w:t>
      </w:r>
    </w:p>
    <w:p w14:paraId="51F13D21" w14:textId="77777777" w:rsidR="003F0FF1" w:rsidRDefault="003F0FF1">
      <w:pPr>
        <w:rPr>
          <w:rFonts w:ascii="Times New Roman" w:eastAsia="Times New Roman" w:hAnsi="Times New Roman" w:cs="Times New Roman"/>
          <w:lang w:val="hu-HU"/>
        </w:rPr>
      </w:pPr>
    </w:p>
    <w:p w14:paraId="555BC0D1" w14:textId="77777777" w:rsidR="003F0FF1" w:rsidRDefault="003F0FF1">
      <w:pPr>
        <w:rPr>
          <w:rFonts w:ascii="Times New Roman" w:eastAsia="Times New Roman" w:hAnsi="Times New Roman" w:cs="Times New Roman"/>
          <w:lang w:val="hu-HU"/>
        </w:rPr>
      </w:pPr>
    </w:p>
    <w:p w14:paraId="3C00F25C" w14:textId="0224EB8D" w:rsidR="003F0FF1" w:rsidRDefault="001156D9">
      <w:pPr>
        <w:pStyle w:val="Cmsor1"/>
        <w:numPr>
          <w:ilvl w:val="0"/>
          <w:numId w:val="28"/>
        </w:numPr>
        <w:tabs>
          <w:tab w:val="left" w:pos="567"/>
        </w:tabs>
        <w:ind w:left="0" w:firstLine="0"/>
        <w:rPr>
          <w:rFonts w:cs="Times New Roman"/>
          <w:b w:val="0"/>
          <w:lang w:val="hu-HU"/>
        </w:rPr>
      </w:pPr>
      <w:r>
        <w:rPr>
          <w:rFonts w:cs="Times New Roman"/>
          <w:lang w:val="hu-HU"/>
        </w:rPr>
        <w:t>A SZÖVEG ELLENŐRZÉSÉNEK DÁTUMA</w:t>
      </w:r>
    </w:p>
    <w:p w14:paraId="0B5E847F" w14:textId="77777777" w:rsidR="003F0FF1" w:rsidRDefault="003F0FF1">
      <w:pPr>
        <w:rPr>
          <w:rFonts w:ascii="Times New Roman" w:eastAsia="Times New Roman" w:hAnsi="Times New Roman" w:cs="Times New Roman"/>
          <w:lang w:val="hu-HU"/>
        </w:rPr>
      </w:pPr>
    </w:p>
    <w:p w14:paraId="440DC425" w14:textId="7DC76C61" w:rsidR="004C4CC7" w:rsidRDefault="00D20330">
      <w:pPr>
        <w:rPr>
          <w:rFonts w:ascii="Times New Roman" w:eastAsia="Times New Roman" w:hAnsi="Times New Roman" w:cs="Times New Roman"/>
          <w:lang w:val="hu-HU"/>
        </w:rPr>
      </w:pPr>
      <w:r>
        <w:rPr>
          <w:rFonts w:ascii="Times New Roman" w:eastAsia="Times New Roman" w:hAnsi="Times New Roman" w:cs="Times New Roman"/>
          <w:lang w:val="hu-HU"/>
        </w:rPr>
        <w:t>2026</w:t>
      </w:r>
      <w:r w:rsidR="004C4CC7">
        <w:rPr>
          <w:rFonts w:ascii="Times New Roman" w:eastAsia="Times New Roman" w:hAnsi="Times New Roman" w:cs="Times New Roman"/>
          <w:lang w:val="hu-HU"/>
        </w:rPr>
        <w:t xml:space="preserve">. </w:t>
      </w:r>
      <w:r>
        <w:rPr>
          <w:rFonts w:ascii="Times New Roman" w:eastAsia="Times New Roman" w:hAnsi="Times New Roman" w:cs="Times New Roman"/>
          <w:lang w:val="hu-HU"/>
        </w:rPr>
        <w:t>március</w:t>
      </w:r>
      <w:r w:rsidR="00035447">
        <w:rPr>
          <w:rFonts w:ascii="Times New Roman" w:eastAsia="Times New Roman" w:hAnsi="Times New Roman" w:cs="Times New Roman"/>
          <w:lang w:val="hu-HU"/>
        </w:rPr>
        <w:t xml:space="preserve"> 2</w:t>
      </w:r>
      <w:r>
        <w:rPr>
          <w:rFonts w:ascii="Times New Roman" w:eastAsia="Times New Roman" w:hAnsi="Times New Roman" w:cs="Times New Roman"/>
          <w:lang w:val="hu-HU"/>
        </w:rPr>
        <w:t>7</w:t>
      </w:r>
      <w:bookmarkStart w:id="0" w:name="_GoBack"/>
      <w:bookmarkEnd w:id="0"/>
      <w:r w:rsidR="00035447">
        <w:rPr>
          <w:rFonts w:ascii="Times New Roman" w:eastAsia="Times New Roman" w:hAnsi="Times New Roman" w:cs="Times New Roman"/>
          <w:lang w:val="hu-HU"/>
        </w:rPr>
        <w:t>.</w:t>
      </w:r>
    </w:p>
    <w:sectPr w:rsidR="004C4CC7">
      <w:headerReference w:type="default" r:id="rId9"/>
      <w:footerReference w:type="first" r:id="rId10"/>
      <w:pgSz w:w="11910"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8B4F68" w14:textId="77777777" w:rsidR="001156D9" w:rsidRDefault="001156D9">
      <w:r>
        <w:separator/>
      </w:r>
    </w:p>
  </w:endnote>
  <w:endnote w:type="continuationSeparator" w:id="0">
    <w:p w14:paraId="2202FB4C" w14:textId="77777777" w:rsidR="001156D9" w:rsidRDefault="00115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C9EB8" w14:textId="77E9A8DD" w:rsidR="001156D9" w:rsidRDefault="001156D9">
    <w:pPr>
      <w:pStyle w:val="llb"/>
      <w:tabs>
        <w:tab w:val="clear" w:pos="4703"/>
        <w:tab w:val="clear" w:pos="9406"/>
        <w:tab w:val="center" w:pos="4537"/>
        <w:tab w:val="left" w:pos="6990"/>
      </w:tabs>
      <w:rPr>
        <w:sz w:val="18"/>
        <w:szCs w:val="18"/>
      </w:rPr>
    </w:pPr>
    <w:r w:rsidRPr="001156D9">
      <w:rPr>
        <w:rFonts w:ascii="Times New Roman" w:hAnsi="Times New Roman" w:cs="Times New Roman"/>
        <w:sz w:val="18"/>
        <w:szCs w:val="18"/>
      </w:rPr>
      <w:t>NNGYK/ETGY/16940/2025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CD4F8E" w14:textId="77777777" w:rsidR="001156D9" w:rsidRDefault="001156D9">
      <w:r>
        <w:separator/>
      </w:r>
    </w:p>
  </w:footnote>
  <w:footnote w:type="continuationSeparator" w:id="0">
    <w:p w14:paraId="233FA7A7" w14:textId="77777777" w:rsidR="001156D9" w:rsidRDefault="001156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0772634"/>
      <w:docPartObj>
        <w:docPartGallery w:val="Page Numbers (Top of Page)"/>
        <w:docPartUnique/>
      </w:docPartObj>
    </w:sdtPr>
    <w:sdtEndPr>
      <w:rPr>
        <w:rFonts w:ascii="Times New Roman" w:hAnsi="Times New Roman" w:cs="Times New Roman"/>
        <w:sz w:val="18"/>
        <w:szCs w:val="18"/>
      </w:rPr>
    </w:sdtEndPr>
    <w:sdtContent>
      <w:p w14:paraId="360B2732" w14:textId="209F9147" w:rsidR="001156D9" w:rsidRPr="00CE583C" w:rsidRDefault="001156D9">
        <w:pPr>
          <w:pStyle w:val="lfej"/>
          <w:jc w:val="center"/>
          <w:rPr>
            <w:rFonts w:ascii="Times New Roman" w:hAnsi="Times New Roman" w:cs="Times New Roman"/>
            <w:sz w:val="18"/>
            <w:szCs w:val="18"/>
          </w:rPr>
        </w:pPr>
        <w:r w:rsidRPr="00CE583C">
          <w:rPr>
            <w:rFonts w:ascii="Times New Roman" w:hAnsi="Times New Roman" w:cs="Times New Roman"/>
            <w:sz w:val="18"/>
            <w:szCs w:val="18"/>
          </w:rPr>
          <w:fldChar w:fldCharType="begin"/>
        </w:r>
        <w:r w:rsidRPr="00CE583C">
          <w:rPr>
            <w:rFonts w:ascii="Times New Roman" w:hAnsi="Times New Roman" w:cs="Times New Roman"/>
            <w:sz w:val="18"/>
            <w:szCs w:val="18"/>
          </w:rPr>
          <w:instrText>PAGE   \* MERGEFORMAT</w:instrText>
        </w:r>
        <w:r w:rsidRPr="00CE583C">
          <w:rPr>
            <w:rFonts w:ascii="Times New Roman" w:hAnsi="Times New Roman" w:cs="Times New Roman"/>
            <w:sz w:val="18"/>
            <w:szCs w:val="18"/>
          </w:rPr>
          <w:fldChar w:fldCharType="separate"/>
        </w:r>
        <w:r w:rsidR="00D20330" w:rsidRPr="00D20330">
          <w:rPr>
            <w:rFonts w:ascii="Times New Roman" w:hAnsi="Times New Roman" w:cs="Times New Roman"/>
            <w:noProof/>
            <w:sz w:val="18"/>
            <w:szCs w:val="18"/>
            <w:lang w:val="hu-HU"/>
          </w:rPr>
          <w:t>26</w:t>
        </w:r>
        <w:r w:rsidRPr="00CE583C">
          <w:rPr>
            <w:rFonts w:ascii="Times New Roman" w:hAnsi="Times New Roman" w:cs="Times New Roman"/>
            <w:sz w:val="18"/>
            <w:szCs w:val="18"/>
          </w:rPr>
          <w:fldChar w:fldCharType="end"/>
        </w:r>
      </w:p>
    </w:sdtContent>
  </w:sdt>
  <w:p w14:paraId="64EB7750" w14:textId="77777777" w:rsidR="001156D9" w:rsidRPr="00CE583C" w:rsidRDefault="001156D9">
    <w:pPr>
      <w:pStyle w:val="lfej"/>
      <w:rPr>
        <w:rFonts w:ascii="Times New Roman" w:hAnsi="Times New Roman" w:cs="Times New Roman"/>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85D1F"/>
    <w:multiLevelType w:val="multilevel"/>
    <w:tmpl w:val="7BE81B16"/>
    <w:lvl w:ilvl="0">
      <w:start w:val="5"/>
      <w:numFmt w:val="decimal"/>
      <w:lvlText w:val="%1"/>
      <w:lvlJc w:val="left"/>
      <w:pPr>
        <w:ind w:left="360" w:hanging="360"/>
      </w:pPr>
      <w:rPr>
        <w:rFonts w:eastAsiaTheme="minorHAnsi" w:hint="default"/>
        <w:b/>
      </w:rPr>
    </w:lvl>
    <w:lvl w:ilvl="1">
      <w:start w:val="1"/>
      <w:numFmt w:val="decimal"/>
      <w:lvlText w:val="%1.%2"/>
      <w:lvlJc w:val="left"/>
      <w:pPr>
        <w:ind w:left="360" w:hanging="360"/>
      </w:pPr>
      <w:rPr>
        <w:rFonts w:eastAsiaTheme="minorHAnsi" w:hint="default"/>
        <w:b/>
      </w:rPr>
    </w:lvl>
    <w:lvl w:ilvl="2">
      <w:start w:val="1"/>
      <w:numFmt w:val="decimal"/>
      <w:lvlText w:val="%1.%2.%3"/>
      <w:lvlJc w:val="left"/>
      <w:pPr>
        <w:ind w:left="720" w:hanging="720"/>
      </w:pPr>
      <w:rPr>
        <w:rFonts w:eastAsiaTheme="minorHAnsi" w:hint="default"/>
        <w:b/>
      </w:rPr>
    </w:lvl>
    <w:lvl w:ilvl="3">
      <w:start w:val="1"/>
      <w:numFmt w:val="decimal"/>
      <w:lvlText w:val="%1.%2.%3.%4"/>
      <w:lvlJc w:val="left"/>
      <w:pPr>
        <w:ind w:left="720" w:hanging="720"/>
      </w:pPr>
      <w:rPr>
        <w:rFonts w:eastAsiaTheme="minorHAnsi" w:hint="default"/>
        <w:b/>
      </w:rPr>
    </w:lvl>
    <w:lvl w:ilvl="4">
      <w:start w:val="1"/>
      <w:numFmt w:val="decimal"/>
      <w:lvlText w:val="%1.%2.%3.%4.%5"/>
      <w:lvlJc w:val="left"/>
      <w:pPr>
        <w:ind w:left="1080" w:hanging="1080"/>
      </w:pPr>
      <w:rPr>
        <w:rFonts w:eastAsiaTheme="minorHAnsi" w:hint="default"/>
        <w:b/>
      </w:rPr>
    </w:lvl>
    <w:lvl w:ilvl="5">
      <w:start w:val="1"/>
      <w:numFmt w:val="decimal"/>
      <w:lvlText w:val="%1.%2.%3.%4.%5.%6"/>
      <w:lvlJc w:val="left"/>
      <w:pPr>
        <w:ind w:left="1080" w:hanging="1080"/>
      </w:pPr>
      <w:rPr>
        <w:rFonts w:eastAsiaTheme="minorHAnsi" w:hint="default"/>
        <w:b/>
      </w:rPr>
    </w:lvl>
    <w:lvl w:ilvl="6">
      <w:start w:val="1"/>
      <w:numFmt w:val="decimal"/>
      <w:lvlText w:val="%1.%2.%3.%4.%5.%6.%7"/>
      <w:lvlJc w:val="left"/>
      <w:pPr>
        <w:ind w:left="1440" w:hanging="1440"/>
      </w:pPr>
      <w:rPr>
        <w:rFonts w:eastAsiaTheme="minorHAnsi" w:hint="default"/>
        <w:b/>
      </w:rPr>
    </w:lvl>
    <w:lvl w:ilvl="7">
      <w:start w:val="1"/>
      <w:numFmt w:val="decimal"/>
      <w:lvlText w:val="%1.%2.%3.%4.%5.%6.%7.%8"/>
      <w:lvlJc w:val="left"/>
      <w:pPr>
        <w:ind w:left="1440" w:hanging="1440"/>
      </w:pPr>
      <w:rPr>
        <w:rFonts w:eastAsiaTheme="minorHAnsi" w:hint="default"/>
        <w:b/>
      </w:rPr>
    </w:lvl>
    <w:lvl w:ilvl="8">
      <w:start w:val="1"/>
      <w:numFmt w:val="decimal"/>
      <w:lvlText w:val="%1.%2.%3.%4.%5.%6.%7.%8.%9"/>
      <w:lvlJc w:val="left"/>
      <w:pPr>
        <w:ind w:left="1440" w:hanging="1440"/>
      </w:pPr>
      <w:rPr>
        <w:rFonts w:eastAsiaTheme="minorHAnsi" w:hint="default"/>
        <w:b/>
      </w:rPr>
    </w:lvl>
  </w:abstractNum>
  <w:abstractNum w:abstractNumId="1" w15:restartNumberingAfterBreak="0">
    <w:nsid w:val="024426ED"/>
    <w:multiLevelType w:val="multilevel"/>
    <w:tmpl w:val="FE466508"/>
    <w:lvl w:ilvl="0">
      <w:start w:val="5"/>
      <w:numFmt w:val="decimal"/>
      <w:lvlText w:val="%1"/>
      <w:lvlJc w:val="left"/>
      <w:pPr>
        <w:ind w:left="360" w:hanging="360"/>
      </w:pPr>
      <w:rPr>
        <w:rFonts w:eastAsiaTheme="minorHAnsi" w:hint="default"/>
        <w:b/>
      </w:rPr>
    </w:lvl>
    <w:lvl w:ilvl="1">
      <w:start w:val="2"/>
      <w:numFmt w:val="decimal"/>
      <w:lvlText w:val="%1.%2"/>
      <w:lvlJc w:val="left"/>
      <w:pPr>
        <w:ind w:left="478" w:hanging="360"/>
      </w:pPr>
      <w:rPr>
        <w:rFonts w:eastAsiaTheme="minorHAnsi" w:hint="default"/>
        <w:b/>
      </w:rPr>
    </w:lvl>
    <w:lvl w:ilvl="2">
      <w:start w:val="1"/>
      <w:numFmt w:val="decimal"/>
      <w:lvlText w:val="%1.%2.%3"/>
      <w:lvlJc w:val="left"/>
      <w:pPr>
        <w:ind w:left="956" w:hanging="720"/>
      </w:pPr>
      <w:rPr>
        <w:rFonts w:eastAsiaTheme="minorHAnsi" w:hint="default"/>
        <w:b/>
      </w:rPr>
    </w:lvl>
    <w:lvl w:ilvl="3">
      <w:start w:val="1"/>
      <w:numFmt w:val="decimal"/>
      <w:lvlText w:val="%1.%2.%3.%4"/>
      <w:lvlJc w:val="left"/>
      <w:pPr>
        <w:ind w:left="1074" w:hanging="720"/>
      </w:pPr>
      <w:rPr>
        <w:rFonts w:eastAsiaTheme="minorHAnsi" w:hint="default"/>
        <w:b/>
      </w:rPr>
    </w:lvl>
    <w:lvl w:ilvl="4">
      <w:start w:val="1"/>
      <w:numFmt w:val="decimal"/>
      <w:lvlText w:val="%1.%2.%3.%4.%5"/>
      <w:lvlJc w:val="left"/>
      <w:pPr>
        <w:ind w:left="1552" w:hanging="1080"/>
      </w:pPr>
      <w:rPr>
        <w:rFonts w:eastAsiaTheme="minorHAnsi" w:hint="default"/>
        <w:b/>
      </w:rPr>
    </w:lvl>
    <w:lvl w:ilvl="5">
      <w:start w:val="1"/>
      <w:numFmt w:val="decimal"/>
      <w:lvlText w:val="%1.%2.%3.%4.%5.%6"/>
      <w:lvlJc w:val="left"/>
      <w:pPr>
        <w:ind w:left="1670" w:hanging="1080"/>
      </w:pPr>
      <w:rPr>
        <w:rFonts w:eastAsiaTheme="minorHAnsi" w:hint="default"/>
        <w:b/>
      </w:rPr>
    </w:lvl>
    <w:lvl w:ilvl="6">
      <w:start w:val="1"/>
      <w:numFmt w:val="decimal"/>
      <w:lvlText w:val="%1.%2.%3.%4.%5.%6.%7"/>
      <w:lvlJc w:val="left"/>
      <w:pPr>
        <w:ind w:left="2148" w:hanging="1440"/>
      </w:pPr>
      <w:rPr>
        <w:rFonts w:eastAsiaTheme="minorHAnsi" w:hint="default"/>
        <w:b/>
      </w:rPr>
    </w:lvl>
    <w:lvl w:ilvl="7">
      <w:start w:val="1"/>
      <w:numFmt w:val="decimal"/>
      <w:lvlText w:val="%1.%2.%3.%4.%5.%6.%7.%8"/>
      <w:lvlJc w:val="left"/>
      <w:pPr>
        <w:ind w:left="2266" w:hanging="1440"/>
      </w:pPr>
      <w:rPr>
        <w:rFonts w:eastAsiaTheme="minorHAnsi" w:hint="default"/>
        <w:b/>
      </w:rPr>
    </w:lvl>
    <w:lvl w:ilvl="8">
      <w:start w:val="1"/>
      <w:numFmt w:val="decimal"/>
      <w:lvlText w:val="%1.%2.%3.%4.%5.%6.%7.%8.%9"/>
      <w:lvlJc w:val="left"/>
      <w:pPr>
        <w:ind w:left="2384" w:hanging="1440"/>
      </w:pPr>
      <w:rPr>
        <w:rFonts w:eastAsiaTheme="minorHAnsi" w:hint="default"/>
        <w:b/>
      </w:rPr>
    </w:lvl>
  </w:abstractNum>
  <w:abstractNum w:abstractNumId="2" w15:restartNumberingAfterBreak="0">
    <w:nsid w:val="03B20260"/>
    <w:multiLevelType w:val="multilevel"/>
    <w:tmpl w:val="5C5CC400"/>
    <w:lvl w:ilvl="0">
      <w:start w:val="4"/>
      <w:numFmt w:val="decimal"/>
      <w:lvlText w:val="%1"/>
      <w:lvlJc w:val="left"/>
      <w:pPr>
        <w:ind w:left="686" w:hanging="568"/>
      </w:pPr>
      <w:rPr>
        <w:rFonts w:hint="default"/>
      </w:rPr>
    </w:lvl>
    <w:lvl w:ilvl="1">
      <w:start w:val="7"/>
      <w:numFmt w:val="decimal"/>
      <w:lvlText w:val="%1.%2"/>
      <w:lvlJc w:val="left"/>
      <w:pPr>
        <w:ind w:left="686" w:hanging="568"/>
      </w:pPr>
      <w:rPr>
        <w:rFonts w:ascii="Times New Roman" w:eastAsia="Times New Roman" w:hAnsi="Times New Roman" w:hint="default"/>
        <w:b/>
        <w:bCs/>
        <w:w w:val="99"/>
        <w:sz w:val="22"/>
        <w:szCs w:val="22"/>
      </w:rPr>
    </w:lvl>
    <w:lvl w:ilvl="2">
      <w:start w:val="1"/>
      <w:numFmt w:val="bullet"/>
      <w:lvlText w:val="•"/>
      <w:lvlJc w:val="left"/>
      <w:pPr>
        <w:ind w:left="2406" w:hanging="568"/>
      </w:pPr>
      <w:rPr>
        <w:rFonts w:hint="default"/>
      </w:rPr>
    </w:lvl>
    <w:lvl w:ilvl="3">
      <w:start w:val="1"/>
      <w:numFmt w:val="bullet"/>
      <w:lvlText w:val="•"/>
      <w:lvlJc w:val="left"/>
      <w:pPr>
        <w:ind w:left="3266" w:hanging="568"/>
      </w:pPr>
      <w:rPr>
        <w:rFonts w:hint="default"/>
      </w:rPr>
    </w:lvl>
    <w:lvl w:ilvl="4">
      <w:start w:val="1"/>
      <w:numFmt w:val="bullet"/>
      <w:lvlText w:val="•"/>
      <w:lvlJc w:val="left"/>
      <w:pPr>
        <w:ind w:left="4126" w:hanging="568"/>
      </w:pPr>
      <w:rPr>
        <w:rFonts w:hint="default"/>
      </w:rPr>
    </w:lvl>
    <w:lvl w:ilvl="5">
      <w:start w:val="1"/>
      <w:numFmt w:val="bullet"/>
      <w:lvlText w:val="•"/>
      <w:lvlJc w:val="left"/>
      <w:pPr>
        <w:ind w:left="4986" w:hanging="568"/>
      </w:pPr>
      <w:rPr>
        <w:rFonts w:hint="default"/>
      </w:rPr>
    </w:lvl>
    <w:lvl w:ilvl="6">
      <w:start w:val="1"/>
      <w:numFmt w:val="bullet"/>
      <w:lvlText w:val="•"/>
      <w:lvlJc w:val="left"/>
      <w:pPr>
        <w:ind w:left="5846" w:hanging="568"/>
      </w:pPr>
      <w:rPr>
        <w:rFonts w:hint="default"/>
      </w:rPr>
    </w:lvl>
    <w:lvl w:ilvl="7">
      <w:start w:val="1"/>
      <w:numFmt w:val="bullet"/>
      <w:lvlText w:val="•"/>
      <w:lvlJc w:val="left"/>
      <w:pPr>
        <w:ind w:left="6707" w:hanging="568"/>
      </w:pPr>
      <w:rPr>
        <w:rFonts w:hint="default"/>
      </w:rPr>
    </w:lvl>
    <w:lvl w:ilvl="8">
      <w:start w:val="1"/>
      <w:numFmt w:val="bullet"/>
      <w:lvlText w:val="•"/>
      <w:lvlJc w:val="left"/>
      <w:pPr>
        <w:ind w:left="7567" w:hanging="568"/>
      </w:pPr>
      <w:rPr>
        <w:rFonts w:hint="default"/>
      </w:rPr>
    </w:lvl>
  </w:abstractNum>
  <w:abstractNum w:abstractNumId="3" w15:restartNumberingAfterBreak="0">
    <w:nsid w:val="06AD41BA"/>
    <w:multiLevelType w:val="hybridMultilevel"/>
    <w:tmpl w:val="8BA49320"/>
    <w:lvl w:ilvl="0" w:tplc="B2DE92E0">
      <w:start w:val="1"/>
      <w:numFmt w:val="bullet"/>
      <w:lvlText w:val="-"/>
      <w:lvlJc w:val="left"/>
      <w:pPr>
        <w:ind w:left="686" w:hanging="568"/>
      </w:pPr>
      <w:rPr>
        <w:rFonts w:ascii="Times New Roman" w:eastAsia="Times New Roman" w:hAnsi="Times New Roman" w:hint="default"/>
        <w:w w:val="99"/>
        <w:sz w:val="22"/>
        <w:szCs w:val="22"/>
      </w:rPr>
    </w:lvl>
    <w:lvl w:ilvl="1" w:tplc="49884554">
      <w:start w:val="1"/>
      <w:numFmt w:val="bullet"/>
      <w:lvlText w:val="•"/>
      <w:lvlJc w:val="left"/>
      <w:pPr>
        <w:ind w:left="1540" w:hanging="568"/>
      </w:pPr>
      <w:rPr>
        <w:rFonts w:hint="default"/>
      </w:rPr>
    </w:lvl>
    <w:lvl w:ilvl="2" w:tplc="39A28F56">
      <w:start w:val="1"/>
      <w:numFmt w:val="bullet"/>
      <w:lvlText w:val="•"/>
      <w:lvlJc w:val="left"/>
      <w:pPr>
        <w:ind w:left="2394" w:hanging="568"/>
      </w:pPr>
      <w:rPr>
        <w:rFonts w:hint="default"/>
      </w:rPr>
    </w:lvl>
    <w:lvl w:ilvl="3" w:tplc="75001220">
      <w:start w:val="1"/>
      <w:numFmt w:val="bullet"/>
      <w:lvlText w:val="•"/>
      <w:lvlJc w:val="left"/>
      <w:pPr>
        <w:ind w:left="3248" w:hanging="568"/>
      </w:pPr>
      <w:rPr>
        <w:rFonts w:hint="default"/>
      </w:rPr>
    </w:lvl>
    <w:lvl w:ilvl="4" w:tplc="B29CC0A0">
      <w:start w:val="1"/>
      <w:numFmt w:val="bullet"/>
      <w:lvlText w:val="•"/>
      <w:lvlJc w:val="left"/>
      <w:pPr>
        <w:ind w:left="4102" w:hanging="568"/>
      </w:pPr>
      <w:rPr>
        <w:rFonts w:hint="default"/>
      </w:rPr>
    </w:lvl>
    <w:lvl w:ilvl="5" w:tplc="69AA3246">
      <w:start w:val="1"/>
      <w:numFmt w:val="bullet"/>
      <w:lvlText w:val="•"/>
      <w:lvlJc w:val="left"/>
      <w:pPr>
        <w:ind w:left="4956" w:hanging="568"/>
      </w:pPr>
      <w:rPr>
        <w:rFonts w:hint="default"/>
      </w:rPr>
    </w:lvl>
    <w:lvl w:ilvl="6" w:tplc="050E6CBA">
      <w:start w:val="1"/>
      <w:numFmt w:val="bullet"/>
      <w:lvlText w:val="•"/>
      <w:lvlJc w:val="left"/>
      <w:pPr>
        <w:ind w:left="5810" w:hanging="568"/>
      </w:pPr>
      <w:rPr>
        <w:rFonts w:hint="default"/>
      </w:rPr>
    </w:lvl>
    <w:lvl w:ilvl="7" w:tplc="87D0984C">
      <w:start w:val="1"/>
      <w:numFmt w:val="bullet"/>
      <w:lvlText w:val="•"/>
      <w:lvlJc w:val="left"/>
      <w:pPr>
        <w:ind w:left="6665" w:hanging="568"/>
      </w:pPr>
      <w:rPr>
        <w:rFonts w:hint="default"/>
      </w:rPr>
    </w:lvl>
    <w:lvl w:ilvl="8" w:tplc="1A7C5D22">
      <w:start w:val="1"/>
      <w:numFmt w:val="bullet"/>
      <w:lvlText w:val="•"/>
      <w:lvlJc w:val="left"/>
      <w:pPr>
        <w:ind w:left="7519" w:hanging="568"/>
      </w:pPr>
      <w:rPr>
        <w:rFonts w:hint="default"/>
      </w:rPr>
    </w:lvl>
  </w:abstractNum>
  <w:abstractNum w:abstractNumId="4" w15:restartNumberingAfterBreak="0">
    <w:nsid w:val="08F72566"/>
    <w:multiLevelType w:val="hybridMultilevel"/>
    <w:tmpl w:val="DB563102"/>
    <w:lvl w:ilvl="0" w:tplc="6178A89A">
      <w:start w:val="1"/>
      <w:numFmt w:val="upperLetter"/>
      <w:lvlText w:val="%1."/>
      <w:lvlJc w:val="left"/>
      <w:pPr>
        <w:ind w:left="686" w:hanging="568"/>
      </w:pPr>
      <w:rPr>
        <w:rFonts w:ascii="Times New Roman" w:eastAsia="Times New Roman" w:hAnsi="Times New Roman" w:hint="default"/>
        <w:b/>
        <w:bCs/>
        <w:spacing w:val="-1"/>
        <w:w w:val="99"/>
        <w:sz w:val="22"/>
        <w:szCs w:val="22"/>
      </w:rPr>
    </w:lvl>
    <w:lvl w:ilvl="1" w:tplc="C6180D60">
      <w:start w:val="1"/>
      <w:numFmt w:val="bullet"/>
      <w:lvlText w:val="•"/>
      <w:lvlJc w:val="left"/>
      <w:pPr>
        <w:ind w:left="1540" w:hanging="568"/>
      </w:pPr>
      <w:rPr>
        <w:rFonts w:hint="default"/>
      </w:rPr>
    </w:lvl>
    <w:lvl w:ilvl="2" w:tplc="5AE689CE">
      <w:start w:val="1"/>
      <w:numFmt w:val="bullet"/>
      <w:lvlText w:val="•"/>
      <w:lvlJc w:val="left"/>
      <w:pPr>
        <w:ind w:left="2394" w:hanging="568"/>
      </w:pPr>
      <w:rPr>
        <w:rFonts w:hint="default"/>
      </w:rPr>
    </w:lvl>
    <w:lvl w:ilvl="3" w:tplc="06485446">
      <w:start w:val="1"/>
      <w:numFmt w:val="bullet"/>
      <w:lvlText w:val="•"/>
      <w:lvlJc w:val="left"/>
      <w:pPr>
        <w:ind w:left="3248" w:hanging="568"/>
      </w:pPr>
      <w:rPr>
        <w:rFonts w:hint="default"/>
      </w:rPr>
    </w:lvl>
    <w:lvl w:ilvl="4" w:tplc="71B23B6C">
      <w:start w:val="1"/>
      <w:numFmt w:val="bullet"/>
      <w:lvlText w:val="•"/>
      <w:lvlJc w:val="left"/>
      <w:pPr>
        <w:ind w:left="4102" w:hanging="568"/>
      </w:pPr>
      <w:rPr>
        <w:rFonts w:hint="default"/>
      </w:rPr>
    </w:lvl>
    <w:lvl w:ilvl="5" w:tplc="F80EB57C">
      <w:start w:val="1"/>
      <w:numFmt w:val="bullet"/>
      <w:lvlText w:val="•"/>
      <w:lvlJc w:val="left"/>
      <w:pPr>
        <w:ind w:left="4956" w:hanging="568"/>
      </w:pPr>
      <w:rPr>
        <w:rFonts w:hint="default"/>
      </w:rPr>
    </w:lvl>
    <w:lvl w:ilvl="6" w:tplc="D7021136">
      <w:start w:val="1"/>
      <w:numFmt w:val="bullet"/>
      <w:lvlText w:val="•"/>
      <w:lvlJc w:val="left"/>
      <w:pPr>
        <w:ind w:left="5810" w:hanging="568"/>
      </w:pPr>
      <w:rPr>
        <w:rFonts w:hint="default"/>
      </w:rPr>
    </w:lvl>
    <w:lvl w:ilvl="7" w:tplc="A36270FE">
      <w:start w:val="1"/>
      <w:numFmt w:val="bullet"/>
      <w:lvlText w:val="•"/>
      <w:lvlJc w:val="left"/>
      <w:pPr>
        <w:ind w:left="6665" w:hanging="568"/>
      </w:pPr>
      <w:rPr>
        <w:rFonts w:hint="default"/>
      </w:rPr>
    </w:lvl>
    <w:lvl w:ilvl="8" w:tplc="62A0F396">
      <w:start w:val="1"/>
      <w:numFmt w:val="bullet"/>
      <w:lvlText w:val="•"/>
      <w:lvlJc w:val="left"/>
      <w:pPr>
        <w:ind w:left="7519" w:hanging="568"/>
      </w:pPr>
      <w:rPr>
        <w:rFonts w:hint="default"/>
      </w:rPr>
    </w:lvl>
  </w:abstractNum>
  <w:abstractNum w:abstractNumId="5" w15:restartNumberingAfterBreak="0">
    <w:nsid w:val="0F7F24F9"/>
    <w:multiLevelType w:val="hybridMultilevel"/>
    <w:tmpl w:val="37845514"/>
    <w:lvl w:ilvl="0" w:tplc="3E3AA432">
      <w:start w:val="3"/>
      <w:numFmt w:val="decimal"/>
      <w:lvlText w:val="%1."/>
      <w:lvlJc w:val="left"/>
      <w:pPr>
        <w:ind w:left="118" w:hanging="568"/>
      </w:pPr>
      <w:rPr>
        <w:rFonts w:ascii="Times New Roman" w:eastAsia="Times New Roman" w:hAnsi="Times New Roman" w:hint="default"/>
        <w:b/>
        <w:bCs/>
        <w:w w:val="99"/>
        <w:sz w:val="22"/>
        <w:szCs w:val="22"/>
      </w:rPr>
    </w:lvl>
    <w:lvl w:ilvl="1" w:tplc="B92EA718">
      <w:start w:val="1"/>
      <w:numFmt w:val="bullet"/>
      <w:lvlText w:val="•"/>
      <w:lvlJc w:val="left"/>
      <w:pPr>
        <w:ind w:left="1035" w:hanging="568"/>
      </w:pPr>
      <w:rPr>
        <w:rFonts w:hint="default"/>
      </w:rPr>
    </w:lvl>
    <w:lvl w:ilvl="2" w:tplc="B0986512">
      <w:start w:val="1"/>
      <w:numFmt w:val="bullet"/>
      <w:lvlText w:val="•"/>
      <w:lvlJc w:val="left"/>
      <w:pPr>
        <w:ind w:left="1952" w:hanging="568"/>
      </w:pPr>
      <w:rPr>
        <w:rFonts w:hint="default"/>
      </w:rPr>
    </w:lvl>
    <w:lvl w:ilvl="3" w:tplc="C6F66434">
      <w:start w:val="1"/>
      <w:numFmt w:val="bullet"/>
      <w:lvlText w:val="•"/>
      <w:lvlJc w:val="left"/>
      <w:pPr>
        <w:ind w:left="2869" w:hanging="568"/>
      </w:pPr>
      <w:rPr>
        <w:rFonts w:hint="default"/>
      </w:rPr>
    </w:lvl>
    <w:lvl w:ilvl="4" w:tplc="B6427524">
      <w:start w:val="1"/>
      <w:numFmt w:val="bullet"/>
      <w:lvlText w:val="•"/>
      <w:lvlJc w:val="left"/>
      <w:pPr>
        <w:ind w:left="3786" w:hanging="568"/>
      </w:pPr>
      <w:rPr>
        <w:rFonts w:hint="default"/>
      </w:rPr>
    </w:lvl>
    <w:lvl w:ilvl="5" w:tplc="539ACFEA">
      <w:start w:val="1"/>
      <w:numFmt w:val="bullet"/>
      <w:lvlText w:val="•"/>
      <w:lvlJc w:val="left"/>
      <w:pPr>
        <w:ind w:left="4703" w:hanging="568"/>
      </w:pPr>
      <w:rPr>
        <w:rFonts w:hint="default"/>
      </w:rPr>
    </w:lvl>
    <w:lvl w:ilvl="6" w:tplc="D1CAABF0">
      <w:start w:val="1"/>
      <w:numFmt w:val="bullet"/>
      <w:lvlText w:val="•"/>
      <w:lvlJc w:val="left"/>
      <w:pPr>
        <w:ind w:left="5619" w:hanging="568"/>
      </w:pPr>
      <w:rPr>
        <w:rFonts w:hint="default"/>
      </w:rPr>
    </w:lvl>
    <w:lvl w:ilvl="7" w:tplc="8F6A3A58">
      <w:start w:val="1"/>
      <w:numFmt w:val="bullet"/>
      <w:lvlText w:val="•"/>
      <w:lvlJc w:val="left"/>
      <w:pPr>
        <w:ind w:left="6536" w:hanging="568"/>
      </w:pPr>
      <w:rPr>
        <w:rFonts w:hint="default"/>
      </w:rPr>
    </w:lvl>
    <w:lvl w:ilvl="8" w:tplc="D2F46A10">
      <w:start w:val="1"/>
      <w:numFmt w:val="bullet"/>
      <w:lvlText w:val="•"/>
      <w:lvlJc w:val="left"/>
      <w:pPr>
        <w:ind w:left="7453" w:hanging="568"/>
      </w:pPr>
      <w:rPr>
        <w:rFonts w:hint="default"/>
      </w:rPr>
    </w:lvl>
  </w:abstractNum>
  <w:abstractNum w:abstractNumId="6" w15:restartNumberingAfterBreak="0">
    <w:nsid w:val="16415F6F"/>
    <w:multiLevelType w:val="hybridMultilevel"/>
    <w:tmpl w:val="FF70170A"/>
    <w:lvl w:ilvl="0" w:tplc="5C50C95A">
      <w:start w:val="1"/>
      <w:numFmt w:val="bullet"/>
      <w:lvlText w:val="-"/>
      <w:lvlJc w:val="left"/>
      <w:pPr>
        <w:ind w:left="118" w:hanging="568"/>
      </w:pPr>
      <w:rPr>
        <w:rFonts w:ascii="Times New Roman" w:eastAsia="Times New Roman" w:hAnsi="Times New Roman" w:hint="default"/>
        <w:w w:val="99"/>
        <w:sz w:val="22"/>
        <w:szCs w:val="22"/>
      </w:rPr>
    </w:lvl>
    <w:lvl w:ilvl="1" w:tplc="FBB051E0">
      <w:start w:val="1"/>
      <w:numFmt w:val="bullet"/>
      <w:lvlText w:val="•"/>
      <w:lvlJc w:val="left"/>
      <w:pPr>
        <w:ind w:left="1035" w:hanging="568"/>
      </w:pPr>
      <w:rPr>
        <w:rFonts w:hint="default"/>
      </w:rPr>
    </w:lvl>
    <w:lvl w:ilvl="2" w:tplc="717E52BA">
      <w:start w:val="1"/>
      <w:numFmt w:val="bullet"/>
      <w:lvlText w:val="•"/>
      <w:lvlJc w:val="left"/>
      <w:pPr>
        <w:ind w:left="1952" w:hanging="568"/>
      </w:pPr>
      <w:rPr>
        <w:rFonts w:hint="default"/>
      </w:rPr>
    </w:lvl>
    <w:lvl w:ilvl="3" w:tplc="0A7A3FC0">
      <w:start w:val="1"/>
      <w:numFmt w:val="bullet"/>
      <w:lvlText w:val="•"/>
      <w:lvlJc w:val="left"/>
      <w:pPr>
        <w:ind w:left="2869" w:hanging="568"/>
      </w:pPr>
      <w:rPr>
        <w:rFonts w:hint="default"/>
      </w:rPr>
    </w:lvl>
    <w:lvl w:ilvl="4" w:tplc="262CF3B4">
      <w:start w:val="1"/>
      <w:numFmt w:val="bullet"/>
      <w:lvlText w:val="•"/>
      <w:lvlJc w:val="left"/>
      <w:pPr>
        <w:ind w:left="3786" w:hanging="568"/>
      </w:pPr>
      <w:rPr>
        <w:rFonts w:hint="default"/>
      </w:rPr>
    </w:lvl>
    <w:lvl w:ilvl="5" w:tplc="EBE8AAA0">
      <w:start w:val="1"/>
      <w:numFmt w:val="bullet"/>
      <w:lvlText w:val="•"/>
      <w:lvlJc w:val="left"/>
      <w:pPr>
        <w:ind w:left="4703" w:hanging="568"/>
      </w:pPr>
      <w:rPr>
        <w:rFonts w:hint="default"/>
      </w:rPr>
    </w:lvl>
    <w:lvl w:ilvl="6" w:tplc="42ECD49A">
      <w:start w:val="1"/>
      <w:numFmt w:val="bullet"/>
      <w:lvlText w:val="•"/>
      <w:lvlJc w:val="left"/>
      <w:pPr>
        <w:ind w:left="5619" w:hanging="568"/>
      </w:pPr>
      <w:rPr>
        <w:rFonts w:hint="default"/>
      </w:rPr>
    </w:lvl>
    <w:lvl w:ilvl="7" w:tplc="BE74E2CA">
      <w:start w:val="1"/>
      <w:numFmt w:val="bullet"/>
      <w:lvlText w:val="•"/>
      <w:lvlJc w:val="left"/>
      <w:pPr>
        <w:ind w:left="6536" w:hanging="568"/>
      </w:pPr>
      <w:rPr>
        <w:rFonts w:hint="default"/>
      </w:rPr>
    </w:lvl>
    <w:lvl w:ilvl="8" w:tplc="04BC17C8">
      <w:start w:val="1"/>
      <w:numFmt w:val="bullet"/>
      <w:lvlText w:val="•"/>
      <w:lvlJc w:val="left"/>
      <w:pPr>
        <w:ind w:left="7453" w:hanging="568"/>
      </w:pPr>
      <w:rPr>
        <w:rFonts w:hint="default"/>
      </w:rPr>
    </w:lvl>
  </w:abstractNum>
  <w:abstractNum w:abstractNumId="7" w15:restartNumberingAfterBreak="0">
    <w:nsid w:val="1A0A24D5"/>
    <w:multiLevelType w:val="hybridMultilevel"/>
    <w:tmpl w:val="545E0DB2"/>
    <w:lvl w:ilvl="0" w:tplc="E210422C">
      <w:start w:val="1"/>
      <w:numFmt w:val="bullet"/>
      <w:lvlText w:val="-"/>
      <w:lvlJc w:val="left"/>
      <w:pPr>
        <w:ind w:left="686" w:hanging="568"/>
      </w:pPr>
      <w:rPr>
        <w:rFonts w:ascii="Times New Roman" w:eastAsia="Times New Roman" w:hAnsi="Times New Roman" w:hint="default"/>
        <w:w w:val="99"/>
        <w:sz w:val="22"/>
        <w:szCs w:val="22"/>
      </w:rPr>
    </w:lvl>
    <w:lvl w:ilvl="1" w:tplc="E1262B92">
      <w:start w:val="1"/>
      <w:numFmt w:val="bullet"/>
      <w:lvlText w:val="•"/>
      <w:lvlJc w:val="left"/>
      <w:pPr>
        <w:ind w:left="1546" w:hanging="568"/>
      </w:pPr>
      <w:rPr>
        <w:rFonts w:hint="default"/>
      </w:rPr>
    </w:lvl>
    <w:lvl w:ilvl="2" w:tplc="E370D4C4">
      <w:start w:val="1"/>
      <w:numFmt w:val="bullet"/>
      <w:lvlText w:val="•"/>
      <w:lvlJc w:val="left"/>
      <w:pPr>
        <w:ind w:left="2406" w:hanging="568"/>
      </w:pPr>
      <w:rPr>
        <w:rFonts w:hint="default"/>
      </w:rPr>
    </w:lvl>
    <w:lvl w:ilvl="3" w:tplc="184C9B18">
      <w:start w:val="1"/>
      <w:numFmt w:val="bullet"/>
      <w:lvlText w:val="•"/>
      <w:lvlJc w:val="left"/>
      <w:pPr>
        <w:ind w:left="3266" w:hanging="568"/>
      </w:pPr>
      <w:rPr>
        <w:rFonts w:hint="default"/>
      </w:rPr>
    </w:lvl>
    <w:lvl w:ilvl="4" w:tplc="637E2D4C">
      <w:start w:val="1"/>
      <w:numFmt w:val="bullet"/>
      <w:lvlText w:val="•"/>
      <w:lvlJc w:val="left"/>
      <w:pPr>
        <w:ind w:left="4126" w:hanging="568"/>
      </w:pPr>
      <w:rPr>
        <w:rFonts w:hint="default"/>
      </w:rPr>
    </w:lvl>
    <w:lvl w:ilvl="5" w:tplc="0610F250">
      <w:start w:val="1"/>
      <w:numFmt w:val="bullet"/>
      <w:lvlText w:val="•"/>
      <w:lvlJc w:val="left"/>
      <w:pPr>
        <w:ind w:left="4986" w:hanging="568"/>
      </w:pPr>
      <w:rPr>
        <w:rFonts w:hint="default"/>
      </w:rPr>
    </w:lvl>
    <w:lvl w:ilvl="6" w:tplc="AFF60B42">
      <w:start w:val="1"/>
      <w:numFmt w:val="bullet"/>
      <w:lvlText w:val="•"/>
      <w:lvlJc w:val="left"/>
      <w:pPr>
        <w:ind w:left="5846" w:hanging="568"/>
      </w:pPr>
      <w:rPr>
        <w:rFonts w:hint="default"/>
      </w:rPr>
    </w:lvl>
    <w:lvl w:ilvl="7" w:tplc="2AFC6D16">
      <w:start w:val="1"/>
      <w:numFmt w:val="bullet"/>
      <w:lvlText w:val="•"/>
      <w:lvlJc w:val="left"/>
      <w:pPr>
        <w:ind w:left="6707" w:hanging="568"/>
      </w:pPr>
      <w:rPr>
        <w:rFonts w:hint="default"/>
      </w:rPr>
    </w:lvl>
    <w:lvl w:ilvl="8" w:tplc="4C88658C">
      <w:start w:val="1"/>
      <w:numFmt w:val="bullet"/>
      <w:lvlText w:val="•"/>
      <w:lvlJc w:val="left"/>
      <w:pPr>
        <w:ind w:left="7567" w:hanging="568"/>
      </w:pPr>
      <w:rPr>
        <w:rFonts w:hint="default"/>
      </w:rPr>
    </w:lvl>
  </w:abstractNum>
  <w:abstractNum w:abstractNumId="8" w15:restartNumberingAfterBreak="0">
    <w:nsid w:val="1D3B0680"/>
    <w:multiLevelType w:val="hybridMultilevel"/>
    <w:tmpl w:val="083E8E40"/>
    <w:lvl w:ilvl="0" w:tplc="A782B752">
      <w:start w:val="1"/>
      <w:numFmt w:val="bullet"/>
      <w:lvlText w:val="-"/>
      <w:lvlJc w:val="left"/>
      <w:pPr>
        <w:ind w:left="686" w:hanging="568"/>
      </w:pPr>
      <w:rPr>
        <w:rFonts w:ascii="Times New Roman" w:eastAsia="Times New Roman" w:hAnsi="Times New Roman" w:hint="default"/>
        <w:w w:val="99"/>
        <w:sz w:val="22"/>
        <w:szCs w:val="22"/>
      </w:rPr>
    </w:lvl>
    <w:lvl w:ilvl="1" w:tplc="4FDE903C">
      <w:start w:val="1"/>
      <w:numFmt w:val="bullet"/>
      <w:lvlText w:val="•"/>
      <w:lvlJc w:val="left"/>
      <w:pPr>
        <w:ind w:left="1544" w:hanging="568"/>
      </w:pPr>
      <w:rPr>
        <w:rFonts w:hint="default"/>
      </w:rPr>
    </w:lvl>
    <w:lvl w:ilvl="2" w:tplc="B38E02CA">
      <w:start w:val="1"/>
      <w:numFmt w:val="bullet"/>
      <w:lvlText w:val="•"/>
      <w:lvlJc w:val="left"/>
      <w:pPr>
        <w:ind w:left="2402" w:hanging="568"/>
      </w:pPr>
      <w:rPr>
        <w:rFonts w:hint="default"/>
      </w:rPr>
    </w:lvl>
    <w:lvl w:ilvl="3" w:tplc="7522009A">
      <w:start w:val="1"/>
      <w:numFmt w:val="bullet"/>
      <w:lvlText w:val="•"/>
      <w:lvlJc w:val="left"/>
      <w:pPr>
        <w:ind w:left="3260" w:hanging="568"/>
      </w:pPr>
      <w:rPr>
        <w:rFonts w:hint="default"/>
      </w:rPr>
    </w:lvl>
    <w:lvl w:ilvl="4" w:tplc="5944E832">
      <w:start w:val="1"/>
      <w:numFmt w:val="bullet"/>
      <w:lvlText w:val="•"/>
      <w:lvlJc w:val="left"/>
      <w:pPr>
        <w:ind w:left="4118" w:hanging="568"/>
      </w:pPr>
      <w:rPr>
        <w:rFonts w:hint="default"/>
      </w:rPr>
    </w:lvl>
    <w:lvl w:ilvl="5" w:tplc="65C6D190">
      <w:start w:val="1"/>
      <w:numFmt w:val="bullet"/>
      <w:lvlText w:val="•"/>
      <w:lvlJc w:val="left"/>
      <w:pPr>
        <w:ind w:left="4976" w:hanging="568"/>
      </w:pPr>
      <w:rPr>
        <w:rFonts w:hint="default"/>
      </w:rPr>
    </w:lvl>
    <w:lvl w:ilvl="6" w:tplc="2206A428">
      <w:start w:val="1"/>
      <w:numFmt w:val="bullet"/>
      <w:lvlText w:val="•"/>
      <w:lvlJc w:val="left"/>
      <w:pPr>
        <w:ind w:left="5834" w:hanging="568"/>
      </w:pPr>
      <w:rPr>
        <w:rFonts w:hint="default"/>
      </w:rPr>
    </w:lvl>
    <w:lvl w:ilvl="7" w:tplc="3D86BBCC">
      <w:start w:val="1"/>
      <w:numFmt w:val="bullet"/>
      <w:lvlText w:val="•"/>
      <w:lvlJc w:val="left"/>
      <w:pPr>
        <w:ind w:left="6693" w:hanging="568"/>
      </w:pPr>
      <w:rPr>
        <w:rFonts w:hint="default"/>
      </w:rPr>
    </w:lvl>
    <w:lvl w:ilvl="8" w:tplc="1916DEEA">
      <w:start w:val="1"/>
      <w:numFmt w:val="bullet"/>
      <w:lvlText w:val="•"/>
      <w:lvlJc w:val="left"/>
      <w:pPr>
        <w:ind w:left="7551" w:hanging="568"/>
      </w:pPr>
      <w:rPr>
        <w:rFonts w:hint="default"/>
      </w:rPr>
    </w:lvl>
  </w:abstractNum>
  <w:abstractNum w:abstractNumId="9" w15:restartNumberingAfterBreak="0">
    <w:nsid w:val="1D447691"/>
    <w:multiLevelType w:val="hybridMultilevel"/>
    <w:tmpl w:val="CBC8586C"/>
    <w:lvl w:ilvl="0" w:tplc="FB8CF4EA">
      <w:start w:val="1"/>
      <w:numFmt w:val="bullet"/>
      <w:lvlText w:val="-"/>
      <w:lvlJc w:val="left"/>
      <w:pPr>
        <w:ind w:left="720" w:hanging="360"/>
      </w:pPr>
      <w:rPr>
        <w:rFonts w:ascii="Times New Roman" w:eastAsia="Times New Roman" w:hAnsi="Times New Roman" w:hint="default"/>
        <w:w w:val="99"/>
        <w:sz w:val="22"/>
        <w:szCs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1ECA55FB"/>
    <w:multiLevelType w:val="multilevel"/>
    <w:tmpl w:val="BE2AECFC"/>
    <w:lvl w:ilvl="0">
      <w:start w:val="1"/>
      <w:numFmt w:val="decimal"/>
      <w:lvlText w:val="%1."/>
      <w:lvlJc w:val="left"/>
      <w:pPr>
        <w:ind w:left="852" w:hanging="568"/>
      </w:pPr>
      <w:rPr>
        <w:rFonts w:ascii="Times New Roman" w:eastAsia="Times New Roman" w:hAnsi="Times New Roman" w:hint="default"/>
        <w:b/>
        <w:bCs/>
        <w:w w:val="99"/>
        <w:sz w:val="22"/>
        <w:szCs w:val="22"/>
      </w:rPr>
    </w:lvl>
    <w:lvl w:ilvl="1">
      <w:start w:val="1"/>
      <w:numFmt w:val="decimal"/>
      <w:lvlText w:val="%1.%2"/>
      <w:lvlJc w:val="left"/>
      <w:pPr>
        <w:ind w:left="686" w:hanging="568"/>
      </w:pPr>
      <w:rPr>
        <w:rFonts w:ascii="Times New Roman" w:eastAsia="Times New Roman" w:hAnsi="Times New Roman" w:hint="default"/>
        <w:b/>
        <w:bCs/>
        <w:w w:val="99"/>
        <w:sz w:val="22"/>
        <w:szCs w:val="22"/>
      </w:rPr>
    </w:lvl>
    <w:lvl w:ilvl="2">
      <w:start w:val="1"/>
      <w:numFmt w:val="bullet"/>
      <w:lvlText w:val="•"/>
      <w:lvlJc w:val="left"/>
      <w:pPr>
        <w:ind w:left="2394" w:hanging="568"/>
      </w:pPr>
      <w:rPr>
        <w:rFonts w:hint="default"/>
      </w:rPr>
    </w:lvl>
    <w:lvl w:ilvl="3">
      <w:start w:val="1"/>
      <w:numFmt w:val="bullet"/>
      <w:lvlText w:val="•"/>
      <w:lvlJc w:val="left"/>
      <w:pPr>
        <w:ind w:left="3248" w:hanging="568"/>
      </w:pPr>
      <w:rPr>
        <w:rFonts w:hint="default"/>
      </w:rPr>
    </w:lvl>
    <w:lvl w:ilvl="4">
      <w:start w:val="1"/>
      <w:numFmt w:val="bullet"/>
      <w:lvlText w:val="•"/>
      <w:lvlJc w:val="left"/>
      <w:pPr>
        <w:ind w:left="4102" w:hanging="568"/>
      </w:pPr>
      <w:rPr>
        <w:rFonts w:hint="default"/>
      </w:rPr>
    </w:lvl>
    <w:lvl w:ilvl="5">
      <w:start w:val="1"/>
      <w:numFmt w:val="bullet"/>
      <w:lvlText w:val="•"/>
      <w:lvlJc w:val="left"/>
      <w:pPr>
        <w:ind w:left="4956" w:hanging="568"/>
      </w:pPr>
      <w:rPr>
        <w:rFonts w:hint="default"/>
      </w:rPr>
    </w:lvl>
    <w:lvl w:ilvl="6">
      <w:start w:val="1"/>
      <w:numFmt w:val="bullet"/>
      <w:lvlText w:val="•"/>
      <w:lvlJc w:val="left"/>
      <w:pPr>
        <w:ind w:left="5810" w:hanging="568"/>
      </w:pPr>
      <w:rPr>
        <w:rFonts w:hint="default"/>
      </w:rPr>
    </w:lvl>
    <w:lvl w:ilvl="7">
      <w:start w:val="1"/>
      <w:numFmt w:val="bullet"/>
      <w:lvlText w:val="•"/>
      <w:lvlJc w:val="left"/>
      <w:pPr>
        <w:ind w:left="6665" w:hanging="568"/>
      </w:pPr>
      <w:rPr>
        <w:rFonts w:hint="default"/>
      </w:rPr>
    </w:lvl>
    <w:lvl w:ilvl="8">
      <w:start w:val="1"/>
      <w:numFmt w:val="bullet"/>
      <w:lvlText w:val="•"/>
      <w:lvlJc w:val="left"/>
      <w:pPr>
        <w:ind w:left="7519" w:hanging="568"/>
      </w:pPr>
      <w:rPr>
        <w:rFonts w:hint="default"/>
      </w:rPr>
    </w:lvl>
  </w:abstractNum>
  <w:abstractNum w:abstractNumId="11" w15:restartNumberingAfterBreak="0">
    <w:nsid w:val="20DB3822"/>
    <w:multiLevelType w:val="hybridMultilevel"/>
    <w:tmpl w:val="61C07CE6"/>
    <w:lvl w:ilvl="0" w:tplc="18527658">
      <w:start w:val="1"/>
      <w:numFmt w:val="bullet"/>
      <w:lvlText w:val="-"/>
      <w:lvlJc w:val="left"/>
      <w:pPr>
        <w:ind w:left="686" w:hanging="568"/>
      </w:pPr>
      <w:rPr>
        <w:rFonts w:ascii="Times New Roman" w:eastAsia="Times New Roman" w:hAnsi="Times New Roman" w:hint="default"/>
        <w:w w:val="99"/>
        <w:sz w:val="22"/>
        <w:szCs w:val="22"/>
      </w:rPr>
    </w:lvl>
    <w:lvl w:ilvl="1" w:tplc="79960982">
      <w:start w:val="1"/>
      <w:numFmt w:val="bullet"/>
      <w:lvlText w:val="•"/>
      <w:lvlJc w:val="left"/>
      <w:pPr>
        <w:ind w:left="1544" w:hanging="568"/>
      </w:pPr>
      <w:rPr>
        <w:rFonts w:hint="default"/>
      </w:rPr>
    </w:lvl>
    <w:lvl w:ilvl="2" w:tplc="16BA30D0">
      <w:start w:val="1"/>
      <w:numFmt w:val="bullet"/>
      <w:lvlText w:val="•"/>
      <w:lvlJc w:val="left"/>
      <w:pPr>
        <w:ind w:left="2402" w:hanging="568"/>
      </w:pPr>
      <w:rPr>
        <w:rFonts w:hint="default"/>
      </w:rPr>
    </w:lvl>
    <w:lvl w:ilvl="3" w:tplc="28548A60">
      <w:start w:val="1"/>
      <w:numFmt w:val="bullet"/>
      <w:lvlText w:val="•"/>
      <w:lvlJc w:val="left"/>
      <w:pPr>
        <w:ind w:left="3260" w:hanging="568"/>
      </w:pPr>
      <w:rPr>
        <w:rFonts w:hint="default"/>
      </w:rPr>
    </w:lvl>
    <w:lvl w:ilvl="4" w:tplc="E61ECE82">
      <w:start w:val="1"/>
      <w:numFmt w:val="bullet"/>
      <w:lvlText w:val="•"/>
      <w:lvlJc w:val="left"/>
      <w:pPr>
        <w:ind w:left="4118" w:hanging="568"/>
      </w:pPr>
      <w:rPr>
        <w:rFonts w:hint="default"/>
      </w:rPr>
    </w:lvl>
    <w:lvl w:ilvl="5" w:tplc="CCA0BBE8">
      <w:start w:val="1"/>
      <w:numFmt w:val="bullet"/>
      <w:lvlText w:val="•"/>
      <w:lvlJc w:val="left"/>
      <w:pPr>
        <w:ind w:left="4976" w:hanging="568"/>
      </w:pPr>
      <w:rPr>
        <w:rFonts w:hint="default"/>
      </w:rPr>
    </w:lvl>
    <w:lvl w:ilvl="6" w:tplc="5E2634E2">
      <w:start w:val="1"/>
      <w:numFmt w:val="bullet"/>
      <w:lvlText w:val="•"/>
      <w:lvlJc w:val="left"/>
      <w:pPr>
        <w:ind w:left="5834" w:hanging="568"/>
      </w:pPr>
      <w:rPr>
        <w:rFonts w:hint="default"/>
      </w:rPr>
    </w:lvl>
    <w:lvl w:ilvl="7" w:tplc="32820FEC">
      <w:start w:val="1"/>
      <w:numFmt w:val="bullet"/>
      <w:lvlText w:val="•"/>
      <w:lvlJc w:val="left"/>
      <w:pPr>
        <w:ind w:left="6693" w:hanging="568"/>
      </w:pPr>
      <w:rPr>
        <w:rFonts w:hint="default"/>
      </w:rPr>
    </w:lvl>
    <w:lvl w:ilvl="8" w:tplc="46408138">
      <w:start w:val="1"/>
      <w:numFmt w:val="bullet"/>
      <w:lvlText w:val="•"/>
      <w:lvlJc w:val="left"/>
      <w:pPr>
        <w:ind w:left="7551" w:hanging="568"/>
      </w:pPr>
      <w:rPr>
        <w:rFonts w:hint="default"/>
      </w:rPr>
    </w:lvl>
  </w:abstractNum>
  <w:abstractNum w:abstractNumId="12" w15:restartNumberingAfterBreak="0">
    <w:nsid w:val="2175311E"/>
    <w:multiLevelType w:val="hybridMultilevel"/>
    <w:tmpl w:val="123CEC56"/>
    <w:lvl w:ilvl="0" w:tplc="54DAAC82">
      <w:start w:val="1"/>
      <w:numFmt w:val="decimal"/>
      <w:lvlText w:val="%1."/>
      <w:lvlJc w:val="left"/>
      <w:pPr>
        <w:ind w:left="686" w:hanging="568"/>
      </w:pPr>
      <w:rPr>
        <w:rFonts w:ascii="Times New Roman" w:eastAsia="Times New Roman" w:hAnsi="Times New Roman" w:hint="default"/>
        <w:w w:val="99"/>
        <w:sz w:val="22"/>
        <w:szCs w:val="22"/>
      </w:rPr>
    </w:lvl>
    <w:lvl w:ilvl="1" w:tplc="86D89AEE">
      <w:start w:val="1"/>
      <w:numFmt w:val="lowerLetter"/>
      <w:lvlText w:val="%2."/>
      <w:lvlJc w:val="left"/>
      <w:pPr>
        <w:ind w:left="2368" w:hanging="360"/>
      </w:pPr>
      <w:rPr>
        <w:rFonts w:ascii="Times New Roman" w:eastAsia="Times New Roman" w:hAnsi="Times New Roman" w:hint="default"/>
        <w:spacing w:val="-1"/>
        <w:w w:val="99"/>
        <w:sz w:val="22"/>
        <w:szCs w:val="22"/>
      </w:rPr>
    </w:lvl>
    <w:lvl w:ilvl="2" w:tplc="0F9C5526">
      <w:start w:val="1"/>
      <w:numFmt w:val="upperLetter"/>
      <w:lvlText w:val="%3."/>
      <w:lvlJc w:val="left"/>
      <w:pPr>
        <w:ind w:left="3563" w:hanging="269"/>
        <w:jc w:val="right"/>
      </w:pPr>
      <w:rPr>
        <w:rFonts w:ascii="Times New Roman" w:eastAsia="Times New Roman" w:hAnsi="Times New Roman" w:hint="default"/>
        <w:b/>
        <w:bCs/>
        <w:w w:val="99"/>
        <w:sz w:val="22"/>
        <w:szCs w:val="22"/>
      </w:rPr>
    </w:lvl>
    <w:lvl w:ilvl="3" w:tplc="E4E487D0">
      <w:start w:val="1"/>
      <w:numFmt w:val="bullet"/>
      <w:lvlText w:val="•"/>
      <w:lvlJc w:val="left"/>
      <w:pPr>
        <w:ind w:left="4186" w:hanging="269"/>
      </w:pPr>
      <w:rPr>
        <w:rFonts w:hint="default"/>
      </w:rPr>
    </w:lvl>
    <w:lvl w:ilvl="4" w:tplc="D4D806AC">
      <w:start w:val="1"/>
      <w:numFmt w:val="bullet"/>
      <w:lvlText w:val="•"/>
      <w:lvlJc w:val="left"/>
      <w:pPr>
        <w:ind w:left="4809" w:hanging="269"/>
      </w:pPr>
      <w:rPr>
        <w:rFonts w:hint="default"/>
      </w:rPr>
    </w:lvl>
    <w:lvl w:ilvl="5" w:tplc="633C8BAC">
      <w:start w:val="1"/>
      <w:numFmt w:val="bullet"/>
      <w:lvlText w:val="•"/>
      <w:lvlJc w:val="left"/>
      <w:pPr>
        <w:ind w:left="5432" w:hanging="269"/>
      </w:pPr>
      <w:rPr>
        <w:rFonts w:hint="default"/>
      </w:rPr>
    </w:lvl>
    <w:lvl w:ilvl="6" w:tplc="B4A4A49C">
      <w:start w:val="1"/>
      <w:numFmt w:val="bullet"/>
      <w:lvlText w:val="•"/>
      <w:lvlJc w:val="left"/>
      <w:pPr>
        <w:ind w:left="6055" w:hanging="269"/>
      </w:pPr>
      <w:rPr>
        <w:rFonts w:hint="default"/>
      </w:rPr>
    </w:lvl>
    <w:lvl w:ilvl="7" w:tplc="8A2C6450">
      <w:start w:val="1"/>
      <w:numFmt w:val="bullet"/>
      <w:lvlText w:val="•"/>
      <w:lvlJc w:val="left"/>
      <w:pPr>
        <w:ind w:left="6678" w:hanging="269"/>
      </w:pPr>
      <w:rPr>
        <w:rFonts w:hint="default"/>
      </w:rPr>
    </w:lvl>
    <w:lvl w:ilvl="8" w:tplc="C9DC87CE">
      <w:start w:val="1"/>
      <w:numFmt w:val="bullet"/>
      <w:lvlText w:val="•"/>
      <w:lvlJc w:val="left"/>
      <w:pPr>
        <w:ind w:left="7301" w:hanging="269"/>
      </w:pPr>
      <w:rPr>
        <w:rFonts w:hint="default"/>
      </w:rPr>
    </w:lvl>
  </w:abstractNum>
  <w:abstractNum w:abstractNumId="13" w15:restartNumberingAfterBreak="0">
    <w:nsid w:val="28462F8F"/>
    <w:multiLevelType w:val="hybridMultilevel"/>
    <w:tmpl w:val="9B14DDE4"/>
    <w:lvl w:ilvl="0" w:tplc="32343D8E">
      <w:start w:val="1"/>
      <w:numFmt w:val="bullet"/>
      <w:lvlText w:val=""/>
      <w:lvlJc w:val="left"/>
      <w:pPr>
        <w:ind w:left="686" w:hanging="360"/>
      </w:pPr>
      <w:rPr>
        <w:rFonts w:ascii="Symbol" w:eastAsia="Symbol" w:hAnsi="Symbol" w:hint="default"/>
        <w:w w:val="99"/>
        <w:sz w:val="22"/>
        <w:szCs w:val="22"/>
      </w:rPr>
    </w:lvl>
    <w:lvl w:ilvl="1" w:tplc="D9423C96">
      <w:start w:val="1"/>
      <w:numFmt w:val="bullet"/>
      <w:lvlText w:val="o"/>
      <w:lvlJc w:val="left"/>
      <w:pPr>
        <w:ind w:left="1252" w:hanging="568"/>
      </w:pPr>
      <w:rPr>
        <w:rFonts w:ascii="Courier New" w:eastAsia="Courier New" w:hAnsi="Courier New" w:hint="default"/>
        <w:w w:val="99"/>
        <w:sz w:val="22"/>
        <w:szCs w:val="22"/>
      </w:rPr>
    </w:lvl>
    <w:lvl w:ilvl="2" w:tplc="ACA839D6">
      <w:start w:val="1"/>
      <w:numFmt w:val="bullet"/>
      <w:lvlText w:val=""/>
      <w:lvlJc w:val="left"/>
      <w:pPr>
        <w:ind w:left="1820" w:hanging="532"/>
      </w:pPr>
      <w:rPr>
        <w:rFonts w:ascii="Symbol" w:eastAsia="Symbol" w:hAnsi="Symbol" w:hint="default"/>
        <w:w w:val="99"/>
        <w:sz w:val="22"/>
        <w:szCs w:val="22"/>
      </w:rPr>
    </w:lvl>
    <w:lvl w:ilvl="3" w:tplc="49800CB8">
      <w:start w:val="1"/>
      <w:numFmt w:val="bullet"/>
      <w:lvlText w:val="•"/>
      <w:lvlJc w:val="left"/>
      <w:pPr>
        <w:ind w:left="1820" w:hanging="532"/>
      </w:pPr>
      <w:rPr>
        <w:rFonts w:hint="default"/>
      </w:rPr>
    </w:lvl>
    <w:lvl w:ilvl="4" w:tplc="66AC506C">
      <w:start w:val="1"/>
      <w:numFmt w:val="bullet"/>
      <w:lvlText w:val="•"/>
      <w:lvlJc w:val="left"/>
      <w:pPr>
        <w:ind w:left="2870" w:hanging="532"/>
      </w:pPr>
      <w:rPr>
        <w:rFonts w:hint="default"/>
      </w:rPr>
    </w:lvl>
    <w:lvl w:ilvl="5" w:tplc="9B2C6714">
      <w:start w:val="1"/>
      <w:numFmt w:val="bullet"/>
      <w:lvlText w:val="•"/>
      <w:lvlJc w:val="left"/>
      <w:pPr>
        <w:ind w:left="3919" w:hanging="532"/>
      </w:pPr>
      <w:rPr>
        <w:rFonts w:hint="default"/>
      </w:rPr>
    </w:lvl>
    <w:lvl w:ilvl="6" w:tplc="E9785878">
      <w:start w:val="1"/>
      <w:numFmt w:val="bullet"/>
      <w:lvlText w:val="•"/>
      <w:lvlJc w:val="left"/>
      <w:pPr>
        <w:ind w:left="4969" w:hanging="532"/>
      </w:pPr>
      <w:rPr>
        <w:rFonts w:hint="default"/>
      </w:rPr>
    </w:lvl>
    <w:lvl w:ilvl="7" w:tplc="8DD49240">
      <w:start w:val="1"/>
      <w:numFmt w:val="bullet"/>
      <w:lvlText w:val="•"/>
      <w:lvlJc w:val="left"/>
      <w:pPr>
        <w:ind w:left="6018" w:hanging="532"/>
      </w:pPr>
      <w:rPr>
        <w:rFonts w:hint="default"/>
      </w:rPr>
    </w:lvl>
    <w:lvl w:ilvl="8" w:tplc="1D6AD306">
      <w:start w:val="1"/>
      <w:numFmt w:val="bullet"/>
      <w:lvlText w:val="•"/>
      <w:lvlJc w:val="left"/>
      <w:pPr>
        <w:ind w:left="7068" w:hanging="532"/>
      </w:pPr>
      <w:rPr>
        <w:rFonts w:hint="default"/>
      </w:rPr>
    </w:lvl>
  </w:abstractNum>
  <w:abstractNum w:abstractNumId="14" w15:restartNumberingAfterBreak="0">
    <w:nsid w:val="2EDB47A3"/>
    <w:multiLevelType w:val="hybridMultilevel"/>
    <w:tmpl w:val="E41E0706"/>
    <w:lvl w:ilvl="0" w:tplc="F482D948">
      <w:start w:val="1"/>
      <w:numFmt w:val="bullet"/>
      <w:lvlText w:val="-"/>
      <w:lvlJc w:val="left"/>
      <w:pPr>
        <w:ind w:left="686" w:hanging="568"/>
      </w:pPr>
      <w:rPr>
        <w:rFonts w:ascii="Times New Roman" w:eastAsia="Times New Roman" w:hAnsi="Times New Roman" w:hint="default"/>
        <w:w w:val="99"/>
        <w:sz w:val="22"/>
        <w:szCs w:val="22"/>
      </w:rPr>
    </w:lvl>
    <w:lvl w:ilvl="1" w:tplc="2FD6B24A">
      <w:start w:val="1"/>
      <w:numFmt w:val="bullet"/>
      <w:lvlText w:val="•"/>
      <w:lvlJc w:val="left"/>
      <w:pPr>
        <w:ind w:left="1544" w:hanging="568"/>
      </w:pPr>
      <w:rPr>
        <w:rFonts w:hint="default"/>
      </w:rPr>
    </w:lvl>
    <w:lvl w:ilvl="2" w:tplc="4058EAE0">
      <w:start w:val="1"/>
      <w:numFmt w:val="bullet"/>
      <w:lvlText w:val="•"/>
      <w:lvlJc w:val="left"/>
      <w:pPr>
        <w:ind w:left="2402" w:hanging="568"/>
      </w:pPr>
      <w:rPr>
        <w:rFonts w:hint="default"/>
      </w:rPr>
    </w:lvl>
    <w:lvl w:ilvl="3" w:tplc="43C2DABE">
      <w:start w:val="1"/>
      <w:numFmt w:val="bullet"/>
      <w:lvlText w:val="•"/>
      <w:lvlJc w:val="left"/>
      <w:pPr>
        <w:ind w:left="3260" w:hanging="568"/>
      </w:pPr>
      <w:rPr>
        <w:rFonts w:hint="default"/>
      </w:rPr>
    </w:lvl>
    <w:lvl w:ilvl="4" w:tplc="4ADAFE82">
      <w:start w:val="1"/>
      <w:numFmt w:val="bullet"/>
      <w:lvlText w:val="•"/>
      <w:lvlJc w:val="left"/>
      <w:pPr>
        <w:ind w:left="4118" w:hanging="568"/>
      </w:pPr>
      <w:rPr>
        <w:rFonts w:hint="default"/>
      </w:rPr>
    </w:lvl>
    <w:lvl w:ilvl="5" w:tplc="6B4EFA02">
      <w:start w:val="1"/>
      <w:numFmt w:val="bullet"/>
      <w:lvlText w:val="•"/>
      <w:lvlJc w:val="left"/>
      <w:pPr>
        <w:ind w:left="4976" w:hanging="568"/>
      </w:pPr>
      <w:rPr>
        <w:rFonts w:hint="default"/>
      </w:rPr>
    </w:lvl>
    <w:lvl w:ilvl="6" w:tplc="D3D057F8">
      <w:start w:val="1"/>
      <w:numFmt w:val="bullet"/>
      <w:lvlText w:val="•"/>
      <w:lvlJc w:val="left"/>
      <w:pPr>
        <w:ind w:left="5834" w:hanging="568"/>
      </w:pPr>
      <w:rPr>
        <w:rFonts w:hint="default"/>
      </w:rPr>
    </w:lvl>
    <w:lvl w:ilvl="7" w:tplc="2B420234">
      <w:start w:val="1"/>
      <w:numFmt w:val="bullet"/>
      <w:lvlText w:val="•"/>
      <w:lvlJc w:val="left"/>
      <w:pPr>
        <w:ind w:left="6693" w:hanging="568"/>
      </w:pPr>
      <w:rPr>
        <w:rFonts w:hint="default"/>
      </w:rPr>
    </w:lvl>
    <w:lvl w:ilvl="8" w:tplc="CFACA8E6">
      <w:start w:val="1"/>
      <w:numFmt w:val="bullet"/>
      <w:lvlText w:val="•"/>
      <w:lvlJc w:val="left"/>
      <w:pPr>
        <w:ind w:left="7551" w:hanging="568"/>
      </w:pPr>
      <w:rPr>
        <w:rFonts w:hint="default"/>
      </w:rPr>
    </w:lvl>
  </w:abstractNum>
  <w:abstractNum w:abstractNumId="15" w15:restartNumberingAfterBreak="0">
    <w:nsid w:val="36EA0019"/>
    <w:multiLevelType w:val="hybridMultilevel"/>
    <w:tmpl w:val="FE94F842"/>
    <w:lvl w:ilvl="0" w:tplc="9656E5E6">
      <w:start w:val="1"/>
      <w:numFmt w:val="upperLetter"/>
      <w:lvlText w:val="%1."/>
      <w:lvlJc w:val="left"/>
      <w:pPr>
        <w:ind w:left="1440" w:hanging="568"/>
      </w:pPr>
      <w:rPr>
        <w:rFonts w:ascii="Times New Roman" w:eastAsia="Times New Roman" w:hAnsi="Times New Roman" w:hint="default"/>
        <w:b/>
        <w:bCs/>
        <w:spacing w:val="-1"/>
        <w:w w:val="99"/>
        <w:sz w:val="22"/>
        <w:szCs w:val="22"/>
      </w:rPr>
    </w:lvl>
    <w:lvl w:ilvl="1" w:tplc="36BC1378">
      <w:start w:val="1"/>
      <w:numFmt w:val="bullet"/>
      <w:lvlText w:val="•"/>
      <w:lvlJc w:val="left"/>
      <w:pPr>
        <w:ind w:left="2151" w:hanging="568"/>
      </w:pPr>
      <w:rPr>
        <w:rFonts w:hint="default"/>
      </w:rPr>
    </w:lvl>
    <w:lvl w:ilvl="2" w:tplc="3A507B04">
      <w:start w:val="1"/>
      <w:numFmt w:val="bullet"/>
      <w:lvlText w:val="•"/>
      <w:lvlJc w:val="left"/>
      <w:pPr>
        <w:ind w:left="2861" w:hanging="568"/>
      </w:pPr>
      <w:rPr>
        <w:rFonts w:hint="default"/>
      </w:rPr>
    </w:lvl>
    <w:lvl w:ilvl="3" w:tplc="D0863962">
      <w:start w:val="1"/>
      <w:numFmt w:val="bullet"/>
      <w:lvlText w:val="•"/>
      <w:lvlJc w:val="left"/>
      <w:pPr>
        <w:ind w:left="3572" w:hanging="568"/>
      </w:pPr>
      <w:rPr>
        <w:rFonts w:hint="default"/>
      </w:rPr>
    </w:lvl>
    <w:lvl w:ilvl="4" w:tplc="D1B00D06">
      <w:start w:val="1"/>
      <w:numFmt w:val="bullet"/>
      <w:lvlText w:val="•"/>
      <w:lvlJc w:val="left"/>
      <w:pPr>
        <w:ind w:left="4283" w:hanging="568"/>
      </w:pPr>
      <w:rPr>
        <w:rFonts w:hint="default"/>
      </w:rPr>
    </w:lvl>
    <w:lvl w:ilvl="5" w:tplc="DB526AC4">
      <w:start w:val="1"/>
      <w:numFmt w:val="bullet"/>
      <w:lvlText w:val="•"/>
      <w:lvlJc w:val="left"/>
      <w:pPr>
        <w:ind w:left="4994" w:hanging="568"/>
      </w:pPr>
      <w:rPr>
        <w:rFonts w:hint="default"/>
      </w:rPr>
    </w:lvl>
    <w:lvl w:ilvl="6" w:tplc="75688996">
      <w:start w:val="1"/>
      <w:numFmt w:val="bullet"/>
      <w:lvlText w:val="•"/>
      <w:lvlJc w:val="left"/>
      <w:pPr>
        <w:ind w:left="5704" w:hanging="568"/>
      </w:pPr>
      <w:rPr>
        <w:rFonts w:hint="default"/>
      </w:rPr>
    </w:lvl>
    <w:lvl w:ilvl="7" w:tplc="CC8E239E">
      <w:start w:val="1"/>
      <w:numFmt w:val="bullet"/>
      <w:lvlText w:val="•"/>
      <w:lvlJc w:val="left"/>
      <w:pPr>
        <w:ind w:left="6415" w:hanging="568"/>
      </w:pPr>
      <w:rPr>
        <w:rFonts w:hint="default"/>
      </w:rPr>
    </w:lvl>
    <w:lvl w:ilvl="8" w:tplc="D0ACCBA2">
      <w:start w:val="1"/>
      <w:numFmt w:val="bullet"/>
      <w:lvlText w:val="•"/>
      <w:lvlJc w:val="left"/>
      <w:pPr>
        <w:ind w:left="7126" w:hanging="568"/>
      </w:pPr>
      <w:rPr>
        <w:rFonts w:hint="default"/>
      </w:rPr>
    </w:lvl>
  </w:abstractNum>
  <w:abstractNum w:abstractNumId="16" w15:restartNumberingAfterBreak="0">
    <w:nsid w:val="3DF11902"/>
    <w:multiLevelType w:val="hybridMultilevel"/>
    <w:tmpl w:val="310C106E"/>
    <w:lvl w:ilvl="0" w:tplc="D132FDC0">
      <w:start w:val="1"/>
      <w:numFmt w:val="bullet"/>
      <w:lvlText w:val="-"/>
      <w:lvlJc w:val="left"/>
      <w:pPr>
        <w:ind w:left="686" w:hanging="568"/>
      </w:pPr>
      <w:rPr>
        <w:rFonts w:ascii="Times New Roman" w:eastAsia="Times New Roman" w:hAnsi="Times New Roman" w:hint="default"/>
        <w:w w:val="99"/>
        <w:sz w:val="22"/>
        <w:szCs w:val="22"/>
      </w:rPr>
    </w:lvl>
    <w:lvl w:ilvl="1" w:tplc="48A41AC2">
      <w:start w:val="1"/>
      <w:numFmt w:val="bullet"/>
      <w:lvlText w:val="•"/>
      <w:lvlJc w:val="left"/>
      <w:pPr>
        <w:ind w:left="1546" w:hanging="568"/>
      </w:pPr>
      <w:rPr>
        <w:rFonts w:hint="default"/>
      </w:rPr>
    </w:lvl>
    <w:lvl w:ilvl="2" w:tplc="EE721AB6">
      <w:start w:val="1"/>
      <w:numFmt w:val="bullet"/>
      <w:lvlText w:val="•"/>
      <w:lvlJc w:val="left"/>
      <w:pPr>
        <w:ind w:left="2406" w:hanging="568"/>
      </w:pPr>
      <w:rPr>
        <w:rFonts w:hint="default"/>
      </w:rPr>
    </w:lvl>
    <w:lvl w:ilvl="3" w:tplc="08F4B45A">
      <w:start w:val="1"/>
      <w:numFmt w:val="bullet"/>
      <w:lvlText w:val="•"/>
      <w:lvlJc w:val="left"/>
      <w:pPr>
        <w:ind w:left="3266" w:hanging="568"/>
      </w:pPr>
      <w:rPr>
        <w:rFonts w:hint="default"/>
      </w:rPr>
    </w:lvl>
    <w:lvl w:ilvl="4" w:tplc="80B63CB4">
      <w:start w:val="1"/>
      <w:numFmt w:val="bullet"/>
      <w:lvlText w:val="•"/>
      <w:lvlJc w:val="left"/>
      <w:pPr>
        <w:ind w:left="4126" w:hanging="568"/>
      </w:pPr>
      <w:rPr>
        <w:rFonts w:hint="default"/>
      </w:rPr>
    </w:lvl>
    <w:lvl w:ilvl="5" w:tplc="3C388664">
      <w:start w:val="1"/>
      <w:numFmt w:val="bullet"/>
      <w:lvlText w:val="•"/>
      <w:lvlJc w:val="left"/>
      <w:pPr>
        <w:ind w:left="4986" w:hanging="568"/>
      </w:pPr>
      <w:rPr>
        <w:rFonts w:hint="default"/>
      </w:rPr>
    </w:lvl>
    <w:lvl w:ilvl="6" w:tplc="1BBA35EA">
      <w:start w:val="1"/>
      <w:numFmt w:val="bullet"/>
      <w:lvlText w:val="•"/>
      <w:lvlJc w:val="left"/>
      <w:pPr>
        <w:ind w:left="5846" w:hanging="568"/>
      </w:pPr>
      <w:rPr>
        <w:rFonts w:hint="default"/>
      </w:rPr>
    </w:lvl>
    <w:lvl w:ilvl="7" w:tplc="D3587A02">
      <w:start w:val="1"/>
      <w:numFmt w:val="bullet"/>
      <w:lvlText w:val="•"/>
      <w:lvlJc w:val="left"/>
      <w:pPr>
        <w:ind w:left="6707" w:hanging="568"/>
      </w:pPr>
      <w:rPr>
        <w:rFonts w:hint="default"/>
      </w:rPr>
    </w:lvl>
    <w:lvl w:ilvl="8" w:tplc="277AC442">
      <w:start w:val="1"/>
      <w:numFmt w:val="bullet"/>
      <w:lvlText w:val="•"/>
      <w:lvlJc w:val="left"/>
      <w:pPr>
        <w:ind w:left="7567" w:hanging="568"/>
      </w:pPr>
      <w:rPr>
        <w:rFonts w:hint="default"/>
      </w:rPr>
    </w:lvl>
  </w:abstractNum>
  <w:abstractNum w:abstractNumId="17" w15:restartNumberingAfterBreak="0">
    <w:nsid w:val="40E978E5"/>
    <w:multiLevelType w:val="hybridMultilevel"/>
    <w:tmpl w:val="23A855BC"/>
    <w:lvl w:ilvl="0" w:tplc="26FCF1A6">
      <w:start w:val="1"/>
      <w:numFmt w:val="decimal"/>
      <w:lvlText w:val="%1."/>
      <w:lvlJc w:val="left"/>
      <w:pPr>
        <w:ind w:left="478" w:hanging="360"/>
      </w:pPr>
      <w:rPr>
        <w:rFonts w:hint="default"/>
        <w:b/>
      </w:rPr>
    </w:lvl>
    <w:lvl w:ilvl="1" w:tplc="040E0019">
      <w:start w:val="1"/>
      <w:numFmt w:val="lowerLetter"/>
      <w:lvlText w:val="%2."/>
      <w:lvlJc w:val="left"/>
      <w:pPr>
        <w:ind w:left="1198" w:hanging="360"/>
      </w:pPr>
    </w:lvl>
    <w:lvl w:ilvl="2" w:tplc="040E001B" w:tentative="1">
      <w:start w:val="1"/>
      <w:numFmt w:val="lowerRoman"/>
      <w:lvlText w:val="%3."/>
      <w:lvlJc w:val="right"/>
      <w:pPr>
        <w:ind w:left="1918" w:hanging="180"/>
      </w:pPr>
    </w:lvl>
    <w:lvl w:ilvl="3" w:tplc="040E000F" w:tentative="1">
      <w:start w:val="1"/>
      <w:numFmt w:val="decimal"/>
      <w:lvlText w:val="%4."/>
      <w:lvlJc w:val="left"/>
      <w:pPr>
        <w:ind w:left="2638" w:hanging="360"/>
      </w:pPr>
    </w:lvl>
    <w:lvl w:ilvl="4" w:tplc="040E0019" w:tentative="1">
      <w:start w:val="1"/>
      <w:numFmt w:val="lowerLetter"/>
      <w:lvlText w:val="%5."/>
      <w:lvlJc w:val="left"/>
      <w:pPr>
        <w:ind w:left="3358" w:hanging="360"/>
      </w:pPr>
    </w:lvl>
    <w:lvl w:ilvl="5" w:tplc="040E001B" w:tentative="1">
      <w:start w:val="1"/>
      <w:numFmt w:val="lowerRoman"/>
      <w:lvlText w:val="%6."/>
      <w:lvlJc w:val="right"/>
      <w:pPr>
        <w:ind w:left="4078" w:hanging="180"/>
      </w:pPr>
    </w:lvl>
    <w:lvl w:ilvl="6" w:tplc="040E000F" w:tentative="1">
      <w:start w:val="1"/>
      <w:numFmt w:val="decimal"/>
      <w:lvlText w:val="%7."/>
      <w:lvlJc w:val="left"/>
      <w:pPr>
        <w:ind w:left="4798" w:hanging="360"/>
      </w:pPr>
    </w:lvl>
    <w:lvl w:ilvl="7" w:tplc="040E0019" w:tentative="1">
      <w:start w:val="1"/>
      <w:numFmt w:val="lowerLetter"/>
      <w:lvlText w:val="%8."/>
      <w:lvlJc w:val="left"/>
      <w:pPr>
        <w:ind w:left="5518" w:hanging="360"/>
      </w:pPr>
    </w:lvl>
    <w:lvl w:ilvl="8" w:tplc="040E001B" w:tentative="1">
      <w:start w:val="1"/>
      <w:numFmt w:val="lowerRoman"/>
      <w:lvlText w:val="%9."/>
      <w:lvlJc w:val="right"/>
      <w:pPr>
        <w:ind w:left="6238" w:hanging="180"/>
      </w:pPr>
    </w:lvl>
  </w:abstractNum>
  <w:abstractNum w:abstractNumId="18" w15:restartNumberingAfterBreak="0">
    <w:nsid w:val="49D12ADE"/>
    <w:multiLevelType w:val="hybridMultilevel"/>
    <w:tmpl w:val="8CE0EB84"/>
    <w:lvl w:ilvl="0" w:tplc="D09A5F34">
      <w:start w:val="2"/>
      <w:numFmt w:val="upperRoman"/>
      <w:lvlText w:val="%1."/>
      <w:lvlJc w:val="left"/>
      <w:pPr>
        <w:ind w:left="2024" w:hanging="281"/>
      </w:pPr>
      <w:rPr>
        <w:rFonts w:ascii="Times New Roman" w:eastAsia="Times New Roman" w:hAnsi="Times New Roman" w:hint="default"/>
        <w:b/>
        <w:bCs/>
        <w:w w:val="99"/>
        <w:sz w:val="22"/>
        <w:szCs w:val="22"/>
      </w:rPr>
    </w:lvl>
    <w:lvl w:ilvl="1" w:tplc="A27263EE">
      <w:start w:val="1"/>
      <w:numFmt w:val="bullet"/>
      <w:lvlText w:val="•"/>
      <w:lvlJc w:val="left"/>
      <w:pPr>
        <w:ind w:left="2677" w:hanging="281"/>
      </w:pPr>
      <w:rPr>
        <w:rFonts w:hint="default"/>
      </w:rPr>
    </w:lvl>
    <w:lvl w:ilvl="2" w:tplc="09BCF4B0">
      <w:start w:val="1"/>
      <w:numFmt w:val="bullet"/>
      <w:lvlText w:val="•"/>
      <w:lvlJc w:val="left"/>
      <w:pPr>
        <w:ind w:left="3329" w:hanging="281"/>
      </w:pPr>
      <w:rPr>
        <w:rFonts w:hint="default"/>
      </w:rPr>
    </w:lvl>
    <w:lvl w:ilvl="3" w:tplc="B92C3B2E">
      <w:start w:val="1"/>
      <w:numFmt w:val="bullet"/>
      <w:lvlText w:val="•"/>
      <w:lvlJc w:val="left"/>
      <w:pPr>
        <w:ind w:left="3981" w:hanging="281"/>
      </w:pPr>
      <w:rPr>
        <w:rFonts w:hint="default"/>
      </w:rPr>
    </w:lvl>
    <w:lvl w:ilvl="4" w:tplc="DE84F572">
      <w:start w:val="1"/>
      <w:numFmt w:val="bullet"/>
      <w:lvlText w:val="•"/>
      <w:lvlJc w:val="left"/>
      <w:pPr>
        <w:ind w:left="4633" w:hanging="281"/>
      </w:pPr>
      <w:rPr>
        <w:rFonts w:hint="default"/>
      </w:rPr>
    </w:lvl>
    <w:lvl w:ilvl="5" w:tplc="A5F065D0">
      <w:start w:val="1"/>
      <w:numFmt w:val="bullet"/>
      <w:lvlText w:val="•"/>
      <w:lvlJc w:val="left"/>
      <w:pPr>
        <w:ind w:left="5286" w:hanging="281"/>
      </w:pPr>
      <w:rPr>
        <w:rFonts w:hint="default"/>
      </w:rPr>
    </w:lvl>
    <w:lvl w:ilvl="6" w:tplc="39EC94FA">
      <w:start w:val="1"/>
      <w:numFmt w:val="bullet"/>
      <w:lvlText w:val="•"/>
      <w:lvlJc w:val="left"/>
      <w:pPr>
        <w:ind w:left="5938" w:hanging="281"/>
      </w:pPr>
      <w:rPr>
        <w:rFonts w:hint="default"/>
      </w:rPr>
    </w:lvl>
    <w:lvl w:ilvl="7" w:tplc="C9069A88">
      <w:start w:val="1"/>
      <w:numFmt w:val="bullet"/>
      <w:lvlText w:val="•"/>
      <w:lvlJc w:val="left"/>
      <w:pPr>
        <w:ind w:left="6590" w:hanging="281"/>
      </w:pPr>
      <w:rPr>
        <w:rFonts w:hint="default"/>
      </w:rPr>
    </w:lvl>
    <w:lvl w:ilvl="8" w:tplc="D33A14F8">
      <w:start w:val="1"/>
      <w:numFmt w:val="bullet"/>
      <w:lvlText w:val="•"/>
      <w:lvlJc w:val="left"/>
      <w:pPr>
        <w:ind w:left="7243" w:hanging="281"/>
      </w:pPr>
      <w:rPr>
        <w:rFonts w:hint="default"/>
      </w:rPr>
    </w:lvl>
  </w:abstractNum>
  <w:abstractNum w:abstractNumId="19" w15:restartNumberingAfterBreak="0">
    <w:nsid w:val="4AC53939"/>
    <w:multiLevelType w:val="hybridMultilevel"/>
    <w:tmpl w:val="F0EAD42A"/>
    <w:lvl w:ilvl="0" w:tplc="FA82D1C0">
      <w:start w:val="1"/>
      <w:numFmt w:val="bullet"/>
      <w:lvlText w:val="-"/>
      <w:lvlJc w:val="left"/>
      <w:pPr>
        <w:ind w:left="686" w:hanging="568"/>
      </w:pPr>
      <w:rPr>
        <w:rFonts w:ascii="Times New Roman" w:eastAsia="Times New Roman" w:hAnsi="Times New Roman" w:hint="default"/>
        <w:w w:val="99"/>
        <w:sz w:val="22"/>
        <w:szCs w:val="22"/>
      </w:rPr>
    </w:lvl>
    <w:lvl w:ilvl="1" w:tplc="39525298">
      <w:start w:val="1"/>
      <w:numFmt w:val="bullet"/>
      <w:lvlText w:val="•"/>
      <w:lvlJc w:val="left"/>
      <w:pPr>
        <w:ind w:left="827" w:hanging="568"/>
      </w:pPr>
      <w:rPr>
        <w:rFonts w:hint="default"/>
      </w:rPr>
    </w:lvl>
    <w:lvl w:ilvl="2" w:tplc="22D49D9E">
      <w:start w:val="1"/>
      <w:numFmt w:val="bullet"/>
      <w:lvlText w:val="•"/>
      <w:lvlJc w:val="left"/>
      <w:pPr>
        <w:ind w:left="1767" w:hanging="568"/>
      </w:pPr>
      <w:rPr>
        <w:rFonts w:hint="default"/>
      </w:rPr>
    </w:lvl>
    <w:lvl w:ilvl="3" w:tplc="44A01F36">
      <w:start w:val="1"/>
      <w:numFmt w:val="bullet"/>
      <w:lvlText w:val="•"/>
      <w:lvlJc w:val="left"/>
      <w:pPr>
        <w:ind w:left="2707" w:hanging="568"/>
      </w:pPr>
      <w:rPr>
        <w:rFonts w:hint="default"/>
      </w:rPr>
    </w:lvl>
    <w:lvl w:ilvl="4" w:tplc="BB94C6A0">
      <w:start w:val="1"/>
      <w:numFmt w:val="bullet"/>
      <w:lvlText w:val="•"/>
      <w:lvlJc w:val="left"/>
      <w:pPr>
        <w:ind w:left="3647" w:hanging="568"/>
      </w:pPr>
      <w:rPr>
        <w:rFonts w:hint="default"/>
      </w:rPr>
    </w:lvl>
    <w:lvl w:ilvl="5" w:tplc="8D58E54E">
      <w:start w:val="1"/>
      <w:numFmt w:val="bullet"/>
      <w:lvlText w:val="•"/>
      <w:lvlJc w:val="left"/>
      <w:pPr>
        <w:ind w:left="4587" w:hanging="568"/>
      </w:pPr>
      <w:rPr>
        <w:rFonts w:hint="default"/>
      </w:rPr>
    </w:lvl>
    <w:lvl w:ilvl="6" w:tplc="739C818E">
      <w:start w:val="1"/>
      <w:numFmt w:val="bullet"/>
      <w:lvlText w:val="•"/>
      <w:lvlJc w:val="left"/>
      <w:pPr>
        <w:ind w:left="5527" w:hanging="568"/>
      </w:pPr>
      <w:rPr>
        <w:rFonts w:hint="default"/>
      </w:rPr>
    </w:lvl>
    <w:lvl w:ilvl="7" w:tplc="BBC2B3E6">
      <w:start w:val="1"/>
      <w:numFmt w:val="bullet"/>
      <w:lvlText w:val="•"/>
      <w:lvlJc w:val="left"/>
      <w:pPr>
        <w:ind w:left="6467" w:hanging="568"/>
      </w:pPr>
      <w:rPr>
        <w:rFonts w:hint="default"/>
      </w:rPr>
    </w:lvl>
    <w:lvl w:ilvl="8" w:tplc="10AABBAA">
      <w:start w:val="1"/>
      <w:numFmt w:val="bullet"/>
      <w:lvlText w:val="•"/>
      <w:lvlJc w:val="left"/>
      <w:pPr>
        <w:ind w:left="7407" w:hanging="568"/>
      </w:pPr>
      <w:rPr>
        <w:rFonts w:hint="default"/>
      </w:rPr>
    </w:lvl>
  </w:abstractNum>
  <w:abstractNum w:abstractNumId="20" w15:restartNumberingAfterBreak="0">
    <w:nsid w:val="4B5E1F4B"/>
    <w:multiLevelType w:val="hybridMultilevel"/>
    <w:tmpl w:val="63D09B7C"/>
    <w:lvl w:ilvl="0" w:tplc="6A9A1800">
      <w:start w:val="1"/>
      <w:numFmt w:val="bullet"/>
      <w:lvlText w:val="-"/>
      <w:lvlJc w:val="left"/>
      <w:pPr>
        <w:ind w:left="686" w:hanging="568"/>
      </w:pPr>
      <w:rPr>
        <w:rFonts w:ascii="Times New Roman" w:eastAsia="Times New Roman" w:hAnsi="Times New Roman" w:hint="default"/>
        <w:w w:val="99"/>
        <w:sz w:val="22"/>
        <w:szCs w:val="22"/>
      </w:rPr>
    </w:lvl>
    <w:lvl w:ilvl="1" w:tplc="094CF1DA">
      <w:start w:val="1"/>
      <w:numFmt w:val="bullet"/>
      <w:lvlText w:val="•"/>
      <w:lvlJc w:val="left"/>
      <w:pPr>
        <w:ind w:left="1546" w:hanging="568"/>
      </w:pPr>
      <w:rPr>
        <w:rFonts w:hint="default"/>
      </w:rPr>
    </w:lvl>
    <w:lvl w:ilvl="2" w:tplc="E0CA4C8A">
      <w:start w:val="1"/>
      <w:numFmt w:val="bullet"/>
      <w:lvlText w:val="•"/>
      <w:lvlJc w:val="left"/>
      <w:pPr>
        <w:ind w:left="2406" w:hanging="568"/>
      </w:pPr>
      <w:rPr>
        <w:rFonts w:hint="default"/>
      </w:rPr>
    </w:lvl>
    <w:lvl w:ilvl="3" w:tplc="C21895CA">
      <w:start w:val="1"/>
      <w:numFmt w:val="bullet"/>
      <w:lvlText w:val="•"/>
      <w:lvlJc w:val="left"/>
      <w:pPr>
        <w:ind w:left="3266" w:hanging="568"/>
      </w:pPr>
      <w:rPr>
        <w:rFonts w:hint="default"/>
      </w:rPr>
    </w:lvl>
    <w:lvl w:ilvl="4" w:tplc="E87EC176">
      <w:start w:val="1"/>
      <w:numFmt w:val="bullet"/>
      <w:lvlText w:val="•"/>
      <w:lvlJc w:val="left"/>
      <w:pPr>
        <w:ind w:left="4126" w:hanging="568"/>
      </w:pPr>
      <w:rPr>
        <w:rFonts w:hint="default"/>
      </w:rPr>
    </w:lvl>
    <w:lvl w:ilvl="5" w:tplc="5EBA74C4">
      <w:start w:val="1"/>
      <w:numFmt w:val="bullet"/>
      <w:lvlText w:val="•"/>
      <w:lvlJc w:val="left"/>
      <w:pPr>
        <w:ind w:left="4986" w:hanging="568"/>
      </w:pPr>
      <w:rPr>
        <w:rFonts w:hint="default"/>
      </w:rPr>
    </w:lvl>
    <w:lvl w:ilvl="6" w:tplc="0CA0A272">
      <w:start w:val="1"/>
      <w:numFmt w:val="bullet"/>
      <w:lvlText w:val="•"/>
      <w:lvlJc w:val="left"/>
      <w:pPr>
        <w:ind w:left="5846" w:hanging="568"/>
      </w:pPr>
      <w:rPr>
        <w:rFonts w:hint="default"/>
      </w:rPr>
    </w:lvl>
    <w:lvl w:ilvl="7" w:tplc="A204F2EC">
      <w:start w:val="1"/>
      <w:numFmt w:val="bullet"/>
      <w:lvlText w:val="•"/>
      <w:lvlJc w:val="left"/>
      <w:pPr>
        <w:ind w:left="6707" w:hanging="568"/>
      </w:pPr>
      <w:rPr>
        <w:rFonts w:hint="default"/>
      </w:rPr>
    </w:lvl>
    <w:lvl w:ilvl="8" w:tplc="F0FA68FA">
      <w:start w:val="1"/>
      <w:numFmt w:val="bullet"/>
      <w:lvlText w:val="•"/>
      <w:lvlJc w:val="left"/>
      <w:pPr>
        <w:ind w:left="7567" w:hanging="568"/>
      </w:pPr>
      <w:rPr>
        <w:rFonts w:hint="default"/>
      </w:rPr>
    </w:lvl>
  </w:abstractNum>
  <w:abstractNum w:abstractNumId="21" w15:restartNumberingAfterBreak="0">
    <w:nsid w:val="4D643A51"/>
    <w:multiLevelType w:val="hybridMultilevel"/>
    <w:tmpl w:val="04E4F7C0"/>
    <w:lvl w:ilvl="0" w:tplc="220ED48A">
      <w:start w:val="1"/>
      <w:numFmt w:val="bullet"/>
      <w:lvlText w:val="-"/>
      <w:lvlJc w:val="left"/>
      <w:pPr>
        <w:ind w:left="686" w:hanging="568"/>
      </w:pPr>
      <w:rPr>
        <w:rFonts w:ascii="Times New Roman" w:eastAsia="Times New Roman" w:hAnsi="Times New Roman" w:hint="default"/>
        <w:w w:val="99"/>
        <w:sz w:val="22"/>
        <w:szCs w:val="22"/>
      </w:rPr>
    </w:lvl>
    <w:lvl w:ilvl="1" w:tplc="2AF45A5C">
      <w:start w:val="1"/>
      <w:numFmt w:val="bullet"/>
      <w:lvlText w:val="•"/>
      <w:lvlJc w:val="left"/>
      <w:pPr>
        <w:ind w:left="1546" w:hanging="568"/>
      </w:pPr>
      <w:rPr>
        <w:rFonts w:hint="default"/>
      </w:rPr>
    </w:lvl>
    <w:lvl w:ilvl="2" w:tplc="F6B2CD6E">
      <w:start w:val="1"/>
      <w:numFmt w:val="bullet"/>
      <w:lvlText w:val="•"/>
      <w:lvlJc w:val="left"/>
      <w:pPr>
        <w:ind w:left="2406" w:hanging="568"/>
      </w:pPr>
      <w:rPr>
        <w:rFonts w:hint="default"/>
      </w:rPr>
    </w:lvl>
    <w:lvl w:ilvl="3" w:tplc="9378CFD4">
      <w:start w:val="1"/>
      <w:numFmt w:val="bullet"/>
      <w:lvlText w:val="•"/>
      <w:lvlJc w:val="left"/>
      <w:pPr>
        <w:ind w:left="3266" w:hanging="568"/>
      </w:pPr>
      <w:rPr>
        <w:rFonts w:hint="default"/>
      </w:rPr>
    </w:lvl>
    <w:lvl w:ilvl="4" w:tplc="AE50DC9E">
      <w:start w:val="1"/>
      <w:numFmt w:val="bullet"/>
      <w:lvlText w:val="•"/>
      <w:lvlJc w:val="left"/>
      <w:pPr>
        <w:ind w:left="4126" w:hanging="568"/>
      </w:pPr>
      <w:rPr>
        <w:rFonts w:hint="default"/>
      </w:rPr>
    </w:lvl>
    <w:lvl w:ilvl="5" w:tplc="3B8E0392">
      <w:start w:val="1"/>
      <w:numFmt w:val="bullet"/>
      <w:lvlText w:val="•"/>
      <w:lvlJc w:val="left"/>
      <w:pPr>
        <w:ind w:left="4986" w:hanging="568"/>
      </w:pPr>
      <w:rPr>
        <w:rFonts w:hint="default"/>
      </w:rPr>
    </w:lvl>
    <w:lvl w:ilvl="6" w:tplc="6FE40F7C">
      <w:start w:val="1"/>
      <w:numFmt w:val="bullet"/>
      <w:lvlText w:val="•"/>
      <w:lvlJc w:val="left"/>
      <w:pPr>
        <w:ind w:left="5846" w:hanging="568"/>
      </w:pPr>
      <w:rPr>
        <w:rFonts w:hint="default"/>
      </w:rPr>
    </w:lvl>
    <w:lvl w:ilvl="7" w:tplc="73FAB17E">
      <w:start w:val="1"/>
      <w:numFmt w:val="bullet"/>
      <w:lvlText w:val="•"/>
      <w:lvlJc w:val="left"/>
      <w:pPr>
        <w:ind w:left="6707" w:hanging="568"/>
      </w:pPr>
      <w:rPr>
        <w:rFonts w:hint="default"/>
      </w:rPr>
    </w:lvl>
    <w:lvl w:ilvl="8" w:tplc="E1260E40">
      <w:start w:val="1"/>
      <w:numFmt w:val="bullet"/>
      <w:lvlText w:val="•"/>
      <w:lvlJc w:val="left"/>
      <w:pPr>
        <w:ind w:left="7567" w:hanging="568"/>
      </w:pPr>
      <w:rPr>
        <w:rFonts w:hint="default"/>
      </w:rPr>
    </w:lvl>
  </w:abstractNum>
  <w:abstractNum w:abstractNumId="22" w15:restartNumberingAfterBreak="0">
    <w:nsid w:val="54191121"/>
    <w:multiLevelType w:val="multilevel"/>
    <w:tmpl w:val="BBA422DC"/>
    <w:lvl w:ilvl="0">
      <w:start w:val="6"/>
      <w:numFmt w:val="decimal"/>
      <w:lvlText w:val="%1"/>
      <w:lvlJc w:val="left"/>
      <w:pPr>
        <w:ind w:left="360" w:hanging="360"/>
      </w:pPr>
      <w:rPr>
        <w:rFonts w:eastAsiaTheme="minorHAnsi" w:hint="default"/>
        <w:b/>
      </w:rPr>
    </w:lvl>
    <w:lvl w:ilvl="1">
      <w:start w:val="1"/>
      <w:numFmt w:val="decimal"/>
      <w:lvlText w:val="%1.%2"/>
      <w:lvlJc w:val="left"/>
      <w:pPr>
        <w:ind w:left="1373" w:hanging="360"/>
      </w:pPr>
      <w:rPr>
        <w:rFonts w:eastAsiaTheme="minorHAnsi" w:hint="default"/>
        <w:b/>
      </w:rPr>
    </w:lvl>
    <w:lvl w:ilvl="2">
      <w:start w:val="1"/>
      <w:numFmt w:val="decimal"/>
      <w:lvlText w:val="%1.%2.%3"/>
      <w:lvlJc w:val="left"/>
      <w:pPr>
        <w:ind w:left="2746" w:hanging="720"/>
      </w:pPr>
      <w:rPr>
        <w:rFonts w:eastAsiaTheme="minorHAnsi" w:hint="default"/>
        <w:b/>
      </w:rPr>
    </w:lvl>
    <w:lvl w:ilvl="3">
      <w:start w:val="1"/>
      <w:numFmt w:val="decimal"/>
      <w:lvlText w:val="%1.%2.%3.%4"/>
      <w:lvlJc w:val="left"/>
      <w:pPr>
        <w:ind w:left="3759" w:hanging="720"/>
      </w:pPr>
      <w:rPr>
        <w:rFonts w:eastAsiaTheme="minorHAnsi" w:hint="default"/>
        <w:b/>
      </w:rPr>
    </w:lvl>
    <w:lvl w:ilvl="4">
      <w:start w:val="1"/>
      <w:numFmt w:val="decimal"/>
      <w:lvlText w:val="%1.%2.%3.%4.%5"/>
      <w:lvlJc w:val="left"/>
      <w:pPr>
        <w:ind w:left="5132" w:hanging="1080"/>
      </w:pPr>
      <w:rPr>
        <w:rFonts w:eastAsiaTheme="minorHAnsi" w:hint="default"/>
        <w:b/>
      </w:rPr>
    </w:lvl>
    <w:lvl w:ilvl="5">
      <w:start w:val="1"/>
      <w:numFmt w:val="decimal"/>
      <w:lvlText w:val="%1.%2.%3.%4.%5.%6"/>
      <w:lvlJc w:val="left"/>
      <w:pPr>
        <w:ind w:left="6145" w:hanging="1080"/>
      </w:pPr>
      <w:rPr>
        <w:rFonts w:eastAsiaTheme="minorHAnsi" w:hint="default"/>
        <w:b/>
      </w:rPr>
    </w:lvl>
    <w:lvl w:ilvl="6">
      <w:start w:val="1"/>
      <w:numFmt w:val="decimal"/>
      <w:lvlText w:val="%1.%2.%3.%4.%5.%6.%7"/>
      <w:lvlJc w:val="left"/>
      <w:pPr>
        <w:ind w:left="7518" w:hanging="1440"/>
      </w:pPr>
      <w:rPr>
        <w:rFonts w:eastAsiaTheme="minorHAnsi" w:hint="default"/>
        <w:b/>
      </w:rPr>
    </w:lvl>
    <w:lvl w:ilvl="7">
      <w:start w:val="1"/>
      <w:numFmt w:val="decimal"/>
      <w:lvlText w:val="%1.%2.%3.%4.%5.%6.%7.%8"/>
      <w:lvlJc w:val="left"/>
      <w:pPr>
        <w:ind w:left="8531" w:hanging="1440"/>
      </w:pPr>
      <w:rPr>
        <w:rFonts w:eastAsiaTheme="minorHAnsi" w:hint="default"/>
        <w:b/>
      </w:rPr>
    </w:lvl>
    <w:lvl w:ilvl="8">
      <w:start w:val="1"/>
      <w:numFmt w:val="decimal"/>
      <w:lvlText w:val="%1.%2.%3.%4.%5.%6.%7.%8.%9"/>
      <w:lvlJc w:val="left"/>
      <w:pPr>
        <w:ind w:left="9544" w:hanging="1440"/>
      </w:pPr>
      <w:rPr>
        <w:rFonts w:eastAsiaTheme="minorHAnsi" w:hint="default"/>
        <w:b/>
      </w:rPr>
    </w:lvl>
  </w:abstractNum>
  <w:abstractNum w:abstractNumId="23" w15:restartNumberingAfterBreak="0">
    <w:nsid w:val="5A5E0E31"/>
    <w:multiLevelType w:val="hybridMultilevel"/>
    <w:tmpl w:val="5866A4A6"/>
    <w:lvl w:ilvl="0" w:tplc="FB8CF4EA">
      <w:start w:val="1"/>
      <w:numFmt w:val="bullet"/>
      <w:lvlText w:val="-"/>
      <w:lvlJc w:val="left"/>
      <w:pPr>
        <w:ind w:left="686" w:hanging="568"/>
      </w:pPr>
      <w:rPr>
        <w:rFonts w:ascii="Times New Roman" w:eastAsia="Times New Roman" w:hAnsi="Times New Roman" w:hint="default"/>
        <w:w w:val="99"/>
        <w:sz w:val="22"/>
        <w:szCs w:val="22"/>
      </w:rPr>
    </w:lvl>
    <w:lvl w:ilvl="1" w:tplc="77160AC0">
      <w:start w:val="1"/>
      <w:numFmt w:val="bullet"/>
      <w:lvlText w:val="•"/>
      <w:lvlJc w:val="left"/>
      <w:pPr>
        <w:ind w:left="1546" w:hanging="568"/>
      </w:pPr>
      <w:rPr>
        <w:rFonts w:hint="default"/>
      </w:rPr>
    </w:lvl>
    <w:lvl w:ilvl="2" w:tplc="D42C1E9A">
      <w:start w:val="1"/>
      <w:numFmt w:val="bullet"/>
      <w:lvlText w:val="•"/>
      <w:lvlJc w:val="left"/>
      <w:pPr>
        <w:ind w:left="2406" w:hanging="568"/>
      </w:pPr>
      <w:rPr>
        <w:rFonts w:hint="default"/>
      </w:rPr>
    </w:lvl>
    <w:lvl w:ilvl="3" w:tplc="6388CC60">
      <w:start w:val="1"/>
      <w:numFmt w:val="bullet"/>
      <w:lvlText w:val="•"/>
      <w:lvlJc w:val="left"/>
      <w:pPr>
        <w:ind w:left="3266" w:hanging="568"/>
      </w:pPr>
      <w:rPr>
        <w:rFonts w:hint="default"/>
      </w:rPr>
    </w:lvl>
    <w:lvl w:ilvl="4" w:tplc="17B4C2E0">
      <w:start w:val="1"/>
      <w:numFmt w:val="bullet"/>
      <w:lvlText w:val="•"/>
      <w:lvlJc w:val="left"/>
      <w:pPr>
        <w:ind w:left="4126" w:hanging="568"/>
      </w:pPr>
      <w:rPr>
        <w:rFonts w:hint="default"/>
      </w:rPr>
    </w:lvl>
    <w:lvl w:ilvl="5" w:tplc="934C74DC">
      <w:start w:val="1"/>
      <w:numFmt w:val="bullet"/>
      <w:lvlText w:val="•"/>
      <w:lvlJc w:val="left"/>
      <w:pPr>
        <w:ind w:left="4986" w:hanging="568"/>
      </w:pPr>
      <w:rPr>
        <w:rFonts w:hint="default"/>
      </w:rPr>
    </w:lvl>
    <w:lvl w:ilvl="6" w:tplc="7A605136">
      <w:start w:val="1"/>
      <w:numFmt w:val="bullet"/>
      <w:lvlText w:val="•"/>
      <w:lvlJc w:val="left"/>
      <w:pPr>
        <w:ind w:left="5846" w:hanging="568"/>
      </w:pPr>
      <w:rPr>
        <w:rFonts w:hint="default"/>
      </w:rPr>
    </w:lvl>
    <w:lvl w:ilvl="7" w:tplc="14A457BA">
      <w:start w:val="1"/>
      <w:numFmt w:val="bullet"/>
      <w:lvlText w:val="•"/>
      <w:lvlJc w:val="left"/>
      <w:pPr>
        <w:ind w:left="6707" w:hanging="568"/>
      </w:pPr>
      <w:rPr>
        <w:rFonts w:hint="default"/>
      </w:rPr>
    </w:lvl>
    <w:lvl w:ilvl="8" w:tplc="064A8A92">
      <w:start w:val="1"/>
      <w:numFmt w:val="bullet"/>
      <w:lvlText w:val="•"/>
      <w:lvlJc w:val="left"/>
      <w:pPr>
        <w:ind w:left="7567" w:hanging="568"/>
      </w:pPr>
      <w:rPr>
        <w:rFonts w:hint="default"/>
      </w:rPr>
    </w:lvl>
  </w:abstractNum>
  <w:abstractNum w:abstractNumId="24" w15:restartNumberingAfterBreak="0">
    <w:nsid w:val="5E24540B"/>
    <w:multiLevelType w:val="hybridMultilevel"/>
    <w:tmpl w:val="D6D2EBF4"/>
    <w:lvl w:ilvl="0" w:tplc="71F071B2">
      <w:start w:val="1"/>
      <w:numFmt w:val="bullet"/>
      <w:lvlText w:val="•"/>
      <w:lvlJc w:val="left"/>
      <w:pPr>
        <w:ind w:left="686" w:hanging="568"/>
      </w:pPr>
      <w:rPr>
        <w:rFonts w:ascii="Times New Roman" w:eastAsia="Times New Roman" w:hAnsi="Times New Roman" w:hint="default"/>
        <w:w w:val="99"/>
        <w:sz w:val="22"/>
        <w:szCs w:val="22"/>
      </w:rPr>
    </w:lvl>
    <w:lvl w:ilvl="1" w:tplc="281AF6E8">
      <w:start w:val="1"/>
      <w:numFmt w:val="bullet"/>
      <w:lvlText w:val="•"/>
      <w:lvlJc w:val="left"/>
      <w:pPr>
        <w:ind w:left="1544" w:hanging="568"/>
      </w:pPr>
      <w:rPr>
        <w:rFonts w:hint="default"/>
      </w:rPr>
    </w:lvl>
    <w:lvl w:ilvl="2" w:tplc="DB96B5D4">
      <w:start w:val="1"/>
      <w:numFmt w:val="bullet"/>
      <w:lvlText w:val="•"/>
      <w:lvlJc w:val="left"/>
      <w:pPr>
        <w:ind w:left="2402" w:hanging="568"/>
      </w:pPr>
      <w:rPr>
        <w:rFonts w:hint="default"/>
      </w:rPr>
    </w:lvl>
    <w:lvl w:ilvl="3" w:tplc="2C540BCE">
      <w:start w:val="1"/>
      <w:numFmt w:val="bullet"/>
      <w:lvlText w:val="•"/>
      <w:lvlJc w:val="left"/>
      <w:pPr>
        <w:ind w:left="3260" w:hanging="568"/>
      </w:pPr>
      <w:rPr>
        <w:rFonts w:hint="default"/>
      </w:rPr>
    </w:lvl>
    <w:lvl w:ilvl="4" w:tplc="1DF6E58A">
      <w:start w:val="1"/>
      <w:numFmt w:val="bullet"/>
      <w:lvlText w:val="•"/>
      <w:lvlJc w:val="left"/>
      <w:pPr>
        <w:ind w:left="4118" w:hanging="568"/>
      </w:pPr>
      <w:rPr>
        <w:rFonts w:hint="default"/>
      </w:rPr>
    </w:lvl>
    <w:lvl w:ilvl="5" w:tplc="9CCA83DE">
      <w:start w:val="1"/>
      <w:numFmt w:val="bullet"/>
      <w:lvlText w:val="•"/>
      <w:lvlJc w:val="left"/>
      <w:pPr>
        <w:ind w:left="4976" w:hanging="568"/>
      </w:pPr>
      <w:rPr>
        <w:rFonts w:hint="default"/>
      </w:rPr>
    </w:lvl>
    <w:lvl w:ilvl="6" w:tplc="4E5EE3CE">
      <w:start w:val="1"/>
      <w:numFmt w:val="bullet"/>
      <w:lvlText w:val="•"/>
      <w:lvlJc w:val="left"/>
      <w:pPr>
        <w:ind w:left="5834" w:hanging="568"/>
      </w:pPr>
      <w:rPr>
        <w:rFonts w:hint="default"/>
      </w:rPr>
    </w:lvl>
    <w:lvl w:ilvl="7" w:tplc="ED0229F0">
      <w:start w:val="1"/>
      <w:numFmt w:val="bullet"/>
      <w:lvlText w:val="•"/>
      <w:lvlJc w:val="left"/>
      <w:pPr>
        <w:ind w:left="6693" w:hanging="568"/>
      </w:pPr>
      <w:rPr>
        <w:rFonts w:hint="default"/>
      </w:rPr>
    </w:lvl>
    <w:lvl w:ilvl="8" w:tplc="4F9A1A20">
      <w:start w:val="1"/>
      <w:numFmt w:val="bullet"/>
      <w:lvlText w:val="•"/>
      <w:lvlJc w:val="left"/>
      <w:pPr>
        <w:ind w:left="7551" w:hanging="568"/>
      </w:pPr>
      <w:rPr>
        <w:rFonts w:hint="default"/>
      </w:rPr>
    </w:lvl>
  </w:abstractNum>
  <w:abstractNum w:abstractNumId="25" w15:restartNumberingAfterBreak="0">
    <w:nsid w:val="607520FC"/>
    <w:multiLevelType w:val="hybridMultilevel"/>
    <w:tmpl w:val="34F05C22"/>
    <w:lvl w:ilvl="0" w:tplc="16B6972A">
      <w:start w:val="1"/>
      <w:numFmt w:val="decimal"/>
      <w:lvlText w:val="%1."/>
      <w:lvlJc w:val="left"/>
      <w:pPr>
        <w:ind w:left="118" w:hanging="568"/>
      </w:pPr>
      <w:rPr>
        <w:rFonts w:ascii="Times New Roman" w:eastAsia="Times New Roman" w:hAnsi="Times New Roman" w:hint="default"/>
        <w:b/>
        <w:bCs/>
        <w:w w:val="99"/>
        <w:sz w:val="22"/>
        <w:szCs w:val="22"/>
      </w:rPr>
    </w:lvl>
    <w:lvl w:ilvl="1" w:tplc="90C0AB7C">
      <w:start w:val="1"/>
      <w:numFmt w:val="bullet"/>
      <w:lvlText w:val="•"/>
      <w:lvlJc w:val="left"/>
      <w:pPr>
        <w:ind w:left="1035" w:hanging="568"/>
      </w:pPr>
      <w:rPr>
        <w:rFonts w:hint="default"/>
      </w:rPr>
    </w:lvl>
    <w:lvl w:ilvl="2" w:tplc="1ED8BF20">
      <w:start w:val="1"/>
      <w:numFmt w:val="bullet"/>
      <w:lvlText w:val="•"/>
      <w:lvlJc w:val="left"/>
      <w:pPr>
        <w:ind w:left="1952" w:hanging="568"/>
      </w:pPr>
      <w:rPr>
        <w:rFonts w:hint="default"/>
      </w:rPr>
    </w:lvl>
    <w:lvl w:ilvl="3" w:tplc="E99C9332">
      <w:start w:val="1"/>
      <w:numFmt w:val="bullet"/>
      <w:lvlText w:val="•"/>
      <w:lvlJc w:val="left"/>
      <w:pPr>
        <w:ind w:left="2869" w:hanging="568"/>
      </w:pPr>
      <w:rPr>
        <w:rFonts w:hint="default"/>
      </w:rPr>
    </w:lvl>
    <w:lvl w:ilvl="4" w:tplc="89E0E1C8">
      <w:start w:val="1"/>
      <w:numFmt w:val="bullet"/>
      <w:lvlText w:val="•"/>
      <w:lvlJc w:val="left"/>
      <w:pPr>
        <w:ind w:left="3786" w:hanging="568"/>
      </w:pPr>
      <w:rPr>
        <w:rFonts w:hint="default"/>
      </w:rPr>
    </w:lvl>
    <w:lvl w:ilvl="5" w:tplc="3C7A5FD6">
      <w:start w:val="1"/>
      <w:numFmt w:val="bullet"/>
      <w:lvlText w:val="•"/>
      <w:lvlJc w:val="left"/>
      <w:pPr>
        <w:ind w:left="4703" w:hanging="568"/>
      </w:pPr>
      <w:rPr>
        <w:rFonts w:hint="default"/>
      </w:rPr>
    </w:lvl>
    <w:lvl w:ilvl="6" w:tplc="0FB85796">
      <w:start w:val="1"/>
      <w:numFmt w:val="bullet"/>
      <w:lvlText w:val="•"/>
      <w:lvlJc w:val="left"/>
      <w:pPr>
        <w:ind w:left="5619" w:hanging="568"/>
      </w:pPr>
      <w:rPr>
        <w:rFonts w:hint="default"/>
      </w:rPr>
    </w:lvl>
    <w:lvl w:ilvl="7" w:tplc="714868D2">
      <w:start w:val="1"/>
      <w:numFmt w:val="bullet"/>
      <w:lvlText w:val="•"/>
      <w:lvlJc w:val="left"/>
      <w:pPr>
        <w:ind w:left="6536" w:hanging="568"/>
      </w:pPr>
      <w:rPr>
        <w:rFonts w:hint="default"/>
      </w:rPr>
    </w:lvl>
    <w:lvl w:ilvl="8" w:tplc="C1509DD2">
      <w:start w:val="1"/>
      <w:numFmt w:val="bullet"/>
      <w:lvlText w:val="•"/>
      <w:lvlJc w:val="left"/>
      <w:pPr>
        <w:ind w:left="7453" w:hanging="568"/>
      </w:pPr>
      <w:rPr>
        <w:rFonts w:hint="default"/>
      </w:rPr>
    </w:lvl>
  </w:abstractNum>
  <w:abstractNum w:abstractNumId="26" w15:restartNumberingAfterBreak="0">
    <w:nsid w:val="686C4BE8"/>
    <w:multiLevelType w:val="hybridMultilevel"/>
    <w:tmpl w:val="8E0A9878"/>
    <w:lvl w:ilvl="0" w:tplc="D69499BA">
      <w:start w:val="1"/>
      <w:numFmt w:val="bullet"/>
      <w:lvlText w:val="-"/>
      <w:lvlJc w:val="left"/>
      <w:pPr>
        <w:ind w:left="686" w:hanging="568"/>
      </w:pPr>
      <w:rPr>
        <w:rFonts w:ascii="Times New Roman" w:eastAsia="Times New Roman" w:hAnsi="Times New Roman" w:hint="default"/>
        <w:w w:val="99"/>
        <w:sz w:val="22"/>
        <w:szCs w:val="22"/>
      </w:rPr>
    </w:lvl>
    <w:lvl w:ilvl="1" w:tplc="F5101736">
      <w:start w:val="1"/>
      <w:numFmt w:val="bullet"/>
      <w:lvlText w:val="•"/>
      <w:lvlJc w:val="left"/>
      <w:pPr>
        <w:ind w:left="1540" w:hanging="568"/>
      </w:pPr>
      <w:rPr>
        <w:rFonts w:hint="default"/>
      </w:rPr>
    </w:lvl>
    <w:lvl w:ilvl="2" w:tplc="F062A71E">
      <w:start w:val="1"/>
      <w:numFmt w:val="bullet"/>
      <w:lvlText w:val="•"/>
      <w:lvlJc w:val="left"/>
      <w:pPr>
        <w:ind w:left="2394" w:hanging="568"/>
      </w:pPr>
      <w:rPr>
        <w:rFonts w:hint="default"/>
      </w:rPr>
    </w:lvl>
    <w:lvl w:ilvl="3" w:tplc="C2B2D500">
      <w:start w:val="1"/>
      <w:numFmt w:val="bullet"/>
      <w:lvlText w:val="•"/>
      <w:lvlJc w:val="left"/>
      <w:pPr>
        <w:ind w:left="3248" w:hanging="568"/>
      </w:pPr>
      <w:rPr>
        <w:rFonts w:hint="default"/>
      </w:rPr>
    </w:lvl>
    <w:lvl w:ilvl="4" w:tplc="03369D54">
      <w:start w:val="1"/>
      <w:numFmt w:val="bullet"/>
      <w:lvlText w:val="•"/>
      <w:lvlJc w:val="left"/>
      <w:pPr>
        <w:ind w:left="4102" w:hanging="568"/>
      </w:pPr>
      <w:rPr>
        <w:rFonts w:hint="default"/>
      </w:rPr>
    </w:lvl>
    <w:lvl w:ilvl="5" w:tplc="10665718">
      <w:start w:val="1"/>
      <w:numFmt w:val="bullet"/>
      <w:lvlText w:val="•"/>
      <w:lvlJc w:val="left"/>
      <w:pPr>
        <w:ind w:left="4956" w:hanging="568"/>
      </w:pPr>
      <w:rPr>
        <w:rFonts w:hint="default"/>
      </w:rPr>
    </w:lvl>
    <w:lvl w:ilvl="6" w:tplc="971A41F4">
      <w:start w:val="1"/>
      <w:numFmt w:val="bullet"/>
      <w:lvlText w:val="•"/>
      <w:lvlJc w:val="left"/>
      <w:pPr>
        <w:ind w:left="5810" w:hanging="568"/>
      </w:pPr>
      <w:rPr>
        <w:rFonts w:hint="default"/>
      </w:rPr>
    </w:lvl>
    <w:lvl w:ilvl="7" w:tplc="975885BE">
      <w:start w:val="1"/>
      <w:numFmt w:val="bullet"/>
      <w:lvlText w:val="•"/>
      <w:lvlJc w:val="left"/>
      <w:pPr>
        <w:ind w:left="6665" w:hanging="568"/>
      </w:pPr>
      <w:rPr>
        <w:rFonts w:hint="default"/>
      </w:rPr>
    </w:lvl>
    <w:lvl w:ilvl="8" w:tplc="5F8E2488">
      <w:start w:val="1"/>
      <w:numFmt w:val="bullet"/>
      <w:lvlText w:val="•"/>
      <w:lvlJc w:val="left"/>
      <w:pPr>
        <w:ind w:left="7519" w:hanging="568"/>
      </w:pPr>
      <w:rPr>
        <w:rFonts w:hint="default"/>
      </w:rPr>
    </w:lvl>
  </w:abstractNum>
  <w:abstractNum w:abstractNumId="27" w15:restartNumberingAfterBreak="0">
    <w:nsid w:val="6FDD4266"/>
    <w:multiLevelType w:val="hybridMultilevel"/>
    <w:tmpl w:val="EB7ED8A0"/>
    <w:lvl w:ilvl="0" w:tplc="29E47930">
      <w:start w:val="1"/>
      <w:numFmt w:val="bullet"/>
      <w:lvlText w:val="-"/>
      <w:lvlJc w:val="left"/>
      <w:pPr>
        <w:ind w:left="686" w:hanging="568"/>
      </w:pPr>
      <w:rPr>
        <w:rFonts w:ascii="Times New Roman" w:eastAsia="Times New Roman" w:hAnsi="Times New Roman" w:hint="default"/>
        <w:w w:val="99"/>
        <w:sz w:val="22"/>
        <w:szCs w:val="22"/>
      </w:rPr>
    </w:lvl>
    <w:lvl w:ilvl="1" w:tplc="8BC6C45E">
      <w:start w:val="1"/>
      <w:numFmt w:val="bullet"/>
      <w:lvlText w:val="•"/>
      <w:lvlJc w:val="left"/>
      <w:pPr>
        <w:ind w:left="1540" w:hanging="568"/>
      </w:pPr>
      <w:rPr>
        <w:rFonts w:hint="default"/>
      </w:rPr>
    </w:lvl>
    <w:lvl w:ilvl="2" w:tplc="FDB6D90E">
      <w:start w:val="1"/>
      <w:numFmt w:val="bullet"/>
      <w:lvlText w:val="•"/>
      <w:lvlJc w:val="left"/>
      <w:pPr>
        <w:ind w:left="2394" w:hanging="568"/>
      </w:pPr>
      <w:rPr>
        <w:rFonts w:hint="default"/>
      </w:rPr>
    </w:lvl>
    <w:lvl w:ilvl="3" w:tplc="A0B6E758">
      <w:start w:val="1"/>
      <w:numFmt w:val="bullet"/>
      <w:lvlText w:val="•"/>
      <w:lvlJc w:val="left"/>
      <w:pPr>
        <w:ind w:left="3248" w:hanging="568"/>
      </w:pPr>
      <w:rPr>
        <w:rFonts w:hint="default"/>
      </w:rPr>
    </w:lvl>
    <w:lvl w:ilvl="4" w:tplc="B38EBC68">
      <w:start w:val="1"/>
      <w:numFmt w:val="bullet"/>
      <w:lvlText w:val="•"/>
      <w:lvlJc w:val="left"/>
      <w:pPr>
        <w:ind w:left="4102" w:hanging="568"/>
      </w:pPr>
      <w:rPr>
        <w:rFonts w:hint="default"/>
      </w:rPr>
    </w:lvl>
    <w:lvl w:ilvl="5" w:tplc="91B42EDE">
      <w:start w:val="1"/>
      <w:numFmt w:val="bullet"/>
      <w:lvlText w:val="•"/>
      <w:lvlJc w:val="left"/>
      <w:pPr>
        <w:ind w:left="4956" w:hanging="568"/>
      </w:pPr>
      <w:rPr>
        <w:rFonts w:hint="default"/>
      </w:rPr>
    </w:lvl>
    <w:lvl w:ilvl="6" w:tplc="78D86D80">
      <w:start w:val="1"/>
      <w:numFmt w:val="bullet"/>
      <w:lvlText w:val="•"/>
      <w:lvlJc w:val="left"/>
      <w:pPr>
        <w:ind w:left="5810" w:hanging="568"/>
      </w:pPr>
      <w:rPr>
        <w:rFonts w:hint="default"/>
      </w:rPr>
    </w:lvl>
    <w:lvl w:ilvl="7" w:tplc="4D923BA0">
      <w:start w:val="1"/>
      <w:numFmt w:val="bullet"/>
      <w:lvlText w:val="•"/>
      <w:lvlJc w:val="left"/>
      <w:pPr>
        <w:ind w:left="6665" w:hanging="568"/>
      </w:pPr>
      <w:rPr>
        <w:rFonts w:hint="default"/>
      </w:rPr>
    </w:lvl>
    <w:lvl w:ilvl="8" w:tplc="C366AF14">
      <w:start w:val="1"/>
      <w:numFmt w:val="bullet"/>
      <w:lvlText w:val="•"/>
      <w:lvlJc w:val="left"/>
      <w:pPr>
        <w:ind w:left="7519" w:hanging="568"/>
      </w:pPr>
      <w:rPr>
        <w:rFonts w:hint="default"/>
      </w:rPr>
    </w:lvl>
  </w:abstractNum>
  <w:abstractNum w:abstractNumId="28" w15:restartNumberingAfterBreak="0">
    <w:nsid w:val="70ED0960"/>
    <w:multiLevelType w:val="multilevel"/>
    <w:tmpl w:val="3B4A1118"/>
    <w:lvl w:ilvl="0">
      <w:start w:val="4"/>
      <w:numFmt w:val="decimal"/>
      <w:lvlText w:val="%1"/>
      <w:lvlJc w:val="left"/>
      <w:pPr>
        <w:ind w:left="686" w:hanging="568"/>
      </w:pPr>
      <w:rPr>
        <w:rFonts w:hint="default"/>
      </w:rPr>
    </w:lvl>
    <w:lvl w:ilvl="1">
      <w:start w:val="2"/>
      <w:numFmt w:val="decimal"/>
      <w:lvlText w:val="%1.%2"/>
      <w:lvlJc w:val="left"/>
      <w:pPr>
        <w:ind w:left="686" w:hanging="568"/>
      </w:pPr>
      <w:rPr>
        <w:rFonts w:ascii="Times New Roman" w:eastAsia="Times New Roman" w:hAnsi="Times New Roman" w:hint="default"/>
        <w:b/>
        <w:bCs/>
        <w:w w:val="99"/>
        <w:sz w:val="22"/>
        <w:szCs w:val="22"/>
      </w:rPr>
    </w:lvl>
    <w:lvl w:ilvl="2">
      <w:start w:val="1"/>
      <w:numFmt w:val="bullet"/>
      <w:lvlText w:val="•"/>
      <w:lvlJc w:val="left"/>
      <w:pPr>
        <w:ind w:left="2402" w:hanging="568"/>
      </w:pPr>
      <w:rPr>
        <w:rFonts w:hint="default"/>
      </w:rPr>
    </w:lvl>
    <w:lvl w:ilvl="3">
      <w:start w:val="1"/>
      <w:numFmt w:val="bullet"/>
      <w:lvlText w:val="•"/>
      <w:lvlJc w:val="left"/>
      <w:pPr>
        <w:ind w:left="3260" w:hanging="568"/>
      </w:pPr>
      <w:rPr>
        <w:rFonts w:hint="default"/>
      </w:rPr>
    </w:lvl>
    <w:lvl w:ilvl="4">
      <w:start w:val="1"/>
      <w:numFmt w:val="bullet"/>
      <w:lvlText w:val="•"/>
      <w:lvlJc w:val="left"/>
      <w:pPr>
        <w:ind w:left="4118" w:hanging="568"/>
      </w:pPr>
      <w:rPr>
        <w:rFonts w:hint="default"/>
      </w:rPr>
    </w:lvl>
    <w:lvl w:ilvl="5">
      <w:start w:val="1"/>
      <w:numFmt w:val="bullet"/>
      <w:lvlText w:val="•"/>
      <w:lvlJc w:val="left"/>
      <w:pPr>
        <w:ind w:left="4976" w:hanging="568"/>
      </w:pPr>
      <w:rPr>
        <w:rFonts w:hint="default"/>
      </w:rPr>
    </w:lvl>
    <w:lvl w:ilvl="6">
      <w:start w:val="1"/>
      <w:numFmt w:val="bullet"/>
      <w:lvlText w:val="•"/>
      <w:lvlJc w:val="left"/>
      <w:pPr>
        <w:ind w:left="5834" w:hanging="568"/>
      </w:pPr>
      <w:rPr>
        <w:rFonts w:hint="default"/>
      </w:rPr>
    </w:lvl>
    <w:lvl w:ilvl="7">
      <w:start w:val="1"/>
      <w:numFmt w:val="bullet"/>
      <w:lvlText w:val="•"/>
      <w:lvlJc w:val="left"/>
      <w:pPr>
        <w:ind w:left="6693" w:hanging="568"/>
      </w:pPr>
      <w:rPr>
        <w:rFonts w:hint="default"/>
      </w:rPr>
    </w:lvl>
    <w:lvl w:ilvl="8">
      <w:start w:val="1"/>
      <w:numFmt w:val="bullet"/>
      <w:lvlText w:val="•"/>
      <w:lvlJc w:val="left"/>
      <w:pPr>
        <w:ind w:left="7551" w:hanging="568"/>
      </w:pPr>
      <w:rPr>
        <w:rFonts w:hint="default"/>
      </w:rPr>
    </w:lvl>
  </w:abstractNum>
  <w:abstractNum w:abstractNumId="29" w15:restartNumberingAfterBreak="0">
    <w:nsid w:val="74F51D27"/>
    <w:multiLevelType w:val="hybridMultilevel"/>
    <w:tmpl w:val="46826BAA"/>
    <w:lvl w:ilvl="0" w:tplc="B71653FC">
      <w:start w:val="1"/>
      <w:numFmt w:val="bullet"/>
      <w:lvlText w:val="-"/>
      <w:lvlJc w:val="left"/>
      <w:pPr>
        <w:ind w:left="686" w:hanging="568"/>
      </w:pPr>
      <w:rPr>
        <w:rFonts w:ascii="Times New Roman" w:eastAsia="Times New Roman" w:hAnsi="Times New Roman" w:hint="default"/>
        <w:w w:val="99"/>
        <w:sz w:val="22"/>
        <w:szCs w:val="22"/>
      </w:rPr>
    </w:lvl>
    <w:lvl w:ilvl="1" w:tplc="5AD292F8">
      <w:start w:val="1"/>
      <w:numFmt w:val="bullet"/>
      <w:lvlText w:val="•"/>
      <w:lvlJc w:val="left"/>
      <w:pPr>
        <w:ind w:left="1542" w:hanging="568"/>
      </w:pPr>
      <w:rPr>
        <w:rFonts w:hint="default"/>
      </w:rPr>
    </w:lvl>
    <w:lvl w:ilvl="2" w:tplc="A0F67972">
      <w:start w:val="1"/>
      <w:numFmt w:val="bullet"/>
      <w:lvlText w:val="•"/>
      <w:lvlJc w:val="left"/>
      <w:pPr>
        <w:ind w:left="2398" w:hanging="568"/>
      </w:pPr>
      <w:rPr>
        <w:rFonts w:hint="default"/>
      </w:rPr>
    </w:lvl>
    <w:lvl w:ilvl="3" w:tplc="6B96F1B2">
      <w:start w:val="1"/>
      <w:numFmt w:val="bullet"/>
      <w:lvlText w:val="•"/>
      <w:lvlJc w:val="left"/>
      <w:pPr>
        <w:ind w:left="3254" w:hanging="568"/>
      </w:pPr>
      <w:rPr>
        <w:rFonts w:hint="default"/>
      </w:rPr>
    </w:lvl>
    <w:lvl w:ilvl="4" w:tplc="E25A59B8">
      <w:start w:val="1"/>
      <w:numFmt w:val="bullet"/>
      <w:lvlText w:val="•"/>
      <w:lvlJc w:val="left"/>
      <w:pPr>
        <w:ind w:left="4110" w:hanging="568"/>
      </w:pPr>
      <w:rPr>
        <w:rFonts w:hint="default"/>
      </w:rPr>
    </w:lvl>
    <w:lvl w:ilvl="5" w:tplc="45D0BC84">
      <w:start w:val="1"/>
      <w:numFmt w:val="bullet"/>
      <w:lvlText w:val="•"/>
      <w:lvlJc w:val="left"/>
      <w:pPr>
        <w:ind w:left="4966" w:hanging="568"/>
      </w:pPr>
      <w:rPr>
        <w:rFonts w:hint="default"/>
      </w:rPr>
    </w:lvl>
    <w:lvl w:ilvl="6" w:tplc="B9160FCE">
      <w:start w:val="1"/>
      <w:numFmt w:val="bullet"/>
      <w:lvlText w:val="•"/>
      <w:lvlJc w:val="left"/>
      <w:pPr>
        <w:ind w:left="5822" w:hanging="568"/>
      </w:pPr>
      <w:rPr>
        <w:rFonts w:hint="default"/>
      </w:rPr>
    </w:lvl>
    <w:lvl w:ilvl="7" w:tplc="C324D078">
      <w:start w:val="1"/>
      <w:numFmt w:val="bullet"/>
      <w:lvlText w:val="•"/>
      <w:lvlJc w:val="left"/>
      <w:pPr>
        <w:ind w:left="6679" w:hanging="568"/>
      </w:pPr>
      <w:rPr>
        <w:rFonts w:hint="default"/>
      </w:rPr>
    </w:lvl>
    <w:lvl w:ilvl="8" w:tplc="4036E26E">
      <w:start w:val="1"/>
      <w:numFmt w:val="bullet"/>
      <w:lvlText w:val="•"/>
      <w:lvlJc w:val="left"/>
      <w:pPr>
        <w:ind w:left="7535" w:hanging="568"/>
      </w:pPr>
      <w:rPr>
        <w:rFonts w:hint="default"/>
      </w:rPr>
    </w:lvl>
  </w:abstractNum>
  <w:abstractNum w:abstractNumId="30" w15:restartNumberingAfterBreak="0">
    <w:nsid w:val="770F53E5"/>
    <w:multiLevelType w:val="hybridMultilevel"/>
    <w:tmpl w:val="780610C6"/>
    <w:lvl w:ilvl="0" w:tplc="DDAE0158">
      <w:start w:val="1"/>
      <w:numFmt w:val="decimal"/>
      <w:lvlText w:val="%1."/>
      <w:lvlJc w:val="left"/>
      <w:pPr>
        <w:ind w:left="339" w:hanging="221"/>
      </w:pPr>
      <w:rPr>
        <w:rFonts w:ascii="Times New Roman" w:eastAsia="Times New Roman" w:hAnsi="Times New Roman" w:hint="default"/>
        <w:b/>
        <w:bCs/>
        <w:w w:val="99"/>
        <w:sz w:val="22"/>
        <w:szCs w:val="22"/>
      </w:rPr>
    </w:lvl>
    <w:lvl w:ilvl="1" w:tplc="0E320032">
      <w:start w:val="1"/>
      <w:numFmt w:val="bullet"/>
      <w:lvlText w:val="•"/>
      <w:lvlJc w:val="left"/>
      <w:pPr>
        <w:ind w:left="1234" w:hanging="221"/>
      </w:pPr>
      <w:rPr>
        <w:rFonts w:hint="default"/>
      </w:rPr>
    </w:lvl>
    <w:lvl w:ilvl="2" w:tplc="EC2A8882">
      <w:start w:val="1"/>
      <w:numFmt w:val="bullet"/>
      <w:lvlText w:val="•"/>
      <w:lvlJc w:val="left"/>
      <w:pPr>
        <w:ind w:left="2128" w:hanging="221"/>
      </w:pPr>
      <w:rPr>
        <w:rFonts w:hint="default"/>
      </w:rPr>
    </w:lvl>
    <w:lvl w:ilvl="3" w:tplc="6526C308">
      <w:start w:val="1"/>
      <w:numFmt w:val="bullet"/>
      <w:lvlText w:val="•"/>
      <w:lvlJc w:val="left"/>
      <w:pPr>
        <w:ind w:left="3023" w:hanging="221"/>
      </w:pPr>
      <w:rPr>
        <w:rFonts w:hint="default"/>
      </w:rPr>
    </w:lvl>
    <w:lvl w:ilvl="4" w:tplc="A9EC3552">
      <w:start w:val="1"/>
      <w:numFmt w:val="bullet"/>
      <w:lvlText w:val="•"/>
      <w:lvlJc w:val="left"/>
      <w:pPr>
        <w:ind w:left="3918" w:hanging="221"/>
      </w:pPr>
      <w:rPr>
        <w:rFonts w:hint="default"/>
      </w:rPr>
    </w:lvl>
    <w:lvl w:ilvl="5" w:tplc="1BB2EE52">
      <w:start w:val="1"/>
      <w:numFmt w:val="bullet"/>
      <w:lvlText w:val="•"/>
      <w:lvlJc w:val="left"/>
      <w:pPr>
        <w:ind w:left="4813" w:hanging="221"/>
      </w:pPr>
      <w:rPr>
        <w:rFonts w:hint="default"/>
      </w:rPr>
    </w:lvl>
    <w:lvl w:ilvl="6" w:tplc="432656B4">
      <w:start w:val="1"/>
      <w:numFmt w:val="bullet"/>
      <w:lvlText w:val="•"/>
      <w:lvlJc w:val="left"/>
      <w:pPr>
        <w:ind w:left="5708" w:hanging="221"/>
      </w:pPr>
      <w:rPr>
        <w:rFonts w:hint="default"/>
      </w:rPr>
    </w:lvl>
    <w:lvl w:ilvl="7" w:tplc="90CA0032">
      <w:start w:val="1"/>
      <w:numFmt w:val="bullet"/>
      <w:lvlText w:val="•"/>
      <w:lvlJc w:val="left"/>
      <w:pPr>
        <w:ind w:left="6603" w:hanging="221"/>
      </w:pPr>
      <w:rPr>
        <w:rFonts w:hint="default"/>
      </w:rPr>
    </w:lvl>
    <w:lvl w:ilvl="8" w:tplc="C7D8233C">
      <w:start w:val="1"/>
      <w:numFmt w:val="bullet"/>
      <w:lvlText w:val="•"/>
      <w:lvlJc w:val="left"/>
      <w:pPr>
        <w:ind w:left="7497" w:hanging="221"/>
      </w:pPr>
      <w:rPr>
        <w:rFonts w:hint="default"/>
      </w:rPr>
    </w:lvl>
  </w:abstractNum>
  <w:abstractNum w:abstractNumId="31" w15:restartNumberingAfterBreak="0">
    <w:nsid w:val="78397533"/>
    <w:multiLevelType w:val="hybridMultilevel"/>
    <w:tmpl w:val="0C126624"/>
    <w:lvl w:ilvl="0" w:tplc="CAAE34BA">
      <w:start w:val="1"/>
      <w:numFmt w:val="bullet"/>
      <w:lvlText w:val="-"/>
      <w:lvlJc w:val="left"/>
      <w:pPr>
        <w:ind w:left="686" w:hanging="568"/>
      </w:pPr>
      <w:rPr>
        <w:rFonts w:ascii="Times New Roman" w:eastAsia="Times New Roman" w:hAnsi="Times New Roman" w:hint="default"/>
        <w:w w:val="99"/>
        <w:sz w:val="22"/>
        <w:szCs w:val="22"/>
      </w:rPr>
    </w:lvl>
    <w:lvl w:ilvl="1" w:tplc="4C6C4BBA">
      <w:start w:val="1"/>
      <w:numFmt w:val="bullet"/>
      <w:lvlText w:val="•"/>
      <w:lvlJc w:val="left"/>
      <w:pPr>
        <w:ind w:left="1542" w:hanging="568"/>
      </w:pPr>
      <w:rPr>
        <w:rFonts w:hint="default"/>
      </w:rPr>
    </w:lvl>
    <w:lvl w:ilvl="2" w:tplc="808C0CE6">
      <w:start w:val="1"/>
      <w:numFmt w:val="bullet"/>
      <w:lvlText w:val="•"/>
      <w:lvlJc w:val="left"/>
      <w:pPr>
        <w:ind w:left="2398" w:hanging="568"/>
      </w:pPr>
      <w:rPr>
        <w:rFonts w:hint="default"/>
      </w:rPr>
    </w:lvl>
    <w:lvl w:ilvl="3" w:tplc="2E7A5C70">
      <w:start w:val="1"/>
      <w:numFmt w:val="bullet"/>
      <w:lvlText w:val="•"/>
      <w:lvlJc w:val="left"/>
      <w:pPr>
        <w:ind w:left="3254" w:hanging="568"/>
      </w:pPr>
      <w:rPr>
        <w:rFonts w:hint="default"/>
      </w:rPr>
    </w:lvl>
    <w:lvl w:ilvl="4" w:tplc="B554F818">
      <w:start w:val="1"/>
      <w:numFmt w:val="bullet"/>
      <w:lvlText w:val="•"/>
      <w:lvlJc w:val="left"/>
      <w:pPr>
        <w:ind w:left="4110" w:hanging="568"/>
      </w:pPr>
      <w:rPr>
        <w:rFonts w:hint="default"/>
      </w:rPr>
    </w:lvl>
    <w:lvl w:ilvl="5" w:tplc="3CD6541C">
      <w:start w:val="1"/>
      <w:numFmt w:val="bullet"/>
      <w:lvlText w:val="•"/>
      <w:lvlJc w:val="left"/>
      <w:pPr>
        <w:ind w:left="4966" w:hanging="568"/>
      </w:pPr>
      <w:rPr>
        <w:rFonts w:hint="default"/>
      </w:rPr>
    </w:lvl>
    <w:lvl w:ilvl="6" w:tplc="05E0BECA">
      <w:start w:val="1"/>
      <w:numFmt w:val="bullet"/>
      <w:lvlText w:val="•"/>
      <w:lvlJc w:val="left"/>
      <w:pPr>
        <w:ind w:left="5822" w:hanging="568"/>
      </w:pPr>
      <w:rPr>
        <w:rFonts w:hint="default"/>
      </w:rPr>
    </w:lvl>
    <w:lvl w:ilvl="7" w:tplc="BE08CC94">
      <w:start w:val="1"/>
      <w:numFmt w:val="bullet"/>
      <w:lvlText w:val="•"/>
      <w:lvlJc w:val="left"/>
      <w:pPr>
        <w:ind w:left="6679" w:hanging="568"/>
      </w:pPr>
      <w:rPr>
        <w:rFonts w:hint="default"/>
      </w:rPr>
    </w:lvl>
    <w:lvl w:ilvl="8" w:tplc="CD468C78">
      <w:start w:val="1"/>
      <w:numFmt w:val="bullet"/>
      <w:lvlText w:val="•"/>
      <w:lvlJc w:val="left"/>
      <w:pPr>
        <w:ind w:left="7535" w:hanging="568"/>
      </w:pPr>
      <w:rPr>
        <w:rFonts w:hint="default"/>
      </w:rPr>
    </w:lvl>
  </w:abstractNum>
  <w:abstractNum w:abstractNumId="32" w15:restartNumberingAfterBreak="0">
    <w:nsid w:val="7FF93836"/>
    <w:multiLevelType w:val="hybridMultilevel"/>
    <w:tmpl w:val="3EFE2870"/>
    <w:lvl w:ilvl="0" w:tplc="9CA291DE">
      <w:start w:val="1"/>
      <w:numFmt w:val="decimal"/>
      <w:lvlText w:val="%1."/>
      <w:lvlJc w:val="left"/>
      <w:pPr>
        <w:ind w:left="686" w:hanging="568"/>
      </w:pPr>
      <w:rPr>
        <w:rFonts w:ascii="Times New Roman" w:eastAsia="Times New Roman" w:hAnsi="Times New Roman" w:hint="default"/>
        <w:w w:val="99"/>
        <w:sz w:val="22"/>
        <w:szCs w:val="22"/>
      </w:rPr>
    </w:lvl>
    <w:lvl w:ilvl="1" w:tplc="6A7A414C">
      <w:start w:val="1"/>
      <w:numFmt w:val="bullet"/>
      <w:lvlText w:val="•"/>
      <w:lvlJc w:val="left"/>
      <w:pPr>
        <w:ind w:left="1546" w:hanging="568"/>
      </w:pPr>
      <w:rPr>
        <w:rFonts w:hint="default"/>
      </w:rPr>
    </w:lvl>
    <w:lvl w:ilvl="2" w:tplc="6AAEFD74">
      <w:start w:val="1"/>
      <w:numFmt w:val="bullet"/>
      <w:lvlText w:val="•"/>
      <w:lvlJc w:val="left"/>
      <w:pPr>
        <w:ind w:left="2406" w:hanging="568"/>
      </w:pPr>
      <w:rPr>
        <w:rFonts w:hint="default"/>
      </w:rPr>
    </w:lvl>
    <w:lvl w:ilvl="3" w:tplc="DA8852EC">
      <w:start w:val="1"/>
      <w:numFmt w:val="bullet"/>
      <w:lvlText w:val="•"/>
      <w:lvlJc w:val="left"/>
      <w:pPr>
        <w:ind w:left="3266" w:hanging="568"/>
      </w:pPr>
      <w:rPr>
        <w:rFonts w:hint="default"/>
      </w:rPr>
    </w:lvl>
    <w:lvl w:ilvl="4" w:tplc="A0B0F586">
      <w:start w:val="1"/>
      <w:numFmt w:val="bullet"/>
      <w:lvlText w:val="•"/>
      <w:lvlJc w:val="left"/>
      <w:pPr>
        <w:ind w:left="4126" w:hanging="568"/>
      </w:pPr>
      <w:rPr>
        <w:rFonts w:hint="default"/>
      </w:rPr>
    </w:lvl>
    <w:lvl w:ilvl="5" w:tplc="C5F82EA8">
      <w:start w:val="1"/>
      <w:numFmt w:val="bullet"/>
      <w:lvlText w:val="•"/>
      <w:lvlJc w:val="left"/>
      <w:pPr>
        <w:ind w:left="4986" w:hanging="568"/>
      </w:pPr>
      <w:rPr>
        <w:rFonts w:hint="default"/>
      </w:rPr>
    </w:lvl>
    <w:lvl w:ilvl="6" w:tplc="726891E4">
      <w:start w:val="1"/>
      <w:numFmt w:val="bullet"/>
      <w:lvlText w:val="•"/>
      <w:lvlJc w:val="left"/>
      <w:pPr>
        <w:ind w:left="5846" w:hanging="568"/>
      </w:pPr>
      <w:rPr>
        <w:rFonts w:hint="default"/>
      </w:rPr>
    </w:lvl>
    <w:lvl w:ilvl="7" w:tplc="6B7C0716">
      <w:start w:val="1"/>
      <w:numFmt w:val="bullet"/>
      <w:lvlText w:val="•"/>
      <w:lvlJc w:val="left"/>
      <w:pPr>
        <w:ind w:left="6707" w:hanging="568"/>
      </w:pPr>
      <w:rPr>
        <w:rFonts w:hint="default"/>
      </w:rPr>
    </w:lvl>
    <w:lvl w:ilvl="8" w:tplc="1504967A">
      <w:start w:val="1"/>
      <w:numFmt w:val="bullet"/>
      <w:lvlText w:val="•"/>
      <w:lvlJc w:val="left"/>
      <w:pPr>
        <w:ind w:left="7567" w:hanging="568"/>
      </w:pPr>
      <w:rPr>
        <w:rFonts w:hint="default"/>
      </w:rPr>
    </w:lvl>
  </w:abstractNum>
  <w:num w:numId="1">
    <w:abstractNumId w:val="24"/>
  </w:num>
  <w:num w:numId="2">
    <w:abstractNumId w:val="23"/>
  </w:num>
  <w:num w:numId="3">
    <w:abstractNumId w:val="19"/>
  </w:num>
  <w:num w:numId="4">
    <w:abstractNumId w:val="27"/>
  </w:num>
  <w:num w:numId="5">
    <w:abstractNumId w:val="5"/>
  </w:num>
  <w:num w:numId="6">
    <w:abstractNumId w:val="16"/>
  </w:num>
  <w:num w:numId="7">
    <w:abstractNumId w:val="26"/>
  </w:num>
  <w:num w:numId="8">
    <w:abstractNumId w:val="31"/>
  </w:num>
  <w:num w:numId="9">
    <w:abstractNumId w:val="14"/>
  </w:num>
  <w:num w:numId="10">
    <w:abstractNumId w:val="6"/>
  </w:num>
  <w:num w:numId="11">
    <w:abstractNumId w:val="25"/>
  </w:num>
  <w:num w:numId="12">
    <w:abstractNumId w:val="32"/>
  </w:num>
  <w:num w:numId="13">
    <w:abstractNumId w:val="7"/>
  </w:num>
  <w:num w:numId="14">
    <w:abstractNumId w:val="12"/>
  </w:num>
  <w:num w:numId="15">
    <w:abstractNumId w:val="13"/>
  </w:num>
  <w:num w:numId="16">
    <w:abstractNumId w:val="4"/>
  </w:num>
  <w:num w:numId="17">
    <w:abstractNumId w:val="15"/>
  </w:num>
  <w:num w:numId="18">
    <w:abstractNumId w:val="18"/>
  </w:num>
  <w:num w:numId="19">
    <w:abstractNumId w:val="30"/>
  </w:num>
  <w:num w:numId="20">
    <w:abstractNumId w:val="2"/>
  </w:num>
  <w:num w:numId="21">
    <w:abstractNumId w:val="20"/>
  </w:num>
  <w:num w:numId="22">
    <w:abstractNumId w:val="21"/>
  </w:num>
  <w:num w:numId="23">
    <w:abstractNumId w:val="29"/>
  </w:num>
  <w:num w:numId="24">
    <w:abstractNumId w:val="8"/>
  </w:num>
  <w:num w:numId="25">
    <w:abstractNumId w:val="11"/>
  </w:num>
  <w:num w:numId="26">
    <w:abstractNumId w:val="28"/>
  </w:num>
  <w:num w:numId="27">
    <w:abstractNumId w:val="3"/>
  </w:num>
  <w:num w:numId="28">
    <w:abstractNumId w:val="10"/>
  </w:num>
  <w:num w:numId="29">
    <w:abstractNumId w:val="9"/>
  </w:num>
  <w:num w:numId="30">
    <w:abstractNumId w:val="17"/>
  </w:num>
  <w:num w:numId="31">
    <w:abstractNumId w:val="1"/>
  </w:num>
  <w:num w:numId="32">
    <w:abstractNumId w:val="0"/>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FF1"/>
    <w:rsid w:val="00035447"/>
    <w:rsid w:val="001156D9"/>
    <w:rsid w:val="00117C8B"/>
    <w:rsid w:val="00362EEF"/>
    <w:rsid w:val="003F0FF1"/>
    <w:rsid w:val="003F1EAC"/>
    <w:rsid w:val="004C4CC7"/>
    <w:rsid w:val="00660B10"/>
    <w:rsid w:val="00722E2D"/>
    <w:rsid w:val="007C44B8"/>
    <w:rsid w:val="00CE583C"/>
    <w:rsid w:val="00D07532"/>
    <w:rsid w:val="00D203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912D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uiPriority w:val="9"/>
    <w:qFormat/>
    <w:pPr>
      <w:ind w:left="686"/>
      <w:outlineLvl w:val="0"/>
    </w:pPr>
    <w:rPr>
      <w:rFonts w:ascii="Times New Roman" w:eastAsia="Times New Roman" w:hAnsi="Times New Roman"/>
      <w:b/>
      <w:bCs/>
    </w:rPr>
  </w:style>
  <w:style w:type="paragraph" w:styleId="Cmsor2">
    <w:name w:val="heading 2"/>
    <w:basedOn w:val="Norml"/>
    <w:next w:val="Norml"/>
    <w:link w:val="Cmsor2Char"/>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Szvegtrzs">
    <w:name w:val="Body Text"/>
    <w:basedOn w:val="Norml"/>
    <w:link w:val="SzvegtrzsChar"/>
    <w:uiPriority w:val="1"/>
    <w:qFormat/>
    <w:pPr>
      <w:ind w:left="118"/>
    </w:pPr>
    <w:rPr>
      <w:rFonts w:ascii="Times New Roman" w:eastAsia="Times New Roman" w:hAnsi="Times New Roman"/>
    </w:rPr>
  </w:style>
  <w:style w:type="paragraph" w:styleId="Listaszerbekezds">
    <w:name w:val="List Paragraph"/>
    <w:basedOn w:val="Norml"/>
    <w:uiPriority w:val="1"/>
    <w:qFormat/>
  </w:style>
  <w:style w:type="paragraph" w:customStyle="1" w:styleId="TableParagraph">
    <w:name w:val="Table Paragraph"/>
    <w:basedOn w:val="Norml"/>
    <w:uiPriority w:val="1"/>
    <w:qFormat/>
  </w:style>
  <w:style w:type="paragraph" w:styleId="Buborkszveg">
    <w:name w:val="Balloon Text"/>
    <w:basedOn w:val="Norml"/>
    <w:link w:val="BuborkszvegChar"/>
    <w:uiPriority w:val="99"/>
    <w:semiHidden/>
    <w:unhideWhenUsed/>
    <w:rPr>
      <w:rFonts w:ascii="Segoe UI" w:hAnsi="Segoe UI" w:cs="Segoe UI"/>
      <w:sz w:val="18"/>
      <w:szCs w:val="18"/>
    </w:rPr>
  </w:style>
  <w:style w:type="character" w:customStyle="1" w:styleId="BuborkszvegChar">
    <w:name w:val="Buborékszöveg Char"/>
    <w:basedOn w:val="Bekezdsalapbettpusa"/>
    <w:link w:val="Buborkszveg"/>
    <w:uiPriority w:val="99"/>
    <w:semiHidden/>
    <w:rPr>
      <w:rFonts w:ascii="Segoe UI" w:hAnsi="Segoe UI" w:cs="Segoe UI"/>
      <w:sz w:val="18"/>
      <w:szCs w:val="18"/>
    </w:rPr>
  </w:style>
  <w:style w:type="paragraph" w:styleId="lfej">
    <w:name w:val="header"/>
    <w:basedOn w:val="Norml"/>
    <w:link w:val="lfejChar"/>
    <w:uiPriority w:val="99"/>
    <w:unhideWhenUsed/>
    <w:pPr>
      <w:tabs>
        <w:tab w:val="center" w:pos="4703"/>
        <w:tab w:val="right" w:pos="9406"/>
      </w:tabs>
    </w:pPr>
  </w:style>
  <w:style w:type="character" w:customStyle="1" w:styleId="lfejChar">
    <w:name w:val="Élőfej Char"/>
    <w:basedOn w:val="Bekezdsalapbettpusa"/>
    <w:link w:val="lfej"/>
    <w:uiPriority w:val="99"/>
  </w:style>
  <w:style w:type="paragraph" w:styleId="llb">
    <w:name w:val="footer"/>
    <w:basedOn w:val="Norml"/>
    <w:link w:val="llbChar"/>
    <w:uiPriority w:val="99"/>
    <w:unhideWhenUsed/>
    <w:pPr>
      <w:tabs>
        <w:tab w:val="center" w:pos="4703"/>
        <w:tab w:val="right" w:pos="9406"/>
      </w:tabs>
    </w:pPr>
  </w:style>
  <w:style w:type="character" w:customStyle="1" w:styleId="llbChar">
    <w:name w:val="Élőláb Char"/>
    <w:basedOn w:val="Bekezdsalapbettpusa"/>
    <w:link w:val="llb"/>
    <w:uiPriority w:val="99"/>
  </w:style>
  <w:style w:type="character" w:customStyle="1" w:styleId="Cmsor2Char">
    <w:name w:val="Címsor 2 Char"/>
    <w:basedOn w:val="Bekezdsalapbettpusa"/>
    <w:link w:val="Cmsor2"/>
    <w:uiPriority w:val="9"/>
    <w:semiHidden/>
    <w:rPr>
      <w:rFonts w:asciiTheme="majorHAnsi" w:eastAsiaTheme="majorEastAsia" w:hAnsiTheme="majorHAnsi" w:cstheme="majorBidi"/>
      <w:color w:val="365F91" w:themeColor="accent1" w:themeShade="BF"/>
      <w:sz w:val="26"/>
      <w:szCs w:val="26"/>
    </w:rPr>
  </w:style>
  <w:style w:type="character" w:styleId="Jegyzethivatkozs">
    <w:name w:val="annotation reference"/>
    <w:basedOn w:val="Bekezdsalapbettpusa"/>
    <w:uiPriority w:val="99"/>
    <w:semiHidden/>
    <w:unhideWhenUsed/>
    <w:rPr>
      <w:sz w:val="16"/>
      <w:szCs w:val="16"/>
    </w:rPr>
  </w:style>
  <w:style w:type="paragraph" w:styleId="Jegyzetszveg">
    <w:name w:val="annotation text"/>
    <w:basedOn w:val="Norml"/>
    <w:link w:val="JegyzetszvegChar"/>
    <w:uiPriority w:val="99"/>
    <w:semiHidden/>
    <w:unhideWhenUsed/>
    <w:rPr>
      <w:sz w:val="20"/>
      <w:szCs w:val="20"/>
    </w:rPr>
  </w:style>
  <w:style w:type="character" w:customStyle="1" w:styleId="JegyzetszvegChar">
    <w:name w:val="Jegyzetszöveg Char"/>
    <w:basedOn w:val="Bekezdsalapbettpusa"/>
    <w:link w:val="Jegyzetszveg"/>
    <w:uiPriority w:val="99"/>
    <w:semiHidden/>
    <w:rPr>
      <w:sz w:val="20"/>
      <w:szCs w:val="20"/>
    </w:rPr>
  </w:style>
  <w:style w:type="paragraph" w:styleId="Megjegyzstrgya">
    <w:name w:val="annotation subject"/>
    <w:basedOn w:val="Jegyzetszveg"/>
    <w:next w:val="Jegyzetszveg"/>
    <w:link w:val="MegjegyzstrgyaChar"/>
    <w:uiPriority w:val="99"/>
    <w:semiHidden/>
    <w:unhideWhenUsed/>
    <w:rPr>
      <w:b/>
      <w:bCs/>
    </w:rPr>
  </w:style>
  <w:style w:type="character" w:customStyle="1" w:styleId="MegjegyzstrgyaChar">
    <w:name w:val="Megjegyzés tárgya Char"/>
    <w:basedOn w:val="JegyzetszvegChar"/>
    <w:link w:val="Megjegyzstrgya"/>
    <w:uiPriority w:val="99"/>
    <w:semiHidden/>
    <w:rPr>
      <w:b/>
      <w:bCs/>
      <w:sz w:val="20"/>
      <w:szCs w:val="20"/>
    </w:rPr>
  </w:style>
  <w:style w:type="paragraph" w:styleId="NormlWeb">
    <w:name w:val="Normal (Web)"/>
    <w:basedOn w:val="Norml"/>
    <w:uiPriority w:val="99"/>
    <w:semiHidden/>
    <w:unhideWhenUsed/>
    <w:pPr>
      <w:widowControl/>
    </w:pPr>
    <w:rPr>
      <w:rFonts w:ascii="Times New Roman" w:hAnsi="Times New Roman" w:cs="Times New Roman"/>
      <w:sz w:val="24"/>
      <w:szCs w:val="24"/>
      <w:lang w:val="hu-HU" w:eastAsia="hu-HU"/>
    </w:rPr>
  </w:style>
  <w:style w:type="character" w:styleId="Kiemels">
    <w:name w:val="Emphasis"/>
    <w:basedOn w:val="Bekezdsalapbettpusa"/>
    <w:uiPriority w:val="20"/>
    <w:qFormat/>
    <w:rPr>
      <w:i/>
      <w:iCs/>
    </w:rPr>
  </w:style>
  <w:style w:type="paragraph" w:styleId="Vltozat">
    <w:name w:val="Revision"/>
    <w:hidden/>
    <w:uiPriority w:val="99"/>
    <w:semiHidden/>
    <w:pPr>
      <w:widowControl/>
    </w:pPr>
  </w:style>
  <w:style w:type="character" w:customStyle="1" w:styleId="SzvegtrzsChar">
    <w:name w:val="Szövegtörzs Char"/>
    <w:basedOn w:val="Bekezdsalapbettpusa"/>
    <w:link w:val="Szvegtrzs"/>
    <w:uiPriority w:val="1"/>
    <w:rPr>
      <w:rFonts w:ascii="Times New Roman" w:eastAsia="Times New Roman" w:hAnsi="Times New Roman"/>
    </w:rPr>
  </w:style>
  <w:style w:type="character" w:styleId="Hiperhivatkozs">
    <w:name w:val="Hyperlink"/>
    <w:basedOn w:val="Bekezdsalapbettpusa"/>
    <w:uiPriority w:val="99"/>
    <w:semiHidden/>
    <w:unhideWhenUse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461603">
      <w:bodyDiv w:val="1"/>
      <w:marLeft w:val="0"/>
      <w:marRight w:val="0"/>
      <w:marTop w:val="0"/>
      <w:marBottom w:val="0"/>
      <w:divBdr>
        <w:top w:val="none" w:sz="0" w:space="0" w:color="auto"/>
        <w:left w:val="none" w:sz="0" w:space="0" w:color="auto"/>
        <w:bottom w:val="none" w:sz="0" w:space="0" w:color="auto"/>
        <w:right w:val="none" w:sz="0" w:space="0" w:color="auto"/>
      </w:divBdr>
    </w:div>
    <w:div w:id="387725216">
      <w:bodyDiv w:val="1"/>
      <w:marLeft w:val="0"/>
      <w:marRight w:val="0"/>
      <w:marTop w:val="0"/>
      <w:marBottom w:val="0"/>
      <w:divBdr>
        <w:top w:val="none" w:sz="0" w:space="0" w:color="auto"/>
        <w:left w:val="none" w:sz="0" w:space="0" w:color="auto"/>
        <w:bottom w:val="none" w:sz="0" w:space="0" w:color="auto"/>
        <w:right w:val="none" w:sz="0" w:space="0" w:color="auto"/>
      </w:divBdr>
    </w:div>
    <w:div w:id="610671626">
      <w:bodyDiv w:val="1"/>
      <w:marLeft w:val="0"/>
      <w:marRight w:val="0"/>
      <w:marTop w:val="0"/>
      <w:marBottom w:val="0"/>
      <w:divBdr>
        <w:top w:val="none" w:sz="0" w:space="0" w:color="auto"/>
        <w:left w:val="none" w:sz="0" w:space="0" w:color="auto"/>
        <w:bottom w:val="none" w:sz="0" w:space="0" w:color="auto"/>
        <w:right w:val="none" w:sz="0" w:space="0" w:color="auto"/>
      </w:divBdr>
    </w:div>
    <w:div w:id="680855295">
      <w:bodyDiv w:val="1"/>
      <w:marLeft w:val="0"/>
      <w:marRight w:val="0"/>
      <w:marTop w:val="0"/>
      <w:marBottom w:val="0"/>
      <w:divBdr>
        <w:top w:val="none" w:sz="0" w:space="0" w:color="auto"/>
        <w:left w:val="none" w:sz="0" w:space="0" w:color="auto"/>
        <w:bottom w:val="none" w:sz="0" w:space="0" w:color="auto"/>
        <w:right w:val="none" w:sz="0" w:space="0" w:color="auto"/>
      </w:divBdr>
    </w:div>
    <w:div w:id="895973188">
      <w:bodyDiv w:val="1"/>
      <w:marLeft w:val="0"/>
      <w:marRight w:val="0"/>
      <w:marTop w:val="0"/>
      <w:marBottom w:val="0"/>
      <w:divBdr>
        <w:top w:val="none" w:sz="0" w:space="0" w:color="auto"/>
        <w:left w:val="none" w:sz="0" w:space="0" w:color="auto"/>
        <w:bottom w:val="none" w:sz="0" w:space="0" w:color="auto"/>
        <w:right w:val="none" w:sz="0" w:space="0" w:color="auto"/>
      </w:divBdr>
    </w:div>
    <w:div w:id="1113397484">
      <w:bodyDiv w:val="1"/>
      <w:marLeft w:val="0"/>
      <w:marRight w:val="0"/>
      <w:marTop w:val="0"/>
      <w:marBottom w:val="0"/>
      <w:divBdr>
        <w:top w:val="none" w:sz="0" w:space="0" w:color="auto"/>
        <w:left w:val="none" w:sz="0" w:space="0" w:color="auto"/>
        <w:bottom w:val="none" w:sz="0" w:space="0" w:color="auto"/>
        <w:right w:val="none" w:sz="0" w:space="0" w:color="auto"/>
      </w:divBdr>
    </w:div>
    <w:div w:id="1286548150">
      <w:bodyDiv w:val="1"/>
      <w:marLeft w:val="0"/>
      <w:marRight w:val="0"/>
      <w:marTop w:val="0"/>
      <w:marBottom w:val="0"/>
      <w:divBdr>
        <w:top w:val="none" w:sz="0" w:space="0" w:color="auto"/>
        <w:left w:val="none" w:sz="0" w:space="0" w:color="auto"/>
        <w:bottom w:val="none" w:sz="0" w:space="0" w:color="auto"/>
        <w:right w:val="none" w:sz="0" w:space="0" w:color="auto"/>
      </w:divBdr>
    </w:div>
    <w:div w:id="1892614663">
      <w:bodyDiv w:val="1"/>
      <w:marLeft w:val="0"/>
      <w:marRight w:val="0"/>
      <w:marTop w:val="0"/>
      <w:marBottom w:val="0"/>
      <w:divBdr>
        <w:top w:val="none" w:sz="0" w:space="0" w:color="auto"/>
        <w:left w:val="none" w:sz="0" w:space="0" w:color="auto"/>
        <w:bottom w:val="none" w:sz="0" w:space="0" w:color="auto"/>
        <w:right w:val="none" w:sz="0" w:space="0" w:color="auto"/>
      </w:divBdr>
    </w:div>
    <w:div w:id="21412226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E0E493-8909-4B61-BEBF-5FAB3371C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11011</Words>
  <Characters>75976</Characters>
  <Application>Microsoft Office Word</Application>
  <DocSecurity>0</DocSecurity>
  <Lines>633</Lines>
  <Paragraphs>173</Paragraphs>
  <ScaleCrop>false</ScaleCrop>
  <HeadingPairs>
    <vt:vector size="4" baseType="variant">
      <vt:variant>
        <vt:lpstr>Cím</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86814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2026-03-29T19:18:00Z</dcterms:created>
  <dcterms:modified xsi:type="dcterms:W3CDTF">2026-03-29T19:20:00Z</dcterms:modified>
</cp:coreProperties>
</file>