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D48" w:rsidRDefault="00B04D48">
      <w:pPr>
        <w:widowControl w:val="0"/>
        <w:spacing w:line="240" w:lineRule="auto"/>
        <w:rPr>
          <w:lang w:val="hu-HU"/>
        </w:rPr>
      </w:pPr>
    </w:p>
    <w:p w:rsidR="00B04D48" w:rsidRDefault="000731B7">
      <w:pPr>
        <w:widowControl w:val="0"/>
        <w:spacing w:line="240" w:lineRule="auto"/>
        <w:rPr>
          <w:color w:val="008000"/>
          <w:lang w:val="hu-HU"/>
        </w:rPr>
      </w:pPr>
      <w:r>
        <w:rPr>
          <w:rFonts w:eastAsia="Times New Roman"/>
          <w:b/>
          <w:bCs/>
          <w:noProof/>
          <w:lang w:val="hu-HU" w:eastAsia="en-US"/>
        </w:rPr>
        <w:t>1.</w:t>
      </w:r>
      <w:r>
        <w:rPr>
          <w:rFonts w:eastAsia="Times New Roman"/>
          <w:b/>
          <w:bCs/>
          <w:noProof/>
          <w:lang w:val="hu-HU" w:eastAsia="en-US"/>
        </w:rPr>
        <w:tab/>
        <w:t>A GYÓGYSZER NEVE</w:t>
      </w:r>
    </w:p>
    <w:p w:rsidR="00B04D48" w:rsidRDefault="00B04D48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>Jansitin 25 mg filmtabletta</w:t>
      </w: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>Jansitin 50 mg filmtabletta</w:t>
      </w: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>Jansitin 100 mg filmtabletta</w:t>
      </w:r>
    </w:p>
    <w:p w:rsidR="00B04D48" w:rsidRDefault="00B04D48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B04D48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widowControl w:val="0"/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MINŐSÉGI ÉS MENNYISÉGI ÖSSZETÉTEL</w:t>
      </w:r>
    </w:p>
    <w:p w:rsidR="00B04D48" w:rsidRDefault="00B04D48">
      <w:pPr>
        <w:widowControl w:val="0"/>
        <w:spacing w:line="240" w:lineRule="auto"/>
        <w:rPr>
          <w:rFonts w:eastAsia="Times New Roman"/>
          <w:b/>
          <w:bCs/>
          <w:noProof/>
          <w:lang w:val="hu-HU" w:eastAsia="en-US"/>
        </w:rPr>
      </w:pPr>
    </w:p>
    <w:p w:rsidR="00B04D48" w:rsidRDefault="000731B7">
      <w:pPr>
        <w:widowControl w:val="0"/>
        <w:spacing w:line="240" w:lineRule="auto"/>
        <w:rPr>
          <w:rFonts w:eastAsia="Times New Roman"/>
          <w:noProof/>
          <w:u w:val="single"/>
          <w:lang w:val="hu-HU" w:eastAsia="en-US"/>
        </w:rPr>
      </w:pPr>
      <w:r>
        <w:rPr>
          <w:rFonts w:eastAsia="Times New Roman"/>
          <w:noProof/>
          <w:u w:val="single"/>
          <w:lang w:val="hu-HU" w:eastAsia="en-US"/>
        </w:rPr>
        <w:t>Jansitin 25 mg filmtabletta</w:t>
      </w: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 xml:space="preserve">25 mg </w:t>
      </w:r>
      <w:r>
        <w:rPr>
          <w:rFonts w:eastAsia="Times New Roman"/>
          <w:noProof/>
          <w:lang w:val="hu-HU" w:eastAsia="en-US"/>
        </w:rPr>
        <w:t>szitagliptint tartalmaz (szitagliptin-hidroklorid-monohidrát formájában) filmtablettánként.</w:t>
      </w:r>
    </w:p>
    <w:p w:rsidR="00B04D48" w:rsidRDefault="00B04D48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widowControl w:val="0"/>
        <w:spacing w:line="240" w:lineRule="auto"/>
        <w:rPr>
          <w:rFonts w:eastAsia="Times New Roman"/>
          <w:noProof/>
          <w:u w:val="single"/>
          <w:lang w:val="hu-HU" w:eastAsia="en-US"/>
        </w:rPr>
      </w:pPr>
      <w:r>
        <w:rPr>
          <w:rFonts w:eastAsia="Times New Roman"/>
          <w:noProof/>
          <w:u w:val="single"/>
          <w:lang w:val="hu-HU" w:eastAsia="en-US"/>
        </w:rPr>
        <w:t>Jansitin 50 mg filmtabletta</w:t>
      </w: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>50 mg szitagliptint tartalmaz (szitagliptin-hidroklorid-monohidrát formájában) filmtablettánként.</w:t>
      </w:r>
    </w:p>
    <w:p w:rsidR="00B04D48" w:rsidRDefault="00B04D48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widowControl w:val="0"/>
        <w:spacing w:line="240" w:lineRule="auto"/>
        <w:rPr>
          <w:rFonts w:eastAsia="Times New Roman"/>
          <w:noProof/>
          <w:u w:val="single"/>
          <w:lang w:val="hu-HU" w:eastAsia="en-US"/>
        </w:rPr>
      </w:pPr>
      <w:r>
        <w:rPr>
          <w:rFonts w:eastAsia="Times New Roman"/>
          <w:noProof/>
          <w:u w:val="single"/>
          <w:lang w:val="hu-HU" w:eastAsia="en-US"/>
        </w:rPr>
        <w:t>Jansitin 100 mg filmtabletta</w:t>
      </w: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 xml:space="preserve">100 mg </w:t>
      </w:r>
      <w:r>
        <w:rPr>
          <w:rFonts w:eastAsia="Times New Roman"/>
          <w:noProof/>
          <w:lang w:val="hu-HU" w:eastAsia="en-US"/>
        </w:rPr>
        <w:t>szitagliptint tartalmaz (szitagliptin-hidroklorid-monohidrát formájában) filmtablettánként.</w:t>
      </w:r>
    </w:p>
    <w:p w:rsidR="00B04D48" w:rsidRDefault="00B04D48">
      <w:pPr>
        <w:widowControl w:val="0"/>
        <w:spacing w:line="240" w:lineRule="auto"/>
        <w:rPr>
          <w:rFonts w:eastAsia="Times New Roman"/>
          <w:b/>
          <w:bCs/>
          <w:noProof/>
          <w:lang w:val="hu-HU" w:eastAsia="en-US"/>
        </w:rPr>
      </w:pPr>
    </w:p>
    <w:p w:rsidR="00B04D48" w:rsidRDefault="000731B7">
      <w:pPr>
        <w:pStyle w:val="EMEAEnBodyText"/>
        <w:autoSpaceDE w:val="0"/>
        <w:autoSpaceDN w:val="0"/>
        <w:spacing w:before="0" w:after="0"/>
        <w:rPr>
          <w:u w:val="single"/>
          <w:lang w:val="hu-HU"/>
        </w:rPr>
      </w:pPr>
      <w:r>
        <w:rPr>
          <w:noProof/>
          <w:u w:val="single"/>
          <w:lang w:val="hu-HU"/>
        </w:rPr>
        <w:t>Ismert hatású segédanyag</w:t>
      </w:r>
      <w:r>
        <w:rPr>
          <w:u w:val="single"/>
          <w:lang w:val="hu-HU"/>
        </w:rPr>
        <w:t>(ok)</w:t>
      </w:r>
    </w:p>
    <w:p w:rsidR="00B04D48" w:rsidRDefault="00B04D48">
      <w:pPr>
        <w:pStyle w:val="EMEAEnBodyText"/>
        <w:autoSpaceDE w:val="0"/>
        <w:autoSpaceDN w:val="0"/>
        <w:spacing w:before="0" w:after="0"/>
        <w:rPr>
          <w:noProof/>
          <w:lang w:val="hu-HU"/>
        </w:rPr>
      </w:pPr>
    </w:p>
    <w:p w:rsidR="00B04D48" w:rsidRDefault="000731B7">
      <w:pPr>
        <w:widowControl w:val="0"/>
        <w:spacing w:line="240" w:lineRule="auto"/>
        <w:rPr>
          <w:rFonts w:eastAsia="Times New Roman"/>
          <w:noProof/>
          <w:u w:val="single"/>
          <w:lang w:val="hu-HU" w:eastAsia="en-US"/>
        </w:rPr>
      </w:pPr>
      <w:r>
        <w:rPr>
          <w:rFonts w:eastAsia="Times New Roman"/>
          <w:noProof/>
          <w:u w:val="single"/>
          <w:lang w:val="hu-HU" w:eastAsia="en-US"/>
        </w:rPr>
        <w:t>Jansitin 25 mg filmtabletta</w:t>
      </w:r>
    </w:p>
    <w:p w:rsidR="00B04D48" w:rsidRDefault="000731B7">
      <w:pPr>
        <w:pStyle w:val="EMEAEnBodyText"/>
        <w:autoSpaceDE w:val="0"/>
        <w:autoSpaceDN w:val="0"/>
        <w:spacing w:before="0" w:after="0"/>
        <w:rPr>
          <w:noProof/>
          <w:lang w:val="hu-HU"/>
        </w:rPr>
      </w:pPr>
      <w:r>
        <w:rPr>
          <w:noProof/>
          <w:lang w:val="hu-HU"/>
        </w:rPr>
        <w:t>1,14 mg laktózt tartalmaz (monohidrát formájában) 25 mg</w:t>
      </w:r>
      <w:r>
        <w:rPr>
          <w:noProof/>
          <w:lang w:val="hu-HU"/>
        </w:rPr>
        <w:noBreakHyphen/>
        <w:t>os filmtablettánként.</w:t>
      </w:r>
    </w:p>
    <w:p w:rsidR="00B04D48" w:rsidRDefault="00B04D48">
      <w:pPr>
        <w:pStyle w:val="EMEAEnBodyText"/>
        <w:autoSpaceDE w:val="0"/>
        <w:autoSpaceDN w:val="0"/>
        <w:spacing w:before="0" w:after="0"/>
        <w:rPr>
          <w:noProof/>
          <w:lang w:val="hu-HU"/>
        </w:rPr>
      </w:pPr>
    </w:p>
    <w:p w:rsidR="00B04D48" w:rsidRDefault="00B04D48">
      <w:pPr>
        <w:pStyle w:val="EMEAEnBodyText"/>
        <w:autoSpaceDE w:val="0"/>
        <w:autoSpaceDN w:val="0"/>
        <w:spacing w:before="0" w:after="0"/>
        <w:rPr>
          <w:noProof/>
          <w:lang w:val="hu-HU"/>
        </w:rPr>
      </w:pPr>
    </w:p>
    <w:p w:rsidR="00B04D48" w:rsidRDefault="000731B7">
      <w:pPr>
        <w:pStyle w:val="EMEAEnBodyText"/>
        <w:autoSpaceDE w:val="0"/>
        <w:autoSpaceDN w:val="0"/>
        <w:spacing w:before="0" w:after="0"/>
        <w:rPr>
          <w:noProof/>
          <w:lang w:val="hu-HU"/>
        </w:rPr>
      </w:pPr>
      <w:r>
        <w:rPr>
          <w:lang w:val="hu-HU"/>
        </w:rPr>
        <w:t xml:space="preserve">A segédanyagok teljes </w:t>
      </w:r>
      <w:r>
        <w:rPr>
          <w:noProof/>
          <w:lang w:val="hu-HU"/>
        </w:rPr>
        <w:t>listáját</w:t>
      </w:r>
      <w:r>
        <w:rPr>
          <w:lang w:val="hu-HU"/>
        </w:rPr>
        <w:t xml:space="preserve"> lásd a 6.1 pontban</w:t>
      </w:r>
      <w:r>
        <w:rPr>
          <w:noProof/>
          <w:lang w:val="hu-HU"/>
        </w:rPr>
        <w:t>.</w:t>
      </w:r>
    </w:p>
    <w:p w:rsidR="00B04D48" w:rsidRDefault="00B04D48">
      <w:pPr>
        <w:pStyle w:val="EMEAEnBodyText"/>
        <w:autoSpaceDE w:val="0"/>
        <w:autoSpaceDN w:val="0"/>
        <w:spacing w:before="0" w:after="0"/>
        <w:rPr>
          <w:lang w:val="hu-HU"/>
        </w:rPr>
      </w:pPr>
    </w:p>
    <w:p w:rsidR="00B04D48" w:rsidRDefault="00B04D48">
      <w:pPr>
        <w:widowControl w:val="0"/>
        <w:spacing w:line="240" w:lineRule="auto"/>
        <w:rPr>
          <w:b/>
          <w:bCs/>
          <w:lang w:val="hu-HU"/>
        </w:rPr>
      </w:pPr>
    </w:p>
    <w:p w:rsidR="00B04D48" w:rsidRDefault="000731B7">
      <w:pPr>
        <w:spacing w:line="240" w:lineRule="auto"/>
        <w:ind w:left="567" w:hanging="567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3.</w:t>
      </w:r>
      <w:r>
        <w:rPr>
          <w:rFonts w:eastAsia="Times New Roman"/>
          <w:b/>
          <w:bCs/>
          <w:noProof/>
          <w:lang w:val="hu-HU" w:eastAsia="en-US"/>
        </w:rPr>
        <w:tab/>
        <w:t>GYÓGYSZERFORMA</w:t>
      </w:r>
    </w:p>
    <w:p w:rsidR="00B04D48" w:rsidRDefault="00B04D48">
      <w:pPr>
        <w:spacing w:line="240" w:lineRule="auto"/>
        <w:ind w:left="567" w:hanging="567"/>
        <w:rPr>
          <w:b/>
          <w:bCs/>
          <w:lang w:val="hu-HU"/>
        </w:rPr>
      </w:pPr>
    </w:p>
    <w:p w:rsidR="00B04D48" w:rsidRDefault="000731B7">
      <w:pPr>
        <w:spacing w:line="240" w:lineRule="auto"/>
        <w:rPr>
          <w:lang w:val="hu-HU" w:eastAsia="en-US"/>
        </w:rPr>
      </w:pPr>
      <w:r>
        <w:rPr>
          <w:lang w:val="hu-HU" w:eastAsia="en-US"/>
        </w:rPr>
        <w:t>Filmtabletta (tabletta).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u w:val="single"/>
          <w:lang w:val="hu-HU" w:eastAsia="en-US"/>
        </w:rPr>
        <w:t>Jansitin 25 mg filmtabletta:</w:t>
      </w:r>
      <w:r>
        <w:rPr>
          <w:rFonts w:eastAsia="Times New Roman"/>
          <w:noProof/>
          <w:lang w:val="hu-HU" w:eastAsia="en-US"/>
        </w:rPr>
        <w:t xml:space="preserve"> </w:t>
      </w: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>Rózsaszínű, kerek, mindkét oldalán domború, filmbevonattal ellátott tabletta, egyik oldalán „LC”mélynyomású jelöléssel, másik oldalán jelöletlen; átmé</w:t>
      </w:r>
      <w:r>
        <w:rPr>
          <w:rFonts w:eastAsia="Times New Roman"/>
          <w:noProof/>
          <w:lang w:val="hu-HU" w:eastAsia="en-US"/>
        </w:rPr>
        <w:t>rője körülbelül 6 mm.</w:t>
      </w:r>
    </w:p>
    <w:p w:rsidR="00B04D48" w:rsidRDefault="00B04D48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u w:val="single"/>
          <w:lang w:val="hu-HU" w:eastAsia="en-US"/>
        </w:rPr>
        <w:t>Jansitin 50 mg filmtabletta:</w:t>
      </w:r>
      <w:r>
        <w:rPr>
          <w:rFonts w:eastAsia="Times New Roman"/>
          <w:noProof/>
          <w:lang w:val="hu-HU" w:eastAsia="en-US"/>
        </w:rPr>
        <w:t xml:space="preserve"> </w:t>
      </w: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>Narancssárga, kerek, mindkét oldalán domború, filmbevonattal ellátott tabletta, egyik oldalán „C” mélynyomású jelöléssel, másik oldalán jelöletlen; átmérője körülbelül 8 mm.</w:t>
      </w:r>
    </w:p>
    <w:p w:rsidR="00B04D48" w:rsidRDefault="00B04D48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u w:val="single"/>
          <w:lang w:val="hu-HU" w:eastAsia="en-US"/>
        </w:rPr>
        <w:t>Jansitin 100 mg filmtabletta</w:t>
      </w:r>
      <w:r>
        <w:rPr>
          <w:rFonts w:eastAsia="Times New Roman"/>
          <w:noProof/>
          <w:u w:val="single"/>
          <w:lang w:val="hu-HU" w:eastAsia="en-US"/>
        </w:rPr>
        <w:t>:</w:t>
      </w:r>
      <w:r>
        <w:rPr>
          <w:rFonts w:eastAsia="Times New Roman"/>
          <w:noProof/>
          <w:lang w:val="hu-HU" w:eastAsia="en-US"/>
        </w:rPr>
        <w:t xml:space="preserve"> </w:t>
      </w:r>
    </w:p>
    <w:p w:rsidR="00B04D48" w:rsidRDefault="000731B7">
      <w:pPr>
        <w:widowControl w:val="0"/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>Bézs színű, kerek, mindkét oldalán domború, filmbevonattal ellátott tabletta, egyik oldalán „L” mélynyomású jelöléssel, másik oldalán jelöletlen; átmérője körülbelül 9,8 mm.</w:t>
      </w:r>
    </w:p>
    <w:p w:rsidR="00B04D48" w:rsidRDefault="00B04D48">
      <w:pPr>
        <w:autoSpaceDE w:val="0"/>
        <w:autoSpaceDN w:val="0"/>
        <w:spacing w:line="240" w:lineRule="auto"/>
        <w:jc w:val="both"/>
        <w:rPr>
          <w:lang w:val="hu-HU"/>
        </w:rPr>
      </w:pPr>
    </w:p>
    <w:p w:rsidR="00B04D48" w:rsidRDefault="00B04D48">
      <w:pPr>
        <w:spacing w:line="240" w:lineRule="auto"/>
        <w:rPr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KLINIKAI JELLEMZŐK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4.1</w:t>
      </w:r>
      <w:r>
        <w:rPr>
          <w:rFonts w:eastAsia="Times New Roman"/>
          <w:b/>
          <w:bCs/>
          <w:noProof/>
          <w:lang w:val="hu-HU" w:eastAsia="en-US"/>
        </w:rPr>
        <w:tab/>
        <w:t>Terápiás javallatok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 </w:t>
      </w:r>
      <w:r>
        <w:rPr>
          <w:rFonts w:eastAsia="Times New Roman"/>
          <w:noProof/>
          <w:lang w:val="hu-HU" w:eastAsia="en-US"/>
        </w:rPr>
        <w:t xml:space="preserve">Jansitin </w:t>
      </w:r>
      <w:r>
        <w:rPr>
          <w:rFonts w:eastAsia="Times New Roman"/>
          <w:lang w:val="hu-HU" w:eastAsia="en-US"/>
        </w:rPr>
        <w:t xml:space="preserve">2-es típusú </w:t>
      </w:r>
      <w:r>
        <w:rPr>
          <w:rFonts w:eastAsia="Times New Roman"/>
          <w:lang w:val="hu-HU" w:eastAsia="en-US"/>
        </w:rPr>
        <w:t>diabetes mellitusban szenvedő felnőttek glykaemiás kontrolljának javítására javallott:</w:t>
      </w:r>
    </w:p>
    <w:p w:rsidR="00B04D48" w:rsidRDefault="00B04D48">
      <w:pPr>
        <w:spacing w:line="240" w:lineRule="auto"/>
        <w:rPr>
          <w:rFonts w:eastAsia="Times New Roman"/>
          <w:lang w:val="hu-HU" w:eastAsia="en-US"/>
        </w:rPr>
      </w:pPr>
    </w:p>
    <w:p w:rsidR="00B04D48" w:rsidRDefault="000731B7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monoterápiában</w:t>
      </w:r>
    </w:p>
    <w:p w:rsidR="00B04D48" w:rsidRDefault="00B04D48">
      <w:pPr>
        <w:spacing w:line="240" w:lineRule="auto"/>
        <w:rPr>
          <w:rFonts w:eastAsia="Times New Roman"/>
          <w:lang w:val="hu-HU" w:eastAsia="en-US"/>
        </w:rPr>
      </w:pPr>
    </w:p>
    <w:p w:rsidR="00B04D48" w:rsidRDefault="000731B7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lastRenderedPageBreak/>
        <w:t>olyan betegek esetén, akiknél önmagában a diéta és a testmozgás mellett a glykaemiás kontroll nem megfelelő, és akik számára a metformin ellenjavallatok</w:t>
      </w:r>
      <w:r>
        <w:rPr>
          <w:rFonts w:eastAsia="Times New Roman"/>
          <w:lang w:val="hu-HU" w:eastAsia="en-US"/>
        </w:rPr>
        <w:t xml:space="preserve"> vagy intolerancia miatt nem alkalmazható.</w:t>
      </w:r>
    </w:p>
    <w:p w:rsidR="00B04D48" w:rsidRDefault="00B04D48">
      <w:pPr>
        <w:spacing w:line="240" w:lineRule="auto"/>
        <w:rPr>
          <w:rFonts w:eastAsia="Times New Roman"/>
          <w:lang w:val="hu-HU" w:eastAsia="en-US"/>
        </w:rPr>
      </w:pPr>
    </w:p>
    <w:p w:rsidR="00B04D48" w:rsidRDefault="000731B7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kettős orális terápiában, a következő gyógyszerekkel kombinálva</w:t>
      </w:r>
    </w:p>
    <w:p w:rsidR="00B04D48" w:rsidRDefault="00B04D48">
      <w:pPr>
        <w:spacing w:line="240" w:lineRule="auto"/>
        <w:rPr>
          <w:rFonts w:eastAsia="Times New Roman"/>
          <w:lang w:val="hu-HU" w:eastAsia="en-US"/>
        </w:rPr>
      </w:pPr>
    </w:p>
    <w:p w:rsidR="00B04D48" w:rsidRDefault="000731B7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metforminnal kombinációban adva, ha a diéta és a testmozgás mellett egyedül metformint alkalmazva a glykaemiás kontroll nem megfelelő.</w:t>
      </w:r>
    </w:p>
    <w:p w:rsidR="00B04D48" w:rsidRDefault="00B04D48">
      <w:pPr>
        <w:pStyle w:val="Listaszerbekezds"/>
        <w:spacing w:line="240" w:lineRule="auto"/>
        <w:ind w:left="567"/>
        <w:rPr>
          <w:rFonts w:eastAsia="Times New Roman"/>
          <w:lang w:val="hu-HU" w:eastAsia="en-US"/>
        </w:rPr>
      </w:pPr>
    </w:p>
    <w:p w:rsidR="00B04D48" w:rsidRDefault="000731B7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szulfonilureával kombinációban adva, ha a diéta és a testmozgás mellett egyedül a szulfonilurea maximális tolerált dózisa nem biztosít megfelelő glykaemiás kontrollt, és a metformin ellenjavallatok vagy intolerancia miatt nem alkalmazható.</w:t>
      </w:r>
    </w:p>
    <w:p w:rsidR="00B04D48" w:rsidRDefault="00B04D48">
      <w:pPr>
        <w:pStyle w:val="Listaszerbekezds"/>
        <w:spacing w:line="240" w:lineRule="auto"/>
        <w:ind w:left="567"/>
        <w:rPr>
          <w:rFonts w:eastAsia="Times New Roman"/>
          <w:lang w:val="hu-HU" w:eastAsia="en-US"/>
        </w:rPr>
      </w:pPr>
    </w:p>
    <w:p w:rsidR="00B04D48" w:rsidRDefault="000731B7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peroxiszóma-pro</w:t>
      </w:r>
      <w:r>
        <w:rPr>
          <w:rFonts w:eastAsia="Times New Roman"/>
          <w:lang w:val="hu-HU" w:eastAsia="en-US"/>
        </w:rPr>
        <w:t>liferátor aktiválta receptor gamma- (PPARγ) agonistával (pl. tiazolidindion), ha a PPARy-agonista alkalmazása helyénvaló, és ha a diéta és testmozgás mellett a PPARγ-agonista nem biztosít megfelelő glykaemiás kontrollt.</w:t>
      </w:r>
    </w:p>
    <w:p w:rsidR="00B04D48" w:rsidRDefault="00B04D48">
      <w:pPr>
        <w:spacing w:line="240" w:lineRule="auto"/>
        <w:rPr>
          <w:rFonts w:eastAsia="Times New Roman"/>
          <w:lang w:val="hu-HU" w:eastAsia="en-US"/>
        </w:rPr>
      </w:pPr>
    </w:p>
    <w:p w:rsidR="00B04D48" w:rsidRDefault="000731B7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hármas orális terápiában, a követke</w:t>
      </w:r>
      <w:r>
        <w:rPr>
          <w:rFonts w:eastAsia="Times New Roman"/>
          <w:lang w:val="hu-HU" w:eastAsia="en-US"/>
        </w:rPr>
        <w:t>ző szerekkel kombinálva</w:t>
      </w:r>
    </w:p>
    <w:p w:rsidR="00B04D48" w:rsidRDefault="00B04D48">
      <w:pPr>
        <w:spacing w:line="240" w:lineRule="auto"/>
        <w:rPr>
          <w:rFonts w:eastAsia="Times New Roman"/>
          <w:lang w:val="hu-HU" w:eastAsia="en-US"/>
        </w:rPr>
      </w:pPr>
    </w:p>
    <w:p w:rsidR="00B04D48" w:rsidRDefault="000731B7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szulfonilureával és metforminnal kombinációban adva, ha a diéta és a testmozgás mellett az ezzel a két gyógyszerrel végzett együttes kezelés nem biztosít megfelelő glykaemiás kontrollt.</w:t>
      </w:r>
    </w:p>
    <w:p w:rsidR="00B04D48" w:rsidRDefault="00B04D48">
      <w:pPr>
        <w:pStyle w:val="Listaszerbekezds"/>
        <w:spacing w:line="240" w:lineRule="auto"/>
        <w:ind w:left="567"/>
        <w:rPr>
          <w:rFonts w:eastAsia="Times New Roman"/>
          <w:lang w:val="hu-HU" w:eastAsia="en-US"/>
        </w:rPr>
      </w:pPr>
    </w:p>
    <w:p w:rsidR="00B04D48" w:rsidRDefault="000731B7">
      <w:pPr>
        <w:pStyle w:val="Listaszerbekezds"/>
        <w:numPr>
          <w:ilvl w:val="0"/>
          <w:numId w:val="1"/>
        </w:numPr>
        <w:spacing w:line="240" w:lineRule="auto"/>
        <w:ind w:left="567" w:hanging="567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PPARγ-agonistával és metforminnal kombináció</w:t>
      </w:r>
      <w:r>
        <w:rPr>
          <w:rFonts w:eastAsia="Times New Roman"/>
          <w:lang w:val="hu-HU" w:eastAsia="en-US"/>
        </w:rPr>
        <w:t>ban adva, amennyiben a PPARγ-agonista alkalmazása helyénvaló, és ha a diéta és testmozgás, valamint az ezeket a gyógyszereket tartalmazó kettős terápia mellett a glykaemiás kontroll nem megfelelő.</w:t>
      </w:r>
    </w:p>
    <w:p w:rsidR="00B04D48" w:rsidRDefault="00B04D48">
      <w:pPr>
        <w:spacing w:line="240" w:lineRule="auto"/>
        <w:rPr>
          <w:rFonts w:eastAsia="Times New Roman"/>
          <w:lang w:val="hu-HU" w:eastAsia="en-US"/>
        </w:rPr>
      </w:pPr>
    </w:p>
    <w:p w:rsidR="00B04D48" w:rsidRDefault="000731B7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A Jansitin szintén javallott inzulin kiegészítő </w:t>
      </w:r>
      <w:r>
        <w:rPr>
          <w:rFonts w:eastAsia="Times New Roman"/>
          <w:lang w:val="hu-HU" w:eastAsia="en-US"/>
        </w:rPr>
        <w:t>terápiájaként (metforminnal vagy anélkül), ha a diéta és testmozgás és az inzulin állandó dózisa mellett a glykaemiás kontroll nem megfelelő.</w:t>
      </w:r>
    </w:p>
    <w:p w:rsidR="00B04D48" w:rsidRDefault="00B04D48">
      <w:pPr>
        <w:spacing w:line="240" w:lineRule="auto"/>
        <w:rPr>
          <w:rFonts w:eastAsia="Times New Roman"/>
          <w:lang w:val="hu-HU" w:eastAsia="en-US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4.2</w:t>
      </w:r>
      <w:r>
        <w:rPr>
          <w:rFonts w:eastAsia="Times New Roman"/>
          <w:b/>
          <w:bCs/>
          <w:noProof/>
          <w:lang w:val="hu-HU" w:eastAsia="en-US"/>
        </w:rPr>
        <w:tab/>
        <w:t>Adagolás és alkalmazás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Adagolás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dózis 100 mg szitagliptin, naponta egyszer. Metforminnal és/vagy PPAR</w:t>
      </w:r>
      <w:r>
        <w:rPr>
          <w:rFonts w:eastAsia="Times New Roman"/>
          <w:lang w:val="hu-HU" w:eastAsia="en-US"/>
        </w:rPr>
        <w:t>γ</w:t>
      </w:r>
      <w:r>
        <w:rPr>
          <w:rFonts w:eastAsia="Times New Roman"/>
          <w:color w:val="000000"/>
          <w:lang w:val="hu-HU" w:eastAsia="hu-HU" w:bidi="hu-HU"/>
        </w:rPr>
        <w:t>-ago</w:t>
      </w:r>
      <w:r>
        <w:rPr>
          <w:rFonts w:eastAsia="Times New Roman"/>
          <w:color w:val="000000"/>
          <w:lang w:val="hu-HU" w:eastAsia="hu-HU" w:bidi="hu-HU"/>
        </w:rPr>
        <w:t xml:space="preserve">nistával együttesen alkalmazva, a metformin és/vagy a </w:t>
      </w:r>
      <w:r>
        <w:rPr>
          <w:rFonts w:eastAsia="Times New Roman"/>
          <w:lang w:val="hu-HU" w:eastAsia="en-US"/>
        </w:rPr>
        <w:t>PPARγ</w:t>
      </w:r>
      <w:r>
        <w:rPr>
          <w:rFonts w:eastAsia="Times New Roman"/>
          <w:color w:val="000000"/>
          <w:lang w:val="hu-HU" w:eastAsia="hu-HU" w:bidi="hu-HU"/>
        </w:rPr>
        <w:t>-agonista dózisát változatlanul kell hagyni, és a Jansitin-t e gyógyszerekkel együtt kell alkalmazni.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Ha a Jansitin-t egy szulfonilureával vagy inzulinnal kombinációban alkalmazzák, a hypoglykaemi</w:t>
      </w:r>
      <w:r>
        <w:rPr>
          <w:rFonts w:eastAsia="Times New Roman"/>
          <w:color w:val="000000"/>
          <w:lang w:val="hu-HU" w:eastAsia="hu-HU" w:bidi="hu-HU"/>
        </w:rPr>
        <w:t>a kockázatának csökkentése érdekében fontolóra kell venni a szulfonilurea vagy inzulin kisebb dózisban történő alkalmazását (lásd 4.4 pont).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Ha a Jansitin egy adagja kimaradt, azt azonnal pótolni kell, amint a beteg észreveszi. Ugyanazon a napon nem szaba</w:t>
      </w:r>
      <w:r>
        <w:rPr>
          <w:rFonts w:eastAsia="Times New Roman"/>
          <w:color w:val="000000"/>
          <w:lang w:val="hu-HU" w:eastAsia="hu-HU" w:bidi="hu-HU"/>
        </w:rPr>
        <w:t>d dupla adagot bevenni.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Különleges betegcsoportok</w:t>
      </w: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Vesekárosodás</w:t>
      </w: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Szitagliptin és egyéb antidiabetikum együttes alkalmazásának fontolóra vételekor ellenőrizni kell a szitagliptin vesekárosodásban szenvedő betegeknél történő alkalmazásának feltételeit.</w:t>
      </w:r>
    </w:p>
    <w:p w:rsidR="00B04D48" w:rsidRDefault="00B04D48">
      <w:pPr>
        <w:widowControl w:val="0"/>
        <w:tabs>
          <w:tab w:val="clear" w:pos="567"/>
        </w:tabs>
        <w:spacing w:line="228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28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Az e</w:t>
      </w:r>
      <w:r>
        <w:rPr>
          <w:rFonts w:eastAsia="Times New Roman"/>
          <w:color w:val="000000"/>
          <w:lang w:val="hu-HU" w:eastAsia="hu-HU" w:bidi="hu-HU"/>
        </w:rPr>
        <w:t xml:space="preserve">nyhe vesekárosodásban szenvedő betegek (glomerulusfiltrációs ráta [GFR] </w:t>
      </w:r>
      <w:r>
        <w:rPr>
          <w:rFonts w:ascii="Symbol" w:hAnsi="Symbol"/>
        </w:rPr>
        <w:t></w:t>
      </w:r>
      <w:r>
        <w:rPr>
          <w:rFonts w:eastAsia="Times New Roman"/>
          <w:color w:val="000000"/>
          <w:sz w:val="24"/>
          <w:szCs w:val="24"/>
          <w:lang w:val="hu-HU" w:eastAsia="hu-HU" w:bidi="hu-HU"/>
        </w:rPr>
        <w:t xml:space="preserve"> </w:t>
      </w:r>
      <w:r>
        <w:rPr>
          <w:rFonts w:eastAsia="Times New Roman"/>
          <w:color w:val="000000"/>
          <w:lang w:val="hu-HU" w:eastAsia="hu-HU" w:bidi="hu-HU"/>
        </w:rPr>
        <w:t>60 – &lt; 90 ml/perc) esetében dózismódosításra nincs szükség.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 közepesen súlyos vesekárosodásban szenvedő betegek (GFR </w:t>
      </w:r>
      <w:r>
        <w:rPr>
          <w:rFonts w:ascii="Symbol" w:hAnsi="Symbol"/>
        </w:rPr>
        <w:t></w:t>
      </w:r>
      <w:r>
        <w:rPr>
          <w:rFonts w:eastAsia="Times New Roman"/>
          <w:color w:val="000000"/>
          <w:sz w:val="24"/>
          <w:szCs w:val="24"/>
          <w:lang w:val="hu-HU" w:eastAsia="hu-HU" w:bidi="hu-HU"/>
        </w:rPr>
        <w:t xml:space="preserve"> </w:t>
      </w:r>
      <w:r>
        <w:rPr>
          <w:rFonts w:eastAsia="Times New Roman"/>
          <w:color w:val="000000"/>
          <w:lang w:val="hu-HU" w:eastAsia="hu-HU" w:bidi="hu-HU"/>
        </w:rPr>
        <w:t>45 – &lt; 60 ml/perc) esetében dózismódosításra nincs szükség.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 közepesen súlyos vesekárosodásban szenvedő betegek esetében (GFR </w:t>
      </w:r>
      <w:r>
        <w:rPr>
          <w:rFonts w:ascii="Symbol" w:hAnsi="Symbol"/>
        </w:rPr>
        <w:t></w:t>
      </w:r>
      <w:r>
        <w:rPr>
          <w:rFonts w:eastAsia="Times New Roman"/>
          <w:color w:val="000000"/>
          <w:sz w:val="24"/>
          <w:szCs w:val="24"/>
          <w:lang w:val="hu-HU" w:eastAsia="hu-HU" w:bidi="hu-HU"/>
        </w:rPr>
        <w:t xml:space="preserve"> </w:t>
      </w:r>
      <w:r>
        <w:rPr>
          <w:rFonts w:eastAsia="Times New Roman"/>
          <w:color w:val="000000"/>
          <w:lang w:val="hu-HU" w:eastAsia="hu-HU" w:bidi="hu-HU"/>
        </w:rPr>
        <w:t>30 – &lt; 45 ml/perc) a Jansitin dózisa naponta egyszer 50 mg.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lastRenderedPageBreak/>
        <w:t xml:space="preserve">A súlyos vesekárosodásban szenvedő (GFR </w:t>
      </w:r>
      <w:r>
        <w:rPr>
          <w:rFonts w:ascii="Symbol" w:hAnsi="Symbol"/>
        </w:rPr>
        <w:t></w:t>
      </w:r>
      <w:r>
        <w:rPr>
          <w:rFonts w:eastAsia="Times New Roman"/>
          <w:color w:val="000000"/>
          <w:lang w:val="hu-HU" w:eastAsia="hu-HU" w:bidi="hu-HU"/>
        </w:rPr>
        <w:t xml:space="preserve"> 15 – &lt; 30 ml/perc) vagy végstádiumú vesebetegségben („end-stage renal disease” – ESR</w:t>
      </w:r>
      <w:r>
        <w:rPr>
          <w:rFonts w:eastAsia="Times New Roman"/>
          <w:color w:val="000000"/>
          <w:lang w:val="hu-HU" w:eastAsia="hu-HU" w:bidi="hu-HU"/>
        </w:rPr>
        <w:t>D) szenvedő betegeknél (GFR &lt;15 ml/perc), beleértve a hemodialízist vagy peritoneális dialízist igénylő betegeket, a Jansitin dózisa naponta egyszer 25 mg. A kezelés a dialízis időpontjától függetlenül alkalmazható.</w:t>
      </w:r>
    </w:p>
    <w:p w:rsidR="00B04D48" w:rsidRDefault="00B04D48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Mivel a vesefunkció alapján </w:t>
      </w:r>
      <w:r>
        <w:rPr>
          <w:rFonts w:eastAsia="Times New Roman"/>
          <w:color w:val="000000"/>
          <w:lang w:val="hu-HU" w:eastAsia="hu-HU" w:bidi="hu-HU"/>
        </w:rPr>
        <w:t>dózismódosításra van szükség, a vesefunkciós értékeknek javasolt az ellenőrzése a Jansitin alkalmazásának megkezdése előtt és azt követően rendszeresen.</w:t>
      </w:r>
    </w:p>
    <w:p w:rsidR="00B04D48" w:rsidRDefault="00B04D48">
      <w:pPr>
        <w:widowControl w:val="0"/>
        <w:tabs>
          <w:tab w:val="clear" w:pos="567"/>
        </w:tabs>
        <w:spacing w:line="230" w:lineRule="auto"/>
        <w:rPr>
          <w:rFonts w:eastAsia="Times New Roman"/>
          <w:i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Májkárosodás</w:t>
      </w:r>
    </w:p>
    <w:p w:rsidR="00B04D48" w:rsidRDefault="000731B7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Az enyhe vagy közepesen súlyos májkárosodásban szenvedő betegek esetében a dózis módosítá</w:t>
      </w:r>
      <w:r>
        <w:rPr>
          <w:rFonts w:eastAsia="Times New Roman"/>
          <w:color w:val="000000"/>
          <w:lang w:val="hu-HU" w:eastAsia="hu-HU" w:bidi="hu-HU"/>
        </w:rPr>
        <w:t>sára nincs szükség. A Jansitin-t súlyos májkárosodásban szenvedő betegek körében nem vizsgálták, ezért elővigyázatossággal kell alkalmazni (lásd 5.2 pont).</w:t>
      </w: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Mivel azonban a szitagliptin elsősorban a vesén keresztül ürül ki, a súlyos májkárosodás várhatóan n</w:t>
      </w:r>
      <w:r>
        <w:rPr>
          <w:rFonts w:eastAsia="Times New Roman"/>
          <w:color w:val="000000"/>
          <w:lang w:val="hu-HU" w:eastAsia="hu-HU" w:bidi="hu-HU"/>
        </w:rPr>
        <w:t>em befolyásolja a szitagliptin farmakokinetikáját.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Idősek</w:t>
      </w: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dózis életkor alapján történő módosítására nincs szükség.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Gyermekek és serdülők</w:t>
      </w: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nem kielégítő hatásosságra való tekintettel a szitagliptin 10 és betöltött 18. életév közötti életkorú gyermekek</w:t>
      </w:r>
      <w:r>
        <w:rPr>
          <w:rFonts w:eastAsia="Times New Roman"/>
          <w:color w:val="000000"/>
          <w:lang w:val="hu-HU" w:eastAsia="hu-HU" w:bidi="hu-HU"/>
        </w:rPr>
        <w:t>nél és serdülőknél nem alkalmazható. A jelenleg rendelkezésre álló adatok leírása a 4.8, 5.1 és 5.2 pontban található. A szitagliptint 10 évesnél fiatalabb gyermekeknél nem vizsgálták.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Az alkalmazás módja</w:t>
      </w: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Jansitin étkezés közben vagy attól függetlenül i</w:t>
      </w:r>
      <w:r>
        <w:rPr>
          <w:rFonts w:eastAsia="Times New Roman"/>
          <w:color w:val="000000"/>
          <w:lang w:val="hu-HU" w:eastAsia="hu-HU" w:bidi="hu-HU"/>
        </w:rPr>
        <w:t>s bevehető.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4.3</w:t>
      </w:r>
      <w:r>
        <w:rPr>
          <w:rFonts w:eastAsia="Times New Roman"/>
          <w:b/>
          <w:bCs/>
          <w:noProof/>
          <w:lang w:val="hu-HU" w:eastAsia="en-US"/>
        </w:rPr>
        <w:tab/>
        <w:t>Ellenjavallatok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>A készítmény hatóanyagával vagy a 6.1 pontban felsorolt bármely segédanyagával szembeni túlérzékenység (lásd 4.4 és 4.8 pont).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4.4</w:t>
      </w:r>
      <w:r>
        <w:rPr>
          <w:rFonts w:eastAsia="Times New Roman"/>
          <w:b/>
          <w:bCs/>
          <w:noProof/>
          <w:lang w:val="hu-HU" w:eastAsia="en-US"/>
        </w:rPr>
        <w:tab/>
        <w:t>Különleges figyelmeztetések és az alkalmazással kapcsolatos óvintézkedések</w:t>
      </w:r>
    </w:p>
    <w:p w:rsidR="00B04D48" w:rsidRDefault="00B04D48">
      <w:pPr>
        <w:spacing w:line="240" w:lineRule="auto"/>
        <w:rPr>
          <w:lang w:val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 xml:space="preserve">Általános </w:t>
      </w:r>
      <w:r>
        <w:rPr>
          <w:rFonts w:eastAsia="Times New Roman"/>
          <w:color w:val="000000"/>
          <w:u w:val="single"/>
          <w:lang w:val="hu-HU" w:eastAsia="hu-HU" w:bidi="hu-HU"/>
        </w:rPr>
        <w:t>tudnivalók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Jansitin nem alkalmazható 1-es típusú diabetesben szenvedő betegek esetében vagy diabeteses ketoacidosis kezelésére.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Acut pancreatitis</w:t>
      </w:r>
    </w:p>
    <w:p w:rsidR="00B04D48" w:rsidRDefault="000731B7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 DPP-4-gátlók alkalmazása az acut pancreatitis kialakulásának kockázatával jár. A betegeket tájékoztatni </w:t>
      </w:r>
      <w:r>
        <w:rPr>
          <w:rFonts w:eastAsia="Times New Roman"/>
          <w:color w:val="000000"/>
          <w:lang w:val="hu-HU" w:eastAsia="hu-HU" w:bidi="hu-HU"/>
        </w:rPr>
        <w:t>kell az acut pancreatitis jellemző tünetéről, a tartós, erős hasi fájdalomról. A szitagliptin szedésének leállítását követően (szupportív kezeléssel vagy anélkül) a pancreatitis gyógyulását figyelték meg, de nagyon ritka esetekben nekrotizáló vagy haemorrh</w:t>
      </w:r>
      <w:r>
        <w:rPr>
          <w:rFonts w:eastAsia="Times New Roman"/>
          <w:color w:val="000000"/>
          <w:lang w:val="hu-HU" w:eastAsia="hu-HU" w:bidi="hu-HU"/>
        </w:rPr>
        <w:t>agiás pancreatitist és/vagy halálesetet is jelentettek. Ha pancreatitis gyanúja áll fenn, a Jansitin és más potenciálisan gyanúsítható gyógyszerek szedését abba kell hagyni. Amennyiben acut pancreatitis igazolódik, a Jansitin szedését nem szabad újra elkez</w:t>
      </w:r>
      <w:r>
        <w:rPr>
          <w:rFonts w:eastAsia="Times New Roman"/>
          <w:color w:val="000000"/>
          <w:lang w:val="hu-HU" w:eastAsia="hu-HU" w:bidi="hu-HU"/>
        </w:rPr>
        <w:t>deni. Elővigyázatossággal kell eljárni olyan betegeknél, akiknek a anamnézisében pancreatitis szerepel.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Hypoglykaemia a gyógyszer egyéb antihyperglykaemiás gyógyszerekkel kombinációban való alkalmazása esetén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Jansitin-nel folytatott klinikai vizsgálatok</w:t>
      </w:r>
      <w:r>
        <w:rPr>
          <w:rFonts w:eastAsia="Times New Roman"/>
          <w:color w:val="000000"/>
          <w:lang w:val="hu-HU" w:eastAsia="hu-HU" w:bidi="hu-HU"/>
        </w:rPr>
        <w:t xml:space="preserve"> során a Jansitin-t monoterápiában, illetve hypoglykaemiát köztudottan nem okozó gyógyszerekkel kombinációban (pl.: metforminnal és/vagy egy PPAR</w:t>
      </w:r>
      <w:r>
        <w:rPr>
          <w:rFonts w:eastAsia="Times New Roman"/>
          <w:lang w:val="hu-HU" w:eastAsia="en-US"/>
        </w:rPr>
        <w:t>γ</w:t>
      </w:r>
      <w:r>
        <w:rPr>
          <w:rFonts w:eastAsia="Times New Roman"/>
          <w:color w:val="000000"/>
          <w:lang w:val="hu-HU" w:eastAsia="hu-HU" w:bidi="hu-HU"/>
        </w:rPr>
        <w:t>-agonistával) alkalmazva a szitagliptin alkalmazása mellett jelentett, illetve a placebót szedő betegek körébe</w:t>
      </w:r>
      <w:r>
        <w:rPr>
          <w:rFonts w:eastAsia="Times New Roman"/>
          <w:color w:val="000000"/>
          <w:lang w:val="hu-HU" w:eastAsia="hu-HU" w:bidi="hu-HU"/>
        </w:rPr>
        <w:t>n előforduló hypoglykaemiás esetek aránya hasonló volt. Szitagliptin inzulinnal vagy egy szulfonilureával kombinációban történő alkalmazásakor hypoglykaemiát figyeltek meg. Ennélfogva tehát a hypoglykaemia kockázatának csökkentése érdekében, meg kell fonto</w:t>
      </w:r>
      <w:r>
        <w:rPr>
          <w:rFonts w:eastAsia="Times New Roman"/>
          <w:color w:val="000000"/>
          <w:lang w:val="hu-HU" w:eastAsia="hu-HU" w:bidi="hu-HU"/>
        </w:rPr>
        <w:t>lni a szulfonilurea vagy az inzulin kisebb dózisának alkalmazását (lásd 4.2 pont).</w:t>
      </w:r>
    </w:p>
    <w:p w:rsidR="00B04D48" w:rsidRDefault="00B04D48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Vesekárosodás</w:t>
      </w:r>
    </w:p>
    <w:p w:rsidR="00B04D48" w:rsidRDefault="000731B7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lastRenderedPageBreak/>
        <w:t>A szitagliptin a veséken keresztül választódik ki. A normál vesefunkciójú betegeknél megfigyeltekhez hasonló szitagliptin-plazmakoncentrációk eléréséhez kiseb</w:t>
      </w:r>
      <w:r>
        <w:rPr>
          <w:rFonts w:eastAsia="Times New Roman"/>
          <w:color w:val="000000"/>
          <w:lang w:val="hu-HU" w:eastAsia="hu-HU" w:bidi="hu-HU"/>
        </w:rPr>
        <w:t>b dózisok javasoltak a &lt; 45 ml/perc GFR értékkel rendelkező, illetve hemodialízist vagy peritoneális dialízist igénylő, végstádiumú vesebetegségben (ESRD) szenvedő betegeknél (lásd 4.2 és 5.2 pont).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Szitagliptin és egyéb antidiabetikum együttes alkalmazás</w:t>
      </w:r>
      <w:r>
        <w:rPr>
          <w:rFonts w:eastAsia="Times New Roman"/>
          <w:color w:val="000000"/>
          <w:lang w:val="hu-HU" w:eastAsia="hu-HU" w:bidi="hu-HU"/>
        </w:rPr>
        <w:t>ának fontolóra vételekor ellenőrizni kell a szitagliptin vesekárosodásban szenvedő betegeknél történő alkalmazásának feltételeit.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Túlérzékenységi reakciók</w:t>
      </w: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Szitagliptinnel kezelt betegeknél a forgalomba hozatalt követően súlyos túlérzékenységi reakciókat j</w:t>
      </w:r>
      <w:r>
        <w:rPr>
          <w:rFonts w:eastAsia="Times New Roman"/>
          <w:color w:val="000000"/>
          <w:lang w:val="hu-HU" w:eastAsia="hu-HU" w:bidi="hu-HU"/>
        </w:rPr>
        <w:t>elentettek. E reakciók közé tartoznak az anafilaxia, angioödéma és exfoliatív bőrelváltozások, beleértve a Stevens–Johnson-szindrómát. E reakciók a kezelés megkezdését követő első 3 hónapon belül – egyes jelentések szerint az első dózist követően – alakult</w:t>
      </w:r>
      <w:r>
        <w:rPr>
          <w:rFonts w:eastAsia="Times New Roman"/>
          <w:color w:val="000000"/>
          <w:lang w:val="hu-HU" w:eastAsia="hu-HU" w:bidi="hu-HU"/>
        </w:rPr>
        <w:t>ak ki. Amennyiben túlérzékenységi reakció gyanúja merül fel, a Jansitin szedését abba kell hagyni. Meg kell állapítani a reakció egyéb lehetséges okait, és a diabetes kezelésének más módját kell megkezdeni.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Bullosus pemphigoid</w:t>
      </w: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DPP-4-gátlókat – beleértve</w:t>
      </w:r>
      <w:r>
        <w:rPr>
          <w:rFonts w:eastAsia="Times New Roman"/>
          <w:color w:val="000000"/>
          <w:lang w:val="hu-HU" w:eastAsia="hu-HU" w:bidi="hu-HU"/>
        </w:rPr>
        <w:t xml:space="preserve"> a szitagliptint is – szedő betegeknél a forgalomba hozatalt követően bullosus pemphigoidról számoltak be. Ha bullosus pemphigoid gyanúja áll fenn, a Jansitin szedését abba kell hagyni.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Nátrium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készítmény kevesebb mint 1 mmol (23 mg) nátriumot tartalmaz</w:t>
      </w:r>
      <w:r>
        <w:rPr>
          <w:rFonts w:eastAsia="Times New Roman"/>
          <w:color w:val="000000"/>
          <w:lang w:val="hu-HU" w:eastAsia="hu-HU" w:bidi="hu-HU"/>
        </w:rPr>
        <w:t xml:space="preserve"> filmtablettánként, azaz gyakorlatilag „nátriummentes”.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u w:val="single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Laktóz (csak a 25 mg</w:t>
      </w:r>
      <w:r>
        <w:rPr>
          <w:rFonts w:eastAsia="Times New Roman"/>
          <w:color w:val="000000"/>
          <w:u w:val="single"/>
          <w:lang w:val="hu-HU" w:eastAsia="hu-HU" w:bidi="hu-HU"/>
        </w:rPr>
        <w:noBreakHyphen/>
        <w:t>os tablettára vonatkozóan)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Ritkán előforduló, örökletes galaktózintoleranciában, teljes laktázhiányban vagy glükóz-galaktóz malabszorpcióban a készítmény nem szedhető.</w:t>
      </w:r>
    </w:p>
    <w:p w:rsidR="00B04D48" w:rsidRDefault="00B04D48">
      <w:pPr>
        <w:spacing w:line="240" w:lineRule="auto"/>
        <w:rPr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4.5</w:t>
      </w:r>
      <w:r>
        <w:rPr>
          <w:rFonts w:eastAsia="Times New Roman"/>
          <w:b/>
          <w:bCs/>
          <w:noProof/>
          <w:lang w:val="hu-HU" w:eastAsia="en-US"/>
        </w:rPr>
        <w:tab/>
      </w:r>
      <w:r>
        <w:rPr>
          <w:rFonts w:eastAsia="Times New Roman"/>
          <w:b/>
          <w:bCs/>
          <w:noProof/>
          <w:lang w:val="hu-HU" w:eastAsia="en-US"/>
        </w:rPr>
        <w:t>Gyógyszerkölcsönhatások és egyéb interakciók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Más gyógyszerek hatása a szitagliptinre</w:t>
      </w: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Az alábbiakban ismertetett klinikai adatok arra utalnak, hogy kicsi annak a kockázata, hogy a szitagliptin az együttesen alkalmazott készítményekkel klinikailag jelentős </w:t>
      </w:r>
      <w:r>
        <w:rPr>
          <w:rFonts w:eastAsia="Times New Roman"/>
          <w:color w:val="000000"/>
          <w:lang w:val="hu-HU" w:eastAsia="hu-HU" w:bidi="hu-HU"/>
        </w:rPr>
        <w:t>kölcsönhatásba lép.</w:t>
      </w:r>
    </w:p>
    <w:p w:rsidR="00B04D48" w:rsidRDefault="00B04D48">
      <w:pPr>
        <w:widowControl w:val="0"/>
        <w:tabs>
          <w:tab w:val="clear" w:pos="567"/>
        </w:tabs>
        <w:spacing w:line="230" w:lineRule="auto"/>
        <w:rPr>
          <w:rFonts w:eastAsia="Times New Roman"/>
          <w:i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Az in vitro</w:t>
      </w:r>
      <w:r>
        <w:rPr>
          <w:rFonts w:eastAsia="Times New Roman"/>
          <w:color w:val="000000"/>
          <w:lang w:val="hu-HU" w:eastAsia="hu-HU" w:bidi="hu-HU"/>
        </w:rPr>
        <w:t xml:space="preserve"> vizsgálatok kimutatták, hogy a szitagliptin korlátozott metabolizmusáért elsődlegesen a CYP3A4 enzim felelős, a CYP2C8 közreműködésével. A normál vesefunkciójú betegek esetében a metabolizmus – beleértve a CYP3A4-en kereszt</w:t>
      </w:r>
      <w:r>
        <w:rPr>
          <w:rFonts w:eastAsia="Times New Roman"/>
          <w:color w:val="000000"/>
          <w:lang w:val="hu-HU" w:eastAsia="hu-HU" w:bidi="hu-HU"/>
        </w:rPr>
        <w:t xml:space="preserve">ül történő metabolizmust – csak kis szerepet játszik a szitagliptin kiürülésében. Súlyos vesekárosodás, illetve végstádiumú vesebetegség („end stage renal disease” - ESRD) esetén a metabolizmus a szitagliptin kiválasztásában jelentősebb szerepet játszhat. </w:t>
      </w:r>
      <w:r>
        <w:rPr>
          <w:rFonts w:eastAsia="Times New Roman"/>
          <w:color w:val="000000"/>
          <w:lang w:val="hu-HU" w:eastAsia="hu-HU" w:bidi="hu-HU"/>
        </w:rPr>
        <w:t>Ezen oknál fogva lehetséges tehát, hogy az erős CYP3A4-inhibitorok (pl.: ketokonazol, itrakonazol, ritonavir, klaritromicin) a súlyos vesekárosodásban vagy ESRD-ben szenvedő betegek esetében megváltoztathatják a szitagliptin farmakokinetikáját. Az erős CYP</w:t>
      </w:r>
      <w:r>
        <w:rPr>
          <w:rFonts w:eastAsia="Times New Roman"/>
          <w:color w:val="000000"/>
          <w:lang w:val="hu-HU" w:eastAsia="hu-HU" w:bidi="hu-HU"/>
        </w:rPr>
        <w:t>3A4-inhibitorok hatásait vesekárosodásban szenvedők esetében klinikai vizsgálatokban nem vizsgálták.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Az </w:t>
      </w:r>
      <w:r>
        <w:rPr>
          <w:rFonts w:eastAsia="Times New Roman"/>
          <w:i/>
          <w:color w:val="000000"/>
          <w:lang w:val="hu-HU" w:eastAsia="hu-HU" w:bidi="hu-HU"/>
        </w:rPr>
        <w:t>in vitro</w:t>
      </w:r>
      <w:r>
        <w:rPr>
          <w:rFonts w:eastAsia="Times New Roman"/>
          <w:color w:val="000000"/>
          <w:lang w:val="hu-HU" w:eastAsia="hu-HU" w:bidi="hu-HU"/>
        </w:rPr>
        <w:t xml:space="preserve"> transzportvizsgálatok azt mutatták, hogy a szitagliptin a p-glikoprotein és az organikus aniontranszporter-3 (OAT3) szubsztrátja. A szitaglipt</w:t>
      </w:r>
      <w:r>
        <w:rPr>
          <w:rFonts w:eastAsia="Times New Roman"/>
          <w:color w:val="000000"/>
          <w:lang w:val="hu-HU" w:eastAsia="hu-HU" w:bidi="hu-HU"/>
        </w:rPr>
        <w:t xml:space="preserve">in OAT3-mediált transzportját a probenecid </w:t>
      </w:r>
      <w:r>
        <w:rPr>
          <w:rFonts w:eastAsia="Times New Roman"/>
          <w:i/>
          <w:color w:val="000000"/>
          <w:lang w:val="hu-HU" w:eastAsia="hu-HU" w:bidi="hu-HU"/>
        </w:rPr>
        <w:t>in vitro</w:t>
      </w:r>
      <w:r>
        <w:rPr>
          <w:rFonts w:eastAsia="Times New Roman"/>
          <w:color w:val="000000"/>
          <w:lang w:val="hu-HU" w:eastAsia="hu-HU" w:bidi="hu-HU"/>
        </w:rPr>
        <w:t xml:space="preserve"> gátolta, noha a klinikailag jelentős kölcsönhatások kockázata alacsonynak bizonyult. Az OAT3-inhibitorok együttes alkalmazását </w:t>
      </w:r>
      <w:r>
        <w:rPr>
          <w:rFonts w:eastAsia="Times New Roman"/>
          <w:i/>
          <w:color w:val="000000"/>
          <w:lang w:val="hu-HU" w:eastAsia="hu-HU" w:bidi="hu-HU"/>
        </w:rPr>
        <w:t>in vivo</w:t>
      </w:r>
      <w:r>
        <w:rPr>
          <w:rFonts w:eastAsia="Times New Roman"/>
          <w:color w:val="000000"/>
          <w:lang w:val="hu-HU" w:eastAsia="hu-HU" w:bidi="hu-HU"/>
        </w:rPr>
        <w:t xml:space="preserve"> nem értékelték.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Metformin:</w:t>
      </w:r>
      <w:r>
        <w:rPr>
          <w:rFonts w:eastAsia="Times New Roman"/>
          <w:color w:val="000000"/>
          <w:lang w:val="hu-HU" w:eastAsia="hu-HU" w:bidi="hu-HU"/>
        </w:rPr>
        <w:t xml:space="preserve"> Napi kétszeri 1000 mg metformin ismételt </w:t>
      </w:r>
      <w:r>
        <w:rPr>
          <w:rFonts w:eastAsia="Times New Roman"/>
          <w:color w:val="000000"/>
          <w:lang w:val="hu-HU" w:eastAsia="hu-HU" w:bidi="hu-HU"/>
        </w:rPr>
        <w:t>adagolása nem változtatta meg jelentősen az együtt adott 50 mg szitagliptin farmakokinetikáját a 2-es típusú diabetesben szenvedő betegeknél.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Ciklosporin:</w:t>
      </w:r>
      <w:r>
        <w:rPr>
          <w:rFonts w:eastAsia="Times New Roman"/>
          <w:color w:val="000000"/>
          <w:lang w:val="hu-HU" w:eastAsia="hu-HU" w:bidi="hu-HU"/>
        </w:rPr>
        <w:t xml:space="preserve"> Elvégeztek egy vizsgálatot, hogy megállapítsák az erős p-glikoprotein-inhibitornak minősülő ciklospo</w:t>
      </w:r>
      <w:r>
        <w:rPr>
          <w:rFonts w:eastAsia="Times New Roman"/>
          <w:color w:val="000000"/>
          <w:lang w:val="hu-HU" w:eastAsia="hu-HU" w:bidi="hu-HU"/>
        </w:rPr>
        <w:t>rin hatását a szitagliptin farmakokinetikájára. A szitagliptin egyszeri, orálisan adott 100 mg-os dózisának együttes alkalmazása egyszeri, orálisan adott 600 mg ciklosporinnal hozzávetőleg 29%-kal emelte meg a szitagliptin AUC-értékét, és 68%-kal a C</w:t>
      </w:r>
      <w:r>
        <w:rPr>
          <w:rFonts w:eastAsia="Times New Roman"/>
          <w:color w:val="000000"/>
          <w:vertAlign w:val="subscript"/>
          <w:lang w:val="hu-HU" w:eastAsia="hu-HU" w:bidi="hu-HU"/>
        </w:rPr>
        <w:t>max</w:t>
      </w:r>
      <w:r>
        <w:rPr>
          <w:rFonts w:eastAsia="Times New Roman"/>
          <w:color w:val="000000"/>
          <w:lang w:val="hu-HU" w:eastAsia="hu-HU" w:bidi="hu-HU"/>
        </w:rPr>
        <w:t>-ér</w:t>
      </w:r>
      <w:r>
        <w:rPr>
          <w:rFonts w:eastAsia="Times New Roman"/>
          <w:color w:val="000000"/>
          <w:lang w:val="hu-HU" w:eastAsia="hu-HU" w:bidi="hu-HU"/>
        </w:rPr>
        <w:t xml:space="preserve">tékét. A szitagliptin farmakokinetikájának ezen változásai nem voltak klinikailag jelentősnek tekinthetőek. A szitagliptin vese-clearance-e nem módosult jelentős mértékben. Nem várható tehát jelentős interakció </w:t>
      </w:r>
      <w:r>
        <w:rPr>
          <w:rFonts w:eastAsia="Times New Roman"/>
          <w:color w:val="000000"/>
          <w:lang w:val="hu-HU" w:eastAsia="hu-HU" w:bidi="hu-HU"/>
        </w:rPr>
        <w:lastRenderedPageBreak/>
        <w:t>egyéb p-glikoprotein-inhibitorokkal.</w:t>
      </w:r>
    </w:p>
    <w:p w:rsidR="00B04D48" w:rsidRDefault="00B04D48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 xml:space="preserve">A </w:t>
      </w:r>
      <w:r>
        <w:rPr>
          <w:rFonts w:eastAsia="Times New Roman"/>
          <w:color w:val="000000"/>
          <w:u w:val="single"/>
          <w:lang w:val="hu-HU" w:eastAsia="hu-HU" w:bidi="hu-HU"/>
        </w:rPr>
        <w:t>szitagliptin más készítményekre gyakorolt hatásai</w:t>
      </w:r>
    </w:p>
    <w:p w:rsidR="00B04D48" w:rsidRDefault="000731B7">
      <w:pPr>
        <w:widowControl w:val="0"/>
        <w:tabs>
          <w:tab w:val="clear" w:pos="567"/>
        </w:tabs>
        <w:spacing w:line="23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Digoxin:</w:t>
      </w:r>
      <w:r>
        <w:rPr>
          <w:rFonts w:eastAsia="Times New Roman"/>
          <w:color w:val="000000"/>
          <w:lang w:val="hu-HU" w:eastAsia="hu-HU" w:bidi="hu-HU"/>
        </w:rPr>
        <w:t xml:space="preserve"> A szitagliptin csekély mértékben befolyásolta a plazma digoxin koncentrációját. Napi 0,25 mg digoxin és 100 mg szitagliptin 10 napon át történő együttes alkalmazása a digoxin plazma AUC-értékét átl</w:t>
      </w:r>
      <w:r>
        <w:rPr>
          <w:rFonts w:eastAsia="Times New Roman"/>
          <w:color w:val="000000"/>
          <w:lang w:val="hu-HU" w:eastAsia="hu-HU" w:bidi="hu-HU"/>
        </w:rPr>
        <w:t>agosan 11%-kal, míg a plazma C</w:t>
      </w:r>
      <w:r>
        <w:rPr>
          <w:rFonts w:eastAsia="Times New Roman"/>
          <w:color w:val="000000"/>
          <w:vertAlign w:val="subscript"/>
          <w:lang w:val="hu-HU" w:eastAsia="hu-HU" w:bidi="hu-HU"/>
        </w:rPr>
        <w:t>max</w:t>
      </w:r>
      <w:r>
        <w:rPr>
          <w:rFonts w:eastAsia="Times New Roman"/>
          <w:color w:val="000000"/>
          <w:lang w:val="hu-HU" w:eastAsia="hu-HU" w:bidi="hu-HU"/>
        </w:rPr>
        <w:t xml:space="preserve">-értékét átlagosan 18%-kal emelte meg. A digoxin dózismódosítása nem javasolt. A digoxin-toxicitás kockázatának kitett betegeket azonban monitorozni kell, amennyiben a szitagliptin és a digoxin együttes alkalmazására kerül </w:t>
      </w:r>
      <w:r>
        <w:rPr>
          <w:rFonts w:eastAsia="Times New Roman"/>
          <w:color w:val="000000"/>
          <w:lang w:val="hu-HU" w:eastAsia="hu-HU" w:bidi="hu-HU"/>
        </w:rPr>
        <w:t>sor.</w:t>
      </w:r>
    </w:p>
    <w:p w:rsidR="00B04D48" w:rsidRDefault="00B04D48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33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Az </w:t>
      </w:r>
      <w:r>
        <w:rPr>
          <w:rFonts w:eastAsia="Times New Roman"/>
          <w:i/>
          <w:color w:val="000000"/>
          <w:lang w:val="hu-HU" w:eastAsia="hu-HU" w:bidi="hu-HU"/>
        </w:rPr>
        <w:t>in vitro</w:t>
      </w:r>
      <w:r>
        <w:rPr>
          <w:rFonts w:eastAsia="Times New Roman"/>
          <w:color w:val="000000"/>
          <w:lang w:val="hu-HU" w:eastAsia="hu-HU" w:bidi="hu-HU"/>
        </w:rPr>
        <w:t xml:space="preserve"> adatok alapján a szitagliptin nem gátolja és nem is indukálja a CYP450 izoenzimeket. A klinikai vizsgálatok során a szitagliptin nem változtatta meg jelentős mértékben a metformin, glibenklamid, szimvasztatin, roziglitazon, warfarin vagy </w:t>
      </w:r>
      <w:r>
        <w:rPr>
          <w:rFonts w:eastAsia="Times New Roman"/>
          <w:color w:val="000000"/>
          <w:lang w:val="hu-HU" w:eastAsia="hu-HU" w:bidi="hu-HU"/>
        </w:rPr>
        <w:t xml:space="preserve">orális fogamzásgátlók farmakokinetikáját, mely </w:t>
      </w:r>
      <w:r>
        <w:rPr>
          <w:rFonts w:eastAsia="Times New Roman"/>
          <w:i/>
          <w:color w:val="000000"/>
          <w:lang w:val="hu-HU" w:eastAsia="hu-HU" w:bidi="hu-HU"/>
        </w:rPr>
        <w:t xml:space="preserve">in vivo </w:t>
      </w:r>
      <w:r>
        <w:rPr>
          <w:rFonts w:eastAsia="Times New Roman"/>
          <w:color w:val="000000"/>
          <w:lang w:val="hu-HU" w:eastAsia="hu-HU" w:bidi="hu-HU"/>
        </w:rPr>
        <w:t xml:space="preserve">bizonyítja a CYP3A4, CYP2C8, CYP2C9 és az organikus kationtranszporter („organic cationic transporter” – OCT) szubsztrátokkal szemben mutatott alacsony interakciós hajlamot. </w:t>
      </w:r>
      <w:r>
        <w:rPr>
          <w:rFonts w:eastAsia="Times New Roman"/>
          <w:i/>
          <w:color w:val="000000"/>
          <w:lang w:val="hu-HU" w:eastAsia="hu-HU" w:bidi="hu-HU"/>
        </w:rPr>
        <w:t>In vivo</w:t>
      </w:r>
      <w:r>
        <w:rPr>
          <w:rFonts w:eastAsia="Times New Roman"/>
          <w:color w:val="000000"/>
          <w:lang w:val="hu-HU" w:eastAsia="hu-HU" w:bidi="hu-HU"/>
        </w:rPr>
        <w:t xml:space="preserve"> a szitagliptin a p-</w:t>
      </w:r>
      <w:r>
        <w:rPr>
          <w:rFonts w:eastAsia="Times New Roman"/>
          <w:color w:val="000000"/>
          <w:lang w:val="hu-HU" w:eastAsia="hu-HU" w:bidi="hu-HU"/>
        </w:rPr>
        <w:t>glikoproteint enyhén gátolhatja.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4.6</w:t>
      </w:r>
      <w:r>
        <w:rPr>
          <w:rFonts w:eastAsia="Times New Roman"/>
          <w:b/>
          <w:bCs/>
          <w:noProof/>
          <w:lang w:val="hu-HU" w:eastAsia="en-US"/>
        </w:rPr>
        <w:tab/>
        <w:t>Termékenység, terhesség és szoptatás</w:t>
      </w:r>
    </w:p>
    <w:p w:rsidR="00B04D48" w:rsidRDefault="00B04D48">
      <w:pPr>
        <w:spacing w:line="240" w:lineRule="auto"/>
        <w:rPr>
          <w:i/>
          <w:lang w:val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Terhesség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szitagliptin terhes nőknél történő alkalmazása tekintetében nem áll rendelkezésre megfelelő mennyiségű információ. Állatkísérletek során reprodukciós toxicitást igazolt</w:t>
      </w:r>
      <w:r>
        <w:rPr>
          <w:rFonts w:eastAsia="Times New Roman"/>
          <w:color w:val="000000"/>
          <w:lang w:val="hu-HU" w:eastAsia="hu-HU" w:bidi="hu-HU"/>
        </w:rPr>
        <w:t>ak nagy dózisok alkalmazása mellett (lásd 5.3 pont). Az emberi kockázat mértéke nem ismert. Az emberekre vonatkozó adatok hiánya miatt a Jansitin-t nem szabad alkalmazni terhesség alatt.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Szoptatás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Nem ismert, hogy a szitagliptin kiválasztódik-e a humán </w:t>
      </w:r>
      <w:r>
        <w:rPr>
          <w:rFonts w:eastAsia="Times New Roman"/>
          <w:color w:val="000000"/>
          <w:lang w:val="hu-HU" w:eastAsia="hu-HU" w:bidi="hu-HU"/>
        </w:rPr>
        <w:t>anyatejbe. Az állatkísérletek azt mutatják, hogy a szitagliptin kiválasztódik az anyatejbe. A Jansitin-t nem szabad alkalmazni szoptatás alatt.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Termékenység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Az állatkísérleti adatok nem utalnak arra, hogy a szitagliptin-kezelés hatással lenne a férfi és n</w:t>
      </w:r>
      <w:r>
        <w:rPr>
          <w:rFonts w:eastAsia="Times New Roman"/>
          <w:color w:val="000000"/>
          <w:lang w:val="hu-HU" w:eastAsia="hu-HU" w:bidi="hu-HU"/>
        </w:rPr>
        <w:t>ői termékenységre. Humán adatok nincsenek.</w:t>
      </w:r>
    </w:p>
    <w:p w:rsidR="00B04D48" w:rsidRDefault="00B04D48">
      <w:pPr>
        <w:spacing w:line="240" w:lineRule="auto"/>
        <w:rPr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4.7</w:t>
      </w:r>
      <w:r>
        <w:rPr>
          <w:rFonts w:eastAsia="Times New Roman"/>
          <w:b/>
          <w:bCs/>
          <w:noProof/>
          <w:lang w:val="hu-HU" w:eastAsia="en-US"/>
        </w:rPr>
        <w:tab/>
        <w:t>A készítmény hatásai a gépjárművezetéshez és a gépek kezeléséhez szükséges képességekre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spacing w:line="240" w:lineRule="auto"/>
        <w:rPr>
          <w:rFonts w:eastAsia="Times New Roman"/>
          <w:noProof/>
          <w:lang w:val="hu-HU" w:eastAsia="en-US" w:bidi="hu-HU"/>
        </w:rPr>
      </w:pPr>
      <w:r>
        <w:rPr>
          <w:rFonts w:eastAsia="Times New Roman"/>
          <w:noProof/>
          <w:lang w:val="hu-HU" w:eastAsia="en-US"/>
        </w:rPr>
        <w:t xml:space="preserve">A Jansitin nem, vagy csak elhanyagolható mértékben befolyásolja a gépjárművezetéshez és a gépek kezeléséhez szükséges képességeket. </w:t>
      </w:r>
      <w:r>
        <w:rPr>
          <w:rFonts w:eastAsia="Times New Roman"/>
          <w:noProof/>
          <w:lang w:val="hu-HU" w:eastAsia="en-US" w:bidi="hu-HU"/>
        </w:rPr>
        <w:t>Gépjárművezetéskor vagy gépek kezelésekor figyelembe kell venni azonban, hogy beszámoltak szédülésről és álmosságról.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 w:bidi="hu-HU"/>
        </w:rPr>
      </w:pPr>
    </w:p>
    <w:p w:rsidR="00B04D48" w:rsidRDefault="000731B7">
      <w:pPr>
        <w:spacing w:line="240" w:lineRule="auto"/>
        <w:rPr>
          <w:lang w:val="hu-HU"/>
        </w:rPr>
      </w:pPr>
      <w:r>
        <w:rPr>
          <w:rFonts w:eastAsia="Times New Roman"/>
          <w:noProof/>
          <w:lang w:val="hu-HU" w:eastAsia="en-US" w:bidi="hu-HU"/>
        </w:rPr>
        <w:t>Továb</w:t>
      </w:r>
      <w:r>
        <w:rPr>
          <w:rFonts w:eastAsia="Times New Roman"/>
          <w:noProof/>
          <w:lang w:val="hu-HU" w:eastAsia="en-US" w:bidi="hu-HU"/>
        </w:rPr>
        <w:t>bá a Jansitin és egy szulfonilurea vagy inzulin együttes szedésekor a betegek figyelmét fel kell hívni a hypoglykaemia kockázatára.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4.8</w:t>
      </w:r>
      <w:r>
        <w:rPr>
          <w:rFonts w:eastAsia="Times New Roman"/>
          <w:b/>
          <w:bCs/>
          <w:noProof/>
          <w:lang w:val="hu-HU" w:eastAsia="en-US"/>
        </w:rPr>
        <w:tab/>
        <w:t>Nemkívánatos hatások, mellékhatások</w:t>
      </w:r>
    </w:p>
    <w:p w:rsidR="00B04D48" w:rsidRDefault="00B04D48">
      <w:pPr>
        <w:spacing w:line="240" w:lineRule="auto"/>
        <w:rPr>
          <w:i/>
          <w:lang w:val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bookmarkStart w:id="0" w:name="bookmark22"/>
      <w:r>
        <w:rPr>
          <w:rFonts w:eastAsia="Times New Roman"/>
          <w:color w:val="000000"/>
          <w:u w:val="single"/>
          <w:lang w:val="hu-HU" w:eastAsia="hu-HU" w:bidi="hu-HU"/>
        </w:rPr>
        <w:t>A</w:t>
      </w:r>
      <w:bookmarkEnd w:id="0"/>
      <w:r>
        <w:rPr>
          <w:rFonts w:eastAsia="Times New Roman"/>
          <w:color w:val="000000"/>
          <w:u w:val="single"/>
          <w:lang w:val="hu-HU" w:eastAsia="hu-HU" w:bidi="hu-HU"/>
        </w:rPr>
        <w:t xml:space="preserve"> biztonságossági profil összefoglalása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bookmarkStart w:id="1" w:name="bookmark23"/>
      <w:r>
        <w:rPr>
          <w:rFonts w:eastAsia="Times New Roman"/>
          <w:color w:val="000000"/>
          <w:lang w:val="hu-HU" w:eastAsia="hu-HU" w:bidi="hu-HU"/>
        </w:rPr>
        <w:t>S</w:t>
      </w:r>
      <w:bookmarkEnd w:id="1"/>
      <w:r>
        <w:rPr>
          <w:rFonts w:eastAsia="Times New Roman"/>
          <w:color w:val="000000"/>
          <w:lang w:val="hu-HU" w:eastAsia="hu-HU" w:bidi="hu-HU"/>
        </w:rPr>
        <w:t>úlyos mellékhatásokról, köztük pancreatit</w:t>
      </w:r>
      <w:r>
        <w:rPr>
          <w:rFonts w:eastAsia="Times New Roman"/>
          <w:color w:val="000000"/>
          <w:lang w:val="hu-HU" w:eastAsia="hu-HU" w:bidi="hu-HU"/>
        </w:rPr>
        <w:t>isről és túlérzékenységi reakciókról számoltak be.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Hypoglykaemiáról számoltak be szulfonilureával (4,7% – 13,8%) és inzulinnal (9,6%) való kombinációban (lásd 4.4 pont).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bookmarkStart w:id="2" w:name="bookmark25"/>
      <w:r>
        <w:rPr>
          <w:rFonts w:eastAsia="Times New Roman"/>
          <w:color w:val="000000"/>
          <w:u w:val="single"/>
          <w:lang w:val="hu-HU" w:eastAsia="hu-HU" w:bidi="hu-HU"/>
        </w:rPr>
        <w:t>A</w:t>
      </w:r>
      <w:bookmarkEnd w:id="2"/>
      <w:r>
        <w:rPr>
          <w:rFonts w:eastAsia="Times New Roman"/>
          <w:color w:val="000000"/>
          <w:u w:val="single"/>
          <w:lang w:val="hu-HU" w:eastAsia="hu-HU" w:bidi="hu-HU"/>
        </w:rPr>
        <w:t xml:space="preserve"> mellékhatások táblázatos felsorolása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bookmarkStart w:id="3" w:name="bookmark26"/>
      <w:r>
        <w:rPr>
          <w:rFonts w:eastAsia="Times New Roman"/>
          <w:color w:val="000000"/>
          <w:lang w:val="hu-HU" w:eastAsia="hu-HU" w:bidi="hu-HU"/>
        </w:rPr>
        <w:t>A</w:t>
      </w:r>
      <w:bookmarkEnd w:id="3"/>
      <w:r>
        <w:rPr>
          <w:rFonts w:eastAsia="Times New Roman"/>
          <w:color w:val="000000"/>
          <w:lang w:val="hu-HU" w:eastAsia="hu-HU" w:bidi="hu-HU"/>
        </w:rPr>
        <w:t xml:space="preserve"> mellékhatások az 1. táblázatban szervrendsze</w:t>
      </w:r>
      <w:r>
        <w:rPr>
          <w:rFonts w:eastAsia="Times New Roman"/>
          <w:color w:val="000000"/>
          <w:lang w:val="hu-HU" w:eastAsia="hu-HU" w:bidi="hu-HU"/>
        </w:rPr>
        <w:t>r és gyakoriság szerint vannak felsorolva. Az előfordulási gyakoriságok meghatározása a következő: nagyon gyakori (</w:t>
      </w:r>
      <w:r>
        <w:rPr>
          <w:lang w:val="hu-HU"/>
        </w:rPr>
        <w:t>≥ </w:t>
      </w:r>
      <w:r>
        <w:rPr>
          <w:rFonts w:eastAsia="Times New Roman"/>
          <w:color w:val="000000"/>
          <w:lang w:val="hu-HU" w:eastAsia="hu-HU" w:bidi="hu-HU"/>
        </w:rPr>
        <w:t>1/10); gyakori (</w:t>
      </w:r>
      <w:r>
        <w:rPr>
          <w:lang w:val="hu-HU"/>
        </w:rPr>
        <w:t>≥ </w:t>
      </w:r>
      <w:r>
        <w:rPr>
          <w:rFonts w:eastAsia="Times New Roman"/>
          <w:color w:val="000000"/>
          <w:lang w:val="hu-HU" w:eastAsia="hu-HU" w:bidi="hu-HU"/>
        </w:rPr>
        <w:t>1/100 – &lt; 1/10); nem gyakori (</w:t>
      </w:r>
      <w:r>
        <w:rPr>
          <w:lang w:val="hu-HU"/>
        </w:rPr>
        <w:t>≥ </w:t>
      </w:r>
      <w:r>
        <w:rPr>
          <w:rFonts w:eastAsia="Times New Roman"/>
          <w:color w:val="000000"/>
          <w:lang w:val="hu-HU" w:eastAsia="hu-HU" w:bidi="hu-HU"/>
        </w:rPr>
        <w:t>1/1000 – &lt; 1/100); ritka (</w:t>
      </w:r>
      <w:r>
        <w:rPr>
          <w:lang w:val="hu-HU"/>
        </w:rPr>
        <w:t>≥ </w:t>
      </w:r>
      <w:r>
        <w:rPr>
          <w:rFonts w:eastAsia="Times New Roman"/>
          <w:color w:val="000000"/>
          <w:lang w:val="hu-HU" w:eastAsia="hu-HU" w:bidi="hu-HU"/>
        </w:rPr>
        <w:t>1/10 000 – &lt; 1/1000); nagyon ritka (&lt; 1/10 000) és nem ismert</w:t>
      </w:r>
      <w:r>
        <w:rPr>
          <w:rFonts w:eastAsia="Times New Roman"/>
          <w:color w:val="000000"/>
          <w:lang w:val="hu-HU" w:eastAsia="hu-HU" w:bidi="hu-HU"/>
        </w:rPr>
        <w:t xml:space="preserve"> (a gyakoriság a rendelkezésre álló adatokból nem állapítható meg).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  <w:tab w:val="left" w:pos="344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bookmarkStart w:id="4" w:name="bookmark27"/>
      <w:bookmarkEnd w:id="4"/>
      <w:r>
        <w:rPr>
          <w:rFonts w:eastAsia="Times New Roman"/>
          <w:b/>
          <w:bCs/>
          <w:color w:val="000000"/>
          <w:lang w:val="hu-HU" w:eastAsia="hu-HU" w:bidi="hu-HU"/>
        </w:rPr>
        <w:t>1. táblázat. A placebokontrollos, szitagliptin monoterápiát alkalmazó klinikai vizsgálatokban és a forgalomba hozatalt követően felismert mellékhatások gyakorisága</w:t>
      </w:r>
    </w:p>
    <w:p w:rsidR="00B04D48" w:rsidRDefault="00B04D48">
      <w:pPr>
        <w:spacing w:line="240" w:lineRule="auto"/>
        <w:rPr>
          <w:u w:val="single"/>
          <w:lang w:val="hu-HU"/>
        </w:rPr>
      </w:pPr>
    </w:p>
    <w:tbl>
      <w:tblPr>
        <w:tblW w:w="930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6"/>
        <w:gridCol w:w="4656"/>
      </w:tblGrid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>Mellékhatás</w:t>
            </w:r>
          </w:p>
          <w:p w:rsidR="00B04D48" w:rsidRDefault="00B04D48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lastRenderedPageBreak/>
              <w:t xml:space="preserve">A </w:t>
            </w: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>mellékhatás gyakorisága</w:t>
            </w:r>
          </w:p>
        </w:tc>
      </w:tr>
      <w:tr w:rsidR="00B04D48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>Vérképzőszervi és nyirokrendszeri betegségek és tünetek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33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thrombocytopenia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Ritka</w:t>
            </w:r>
          </w:p>
        </w:tc>
      </w:tr>
      <w:tr w:rsidR="00B04D48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>Immunrendszeri betegségek és tünetek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33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túlérzékenységi reakciók, beleértve az anaphylaxiás reakciókat is</w:t>
            </w:r>
            <w:r>
              <w:rPr>
                <w:rFonts w:eastAsia="Times New Roman"/>
                <w:color w:val="000000"/>
                <w:sz w:val="14"/>
                <w:szCs w:val="14"/>
                <w:lang w:val="hu-HU" w:eastAsia="hu-HU" w:bidi="hu-HU"/>
              </w:rPr>
              <w:t xml:space="preserve"> </w:t>
            </w:r>
            <w:r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 xml:space="preserve">Anyagcsere- és </w:t>
            </w: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>táplálkozási betegségek és tünetek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hypoglykaemia</w:t>
            </w:r>
            <w:r>
              <w:rPr>
                <w:vertAlign w:val="superscript"/>
                <w:lang w:val="hu-HU"/>
              </w:rPr>
              <w:t>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</w:t>
            </w:r>
          </w:p>
        </w:tc>
      </w:tr>
      <w:tr w:rsidR="00B04D48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>Idegrendszeri betegségek és tünetek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fejfájás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szédülés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Nem gyakori</w:t>
            </w:r>
          </w:p>
        </w:tc>
      </w:tr>
      <w:tr w:rsidR="00B04D48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>Légzőrendszeri, mellkasi és mediastinalis betegségek és tünetek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sz w:val="14"/>
                <w:szCs w:val="14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interstitialis tüdőbetegség</w:t>
            </w:r>
            <w:r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>Emésztőrendszeri betegségek és tünetek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székrekedés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Nem gyakori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sz w:val="14"/>
                <w:szCs w:val="14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hányás</w:t>
            </w:r>
            <w:r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acut pancreatitis</w:t>
            </w:r>
            <w:r>
              <w:rPr>
                <w:vertAlign w:val="superscript"/>
                <w:lang w:val="hu-HU"/>
              </w:rPr>
              <w:t>*,†,‡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fatális és nem fatális kimenetelű haemorrhagiás és nekrotizáló pancreatitis</w:t>
            </w:r>
            <w:r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 xml:space="preserve">A bőr és a </w:t>
            </w: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>bőr alatti szövet betegségei és tünetei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18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pruritus</w:t>
            </w:r>
            <w:r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Nem gyakori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angiooedema</w:t>
            </w:r>
            <w:r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kiütés</w:t>
            </w:r>
            <w:r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urticaria</w:t>
            </w:r>
            <w:r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cutan vasculitis</w:t>
            </w:r>
            <w:r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D48" w:rsidRDefault="000731B7">
            <w:pPr>
              <w:widowControl w:val="0"/>
              <w:tabs>
                <w:tab w:val="clear" w:pos="567"/>
              </w:tabs>
              <w:spacing w:line="228" w:lineRule="auto"/>
              <w:ind w:left="127"/>
              <w:rPr>
                <w:rFonts w:eastAsia="Times New Roman"/>
                <w:color w:val="000000"/>
                <w:sz w:val="14"/>
                <w:szCs w:val="14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 xml:space="preserve">exfoliatív bőrelváltozások, beleértve a </w:t>
            </w:r>
            <w:r>
              <w:rPr>
                <w:rFonts w:eastAsia="Times New Roman"/>
                <w:color w:val="000000"/>
                <w:lang w:val="hu-HU" w:eastAsia="hu-HU" w:bidi="hu-HU"/>
              </w:rPr>
              <w:t>Stevens–Johnson-szindrómát is</w:t>
            </w:r>
            <w:r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sz w:val="14"/>
                <w:szCs w:val="14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bullosus pemphigoid</w:t>
            </w:r>
            <w:r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>A csont- és izomrendszer, valamint a kötőszövet betegségei és tünetei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sz w:val="14"/>
                <w:szCs w:val="14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arthralgia</w:t>
            </w:r>
            <w:r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sz w:val="14"/>
                <w:szCs w:val="14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myalgia</w:t>
            </w:r>
            <w:r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sz w:val="14"/>
                <w:szCs w:val="14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hátfájás</w:t>
            </w:r>
            <w:r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sz w:val="14"/>
                <w:szCs w:val="14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arthropathia</w:t>
            </w:r>
            <w:r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lang w:val="hu-HU" w:eastAsia="hu-HU" w:bidi="hu-HU"/>
              </w:rPr>
              <w:t>Vese- és húgyúti betegségek és tünetek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sz w:val="14"/>
                <w:szCs w:val="14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vesekárosodás</w:t>
            </w:r>
            <w:r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  <w:tr w:rsidR="00B04D48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color w:val="000000"/>
                <w:sz w:val="14"/>
                <w:szCs w:val="14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akut veseelégtelenség</w:t>
            </w:r>
            <w:r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lang w:val="hu-HU" w:eastAsia="hu-HU" w:bidi="hu-HU"/>
              </w:rPr>
              <w:t>Gyakoriság nem ismert</w:t>
            </w:r>
          </w:p>
        </w:tc>
      </w:tr>
    </w:tbl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187" w:lineRule="exact"/>
        <w:ind w:left="142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position w:val="8"/>
          <w:sz w:val="12"/>
          <w:szCs w:val="12"/>
          <w:lang w:val="hu-HU" w:eastAsia="en-US"/>
        </w:rPr>
        <w:t xml:space="preserve">* </w:t>
      </w:r>
      <w:r>
        <w:rPr>
          <w:rFonts w:eastAsia="Times New Roman"/>
          <w:sz w:val="18"/>
          <w:szCs w:val="18"/>
          <w:lang w:val="hu-HU" w:eastAsia="en-US" w:bidi="hu-HU"/>
        </w:rPr>
        <w:t xml:space="preserve">A mellékhatásokat a forgalomba hozatalt követő felügyelet során </w:t>
      </w:r>
      <w:r>
        <w:rPr>
          <w:rFonts w:eastAsia="Times New Roman"/>
          <w:sz w:val="18"/>
          <w:szCs w:val="18"/>
          <w:lang w:val="hu-HU" w:eastAsia="en-US" w:bidi="hu-HU"/>
        </w:rPr>
        <w:t>azonosították</w:t>
      </w:r>
      <w:r>
        <w:rPr>
          <w:rFonts w:eastAsia="Times New Roman"/>
          <w:sz w:val="18"/>
          <w:szCs w:val="18"/>
          <w:lang w:val="hu-HU" w:eastAsia="en-US"/>
        </w:rPr>
        <w:t>.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08" w:lineRule="exact"/>
        <w:ind w:left="142"/>
        <w:rPr>
          <w:rFonts w:eastAsia="Times New Roman"/>
          <w:b/>
          <w:bCs/>
          <w:sz w:val="18"/>
          <w:szCs w:val="18"/>
          <w:lang w:val="hu-HU" w:eastAsia="en-US"/>
        </w:rPr>
      </w:pPr>
      <w:r>
        <w:rPr>
          <w:rFonts w:eastAsia="Times New Roman"/>
          <w:position w:val="8"/>
          <w:sz w:val="12"/>
          <w:szCs w:val="12"/>
          <w:lang w:val="hu-HU" w:eastAsia="en-US"/>
        </w:rPr>
        <w:t xml:space="preserve">† </w:t>
      </w:r>
      <w:r>
        <w:rPr>
          <w:rFonts w:eastAsia="Times New Roman"/>
          <w:b/>
          <w:bCs/>
          <w:sz w:val="18"/>
          <w:szCs w:val="18"/>
          <w:lang w:val="hu-HU" w:eastAsia="en-US"/>
        </w:rPr>
        <w:t>Lásd 4.4 pont.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20" w:lineRule="exact"/>
        <w:ind w:left="142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position w:val="8"/>
          <w:sz w:val="12"/>
          <w:szCs w:val="12"/>
          <w:lang w:val="hu-HU" w:eastAsia="en-US"/>
        </w:rPr>
        <w:t xml:space="preserve">‡  </w:t>
      </w:r>
      <w:r>
        <w:rPr>
          <w:rFonts w:eastAsia="Times New Roman"/>
          <w:sz w:val="18"/>
          <w:szCs w:val="18"/>
          <w:lang w:val="hu-HU" w:eastAsia="en-US"/>
        </w:rPr>
        <w:t xml:space="preserve">Lásd alább, a </w:t>
      </w:r>
      <w:r>
        <w:rPr>
          <w:rFonts w:eastAsia="Times New Roman"/>
          <w:i/>
          <w:sz w:val="18"/>
          <w:szCs w:val="18"/>
          <w:lang w:val="hu-HU" w:eastAsia="en-US"/>
        </w:rPr>
        <w:t xml:space="preserve">TECOS cardiovascularis biztonságossági vizsgálatra </w:t>
      </w:r>
      <w:r>
        <w:rPr>
          <w:rFonts w:eastAsia="Times New Roman"/>
          <w:sz w:val="18"/>
          <w:szCs w:val="18"/>
          <w:lang w:val="hu-HU" w:eastAsia="en-US"/>
        </w:rPr>
        <w:t>vonatkozó részt.</w:t>
      </w:r>
    </w:p>
    <w:p w:rsidR="00B04D48" w:rsidRDefault="00B04D48">
      <w:pPr>
        <w:spacing w:line="240" w:lineRule="auto"/>
        <w:rPr>
          <w:u w:val="single"/>
          <w:lang w:val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A kiválasztott mellékhatások leírása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 fent ismertetett, gyógyszerrel összefüggő mellékhatások mellett a gyógyszerrel történő ok-okozati </w:t>
      </w:r>
      <w:r>
        <w:rPr>
          <w:rFonts w:eastAsia="Times New Roman"/>
          <w:color w:val="000000"/>
          <w:lang w:val="hu-HU" w:eastAsia="hu-HU" w:bidi="hu-HU"/>
        </w:rPr>
        <w:t>viszony feltüntetése nélkül jelentett, és szitagliptinnel kezelt betegek legalább 5%-ánál vagy ennél gyakrabban fellépő nemkívánatos események közé tartozott a felső légúti fertőzés és a nasopharyngitis. A további, a gyógyszerrel történő ok-okozati összefü</w:t>
      </w:r>
      <w:r>
        <w:rPr>
          <w:rFonts w:eastAsia="Times New Roman"/>
          <w:color w:val="000000"/>
          <w:lang w:val="hu-HU" w:eastAsia="hu-HU" w:bidi="hu-HU"/>
        </w:rPr>
        <w:t>ggéstől függetlenül jelentett, és a szitagliptinnel kezelt betegeknél gyakrabban (a kontrollcsoporthoz képest a szitagliptin mellett az 5%</w:t>
      </w:r>
      <w:r>
        <w:rPr>
          <w:rFonts w:eastAsia="Times New Roman"/>
          <w:color w:val="000000"/>
          <w:lang w:val="hu-HU" w:eastAsia="hu-HU" w:bidi="hu-HU"/>
        </w:rPr>
        <w:noBreakHyphen/>
        <w:t>os szintet el nem érő, de &gt; 0,5%-kal magasabb gyakoriság mellett) előforduló mellékhatások közé tartozott az osteoart</w:t>
      </w:r>
      <w:r>
        <w:rPr>
          <w:rFonts w:eastAsia="Times New Roman"/>
          <w:color w:val="000000"/>
          <w:lang w:val="hu-HU" w:eastAsia="hu-HU" w:bidi="hu-HU"/>
        </w:rPr>
        <w:t>hritis és a végtagfájdalom.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 szitagliptin és más antidiabetikumok kombinációjának alkalmazását értékelő vizsgálatok során egyes mellékhatásokat gyakrabban figyeltek meg, mint a szitagliptin monoterápiás vizsgálatokban. Ezek közé tartozik a hypoglykaemia </w:t>
      </w:r>
      <w:r>
        <w:rPr>
          <w:rFonts w:eastAsia="Times New Roman"/>
          <w:color w:val="000000"/>
          <w:lang w:val="hu-HU" w:eastAsia="hu-HU" w:bidi="hu-HU"/>
        </w:rPr>
        <w:t xml:space="preserve">(szulfonilurea és metformin kombinációja mellett gyakorisága „nagyon gyakori” volt), influenza ([metforminnal vagy anélkül kapott] inzulin mellett gyakorisága „gyakori” volt), hányinger és hányás (metformin mellett gyakorisága „gyakori” volt), flatulencia </w:t>
      </w:r>
      <w:r>
        <w:rPr>
          <w:rFonts w:eastAsia="Times New Roman"/>
          <w:color w:val="000000"/>
          <w:lang w:val="hu-HU" w:eastAsia="hu-HU" w:bidi="hu-HU"/>
        </w:rPr>
        <w:t xml:space="preserve">(metformin vagy pioglitazon mellett gyakorisága „gyakori” volt), székrekedés (szulfonilurea és metformin kombinációja mellett gyakorisága „gyakori” volt), perifériás oedema (pioglitazon vagy a </w:t>
      </w:r>
      <w:r>
        <w:rPr>
          <w:rFonts w:eastAsia="Times New Roman"/>
          <w:color w:val="000000"/>
          <w:lang w:val="hu-HU" w:eastAsia="hu-HU" w:bidi="hu-HU"/>
        </w:rPr>
        <w:lastRenderedPageBreak/>
        <w:t>pioglitazon és metformin kombinációja mellett gyakorisága„gyako</w:t>
      </w:r>
      <w:r>
        <w:rPr>
          <w:rFonts w:eastAsia="Times New Roman"/>
          <w:color w:val="000000"/>
          <w:lang w:val="hu-HU" w:eastAsia="hu-HU" w:bidi="hu-HU"/>
        </w:rPr>
        <w:t>ri” volt), aluszékonyság és hasmenés (metformin mellett gyakorisága „nem gyakori” volt), valamint a szájszárazság ([metforminnal vagy anélkül kapott] inzulin mellett gyakorisága „nem gyakori” volt).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Gyermekek és serdülők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2-es típusú diabetes mellitusban</w:t>
      </w:r>
      <w:r>
        <w:rPr>
          <w:rFonts w:eastAsia="Times New Roman"/>
          <w:color w:val="000000"/>
          <w:lang w:val="hu-HU" w:eastAsia="hu-HU" w:bidi="hu-HU"/>
        </w:rPr>
        <w:t xml:space="preserve"> szenvedő, 10–17 éves gyermekeknél és serdülőknél szitagliptinnel végzett klinikai vizsgálatokban a mellékhatásprofil hasonló volt a felnőtteknél megfigyelthez.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TECOS cardiovascularis biztonságossági vizsgálat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szitagliptin mellett megfigyelt cardiovascu</w:t>
      </w:r>
      <w:r>
        <w:rPr>
          <w:rFonts w:eastAsia="Times New Roman"/>
          <w:color w:val="000000"/>
          <w:lang w:val="hu-HU" w:eastAsia="hu-HU" w:bidi="hu-HU"/>
        </w:rPr>
        <w:t xml:space="preserve">laris végpontokat értékelő vizsgálatban (TECOS – Trial Evaluating Cardiovascular Outcomes with sitagliptin) 7332, napi 100 mg (vagy </w:t>
      </w:r>
      <w:r>
        <w:t>≥</w:t>
      </w:r>
      <w:r>
        <w:rPr>
          <w:rFonts w:eastAsia="Times New Roman"/>
          <w:color w:val="000000"/>
          <w:lang w:val="hu-HU" w:eastAsia="hu-HU" w:bidi="hu-HU"/>
        </w:rPr>
        <w:t xml:space="preserve"> 30 és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&lt; 50 ml/perc/1,73 m</w:t>
      </w:r>
      <w:r>
        <w:rPr>
          <w:rFonts w:eastAsia="Times New Roman"/>
          <w:color w:val="000000"/>
          <w:vertAlign w:val="superscript"/>
          <w:lang w:val="hu-HU" w:eastAsia="hu-HU" w:bidi="hu-HU"/>
        </w:rPr>
        <w:t>2</w:t>
      </w:r>
      <w:r>
        <w:rPr>
          <w:rFonts w:eastAsia="Times New Roman"/>
          <w:color w:val="000000"/>
          <w:lang w:val="hu-HU" w:eastAsia="hu-HU" w:bidi="hu-HU"/>
        </w:rPr>
        <w:t xml:space="preserve"> értékű kiindulási eGFR esetén napi 50 mg) szitagliptinnel kezelt, valamint 7339, placebóval kezelt beteg vett részt a beválasztás szerinti populációban. Mindkét kezelést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 xml:space="preserve">1c </w:t>
      </w:r>
      <w:r>
        <w:rPr>
          <w:rFonts w:eastAsia="Times New Roman"/>
          <w:color w:val="000000"/>
          <w:lang w:val="hu-HU" w:eastAsia="hu-HU" w:bidi="hu-HU"/>
        </w:rPr>
        <w:t xml:space="preserve">és CV kockázati tényezőkre vonatkozó regionális standardokat célzó általános </w:t>
      </w:r>
      <w:r>
        <w:rPr>
          <w:rFonts w:eastAsia="Times New Roman"/>
          <w:color w:val="000000"/>
          <w:lang w:val="hu-HU" w:eastAsia="hu-HU" w:bidi="hu-HU"/>
        </w:rPr>
        <w:t>kezelés mellett alkalmazták. A szitagliptint kapó betegeknél fellépő, súlyos nemkívánatos események összesített előfordulási aránya hasonló volt a placebót kapóknál megfigyelthez.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beválasztás szerinti populációban a kiinduláskor inzulint és/vagy szulfon</w:t>
      </w:r>
      <w:r>
        <w:rPr>
          <w:rFonts w:eastAsia="Times New Roman"/>
          <w:color w:val="000000"/>
          <w:lang w:val="hu-HU" w:eastAsia="hu-HU" w:bidi="hu-HU"/>
        </w:rPr>
        <w:t>ilureát kapó betegeknél a súlyos hypoglykaemia előfordulási aránya 2,7% volt a szitagliptinnel kezelt betegeknél, és 2,5% a placebóval kezelteknél. Az inzulint és/vagy szulfonilureát a kiinduláskor nem kapó betegeknél a súlyos hypoglykaemia előfordulási ar</w:t>
      </w:r>
      <w:r>
        <w:rPr>
          <w:rFonts w:eastAsia="Times New Roman"/>
          <w:color w:val="000000"/>
          <w:lang w:val="hu-HU" w:eastAsia="hu-HU" w:bidi="hu-HU"/>
        </w:rPr>
        <w:t>ánya 1,0% volt a szitagliptinnel kezelt betegeknél, és 0,7% a placebóval kezelteknél. Az igazolt pancreatitis események előfordulási aránya 0,3% volt a szitagliptinnel kezelt betegeknél, és 0,2% a placebóval kezelteknél.</w:t>
      </w:r>
    </w:p>
    <w:p w:rsidR="00B04D48" w:rsidRDefault="00B04D48">
      <w:pPr>
        <w:spacing w:line="240" w:lineRule="auto"/>
        <w:rPr>
          <w:u w:val="single"/>
          <w:lang w:val="hu-HU"/>
        </w:rPr>
      </w:pPr>
    </w:p>
    <w:p w:rsidR="00B04D48" w:rsidRDefault="000731B7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</w:t>
      </w:r>
      <w:r>
        <w:rPr>
          <w:u w:val="single"/>
          <w:lang w:val="hu-HU"/>
        </w:rPr>
        <w:t>ntése</w:t>
      </w:r>
    </w:p>
    <w:p w:rsidR="00B04D48" w:rsidRDefault="000731B7">
      <w:pPr>
        <w:spacing w:line="240" w:lineRule="auto"/>
        <w:rPr>
          <w:lang w:val="hu-HU"/>
        </w:rPr>
      </w:pPr>
      <w:r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:rsidR="00B04D48" w:rsidRDefault="000731B7">
      <w:pPr>
        <w:spacing w:line="240" w:lineRule="auto"/>
        <w:rPr>
          <w:lang w:val="hu-HU"/>
        </w:rPr>
      </w:pPr>
      <w:r>
        <w:rPr>
          <w:lang w:val="hu-HU"/>
        </w:rPr>
        <w:t>Az egészségügyi szakembereket kérjük, hogy jel</w:t>
      </w:r>
      <w:r>
        <w:rPr>
          <w:lang w:val="hu-HU"/>
        </w:rPr>
        <w:t xml:space="preserve">entsék be a feltételezett mellékhatásokat a hatóság részére az </w:t>
      </w:r>
      <w:hyperlink r:id="rId7">
        <w:r>
          <w:rPr>
            <w:rStyle w:val="Hiperhivatkozs"/>
            <w:highlight w:val="lightGray"/>
            <w:lang w:val="hu-HU"/>
          </w:rPr>
          <w:t>V. füg</w:t>
        </w:r>
        <w:bookmarkStart w:id="5" w:name="_Hlt352075914"/>
        <w:bookmarkStart w:id="6" w:name="_Hlt352075915"/>
        <w:r>
          <w:rPr>
            <w:rStyle w:val="Hiperhivatkozs"/>
            <w:highlight w:val="lightGray"/>
            <w:lang w:val="hu-HU"/>
          </w:rPr>
          <w:t>g</w:t>
        </w:r>
        <w:bookmarkEnd w:id="5"/>
        <w:bookmarkEnd w:id="6"/>
        <w:r>
          <w:rPr>
            <w:rStyle w:val="Hiperhivatkozs"/>
            <w:highlight w:val="lightGray"/>
            <w:lang w:val="hu-HU"/>
          </w:rPr>
          <w:t>elékben</w:t>
        </w:r>
      </w:hyperlink>
      <w:r>
        <w:rPr>
          <w:highlight w:val="lightGray"/>
          <w:lang w:val="hu-HU"/>
        </w:rPr>
        <w:t xml:space="preserve"> található elérhetőségek valamelyikén keresztül</w:t>
      </w:r>
      <w:r>
        <w:rPr>
          <w:color w:val="008000"/>
          <w:lang w:val="hu-HU"/>
        </w:rPr>
        <w:t>.</w:t>
      </w:r>
    </w:p>
    <w:p w:rsidR="00B04D48" w:rsidRDefault="00B04D48">
      <w:pPr>
        <w:spacing w:line="240" w:lineRule="auto"/>
        <w:rPr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4.9</w:t>
      </w:r>
      <w:r>
        <w:rPr>
          <w:rFonts w:eastAsia="Times New Roman"/>
          <w:b/>
          <w:bCs/>
          <w:noProof/>
          <w:lang w:val="hu-HU" w:eastAsia="en-US"/>
        </w:rPr>
        <w:tab/>
        <w:t>Túladagolás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pStyle w:val="Szvegtrzs1"/>
        <w:spacing w:line="233" w:lineRule="auto"/>
        <w:rPr>
          <w:lang w:val="hu-HU"/>
        </w:rPr>
      </w:pPr>
      <w:r>
        <w:rPr>
          <w:lang w:val="hu-HU"/>
        </w:rPr>
        <w:t>A kontrollos klinikai vizsgálatok során egészséges résztvevők legfeljebb 800 mg, egyszeri szitagliptin-dózist kaptak. Egy vizsgálatban a szitagliptin 800 mg-os dózisa mellett minimális, klinikailag nem releváns mértékű QTc-emelkedést figyeltek meg. Klinik</w:t>
      </w:r>
      <w:r>
        <w:rPr>
          <w:lang w:val="hu-HU"/>
        </w:rPr>
        <w:t xml:space="preserve">ai vizsgálatokban 800 mg feletti dózissal kapcsolatban nincs tapasztalat. Az I. fázisú, ismételt adagolású vizsgálatok során legfeljebb 10 napig adagolt, naponta legfeljebb 600 mg szitagliptin-dózis, illetve legfeljebb 28 napig adagolt, naponta legfeljebb </w:t>
      </w:r>
      <w:r>
        <w:rPr>
          <w:lang w:val="hu-HU"/>
        </w:rPr>
        <w:t>400 mg szitagliptin-dózis mellett nem figyeltek meg dózisfüggő klinikai mellékhatásokat.</w:t>
      </w:r>
    </w:p>
    <w:p w:rsidR="00B04D48" w:rsidRDefault="000731B7">
      <w:pPr>
        <w:pStyle w:val="Szvegtrzs1"/>
        <w:spacing w:line="233" w:lineRule="auto"/>
        <w:rPr>
          <w:lang w:val="hu-HU"/>
        </w:rPr>
      </w:pPr>
      <w:r>
        <w:rPr>
          <w:lang w:val="hu-HU"/>
        </w:rPr>
        <w:t>Túladagolás esetén helyénvaló az általános szupportív eljárások alkalmazása pl.: a fel nem szívódott anyag eltávolítása a tápcsatornából, klinikai megfigyelés (EKG kés</w:t>
      </w:r>
      <w:r>
        <w:rPr>
          <w:lang w:val="hu-HU"/>
        </w:rPr>
        <w:t>zítését is beleértve) valamint szükség esetén szupportív terápia bevezetése.</w:t>
      </w:r>
    </w:p>
    <w:p w:rsidR="00B04D48" w:rsidRDefault="000731B7">
      <w:pPr>
        <w:spacing w:line="240" w:lineRule="auto"/>
        <w:outlineLvl w:val="0"/>
        <w:rPr>
          <w:lang w:val="hu-HU"/>
        </w:rPr>
      </w:pPr>
      <w:r>
        <w:rPr>
          <w:lang w:val="hu-HU"/>
        </w:rPr>
        <w:t>A szitagliptin közepes mértékben dializálható. A klinikai vizsgálatokban a dózis hozzávetőleg 13,5%</w:t>
      </w:r>
      <w:r>
        <w:rPr>
          <w:lang w:val="hu-HU"/>
        </w:rPr>
        <w:noBreakHyphen/>
        <w:t>a volt eltávolítható egy 3-4 órás hemodialízis-kezelés során. Amennyiben klinik</w:t>
      </w:r>
      <w:r>
        <w:rPr>
          <w:lang w:val="hu-HU"/>
        </w:rPr>
        <w:t>ailag indokolt, fontolóra kell venni a hosszabb ideig tartó hemodialízis lehetőségét. Nem ismert, hogy a szitagliptin dializálható-e peritoneális dialízissel.</w:t>
      </w:r>
    </w:p>
    <w:p w:rsidR="00B04D48" w:rsidRDefault="00B04D48">
      <w:pPr>
        <w:spacing w:line="240" w:lineRule="auto"/>
        <w:outlineLvl w:val="0"/>
        <w:rPr>
          <w:b/>
          <w:bCs/>
          <w:lang w:val="hu-HU"/>
        </w:rPr>
      </w:pP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5.</w:t>
      </w:r>
      <w:r>
        <w:rPr>
          <w:rFonts w:eastAsia="Times New Roman"/>
          <w:b/>
          <w:bCs/>
          <w:noProof/>
          <w:lang w:val="hu-HU" w:eastAsia="en-US"/>
        </w:rPr>
        <w:tab/>
        <w:t>FARMAKOLÓGIAI TULAJDONSÁGOK</w:t>
      </w:r>
    </w:p>
    <w:p w:rsidR="00B04D48" w:rsidRDefault="00B04D48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5.1</w:t>
      </w:r>
      <w:r>
        <w:rPr>
          <w:rFonts w:eastAsia="Times New Roman"/>
          <w:b/>
          <w:bCs/>
          <w:noProof/>
          <w:lang w:val="hu-HU" w:eastAsia="en-US"/>
        </w:rPr>
        <w:tab/>
        <w:t>Farmakodinámiás tulajdonságok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 xml:space="preserve">Farmakoterápiás csoport: </w:t>
      </w:r>
      <w:r>
        <w:rPr>
          <w:lang w:val="hu-HU"/>
        </w:rPr>
        <w:t>Antidiabetikus terápia, Dipeptidil-peptidáz-4- (DPP-4) inhibitorok</w:t>
      </w:r>
      <w:r>
        <w:rPr>
          <w:rFonts w:eastAsia="Times New Roman"/>
          <w:noProof/>
          <w:lang w:val="hu-HU" w:eastAsia="en-US"/>
        </w:rPr>
        <w:t xml:space="preserve">, ATC kód: </w:t>
      </w:r>
      <w:r>
        <w:rPr>
          <w:lang w:val="hu-HU"/>
        </w:rPr>
        <w:t>A10BH01.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Hatásmechanizmus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lastRenderedPageBreak/>
        <w:t>A Jansitin a dipeptidil-peptidáz-4- (DPP-4) inhibitorként ismert orális antidiabetikumok osztályának tagja. A glykaemiás kontroll e gyógyszer alkalmazás</w:t>
      </w:r>
      <w:r>
        <w:rPr>
          <w:rFonts w:eastAsia="Times New Roman"/>
          <w:color w:val="000000"/>
          <w:lang w:val="hu-HU" w:eastAsia="hu-HU" w:bidi="hu-HU"/>
        </w:rPr>
        <w:t>a mellett megfigyelt javulása az aktív inkretin hormonok szintjének növelésével állhat összefüggésben. Az inkretin hormonokat – beleértve az glükagonszerű peptid-1-et (GLP-1) és a glükózdependens inzulinotróp polipeptidet (GIP) – a bél egész nap termeli, é</w:t>
      </w:r>
      <w:r>
        <w:rPr>
          <w:rFonts w:eastAsia="Times New Roman"/>
          <w:color w:val="000000"/>
          <w:lang w:val="hu-HU" w:eastAsia="hu-HU" w:bidi="hu-HU"/>
        </w:rPr>
        <w:t>s szintjük az étkezést követően megnő. Az inkretinek a glükózhomeosztázis fiziológiai szabályozásában szerepet játszó endogén rendszer részei. Normális vagy emelkedett vércukor-koncentráció esetén a GLP-1 és a GIP, a ciklikus AMP-vel működő intracelluláris</w:t>
      </w:r>
      <w:r>
        <w:rPr>
          <w:rFonts w:eastAsia="Times New Roman"/>
          <w:color w:val="000000"/>
          <w:lang w:val="hu-HU" w:eastAsia="hu-HU" w:bidi="hu-HU"/>
        </w:rPr>
        <w:t xml:space="preserve"> jelátvitelen keresztül fokozzák a pancreas béta-sejtjeiben az inzulin termelését és felszabadulását. A GLP-1 vagy a DPP-4-inhibitorokkal történő kezelés a 2-es típusú diabeteses állatokkal végzett kísérletek során javította a béta-sejtek glükózzal szemben</w:t>
      </w:r>
      <w:r>
        <w:rPr>
          <w:rFonts w:eastAsia="Times New Roman"/>
          <w:color w:val="000000"/>
          <w:lang w:val="hu-HU" w:eastAsia="hu-HU" w:bidi="hu-HU"/>
        </w:rPr>
        <w:t xml:space="preserve"> mutatott válaszkészségét, valamint stimulálta az inzulin bioszintézisét és felszabadulását. A magasabb inzulinszint mellett megélénkül a szövetek glükózfelvétele. A GLP-1 ezen kívül csökkenti a pancreas alfa-sejtjeinek glükagonkiválasztását. A csökkent gl</w:t>
      </w:r>
      <w:r>
        <w:rPr>
          <w:rFonts w:eastAsia="Times New Roman"/>
          <w:color w:val="000000"/>
          <w:lang w:val="hu-HU" w:eastAsia="hu-HU" w:bidi="hu-HU"/>
        </w:rPr>
        <w:t>ükagonkoncentráció és a magasabb inzulinszint a máj glükóztermelésének visszaeséséhez vezet, mely a vércukorszint csökkenését eredményezi. A GLP-1 és a GIP hatását tekintve glükózdependens, mivel alacsony vércukor-koncentráció esetén a GLP-1 nem stimulálja</w:t>
      </w:r>
      <w:r>
        <w:rPr>
          <w:rFonts w:eastAsia="Times New Roman"/>
          <w:color w:val="000000"/>
          <w:lang w:val="hu-HU" w:eastAsia="hu-HU" w:bidi="hu-HU"/>
        </w:rPr>
        <w:t xml:space="preserve"> az inzulinfelszabadulást, és nem szupprimálja a glükagonelválasztást. Mind a GLP-1, mind a GIP esetében az inzulinfelszabadulás stimulálása felerősödik, ahogy a glükózkoncentráció a normális fölé emelkedik. Továbbá a GLP-1 a hypoglykaemiára adott normális</w:t>
      </w:r>
      <w:r>
        <w:rPr>
          <w:rFonts w:eastAsia="Times New Roman"/>
          <w:color w:val="000000"/>
          <w:lang w:val="hu-HU" w:eastAsia="hu-HU" w:bidi="hu-HU"/>
        </w:rPr>
        <w:t xml:space="preserve"> glükagonválaszt nem gátolja. A GLP-1 és GIP aktivitását a DPP-4 enzim korlátozza, mely gyorsan hidrolizálja az inkretin hormonokat, így inaktív termékek képződnek. A szitagliptin megakadályozza az inkretin hormonok DPP-4 általi hidrolízisét, ezáltal növel</w:t>
      </w:r>
      <w:r>
        <w:rPr>
          <w:rFonts w:eastAsia="Times New Roman"/>
          <w:color w:val="000000"/>
          <w:lang w:val="hu-HU" w:eastAsia="hu-HU" w:bidi="hu-HU"/>
        </w:rPr>
        <w:t>ve az aktív GLP-1 és GIP plazmakoncentrációját. Az aktív inkretinek szintjének növelésével a szitagliptin glükózdependens módon növeli az inzulin felszabadulását, és csökkenti a glükagon szintjét. 2-es típusú diabetesben szenvedő, hyperglykaemiás betegekné</w:t>
      </w:r>
      <w:r>
        <w:rPr>
          <w:rFonts w:eastAsia="Times New Roman"/>
          <w:color w:val="000000"/>
          <w:lang w:val="hu-HU" w:eastAsia="hu-HU" w:bidi="hu-HU"/>
        </w:rPr>
        <w:t>l az inzulin és glükagon szintjének ezen változásai alacsonyabb hemoglobin A</w:t>
      </w:r>
      <w:r>
        <w:rPr>
          <w:rFonts w:eastAsia="Times New Roman"/>
          <w:color w:val="000000"/>
          <w:vertAlign w:val="subscript"/>
          <w:lang w:val="hu-HU" w:eastAsia="hu-HU" w:bidi="hu-HU"/>
        </w:rPr>
        <w:t xml:space="preserve">1c </w:t>
      </w:r>
      <w:r>
        <w:rPr>
          <w:rFonts w:eastAsia="Times New Roman"/>
          <w:color w:val="000000"/>
          <w:lang w:val="hu-HU" w:eastAsia="hu-HU" w:bidi="hu-HU"/>
        </w:rPr>
        <w:t>(HbA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>)-szinthez, valamint alacsonyabb éhomi és posztprandiális glükózkoncentrációhoz vezetnek. A szitagliptin glükózdependens mechanizmusa különbözik a szulfonilureák mechanizm</w:t>
      </w:r>
      <w:r>
        <w:rPr>
          <w:rFonts w:eastAsia="Times New Roman"/>
          <w:color w:val="000000"/>
          <w:lang w:val="hu-HU" w:eastAsia="hu-HU" w:bidi="hu-HU"/>
        </w:rPr>
        <w:t>usától, amely még alacsony glükózszint mellett is növeli az inzulinkiválasztást, ami 2-es típusú cukorbetegségben szenvedő betegeknél és egészséges személyeknél is hypoglykaemiához vezethet. A szitagliptin a DPP-4 enzim hatékony és igen szelektív inhibitor</w:t>
      </w:r>
      <w:r>
        <w:rPr>
          <w:rFonts w:eastAsia="Times New Roman"/>
          <w:color w:val="000000"/>
          <w:lang w:val="hu-HU" w:eastAsia="hu-HU" w:bidi="hu-HU"/>
        </w:rPr>
        <w:t>a, és terápiás koncentrációban nem gátolja a nagyon hasonló DPP-8 és DPP-9 enzimeket.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Egy egészséges résztvevőkkel folytatott, kétnapos vizsgálat során, az önmagában adagolt szitagliptin növelte az aktív GLP-1-koncentrációkat, míg az önmagában adagolt met</w:t>
      </w:r>
      <w:r>
        <w:rPr>
          <w:rFonts w:eastAsia="Times New Roman"/>
          <w:color w:val="000000"/>
          <w:lang w:val="hu-HU" w:eastAsia="hu-HU" w:bidi="hu-HU"/>
        </w:rPr>
        <w:t>formin hasonló mértékben növelte mind az aktív GLP-1-koncentrációt, mind pedig a GLP-1 összkoncentrációt. A szitagliptin metforminnal történő együttes adása additív hatással volt az aktív GLP-1-koncentrációkra. Az aktív GIP-koncentrációkat a szitagliptin n</w:t>
      </w:r>
      <w:r>
        <w:rPr>
          <w:rFonts w:eastAsia="Times New Roman"/>
          <w:color w:val="000000"/>
          <w:lang w:val="hu-HU" w:eastAsia="hu-HU" w:bidi="hu-HU"/>
        </w:rPr>
        <w:t>övelte, de a metformin nem.</w:t>
      </w:r>
    </w:p>
    <w:p w:rsidR="00B04D48" w:rsidRDefault="00B04D48">
      <w:pPr>
        <w:spacing w:line="240" w:lineRule="auto"/>
        <w:rPr>
          <w:u w:val="single"/>
          <w:lang w:val="hu-HU"/>
        </w:rPr>
      </w:pPr>
    </w:p>
    <w:p w:rsidR="00B04D48" w:rsidRDefault="000731B7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Klinikai hatásosság és biztonságosság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Összességében véve a szitagliptin monoterápiában vagy kombinációs terápiában alkalmazva javította a glykaemiás kontrollt (lásd 2. táblázat).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szitagliptin-monoterápia hatásosságát és bizt</w:t>
      </w:r>
      <w:r>
        <w:rPr>
          <w:rFonts w:eastAsia="Times New Roman"/>
          <w:color w:val="000000"/>
          <w:lang w:val="hu-HU" w:eastAsia="hu-HU" w:bidi="hu-HU"/>
        </w:rPr>
        <w:t>onságosságát két vizsgálat során értékelték. A két, egyenként 18 és 24 hetes vizsgálatban a napi egyszeri 100 mg szitagliptinnel történő monoterápiás kezelés a placebóval összehasonlítva jelentős mértékben javította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>-szintet, az éhomi plazma glükózs</w:t>
      </w:r>
      <w:r>
        <w:rPr>
          <w:rFonts w:eastAsia="Times New Roman"/>
          <w:color w:val="000000"/>
          <w:lang w:val="hu-HU" w:eastAsia="hu-HU" w:bidi="hu-HU"/>
        </w:rPr>
        <w:t>zintet (fasting plasma glucose: FPG) és az étkezést követő 2 órán belül mért glükóz (2 órás PPG) szintjét. Javulás mutatkozott a bétasejtfunkcióra utaló helyettes markerek, beleértve a HOMA-β („Homeostasis Model Assessment-β”) mutató markert, a proinzulin-</w:t>
      </w:r>
      <w:r>
        <w:rPr>
          <w:rFonts w:eastAsia="Times New Roman"/>
          <w:color w:val="000000"/>
          <w:lang w:val="hu-HU" w:eastAsia="hu-HU" w:bidi="hu-HU"/>
        </w:rPr>
        <w:t>inzulin arány, valamint a gyakori mintavétellel együttjáró étkezési toleranciateszt során mért béta-sejt válaszkészség terén. A szitagliptinnel kezelt betegek között előforduló hypoglykaemiás esetek száma hasonló volt a placebóval kezeltek közt megfigyelth</w:t>
      </w:r>
      <w:r>
        <w:rPr>
          <w:rFonts w:eastAsia="Times New Roman"/>
          <w:color w:val="000000"/>
          <w:lang w:val="hu-HU" w:eastAsia="hu-HU" w:bidi="hu-HU"/>
        </w:rPr>
        <w:t xml:space="preserve">ez. 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szitagliptin-terápia mellett – a placebóval kezelt betegek enyhe testtömegcsökkenésével összehasonlítva – egyik vizsgálatban sem nőtt a kiindulási testtömeg.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Két 24 hetes vizsgálatban, melyek során a napi egyszer 100 mg szitagliptint hozzáadott ter</w:t>
      </w:r>
      <w:r>
        <w:rPr>
          <w:rFonts w:eastAsia="Times New Roman"/>
          <w:color w:val="000000"/>
          <w:lang w:val="hu-HU" w:eastAsia="hu-HU" w:bidi="hu-HU"/>
        </w:rPr>
        <w:t>ápiaként metforminnal, illetve pioglitazonnal kombinációban alkalmazták, a glykaemiás paraméterek jelentős javulását figyelték meg. A testtömegban a vizsgálat megkezdése óta bekövetkezett változás a szitagliptinnel kezelt betegek esetén a placebóhoz viszon</w:t>
      </w:r>
      <w:r>
        <w:rPr>
          <w:rFonts w:eastAsia="Times New Roman"/>
          <w:color w:val="000000"/>
          <w:lang w:val="hu-HU" w:eastAsia="hu-HU" w:bidi="hu-HU"/>
        </w:rPr>
        <w:t xml:space="preserve">yítva hasonló volt. E vizsgálatokban hasonló </w:t>
      </w:r>
      <w:r>
        <w:rPr>
          <w:rFonts w:eastAsia="Times New Roman"/>
          <w:color w:val="000000"/>
          <w:lang w:val="hu-HU" w:eastAsia="hu-HU" w:bidi="hu-HU"/>
        </w:rPr>
        <w:lastRenderedPageBreak/>
        <w:t>arányban jelentettek hypoglykaemiát a szitagliptinnel vagy placebóval kezelt betegek között.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Az egyedül glimepiridhez illetve glimepirid és metformin kombinációjához adott (napi egyszer 100 mg) szitagliptin hat</w:t>
      </w:r>
      <w:r>
        <w:rPr>
          <w:rFonts w:eastAsia="Times New Roman"/>
          <w:color w:val="000000"/>
          <w:lang w:val="hu-HU" w:eastAsia="hu-HU" w:bidi="hu-HU"/>
        </w:rPr>
        <w:t>ásosságának és biztonságosságának értékelésére egy 24 hetes, placebokontrollos vizsgálatot végeztek el. Az egyedül glimepiridhez vagy glimepirid és metformin kombinációjához adott szitagliptin jelentős javulást eredményezett a glykaemiás paraméterek terén.</w:t>
      </w:r>
      <w:r>
        <w:rPr>
          <w:rFonts w:eastAsia="Times New Roman"/>
          <w:color w:val="000000"/>
          <w:lang w:val="hu-HU" w:eastAsia="hu-HU" w:bidi="hu-HU"/>
        </w:rPr>
        <w:t xml:space="preserve"> A szitagliptinnel kezelt betegek a placebót kapókhoz képest enyhe testtömeg-növekedést mutattak.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Pioglitazon és metformin kombinációjához adott (napi egyszer 100 mg) szitagliptin hatásosságának és biztonságosságának értékelésére egy 26 hetes, placebokont</w:t>
      </w:r>
      <w:r>
        <w:rPr>
          <w:rFonts w:eastAsia="Times New Roman"/>
          <w:color w:val="000000"/>
          <w:lang w:val="hu-HU" w:eastAsia="hu-HU" w:bidi="hu-HU"/>
        </w:rPr>
        <w:t>rollos vizsgálatot terveztek. A pioglitazon és metformin kombinációjához adott szitagliptin a glykaemiás paraméterek jelentős javulását eredményezte. A kiindulási testtömegértékekben bekövetkező változás hasonló volt a szitagliptinnel kezelt betegek és a p</w:t>
      </w:r>
      <w:r>
        <w:rPr>
          <w:rFonts w:eastAsia="Times New Roman"/>
          <w:color w:val="000000"/>
          <w:lang w:val="hu-HU" w:eastAsia="hu-HU" w:bidi="hu-HU"/>
        </w:rPr>
        <w:t>lacebót kapó betegek esetében. A hypoglykaemia előfordulási gyakorisága szintén hasonló volt a szitagliptinnel kezelt betegek és a placebót kapó betegek esetében.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Egy 24 hetes, placebokontrollos vizsgálatot állítottak össze (legalább 10 hete állandó adago</w:t>
      </w:r>
      <w:r>
        <w:rPr>
          <w:rFonts w:eastAsia="Times New Roman"/>
          <w:color w:val="000000"/>
          <w:lang w:val="hu-HU" w:eastAsia="hu-HU" w:bidi="hu-HU"/>
        </w:rPr>
        <w:t>lású) inzulin mellett és (legalább 1500 mg) metforminnal vagy anélkül adott szitagliptin (100 mg naponta egyszer) hatásosságának és biztonságosságának megállapítása céljából. Az előkevert inzulint alkalmazó betegeknél az átlagos napi dózis 70,9 E volt. A n</w:t>
      </w:r>
      <w:r>
        <w:rPr>
          <w:rFonts w:eastAsia="Times New Roman"/>
          <w:color w:val="000000"/>
          <w:lang w:val="hu-HU" w:eastAsia="hu-HU" w:bidi="hu-HU"/>
        </w:rPr>
        <w:t>em előkevert (közepes/hosszú hatású) inzulint alkalmazó betegeknél az átlagos napi dózis 44,3 E volt. Szitagliptin inzulinhoz történő hozzáadása a glykaemiás paraméterek szignifikáns javulását eredményezte. A vizsgálat megkezdésekor mért testtömegben egyik</w:t>
      </w:r>
      <w:r>
        <w:rPr>
          <w:rFonts w:eastAsia="Times New Roman"/>
          <w:color w:val="000000"/>
          <w:lang w:val="hu-HU" w:eastAsia="hu-HU" w:bidi="hu-HU"/>
        </w:rPr>
        <w:t xml:space="preserve"> csoportban sem következett be jelentős változás.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kezdő kezelés egy 24 hetes, placebokontrollos, faktoriális elrendezésű vizsgálata során a metforminnal (napi kétszer 500 mg vagy 1000 mg) kombinációban adott napi kétszer 50 mg szitagliptin bármelyik mon</w:t>
      </w:r>
      <w:r>
        <w:rPr>
          <w:rFonts w:eastAsia="Times New Roman"/>
          <w:color w:val="000000"/>
          <w:lang w:val="hu-HU" w:eastAsia="hu-HU" w:bidi="hu-HU"/>
        </w:rPr>
        <w:t>oterápiával összehasonlítva jelentős javulást eredményezett a glykaemiás paraméterekben. A szitagliptin és metformin kombinációjával elért testtömegcsökkenés hasonló volt a csak metformin vagy placebó alkalmazása mellett megfigyelthez, míg a szitagliptin ö</w:t>
      </w:r>
      <w:r>
        <w:rPr>
          <w:rFonts w:eastAsia="Times New Roman"/>
          <w:color w:val="000000"/>
          <w:lang w:val="hu-HU" w:eastAsia="hu-HU" w:bidi="hu-HU"/>
        </w:rPr>
        <w:t>nmagában történő alkalmazásakor az alapértékekben nem mutatkozott változás. A hypoglykaemia az egyes kezelési csoportokban hasonló arányban fordult elő.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  <w:tab w:val="left" w:pos="354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bookmarkStart w:id="7" w:name="bookmark30"/>
      <w:bookmarkEnd w:id="7"/>
      <w:r>
        <w:rPr>
          <w:rFonts w:eastAsia="Times New Roman"/>
          <w:b/>
          <w:bCs/>
          <w:color w:val="000000"/>
          <w:lang w:val="hu-HU" w:eastAsia="hu-HU" w:bidi="hu-HU"/>
        </w:rPr>
        <w:t>2. táblázat: A placebokontrollos monoterápiát és kombinációs terápiát alkalmazó vizsgálatokban mért Hb</w:t>
      </w:r>
      <w:r>
        <w:rPr>
          <w:rFonts w:eastAsia="Times New Roman"/>
          <w:b/>
          <w:bCs/>
          <w:color w:val="000000"/>
          <w:lang w:val="hu-HU" w:eastAsia="hu-HU" w:bidi="hu-HU"/>
        </w:rPr>
        <w:t>A</w:t>
      </w:r>
      <w:r>
        <w:rPr>
          <w:rFonts w:eastAsia="Times New Roman"/>
          <w:b/>
          <w:bCs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b/>
          <w:bCs/>
          <w:color w:val="000000"/>
          <w:lang w:val="hu-HU" w:eastAsia="hu-HU" w:bidi="hu-HU"/>
        </w:rPr>
        <w:t>-eredmények</w:t>
      </w:r>
      <w:r>
        <w:rPr>
          <w:rFonts w:eastAsia="Times New Roman"/>
          <w:color w:val="000000"/>
          <w:lang w:val="hu-HU" w:eastAsia="hu-HU" w:bidi="hu-HU"/>
        </w:rPr>
        <w:t>*</w:t>
      </w:r>
    </w:p>
    <w:p w:rsidR="00B04D48" w:rsidRDefault="00B04D48">
      <w:pPr>
        <w:spacing w:line="240" w:lineRule="auto"/>
        <w:rPr>
          <w:u w:val="single"/>
          <w:lang w:val="hu-HU"/>
        </w:rPr>
      </w:pPr>
    </w:p>
    <w:tbl>
      <w:tblPr>
        <w:tblW w:w="9288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8"/>
        <w:gridCol w:w="1483"/>
        <w:gridCol w:w="2081"/>
        <w:gridCol w:w="2316"/>
      </w:tblGrid>
      <w:tr w:rsidR="00B04D48">
        <w:trPr>
          <w:trHeight w:val="1012"/>
        </w:trPr>
        <w:tc>
          <w:tcPr>
            <w:tcW w:w="3408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8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bCs/>
                <w:lang w:val="hu-HU" w:eastAsia="en-US"/>
              </w:rPr>
            </w:pPr>
            <w:r>
              <w:rPr>
                <w:b/>
                <w:bCs/>
                <w:lang w:val="hu-HU"/>
              </w:rPr>
              <w:t>Vizsgálat</w:t>
            </w:r>
          </w:p>
        </w:tc>
        <w:tc>
          <w:tcPr>
            <w:tcW w:w="1483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2" w:line="240" w:lineRule="auto"/>
              <w:ind w:left="235" w:right="229" w:hanging="1"/>
              <w:jc w:val="center"/>
              <w:rPr>
                <w:rFonts w:eastAsia="Times New Roman"/>
                <w:b/>
                <w:bCs/>
                <w:lang w:val="hu-HU" w:eastAsia="en-US"/>
              </w:rPr>
            </w:pPr>
            <w:r>
              <w:rPr>
                <w:b/>
                <w:bCs/>
                <w:lang w:val="hu-HU"/>
              </w:rPr>
              <w:t xml:space="preserve">Átlagos kiindulási </w:t>
            </w:r>
            <w:r>
              <w:rPr>
                <w:rFonts w:eastAsia="Times New Roman"/>
                <w:b/>
                <w:bCs/>
                <w:lang w:val="hu-HU" w:eastAsia="en-US"/>
              </w:rPr>
              <w:t>HbA</w:t>
            </w:r>
            <w:r>
              <w:rPr>
                <w:rFonts w:eastAsia="Times New Roman"/>
                <w:b/>
                <w:bCs/>
                <w:vertAlign w:val="subscript"/>
                <w:lang w:val="hu-HU" w:eastAsia="en-US"/>
              </w:rPr>
              <w:t>1c</w:t>
            </w:r>
            <w:r>
              <w:rPr>
                <w:rFonts w:eastAsia="Times New Roman"/>
                <w:b/>
                <w:bCs/>
                <w:lang w:val="hu-HU" w:eastAsia="en-US"/>
              </w:rPr>
              <w:t xml:space="preserve"> (%)</w:t>
            </w:r>
          </w:p>
        </w:tc>
        <w:tc>
          <w:tcPr>
            <w:tcW w:w="2081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4" w:line="237" w:lineRule="auto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b/>
                <w:bCs/>
                <w:lang w:val="hu-HU"/>
              </w:rPr>
              <w:t>A kiindulási HbA</w:t>
            </w:r>
            <w:r>
              <w:rPr>
                <w:b/>
                <w:bCs/>
                <w:vertAlign w:val="subscript"/>
                <w:lang w:val="hu-HU"/>
              </w:rPr>
              <w:t>1c</w:t>
            </w:r>
            <w:r>
              <w:rPr>
                <w:b/>
                <w:bCs/>
                <w:lang w:val="hu-HU"/>
              </w:rPr>
              <w:t>-(%) értékekhez képest mutatkozó átlagos eltérés</w:t>
            </w:r>
            <w:r>
              <w:rPr>
                <w:rFonts w:eastAsia="Times New Roman"/>
                <w:vertAlign w:val="superscript"/>
                <w:lang w:val="hu-HU" w:eastAsia="en-US"/>
              </w:rPr>
              <w:t>†</w:t>
            </w:r>
          </w:p>
        </w:tc>
        <w:tc>
          <w:tcPr>
            <w:tcW w:w="2316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7" w:lineRule="auto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b/>
                <w:bCs/>
                <w:lang w:val="hu-HU"/>
              </w:rPr>
              <w:t>A placebóra korrigált HbA</w:t>
            </w:r>
            <w:r>
              <w:rPr>
                <w:b/>
                <w:bCs/>
                <w:vertAlign w:val="subscript"/>
                <w:lang w:val="hu-HU"/>
              </w:rPr>
              <w:t>1c</w:t>
            </w:r>
            <w:r>
              <w:rPr>
                <w:b/>
                <w:bCs/>
                <w:lang w:val="hu-HU"/>
              </w:rPr>
              <w:t>-(%) értékek terén mutatkozó átlagos eltérés</w:t>
            </w:r>
            <w:r>
              <w:rPr>
                <w:rFonts w:eastAsia="Times New Roman"/>
                <w:vertAlign w:val="superscript"/>
                <w:lang w:val="hu-HU" w:eastAsia="en-US"/>
              </w:rPr>
              <w:t>†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36" w:lineRule="exact"/>
              <w:jc w:val="center"/>
              <w:rPr>
                <w:rFonts w:eastAsia="Times New Roman"/>
                <w:b/>
                <w:bCs/>
                <w:lang w:val="hu-HU" w:eastAsia="en-US"/>
              </w:rPr>
            </w:pPr>
            <w:r>
              <w:rPr>
                <w:rFonts w:eastAsia="Times New Roman"/>
                <w:b/>
                <w:bCs/>
                <w:lang w:val="hu-HU" w:eastAsia="en-US"/>
              </w:rPr>
              <w:t>(95%</w:t>
            </w:r>
            <w:r>
              <w:rPr>
                <w:rFonts w:eastAsia="Times New Roman"/>
                <w:b/>
                <w:bCs/>
                <w:lang w:val="hu-HU" w:eastAsia="en-US"/>
              </w:rPr>
              <w:noBreakHyphen/>
              <w:t>os CI)</w:t>
            </w:r>
          </w:p>
        </w:tc>
      </w:tr>
      <w:tr w:rsidR="00B04D48">
        <w:trPr>
          <w:trHeight w:val="386"/>
        </w:trPr>
        <w:tc>
          <w:tcPr>
            <w:tcW w:w="9288" w:type="dxa"/>
            <w:gridSpan w:val="4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72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  <w:r>
              <w:rPr>
                <w:b/>
                <w:bCs/>
                <w:lang w:val="hu-HU"/>
              </w:rPr>
              <w:t>Monoterápiás vizsgálatok</w:t>
            </w:r>
          </w:p>
        </w:tc>
      </w:tr>
      <w:tr w:rsidR="00B04D48">
        <w:trPr>
          <w:trHeight w:val="386"/>
        </w:trPr>
        <w:tc>
          <w:tcPr>
            <w:tcW w:w="3408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323"/>
              <w:rPr>
                <w:rFonts w:eastAsia="Times New Roman"/>
                <w:lang w:val="hu-HU" w:eastAsia="en-US"/>
              </w:rPr>
            </w:pPr>
            <w:r>
              <w:rPr>
                <w:lang w:val="hu-HU"/>
              </w:rPr>
              <w:t>Napi egyszer 100 mg</w:t>
            </w:r>
            <w:r>
              <w:rPr>
                <w:lang w:val="hu-HU"/>
              </w:rPr>
              <w:t xml:space="preserve"> szitagliptin</w:t>
            </w:r>
            <w:r>
              <w:rPr>
                <w:rFonts w:eastAsia="Times New Roman"/>
                <w:vertAlign w:val="superscript"/>
                <w:lang w:val="hu-HU" w:eastAsia="en-US"/>
              </w:rPr>
              <w:t>§</w:t>
            </w:r>
            <w:r>
              <w:rPr>
                <w:rFonts w:eastAsia="Times New Roman"/>
                <w:lang w:val="hu-HU" w:eastAsia="en-US"/>
              </w:rPr>
              <w:t xml:space="preserve"> (N=193)</w:t>
            </w:r>
          </w:p>
        </w:tc>
        <w:tc>
          <w:tcPr>
            <w:tcW w:w="1483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8,0</w:t>
            </w:r>
          </w:p>
        </w:tc>
        <w:tc>
          <w:tcPr>
            <w:tcW w:w="2081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-0,5</w:t>
            </w:r>
          </w:p>
        </w:tc>
        <w:tc>
          <w:tcPr>
            <w:tcW w:w="2316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-0,6</w:t>
            </w:r>
            <w:r>
              <w:rPr>
                <w:rFonts w:eastAsia="Times New Roman"/>
                <w:vertAlign w:val="superscript"/>
                <w:lang w:val="hu-HU" w:eastAsia="en-US"/>
              </w:rPr>
              <w:t>‡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(-0,8, -0,4)</w:t>
            </w:r>
          </w:p>
        </w:tc>
      </w:tr>
      <w:tr w:rsidR="00B04D48">
        <w:trPr>
          <w:trHeight w:val="277"/>
        </w:trPr>
        <w:tc>
          <w:tcPr>
            <w:tcW w:w="3408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Napi egyszer 100 mg szitagliptin</w:t>
            </w:r>
            <w:r>
              <w:rPr>
                <w:rFonts w:eastAsia="Times New Roman"/>
                <w:vertAlign w:val="superscript"/>
                <w:lang w:val="hu-HU" w:eastAsia="en-US"/>
              </w:rPr>
              <w:t>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(N=229)</w:t>
            </w:r>
          </w:p>
        </w:tc>
        <w:tc>
          <w:tcPr>
            <w:tcW w:w="1483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8,0</w:t>
            </w:r>
          </w:p>
        </w:tc>
        <w:tc>
          <w:tcPr>
            <w:tcW w:w="2081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-0,6</w:t>
            </w:r>
          </w:p>
        </w:tc>
        <w:tc>
          <w:tcPr>
            <w:tcW w:w="2316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-0,8</w:t>
            </w:r>
            <w:r>
              <w:rPr>
                <w:rFonts w:eastAsia="Times New Roman"/>
                <w:vertAlign w:val="superscript"/>
                <w:lang w:val="hu-HU" w:eastAsia="en-US"/>
              </w:rPr>
              <w:t>‡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(-1,0, -0,6)</w:t>
            </w:r>
          </w:p>
        </w:tc>
      </w:tr>
      <w:tr w:rsidR="00B04D48">
        <w:trPr>
          <w:trHeight w:val="405"/>
        </w:trPr>
        <w:tc>
          <w:tcPr>
            <w:tcW w:w="9288" w:type="dxa"/>
            <w:gridSpan w:val="4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72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  <w:r>
              <w:rPr>
                <w:b/>
                <w:bCs/>
                <w:lang w:val="hu-HU"/>
              </w:rPr>
              <w:t>Kombinációs terápiás vizsgálatok</w:t>
            </w:r>
          </w:p>
        </w:tc>
      </w:tr>
      <w:tr w:rsidR="00B04D48">
        <w:trPr>
          <w:trHeight w:val="757"/>
        </w:trPr>
        <w:tc>
          <w:tcPr>
            <w:tcW w:w="3408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87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 xml:space="preserve">Napi egyszer 100 mg szitagliptin </w:t>
            </w:r>
            <w:r>
              <w:rPr>
                <w:lang w:val="hu-HU"/>
              </w:rPr>
              <w:t>a folyamatban lévő metformin-terápiához adva</w:t>
            </w:r>
            <w:r>
              <w:rPr>
                <w:rFonts w:eastAsia="Times New Roman"/>
                <w:vertAlign w:val="superscript"/>
                <w:lang w:val="hu-HU" w:eastAsia="en-US"/>
              </w:rPr>
              <w:t>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(N=453)</w:t>
            </w:r>
          </w:p>
        </w:tc>
        <w:tc>
          <w:tcPr>
            <w:tcW w:w="1483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8,0</w:t>
            </w:r>
          </w:p>
        </w:tc>
        <w:tc>
          <w:tcPr>
            <w:tcW w:w="2081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-0,7</w:t>
            </w:r>
          </w:p>
        </w:tc>
        <w:tc>
          <w:tcPr>
            <w:tcW w:w="2316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17" w:line="252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-0,7</w:t>
            </w:r>
            <w:r>
              <w:rPr>
                <w:rFonts w:eastAsia="Times New Roman"/>
                <w:vertAlign w:val="superscript"/>
                <w:lang w:val="hu-HU" w:eastAsia="en-US"/>
              </w:rPr>
              <w:t>‡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(-0,8, -0,5)</w:t>
            </w:r>
          </w:p>
        </w:tc>
      </w:tr>
      <w:tr w:rsidR="00B04D48">
        <w:trPr>
          <w:trHeight w:val="760"/>
        </w:trPr>
        <w:tc>
          <w:tcPr>
            <w:tcW w:w="3408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5" w:line="252" w:lineRule="exact"/>
              <w:ind w:left="22" w:right="323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 xml:space="preserve">Napi egyszer 100 mg szitagliptin </w:t>
            </w:r>
            <w:r>
              <w:rPr>
                <w:lang w:val="hu-HU"/>
              </w:rPr>
              <w:t>a folyamatban lévő pioglitazon-terápiához adva</w:t>
            </w:r>
            <w:r>
              <w:rPr>
                <w:rFonts w:eastAsia="Times New Roman"/>
                <w:vertAlign w:val="superscript"/>
                <w:lang w:val="hu-HU" w:eastAsia="en-US"/>
              </w:rPr>
              <w:t></w:t>
            </w:r>
            <w:r>
              <w:rPr>
                <w:rFonts w:eastAsia="Times New Roman"/>
                <w:lang w:val="hu-HU" w:eastAsia="en-US"/>
              </w:rPr>
              <w:t xml:space="preserve"> (N=163)</w:t>
            </w:r>
          </w:p>
        </w:tc>
        <w:tc>
          <w:tcPr>
            <w:tcW w:w="1483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8,1</w:t>
            </w:r>
          </w:p>
        </w:tc>
        <w:tc>
          <w:tcPr>
            <w:tcW w:w="2081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-0,9</w:t>
            </w:r>
          </w:p>
        </w:tc>
        <w:tc>
          <w:tcPr>
            <w:tcW w:w="2316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17" w:line="252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-0,7</w:t>
            </w:r>
            <w:r>
              <w:rPr>
                <w:rFonts w:eastAsia="Times New Roman"/>
                <w:vertAlign w:val="superscript"/>
                <w:lang w:val="hu-HU" w:eastAsia="en-US"/>
              </w:rPr>
              <w:t>‡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(-0,9, -0,5)</w:t>
            </w:r>
          </w:p>
        </w:tc>
      </w:tr>
      <w:tr w:rsidR="00B04D48">
        <w:trPr>
          <w:trHeight w:val="757"/>
        </w:trPr>
        <w:tc>
          <w:tcPr>
            <w:tcW w:w="3408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87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 xml:space="preserve">Napi egyszer 100 mg szitagliptin </w:t>
            </w:r>
            <w:r>
              <w:rPr>
                <w:lang w:val="hu-HU"/>
              </w:rPr>
              <w:t>a folyamatban lévő glimepirid-terápiához adva</w:t>
            </w:r>
            <w:r>
              <w:rPr>
                <w:rFonts w:eastAsia="Times New Roman"/>
                <w:vertAlign w:val="superscript"/>
                <w:lang w:val="hu-HU" w:eastAsia="en-US"/>
              </w:rPr>
              <w:t>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(N=102)</w:t>
            </w:r>
          </w:p>
        </w:tc>
        <w:tc>
          <w:tcPr>
            <w:tcW w:w="1483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8,4</w:t>
            </w:r>
          </w:p>
        </w:tc>
        <w:tc>
          <w:tcPr>
            <w:tcW w:w="2081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-0,3</w:t>
            </w:r>
          </w:p>
        </w:tc>
        <w:tc>
          <w:tcPr>
            <w:tcW w:w="2316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15" w:line="240" w:lineRule="auto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-0,6</w:t>
            </w:r>
            <w:r>
              <w:rPr>
                <w:rFonts w:eastAsia="Times New Roman"/>
                <w:vertAlign w:val="superscript"/>
                <w:lang w:val="hu-HU" w:eastAsia="en-US"/>
              </w:rPr>
              <w:t>‡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 xml:space="preserve">(-0,8, </w:t>
            </w:r>
            <w:r>
              <w:rPr>
                <w:rFonts w:eastAsia="Times New Roman"/>
                <w:lang w:val="hu-HU" w:eastAsia="en-US"/>
              </w:rPr>
              <w:t>-0,3)</w:t>
            </w:r>
          </w:p>
        </w:tc>
      </w:tr>
      <w:tr w:rsidR="00B04D48">
        <w:trPr>
          <w:trHeight w:val="1012"/>
        </w:trPr>
        <w:tc>
          <w:tcPr>
            <w:tcW w:w="3408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103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lastRenderedPageBreak/>
              <w:t xml:space="preserve">Napi egyszer 100 mg szitagliptin </w:t>
            </w:r>
            <w:r>
              <w:rPr>
                <w:lang w:val="hu-HU"/>
              </w:rPr>
              <w:t>a folyamatban lévő glimepirid+metformin</w:t>
            </w:r>
            <w:r>
              <w:rPr>
                <w:rFonts w:eastAsia="Times New Roman"/>
                <w:lang w:val="hu-HU" w:eastAsia="en-US"/>
              </w:rPr>
              <w:t>-terápiához adva</w:t>
            </w:r>
            <w:r>
              <w:rPr>
                <w:rFonts w:eastAsia="Times New Roman"/>
                <w:vertAlign w:val="superscript"/>
                <w:lang w:val="hu-HU" w:eastAsia="en-US"/>
              </w:rPr>
              <w:t>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3" w:lineRule="exact"/>
              <w:ind w:left="22"/>
              <w:jc w:val="both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(N=115)</w:t>
            </w:r>
          </w:p>
        </w:tc>
        <w:tc>
          <w:tcPr>
            <w:tcW w:w="1483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8,3</w:t>
            </w:r>
          </w:p>
        </w:tc>
        <w:tc>
          <w:tcPr>
            <w:tcW w:w="2081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-0,6</w:t>
            </w:r>
          </w:p>
        </w:tc>
        <w:tc>
          <w:tcPr>
            <w:tcW w:w="2316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-0,9</w:t>
            </w:r>
            <w:r>
              <w:rPr>
                <w:rFonts w:eastAsia="Times New Roman"/>
                <w:vertAlign w:val="superscript"/>
                <w:lang w:val="hu-HU" w:eastAsia="en-US"/>
              </w:rPr>
              <w:t>‡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(-1,1, -0,7)</w:t>
            </w:r>
          </w:p>
        </w:tc>
      </w:tr>
      <w:tr w:rsidR="00B04D48">
        <w:trPr>
          <w:trHeight w:val="1012"/>
        </w:trPr>
        <w:tc>
          <w:tcPr>
            <w:tcW w:w="3408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93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 xml:space="preserve">Napi egyszer 100 mg szitagliptin </w:t>
            </w:r>
            <w:r>
              <w:rPr>
                <w:lang w:val="hu-HU"/>
              </w:rPr>
              <w:t>a folyamatban lévő pioglitazon + metformin-terápiához adva</w:t>
            </w:r>
            <w:r>
              <w:rPr>
                <w:rFonts w:eastAsia="Times New Roman"/>
                <w:vertAlign w:val="superscript"/>
                <w:lang w:val="hu-HU" w:eastAsia="en-US"/>
              </w:rPr>
              <w:t xml:space="preserve"> #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3" w:lineRule="exact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(N=152)</w:t>
            </w:r>
          </w:p>
        </w:tc>
        <w:tc>
          <w:tcPr>
            <w:tcW w:w="1483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8,8</w:t>
            </w:r>
          </w:p>
        </w:tc>
        <w:tc>
          <w:tcPr>
            <w:tcW w:w="2081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-1,2</w:t>
            </w:r>
          </w:p>
        </w:tc>
        <w:tc>
          <w:tcPr>
            <w:tcW w:w="2316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-0,7</w:t>
            </w:r>
            <w:r>
              <w:rPr>
                <w:rFonts w:eastAsia="Times New Roman"/>
                <w:vertAlign w:val="superscript"/>
                <w:lang w:val="hu-HU" w:eastAsia="en-US"/>
              </w:rPr>
              <w:t>‡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(-1,0, -0,5)</w:t>
            </w:r>
          </w:p>
        </w:tc>
      </w:tr>
      <w:tr w:rsidR="00B04D48">
        <w:trPr>
          <w:trHeight w:val="1010"/>
        </w:trPr>
        <w:tc>
          <w:tcPr>
            <w:tcW w:w="3408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580"/>
              <w:rPr>
                <w:rFonts w:eastAsia="Times New Roman"/>
                <w:lang w:val="hu-HU" w:eastAsia="en-US"/>
              </w:rPr>
            </w:pPr>
            <w:r>
              <w:rPr>
                <w:lang w:val="hu-HU"/>
              </w:rPr>
              <w:t>Kezdő terápia (naponta kétszer</w:t>
            </w:r>
            <w:r>
              <w:rPr>
                <w:rFonts w:eastAsia="Times New Roman"/>
                <w:lang w:val="hu-HU" w:eastAsia="en-US"/>
              </w:rPr>
              <w:t>)</w:t>
            </w:r>
            <w:r>
              <w:rPr>
                <w:rFonts w:eastAsia="Times New Roman"/>
                <w:vertAlign w:val="superscript"/>
                <w:lang w:val="hu-HU" w:eastAsia="en-US"/>
              </w:rPr>
              <w:t></w:t>
            </w:r>
            <w:r>
              <w:rPr>
                <w:rFonts w:eastAsia="Times New Roman"/>
                <w:lang w:val="hu-HU" w:eastAsia="en-US"/>
              </w:rPr>
              <w:t xml:space="preserve">: </w:t>
            </w:r>
            <w:r>
              <w:rPr>
                <w:lang w:val="hu-HU"/>
              </w:rPr>
              <w:t>szitagliptin 50 mg + metformin 500 mg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(N=183)</w:t>
            </w:r>
          </w:p>
        </w:tc>
        <w:tc>
          <w:tcPr>
            <w:tcW w:w="1483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8,8</w:t>
            </w:r>
          </w:p>
        </w:tc>
        <w:tc>
          <w:tcPr>
            <w:tcW w:w="2081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-1,4</w:t>
            </w:r>
          </w:p>
        </w:tc>
        <w:tc>
          <w:tcPr>
            <w:tcW w:w="2316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-1,6</w:t>
            </w:r>
            <w:r>
              <w:rPr>
                <w:rFonts w:eastAsia="Times New Roman"/>
                <w:vertAlign w:val="superscript"/>
                <w:lang w:val="hu-HU" w:eastAsia="en-US"/>
              </w:rPr>
              <w:t>‡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(-1,8, -1,3)</w:t>
            </w:r>
          </w:p>
        </w:tc>
      </w:tr>
      <w:tr w:rsidR="00B04D48">
        <w:trPr>
          <w:trHeight w:val="1012"/>
        </w:trPr>
        <w:tc>
          <w:tcPr>
            <w:tcW w:w="3408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580"/>
              <w:rPr>
                <w:rFonts w:eastAsia="Times New Roman"/>
                <w:lang w:val="hu-HU" w:eastAsia="en-US"/>
              </w:rPr>
            </w:pPr>
            <w:r>
              <w:rPr>
                <w:lang w:val="hu-HU"/>
              </w:rPr>
              <w:t>Kezdő terápia (naponta kétszer</w:t>
            </w:r>
            <w:r>
              <w:rPr>
                <w:rFonts w:eastAsia="Times New Roman"/>
                <w:spacing w:val="-9"/>
                <w:lang w:val="hu-HU" w:eastAsia="en-US"/>
              </w:rPr>
              <w:t>)</w:t>
            </w:r>
            <w:r>
              <w:rPr>
                <w:rFonts w:eastAsia="Times New Roman"/>
                <w:spacing w:val="-9"/>
                <w:vertAlign w:val="superscript"/>
                <w:lang w:val="hu-HU" w:eastAsia="en-US"/>
              </w:rPr>
              <w:t></w:t>
            </w:r>
            <w:r>
              <w:rPr>
                <w:rFonts w:eastAsia="Times New Roman"/>
                <w:spacing w:val="-9"/>
                <w:lang w:val="hu-HU" w:eastAsia="en-US"/>
              </w:rPr>
              <w:t xml:space="preserve">: </w:t>
            </w:r>
            <w:r>
              <w:rPr>
                <w:lang w:val="hu-HU"/>
              </w:rPr>
              <w:t>szitagliptin 50 mg + metformin 1000 mg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(N=178)</w:t>
            </w:r>
          </w:p>
        </w:tc>
        <w:tc>
          <w:tcPr>
            <w:tcW w:w="1483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8,8</w:t>
            </w:r>
          </w:p>
        </w:tc>
        <w:tc>
          <w:tcPr>
            <w:tcW w:w="2081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-1,9</w:t>
            </w:r>
          </w:p>
        </w:tc>
        <w:tc>
          <w:tcPr>
            <w:tcW w:w="2316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-2,1</w:t>
            </w:r>
            <w:r>
              <w:rPr>
                <w:rFonts w:eastAsia="Times New Roman"/>
                <w:vertAlign w:val="superscript"/>
                <w:lang w:val="hu-HU" w:eastAsia="en-US"/>
              </w:rPr>
              <w:t>‡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(-2,3, -1,8)</w:t>
            </w:r>
          </w:p>
        </w:tc>
      </w:tr>
      <w:tr w:rsidR="00B04D48">
        <w:trPr>
          <w:trHeight w:val="1012"/>
        </w:trPr>
        <w:tc>
          <w:tcPr>
            <w:tcW w:w="3408" w:type="dxa"/>
          </w:tcPr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87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 xml:space="preserve">Napi egyszer 100 mg szitagliptin </w:t>
            </w:r>
            <w:r>
              <w:rPr>
                <w:lang w:val="hu-HU"/>
              </w:rPr>
              <w:t>folyamatban lévő inzulin- (+/- metformin)-terápiához adva</w:t>
            </w:r>
            <w:r>
              <w:rPr>
                <w:rFonts w:eastAsia="Times New Roman"/>
                <w:vertAlign w:val="superscript"/>
                <w:lang w:val="hu-HU" w:eastAsia="en-US"/>
              </w:rPr>
              <w:t xml:space="preserve"> </w:t>
            </w:r>
            <w:r>
              <w:rPr>
                <w:rFonts w:eastAsia="Times New Roman"/>
                <w:vertAlign w:val="superscript"/>
                <w:lang w:val="hu-HU" w:eastAsia="en-US"/>
              </w:rPr>
              <w:t>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(N=305)</w:t>
            </w:r>
          </w:p>
        </w:tc>
        <w:tc>
          <w:tcPr>
            <w:tcW w:w="1483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8,7</w:t>
            </w:r>
          </w:p>
        </w:tc>
        <w:tc>
          <w:tcPr>
            <w:tcW w:w="2081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-0,6</w:t>
            </w:r>
            <w:r>
              <w:rPr>
                <w:rFonts w:eastAsia="Times New Roman"/>
                <w:vertAlign w:val="superscript"/>
                <w:lang w:val="hu-HU" w:eastAsia="en-US"/>
              </w:rPr>
              <w:t>¶</w:t>
            </w:r>
          </w:p>
        </w:tc>
        <w:tc>
          <w:tcPr>
            <w:tcW w:w="2316" w:type="dxa"/>
          </w:tcPr>
          <w:p w:rsidR="00B04D48" w:rsidRDefault="00B04D4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bCs/>
                <w:lang w:val="hu-HU" w:eastAsia="en-US"/>
              </w:rPr>
            </w:pP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-0,6</w:t>
            </w:r>
            <w:r>
              <w:rPr>
                <w:rFonts w:eastAsia="Times New Roman"/>
                <w:vertAlign w:val="superscript"/>
                <w:lang w:val="hu-HU" w:eastAsia="en-US"/>
              </w:rPr>
              <w:t>‡,¶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lang w:val="hu-HU" w:eastAsia="en-US"/>
              </w:rPr>
            </w:pPr>
            <w:r>
              <w:rPr>
                <w:rFonts w:eastAsia="Times New Roman"/>
                <w:lang w:val="hu-HU" w:eastAsia="en-US"/>
              </w:rPr>
              <w:t>(-0,7, -0,4)</w:t>
            </w:r>
          </w:p>
        </w:tc>
      </w:tr>
    </w:tbl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187" w:lineRule="exact"/>
        <w:ind w:left="218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sz w:val="18"/>
          <w:szCs w:val="18"/>
          <w:lang w:val="hu-HU" w:eastAsia="en-US"/>
        </w:rPr>
        <w:t xml:space="preserve">* </w:t>
      </w:r>
      <w:r>
        <w:rPr>
          <w:rFonts w:eastAsia="Times New Roman"/>
          <w:sz w:val="18"/>
          <w:szCs w:val="18"/>
          <w:lang w:val="hu-HU" w:eastAsia="en-US" w:bidi="hu-HU"/>
        </w:rPr>
        <w:t>A kezelt populáció minden betege (beválasztás szerinti analízis</w:t>
      </w:r>
      <w:r>
        <w:rPr>
          <w:rFonts w:eastAsia="Times New Roman"/>
          <w:sz w:val="18"/>
          <w:szCs w:val="18"/>
          <w:lang w:val="hu-HU" w:eastAsia="en-US"/>
        </w:rPr>
        <w:t>).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08" w:lineRule="exact"/>
        <w:ind w:left="218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position w:val="8"/>
          <w:sz w:val="12"/>
          <w:szCs w:val="12"/>
          <w:lang w:val="hu-HU" w:eastAsia="en-US"/>
        </w:rPr>
        <w:t xml:space="preserve">† </w:t>
      </w:r>
      <w:r>
        <w:rPr>
          <w:rFonts w:eastAsia="Times New Roman"/>
          <w:sz w:val="18"/>
          <w:szCs w:val="18"/>
          <w:lang w:val="hu-HU" w:eastAsia="en-US" w:bidi="hu-HU"/>
        </w:rPr>
        <w:t xml:space="preserve">Az előzőleg adott antihyperglykaemiás terápiás </w:t>
      </w:r>
      <w:r>
        <w:rPr>
          <w:rFonts w:eastAsia="Times New Roman"/>
          <w:sz w:val="18"/>
          <w:szCs w:val="18"/>
          <w:lang w:val="hu-HU" w:eastAsia="en-US" w:bidi="hu-HU"/>
        </w:rPr>
        <w:t>státuszhoz és a vizsgálatba történő belépéskor mért értékhez igazított legkisebb négyzetek módszere.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08" w:lineRule="exact"/>
        <w:ind w:left="218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position w:val="8"/>
          <w:sz w:val="12"/>
          <w:szCs w:val="12"/>
          <w:lang w:val="hu-HU" w:eastAsia="en-US"/>
        </w:rPr>
        <w:t xml:space="preserve">‡ </w:t>
      </w:r>
      <w:r>
        <w:rPr>
          <w:rFonts w:eastAsia="Times New Roman"/>
          <w:sz w:val="18"/>
          <w:szCs w:val="18"/>
          <w:lang w:val="hu-HU" w:eastAsia="en-US"/>
        </w:rPr>
        <w:t xml:space="preserve">p&lt;0,001 </w:t>
      </w:r>
      <w:r>
        <w:rPr>
          <w:rFonts w:eastAsia="Times New Roman"/>
          <w:sz w:val="18"/>
          <w:szCs w:val="18"/>
          <w:lang w:val="hu-HU" w:eastAsia="en-US" w:bidi="hu-HU"/>
        </w:rPr>
        <w:t>a placebóval vagy placebó+kombinációs kezeléssel összehasonlítva</w:t>
      </w:r>
      <w:r>
        <w:rPr>
          <w:rFonts w:eastAsia="Times New Roman"/>
          <w:sz w:val="18"/>
          <w:szCs w:val="18"/>
          <w:lang w:val="hu-HU" w:eastAsia="en-US"/>
        </w:rPr>
        <w:t>.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07" w:lineRule="exact"/>
        <w:ind w:left="218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position w:val="8"/>
          <w:sz w:val="12"/>
          <w:szCs w:val="12"/>
          <w:lang w:val="hu-HU" w:eastAsia="en-US"/>
        </w:rPr>
        <w:t xml:space="preserve">§ </w:t>
      </w:r>
      <w:r>
        <w:rPr>
          <w:rFonts w:eastAsia="Times New Roman"/>
          <w:sz w:val="18"/>
          <w:szCs w:val="18"/>
          <w:lang w:val="hu-HU" w:eastAsia="en-US" w:bidi="hu-HU"/>
        </w:rPr>
        <w:t>A 18. héten mért</w:t>
      </w:r>
      <w:r>
        <w:rPr>
          <w:rFonts w:eastAsia="Microsoft Sans Serif"/>
          <w:color w:val="000000"/>
          <w:sz w:val="24"/>
          <w:szCs w:val="24"/>
          <w:lang w:val="hu-HU" w:eastAsia="hu-HU" w:bidi="hu-HU"/>
        </w:rPr>
        <w:t xml:space="preserve"> </w:t>
      </w:r>
      <w:r>
        <w:rPr>
          <w:rFonts w:eastAsia="Times New Roman"/>
          <w:sz w:val="18"/>
          <w:szCs w:val="18"/>
          <w:lang w:val="hu-HU" w:eastAsia="en-US"/>
        </w:rPr>
        <w:t>HbA</w:t>
      </w:r>
      <w:r>
        <w:rPr>
          <w:rFonts w:eastAsia="Times New Roman"/>
          <w:sz w:val="18"/>
          <w:szCs w:val="18"/>
          <w:vertAlign w:val="subscript"/>
          <w:lang w:val="hu-HU" w:eastAsia="en-US"/>
        </w:rPr>
        <w:t>1c</w:t>
      </w:r>
      <w:r>
        <w:rPr>
          <w:rFonts w:eastAsia="Times New Roman"/>
          <w:sz w:val="18"/>
          <w:szCs w:val="18"/>
          <w:lang w:val="hu-HU" w:eastAsia="en-US"/>
        </w:rPr>
        <w:t xml:space="preserve"> (%).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06" w:lineRule="exact"/>
        <w:ind w:left="218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w w:val="160"/>
          <w:position w:val="8"/>
          <w:sz w:val="12"/>
          <w:szCs w:val="12"/>
          <w:lang w:val="hu-HU" w:eastAsia="en-US"/>
        </w:rPr>
        <w:t xml:space="preserve"> </w:t>
      </w:r>
      <w:r>
        <w:rPr>
          <w:rFonts w:eastAsia="Times New Roman"/>
          <w:sz w:val="18"/>
          <w:szCs w:val="18"/>
          <w:lang w:val="hu-HU" w:eastAsia="en-US" w:bidi="hu-HU"/>
        </w:rPr>
        <w:t>A 24. héten mért</w:t>
      </w:r>
      <w:r>
        <w:rPr>
          <w:rFonts w:eastAsia="Microsoft Sans Serif"/>
          <w:color w:val="000000"/>
          <w:sz w:val="24"/>
          <w:szCs w:val="24"/>
          <w:lang w:val="hu-HU" w:eastAsia="hu-HU" w:bidi="hu-HU"/>
        </w:rPr>
        <w:t xml:space="preserve"> </w:t>
      </w:r>
      <w:r>
        <w:rPr>
          <w:rFonts w:eastAsia="Times New Roman"/>
          <w:sz w:val="18"/>
          <w:szCs w:val="18"/>
          <w:lang w:val="hu-HU" w:eastAsia="en-US"/>
        </w:rPr>
        <w:t>HbA</w:t>
      </w:r>
      <w:r>
        <w:rPr>
          <w:rFonts w:eastAsia="Times New Roman"/>
          <w:sz w:val="18"/>
          <w:szCs w:val="18"/>
          <w:vertAlign w:val="subscript"/>
          <w:lang w:val="hu-HU" w:eastAsia="en-US"/>
        </w:rPr>
        <w:t>1c</w:t>
      </w:r>
      <w:r>
        <w:rPr>
          <w:rFonts w:eastAsia="Times New Roman"/>
          <w:sz w:val="18"/>
          <w:szCs w:val="18"/>
          <w:lang w:val="hu-HU" w:eastAsia="en-US"/>
        </w:rPr>
        <w:t xml:space="preserve"> (%).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06" w:lineRule="exact"/>
        <w:ind w:left="218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position w:val="8"/>
          <w:sz w:val="12"/>
          <w:szCs w:val="12"/>
          <w:lang w:val="hu-HU" w:eastAsia="en-US"/>
        </w:rPr>
        <w:t xml:space="preserve"># </w:t>
      </w:r>
      <w:r>
        <w:rPr>
          <w:rFonts w:eastAsia="Times New Roman"/>
          <w:sz w:val="18"/>
          <w:szCs w:val="18"/>
          <w:lang w:val="hu-HU" w:eastAsia="en-US" w:bidi="hu-HU"/>
        </w:rPr>
        <w:t>A 26. héten mért</w:t>
      </w:r>
      <w:r>
        <w:rPr>
          <w:rFonts w:eastAsia="Microsoft Sans Serif"/>
          <w:color w:val="000000"/>
          <w:sz w:val="24"/>
          <w:szCs w:val="24"/>
          <w:lang w:val="hu-HU" w:eastAsia="hu-HU" w:bidi="hu-HU"/>
        </w:rPr>
        <w:t xml:space="preserve"> </w:t>
      </w:r>
      <w:r>
        <w:rPr>
          <w:rFonts w:eastAsia="Times New Roman"/>
          <w:sz w:val="18"/>
          <w:szCs w:val="18"/>
          <w:lang w:val="hu-HU" w:eastAsia="en-US"/>
        </w:rPr>
        <w:t>HbA</w:t>
      </w:r>
      <w:r>
        <w:rPr>
          <w:rFonts w:eastAsia="Times New Roman"/>
          <w:sz w:val="18"/>
          <w:szCs w:val="18"/>
          <w:vertAlign w:val="subscript"/>
          <w:lang w:val="hu-HU" w:eastAsia="en-US"/>
        </w:rPr>
        <w:t>1c</w:t>
      </w:r>
      <w:r>
        <w:rPr>
          <w:rFonts w:eastAsia="Times New Roman"/>
          <w:sz w:val="18"/>
          <w:szCs w:val="18"/>
          <w:lang w:val="hu-HU" w:eastAsia="en-US"/>
        </w:rPr>
        <w:t xml:space="preserve"> (%).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before="16" w:line="206" w:lineRule="exact"/>
        <w:ind w:left="218" w:right="438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position w:val="8"/>
          <w:sz w:val="12"/>
          <w:szCs w:val="12"/>
          <w:lang w:val="hu-HU" w:eastAsia="en-US"/>
        </w:rPr>
        <w:t xml:space="preserve">¶ </w:t>
      </w:r>
      <w:r>
        <w:rPr>
          <w:rFonts w:eastAsia="Times New Roman"/>
          <w:sz w:val="18"/>
          <w:szCs w:val="18"/>
          <w:lang w:val="hu-HU" w:eastAsia="en-US" w:bidi="hu-HU"/>
        </w:rPr>
        <w:t>Az 1. vizitkor alkalmazott metforminra (igen/nem), az 1. vizitkor alkalmazott inzulinmennyiségre (előkevert, illetve nem előkevert [közepes vagy hosszú hatástartamú]), ill. a kiindulási vizit értékére korrigált legkisebb négyzetek átlaga. A te</w:t>
      </w:r>
      <w:r>
        <w:rPr>
          <w:rFonts w:eastAsia="Times New Roman"/>
          <w:sz w:val="18"/>
          <w:szCs w:val="18"/>
          <w:lang w:val="hu-HU" w:eastAsia="en-US" w:bidi="hu-HU"/>
        </w:rPr>
        <w:t xml:space="preserve">rápiás alcsoportok (metformin és inzulin alkalmazása) esetén észlelt interakciók nem voltak szignifikánsak </w:t>
      </w:r>
      <w:r>
        <w:rPr>
          <w:rFonts w:eastAsia="Times New Roman"/>
          <w:sz w:val="18"/>
          <w:szCs w:val="18"/>
          <w:lang w:val="hu-HU" w:eastAsia="en-US"/>
        </w:rPr>
        <w:t>(p &gt; 0,10).</w:t>
      </w:r>
    </w:p>
    <w:p w:rsidR="00B04D48" w:rsidRDefault="00B04D48">
      <w:pPr>
        <w:spacing w:line="240" w:lineRule="auto"/>
        <w:rPr>
          <w:u w:val="single"/>
          <w:lang w:val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Egy 24 hetes aktív- (metformin) kontrollos vizsgálatot állítottak össze a napi egyszer adott 100 mg szitagliptin (N=528) hatásosságának </w:t>
      </w:r>
      <w:r>
        <w:rPr>
          <w:rFonts w:eastAsia="Times New Roman"/>
          <w:color w:val="000000"/>
          <w:lang w:val="hu-HU" w:eastAsia="hu-HU" w:bidi="hu-HU"/>
        </w:rPr>
        <w:t>és biztonságosságának kiértékelésére a metforminnal (N=522) összehasonlítva, diéta és testmozgás mellett nem megfelelő glykaemiás kontrollal rendelkező betegeknél, akik nem részesültek antihyperglykaemiás kezelésben (legalább 4 hónapja nem kaptak kezelést)</w:t>
      </w:r>
      <w:r>
        <w:rPr>
          <w:rFonts w:eastAsia="Times New Roman"/>
          <w:color w:val="000000"/>
          <w:lang w:val="hu-HU" w:eastAsia="hu-HU" w:bidi="hu-HU"/>
        </w:rPr>
        <w:t>. A metformin átlagos dózisa hozzávetőleg naponta 1900 mg volt.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 xml:space="preserve"> csökkenése a kiinduláskor mért 7,2%-os átlagértékhez képest a szitagliptinnél -0,43% és a metforminnál pedig -0,57% volt (protokoll szerinti elemzés). A gyógyszerrel összefüggőnek tartott gasztrointesztinális mellékhatások összesített előfordulási aránya </w:t>
      </w:r>
      <w:r>
        <w:rPr>
          <w:rFonts w:eastAsia="Times New Roman"/>
          <w:color w:val="000000"/>
          <w:lang w:val="hu-HU" w:eastAsia="hu-HU" w:bidi="hu-HU"/>
        </w:rPr>
        <w:t>a szitagliptinnel kezelt betegeknél 2,7% volt, szemben a metforminnal kezelt betegeknél megfigyelt 12,6%-kal. A hypoglykaemia előfordulási aránya a két kezelési csoportban nem különbözött jelentős mértékben (szitagliptin: 1,3%, metformin: 1,9%). A testtöme</w:t>
      </w:r>
      <w:r>
        <w:rPr>
          <w:rFonts w:eastAsia="Times New Roman"/>
          <w:color w:val="000000"/>
          <w:lang w:val="hu-HU" w:eastAsia="hu-HU" w:bidi="hu-HU"/>
        </w:rPr>
        <w:t>g a kiindulási értékhez képest mindkét csoportban csökkent (szitagliptin: -0,6 ttkg, metformin: -1,9 ttkg).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Egy vizsgálatban, mely a hozzáadott napi egyszeri 100 mg szitagliptin vagy glipizid (szulfonilurea) hatásosságát és biztonságosságát vizsgálta a me</w:t>
      </w:r>
      <w:r>
        <w:rPr>
          <w:rFonts w:eastAsia="Times New Roman"/>
          <w:color w:val="000000"/>
          <w:lang w:val="hu-HU" w:eastAsia="hu-HU" w:bidi="hu-HU"/>
        </w:rPr>
        <w:t>tformin-monoterápia mellett nem kielégítő glykaemiás kontrollal rendelkező betegeknél, a szitagliptin hasonló volt a glipizidhez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 xml:space="preserve"> csökkentése terén. A komparátor csoportban a glipizid átlagos dózisa napi 10 mg volt, a vizsgálat alatt a betegek körül</w:t>
      </w:r>
      <w:r>
        <w:rPr>
          <w:rFonts w:eastAsia="Times New Roman"/>
          <w:color w:val="000000"/>
          <w:lang w:val="hu-HU" w:eastAsia="hu-HU" w:bidi="hu-HU"/>
        </w:rPr>
        <w:t xml:space="preserve">belül 40%-ának volt szüksége naponta </w:t>
      </w:r>
      <w:r>
        <w:t>≤ </w:t>
      </w:r>
      <w:r>
        <w:rPr>
          <w:rFonts w:eastAsia="Times New Roman"/>
          <w:color w:val="000000"/>
          <w:lang w:val="hu-HU" w:eastAsia="hu-HU" w:bidi="hu-HU"/>
        </w:rPr>
        <w:t>5 mg-os glipizid-dózisra. A szitagliptin-csoportban azonban több beteg hagyta abba a kezelést a gyógyszer hatásosságának hiánya miatt, mint a glipizid-csoportban. A szitagliptinnel kezelt betegek testtömege a kiindulá</w:t>
      </w:r>
      <w:r>
        <w:rPr>
          <w:rFonts w:eastAsia="Times New Roman"/>
          <w:color w:val="000000"/>
          <w:lang w:val="hu-HU" w:eastAsia="hu-HU" w:bidi="hu-HU"/>
        </w:rPr>
        <w:t>si állapothoz képest jelentős mértékű átlagos csökkenést (-1,5 ttkg) mutatott a glipiziddel kezelt betegek jelentős testtömeg-növekedésével (+1,1 ttkg) szemben. E vizsgálatban a proinzulin-inzulin arány, mely az inzulinszintézis és -felszabadulás hatásossá</w:t>
      </w:r>
      <w:r>
        <w:rPr>
          <w:rFonts w:eastAsia="Times New Roman"/>
          <w:color w:val="000000"/>
          <w:lang w:val="hu-HU" w:eastAsia="hu-HU" w:bidi="hu-HU"/>
        </w:rPr>
        <w:t>gának markere, a szitagliptin-kezelés hatására javult, míg a glipizid-kezelés hatására romlott. A hypoglykaemiás esetek előfordulási aránya a szitagliptin-csoportban jelentősen alacsonyabb volt (4,9%), mint a glipizid-csoportban (32,0%).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lastRenderedPageBreak/>
        <w:t>Egy 24 hetes, pla</w:t>
      </w:r>
      <w:r>
        <w:rPr>
          <w:rFonts w:eastAsia="Times New Roman"/>
          <w:color w:val="000000"/>
          <w:lang w:val="hu-HU" w:eastAsia="hu-HU" w:bidi="hu-HU"/>
        </w:rPr>
        <w:t>cebokontrollos, 660 beteg bevonásával végzett vizsgálatot úgy terveztek meg, hogy értékelje a glargin inzulinhoz (legalább 1500 mg) metforminnal vagy anélkül adott (napi egyszer 100 mg) szitagliptin inzulincsökkentő hatásosságát és biztonságosságát az inzu</w:t>
      </w:r>
      <w:r>
        <w:rPr>
          <w:rFonts w:eastAsia="Times New Roman"/>
          <w:color w:val="000000"/>
          <w:lang w:val="hu-HU" w:eastAsia="hu-HU" w:bidi="hu-HU"/>
        </w:rPr>
        <w:t>lin-terápia intenzifikálása idején.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 xml:space="preserve"> kiindulási értéke 8,74% volt, míg az inzulin kiindulási dózisa napi 37 NE volt. A betegeket arra utasították, hogy glargin inzulin dózisukat az ujjbegyből vett vérminták éhomi glükózértékei alapján határozzák meg</w:t>
      </w:r>
      <w:r>
        <w:rPr>
          <w:rFonts w:eastAsia="Times New Roman"/>
          <w:color w:val="000000"/>
          <w:lang w:val="hu-HU" w:eastAsia="hu-HU" w:bidi="hu-HU"/>
        </w:rPr>
        <w:t>. A 24. héten a napi inzulindózis növekedése a szitagliptinnel kezelt betegeknél napi 19 NE, míg a placebóval kezelt betegeknél napi 24 NE volt.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 xml:space="preserve"> csökkenése a szitagliptinnel és inzulinnal (metforminnal vagy anélkül) kezelt betegeknél -1,31% volt, ö</w:t>
      </w:r>
      <w:r>
        <w:rPr>
          <w:rFonts w:eastAsia="Times New Roman"/>
          <w:color w:val="000000"/>
          <w:lang w:val="hu-HU" w:eastAsia="hu-HU" w:bidi="hu-HU"/>
        </w:rPr>
        <w:t xml:space="preserve">sszehasonlítva a placebóval és inzulinnal (metforminnal vagy anélkül) kezelt betegeknél megfigyelt -0,87%-kal, mely </w:t>
      </w:r>
      <w:r>
        <w:rPr>
          <w:rFonts w:eastAsia="Times New Roman"/>
          <w:color w:val="000000"/>
          <w:lang w:val="hu-HU" w:eastAsia="hu-HU" w:bidi="hu-HU"/>
        </w:rPr>
        <w:noBreakHyphen/>
        <w:t>0,45%-os különbséget [95%-os CI: -0,60, -0,29] mutat. A hypoglykaemia előfordulási gyakorisága a szitagliptinnel és inzulinnal (metforminna</w:t>
      </w:r>
      <w:r>
        <w:rPr>
          <w:rFonts w:eastAsia="Times New Roman"/>
          <w:color w:val="000000"/>
          <w:lang w:val="hu-HU" w:eastAsia="hu-HU" w:bidi="hu-HU"/>
        </w:rPr>
        <w:t>l vagy anélkül) kezelt betegeknél 25,2%, míg a placebóval és inzulinnal (metforminnal vagy anélkül) kezelt betegeknél 36,8% volt. A különbség főként annak tulajdonítható, hogy a placebocsoport betegei nagyobb arányban tapasztaltak 3 vagy ennél több hypogly</w:t>
      </w:r>
      <w:r>
        <w:rPr>
          <w:rFonts w:eastAsia="Times New Roman"/>
          <w:color w:val="000000"/>
          <w:lang w:val="hu-HU" w:eastAsia="hu-HU" w:bidi="hu-HU"/>
        </w:rPr>
        <w:t>kaemiás epizódot (9,4 vs. 19,1%). A súlyos hypoglykaemia gyakoriságát illetően nem mutatkozott különbség.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Közepesen súlyos/súlyos vesekárosodásban szenvedő betegekkel végeztek egy vizsgálatot, melynek során naponta egyszer 25 vagy 50 mg szitagliptint haso</w:t>
      </w:r>
      <w:r>
        <w:rPr>
          <w:rFonts w:eastAsia="Times New Roman"/>
          <w:color w:val="000000"/>
          <w:lang w:val="hu-HU" w:eastAsia="hu-HU" w:bidi="hu-HU"/>
        </w:rPr>
        <w:t>nlítottak össze napi 2,5–20 mg glipiziddel. A vizsgálatba 423, krónikus vesekárosodásban szenvedő beteget (becsült glomerulusfiltrációs ráta &lt; 50 ml/perc) vontak be. Ötvennégy hét után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 xml:space="preserve"> kiindulási értékének átlagos csökkenése -0,76% volt a szitaglip</w:t>
      </w:r>
      <w:r>
        <w:rPr>
          <w:rFonts w:eastAsia="Times New Roman"/>
          <w:color w:val="000000"/>
          <w:lang w:val="hu-HU" w:eastAsia="hu-HU" w:bidi="hu-HU"/>
        </w:rPr>
        <w:t>tin, és -0,64% a glipizid alkalmazása mellett (protokoll szerinti analízis). Ebben a vizsgálatban a naponta egyszer alkalmazott 25 vagy 50 mg szitagliptin hatásossági és biztonságossági profilja általánosságban hasonló volt a normál vesefunkciójú betegekné</w:t>
      </w:r>
      <w:r>
        <w:rPr>
          <w:rFonts w:eastAsia="Times New Roman"/>
          <w:color w:val="000000"/>
          <w:lang w:val="hu-HU" w:eastAsia="hu-HU" w:bidi="hu-HU"/>
        </w:rPr>
        <w:t>l egyéb monoterápiás vizsgálatokban megfigyeltekhez. A hypoglykaemia előfordulási aránya a szitagliptin-csoportban lényegesen alacsonyabb volt (6,2%), mint a glipizid-csoportban (17,0%). Szintén jelentős különbség mutatkozott a csoportok között a kiindulás</w:t>
      </w:r>
      <w:r>
        <w:rPr>
          <w:rFonts w:eastAsia="Times New Roman"/>
          <w:color w:val="000000"/>
          <w:lang w:val="hu-HU" w:eastAsia="hu-HU" w:bidi="hu-HU"/>
        </w:rPr>
        <w:t>i testtömeg változását illetően (szitagliptin: -0,6 ttkg, glipizid: +1,2 ttkg).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Egy másik, 129, végstádiumú vesebetegségben szenvedő, dializált beteggel végzett vizsgálat során napi 25 mg szitagliptint hasonlítottak össze napi 2,5-20 mg glipiziddel. Ötven</w:t>
      </w:r>
      <w:r>
        <w:rPr>
          <w:rFonts w:eastAsia="Times New Roman"/>
          <w:color w:val="000000"/>
          <w:lang w:val="hu-HU" w:eastAsia="hu-HU" w:bidi="hu-HU"/>
        </w:rPr>
        <w:t>négy hét után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 xml:space="preserve"> kiindulási értékének átlagos csökkenése -0,72% volt a szitagliptin és -0,87% a glipizid alkalmazása mellett. Ebben a vizsgálatban a naponta egyszer alkalmazott 25 mg szitagliptin hatásossági és biztonságossági profilja általánosságban</w:t>
      </w:r>
      <w:r>
        <w:rPr>
          <w:rFonts w:eastAsia="Times New Roman"/>
          <w:color w:val="000000"/>
          <w:lang w:val="hu-HU" w:eastAsia="hu-HU" w:bidi="hu-HU"/>
        </w:rPr>
        <w:t xml:space="preserve"> hasonló volt a normál vesefunkciójú betegeknél egyéb monoterápiás vizsgálatokban megfigyeltekhez. A hypoglykaemia előfordulási aránya nem különbözött lényegesen a kezelési csoportokban (szitagliptin: 6,3%, glipizid: 10,8%).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Egy másik vizsgálatban, melyet</w:t>
      </w:r>
      <w:r>
        <w:rPr>
          <w:rFonts w:eastAsia="Times New Roman"/>
          <w:color w:val="000000"/>
          <w:lang w:val="hu-HU" w:eastAsia="hu-HU" w:bidi="hu-HU"/>
        </w:rPr>
        <w:t xml:space="preserve"> 91, 2-es típusú diabetesben és krónikus vesekárosodásban (kreatinin-clearance &lt; 50 ml/perc) szenvedő beteg részvételével folytattak, a naponta egyszer 25 vagy 50 mg szitagliptin-kezelés biztonságossága és tolerálhatósága általánosságban hasonló volt a pla</w:t>
      </w:r>
      <w:r>
        <w:rPr>
          <w:rFonts w:eastAsia="Times New Roman"/>
          <w:color w:val="000000"/>
          <w:lang w:val="hu-HU" w:eastAsia="hu-HU" w:bidi="hu-HU"/>
        </w:rPr>
        <w:t>cebóéhoz. Ezenkívül 12 hét után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 xml:space="preserve"> (szitagliptin: -0,59%; placebo: -0,18%) és FPG (szitagliptin: -25,5 mg/dl; placebo: -3,0 mg/dl) átlagos csökkenése általánosságban hasonló volt a normál vesefunkciójú betegeknél egyéb monoterápiás vizsgálatokban megf</w:t>
      </w:r>
      <w:r>
        <w:rPr>
          <w:rFonts w:eastAsia="Times New Roman"/>
          <w:color w:val="000000"/>
          <w:lang w:val="hu-HU" w:eastAsia="hu-HU" w:bidi="hu-HU"/>
        </w:rPr>
        <w:t>igyeltekhez (lásd 5.2 pont).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 TECOS egy randomizált vizsgálat volt, melynek beválasztás szerinti populációjában 14 671, </w:t>
      </w:r>
      <w:r>
        <w:t>≥</w:t>
      </w:r>
      <w:r>
        <w:rPr>
          <w:rFonts w:eastAsia="Times New Roman"/>
          <w:color w:val="000000"/>
          <w:lang w:val="hu-HU" w:eastAsia="hu-HU" w:bidi="hu-HU"/>
        </w:rPr>
        <w:t xml:space="preserve"> 6,5 és 8,0% közötti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>-értékkel rendelkező, igazolt CV betegségben szenvedő beteg vett részt, akik (7332</w:t>
      </w:r>
      <w:r>
        <w:rPr>
          <w:rFonts w:eastAsia="Times New Roman"/>
          <w:color w:val="000000"/>
          <w:lang w:val="hu-HU" w:eastAsia="hu-HU" w:bidi="hu-HU"/>
        </w:rPr>
        <w:noBreakHyphen/>
        <w:t xml:space="preserve">en) napi 100 mg (vagy </w:t>
      </w:r>
      <w:r>
        <w:t>≥</w:t>
      </w:r>
      <w:r>
        <w:rPr>
          <w:rFonts w:eastAsia="Times New Roman"/>
          <w:color w:val="000000"/>
          <w:lang w:val="hu-HU" w:eastAsia="hu-HU" w:bidi="hu-HU"/>
        </w:rPr>
        <w:t> </w:t>
      </w:r>
      <w:r>
        <w:rPr>
          <w:rFonts w:eastAsia="Times New Roman"/>
          <w:color w:val="000000"/>
          <w:lang w:val="hu-HU" w:eastAsia="hu-HU" w:bidi="hu-HU"/>
        </w:rPr>
        <w:t>30 és &lt; 50 ml/perc/1,73 m</w:t>
      </w:r>
      <w:r>
        <w:rPr>
          <w:rFonts w:eastAsia="Times New Roman"/>
          <w:color w:val="000000"/>
          <w:vertAlign w:val="superscript"/>
          <w:lang w:val="hu-HU" w:eastAsia="hu-HU" w:bidi="hu-HU"/>
        </w:rPr>
        <w:t>2</w:t>
      </w:r>
      <w:r>
        <w:rPr>
          <w:rFonts w:eastAsia="Times New Roman"/>
          <w:color w:val="000000"/>
          <w:lang w:val="hu-HU" w:eastAsia="hu-HU" w:bidi="hu-HU"/>
        </w:rPr>
        <w:t xml:space="preserve"> értékű kiindulási eGFR esetén napi 50 mg) szitagliptint vagy (7339-en) placebót kaptak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 xml:space="preserve"> és CV kockázati tényezőkre vonatkozó regionális standardokat célzó általános kezelés mellé. A &lt; 30 ml/perc/1,73 m</w:t>
      </w:r>
      <w:r>
        <w:rPr>
          <w:rFonts w:eastAsia="Times New Roman"/>
          <w:color w:val="000000"/>
          <w:vertAlign w:val="superscript"/>
          <w:lang w:val="hu-HU" w:eastAsia="hu-HU" w:bidi="hu-HU"/>
        </w:rPr>
        <w:t>2</w:t>
      </w:r>
      <w:r>
        <w:rPr>
          <w:rFonts w:eastAsia="Times New Roman"/>
          <w:color w:val="000000"/>
          <w:lang w:val="hu-HU" w:eastAsia="hu-HU" w:bidi="hu-HU"/>
        </w:rPr>
        <w:t xml:space="preserve"> eGFR értékkel rende</w:t>
      </w:r>
      <w:r>
        <w:rPr>
          <w:rFonts w:eastAsia="Times New Roman"/>
          <w:color w:val="000000"/>
          <w:lang w:val="hu-HU" w:eastAsia="hu-HU" w:bidi="hu-HU"/>
        </w:rPr>
        <w:t xml:space="preserve">lkező betegek nem voltak bevonhatóak a vizsgálatba. A vizsgálati populációba 2004, </w:t>
      </w:r>
      <w:r>
        <w:t>≥ </w:t>
      </w:r>
      <w:r>
        <w:rPr>
          <w:rFonts w:eastAsia="Times New Roman"/>
          <w:color w:val="000000"/>
          <w:lang w:val="hu-HU" w:eastAsia="hu-HU" w:bidi="hu-HU"/>
        </w:rPr>
        <w:t>75 éves beteg és 3324, vesekárosodásban szenvedő beteg (eGFR &lt; 60 ml/perc/1,73 m</w:t>
      </w:r>
      <w:r>
        <w:rPr>
          <w:rFonts w:eastAsia="Times New Roman"/>
          <w:color w:val="000000"/>
          <w:vertAlign w:val="superscript"/>
          <w:lang w:val="hu-HU" w:eastAsia="hu-HU" w:bidi="hu-HU"/>
        </w:rPr>
        <w:t>2</w:t>
      </w:r>
      <w:r>
        <w:rPr>
          <w:rFonts w:eastAsia="Times New Roman"/>
          <w:color w:val="000000"/>
          <w:lang w:val="hu-HU" w:eastAsia="hu-HU" w:bidi="hu-HU"/>
        </w:rPr>
        <w:t>) tartozott.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vizsgálat folyamán a szitagliptin- és placebocsoport közötti becsült átlag</w:t>
      </w:r>
      <w:r>
        <w:rPr>
          <w:rFonts w:eastAsia="Times New Roman"/>
          <w:color w:val="000000"/>
          <w:lang w:val="hu-HU" w:eastAsia="hu-HU" w:bidi="hu-HU"/>
        </w:rPr>
        <w:t>os összkülönbség (standard deviáció) 0,29% (0,01), 95%-os CI (-0,32, -0,27); p &lt; 0,001 volt.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Az elsődleges cardiovascularis végpont az alábbi események első előfordulására vonatkozó összetett végpont volt: cardiovascularis halálozás, nem halálos </w:t>
      </w:r>
      <w:r>
        <w:rPr>
          <w:rFonts w:eastAsia="Times New Roman"/>
          <w:color w:val="000000"/>
          <w:lang w:val="hu-HU" w:eastAsia="hu-HU" w:bidi="hu-HU"/>
        </w:rPr>
        <w:t xml:space="preserve">kimenetelű myocardialis infarctus, nem halálos kimenetelű stroke, illetve instabil angina miatti hospitalizáció. A másodlagos cardiovascularis </w:t>
      </w:r>
      <w:r>
        <w:rPr>
          <w:rFonts w:eastAsia="Times New Roman"/>
          <w:color w:val="000000"/>
          <w:lang w:val="hu-HU" w:eastAsia="hu-HU" w:bidi="hu-HU"/>
        </w:rPr>
        <w:lastRenderedPageBreak/>
        <w:t>végpontok közé tartozott a cardiovascularis halálozás, nem halálos kimenetelű myocardialis infarctus vagy nem hal</w:t>
      </w:r>
      <w:r>
        <w:rPr>
          <w:rFonts w:eastAsia="Times New Roman"/>
          <w:color w:val="000000"/>
          <w:lang w:val="hu-HU" w:eastAsia="hu-HU" w:bidi="hu-HU"/>
        </w:rPr>
        <w:t>álos kimenetelű stroke; az elsődleges összetett végpont egyes összetevőinek első előfordulása; az összhalálozás; valamint a pangásos szívelégtelenség miatti hospitalizáció.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3 éves medián időtartamú követés után a szokásos kezeléssel együtt adott szitagl</w:t>
      </w:r>
      <w:r>
        <w:rPr>
          <w:rFonts w:eastAsia="Times New Roman"/>
          <w:color w:val="000000"/>
          <w:lang w:val="hu-HU" w:eastAsia="hu-HU" w:bidi="hu-HU"/>
        </w:rPr>
        <w:t>iptin, a szitagliptin nélkül adott szokásos kezeléssel összehasonlítva nem növelte a jelentősebb cardiovascularis nemkívánatos események kockázatát vagy a szívelégtelenség miatti hospitalizáció kockázatát a 2-es típusú diabetesben szenvedő betegeknél (3. t</w:t>
      </w:r>
      <w:r>
        <w:rPr>
          <w:rFonts w:eastAsia="Times New Roman"/>
          <w:color w:val="000000"/>
          <w:lang w:val="hu-HU" w:eastAsia="hu-HU" w:bidi="hu-HU"/>
        </w:rPr>
        <w:t>áblázat).</w:t>
      </w:r>
      <w:bookmarkStart w:id="8" w:name="bookmark33"/>
      <w:bookmarkEnd w:id="8"/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b/>
          <w:bCs/>
          <w:color w:val="000000"/>
          <w:lang w:val="hu-HU" w:eastAsia="hu-HU" w:bidi="hu-HU"/>
        </w:rPr>
        <w:t>3. táblázat Az összetett cardiovascularis végpontok és a főbb másodlagos végpontok arányai</w:t>
      </w:r>
    </w:p>
    <w:tbl>
      <w:tblPr>
        <w:tblW w:w="930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10"/>
        <w:gridCol w:w="998"/>
        <w:gridCol w:w="950"/>
        <w:gridCol w:w="979"/>
        <w:gridCol w:w="979"/>
        <w:gridCol w:w="1498"/>
        <w:gridCol w:w="888"/>
      </w:tblGrid>
      <w:tr w:rsidR="00B04D48">
        <w:trPr>
          <w:tblHeader/>
        </w:trPr>
        <w:tc>
          <w:tcPr>
            <w:tcW w:w="30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B04D4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Microsoft Sans Serif"/>
                <w:color w:val="000000"/>
                <w:sz w:val="10"/>
                <w:szCs w:val="10"/>
                <w:lang w:val="hu-HU" w:eastAsia="hu-HU" w:bidi="hu-HU"/>
              </w:rPr>
            </w:pP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Szitagliptin 100 mg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Placebo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76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Kockázati arány (95%-os CI)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2"/>
                <w:szCs w:val="12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p-érték</w:t>
            </w:r>
            <w:r>
              <w:rPr>
                <w:sz w:val="18"/>
                <w:szCs w:val="18"/>
                <w:vertAlign w:val="superscript"/>
              </w:rPr>
              <w:t>†</w:t>
            </w:r>
          </w:p>
        </w:tc>
      </w:tr>
      <w:tr w:rsidR="00B04D48">
        <w:trPr>
          <w:trHeight w:hRule="exact" w:val="1474"/>
        </w:trPr>
        <w:tc>
          <w:tcPr>
            <w:tcW w:w="3010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04D48" w:rsidRDefault="00B04D4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Microsoft Sans Serif"/>
                <w:color w:val="000000"/>
                <w:sz w:val="10"/>
                <w:szCs w:val="10"/>
                <w:lang w:val="hu-HU" w:eastAsia="hu-HU" w:bidi="hu-H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N (%)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3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100 betegévre vonatkozó előfordulási arány</w:t>
            </w: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*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N (%)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3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 xml:space="preserve">100 betegévre vonatkozó 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előfordulási arány</w:t>
            </w: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*</w:t>
            </w: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04D48" w:rsidRDefault="00B04D48">
            <w:pPr>
              <w:widowControl w:val="0"/>
              <w:tabs>
                <w:tab w:val="clear" w:pos="567"/>
              </w:tabs>
              <w:spacing w:line="276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4D48" w:rsidRDefault="00B04D48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2"/>
                <w:szCs w:val="12"/>
                <w:lang w:val="hu-HU" w:eastAsia="hu-HU" w:bidi="hu-HU"/>
              </w:rPr>
            </w:pPr>
          </w:p>
        </w:tc>
      </w:tr>
      <w:tr w:rsidR="00B04D48">
        <w:trPr>
          <w:trHeight w:hRule="exact" w:val="302"/>
        </w:trPr>
        <w:tc>
          <w:tcPr>
            <w:tcW w:w="930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A beválasztás szerinti populáció elemzése</w:t>
            </w:r>
          </w:p>
        </w:tc>
      </w:tr>
      <w:tr w:rsidR="00B04D48">
        <w:trPr>
          <w:trHeight w:hRule="exact" w:val="28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firstLine="280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A betegek száma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7332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7339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0,98 (0,89–1,08)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&lt;0,001</w:t>
            </w:r>
          </w:p>
        </w:tc>
      </w:tr>
      <w:tr w:rsidR="00B04D48">
        <w:trPr>
          <w:trHeight w:hRule="exact" w:val="1320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30" w:lineRule="auto"/>
              <w:ind w:firstLine="280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Elsődleges összetett végpont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spacing w:line="230" w:lineRule="auto"/>
              <w:ind w:left="460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 xml:space="preserve">(Cardiovascularis halálozás, nem halálos kimenetelű myocardialis infarctus, nem halálos kimenetelű stroke, </w:t>
            </w: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illetve instabil angina miatti hospitalizáció)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839 (11,4)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4,1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851 (11,6)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4,2</w:t>
            </w: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04D48" w:rsidRDefault="00B04D48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4D48" w:rsidRDefault="00B04D48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</w:p>
        </w:tc>
      </w:tr>
      <w:tr w:rsidR="00B04D48">
        <w:trPr>
          <w:trHeight w:hRule="exact" w:val="113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30" w:lineRule="auto"/>
              <w:ind w:firstLine="280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Másodlagos összetett végpont</w:t>
            </w:r>
          </w:p>
          <w:p w:rsidR="00B04D48" w:rsidRDefault="000731B7">
            <w:pPr>
              <w:widowControl w:val="0"/>
              <w:tabs>
                <w:tab w:val="clear" w:pos="567"/>
              </w:tabs>
              <w:spacing w:line="230" w:lineRule="auto"/>
              <w:ind w:left="460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(Cardiovascularis halálozás, nem halálos kimenetelű myocardialis infarctus vagy nem halálos kimenetelű stroke)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745 (10,2)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3,6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746 (10,2)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3,6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 xml:space="preserve">0,99 </w:t>
            </w: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(0,89–1,10)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&lt;0,001</w:t>
            </w:r>
          </w:p>
        </w:tc>
      </w:tr>
      <w:tr w:rsidR="00B04D48">
        <w:trPr>
          <w:trHeight w:hRule="exact" w:val="288"/>
        </w:trPr>
        <w:tc>
          <w:tcPr>
            <w:tcW w:w="930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hu-HU" w:eastAsia="hu-HU" w:bidi="hu-HU"/>
              </w:rPr>
              <w:t>Másodlagos végpont</w:t>
            </w:r>
          </w:p>
        </w:tc>
      </w:tr>
      <w:tr w:rsidR="00B04D48">
        <w:trPr>
          <w:trHeight w:hRule="exact" w:val="283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firstLine="460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Cardiovascularis halálozás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380 (5,2)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1,7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366 (5,0)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1,7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1,03 (0,89–1,19)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0,711</w:t>
            </w:r>
          </w:p>
        </w:tc>
      </w:tr>
      <w:tr w:rsidR="00B04D48">
        <w:trPr>
          <w:trHeight w:hRule="exact" w:val="41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D48" w:rsidRDefault="000731B7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Összes myocardialis infarctus (halálos és nem halálos)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300 (4,1)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1,4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316 (4,3)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1,5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0,95 (0,81–1,11)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0,487</w:t>
            </w:r>
          </w:p>
        </w:tc>
      </w:tr>
      <w:tr w:rsidR="00B04D48">
        <w:trPr>
          <w:trHeight w:hRule="exact" w:val="427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D48" w:rsidRDefault="000731B7">
            <w:pPr>
              <w:widowControl w:val="0"/>
              <w:tabs>
                <w:tab w:val="clear" w:pos="567"/>
              </w:tabs>
              <w:spacing w:line="233" w:lineRule="auto"/>
              <w:ind w:left="460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 xml:space="preserve">Összes stroke (halálos és nem </w:t>
            </w: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halálos)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178 (2,4)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183 (2,5)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0,97 (0,79–1,19)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0,760</w:t>
            </w:r>
          </w:p>
        </w:tc>
      </w:tr>
      <w:tr w:rsidR="00B04D48">
        <w:trPr>
          <w:trHeight w:hRule="exact" w:val="427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Instabil angina miatti hospitalizáció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116 (1,6)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129 (1,8)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0,90 (0,70–1,16)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0,419</w:t>
            </w:r>
          </w:p>
        </w:tc>
      </w:tr>
      <w:tr w:rsidR="00B04D48">
        <w:trPr>
          <w:trHeight w:hRule="exact" w:val="422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ind w:left="460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Összhalálozás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547 (7,5)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2,5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537 (7,3)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2,5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1,01 (0,90–1,14)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0,875</w:t>
            </w:r>
          </w:p>
        </w:tc>
      </w:tr>
      <w:tr w:rsidR="00B04D48">
        <w:trPr>
          <w:trHeight w:hRule="exact" w:val="442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color w:val="000000"/>
                <w:sz w:val="12"/>
                <w:szCs w:val="12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Szívelégtelenség miatti hospitalizáció</w:t>
            </w:r>
            <w:r>
              <w:rPr>
                <w:sz w:val="18"/>
                <w:szCs w:val="18"/>
                <w:vertAlign w:val="superscript"/>
                <w:lang w:val="hu-HU"/>
              </w:rPr>
              <w:t>‡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228 (3,1)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1,1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229 (3,1)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1,1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1,00 (0,83–1,20)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4D48" w:rsidRDefault="000731B7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hu-HU" w:eastAsia="hu-HU" w:bidi="hu-HU"/>
              </w:rPr>
              <w:t>0,983</w:t>
            </w:r>
          </w:p>
        </w:tc>
      </w:tr>
    </w:tbl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ind w:left="309" w:right="290" w:hanging="92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sz w:val="18"/>
          <w:szCs w:val="18"/>
          <w:lang w:val="hu-HU" w:eastAsia="en-US"/>
        </w:rPr>
        <w:t xml:space="preserve">* </w:t>
      </w:r>
      <w:bookmarkStart w:id="9" w:name="bookmark31"/>
      <w:bookmarkEnd w:id="9"/>
      <w:r>
        <w:rPr>
          <w:rFonts w:eastAsia="Times New Roman"/>
          <w:sz w:val="18"/>
          <w:szCs w:val="18"/>
          <w:lang w:val="hu-HU" w:eastAsia="en-US" w:bidi="hu-HU"/>
        </w:rPr>
        <w:t xml:space="preserve">A 100 betegévre vonatkozó előfordulási arány kiszámítása: 100 × (a beszámítható expozíciós időszak során </w:t>
      </w:r>
      <w:r>
        <w:rPr>
          <w:sz w:val="18"/>
          <w:szCs w:val="18"/>
          <w:lang w:val="hu-HU"/>
        </w:rPr>
        <w:t>≥</w:t>
      </w:r>
      <w:r>
        <w:rPr>
          <w:rFonts w:eastAsia="Times New Roman"/>
          <w:sz w:val="18"/>
          <w:szCs w:val="18"/>
          <w:lang w:val="hu-HU" w:eastAsia="en-US" w:bidi="hu-HU"/>
        </w:rPr>
        <w:t xml:space="preserve"> 1 eseményt elérő betegek összesített száma elosztva a követés összes betegévének számával</w:t>
      </w:r>
      <w:r>
        <w:rPr>
          <w:rFonts w:eastAsia="Times New Roman"/>
          <w:sz w:val="18"/>
          <w:szCs w:val="18"/>
          <w:lang w:val="hu-HU" w:eastAsia="en-US"/>
        </w:rPr>
        <w:t>).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before="2" w:line="206" w:lineRule="exact"/>
        <w:ind w:left="309" w:right="278" w:hanging="92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position w:val="8"/>
          <w:sz w:val="12"/>
          <w:szCs w:val="12"/>
          <w:lang w:val="hu-HU" w:eastAsia="en-US"/>
        </w:rPr>
        <w:t xml:space="preserve">† </w:t>
      </w:r>
      <w:r>
        <w:rPr>
          <w:rFonts w:eastAsia="Times New Roman"/>
          <w:sz w:val="18"/>
          <w:szCs w:val="18"/>
          <w:lang w:val="hu-HU" w:eastAsia="en-US" w:bidi="hu-HU"/>
        </w:rPr>
        <w:t>Egy régióra stratifikált Cox modell alapján. Az összetett végpontoknál a p-értékek egy non-inferioritási tesztnek felelnek meg, mely azt volt hivatott kimutatni, hogy a relatív hazárd 1,3-nél alacsonyabb. Az összes többi végpontnál a p-értékek a relatív ha</w:t>
      </w:r>
      <w:r>
        <w:rPr>
          <w:rFonts w:eastAsia="Times New Roman"/>
          <w:sz w:val="18"/>
          <w:szCs w:val="18"/>
          <w:lang w:val="hu-HU" w:eastAsia="en-US" w:bidi="hu-HU"/>
        </w:rPr>
        <w:t>zárdok közötti különbségek tesztjének felelnek meg</w:t>
      </w:r>
      <w:r>
        <w:rPr>
          <w:rFonts w:eastAsia="Times New Roman"/>
          <w:sz w:val="18"/>
          <w:szCs w:val="18"/>
          <w:lang w:val="hu-HU" w:eastAsia="en-US"/>
        </w:rPr>
        <w:t>.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19" w:lineRule="exact"/>
        <w:ind w:left="218"/>
        <w:rPr>
          <w:rFonts w:eastAsia="Times New Roman"/>
          <w:sz w:val="18"/>
          <w:szCs w:val="18"/>
          <w:lang w:val="hu-HU" w:eastAsia="en-US"/>
        </w:rPr>
      </w:pPr>
      <w:r>
        <w:rPr>
          <w:rFonts w:eastAsia="Times New Roman"/>
          <w:position w:val="8"/>
          <w:sz w:val="12"/>
          <w:szCs w:val="12"/>
          <w:lang w:val="hu-HU" w:eastAsia="en-US"/>
        </w:rPr>
        <w:t xml:space="preserve">‡ </w:t>
      </w:r>
      <w:r>
        <w:rPr>
          <w:rFonts w:eastAsia="Times New Roman"/>
          <w:sz w:val="18"/>
          <w:szCs w:val="18"/>
          <w:lang w:val="hu-HU" w:eastAsia="en-US" w:bidi="hu-HU"/>
        </w:rPr>
        <w:t>A szívelégtelenség miatti hospitalizáció elemzését a kiinduláskor a kórelőzményben fennálló szívelégtelenségre korrigálva végezték el</w:t>
      </w:r>
      <w:r>
        <w:rPr>
          <w:rFonts w:eastAsia="Times New Roman"/>
          <w:sz w:val="18"/>
          <w:szCs w:val="18"/>
          <w:lang w:val="hu-HU" w:eastAsia="en-US"/>
        </w:rPr>
        <w:t>.</w:t>
      </w:r>
    </w:p>
    <w:p w:rsidR="00B04D48" w:rsidRDefault="00B04D48">
      <w:pPr>
        <w:spacing w:line="240" w:lineRule="auto"/>
        <w:rPr>
          <w:u w:val="single"/>
          <w:lang w:val="hu-HU"/>
        </w:rPr>
      </w:pPr>
    </w:p>
    <w:p w:rsidR="00B04D48" w:rsidRDefault="000731B7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Gyermekek és serdülők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 naponta egyszer adott 100 mg szitagliptin </w:t>
      </w:r>
      <w:r>
        <w:rPr>
          <w:rFonts w:eastAsia="Times New Roman"/>
          <w:color w:val="000000"/>
          <w:lang w:val="hu-HU" w:eastAsia="hu-HU" w:bidi="hu-HU"/>
        </w:rPr>
        <w:t>hatásosságát és biztonságosságát egy 54 hetes, kettős vak vizsgálatban értékelték, 2-es típusú diabetesben szenvedő, 10-17 éves gyermekeknél és serdülőknél, akik legalább 12 hétig nem kaptak antihyperglykaemiás kezelést (HbA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>: 6,5% – 10%) vagy legalább 12</w:t>
      </w:r>
      <w:r>
        <w:rPr>
          <w:rFonts w:eastAsia="Times New Roman"/>
          <w:color w:val="000000"/>
          <w:lang w:val="hu-HU" w:eastAsia="hu-HU" w:bidi="hu-HU"/>
        </w:rPr>
        <w:t> hétig stabil dózisban kaptak inzulint (HbA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>: 7% – 10%). A betegek a randomizációt követően 20 héten át napi 100 mg szitagliptint vagy placebót kaptak.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vizsgálat elején az átlagos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>-érték 7,5% volt. A 100 mg szitagliptinnel történő kezelés hatására</w:t>
      </w:r>
      <w:r>
        <w:rPr>
          <w:rFonts w:eastAsia="Times New Roman"/>
          <w:color w:val="000000"/>
          <w:lang w:val="hu-HU" w:eastAsia="hu-HU" w:bidi="hu-HU"/>
        </w:rPr>
        <w:t xml:space="preserve"> a 20. héten nem mutatkozott jelentős javulás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 xml:space="preserve"> vonatkozásában. A szitagliptinnel kezelt betegeknél (N=95) a HbA</w:t>
      </w:r>
      <w:r>
        <w:rPr>
          <w:rFonts w:eastAsia="Times New Roman"/>
          <w:color w:val="000000"/>
          <w:vertAlign w:val="subscript"/>
          <w:lang w:val="hu-HU" w:eastAsia="hu-HU" w:bidi="hu-HU"/>
        </w:rPr>
        <w:t>1c</w:t>
      </w:r>
      <w:r>
        <w:rPr>
          <w:rFonts w:eastAsia="Times New Roman"/>
          <w:color w:val="000000"/>
          <w:lang w:val="hu-HU" w:eastAsia="hu-HU" w:bidi="hu-HU"/>
        </w:rPr>
        <w:t>-értékének csökkenése 0,0% volt, a placebóval kezelt betegeknél (N=95) megfigyelt 0,2%-kal összehasonlítva, mely -0,2%-os különbség (95%</w:t>
      </w:r>
      <w:r>
        <w:rPr>
          <w:rFonts w:eastAsia="Times New Roman"/>
          <w:color w:val="000000"/>
          <w:lang w:val="hu-HU" w:eastAsia="hu-HU" w:bidi="hu-HU"/>
        </w:rPr>
        <w:t>-os CI: -0,7; 0,3). Lásd 4.2 pont.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5.2</w:t>
      </w:r>
      <w:r>
        <w:rPr>
          <w:b/>
          <w:bCs/>
          <w:lang w:val="hu-HU"/>
        </w:rPr>
        <w:tab/>
        <w:t>Farmakokinetikai tulajdonságok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Felszívódás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szitagliptin 100 mg-os dózisa egészséges alanyoknál az orális alkalmazást követően gyorsan felszívódott, és a dózis bevételét követő 1-4 órán belül érte el a plazma csúcs</w:t>
      </w:r>
      <w:r>
        <w:rPr>
          <w:rFonts w:eastAsia="Times New Roman"/>
          <w:color w:val="000000"/>
          <w:lang w:val="hu-HU" w:eastAsia="hu-HU" w:bidi="hu-HU"/>
        </w:rPr>
        <w:t>koncentrációt (medián t</w:t>
      </w:r>
      <w:r>
        <w:rPr>
          <w:rFonts w:eastAsia="Times New Roman"/>
          <w:color w:val="000000"/>
          <w:vertAlign w:val="subscript"/>
          <w:lang w:val="hu-HU" w:eastAsia="hu-HU" w:bidi="hu-HU"/>
        </w:rPr>
        <w:t>max</w:t>
      </w:r>
      <w:r>
        <w:rPr>
          <w:rFonts w:eastAsia="Times New Roman"/>
          <w:color w:val="000000"/>
          <w:lang w:val="hu-HU" w:eastAsia="hu-HU" w:bidi="hu-HU"/>
        </w:rPr>
        <w:t xml:space="preserve">), a szitagliptin átlagos plazma AUC-értéke 8,52 </w:t>
      </w:r>
      <w:r>
        <w:rPr>
          <w:rFonts w:ascii="Symbol" w:hAnsi="Symbol"/>
        </w:rPr>
        <w:t></w:t>
      </w:r>
      <w:r>
        <w:rPr>
          <w:lang w:val="hu-HU"/>
        </w:rPr>
        <w:t>M×h</w:t>
      </w:r>
      <w:r>
        <w:rPr>
          <w:rFonts w:eastAsia="Times New Roman"/>
          <w:color w:val="000000"/>
          <w:lang w:val="hu-HU" w:eastAsia="hu-HU" w:bidi="hu-HU"/>
        </w:rPr>
        <w:t>, a C</w:t>
      </w:r>
      <w:r>
        <w:rPr>
          <w:rFonts w:eastAsia="Times New Roman"/>
          <w:color w:val="000000"/>
          <w:vertAlign w:val="subscript"/>
          <w:lang w:val="hu-HU" w:eastAsia="hu-HU" w:bidi="hu-HU"/>
        </w:rPr>
        <w:t>max</w:t>
      </w:r>
      <w:r>
        <w:rPr>
          <w:rFonts w:eastAsia="Times New Roman"/>
          <w:color w:val="000000"/>
          <w:lang w:val="hu-HU" w:eastAsia="hu-HU" w:bidi="hu-HU"/>
        </w:rPr>
        <w:t xml:space="preserve"> értéke 950 nM volt. A szitagliptin abszolút biohasznosíthatósága hozzávetőleg 87%. Mivel a szitagliptin magas zsírtartalmú ételekkel való egyidejű bevétele nincs kihatással a farmakokinetikára, a Jansitin étkezés közben vagy attól függetlenül is bevehető.</w:t>
      </w:r>
      <w:r>
        <w:rPr>
          <w:rFonts w:eastAsia="Times New Roman"/>
          <w:color w:val="000000"/>
          <w:lang w:val="hu-HU" w:eastAsia="hu-HU" w:bidi="hu-HU"/>
        </w:rPr>
        <w:t xml:space="preserve"> 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szitagliptin plazma AUC-értéke dózisarányosan növekedett. A dózisarányosságot a C</w:t>
      </w:r>
      <w:r>
        <w:rPr>
          <w:rFonts w:eastAsia="Times New Roman"/>
          <w:color w:val="000000"/>
          <w:vertAlign w:val="subscript"/>
          <w:lang w:val="hu-HU" w:eastAsia="hu-HU" w:bidi="hu-HU"/>
        </w:rPr>
        <w:t>max</w:t>
      </w:r>
      <w:r>
        <w:rPr>
          <w:rFonts w:eastAsia="Times New Roman"/>
          <w:color w:val="000000"/>
          <w:lang w:val="hu-HU" w:eastAsia="hu-HU" w:bidi="hu-HU"/>
        </w:rPr>
        <w:t xml:space="preserve"> és C</w:t>
      </w:r>
      <w:r>
        <w:rPr>
          <w:rFonts w:eastAsia="Times New Roman"/>
          <w:color w:val="000000"/>
          <w:vertAlign w:val="subscript"/>
          <w:lang w:val="hu-HU" w:eastAsia="hu-HU" w:bidi="hu-HU"/>
        </w:rPr>
        <w:t xml:space="preserve">24h </w:t>
      </w:r>
      <w:r>
        <w:rPr>
          <w:rFonts w:eastAsia="Times New Roman"/>
          <w:color w:val="000000"/>
          <w:lang w:val="hu-HU" w:eastAsia="hu-HU" w:bidi="hu-HU"/>
        </w:rPr>
        <w:t>vonatkozásában nem állapították meg (a C</w:t>
      </w:r>
      <w:r>
        <w:rPr>
          <w:rFonts w:eastAsia="Times New Roman"/>
          <w:color w:val="000000"/>
          <w:vertAlign w:val="subscript"/>
          <w:lang w:val="hu-HU" w:eastAsia="hu-HU" w:bidi="hu-HU"/>
        </w:rPr>
        <w:t>max</w:t>
      </w:r>
      <w:r>
        <w:rPr>
          <w:rFonts w:eastAsia="Times New Roman"/>
          <w:color w:val="000000"/>
          <w:lang w:val="hu-HU" w:eastAsia="hu-HU" w:bidi="hu-HU"/>
        </w:rPr>
        <w:t xml:space="preserve"> a dózisarányosságnál enyhén nagyobb mértékben nőtt, és a C</w:t>
      </w:r>
      <w:r>
        <w:rPr>
          <w:rFonts w:eastAsia="Times New Roman"/>
          <w:color w:val="000000"/>
          <w:vertAlign w:val="subscript"/>
          <w:lang w:val="hu-HU" w:eastAsia="hu-HU" w:bidi="hu-HU"/>
        </w:rPr>
        <w:t>24h</w:t>
      </w:r>
      <w:r>
        <w:rPr>
          <w:rFonts w:eastAsia="Times New Roman"/>
          <w:color w:val="000000"/>
          <w:lang w:val="hu-HU" w:eastAsia="hu-HU" w:bidi="hu-HU"/>
        </w:rPr>
        <w:t xml:space="preserve"> a dózisarányosságnál enyhén kisebb mértékben nőtt).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Eloszlás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Egészséges embereknél a szitagliptin egyszeri 100 mg-os dózisának intravénás beadását követően az átlagos elosztási térfogat egyensúlyi állapotban hozzávetőleg 198 liter. A szitagliptin plazmafehérjékhez reverzibilisen kötődő része alacsony (38%)</w:t>
      </w:r>
      <w:r>
        <w:rPr>
          <w:rFonts w:eastAsia="Times New Roman"/>
          <w:color w:val="000000"/>
          <w:lang w:val="hu-HU" w:eastAsia="hu-HU" w:bidi="hu-HU"/>
        </w:rPr>
        <w:t>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Biotranszformáció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szitagliptin elsősorban változatlan formában a vizelettel ürül, a metabolizmus kevésbé jellemző. A szitagliptin hozzávetőleg 79%-a ürül változatlan formában a vizelettel.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Egy dózis </w:t>
      </w:r>
      <w:r>
        <w:rPr>
          <w:rFonts w:eastAsia="Times New Roman"/>
          <w:color w:val="000000"/>
          <w:vertAlign w:val="superscript"/>
          <w:lang w:val="hu-HU" w:eastAsia="hu-HU" w:bidi="hu-HU"/>
        </w:rPr>
        <w:t>14</w:t>
      </w:r>
      <w:r>
        <w:rPr>
          <w:rFonts w:eastAsia="Times New Roman"/>
          <w:color w:val="000000"/>
          <w:lang w:val="hu-HU" w:eastAsia="hu-HU" w:bidi="hu-HU"/>
        </w:rPr>
        <w:t xml:space="preserve">C-jelölt szitagliptin orális bevételét követően a radioaktivitás hozzávetőleg 16%-a ürült a szitagliptin metabolitjaként. Hat metabolitot tudtak nyomokban kimutatni, melyek várhatóan nem járulnak hozzá a szitagliptin plazma DPP-4-gátló tevékenységéhez. Az </w:t>
      </w:r>
      <w:r>
        <w:rPr>
          <w:rFonts w:eastAsia="Times New Roman"/>
          <w:i/>
          <w:color w:val="000000"/>
          <w:lang w:val="hu-HU" w:eastAsia="hu-HU" w:bidi="hu-HU"/>
        </w:rPr>
        <w:t>in vitro</w:t>
      </w:r>
      <w:r>
        <w:rPr>
          <w:rFonts w:eastAsia="Times New Roman"/>
          <w:color w:val="000000"/>
          <w:lang w:val="hu-HU" w:eastAsia="hu-HU" w:bidi="hu-HU"/>
        </w:rPr>
        <w:t xml:space="preserve"> vizsgálatok szerint a szitagliptin limitált metabolizmusáért felelős fő enzim a CYP3A4 volt a CYP2C8 közreműködésével.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In vitro</w:t>
      </w:r>
      <w:r>
        <w:rPr>
          <w:rFonts w:eastAsia="Times New Roman"/>
          <w:color w:val="000000"/>
          <w:lang w:val="hu-HU" w:eastAsia="hu-HU" w:bidi="hu-HU"/>
        </w:rPr>
        <w:t xml:space="preserve"> adatok alapján a szitagliptin nem gátolja a CYP izoenzimeket (CYP3A4, 2C8, 2C9, 2D6, 1A2, 2C19 vagy 2B6), és nem induk</w:t>
      </w:r>
      <w:r>
        <w:rPr>
          <w:rFonts w:eastAsia="Times New Roman"/>
          <w:color w:val="000000"/>
          <w:lang w:val="hu-HU" w:eastAsia="hu-HU" w:bidi="hu-HU"/>
        </w:rPr>
        <w:t>álja a CYP3A4-et, valamint a CYP1A2-t.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Elimináció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Egy dózis </w:t>
      </w:r>
      <w:r>
        <w:rPr>
          <w:rFonts w:eastAsia="Times New Roman"/>
          <w:color w:val="000000"/>
          <w:vertAlign w:val="superscript"/>
          <w:lang w:val="hu-HU" w:eastAsia="hu-HU" w:bidi="hu-HU"/>
        </w:rPr>
        <w:t>14</w:t>
      </w:r>
      <w:r>
        <w:rPr>
          <w:rFonts w:eastAsia="Times New Roman"/>
          <w:color w:val="000000"/>
          <w:lang w:val="hu-HU" w:eastAsia="hu-HU" w:bidi="hu-HU"/>
        </w:rPr>
        <w:t>C-jelölt szitagliptin egészséges résztvevőknek történő orális beadását követően az alkalmazott radioaktivitás megközelítőleg 100%-a ürült a széklettel (13%) vagy vizelettel (87%) a dózis beadás</w:t>
      </w:r>
      <w:r>
        <w:rPr>
          <w:rFonts w:eastAsia="Times New Roman"/>
          <w:color w:val="000000"/>
          <w:lang w:val="hu-HU" w:eastAsia="hu-HU" w:bidi="hu-HU"/>
        </w:rPr>
        <w:t>át követő egy héten belül. A szitagliptin 100 mg-os orális dózisát követő látszólagos terminális t</w:t>
      </w:r>
      <w:r>
        <w:rPr>
          <w:rFonts w:eastAsia="Times New Roman"/>
          <w:color w:val="000000"/>
          <w:vertAlign w:val="subscript"/>
          <w:lang w:val="hu-HU" w:eastAsia="hu-HU" w:bidi="hu-HU"/>
        </w:rPr>
        <w:t xml:space="preserve">1/2 </w:t>
      </w:r>
      <w:r>
        <w:rPr>
          <w:rFonts w:eastAsia="Times New Roman"/>
          <w:color w:val="000000"/>
          <w:lang w:val="hu-HU" w:eastAsia="hu-HU" w:bidi="hu-HU"/>
        </w:rPr>
        <w:t>hozzávetőleg 12,4 óra volt. A szitagliptin többszörös dózisok esetén csak minimális mértékben halmozódik fel. A renális clearance megközelítőleg 350 ml/pe</w:t>
      </w:r>
      <w:r>
        <w:rPr>
          <w:rFonts w:eastAsia="Times New Roman"/>
          <w:color w:val="000000"/>
          <w:lang w:val="hu-HU" w:eastAsia="hu-HU" w:bidi="hu-HU"/>
        </w:rPr>
        <w:t>rc volt.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szitagliptin elsősorban a vesén keresztül ürül, aktív tubuláris szekrécióval. A szitagliptin a humán organikus aniontranszporter-3 (hOAT-3) szubsztrátja, mely a szitagliptin renális kiválasztódásában játszhat szerepet. A hOAT-3 klinikai jelentő</w:t>
      </w:r>
      <w:r>
        <w:rPr>
          <w:rFonts w:eastAsia="Times New Roman"/>
          <w:color w:val="000000"/>
          <w:lang w:val="hu-HU" w:eastAsia="hu-HU" w:bidi="hu-HU"/>
        </w:rPr>
        <w:t>ségét a szitagliptin-transzport terén még nem állapították meg. A szitagliptin egyben a renális kiválasztódásában esetlegesen közvetítőszerepet játszó p</w:t>
      </w:r>
      <w:r>
        <w:rPr>
          <w:rFonts w:eastAsia="Times New Roman"/>
          <w:color w:val="000000"/>
          <w:lang w:val="hu-HU" w:eastAsia="hu-HU" w:bidi="hu-HU"/>
        </w:rPr>
        <w:noBreakHyphen/>
        <w:t>glikoprotein szubsztrátja is. A p-glikoprotein-inhibitornak minősülő ciklosporin azonban nem csökkentet</w:t>
      </w:r>
      <w:r>
        <w:rPr>
          <w:rFonts w:eastAsia="Times New Roman"/>
          <w:color w:val="000000"/>
          <w:lang w:val="hu-HU" w:eastAsia="hu-HU" w:bidi="hu-HU"/>
        </w:rPr>
        <w:t xml:space="preserve">te a szitagliptin renális clearance-ét. A szitagliptin nem szubsztrátja az OCT2 vagy OAT1, illetve a PEPT1/2 transzportereknek. A szitagliptin </w:t>
      </w:r>
      <w:r>
        <w:rPr>
          <w:rFonts w:eastAsia="Times New Roman"/>
          <w:i/>
          <w:color w:val="000000"/>
          <w:lang w:val="hu-HU" w:eastAsia="hu-HU" w:bidi="hu-HU"/>
        </w:rPr>
        <w:t>in vitro</w:t>
      </w:r>
      <w:r>
        <w:rPr>
          <w:rFonts w:eastAsia="Times New Roman"/>
          <w:color w:val="000000"/>
          <w:lang w:val="hu-HU" w:eastAsia="hu-HU" w:bidi="hu-HU"/>
        </w:rPr>
        <w:t xml:space="preserve"> nem gátolta az OAT3 (IC</w:t>
      </w:r>
      <w:r>
        <w:rPr>
          <w:rFonts w:eastAsia="Times New Roman"/>
          <w:color w:val="000000"/>
          <w:vertAlign w:val="subscript"/>
          <w:lang w:val="hu-HU" w:eastAsia="hu-HU" w:bidi="hu-HU"/>
        </w:rPr>
        <w:t>50</w:t>
      </w:r>
      <w:r>
        <w:rPr>
          <w:rFonts w:eastAsia="Times New Roman"/>
          <w:color w:val="000000"/>
          <w:lang w:val="hu-HU" w:eastAsia="hu-HU" w:bidi="hu-HU"/>
        </w:rPr>
        <w:t>=160 </w:t>
      </w:r>
      <w:r>
        <w:rPr>
          <w:lang w:val="hu-HU"/>
        </w:rPr>
        <w:t>µ</w:t>
      </w:r>
      <w:r>
        <w:rPr>
          <w:rFonts w:eastAsia="Times New Roman"/>
          <w:color w:val="000000"/>
          <w:lang w:val="hu-HU" w:eastAsia="hu-HU" w:bidi="hu-HU"/>
        </w:rPr>
        <w:t>M) vagy a p-glikoprotein (legfeljebb 250 </w:t>
      </w:r>
      <w:r>
        <w:rPr>
          <w:lang w:val="hu-HU"/>
        </w:rPr>
        <w:t>µ</w:t>
      </w:r>
      <w:r>
        <w:rPr>
          <w:rFonts w:eastAsia="Times New Roman"/>
          <w:color w:val="000000"/>
          <w:lang w:val="hu-HU" w:eastAsia="hu-HU" w:bidi="hu-HU"/>
        </w:rPr>
        <w:t xml:space="preserve">M) által közvetített </w:t>
      </w:r>
      <w:r>
        <w:rPr>
          <w:rFonts w:eastAsia="Times New Roman"/>
          <w:color w:val="000000"/>
          <w:lang w:val="hu-HU" w:eastAsia="hu-HU" w:bidi="hu-HU"/>
        </w:rPr>
        <w:t>transzportot a kezelés szempontjából releváns plazmakoncentrációban. Egy klinikai vizsgálatban a szitagliptin csekély mértékben befolyásolta a plazma digoxin koncentrációját, mely azt jelzi, hogy a szitagliptin a p-glikoproteint enyhén gátolhatja.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u w:val="single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u w:val="single"/>
          <w:lang w:val="hu-HU" w:eastAsia="hu-HU" w:bidi="hu-HU"/>
        </w:rPr>
        <w:t>Különle</w:t>
      </w:r>
      <w:r>
        <w:rPr>
          <w:rFonts w:eastAsia="Times New Roman"/>
          <w:color w:val="000000"/>
          <w:u w:val="single"/>
          <w:lang w:val="hu-HU" w:eastAsia="hu-HU" w:bidi="hu-HU"/>
        </w:rPr>
        <w:t>ges betegcsoportok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 szitagliptin farmakokinetikája általában véve hasonló volt az egészséges alanyok és a 2-es típusú diabetesben szenvedő betegek esetében.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Vesekárosodás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Egy nyílt elrendezésű, egyszeri dózist alkalmazó vizsgálatot folytattak a csökkente</w:t>
      </w:r>
      <w:r>
        <w:rPr>
          <w:rFonts w:eastAsia="Times New Roman"/>
          <w:color w:val="000000"/>
          <w:lang w:val="hu-HU" w:eastAsia="hu-HU" w:bidi="hu-HU"/>
        </w:rPr>
        <w:t xml:space="preserve">tt dózisú szitagliptin (50 mg) farmakokinetikájának értékelése céljából, különböző fokú krónikus vesekárosodásban </w:t>
      </w:r>
      <w:r>
        <w:rPr>
          <w:rFonts w:eastAsia="Times New Roman"/>
          <w:color w:val="000000"/>
          <w:lang w:val="hu-HU" w:eastAsia="hu-HU" w:bidi="hu-HU"/>
        </w:rPr>
        <w:lastRenderedPageBreak/>
        <w:t>szenvedő betegek és egészséges kontrollalanyok összehasonlításával. A vizsgálatot enyhe, közepesen súlyos és súlyos vesekárosodásban, valamint</w:t>
      </w:r>
      <w:r>
        <w:rPr>
          <w:rFonts w:eastAsia="Times New Roman"/>
          <w:color w:val="000000"/>
          <w:lang w:val="hu-HU" w:eastAsia="hu-HU" w:bidi="hu-HU"/>
        </w:rPr>
        <w:t xml:space="preserve"> végstádiumú vesebetegségben (ESRD) szenvedő, hemodialízisre szoruló betegekkel folytatták. Ezen kívül populációs farmakokinetikai elemzésekkel értékelték a vesekárosodás szitagliptin farmakokinetikájára gyakorolt hatását a 2-es típusú diabetesben és enyhe</w:t>
      </w:r>
      <w:r>
        <w:rPr>
          <w:rFonts w:eastAsia="Times New Roman"/>
          <w:color w:val="000000"/>
          <w:lang w:val="hu-HU" w:eastAsia="hu-HU" w:bidi="hu-HU"/>
        </w:rPr>
        <w:t>, közepesen súlyos vagy súlyos vesekárosodásban (beleértve az ESRD-t is) szenvedő betegeknél.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Az egészséges kontrollalanyokhoz képest az enyhe vesekárosodásban szenvedő betegeknél (GFR </w:t>
      </w:r>
      <w:r>
        <w:rPr>
          <w:lang w:val="hu-HU"/>
        </w:rPr>
        <w:t>≥</w:t>
      </w:r>
      <w:r>
        <w:rPr>
          <w:rFonts w:eastAsia="Times New Roman"/>
          <w:color w:val="000000"/>
          <w:lang w:val="hu-HU" w:eastAsia="hu-HU" w:bidi="hu-HU"/>
        </w:rPr>
        <w:t> 60 – &lt; 90 ml/perc) a szitagliptin plazma AUC-értéke hozzávetőleg 1,2</w:t>
      </w:r>
      <w:r>
        <w:rPr>
          <w:rFonts w:eastAsia="Times New Roman"/>
          <w:color w:val="000000"/>
          <w:lang w:val="hu-HU" w:eastAsia="hu-HU" w:bidi="hu-HU"/>
        </w:rPr>
        <w:t xml:space="preserve">-szeresére, míg a közepesen súlyos vesekárosodásban szenvedő betegeknél (GFR </w:t>
      </w:r>
      <w:r>
        <w:rPr>
          <w:lang w:val="hu-HU"/>
        </w:rPr>
        <w:t>≥ </w:t>
      </w:r>
      <w:r>
        <w:rPr>
          <w:rFonts w:eastAsia="Times New Roman"/>
          <w:color w:val="000000"/>
          <w:lang w:val="hu-HU" w:eastAsia="hu-HU" w:bidi="hu-HU"/>
        </w:rPr>
        <w:t>45 – &lt; 60 ml/perc) hozzávetőleg 1,6-szeresére emelkedett. Mivel az ilyen mértékű emelkedés klinikailag nem jelentős, ezeknél a betegeknél nincs szükség a dózis módosítására.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 </w:t>
      </w:r>
      <w:r>
        <w:rPr>
          <w:rFonts w:eastAsia="Times New Roman"/>
          <w:color w:val="000000"/>
          <w:lang w:val="hu-HU" w:eastAsia="hu-HU" w:bidi="hu-HU"/>
        </w:rPr>
        <w:t xml:space="preserve">közepesen súlyos vesekárosodásban szenvedő betegeknél (GFR </w:t>
      </w:r>
      <w:r>
        <w:rPr>
          <w:lang w:val="hu-HU"/>
        </w:rPr>
        <w:t>≥</w:t>
      </w:r>
      <w:r>
        <w:rPr>
          <w:rFonts w:eastAsia="Times New Roman"/>
          <w:color w:val="000000"/>
          <w:lang w:val="hu-HU" w:eastAsia="hu-HU" w:bidi="hu-HU"/>
        </w:rPr>
        <w:t xml:space="preserve"> 30 – &lt; 45 ml/perc) a szitagliptin plazma AUC-értéke hozzávetőleg 2-szeresére, míg a súlyos vesekárosodásban szenvedő betegeknél (GFR </w:t>
      </w:r>
      <w:r>
        <w:rPr>
          <w:lang w:val="hu-HU"/>
        </w:rPr>
        <w:t>&lt; </w:t>
      </w:r>
      <w:r>
        <w:rPr>
          <w:rFonts w:eastAsia="Times New Roman"/>
          <w:color w:val="000000"/>
          <w:lang w:val="hu-HU" w:eastAsia="hu-HU" w:bidi="hu-HU"/>
        </w:rPr>
        <w:t xml:space="preserve">30 ml/perc), beleértve az ESRD-ben szenvedő, hemodialízisre </w:t>
      </w:r>
      <w:r>
        <w:rPr>
          <w:rFonts w:eastAsia="Times New Roman"/>
          <w:color w:val="000000"/>
          <w:lang w:val="hu-HU" w:eastAsia="hu-HU" w:bidi="hu-HU"/>
        </w:rPr>
        <w:t>szoruló betegeket is, hozzávetőleg 4-szeresére emelkedett. A szitagliptin közepes mértékben volt hemodialízis útján eltávolítható (13,5% egy 3-4 órás, 4 órával a bevételt követően megkezdett hemodialízis-kezelés során). A normál vesefunkciójú betegeknél me</w:t>
      </w:r>
      <w:r>
        <w:rPr>
          <w:rFonts w:eastAsia="Times New Roman"/>
          <w:color w:val="000000"/>
          <w:lang w:val="hu-HU" w:eastAsia="hu-HU" w:bidi="hu-HU"/>
        </w:rPr>
        <w:t>gfigyeltekhez hasonló szitagliptin-plazmakoncentrációk eléréséhez alacsonyabb dózisok javasoltak a &lt; 45 ml/perc GFR értékkel rendelkező betegeknél (lásd 4.2 pont).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Májkárosodás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Az enyhe vagy közepesen súlyos májkárosodásban (Child–Pugh érték </w:t>
      </w:r>
      <w:r>
        <w:rPr>
          <w:lang w:val="hu-HU"/>
        </w:rPr>
        <w:t>≤</w:t>
      </w:r>
      <w:r>
        <w:rPr>
          <w:rFonts w:eastAsia="Times New Roman"/>
          <w:color w:val="000000"/>
          <w:lang w:val="hu-HU" w:eastAsia="hu-HU" w:bidi="hu-HU"/>
        </w:rPr>
        <w:t xml:space="preserve">9) szenvedő </w:t>
      </w:r>
      <w:r>
        <w:rPr>
          <w:rFonts w:eastAsia="Times New Roman"/>
          <w:color w:val="000000"/>
          <w:lang w:val="hu-HU" w:eastAsia="hu-HU" w:bidi="hu-HU"/>
        </w:rPr>
        <w:t>betegek esetében nincs szükség a Jansitin dózismódosítására. Súlyos májkárosodásban (Child–Pugh érték &gt;9) szenvedő betegeket illetően nem áll rendelkezésre klinikai tapasztalat. Mivel a szitagliptin elsősorban a vesén keresztül ürül ki, a súlyos májkárosod</w:t>
      </w:r>
      <w:r>
        <w:rPr>
          <w:rFonts w:eastAsia="Times New Roman"/>
          <w:color w:val="000000"/>
          <w:lang w:val="hu-HU" w:eastAsia="hu-HU" w:bidi="hu-HU"/>
        </w:rPr>
        <w:t>ás várhatóan nem befolyásolja a szitagliptin farmakokinetikáját.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Idősek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Nincs szükség az életkor függvényében történő dózismódosításra. Az I. és II. fázisú adatokra támaszkodó populációs farmakokinetikai analízis alapján a szitagliptin farmakokinetikáját </w:t>
      </w:r>
      <w:r>
        <w:rPr>
          <w:rFonts w:eastAsia="Times New Roman"/>
          <w:color w:val="000000"/>
          <w:lang w:val="hu-HU" w:eastAsia="hu-HU" w:bidi="hu-HU"/>
        </w:rPr>
        <w:t>az életkor nem befolyásolta jelentős mértékben. A fiatalabb résztvevőkkel összehasonlítva, az idős (65–80 éves) résztvevők szitagliptin plazmakoncentrációja hozzávetőleg 19%-kal volt magasabb.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Gyermekek és serdülők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 szitagliptin (50 mg, 100 mg vagy </w:t>
      </w:r>
      <w:r>
        <w:rPr>
          <w:rFonts w:eastAsia="Times New Roman"/>
          <w:color w:val="000000"/>
          <w:lang w:val="hu-HU" w:eastAsia="hu-HU" w:bidi="hu-HU"/>
        </w:rPr>
        <w:t xml:space="preserve">200 mg egyszeri dózis) farmakokinetikáját 2-es típusú diabetesben szenvedő 10-17 éves gyermekeknél és serdülőknél vizsgálták. E populációban a szitagliptin-dózishoz igazított plazma AUC értéke hozzávetőleg 18%-kal alacsonyabb volt a 2-es típusú diabeteses </w:t>
      </w:r>
      <w:r>
        <w:rPr>
          <w:rFonts w:eastAsia="Times New Roman"/>
          <w:color w:val="000000"/>
          <w:lang w:val="hu-HU" w:eastAsia="hu-HU" w:bidi="hu-HU"/>
        </w:rPr>
        <w:t xml:space="preserve">felnőtteknél alkalmazott 100 mg-os dózis mellett megfigyelthez képest. Ez nem tekinthető klinikailag jelentős különbségnek a felnőttekkel összehasonlítva, az 50 mg-os és a 100 mg-os dózisok közti kapcsolat lapos PK/PD görbéje alapján. 10 évesnél fiatalabb </w:t>
      </w:r>
      <w:r>
        <w:rPr>
          <w:rFonts w:eastAsia="Times New Roman"/>
          <w:color w:val="000000"/>
          <w:lang w:val="hu-HU" w:eastAsia="hu-HU" w:bidi="hu-HU"/>
        </w:rPr>
        <w:t>gyermekeknél nem végeztek vizsgálatokat a szitagliptinnel.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i/>
          <w:color w:val="000000"/>
          <w:lang w:val="hu-HU" w:eastAsia="hu-HU" w:bidi="hu-HU"/>
        </w:rPr>
        <w:t>Egyéb betegcsoportok</w:t>
      </w: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color w:val="000000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>Nincs szükség a nem, rassz vagy testtömegindex (BMI) szerinti dózismódosításra. Az I. fázisú farmakokinetikai adatok összesített analízise, valamint az I. és II. fázisú adatok</w:t>
      </w:r>
      <w:r>
        <w:rPr>
          <w:rFonts w:eastAsia="Times New Roman"/>
          <w:color w:val="000000"/>
          <w:lang w:val="hu-HU" w:eastAsia="hu-HU" w:bidi="hu-HU"/>
        </w:rPr>
        <w:t xml:space="preserve"> populációs farmakokinetikai analízise alapján a szitagliptin farmakokinetikájára ezen tényezők nem voltak klinikailag jelentős hatással.</w:t>
      </w:r>
    </w:p>
    <w:p w:rsidR="00B04D48" w:rsidRDefault="00B04D48">
      <w:pPr>
        <w:spacing w:line="240" w:lineRule="auto"/>
        <w:ind w:right="-2"/>
        <w:rPr>
          <w:i/>
          <w:noProof/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5.3</w:t>
      </w:r>
      <w:r>
        <w:rPr>
          <w:rFonts w:eastAsia="Times New Roman"/>
          <w:b/>
          <w:bCs/>
          <w:noProof/>
          <w:lang w:val="hu-HU" w:eastAsia="en-US"/>
        </w:rPr>
        <w:tab/>
        <w:t>A preklinikai biztonságossági vizsgálatok eredményei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lang w:val="hu-HU" w:eastAsia="hu-HU" w:bidi="hu-HU"/>
        </w:rPr>
      </w:pPr>
      <w:r>
        <w:rPr>
          <w:rFonts w:eastAsia="Times New Roman"/>
          <w:color w:val="000000"/>
          <w:lang w:val="hu-HU" w:eastAsia="hu-HU" w:bidi="hu-HU"/>
        </w:rPr>
        <w:t xml:space="preserve">A </w:t>
      </w:r>
      <w:r>
        <w:rPr>
          <w:rFonts w:eastAsia="Times New Roman"/>
          <w:lang w:val="hu-HU" w:eastAsia="hu-HU" w:bidi="hu-HU"/>
        </w:rPr>
        <w:t xml:space="preserve">rágcsálóknál a humán szisztémás expozíciós szint </w:t>
      </w:r>
      <w:r>
        <w:rPr>
          <w:rFonts w:eastAsia="Times New Roman"/>
          <w:lang w:val="hu-HU" w:eastAsia="hu-HU" w:bidi="hu-HU"/>
        </w:rPr>
        <w:t xml:space="preserve">58-szorosánál vese- és májtoxicitást figyeltek meg, míg a hatással nem rendelkező dózisszint a humán expozíciós szint 19-szerese volt. A patkányoknál a klinikai expozíciós szint 67-szerese mellett metszőfog-rendellenességeket figyeltek meg. A patkányokkal </w:t>
      </w:r>
      <w:r>
        <w:rPr>
          <w:rFonts w:eastAsia="Times New Roman"/>
          <w:lang w:val="hu-HU" w:eastAsia="hu-HU" w:bidi="hu-HU"/>
        </w:rPr>
        <w:t xml:space="preserve">végzett 14 hetes vizsgálat alapján e megfigyelés esetében a hatással nem rendelkező dózisszint 58-szoros volt. Nem ismert, hogy e megfigyelések milyen mértékben vonatkoznak az emberre. A kutyáknál a klinikai expozíciós szint hozzávetőleg 23-szorosánál a </w:t>
      </w:r>
      <w:r>
        <w:rPr>
          <w:rFonts w:eastAsia="Times New Roman"/>
          <w:lang w:val="hu-HU" w:eastAsia="hu-HU" w:bidi="hu-HU"/>
        </w:rPr>
        <w:lastRenderedPageBreak/>
        <w:t>ke</w:t>
      </w:r>
      <w:r>
        <w:rPr>
          <w:rFonts w:eastAsia="Times New Roman"/>
          <w:lang w:val="hu-HU" w:eastAsia="hu-HU" w:bidi="hu-HU"/>
        </w:rPr>
        <w:t>zeléssel összefüggő, múló fizikai tüneteket figyeltek meg, melyek közül néhány neurológiai toxicitásra utal, például: nyitott szájjal történő lélegzés, nyálzás, fehér habszerű hányás, ataxia, remegés, csökkent aktivitás és/vagy összegömbölyödött testtartás</w:t>
      </w:r>
      <w:r>
        <w:rPr>
          <w:rFonts w:eastAsia="Times New Roman"/>
          <w:lang w:val="hu-HU" w:eastAsia="hu-HU" w:bidi="hu-HU"/>
        </w:rPr>
        <w:t>. Továbbá, olyan dózisok mellett, melyek a humán expozíciós szint hozzávetőleg 23-szorosának megfelelő szisztémás expozíciós szintet eredményeztek, szövettanilag minimális vagy enyhe mértékű vázizom-degenerációt észleltek. Az ilyen hatással már nem rendelk</w:t>
      </w:r>
      <w:r>
        <w:rPr>
          <w:rFonts w:eastAsia="Times New Roman"/>
          <w:lang w:val="hu-HU" w:eastAsia="hu-HU" w:bidi="hu-HU"/>
        </w:rPr>
        <w:t>ező dózisszint a klinikai expozíciós szint 6-szorosa volt.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lang w:val="hu-HU" w:eastAsia="hu-HU" w:bidi="hu-HU"/>
        </w:rPr>
      </w:pPr>
      <w:r>
        <w:rPr>
          <w:rFonts w:eastAsia="Times New Roman"/>
          <w:lang w:val="hu-HU" w:eastAsia="hu-HU" w:bidi="hu-HU"/>
        </w:rPr>
        <w:t>A szitagliptin a preklinikai vizsgálatok során nem bizonyult genotoxikusnak. A szitagliptin egerek esetében nem volt karcinogén. Patkányoknál a humán expozíciós szint 58-szorosa mellett megnöveked</w:t>
      </w:r>
      <w:r>
        <w:rPr>
          <w:rFonts w:eastAsia="Times New Roman"/>
          <w:lang w:val="hu-HU" w:eastAsia="hu-HU" w:bidi="hu-HU"/>
        </w:rPr>
        <w:t>ett a májadenoma és -karcinoma előfordulási gyakorisága. Mivel kimutatták, hogy a hepatotoxicitás a patkányok esetében korrelációt mutat a hepatikus neopláziák kialakulásával, a májtumorok ezen megnövekedett előfordulási aránya nagy valószínűséggel az ilye</w:t>
      </w:r>
      <w:r>
        <w:rPr>
          <w:rFonts w:eastAsia="Times New Roman"/>
          <w:lang w:val="hu-HU" w:eastAsia="hu-HU" w:bidi="hu-HU"/>
        </w:rPr>
        <w:t>n magas dózisnál fellépő krónikus hepatotoxicitás következménye. A magas biztonságossági küszöb (ennek a hatással nem rendelkező dózisszintnek a 19-szerese) miatt e neoplasztikus elváltozások emberek vonatkozásában nem tekintendőek relevánsnak.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lang w:val="hu-HU" w:eastAsia="hu-HU" w:bidi="hu-HU"/>
        </w:rPr>
      </w:pPr>
      <w:r>
        <w:rPr>
          <w:rFonts w:eastAsia="Times New Roman"/>
          <w:lang w:val="hu-HU" w:eastAsia="hu-HU" w:bidi="hu-HU"/>
        </w:rPr>
        <w:t>Nem figyel</w:t>
      </w:r>
      <w:r>
        <w:rPr>
          <w:rFonts w:eastAsia="Times New Roman"/>
          <w:lang w:val="hu-HU" w:eastAsia="hu-HU" w:bidi="hu-HU"/>
        </w:rPr>
        <w:t>tek meg a termékenységre gyakorolt nemkívánatos hatást, ha a hím és nőstény patkányoknak a párzási időszak előtt és közben adtak szitagliptint.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lang w:val="hu-HU" w:eastAsia="hu-HU" w:bidi="hu-HU"/>
        </w:rPr>
      </w:pPr>
      <w:r>
        <w:rPr>
          <w:rFonts w:eastAsia="Times New Roman"/>
          <w:lang w:val="hu-HU" w:eastAsia="hu-HU" w:bidi="hu-HU"/>
        </w:rPr>
        <w:t xml:space="preserve">Egy a patkányok pre- és posztnatális fejlődésére irányuló vizsgálatban a szitagliptin nem okozott nemkívánatos </w:t>
      </w:r>
      <w:r>
        <w:rPr>
          <w:rFonts w:eastAsia="Times New Roman"/>
          <w:lang w:val="hu-HU" w:eastAsia="hu-HU" w:bidi="hu-HU"/>
        </w:rPr>
        <w:t>hatásokat.</w:t>
      </w:r>
    </w:p>
    <w:p w:rsidR="00B04D48" w:rsidRDefault="00B04D48">
      <w:pPr>
        <w:widowControl w:val="0"/>
        <w:tabs>
          <w:tab w:val="clear" w:pos="567"/>
        </w:tabs>
        <w:spacing w:line="240" w:lineRule="auto"/>
        <w:rPr>
          <w:rFonts w:eastAsia="Times New Roman"/>
          <w:lang w:val="hu-HU" w:eastAsia="hu-HU" w:bidi="hu-HU"/>
        </w:rPr>
      </w:pPr>
    </w:p>
    <w:p w:rsidR="00B04D48" w:rsidRDefault="000731B7">
      <w:pPr>
        <w:widowControl w:val="0"/>
        <w:tabs>
          <w:tab w:val="clear" w:pos="567"/>
        </w:tabs>
        <w:spacing w:line="240" w:lineRule="auto"/>
        <w:rPr>
          <w:rFonts w:eastAsia="Times New Roman"/>
          <w:lang w:val="hu-HU" w:eastAsia="hu-HU" w:bidi="hu-HU"/>
        </w:rPr>
      </w:pPr>
      <w:r>
        <w:rPr>
          <w:rFonts w:eastAsia="Times New Roman"/>
          <w:lang w:val="hu-HU" w:eastAsia="hu-HU" w:bidi="hu-HU"/>
        </w:rPr>
        <w:t>A reproduktív toxicitási vizsgálatok a kezeléssel összefüggő magzati borda-rendellenességek (hiányzó, hypoplasiás és lengőbordák) előfordulásának enyhe növekedését mutatták patkányok utódainál, a humán expozíciós szint 29-szeresét meghaladó szi</w:t>
      </w:r>
      <w:r>
        <w:rPr>
          <w:rFonts w:eastAsia="Times New Roman"/>
          <w:lang w:val="hu-HU" w:eastAsia="hu-HU" w:bidi="hu-HU"/>
        </w:rPr>
        <w:t xml:space="preserve">sztémás expozíciós szintnél. Nyulaknál anyai toxicitást figyeltek meg a humán expozíciós szint több mint 29-szeresénél. A magas biztonságossági határértékek miatt e megfigyelések nem utalnak hasonló kockázatra az emberi reprodukció terén. A szitagliptin a </w:t>
      </w:r>
      <w:r>
        <w:rPr>
          <w:rFonts w:eastAsia="Times New Roman"/>
          <w:lang w:val="hu-HU" w:eastAsia="hu-HU" w:bidi="hu-HU"/>
        </w:rPr>
        <w:t>laktáló patkányok tejébe jelentős mértékben kiválasztódott (tej/plazma arány: 4:1).</w:t>
      </w:r>
    </w:p>
    <w:p w:rsidR="00B04D48" w:rsidRDefault="00B04D48">
      <w:pPr>
        <w:spacing w:line="240" w:lineRule="auto"/>
        <w:rPr>
          <w:lang w:val="hu-HU"/>
        </w:rPr>
      </w:pPr>
    </w:p>
    <w:p w:rsidR="00B04D48" w:rsidRDefault="00B04D48">
      <w:pPr>
        <w:spacing w:line="240" w:lineRule="auto"/>
        <w:rPr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6.</w:t>
      </w:r>
      <w:r>
        <w:rPr>
          <w:rFonts w:eastAsia="Times New Roman"/>
          <w:b/>
          <w:bCs/>
          <w:noProof/>
          <w:lang w:val="hu-HU" w:eastAsia="en-US"/>
        </w:rPr>
        <w:tab/>
        <w:t>GYÓGYSZERÉSZETI JELLEMZŐK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6.1</w:t>
      </w:r>
      <w:r>
        <w:rPr>
          <w:rFonts w:eastAsia="Times New Roman"/>
          <w:b/>
          <w:bCs/>
          <w:noProof/>
          <w:lang w:val="hu-HU" w:eastAsia="en-US"/>
        </w:rPr>
        <w:tab/>
        <w:t>Segédanyagok felsorolása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lang w:val="hu-HU" w:eastAsia="en-US"/>
        </w:rPr>
      </w:pPr>
      <w:r>
        <w:rPr>
          <w:rFonts w:eastAsia="Times New Roman"/>
          <w:u w:val="single"/>
          <w:lang w:val="hu-HU" w:eastAsia="en-US"/>
        </w:rPr>
        <w:t>Tablettamag</w:t>
      </w:r>
      <w:r>
        <w:rPr>
          <w:rFonts w:eastAsia="Times New Roman"/>
          <w:lang w:val="hu-HU" w:eastAsia="en-US"/>
        </w:rPr>
        <w:t>: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kalcium-hidrogén-foszfát;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mikrokristályos cellulóz;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ind w:right="5070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kroszkarmellóz-nátrium;</w:t>
      </w:r>
    </w:p>
    <w:p w:rsidR="00B04D48" w:rsidRDefault="000731B7">
      <w:pPr>
        <w:widowControl w:val="0"/>
        <w:tabs>
          <w:tab w:val="clear" w:pos="567"/>
          <w:tab w:val="left" w:pos="3402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nátrium-sztearil-fumarát;</w:t>
      </w:r>
    </w:p>
    <w:p w:rsidR="00B04D48" w:rsidRDefault="000731B7">
      <w:pPr>
        <w:widowControl w:val="0"/>
        <w:tabs>
          <w:tab w:val="clear" w:pos="567"/>
          <w:tab w:val="left" w:pos="3402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magnézium-sztearát.</w:t>
      </w:r>
    </w:p>
    <w:p w:rsidR="00B04D48" w:rsidRDefault="00B04D48">
      <w:pPr>
        <w:widowControl w:val="0"/>
        <w:tabs>
          <w:tab w:val="clear" w:pos="567"/>
        </w:tabs>
        <w:autoSpaceDE w:val="0"/>
        <w:autoSpaceDN w:val="0"/>
        <w:spacing w:before="11" w:line="240" w:lineRule="auto"/>
        <w:rPr>
          <w:rFonts w:eastAsia="Times New Roman"/>
          <w:sz w:val="13"/>
          <w:szCs w:val="13"/>
          <w:lang w:val="hu-HU" w:eastAsia="en-US"/>
        </w:rPr>
      </w:pP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u w:val="single"/>
          <w:lang w:val="hu-HU" w:eastAsia="en-US"/>
        </w:rPr>
        <w:t>Filmbevonat (25 mg)</w:t>
      </w:r>
      <w:r>
        <w:rPr>
          <w:rFonts w:eastAsia="Times New Roman"/>
          <w:lang w:val="hu-HU" w:eastAsia="en-US"/>
        </w:rPr>
        <w:t>: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laktóz-monohidrát;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hipromellóz;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titán-dioxid (E171);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triacetin;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vörös vas-oxid (E172).</w:t>
      </w:r>
    </w:p>
    <w:p w:rsidR="00B04D48" w:rsidRDefault="00B04D4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u w:val="single"/>
          <w:lang w:val="hu-HU" w:eastAsia="en-US"/>
        </w:rPr>
        <w:t>Filmbevonat (50 mg)</w:t>
      </w:r>
      <w:r>
        <w:rPr>
          <w:rFonts w:eastAsia="Times New Roman"/>
          <w:lang w:val="hu-HU" w:eastAsia="en-US"/>
        </w:rPr>
        <w:t>: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poli(vinil-alkohol);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titán-dioxid (E171);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makrogol;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talkum;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sárga vas-oxid </w:t>
      </w:r>
      <w:r>
        <w:rPr>
          <w:rFonts w:eastAsia="Times New Roman"/>
          <w:lang w:val="hu-HU" w:eastAsia="en-US"/>
        </w:rPr>
        <w:t>(E172);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vörös vas-oxid (E172).</w:t>
      </w:r>
    </w:p>
    <w:p w:rsidR="00B04D48" w:rsidRDefault="00B04D4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z w:val="16"/>
          <w:szCs w:val="16"/>
          <w:lang w:val="hu-HU" w:eastAsia="en-US"/>
        </w:rPr>
      </w:pP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u w:val="single"/>
          <w:lang w:val="hu-HU" w:eastAsia="en-US"/>
        </w:rPr>
        <w:t>Filmbevonat (100 mg)</w:t>
      </w:r>
      <w:r>
        <w:rPr>
          <w:rFonts w:eastAsia="Times New Roman"/>
          <w:lang w:val="hu-HU" w:eastAsia="en-US"/>
        </w:rPr>
        <w:t>: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polivinil-alkohol;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lastRenderedPageBreak/>
        <w:t>titán-dioxid (E171);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makrogol;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talkum;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sárga vas-oxid (E172);</w:t>
      </w: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vörös vas-oxid (E172).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6.2</w:t>
      </w:r>
      <w:r>
        <w:rPr>
          <w:rFonts w:eastAsia="Times New Roman"/>
          <w:b/>
          <w:bCs/>
          <w:noProof/>
          <w:lang w:val="hu-HU" w:eastAsia="en-US"/>
        </w:rPr>
        <w:tab/>
        <w:t>Inkompatibilitások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>Nem értelmezhető.</w:t>
      </w:r>
    </w:p>
    <w:p w:rsidR="00B04D48" w:rsidRDefault="00B04D48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6.3</w:t>
      </w:r>
      <w:r>
        <w:rPr>
          <w:rFonts w:eastAsia="Times New Roman"/>
          <w:b/>
          <w:bCs/>
          <w:noProof/>
          <w:lang w:val="hu-HU" w:eastAsia="en-US"/>
        </w:rPr>
        <w:tab/>
        <w:t>Felhasználhatósági időtartam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rPr>
          <w:i/>
          <w:lang w:val="hu-HU"/>
        </w:rPr>
      </w:pPr>
      <w:r>
        <w:rPr>
          <w:rFonts w:eastAsia="Times New Roman"/>
          <w:noProof/>
          <w:lang w:val="hu-HU" w:eastAsia="en-US"/>
        </w:rPr>
        <w:t>2 év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6.4</w:t>
      </w:r>
      <w:r>
        <w:rPr>
          <w:rFonts w:eastAsia="Times New Roman"/>
          <w:b/>
          <w:bCs/>
          <w:noProof/>
          <w:lang w:val="hu-HU" w:eastAsia="en-US"/>
        </w:rPr>
        <w:tab/>
        <w:t>Különleges</w:t>
      </w:r>
      <w:r>
        <w:rPr>
          <w:rFonts w:eastAsia="Times New Roman"/>
          <w:b/>
          <w:bCs/>
          <w:noProof/>
          <w:lang w:val="hu-HU" w:eastAsia="en-US"/>
        </w:rPr>
        <w:t xml:space="preserve"> tárolási előírások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widowControl w:val="0"/>
        <w:autoSpaceDE w:val="0"/>
        <w:autoSpaceDN w:val="0"/>
        <w:spacing w:line="240" w:lineRule="auto"/>
        <w:ind w:right="686"/>
        <w:jc w:val="both"/>
        <w:rPr>
          <w:rFonts w:eastAsia="Times New Roman"/>
          <w:lang w:val="hu-HU"/>
        </w:rPr>
      </w:pPr>
      <w:r>
        <w:rPr>
          <w:rFonts w:eastAsia="Times New Roman"/>
          <w:lang w:val="hu-HU"/>
        </w:rPr>
        <w:t>Ez a gyógyszer nem igényel különleges tárolást.</w:t>
      </w:r>
    </w:p>
    <w:p w:rsidR="00B04D48" w:rsidRDefault="00B04D48">
      <w:pPr>
        <w:spacing w:line="240" w:lineRule="auto"/>
        <w:rPr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6.5</w:t>
      </w:r>
      <w:r>
        <w:rPr>
          <w:rFonts w:eastAsia="Times New Roman"/>
          <w:b/>
          <w:bCs/>
          <w:noProof/>
          <w:lang w:val="hu-HU" w:eastAsia="en-US"/>
        </w:rPr>
        <w:tab/>
        <w:t xml:space="preserve">Csomagolás típusa és kiszerelése 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u w:val="single"/>
          <w:lang w:val="hu-HU" w:eastAsia="en-US"/>
        </w:rPr>
      </w:pPr>
      <w:r>
        <w:rPr>
          <w:rFonts w:eastAsia="Times New Roman"/>
          <w:u w:val="single"/>
          <w:lang w:val="hu-HU" w:eastAsia="en-US"/>
        </w:rPr>
        <w:t xml:space="preserve">Jansitin 25 mg filmtabletta: </w:t>
      </w:r>
    </w:p>
    <w:p w:rsidR="00B04D48" w:rsidRDefault="000731B7">
      <w:pPr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10, 14, 28, 30, 98 vagy 100 filmtabletta átlátszatlan PVC/PVDC//Alumínium buborékcsomagolásban és dobozban.</w:t>
      </w:r>
    </w:p>
    <w:p w:rsidR="00B04D48" w:rsidRDefault="000731B7">
      <w:pPr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 xml:space="preserve">100 </w:t>
      </w:r>
      <w:r>
        <w:rPr>
          <w:rFonts w:eastAsia="Times New Roman"/>
          <w:lang w:val="hu-HU" w:eastAsia="en-US"/>
        </w:rPr>
        <w:t>filmtabletta szilikagél szárítószert tartalmazó csavaros polipropilén kupakkal lezárt fehér HDPE tartályban és dobozban.</w:t>
      </w:r>
    </w:p>
    <w:p w:rsidR="00B04D48" w:rsidRDefault="00B04D48">
      <w:pPr>
        <w:widowControl w:val="0"/>
        <w:tabs>
          <w:tab w:val="clear" w:pos="567"/>
        </w:tabs>
        <w:autoSpaceDE w:val="0"/>
        <w:autoSpaceDN w:val="0"/>
        <w:spacing w:line="240" w:lineRule="auto"/>
        <w:ind w:left="1080" w:right="686"/>
        <w:rPr>
          <w:rFonts w:eastAsia="Times New Roman"/>
          <w:lang w:val="hu-HU" w:eastAsia="en-US"/>
        </w:rPr>
      </w:pP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u w:val="single"/>
          <w:lang w:val="hu-HU" w:eastAsia="en-US"/>
        </w:rPr>
      </w:pPr>
      <w:r>
        <w:rPr>
          <w:rFonts w:eastAsia="Times New Roman"/>
          <w:u w:val="single"/>
          <w:lang w:val="hu-HU" w:eastAsia="en-US"/>
        </w:rPr>
        <w:t xml:space="preserve">Jansitin 50 mg filmtabletta: </w:t>
      </w:r>
    </w:p>
    <w:p w:rsidR="00B04D48" w:rsidRDefault="000731B7">
      <w:pPr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10, 14, 28, 30, 98 vagy 100 filmtabletta átlátszatlan PVC/PVDC//Alumínium buborékcsomagolásban és dobozb</w:t>
      </w:r>
      <w:r>
        <w:rPr>
          <w:rFonts w:eastAsia="Times New Roman"/>
          <w:lang w:val="hu-HU" w:eastAsia="en-US"/>
        </w:rPr>
        <w:t>an.</w:t>
      </w:r>
    </w:p>
    <w:p w:rsidR="00B04D48" w:rsidRDefault="000731B7">
      <w:pPr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100 filmtabletta szilikagél szárítószert tartalmazó csavaros polipropilén kupakkal lezárt fehér HDPE tartályban és dobozban.</w:t>
      </w:r>
    </w:p>
    <w:p w:rsidR="00B04D48" w:rsidRDefault="00B04D48">
      <w:pPr>
        <w:widowControl w:val="0"/>
        <w:tabs>
          <w:tab w:val="clear" w:pos="567"/>
        </w:tabs>
        <w:autoSpaceDE w:val="0"/>
        <w:autoSpaceDN w:val="0"/>
        <w:spacing w:line="240" w:lineRule="auto"/>
        <w:ind w:left="142" w:right="686"/>
        <w:rPr>
          <w:rFonts w:eastAsia="Times New Roman"/>
          <w:lang w:val="hu-HU" w:eastAsia="en-US"/>
        </w:rPr>
      </w:pP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u w:val="single"/>
          <w:lang w:val="hu-HU" w:eastAsia="en-US"/>
        </w:rPr>
      </w:pPr>
      <w:r>
        <w:rPr>
          <w:rFonts w:eastAsia="Times New Roman"/>
          <w:u w:val="single"/>
          <w:lang w:val="hu-HU" w:eastAsia="en-US"/>
        </w:rPr>
        <w:t xml:space="preserve">Jansitin 100 mg filmtabletta: </w:t>
      </w:r>
    </w:p>
    <w:p w:rsidR="00B04D48" w:rsidRDefault="000731B7">
      <w:pPr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10, 14, 28, 30, 98, 100, 105 vagy 120 filmtabletta átlátszatlan PVC/PVDC//Alumínium buborékcsom</w:t>
      </w:r>
      <w:r>
        <w:rPr>
          <w:rFonts w:eastAsia="Times New Roman"/>
          <w:lang w:val="hu-HU" w:eastAsia="en-US"/>
        </w:rPr>
        <w:t>agolásban és dobozban.</w:t>
      </w:r>
    </w:p>
    <w:p w:rsidR="00B04D48" w:rsidRDefault="000731B7">
      <w:pPr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100 filmtabletta szilikagél szárítószert tartalmazó csavaros polipropilén kupakkal lezárt fehér HDPE tartályban és dobozban.</w:t>
      </w:r>
    </w:p>
    <w:p w:rsidR="00B04D48" w:rsidRDefault="00B04D4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z w:val="18"/>
          <w:szCs w:val="18"/>
          <w:lang w:val="hu-HU" w:eastAsia="en-US"/>
        </w:rPr>
      </w:pPr>
    </w:p>
    <w:p w:rsidR="00B04D48" w:rsidRDefault="000731B7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jc w:val="both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Nem feltétlenül mindegyik kiszerelés kerül kereskedelmi forgalomba.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6.6</w:t>
      </w:r>
      <w:r>
        <w:rPr>
          <w:rFonts w:eastAsia="Times New Roman"/>
          <w:b/>
          <w:bCs/>
          <w:noProof/>
          <w:lang w:val="hu-HU" w:eastAsia="en-US"/>
        </w:rPr>
        <w:tab/>
        <w:t xml:space="preserve">A megsemmisítésre vonatkozó </w:t>
      </w:r>
      <w:r>
        <w:rPr>
          <w:rFonts w:eastAsia="Times New Roman"/>
          <w:b/>
          <w:bCs/>
          <w:noProof/>
          <w:lang w:val="hu-HU" w:eastAsia="en-US"/>
        </w:rPr>
        <w:t>különleges óvintézkedések és egyéb, a készítmény kezelésével kapcsolatos információk</w:t>
      </w:r>
    </w:p>
    <w:p w:rsidR="00B04D48" w:rsidRDefault="00B04D48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</w:p>
    <w:p w:rsidR="00B04D48" w:rsidRDefault="000731B7">
      <w:pPr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>Bármilyen fel nem használt gyógyszer, illetve hulladékanyag megsemmisítését a gyógyszerekre vonatkozó előírások szerint kell végrehajtani.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suppressAutoHyphens/>
        <w:ind w:left="1"/>
        <w:rPr>
          <w:lang w:val="hu-HU" w:eastAsia="ar-SA"/>
        </w:rPr>
      </w:pPr>
      <w:r>
        <w:rPr>
          <w:b/>
          <w:bCs/>
          <w:lang w:val="hu-HU" w:eastAsia="ar-SA"/>
        </w:rPr>
        <w:t>Megjegyzés</w:t>
      </w:r>
      <w:r>
        <w:rPr>
          <w:b/>
          <w:bCs/>
          <w:lang w:eastAsia="ar-SA"/>
        </w:rPr>
        <w:t>:</w:t>
      </w:r>
      <w:r>
        <w:rPr>
          <w:lang w:eastAsia="ar-SA"/>
        </w:rPr>
        <w:t xml:space="preserve"> </w:t>
      </w:r>
      <w:r>
        <w:rPr>
          <w:rFonts w:ascii="Wingdings" w:eastAsia="Wingdings" w:hAnsi="Wingdings" w:cs="Wingdings"/>
        </w:rPr>
        <w:t></w:t>
      </w:r>
      <w:r>
        <w:rPr>
          <w:lang w:eastAsia="ar-SA"/>
        </w:rPr>
        <w:t xml:space="preserve"> </w:t>
      </w:r>
      <w:r>
        <w:rPr>
          <w:lang w:val="hu-HU" w:eastAsia="ar-SA"/>
        </w:rPr>
        <w:t>(egy keresztes</w:t>
      </w:r>
      <w:r>
        <w:rPr>
          <w:lang w:eastAsia="ar-SA"/>
        </w:rPr>
        <w:t>)</w:t>
      </w:r>
    </w:p>
    <w:p w:rsidR="00B04D48" w:rsidRDefault="000731B7">
      <w:pPr>
        <w:suppressAutoHyphens/>
        <w:ind w:left="1"/>
        <w:rPr>
          <w:b/>
          <w:bCs/>
          <w:lang w:val="hu-HU" w:eastAsia="ar-SA"/>
        </w:rPr>
      </w:pPr>
      <w:r>
        <w:rPr>
          <w:b/>
          <w:bCs/>
          <w:lang w:val="hu-HU" w:eastAsia="ar-SA"/>
        </w:rPr>
        <w:t>Osztályozás</w:t>
      </w:r>
      <w:r>
        <w:rPr>
          <w:b/>
          <w:bCs/>
          <w:lang w:eastAsia="ar-SA"/>
        </w:rPr>
        <w:t>: II.</w:t>
      </w:r>
      <w:r>
        <w:rPr>
          <w:b/>
          <w:bCs/>
          <w:lang w:val="hu-HU" w:eastAsia="ar-SA"/>
        </w:rPr>
        <w:t xml:space="preserve"> csoport</w:t>
      </w:r>
    </w:p>
    <w:p w:rsidR="00B04D48" w:rsidRDefault="000044EB">
      <w:pPr>
        <w:spacing w:line="240" w:lineRule="auto"/>
        <w:ind w:left="567" w:hanging="567"/>
        <w:outlineLvl w:val="0"/>
        <w:rPr>
          <w:lang w:val="hu-HU"/>
        </w:rPr>
      </w:pPr>
      <w:proofErr w:type="spellStart"/>
      <w:r>
        <w:t>Kizárólag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(V).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7.</w:t>
      </w:r>
      <w:r>
        <w:rPr>
          <w:rFonts w:eastAsia="Times New Roman"/>
          <w:b/>
          <w:bCs/>
          <w:noProof/>
          <w:lang w:val="hu-HU" w:eastAsia="en-US"/>
        </w:rPr>
        <w:tab/>
        <w:t>A FORGALOMBA HOZATALI ENGEDÉLY JOGOSULTJA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pStyle w:val="Default"/>
        <w:rPr>
          <w:sz w:val="22"/>
          <w:szCs w:val="22"/>
          <w:lang w:eastAsia="en-US"/>
        </w:rPr>
      </w:pPr>
      <w:bookmarkStart w:id="10" w:name="_Hlk66958226"/>
      <w:r>
        <w:rPr>
          <w:sz w:val="22"/>
          <w:szCs w:val="22"/>
        </w:rPr>
        <w:t>G.</w:t>
      </w:r>
      <w:r>
        <w:rPr>
          <w:sz w:val="22"/>
          <w:szCs w:val="22"/>
        </w:rPr>
        <w:t>L. Pharma GmbH</w:t>
      </w:r>
    </w:p>
    <w:p w:rsidR="00B04D48" w:rsidRDefault="000731B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8502 Lannach, Schlossplatz 1</w:t>
      </w:r>
    </w:p>
    <w:p w:rsidR="00B04D48" w:rsidRDefault="000731B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Ausztria</w:t>
      </w:r>
      <w:bookmarkEnd w:id="10"/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rFonts w:eastAsia="Times New Roman"/>
          <w:b/>
          <w:bCs/>
          <w:noProof/>
          <w:lang w:val="hu-HU" w:eastAsia="en-US"/>
        </w:rPr>
      </w:pPr>
      <w:r>
        <w:rPr>
          <w:rFonts w:eastAsia="Times New Roman"/>
          <w:b/>
          <w:bCs/>
          <w:noProof/>
          <w:lang w:val="hu-HU" w:eastAsia="en-US"/>
        </w:rPr>
        <w:t>8.</w:t>
      </w:r>
      <w:r>
        <w:rPr>
          <w:rFonts w:eastAsia="Times New Roman"/>
          <w:b/>
          <w:bCs/>
          <w:noProof/>
          <w:lang w:val="hu-HU" w:eastAsia="en-US"/>
        </w:rPr>
        <w:tab/>
        <w:t>A FORGALOMBA HOZATALI ENGEDÉLY SZÁMA(I)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rPr>
          <w:sz w:val="24"/>
          <w:szCs w:val="24"/>
        </w:rPr>
      </w:pPr>
      <w:r>
        <w:rPr>
          <w:rFonts w:eastAsia="Times New Roman"/>
          <w:noProof/>
          <w:u w:val="single"/>
          <w:lang w:val="hu-HU" w:eastAsia="en-US"/>
        </w:rPr>
        <w:t>Jansitin 25 mg filmtabletta:</w:t>
      </w:r>
      <w:r>
        <w:rPr>
          <w:sz w:val="24"/>
          <w:szCs w:val="24"/>
        </w:rPr>
        <w:t xml:space="preserve"> </w:t>
      </w:r>
    </w:p>
    <w:p w:rsidR="00B04D48" w:rsidRDefault="000731B7">
      <w:pPr>
        <w:rPr>
          <w:lang w:eastAsia="en-US"/>
        </w:rPr>
      </w:pPr>
      <w:r>
        <w:t>OGYI-T-23937/01</w:t>
      </w:r>
      <w:r>
        <w:tab/>
        <w:t>28×</w:t>
      </w:r>
      <w:r>
        <w:tab/>
      </w:r>
      <w:r>
        <w:rPr>
          <w:rFonts w:eastAsia="Times New Roman"/>
          <w:lang w:val="hu-HU" w:eastAsia="en-US"/>
        </w:rPr>
        <w:t>PVC/PVDC//Alumínium buborékcsomagolás.</w:t>
      </w:r>
    </w:p>
    <w:p w:rsidR="00B04D48" w:rsidRDefault="000731B7">
      <w:pPr>
        <w:rPr>
          <w:lang w:eastAsia="en-US"/>
        </w:rPr>
      </w:pPr>
      <w:r>
        <w:t>OGYI-T-23937/02</w:t>
      </w:r>
      <w:r>
        <w:tab/>
        <w:t>30×</w:t>
      </w:r>
      <w:r>
        <w:rPr>
          <w:rFonts w:eastAsia="Times New Roman"/>
          <w:lang w:val="hu-HU" w:eastAsia="en-US"/>
        </w:rPr>
        <w:tab/>
        <w:t>PVC/PVDC//Alumínium buborékcsomagolás.</w:t>
      </w:r>
    </w:p>
    <w:p w:rsidR="00B04D48" w:rsidRDefault="00B04D48">
      <w:pPr>
        <w:widowControl w:val="0"/>
        <w:spacing w:line="240" w:lineRule="auto"/>
        <w:rPr>
          <w:rFonts w:eastAsia="Times New Roman"/>
          <w:noProof/>
          <w:u w:val="single"/>
          <w:lang w:val="hu-HU" w:eastAsia="en-US"/>
        </w:rPr>
      </w:pPr>
    </w:p>
    <w:p w:rsidR="00B04D48" w:rsidRDefault="000731B7">
      <w:pPr>
        <w:widowControl w:val="0"/>
        <w:spacing w:line="240" w:lineRule="auto"/>
        <w:rPr>
          <w:rFonts w:eastAsia="Times New Roman"/>
          <w:noProof/>
          <w:u w:val="single"/>
          <w:lang w:val="hu-HU" w:eastAsia="en-US"/>
        </w:rPr>
      </w:pPr>
      <w:r>
        <w:rPr>
          <w:rFonts w:eastAsia="Times New Roman"/>
          <w:noProof/>
          <w:u w:val="single"/>
          <w:lang w:val="hu-HU" w:eastAsia="en-US"/>
        </w:rPr>
        <w:t>Jansitin</w:t>
      </w:r>
      <w:r>
        <w:rPr>
          <w:rFonts w:eastAsia="Times New Roman"/>
          <w:noProof/>
          <w:u w:val="single"/>
          <w:lang w:val="hu-HU" w:eastAsia="en-US"/>
        </w:rPr>
        <w:t xml:space="preserve"> 50 mg filmtabletta</w:t>
      </w:r>
    </w:p>
    <w:p w:rsidR="00B04D48" w:rsidRDefault="000731B7">
      <w:pPr>
        <w:rPr>
          <w:lang w:eastAsia="en-US"/>
        </w:rPr>
      </w:pPr>
      <w:r>
        <w:t>OGYI-T-23937/03</w:t>
      </w:r>
      <w:r>
        <w:tab/>
        <w:t>28×</w:t>
      </w:r>
      <w:r>
        <w:tab/>
      </w:r>
      <w:r>
        <w:rPr>
          <w:rFonts w:eastAsia="Times New Roman"/>
          <w:lang w:val="hu-HU" w:eastAsia="en-US"/>
        </w:rPr>
        <w:t>PVC/PVDC//Alumínium buborékcsomagolás.</w:t>
      </w:r>
    </w:p>
    <w:p w:rsidR="00B04D48" w:rsidRDefault="000731B7">
      <w:r>
        <w:t>OGYI-T-23937/04</w:t>
      </w:r>
      <w:r>
        <w:tab/>
        <w:t>30×</w:t>
      </w:r>
      <w:r>
        <w:tab/>
      </w:r>
      <w:r>
        <w:rPr>
          <w:rFonts w:eastAsia="Times New Roman"/>
          <w:lang w:val="hu-HU" w:eastAsia="en-US"/>
        </w:rPr>
        <w:t>PVC/PVDC//Alumínium buborékcsomagolás.</w:t>
      </w:r>
    </w:p>
    <w:p w:rsidR="00B04D48" w:rsidRDefault="00B04D48">
      <w:pPr>
        <w:widowControl w:val="0"/>
        <w:spacing w:line="240" w:lineRule="auto"/>
        <w:rPr>
          <w:rFonts w:eastAsia="Times New Roman"/>
          <w:noProof/>
          <w:u w:val="single"/>
          <w:lang w:val="hu-HU" w:eastAsia="en-US"/>
        </w:rPr>
      </w:pPr>
    </w:p>
    <w:p w:rsidR="00B04D48" w:rsidRDefault="000731B7">
      <w:pPr>
        <w:widowControl w:val="0"/>
        <w:spacing w:line="240" w:lineRule="auto"/>
        <w:rPr>
          <w:rFonts w:eastAsia="Times New Roman"/>
          <w:noProof/>
          <w:u w:val="single"/>
          <w:lang w:val="hu-HU" w:eastAsia="en-US"/>
        </w:rPr>
      </w:pPr>
      <w:r>
        <w:rPr>
          <w:rFonts w:eastAsia="Times New Roman"/>
          <w:noProof/>
          <w:u w:val="single"/>
          <w:lang w:val="hu-HU" w:eastAsia="en-US"/>
        </w:rPr>
        <w:t>Jansitin 100 mg filmtabletta</w:t>
      </w:r>
    </w:p>
    <w:p w:rsidR="00B04D48" w:rsidRDefault="000731B7">
      <w:pPr>
        <w:rPr>
          <w:lang w:eastAsia="en-US"/>
        </w:rPr>
      </w:pPr>
      <w:r>
        <w:t>OGYI-T-23937/05</w:t>
      </w:r>
      <w:r>
        <w:tab/>
        <w:t>28×</w:t>
      </w:r>
      <w:r>
        <w:tab/>
      </w:r>
      <w:r>
        <w:rPr>
          <w:rFonts w:eastAsia="Times New Roman"/>
          <w:lang w:val="hu-HU" w:eastAsia="en-US"/>
        </w:rPr>
        <w:t>PVC/PVDC//Alumínium buborékcsomagolás.</w:t>
      </w:r>
    </w:p>
    <w:p w:rsidR="00B04D48" w:rsidRDefault="000731B7">
      <w:r>
        <w:t>OGYI-T-23937/06</w:t>
      </w:r>
      <w:r>
        <w:tab/>
        <w:t>30×</w:t>
      </w:r>
      <w:r>
        <w:tab/>
      </w:r>
      <w:r>
        <w:rPr>
          <w:rFonts w:eastAsia="Times New Roman"/>
          <w:lang w:val="hu-HU" w:eastAsia="en-US"/>
        </w:rPr>
        <w:t>PVC/PVDC//Alumínium buborékcsomagolás.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rFonts w:eastAsia="Times New Roman"/>
          <w:b/>
          <w:bCs/>
          <w:noProof/>
          <w:lang w:val="hu-HU" w:eastAsia="en-US"/>
        </w:rPr>
        <w:t>9.</w:t>
      </w:r>
      <w:r>
        <w:rPr>
          <w:rFonts w:eastAsia="Times New Roman"/>
          <w:b/>
          <w:bCs/>
          <w:noProof/>
          <w:lang w:val="hu-HU" w:eastAsia="en-US"/>
        </w:rPr>
        <w:tab/>
        <w:t>A FORGALOMBA HOZATALI ENGEDÉLY ELSŐ KIADÁSÁNAK/ MEGÚJÍTÁSÁNAK</w:t>
      </w:r>
      <w:r>
        <w:rPr>
          <w:b/>
          <w:bCs/>
          <w:lang w:val="hu-HU"/>
        </w:rPr>
        <w:t xml:space="preserve"> DÁTUMA</w:t>
      </w: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rPr>
          <w:rFonts w:eastAsia="Times New Roman"/>
          <w:noProof/>
          <w:lang w:val="hu-HU" w:eastAsia="en-US"/>
        </w:rPr>
      </w:pPr>
      <w:r>
        <w:rPr>
          <w:rFonts w:eastAsia="Times New Roman"/>
          <w:noProof/>
          <w:lang w:val="hu-HU" w:eastAsia="en-US"/>
        </w:rPr>
        <w:t>A forgalomba hozatali engedély első kiadásának dátuma: 2021. szeptember 1.</w:t>
      </w:r>
      <w:bookmarkStart w:id="11" w:name="_GoBack"/>
      <w:bookmarkEnd w:id="11"/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B04D48">
      <w:pPr>
        <w:spacing w:line="240" w:lineRule="auto"/>
        <w:rPr>
          <w:rFonts w:eastAsia="Times New Roman"/>
          <w:noProof/>
          <w:lang w:val="hu-HU" w:eastAsia="en-US"/>
        </w:rPr>
      </w:pPr>
    </w:p>
    <w:p w:rsidR="00B04D48" w:rsidRDefault="000731B7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rFonts w:eastAsia="Times New Roman"/>
          <w:b/>
          <w:bCs/>
          <w:noProof/>
          <w:lang w:val="hu-HU" w:eastAsia="en-US"/>
        </w:rPr>
        <w:t>10.</w:t>
      </w:r>
      <w:r>
        <w:rPr>
          <w:rFonts w:eastAsia="Times New Roman"/>
          <w:b/>
          <w:bCs/>
          <w:noProof/>
          <w:lang w:val="hu-HU" w:eastAsia="en-US"/>
        </w:rPr>
        <w:tab/>
        <w:t>A SZÖVEG ELLENŐRZÉSÉNEK DÁTUMA</w:t>
      </w:r>
    </w:p>
    <w:p w:rsidR="00B04D48" w:rsidRDefault="00B04D48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B04D48" w:rsidRDefault="000731B7">
      <w:pPr>
        <w:spacing w:line="240" w:lineRule="auto"/>
        <w:rPr>
          <w:lang w:val="hu-HU"/>
        </w:rPr>
      </w:pPr>
      <w:r>
        <w:rPr>
          <w:lang w:val="hu-HU"/>
        </w:rPr>
        <w:t>2026.</w:t>
      </w:r>
      <w:r w:rsidR="000044EB">
        <w:rPr>
          <w:lang w:val="hu-HU"/>
        </w:rPr>
        <w:t xml:space="preserve"> március 23.</w:t>
      </w:r>
    </w:p>
    <w:sectPr w:rsidR="00B04D48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731B7">
      <w:pPr>
        <w:spacing w:line="240" w:lineRule="auto"/>
      </w:pPr>
      <w:r>
        <w:separator/>
      </w:r>
    </w:p>
  </w:endnote>
  <w:endnote w:type="continuationSeparator" w:id="0">
    <w:p w:rsidR="00000000" w:rsidRDefault="000731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D48" w:rsidRDefault="000731B7">
    <w:pPr>
      <w:pStyle w:val="llb"/>
      <w:tabs>
        <w:tab w:val="right" w:pos="8931"/>
      </w:tabs>
      <w:ind w:right="96"/>
      <w:jc w:val="center"/>
    </w:pPr>
    <w:r>
      <w:fldChar w:fldCharType="begin"/>
    </w:r>
    <w:r>
      <w:instrText xml:space="preserve">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4EB" w:rsidRDefault="000044EB">
    <w:pPr>
      <w:rPr>
        <w:noProof/>
        <w:sz w:val="18"/>
        <w:szCs w:val="18"/>
        <w:lang w:val="en-US"/>
      </w:rPr>
    </w:pPr>
    <w:r>
      <w:rPr>
        <w:noProof/>
        <w:sz w:val="18"/>
        <w:szCs w:val="18"/>
        <w:lang w:val="en-US"/>
      </w:rPr>
      <w:t>NNGYK/ETGY/4387/2026</w:t>
    </w:r>
  </w:p>
  <w:p w:rsidR="000044EB" w:rsidRDefault="000044EB">
    <w:pPr>
      <w:rPr>
        <w:noProof/>
        <w:sz w:val="18"/>
        <w:szCs w:val="18"/>
        <w:lang w:val="en-US"/>
      </w:rPr>
    </w:pPr>
    <w:r>
      <w:rPr>
        <w:noProof/>
        <w:sz w:val="18"/>
        <w:szCs w:val="18"/>
        <w:lang w:val="en-US"/>
      </w:rPr>
      <w:t>NNGYK/ETGY/4400/2026</w:t>
    </w:r>
  </w:p>
  <w:p w:rsidR="00B04D48" w:rsidRDefault="000044EB">
    <w:r>
      <w:rPr>
        <w:noProof/>
        <w:sz w:val="18"/>
        <w:szCs w:val="18"/>
        <w:lang w:val="en-US"/>
      </w:rPr>
      <w:t>NNGYK/ETGY/4404/2026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731B7">
      <w:pPr>
        <w:spacing w:line="240" w:lineRule="auto"/>
      </w:pPr>
      <w:r>
        <w:separator/>
      </w:r>
    </w:p>
  </w:footnote>
  <w:footnote w:type="continuationSeparator" w:id="0">
    <w:p w:rsidR="00000000" w:rsidRDefault="000731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543271"/>
      <w:docPartObj>
        <w:docPartGallery w:val="Page Numbers (Top of Page)"/>
        <w:docPartUnique/>
      </w:docPartObj>
    </w:sdtPr>
    <w:sdtEndPr/>
    <w:sdtContent>
      <w:p w:rsidR="00B04D48" w:rsidRDefault="000731B7" w:rsidP="000731B7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\* MERGEFORMAT</w:instrText>
        </w:r>
        <w:r>
          <w:rPr>
            <w:sz w:val="18"/>
            <w:szCs w:val="18"/>
          </w:rPr>
          <w:fldChar w:fldCharType="separate"/>
        </w:r>
        <w:r w:rsidRPr="000731B7">
          <w:rPr>
            <w:noProof/>
            <w:sz w:val="18"/>
            <w:szCs w:val="18"/>
            <w:lang w:val="hu-HU"/>
          </w:rPr>
          <w:t>4</w:t>
        </w:r>
        <w:r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D48" w:rsidRDefault="00B04D48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00ED"/>
    <w:multiLevelType w:val="hybridMultilevel"/>
    <w:tmpl w:val="3D08C984"/>
    <w:lvl w:ilvl="0" w:tplc="A6441E6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A0F0E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CC174C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1783078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270472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F045AD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6A661EE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0963C4C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A0FEDA2E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931AD6"/>
    <w:multiLevelType w:val="hybridMultilevel"/>
    <w:tmpl w:val="7CDA57FA"/>
    <w:lvl w:ilvl="0" w:tplc="BE5C671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ABC54FC"/>
    <w:multiLevelType w:val="hybridMultilevel"/>
    <w:tmpl w:val="3C888C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4EB"/>
    <w:rsid w:val="00005701"/>
    <w:rsid w:val="00006494"/>
    <w:rsid w:val="00007528"/>
    <w:rsid w:val="0001164F"/>
    <w:rsid w:val="000121D6"/>
    <w:rsid w:val="00013D33"/>
    <w:rsid w:val="000150D3"/>
    <w:rsid w:val="000166C1"/>
    <w:rsid w:val="000177FF"/>
    <w:rsid w:val="00020AE8"/>
    <w:rsid w:val="00023F29"/>
    <w:rsid w:val="00025EBE"/>
    <w:rsid w:val="00030445"/>
    <w:rsid w:val="00031367"/>
    <w:rsid w:val="000318C7"/>
    <w:rsid w:val="00033FDB"/>
    <w:rsid w:val="00034204"/>
    <w:rsid w:val="000344F6"/>
    <w:rsid w:val="0003542B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1B7"/>
    <w:rsid w:val="00073E04"/>
    <w:rsid w:val="0007628D"/>
    <w:rsid w:val="00077267"/>
    <w:rsid w:val="0007752B"/>
    <w:rsid w:val="00080AB8"/>
    <w:rsid w:val="000817DE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4E34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0ECA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61F"/>
    <w:rsid w:val="001B0DDB"/>
    <w:rsid w:val="001B13F6"/>
    <w:rsid w:val="001B1747"/>
    <w:rsid w:val="001B1B4E"/>
    <w:rsid w:val="001B2D44"/>
    <w:rsid w:val="001B448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3EC"/>
    <w:rsid w:val="002834F6"/>
    <w:rsid w:val="00283B02"/>
    <w:rsid w:val="00283C5D"/>
    <w:rsid w:val="00283D5A"/>
    <w:rsid w:val="002844B0"/>
    <w:rsid w:val="00285586"/>
    <w:rsid w:val="00286322"/>
    <w:rsid w:val="00290C3B"/>
    <w:rsid w:val="00290E39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936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50C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12B4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49BC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57E0"/>
    <w:rsid w:val="003C64A0"/>
    <w:rsid w:val="003C7BA3"/>
    <w:rsid w:val="003D21C8"/>
    <w:rsid w:val="003D2303"/>
    <w:rsid w:val="003D4015"/>
    <w:rsid w:val="003D4E9C"/>
    <w:rsid w:val="003E038E"/>
    <w:rsid w:val="003E0D78"/>
    <w:rsid w:val="003E2E56"/>
    <w:rsid w:val="003E3277"/>
    <w:rsid w:val="003E3A1D"/>
    <w:rsid w:val="003E6CA0"/>
    <w:rsid w:val="003F2FDE"/>
    <w:rsid w:val="003F330B"/>
    <w:rsid w:val="003F5756"/>
    <w:rsid w:val="003F6FDF"/>
    <w:rsid w:val="004006EB"/>
    <w:rsid w:val="004016F5"/>
    <w:rsid w:val="004045AA"/>
    <w:rsid w:val="00404A0D"/>
    <w:rsid w:val="00405229"/>
    <w:rsid w:val="00405CC9"/>
    <w:rsid w:val="00410E7D"/>
    <w:rsid w:val="004138DE"/>
    <w:rsid w:val="00414B2F"/>
    <w:rsid w:val="004153EE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5FE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507A"/>
    <w:rsid w:val="00487366"/>
    <w:rsid w:val="004873E4"/>
    <w:rsid w:val="0049072C"/>
    <w:rsid w:val="00490FD1"/>
    <w:rsid w:val="0049122E"/>
    <w:rsid w:val="00491AD2"/>
    <w:rsid w:val="004935C0"/>
    <w:rsid w:val="00493696"/>
    <w:rsid w:val="00493B43"/>
    <w:rsid w:val="00494EB1"/>
    <w:rsid w:val="00494F35"/>
    <w:rsid w:val="00496414"/>
    <w:rsid w:val="00497A38"/>
    <w:rsid w:val="00497F75"/>
    <w:rsid w:val="004A2056"/>
    <w:rsid w:val="004A2219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0B4"/>
    <w:rsid w:val="004F62B2"/>
    <w:rsid w:val="004F6424"/>
    <w:rsid w:val="005027C7"/>
    <w:rsid w:val="005040CD"/>
    <w:rsid w:val="00505229"/>
    <w:rsid w:val="005052C6"/>
    <w:rsid w:val="00505EDB"/>
    <w:rsid w:val="00506D18"/>
    <w:rsid w:val="00507300"/>
    <w:rsid w:val="00507F98"/>
    <w:rsid w:val="005108A3"/>
    <w:rsid w:val="0051091F"/>
    <w:rsid w:val="00510F6E"/>
    <w:rsid w:val="005118AE"/>
    <w:rsid w:val="00514A51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28E3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2BE0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0F82"/>
    <w:rsid w:val="00603148"/>
    <w:rsid w:val="0060534B"/>
    <w:rsid w:val="00605447"/>
    <w:rsid w:val="00606753"/>
    <w:rsid w:val="00606FC7"/>
    <w:rsid w:val="00610456"/>
    <w:rsid w:val="00611473"/>
    <w:rsid w:val="00611B36"/>
    <w:rsid w:val="00613A34"/>
    <w:rsid w:val="00615ADA"/>
    <w:rsid w:val="00615CC5"/>
    <w:rsid w:val="0062168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061C"/>
    <w:rsid w:val="006414EE"/>
    <w:rsid w:val="00642D0A"/>
    <w:rsid w:val="00645BC8"/>
    <w:rsid w:val="00646130"/>
    <w:rsid w:val="00646FE1"/>
    <w:rsid w:val="006470ED"/>
    <w:rsid w:val="00647E20"/>
    <w:rsid w:val="00655795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523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197F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747"/>
    <w:rsid w:val="006E3B9C"/>
    <w:rsid w:val="006E51A2"/>
    <w:rsid w:val="006F0DE2"/>
    <w:rsid w:val="006F2C8B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317E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3B7B"/>
    <w:rsid w:val="007947C4"/>
    <w:rsid w:val="007953AB"/>
    <w:rsid w:val="00795CE1"/>
    <w:rsid w:val="007A06AC"/>
    <w:rsid w:val="007B1014"/>
    <w:rsid w:val="007B103F"/>
    <w:rsid w:val="007B1484"/>
    <w:rsid w:val="007B1A10"/>
    <w:rsid w:val="007B6547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7F7879"/>
    <w:rsid w:val="008006B4"/>
    <w:rsid w:val="00801A3F"/>
    <w:rsid w:val="00802B91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16D8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412C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79E"/>
    <w:rsid w:val="00892EB4"/>
    <w:rsid w:val="008940AA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96A"/>
    <w:rsid w:val="008A3BF2"/>
    <w:rsid w:val="008A3DB9"/>
    <w:rsid w:val="008A53A7"/>
    <w:rsid w:val="008A6580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1D92"/>
    <w:rsid w:val="008D2205"/>
    <w:rsid w:val="008D2331"/>
    <w:rsid w:val="008D2E9B"/>
    <w:rsid w:val="008D36CD"/>
    <w:rsid w:val="008D4380"/>
    <w:rsid w:val="008D48D1"/>
    <w:rsid w:val="008D5B7E"/>
    <w:rsid w:val="008F2C49"/>
    <w:rsid w:val="008F478C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6121"/>
    <w:rsid w:val="00927791"/>
    <w:rsid w:val="00930607"/>
    <w:rsid w:val="00930D0A"/>
    <w:rsid w:val="00931DD1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5A37"/>
    <w:rsid w:val="009C7531"/>
    <w:rsid w:val="009D08A5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5474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3BDD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18CA"/>
    <w:rsid w:val="00A53220"/>
    <w:rsid w:val="00A538E6"/>
    <w:rsid w:val="00A540C1"/>
    <w:rsid w:val="00A55D48"/>
    <w:rsid w:val="00A56800"/>
    <w:rsid w:val="00A56D7E"/>
    <w:rsid w:val="00A5729F"/>
    <w:rsid w:val="00A57404"/>
    <w:rsid w:val="00A575BD"/>
    <w:rsid w:val="00A57AB2"/>
    <w:rsid w:val="00A60BB4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3B6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4D48"/>
    <w:rsid w:val="00B06321"/>
    <w:rsid w:val="00B07340"/>
    <w:rsid w:val="00B074F8"/>
    <w:rsid w:val="00B107E6"/>
    <w:rsid w:val="00B145CD"/>
    <w:rsid w:val="00B14B18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0ED3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87F31"/>
    <w:rsid w:val="00B90477"/>
    <w:rsid w:val="00B92AA5"/>
    <w:rsid w:val="00B93211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C77A6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11E4"/>
    <w:rsid w:val="00C01928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3165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46B9"/>
    <w:rsid w:val="00C9524B"/>
    <w:rsid w:val="00C95D8D"/>
    <w:rsid w:val="00CA24F2"/>
    <w:rsid w:val="00CA2883"/>
    <w:rsid w:val="00CA2AEF"/>
    <w:rsid w:val="00CA4921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5904"/>
    <w:rsid w:val="00CF625A"/>
    <w:rsid w:val="00CF6384"/>
    <w:rsid w:val="00CF6902"/>
    <w:rsid w:val="00CF7924"/>
    <w:rsid w:val="00D030B3"/>
    <w:rsid w:val="00D06E88"/>
    <w:rsid w:val="00D0750E"/>
    <w:rsid w:val="00D11F90"/>
    <w:rsid w:val="00D13527"/>
    <w:rsid w:val="00D1569B"/>
    <w:rsid w:val="00D15E4E"/>
    <w:rsid w:val="00D161AC"/>
    <w:rsid w:val="00D174E6"/>
    <w:rsid w:val="00D17601"/>
    <w:rsid w:val="00D20D6E"/>
    <w:rsid w:val="00D21300"/>
    <w:rsid w:val="00D230DC"/>
    <w:rsid w:val="00D303A6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57530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214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0CED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2B02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B4974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1C"/>
    <w:rsid w:val="00F44FAB"/>
    <w:rsid w:val="00F450D1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33D8"/>
    <w:rsid w:val="00F961BB"/>
    <w:rsid w:val="00F97406"/>
    <w:rsid w:val="00FA072C"/>
    <w:rsid w:val="00FA4827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29D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D8F5A46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bCs/>
      <w:caps/>
      <w:sz w:val="26"/>
      <w:szCs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bCs/>
      <w:i/>
      <w:sz w:val="24"/>
      <w:szCs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bCs/>
      <w:kern w:val="1"/>
      <w:sz w:val="24"/>
      <w:szCs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bCs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bCs/>
      <w:i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bCs/>
      <w:i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szCs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z w:val="16"/>
      <w:szCs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  <w:szCs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bCs/>
      <w:caps/>
      <w:sz w:val="26"/>
      <w:szCs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bCs/>
      <w:i/>
      <w:sz w:val="24"/>
      <w:szCs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bCs/>
      <w:kern w:val="1"/>
      <w:sz w:val="24"/>
      <w:szCs w:val="24"/>
    </w:rPr>
  </w:style>
  <w:style w:type="character" w:customStyle="1" w:styleId="Cmsor4Char">
    <w:name w:val="Címsor 4 Char"/>
    <w:link w:val="Cmsor4"/>
    <w:rPr>
      <w:rFonts w:eastAsia="Times New Roman"/>
      <w:b/>
      <w:bCs/>
      <w:sz w:val="22"/>
      <w:szCs w:val="22"/>
    </w:rPr>
  </w:style>
  <w:style w:type="character" w:customStyle="1" w:styleId="Cmsor5Char">
    <w:name w:val="Címsor 5 Char"/>
    <w:link w:val="Cmsor5"/>
    <w:rPr>
      <w:rFonts w:eastAsia="Times New Roman"/>
      <w:sz w:val="22"/>
      <w:szCs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szCs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szCs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bCs/>
      <w:i/>
      <w:sz w:val="22"/>
      <w:szCs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bCs/>
      <w:i/>
      <w:sz w:val="22"/>
      <w:szCs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bCs/>
      <w:i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bCs/>
      <w:i/>
      <w:sz w:val="22"/>
      <w:szCs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bCs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bCs/>
      <w:color w:val="808080"/>
      <w:sz w:val="22"/>
      <w:szCs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z w:val="28"/>
      <w:szCs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z w:val="20"/>
      <w:szCs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szCs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bCs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z w:val="16"/>
      <w:szCs w:val="16"/>
      <w:lang w:val="hu-HU"/>
    </w:rPr>
  </w:style>
  <w:style w:type="character" w:customStyle="1" w:styleId="Szvegtrzs0">
    <w:name w:val="Szövegtörzs_"/>
    <w:basedOn w:val="Bekezdsalapbettpusa"/>
    <w:link w:val="Szvegtrzs1"/>
    <w:rPr>
      <w:rFonts w:eastAsia="Times New Roman"/>
      <w:sz w:val="22"/>
      <w:szCs w:val="22"/>
    </w:rPr>
  </w:style>
  <w:style w:type="paragraph" w:customStyle="1" w:styleId="Szvegtrzs1">
    <w:name w:val="Szövegtörzs1"/>
    <w:basedOn w:val="Norml"/>
    <w:link w:val="Szvegtrzs0"/>
    <w:pPr>
      <w:widowControl w:val="0"/>
      <w:tabs>
        <w:tab w:val="clear" w:pos="567"/>
      </w:tabs>
      <w:spacing w:after="200" w:line="240" w:lineRule="auto"/>
    </w:pPr>
    <w:rPr>
      <w:rFonts w:eastAsia="Times New Roman"/>
      <w:lang w:eastAsia="en-GB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</w:pPr>
    <w:rPr>
      <w:color w:val="000000"/>
      <w:sz w:val="24"/>
      <w:szCs w:val="24"/>
      <w:lang w:val="en-US" w:eastAsia="zh-CN"/>
    </w:rPr>
  </w:style>
  <w:style w:type="character" w:customStyle="1" w:styleId="lfejChar">
    <w:name w:val="Élőfej Char"/>
    <w:basedOn w:val="Bekezdsalapbettpusa"/>
    <w:link w:val="lfej"/>
    <w:uiPriority w:val="99"/>
    <w:rPr>
      <w:sz w:val="22"/>
      <w:szCs w:val="22"/>
      <w:lang w:eastAsia="zh-CN"/>
    </w:rPr>
  </w:style>
  <w:style w:type="paragraph" w:styleId="Vltozat">
    <w:name w:val="Revision"/>
    <w:uiPriority w:val="99"/>
    <w:semiHidden/>
    <w:rPr>
      <w:sz w:val="22"/>
      <w:szCs w:val="22"/>
      <w:lang w:eastAsia="zh-CN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6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6519</Words>
  <Characters>47486</Characters>
  <Application>Microsoft Office Word</Application>
  <DocSecurity>0</DocSecurity>
  <Lines>395</Lines>
  <Paragraphs>107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53898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3</cp:revision>
  <dcterms:created xsi:type="dcterms:W3CDTF">2026-03-25T09:05:00Z</dcterms:created>
  <dcterms:modified xsi:type="dcterms:W3CDTF">2026-03-25T09:06:00Z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DMS_Doc_ID">
    <vt:lpwstr>136597710</vt:lpwstr>
  </property>
</Properties>
</file>