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9C206" w14:textId="77777777" w:rsidR="006A22CA" w:rsidRDefault="00BA2766">
      <w:pPr>
        <w:widowControl w:val="0"/>
        <w:spacing w:line="240" w:lineRule="auto"/>
        <w:rPr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14:paraId="1ED51B3A" w14:textId="77777777" w:rsidR="006A22CA" w:rsidRDefault="006A22CA">
      <w:pPr>
        <w:widowControl w:val="0"/>
        <w:spacing w:line="240" w:lineRule="auto"/>
        <w:rPr>
          <w:lang w:val="hu-HU"/>
        </w:rPr>
      </w:pPr>
    </w:p>
    <w:p w14:paraId="708238A3" w14:textId="77777777" w:rsidR="006A22CA" w:rsidRDefault="00BA2766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Vimetso 50 mg/850 mg filmtabletta</w:t>
      </w:r>
    </w:p>
    <w:p w14:paraId="4EC3CABD" w14:textId="77777777" w:rsidR="006A22CA" w:rsidRDefault="00BA2766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Vimetso 50 mg/1000 mg filmtabletta</w:t>
      </w:r>
    </w:p>
    <w:p w14:paraId="48458283" w14:textId="77777777" w:rsidR="006A22CA" w:rsidRDefault="006A22CA">
      <w:pPr>
        <w:widowControl w:val="0"/>
        <w:spacing w:line="240" w:lineRule="auto"/>
        <w:rPr>
          <w:lang w:val="hu-HU"/>
        </w:rPr>
      </w:pPr>
    </w:p>
    <w:p w14:paraId="2DACAADE" w14:textId="77777777" w:rsidR="006A22CA" w:rsidRDefault="006A22CA">
      <w:pPr>
        <w:widowControl w:val="0"/>
        <w:spacing w:line="240" w:lineRule="auto"/>
        <w:rPr>
          <w:lang w:val="hu-HU"/>
        </w:rPr>
      </w:pPr>
    </w:p>
    <w:p w14:paraId="5423C0DE" w14:textId="77777777" w:rsidR="006A22CA" w:rsidRDefault="00BA2766">
      <w:pPr>
        <w:widowControl w:val="0"/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>MINŐSÉGI ÉS MENNYISÉGI ÖSSZETÉTEL</w:t>
      </w:r>
    </w:p>
    <w:p w14:paraId="7AAAE3A7" w14:textId="77777777" w:rsidR="006A22CA" w:rsidRDefault="006A22CA">
      <w:pPr>
        <w:widowControl w:val="0"/>
        <w:spacing w:line="240" w:lineRule="auto"/>
        <w:rPr>
          <w:noProof/>
          <w:u w:val="single"/>
          <w:lang w:val="sl-SI"/>
        </w:rPr>
      </w:pPr>
    </w:p>
    <w:p w14:paraId="08EC8A2A" w14:textId="77777777" w:rsidR="006A22CA" w:rsidRDefault="00BA2766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Vimetso 50 mg/850 mg filmtabletta</w:t>
      </w:r>
    </w:p>
    <w:p w14:paraId="757D108C" w14:textId="77777777" w:rsidR="006A22CA" w:rsidRDefault="00BA2766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és 850 mg </w:t>
      </w:r>
      <w:proofErr w:type="spellStart"/>
      <w:r>
        <w:rPr>
          <w:lang w:val="hu-HU"/>
        </w:rPr>
        <w:t>metformin-hidrokloridot</w:t>
      </w:r>
      <w:proofErr w:type="spellEnd"/>
      <w:r>
        <w:rPr>
          <w:lang w:val="hu-HU"/>
        </w:rPr>
        <w:t xml:space="preserve"> tartalmaz </w:t>
      </w:r>
      <w:proofErr w:type="spellStart"/>
      <w:r>
        <w:rPr>
          <w:lang w:val="hu-HU"/>
        </w:rPr>
        <w:t>filmtablettánként</w:t>
      </w:r>
      <w:proofErr w:type="spellEnd"/>
      <w:r>
        <w:rPr>
          <w:lang w:val="hu-HU"/>
        </w:rPr>
        <w:t>.</w:t>
      </w:r>
    </w:p>
    <w:p w14:paraId="59F0B9E7" w14:textId="77777777" w:rsidR="006A22CA" w:rsidRDefault="006A22CA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</w:p>
    <w:p w14:paraId="0318B441" w14:textId="77777777" w:rsidR="006A22CA" w:rsidRDefault="00BA2766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Vimetso 50 mg/1000 mg filmtabletta</w:t>
      </w:r>
    </w:p>
    <w:p w14:paraId="65C7D337" w14:textId="77777777" w:rsidR="006A22CA" w:rsidRDefault="00BA2766">
      <w:pPr>
        <w:widowControl w:val="0"/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és 1000 mg </w:t>
      </w:r>
      <w:proofErr w:type="spellStart"/>
      <w:r>
        <w:rPr>
          <w:lang w:val="hu-HU"/>
        </w:rPr>
        <w:t>metformin-hidrokloridot</w:t>
      </w:r>
      <w:proofErr w:type="spellEnd"/>
      <w:r>
        <w:rPr>
          <w:lang w:val="hu-HU"/>
        </w:rPr>
        <w:t xml:space="preserve"> tartalmaz </w:t>
      </w:r>
      <w:proofErr w:type="spellStart"/>
      <w:r>
        <w:rPr>
          <w:lang w:val="hu-HU"/>
        </w:rPr>
        <w:t>filmtablettánként</w:t>
      </w:r>
      <w:proofErr w:type="spellEnd"/>
      <w:r>
        <w:rPr>
          <w:lang w:val="hu-HU"/>
        </w:rPr>
        <w:t>.</w:t>
      </w:r>
    </w:p>
    <w:p w14:paraId="3DFEC843" w14:textId="77777777" w:rsidR="006A22CA" w:rsidRDefault="006A22CA">
      <w:pPr>
        <w:pStyle w:val="EMEAEnBodyText"/>
        <w:autoSpaceDE w:val="0"/>
        <w:autoSpaceDN w:val="0"/>
        <w:adjustRightInd w:val="0"/>
        <w:spacing w:before="0" w:after="0"/>
        <w:rPr>
          <w:u w:val="single"/>
          <w:lang w:val="hu-HU"/>
        </w:rPr>
      </w:pPr>
    </w:p>
    <w:p w14:paraId="725596AB" w14:textId="77777777" w:rsidR="006A22CA" w:rsidRDefault="00BA2766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>
        <w:rPr>
          <w:lang w:val="hu-HU"/>
        </w:rPr>
        <w:t>A segédanyagok teljes listáját lásd a 6.1 pontban.</w:t>
      </w:r>
    </w:p>
    <w:p w14:paraId="58820047" w14:textId="77777777" w:rsidR="006A22CA" w:rsidRDefault="006A22CA">
      <w:pPr>
        <w:widowControl w:val="0"/>
        <w:spacing w:line="240" w:lineRule="auto"/>
        <w:rPr>
          <w:bCs/>
          <w:lang w:val="hu-HU"/>
        </w:rPr>
      </w:pPr>
    </w:p>
    <w:p w14:paraId="0E517BD6" w14:textId="77777777" w:rsidR="006A22CA" w:rsidRDefault="006A22CA">
      <w:pPr>
        <w:widowControl w:val="0"/>
        <w:spacing w:line="240" w:lineRule="auto"/>
        <w:rPr>
          <w:bCs/>
          <w:lang w:val="hu-HU"/>
        </w:rPr>
      </w:pPr>
    </w:p>
    <w:p w14:paraId="670884A0" w14:textId="77777777" w:rsidR="006A22CA" w:rsidRDefault="00BA2766">
      <w:pP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GYÓGYSZERFORMA</w:t>
      </w:r>
    </w:p>
    <w:p w14:paraId="4CD4DDB1" w14:textId="77777777" w:rsidR="006A22CA" w:rsidRDefault="006A22CA">
      <w:pPr>
        <w:widowControl w:val="0"/>
        <w:spacing w:line="240" w:lineRule="auto"/>
        <w:rPr>
          <w:lang w:val="hu-HU"/>
        </w:rPr>
      </w:pPr>
    </w:p>
    <w:p w14:paraId="1D49BAE6" w14:textId="77777777" w:rsidR="006A22CA" w:rsidRDefault="00BA2766">
      <w:pPr>
        <w:widowControl w:val="0"/>
        <w:spacing w:line="240" w:lineRule="auto"/>
        <w:rPr>
          <w:noProof/>
          <w:lang w:val="sl-SI"/>
        </w:rPr>
      </w:pPr>
      <w:r>
        <w:rPr>
          <w:noProof/>
          <w:lang w:val="sl-SI"/>
        </w:rPr>
        <w:t>Filmtabletta (tabletta)</w:t>
      </w:r>
    </w:p>
    <w:p w14:paraId="3093DD1A" w14:textId="77777777" w:rsidR="006A22CA" w:rsidRDefault="006A22CA">
      <w:pPr>
        <w:widowControl w:val="0"/>
        <w:spacing w:line="240" w:lineRule="auto"/>
        <w:rPr>
          <w:lang w:val="hu-HU"/>
        </w:rPr>
      </w:pPr>
    </w:p>
    <w:p w14:paraId="3395F63A" w14:textId="77777777" w:rsidR="006A22CA" w:rsidRDefault="00BA2766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Vimetso 50 mg/850 mg filmtabletta</w:t>
      </w:r>
    </w:p>
    <w:p w14:paraId="1B13E95D" w14:textId="77777777" w:rsidR="006A22CA" w:rsidRDefault="00BA2766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>Barnássárga, ovális alakú, mindkét oldalán domború filmtabletta, az egyik oldalán „V1” jelöléssel ellátva. A filmtabletta mérete: megközelítőleg 20 mm × 11 mm.</w:t>
      </w:r>
    </w:p>
    <w:p w14:paraId="65EC438A" w14:textId="77777777" w:rsidR="006A22CA" w:rsidRDefault="006A22CA">
      <w:pPr>
        <w:spacing w:line="240" w:lineRule="auto"/>
        <w:rPr>
          <w:lang w:val="hu-HU"/>
        </w:rPr>
      </w:pPr>
    </w:p>
    <w:p w14:paraId="33E7EC29" w14:textId="77777777" w:rsidR="006A22CA" w:rsidRDefault="00BA2766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Vimetso 50 mg/1000 mg filmtabletta</w:t>
      </w:r>
    </w:p>
    <w:p w14:paraId="635BB15E" w14:textId="77777777" w:rsidR="006A22CA" w:rsidRDefault="00BA2766">
      <w:pPr>
        <w:tabs>
          <w:tab w:val="clear" w:pos="567"/>
          <w:tab w:val="left" w:pos="0"/>
        </w:tabs>
        <w:spacing w:line="240" w:lineRule="auto"/>
        <w:rPr>
          <w:lang w:val="hu-HU"/>
        </w:rPr>
      </w:pPr>
      <w:r>
        <w:rPr>
          <w:bCs/>
          <w:lang w:val="hu-HU"/>
        </w:rPr>
        <w:t>Sárgásbarna, ovális alakú, mindkét oldalán domború filmtabletta, az egyik oldalán „V2” jelöléssel ellátva. A filmtabletta mérete: megközelítőleg 21 mm × 11 mm.</w:t>
      </w:r>
    </w:p>
    <w:p w14:paraId="4FB04022" w14:textId="77777777" w:rsidR="006A22CA" w:rsidRDefault="006A22CA">
      <w:pPr>
        <w:spacing w:line="240" w:lineRule="auto"/>
        <w:rPr>
          <w:lang w:val="hu-HU"/>
        </w:rPr>
      </w:pPr>
    </w:p>
    <w:p w14:paraId="37994227" w14:textId="77777777" w:rsidR="006A22CA" w:rsidRDefault="006A22CA">
      <w:pPr>
        <w:spacing w:line="240" w:lineRule="auto"/>
        <w:rPr>
          <w:lang w:val="hu-HU"/>
        </w:rPr>
      </w:pPr>
    </w:p>
    <w:p w14:paraId="0D8B97EE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>KLINIKAI JELLEMZŐK</w:t>
      </w:r>
    </w:p>
    <w:p w14:paraId="3F503D0F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44339C0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4.1</w:t>
      </w:r>
      <w:r>
        <w:rPr>
          <w:b/>
          <w:bCs/>
          <w:lang w:val="hu-HU"/>
        </w:rPr>
        <w:tab/>
        <w:t>Terápiás javallatok</w:t>
      </w:r>
    </w:p>
    <w:p w14:paraId="220B314D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26F1371" w14:textId="77777777" w:rsidR="006A22CA" w:rsidRDefault="00BA2766">
      <w:pPr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a 2-es típusú cukorbetegségben szenvedő felnőttek </w:t>
      </w:r>
      <w:proofErr w:type="spellStart"/>
      <w:r>
        <w:rPr>
          <w:lang w:val="hu-HU"/>
        </w:rPr>
        <w:t>glykaemiás</w:t>
      </w:r>
      <w:proofErr w:type="spellEnd"/>
      <w:r>
        <w:rPr>
          <w:lang w:val="hu-HU"/>
        </w:rPr>
        <w:t xml:space="preserve"> kontrolljának javítására javallott a diéta és a testmozgás kiegészítéseként:</w:t>
      </w:r>
    </w:p>
    <w:p w14:paraId="1A499FEF" w14:textId="77777777" w:rsidR="006A22CA" w:rsidRDefault="00BA2766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 xml:space="preserve">Olyan betegeknél, akiknél a </w:t>
      </w:r>
      <w:proofErr w:type="spellStart"/>
      <w:r>
        <w:rPr>
          <w:lang w:val="hu-HU"/>
        </w:rPr>
        <w:t>monoterápiában</w:t>
      </w:r>
      <w:proofErr w:type="spellEnd"/>
      <w:r>
        <w:rPr>
          <w:lang w:val="hu-HU"/>
        </w:rPr>
        <w:t xml:space="preserve"> alkalmazott </w:t>
      </w:r>
      <w:proofErr w:type="spellStart"/>
      <w:r>
        <w:rPr>
          <w:lang w:val="hu-HU"/>
        </w:rPr>
        <w:t>metformin-hidroklorid</w:t>
      </w:r>
      <w:proofErr w:type="spellEnd"/>
      <w:r>
        <w:rPr>
          <w:lang w:val="hu-HU"/>
        </w:rPr>
        <w:t xml:space="preserve"> nem biztosít megfelelő kontrollt.</w:t>
      </w:r>
    </w:p>
    <w:p w14:paraId="15894B0D" w14:textId="77777777" w:rsidR="006A22CA" w:rsidRDefault="00BA2766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 xml:space="preserve">Olyan betegeknél, akiket már különálló tablettákban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metformin-hidroklorid</w:t>
      </w:r>
      <w:proofErr w:type="spellEnd"/>
      <w:r>
        <w:rPr>
          <w:lang w:val="hu-HU"/>
        </w:rPr>
        <w:t xml:space="preserve"> kombinációval kezelnek.</w:t>
      </w:r>
    </w:p>
    <w:p w14:paraId="4F10E02D" w14:textId="77777777" w:rsidR="006A22CA" w:rsidRDefault="00BA2766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>
        <w:rPr>
          <w:lang w:val="hu-HU"/>
        </w:rPr>
        <w:t xml:space="preserve">Más gyógyszerekkel, köztük inzulinnal kombinálva a cukorbetegség kezelésére abban az esetben, ha ezek az egyéb gyógyszerek nem biztosítanak megfelelő </w:t>
      </w:r>
      <w:proofErr w:type="spellStart"/>
      <w:r>
        <w:rPr>
          <w:lang w:val="hu-HU"/>
        </w:rPr>
        <w:t>glykaemiás</w:t>
      </w:r>
      <w:proofErr w:type="spellEnd"/>
      <w:r>
        <w:rPr>
          <w:lang w:val="hu-HU"/>
        </w:rPr>
        <w:t xml:space="preserve"> kontrollt (a különböző kombinációkkal rendelkezésre álló adatokat lásd a 4.4, 4.5 és 5.1 pontokban).</w:t>
      </w:r>
    </w:p>
    <w:p w14:paraId="55750FDD" w14:textId="77777777" w:rsidR="006A22CA" w:rsidRDefault="006A22CA">
      <w:pPr>
        <w:spacing w:line="240" w:lineRule="auto"/>
        <w:ind w:left="567" w:hanging="567"/>
        <w:rPr>
          <w:lang w:val="hu-HU"/>
        </w:rPr>
      </w:pPr>
    </w:p>
    <w:p w14:paraId="06EE723F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4.2</w:t>
      </w:r>
      <w:r>
        <w:rPr>
          <w:b/>
          <w:bCs/>
          <w:lang w:val="hu-HU"/>
        </w:rPr>
        <w:tab/>
        <w:t>Adagolás és alkalmazás</w:t>
      </w:r>
    </w:p>
    <w:p w14:paraId="04A19004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451E949D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Adagolás</w:t>
      </w:r>
    </w:p>
    <w:p w14:paraId="4138167D" w14:textId="77777777" w:rsidR="006A22CA" w:rsidRDefault="006A22CA">
      <w:pPr>
        <w:pStyle w:val="Nincstrkz"/>
        <w:rPr>
          <w:i/>
          <w:iCs/>
          <w:lang w:val="hu-HU"/>
        </w:rPr>
      </w:pPr>
    </w:p>
    <w:p w14:paraId="1FC38FE1" w14:textId="77777777" w:rsidR="006A22CA" w:rsidRDefault="00BA2766">
      <w:pPr>
        <w:pStyle w:val="Nincstrkz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Normál veseműködésű felnőttek (GFR ≥ 90 ml/perc)</w:t>
      </w:r>
    </w:p>
    <w:p w14:paraId="2C7375BE" w14:textId="77777777" w:rsidR="006A22CA" w:rsidRDefault="00BA2766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Vimetso-val</w:t>
      </w:r>
      <w:proofErr w:type="spellEnd"/>
      <w:r>
        <w:rPr>
          <w:iCs/>
          <w:lang w:val="hu-HU"/>
        </w:rPr>
        <w:t xml:space="preserve"> végzett </w:t>
      </w:r>
      <w:proofErr w:type="spellStart"/>
      <w:r>
        <w:rPr>
          <w:iCs/>
          <w:lang w:val="hu-HU"/>
        </w:rPr>
        <w:t>antihyperglykaemiás</w:t>
      </w:r>
      <w:proofErr w:type="spellEnd"/>
      <w:r>
        <w:rPr>
          <w:iCs/>
          <w:lang w:val="hu-HU"/>
        </w:rPr>
        <w:t xml:space="preserve"> kezelés dózisát a beteg aktuális kezelési rendje, a gyógyszer hatásossága és </w:t>
      </w:r>
      <w:proofErr w:type="spellStart"/>
      <w:r>
        <w:rPr>
          <w:iCs/>
          <w:lang w:val="hu-HU"/>
        </w:rPr>
        <w:t>tolerabilitása</w:t>
      </w:r>
      <w:proofErr w:type="spellEnd"/>
      <w:r>
        <w:rPr>
          <w:iCs/>
          <w:lang w:val="hu-HU"/>
        </w:rPr>
        <w:t xml:space="preserve"> alapján egyénileg kell beállítani, úgy, hogy eközben a </w:t>
      </w:r>
      <w:proofErr w:type="spellStart"/>
      <w:r>
        <w:rPr>
          <w:iCs/>
          <w:lang w:val="hu-HU"/>
        </w:rPr>
        <w:t>vildagliptin</w:t>
      </w:r>
      <w:proofErr w:type="spellEnd"/>
      <w:r>
        <w:rPr>
          <w:iCs/>
          <w:lang w:val="hu-HU"/>
        </w:rPr>
        <w:t xml:space="preserve"> dózisa ne haladja meg a javasolt 100 mg-os maximális napi dózist. 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adagolása vagy az 50 mg/850 mg-os vagy az 50 mg/1000 mg-os hatáserősségű tablettával kezdhető el, naponta kétszer adva, az egyik tabletta reggel és a másik este.</w:t>
      </w:r>
    </w:p>
    <w:p w14:paraId="6478CD0B" w14:textId="77777777" w:rsidR="006A22CA" w:rsidRDefault="006A22CA">
      <w:pPr>
        <w:pStyle w:val="Nincstrkz"/>
        <w:rPr>
          <w:iCs/>
          <w:lang w:val="hu-HU"/>
        </w:rPr>
      </w:pPr>
    </w:p>
    <w:p w14:paraId="095F02BB" w14:textId="77777777" w:rsidR="006A22CA" w:rsidRDefault="00BA2766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metformin-monoterápia</w:t>
      </w:r>
      <w:proofErr w:type="spellEnd"/>
      <w:r>
        <w:rPr>
          <w:iCs/>
          <w:lang w:val="hu-HU"/>
        </w:rPr>
        <w:t xml:space="preserve"> maximális tolerált dózisával nem megfelelően kontrollált betegek:</w:t>
      </w:r>
    </w:p>
    <w:p w14:paraId="1CF86A58" w14:textId="77777777" w:rsidR="006A22CA" w:rsidRDefault="00BA2766">
      <w:pPr>
        <w:pStyle w:val="Nincstrkz"/>
        <w:ind w:left="567"/>
        <w:rPr>
          <w:iCs/>
          <w:lang w:val="hu-HU"/>
        </w:rPr>
      </w:pPr>
      <w:r>
        <w:rPr>
          <w:iCs/>
          <w:lang w:val="hu-HU"/>
        </w:rPr>
        <w:lastRenderedPageBreak/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kezdő dózisának naponta kétszer 50 mg </w:t>
      </w:r>
      <w:proofErr w:type="spellStart"/>
      <w:r>
        <w:rPr>
          <w:iCs/>
          <w:lang w:val="hu-HU"/>
        </w:rPr>
        <w:t>vildagliptint</w:t>
      </w:r>
      <w:proofErr w:type="spellEnd"/>
      <w:r>
        <w:rPr>
          <w:iCs/>
          <w:lang w:val="hu-HU"/>
        </w:rPr>
        <w:t xml:space="preserve"> (100 mg teljes napi dózist), plusz a már szedett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dózist kell biztosítania.</w:t>
      </w:r>
    </w:p>
    <w:p w14:paraId="01148478" w14:textId="77777777" w:rsidR="006A22CA" w:rsidRDefault="006A22CA">
      <w:pPr>
        <w:pStyle w:val="Nincstrkz"/>
        <w:rPr>
          <w:iCs/>
          <w:lang w:val="hu-HU"/>
        </w:rPr>
      </w:pPr>
    </w:p>
    <w:p w14:paraId="0B2AA28C" w14:textId="77777777" w:rsidR="006A22CA" w:rsidRDefault="00BA2766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>
        <w:rPr>
          <w:iCs/>
          <w:lang w:val="hu-HU"/>
        </w:rPr>
        <w:t xml:space="preserve">A külön adott </w:t>
      </w:r>
      <w:proofErr w:type="spellStart"/>
      <w:r>
        <w:rPr>
          <w:iCs/>
          <w:lang w:val="hu-HU"/>
        </w:rPr>
        <w:t>vildagliptin</w:t>
      </w:r>
      <w:proofErr w:type="spellEnd"/>
      <w:r>
        <w:rPr>
          <w:iCs/>
          <w:lang w:val="hu-HU"/>
        </w:rPr>
        <w:t xml:space="preserve"> és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tablettákról átállított betegek:</w:t>
      </w:r>
    </w:p>
    <w:p w14:paraId="7DAA9C1D" w14:textId="77777777" w:rsidR="006A22CA" w:rsidRDefault="00BA2766">
      <w:pPr>
        <w:pStyle w:val="Nincstrkz"/>
        <w:ind w:left="567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-t a már szedett </w:t>
      </w:r>
      <w:proofErr w:type="spellStart"/>
      <w:r>
        <w:rPr>
          <w:iCs/>
          <w:lang w:val="hu-HU"/>
        </w:rPr>
        <w:t>vildagliptin</w:t>
      </w:r>
      <w:proofErr w:type="spellEnd"/>
      <w:r>
        <w:rPr>
          <w:iCs/>
          <w:lang w:val="hu-HU"/>
        </w:rPr>
        <w:t xml:space="preserve"> és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dózisban kell elkezdeni.</w:t>
      </w:r>
    </w:p>
    <w:p w14:paraId="15340647" w14:textId="77777777" w:rsidR="006A22CA" w:rsidRDefault="006A22CA">
      <w:pPr>
        <w:pStyle w:val="Nincstrkz"/>
        <w:rPr>
          <w:iCs/>
          <w:lang w:val="hu-HU"/>
        </w:rPr>
      </w:pPr>
    </w:p>
    <w:p w14:paraId="07E185B9" w14:textId="77777777" w:rsidR="006A22CA" w:rsidRDefault="00BA2766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és egy </w:t>
      </w:r>
      <w:proofErr w:type="spellStart"/>
      <w:r>
        <w:rPr>
          <w:iCs/>
          <w:lang w:val="hu-HU"/>
        </w:rPr>
        <w:t>szulfonilurea</w:t>
      </w:r>
      <w:proofErr w:type="spellEnd"/>
      <w:r>
        <w:rPr>
          <w:iCs/>
          <w:lang w:val="hu-HU"/>
        </w:rPr>
        <w:t xml:space="preserve"> kettős kombinációjával nem megfelelően kontrollált betegek:</w:t>
      </w:r>
    </w:p>
    <w:p w14:paraId="71D3B8F6" w14:textId="77777777" w:rsidR="006A22CA" w:rsidRDefault="00BA2766">
      <w:pPr>
        <w:pStyle w:val="Nincstrkz"/>
        <w:ind w:left="567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dózisának naponta kétszer 50 mg </w:t>
      </w:r>
      <w:proofErr w:type="spellStart"/>
      <w:r>
        <w:rPr>
          <w:iCs/>
          <w:lang w:val="hu-HU"/>
        </w:rPr>
        <w:t>vildagliptint</w:t>
      </w:r>
      <w:proofErr w:type="spellEnd"/>
      <w:r>
        <w:rPr>
          <w:iCs/>
          <w:lang w:val="hu-HU"/>
        </w:rPr>
        <w:t xml:space="preserve"> (100 mg teljes napi dózist) és a már szedett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dózishoz hasonló dózist kell biztosítania. Ha 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-t </w:t>
      </w:r>
      <w:proofErr w:type="spellStart"/>
      <w:r>
        <w:rPr>
          <w:iCs/>
          <w:lang w:val="hu-HU"/>
        </w:rPr>
        <w:t>szulfonilureával</w:t>
      </w:r>
      <w:proofErr w:type="spellEnd"/>
      <w:r>
        <w:rPr>
          <w:iCs/>
          <w:lang w:val="hu-HU"/>
        </w:rPr>
        <w:t xml:space="preserve"> kombinációban alkalmazzák, akkor a </w:t>
      </w:r>
      <w:proofErr w:type="spellStart"/>
      <w:r>
        <w:rPr>
          <w:iCs/>
          <w:lang w:val="hu-HU"/>
        </w:rPr>
        <w:t>hypoglykaemia</w:t>
      </w:r>
      <w:proofErr w:type="spellEnd"/>
      <w:r>
        <w:rPr>
          <w:iCs/>
          <w:lang w:val="hu-HU"/>
        </w:rPr>
        <w:t xml:space="preserve"> kockázatának csökkentése érdekében a </w:t>
      </w:r>
      <w:proofErr w:type="spellStart"/>
      <w:r>
        <w:rPr>
          <w:iCs/>
          <w:lang w:val="hu-HU"/>
        </w:rPr>
        <w:t>szulfonilurea</w:t>
      </w:r>
      <w:proofErr w:type="spellEnd"/>
      <w:r>
        <w:rPr>
          <w:iCs/>
          <w:lang w:val="hu-HU"/>
        </w:rPr>
        <w:t xml:space="preserve"> kisebb dózisban történő adását kell mérlegelni.</w:t>
      </w:r>
    </w:p>
    <w:p w14:paraId="626B9C64" w14:textId="77777777" w:rsidR="006A22CA" w:rsidRDefault="006A22CA">
      <w:pPr>
        <w:pStyle w:val="Nincstrkz"/>
        <w:rPr>
          <w:iCs/>
          <w:lang w:val="hu-HU"/>
        </w:rPr>
      </w:pPr>
    </w:p>
    <w:p w14:paraId="555B9F3D" w14:textId="77777777" w:rsidR="006A22CA" w:rsidRDefault="00BA2766">
      <w:pPr>
        <w:pStyle w:val="Nincstrkz"/>
        <w:numPr>
          <w:ilvl w:val="0"/>
          <w:numId w:val="20"/>
        </w:numPr>
        <w:ind w:left="567" w:hanging="567"/>
        <w:rPr>
          <w:iCs/>
          <w:lang w:val="hu-HU"/>
        </w:rPr>
      </w:pPr>
      <w:r>
        <w:rPr>
          <w:iCs/>
          <w:lang w:val="hu-HU"/>
        </w:rPr>
        <w:t xml:space="preserve">Inzulin és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maximális tolerált dózisának kettős kombinációjával nem megfelelően kontrollált betegek:</w:t>
      </w:r>
    </w:p>
    <w:p w14:paraId="36F8CB1E" w14:textId="77777777" w:rsidR="006A22CA" w:rsidRDefault="00BA2766">
      <w:pPr>
        <w:pStyle w:val="Nincstrkz"/>
        <w:ind w:left="567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dózisának naponta kétszer 50 mg </w:t>
      </w:r>
      <w:proofErr w:type="spellStart"/>
      <w:r>
        <w:rPr>
          <w:iCs/>
          <w:lang w:val="hu-HU"/>
        </w:rPr>
        <w:t>vildagliptint</w:t>
      </w:r>
      <w:proofErr w:type="spellEnd"/>
      <w:r>
        <w:rPr>
          <w:iCs/>
          <w:lang w:val="hu-HU"/>
        </w:rPr>
        <w:t xml:space="preserve"> (100 mg teljes napi dózist) és a már szedett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dózishoz hasonló dózist kell biztosítania.</w:t>
      </w:r>
    </w:p>
    <w:p w14:paraId="0194FD38" w14:textId="77777777" w:rsidR="006A22CA" w:rsidRDefault="006A22CA">
      <w:pPr>
        <w:pStyle w:val="Nincstrkz"/>
        <w:rPr>
          <w:iCs/>
          <w:lang w:val="hu-HU"/>
        </w:rPr>
      </w:pPr>
    </w:p>
    <w:p w14:paraId="4BC2ED1D" w14:textId="77777777" w:rsidR="006A22CA" w:rsidRDefault="00BA2766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vildagliptin</w:t>
      </w:r>
      <w:proofErr w:type="spellEnd"/>
      <w:r>
        <w:rPr>
          <w:iCs/>
          <w:lang w:val="hu-HU"/>
        </w:rPr>
        <w:t xml:space="preserve"> és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biztonságosságát és hatásosságát </w:t>
      </w:r>
      <w:proofErr w:type="spellStart"/>
      <w:r>
        <w:rPr>
          <w:iCs/>
          <w:lang w:val="hu-HU"/>
        </w:rPr>
        <w:t>tiazolidindiont</w:t>
      </w:r>
      <w:proofErr w:type="spellEnd"/>
      <w:r>
        <w:rPr>
          <w:iCs/>
          <w:lang w:val="hu-HU"/>
        </w:rPr>
        <w:t xml:space="preserve"> is tartalmazó hármas, orális kombinációban nem igazolták.</w:t>
      </w:r>
    </w:p>
    <w:p w14:paraId="100F4BFA" w14:textId="77777777" w:rsidR="006A22CA" w:rsidRDefault="006A22CA">
      <w:pPr>
        <w:pStyle w:val="Nincstrkz"/>
        <w:rPr>
          <w:iCs/>
          <w:lang w:val="hu-HU"/>
        </w:rPr>
      </w:pPr>
    </w:p>
    <w:p w14:paraId="35E27DFA" w14:textId="77777777" w:rsidR="006A22CA" w:rsidRDefault="00BA2766">
      <w:pPr>
        <w:pStyle w:val="Nincstrkz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Különleges betegcsoportok</w:t>
      </w:r>
    </w:p>
    <w:p w14:paraId="4D07B696" w14:textId="77777777" w:rsidR="006A22CA" w:rsidRDefault="00BA2766">
      <w:pPr>
        <w:pStyle w:val="Nincstrkz"/>
        <w:rPr>
          <w:i/>
          <w:iCs/>
          <w:lang w:val="hu-HU"/>
        </w:rPr>
      </w:pPr>
      <w:r>
        <w:rPr>
          <w:i/>
          <w:iCs/>
          <w:lang w:val="hu-HU"/>
        </w:rPr>
        <w:t>Idősek (≥ 65 év)</w:t>
      </w:r>
    </w:p>
    <w:p w14:paraId="3BF47F5F" w14:textId="77777777" w:rsidR="006A22CA" w:rsidRDefault="00BA2766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Mivel a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a vesén keresztül </w:t>
      </w:r>
      <w:proofErr w:type="spellStart"/>
      <w:r>
        <w:rPr>
          <w:iCs/>
          <w:lang w:val="hu-HU"/>
        </w:rPr>
        <w:t>választódik</w:t>
      </w:r>
      <w:proofErr w:type="spellEnd"/>
      <w:r>
        <w:rPr>
          <w:iCs/>
          <w:lang w:val="hu-HU"/>
        </w:rPr>
        <w:t xml:space="preserve"> ki, és az időseknél nagyobb arányban fordul elő a vesekárosodás, 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>-t szedő idősek veseműködését rendszeresen ellenőrizni kell (lásd 4.4 és 5.2 pont).</w:t>
      </w:r>
    </w:p>
    <w:p w14:paraId="2DC7220D" w14:textId="77777777" w:rsidR="006A22CA" w:rsidRDefault="006A22CA">
      <w:pPr>
        <w:pStyle w:val="Nincstrkz"/>
        <w:rPr>
          <w:iCs/>
          <w:lang w:val="hu-HU"/>
        </w:rPr>
      </w:pPr>
    </w:p>
    <w:p w14:paraId="4B720B96" w14:textId="77777777" w:rsidR="006A22CA" w:rsidRDefault="00BA2766">
      <w:pPr>
        <w:pStyle w:val="Nincstrkz"/>
        <w:rPr>
          <w:i/>
          <w:iCs/>
          <w:lang w:val="hu-HU"/>
        </w:rPr>
      </w:pPr>
      <w:r>
        <w:rPr>
          <w:i/>
          <w:iCs/>
          <w:lang w:val="hu-HU"/>
        </w:rPr>
        <w:t>Vesekárosodás</w:t>
      </w:r>
    </w:p>
    <w:p w14:paraId="7133628A" w14:textId="77777777" w:rsidR="006A22CA" w:rsidRDefault="00BA2766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 GFR értékét a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>-tartalmú készítménnyel folytatott kezelés megkezdése előtt és a kezelés során legalább évente ellenőrizni kell. A vesekárosodás további romlása szempontjából fokozott kockázatnak kitett betegeknél és időseknél a veseműködés gyakoribb, például 3-6 havonta történő ellenőrzése szükséges.</w:t>
      </w:r>
    </w:p>
    <w:p w14:paraId="5B583B4C" w14:textId="77777777" w:rsidR="006A22CA" w:rsidRDefault="006A22CA">
      <w:pPr>
        <w:pStyle w:val="Nincstrkz"/>
        <w:rPr>
          <w:iCs/>
          <w:lang w:val="hu-HU"/>
        </w:rPr>
      </w:pPr>
    </w:p>
    <w:p w14:paraId="62E7B37D" w14:textId="77777777" w:rsidR="006A22CA" w:rsidRDefault="00BA2766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 xml:space="preserve"> maximális napi dózisát lehetőleg naponta 2-3 részre kell elosztani. Azon betegeknél, akiknél a GFR </w:t>
      </w:r>
      <w:proofErr w:type="gramStart"/>
      <w:r>
        <w:rPr>
          <w:iCs/>
          <w:lang w:val="hu-HU"/>
        </w:rPr>
        <w:t>&lt; 60</w:t>
      </w:r>
      <w:proofErr w:type="gramEnd"/>
      <w:r>
        <w:rPr>
          <w:iCs/>
          <w:lang w:val="hu-HU"/>
        </w:rPr>
        <w:t xml:space="preserve"> ml/perc, a </w:t>
      </w:r>
      <w:proofErr w:type="spellStart"/>
      <w:r>
        <w:rPr>
          <w:iCs/>
          <w:lang w:val="hu-HU"/>
        </w:rPr>
        <w:t>laktátacidózis</w:t>
      </w:r>
      <w:proofErr w:type="spellEnd"/>
      <w:r>
        <w:rPr>
          <w:iCs/>
          <w:lang w:val="hu-HU"/>
        </w:rPr>
        <w:t xml:space="preserve"> kockázatát esetlegesen növelő faktorokat (lásd 4.4 pont) figyelembe kell venni, mielőtt megfontolják a </w:t>
      </w:r>
      <w:proofErr w:type="spellStart"/>
      <w:r>
        <w:rPr>
          <w:iCs/>
          <w:lang w:val="hu-HU"/>
        </w:rPr>
        <w:t>metformin</w:t>
      </w:r>
      <w:proofErr w:type="spellEnd"/>
      <w:r>
        <w:rPr>
          <w:iCs/>
          <w:lang w:val="hu-HU"/>
        </w:rPr>
        <w:t>-kezelést.</w:t>
      </w:r>
    </w:p>
    <w:p w14:paraId="6DDDBD4A" w14:textId="77777777" w:rsidR="006A22CA" w:rsidRDefault="006A22CA">
      <w:pPr>
        <w:pStyle w:val="Nincstrkz"/>
        <w:rPr>
          <w:iCs/>
          <w:lang w:val="hu-HU"/>
        </w:rPr>
      </w:pPr>
    </w:p>
    <w:p w14:paraId="6EB3BBE3" w14:textId="77777777" w:rsidR="006A22CA" w:rsidRDefault="00BA2766">
      <w:pPr>
        <w:pStyle w:val="Nincstrkz"/>
        <w:rPr>
          <w:iCs/>
          <w:lang w:val="hu-HU"/>
        </w:rPr>
      </w:pPr>
      <w:r>
        <w:rPr>
          <w:iCs/>
          <w:lang w:val="hu-HU"/>
        </w:rPr>
        <w:t xml:space="preserve">Amennyiben nem áll rendelkezésre 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megfelelő hatáserősségű formája, a fix dózisú kombináció helyett az egyedi </w:t>
      </w:r>
      <w:proofErr w:type="spellStart"/>
      <w:r>
        <w:rPr>
          <w:iCs/>
          <w:lang w:val="hu-HU"/>
        </w:rPr>
        <w:t>monokomponenseket</w:t>
      </w:r>
      <w:proofErr w:type="spellEnd"/>
      <w:r>
        <w:rPr>
          <w:iCs/>
          <w:lang w:val="hu-HU"/>
        </w:rPr>
        <w:t xml:space="preserve"> kell alkalmazni.</w:t>
      </w:r>
    </w:p>
    <w:p w14:paraId="003BE4FC" w14:textId="77777777" w:rsidR="006A22CA" w:rsidRDefault="006A22CA">
      <w:pPr>
        <w:pStyle w:val="Nincstrkz"/>
        <w:rPr>
          <w:iCs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3675"/>
        <w:gridCol w:w="3689"/>
      </w:tblGrid>
      <w:tr w:rsidR="006A22CA" w14:paraId="357EA568" w14:textId="77777777">
        <w:trPr>
          <w:trHeight w:val="455"/>
        </w:trPr>
        <w:tc>
          <w:tcPr>
            <w:tcW w:w="1696" w:type="dxa"/>
          </w:tcPr>
          <w:p w14:paraId="14CC5238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GFR ml/perc</w:t>
            </w:r>
          </w:p>
        </w:tc>
        <w:tc>
          <w:tcPr>
            <w:tcW w:w="3675" w:type="dxa"/>
          </w:tcPr>
          <w:p w14:paraId="7D7AEA6F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spellStart"/>
            <w:r>
              <w:rPr>
                <w:lang w:val="hu-HU"/>
              </w:rPr>
              <w:t>Metformin</w:t>
            </w:r>
            <w:proofErr w:type="spellEnd"/>
          </w:p>
        </w:tc>
        <w:tc>
          <w:tcPr>
            <w:tcW w:w="3689" w:type="dxa"/>
          </w:tcPr>
          <w:p w14:paraId="6F80A674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proofErr w:type="spellStart"/>
            <w:r>
              <w:rPr>
                <w:lang w:val="hu-HU"/>
              </w:rPr>
              <w:t>Vildagliptin</w:t>
            </w:r>
            <w:proofErr w:type="spellEnd"/>
          </w:p>
        </w:tc>
      </w:tr>
      <w:tr w:rsidR="006A22CA" w14:paraId="5D448580" w14:textId="77777777">
        <w:tc>
          <w:tcPr>
            <w:tcW w:w="1696" w:type="dxa"/>
          </w:tcPr>
          <w:p w14:paraId="569C4499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60-89</w:t>
            </w:r>
          </w:p>
        </w:tc>
        <w:tc>
          <w:tcPr>
            <w:tcW w:w="3675" w:type="dxa"/>
          </w:tcPr>
          <w:p w14:paraId="440075CD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maximális napi dózis 3000 mg.</w:t>
            </w:r>
          </w:p>
          <w:p w14:paraId="60B4199B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vesekárosodást figyelembe véve megfontolandó a dózis csökkentése.</w:t>
            </w:r>
          </w:p>
        </w:tc>
        <w:tc>
          <w:tcPr>
            <w:tcW w:w="3689" w:type="dxa"/>
          </w:tcPr>
          <w:p w14:paraId="78472ADE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Nincs szükség a dózis módosítására.</w:t>
            </w:r>
          </w:p>
        </w:tc>
      </w:tr>
      <w:tr w:rsidR="006A22CA" w14:paraId="7A7107E0" w14:textId="77777777">
        <w:trPr>
          <w:trHeight w:val="916"/>
        </w:trPr>
        <w:tc>
          <w:tcPr>
            <w:tcW w:w="1696" w:type="dxa"/>
          </w:tcPr>
          <w:p w14:paraId="28C26D46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45-59</w:t>
            </w:r>
          </w:p>
        </w:tc>
        <w:tc>
          <w:tcPr>
            <w:tcW w:w="3675" w:type="dxa"/>
          </w:tcPr>
          <w:p w14:paraId="45E6CDE0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maximális napi dózis 2000 mg.</w:t>
            </w:r>
          </w:p>
          <w:p w14:paraId="4274F419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kezdő dózis legfeljebb a maximális dózis fele.</w:t>
            </w:r>
          </w:p>
        </w:tc>
        <w:tc>
          <w:tcPr>
            <w:tcW w:w="3689" w:type="dxa"/>
            <w:vMerge w:val="restart"/>
          </w:tcPr>
          <w:p w14:paraId="1BC5483D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maximális napi dózis 50 mg.</w:t>
            </w:r>
          </w:p>
        </w:tc>
      </w:tr>
      <w:tr w:rsidR="006A22CA" w14:paraId="736F129D" w14:textId="77777777">
        <w:trPr>
          <w:trHeight w:val="47"/>
        </w:trPr>
        <w:tc>
          <w:tcPr>
            <w:tcW w:w="1696" w:type="dxa"/>
          </w:tcPr>
          <w:p w14:paraId="5D4813A9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30-44</w:t>
            </w:r>
          </w:p>
        </w:tc>
        <w:tc>
          <w:tcPr>
            <w:tcW w:w="3675" w:type="dxa"/>
          </w:tcPr>
          <w:p w14:paraId="31271AD4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maximális napi dózis 1000 mg.</w:t>
            </w:r>
          </w:p>
          <w:p w14:paraId="443D0817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A kezdő dózis legfeljebb a maximális dózis fele.</w:t>
            </w:r>
          </w:p>
        </w:tc>
        <w:tc>
          <w:tcPr>
            <w:tcW w:w="3689" w:type="dxa"/>
            <w:vMerge/>
          </w:tcPr>
          <w:p w14:paraId="746C225C" w14:textId="77777777" w:rsidR="006A22CA" w:rsidRDefault="006A22CA">
            <w:pPr>
              <w:autoSpaceDE w:val="0"/>
              <w:autoSpaceDN w:val="0"/>
              <w:adjustRightInd w:val="0"/>
              <w:rPr>
                <w:lang w:val="hu-HU"/>
              </w:rPr>
            </w:pPr>
          </w:p>
        </w:tc>
      </w:tr>
      <w:tr w:rsidR="006A22CA" w14:paraId="670D3599" w14:textId="77777777">
        <w:trPr>
          <w:trHeight w:val="47"/>
        </w:trPr>
        <w:tc>
          <w:tcPr>
            <w:tcW w:w="1696" w:type="dxa"/>
          </w:tcPr>
          <w:p w14:paraId="072A0028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>&lt;30</w:t>
            </w:r>
          </w:p>
        </w:tc>
        <w:tc>
          <w:tcPr>
            <w:tcW w:w="3675" w:type="dxa"/>
          </w:tcPr>
          <w:p w14:paraId="7154C064" w14:textId="77777777" w:rsidR="006A22CA" w:rsidRDefault="00BA2766">
            <w:pPr>
              <w:autoSpaceDE w:val="0"/>
              <w:autoSpaceDN w:val="0"/>
              <w:adjustRightInd w:val="0"/>
              <w:rPr>
                <w:lang w:val="hu-HU"/>
              </w:rPr>
            </w:pPr>
            <w:r>
              <w:rPr>
                <w:lang w:val="hu-HU"/>
              </w:rPr>
              <w:t xml:space="preserve">A </w:t>
            </w:r>
            <w:proofErr w:type="spellStart"/>
            <w:r>
              <w:rPr>
                <w:lang w:val="hu-HU"/>
              </w:rPr>
              <w:t>metformin</w:t>
            </w:r>
            <w:proofErr w:type="spellEnd"/>
            <w:r>
              <w:rPr>
                <w:lang w:val="hu-HU"/>
              </w:rPr>
              <w:t xml:space="preserve"> ellenjavallt.</w:t>
            </w:r>
          </w:p>
        </w:tc>
        <w:tc>
          <w:tcPr>
            <w:tcW w:w="3689" w:type="dxa"/>
            <w:vMerge/>
          </w:tcPr>
          <w:p w14:paraId="5B65AF91" w14:textId="77777777" w:rsidR="006A22CA" w:rsidRDefault="006A22CA">
            <w:pPr>
              <w:autoSpaceDE w:val="0"/>
              <w:autoSpaceDN w:val="0"/>
              <w:adjustRightInd w:val="0"/>
              <w:rPr>
                <w:lang w:val="hu-HU"/>
              </w:rPr>
            </w:pPr>
          </w:p>
        </w:tc>
      </w:tr>
    </w:tbl>
    <w:p w14:paraId="00CE2C51" w14:textId="77777777" w:rsidR="006A22CA" w:rsidRDefault="006A22CA">
      <w:pPr>
        <w:autoSpaceDE w:val="0"/>
        <w:autoSpaceDN w:val="0"/>
        <w:adjustRightInd w:val="0"/>
        <w:rPr>
          <w:lang w:val="hu-HU"/>
        </w:rPr>
      </w:pPr>
    </w:p>
    <w:p w14:paraId="0086CAF7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i/>
          <w:lang w:val="hu-HU"/>
        </w:rPr>
      </w:pPr>
      <w:r>
        <w:rPr>
          <w:i/>
          <w:lang w:val="hu-HU"/>
        </w:rPr>
        <w:t>Májkárosodás</w:t>
      </w:r>
    </w:p>
    <w:p w14:paraId="4E25074D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lang w:val="hu-HU"/>
        </w:rPr>
        <w:t xml:space="preserve">-t nem szabad májkárosodásban szenvedő betegeknél alkalmazni, beleértve azokat a betegeket is, akiknél a kezelés előtt a </w:t>
      </w:r>
      <w:proofErr w:type="spellStart"/>
      <w:r>
        <w:rPr>
          <w:lang w:val="hu-HU"/>
        </w:rPr>
        <w:t>glutamát-piruvát-transzamináz</w:t>
      </w:r>
      <w:proofErr w:type="spellEnd"/>
      <w:r>
        <w:rPr>
          <w:lang w:val="hu-HU"/>
        </w:rPr>
        <w:t xml:space="preserve"> (GPT [ALAT]) vagy a </w:t>
      </w:r>
      <w:proofErr w:type="spellStart"/>
      <w:r>
        <w:rPr>
          <w:lang w:val="hu-HU"/>
        </w:rPr>
        <w:t>glutamát</w:t>
      </w:r>
      <w:proofErr w:type="spellEnd"/>
      <w:r>
        <w:rPr>
          <w:lang w:val="hu-HU"/>
        </w:rPr>
        <w:t>-</w:t>
      </w:r>
      <w:r>
        <w:rPr>
          <w:lang w:val="hu-HU"/>
        </w:rPr>
        <w:lastRenderedPageBreak/>
        <w:t>oxálacetát-</w:t>
      </w:r>
      <w:proofErr w:type="spellStart"/>
      <w:r>
        <w:rPr>
          <w:lang w:val="hu-HU"/>
        </w:rPr>
        <w:t>transzamináz</w:t>
      </w:r>
      <w:proofErr w:type="spellEnd"/>
      <w:r>
        <w:rPr>
          <w:lang w:val="hu-HU"/>
        </w:rPr>
        <w:t xml:space="preserve"> (GOT [ASAT]) szintje meghaladja a normálérték felső határának 3-szorosát (lásd 4.3, 4.4 és 4.8 pont).</w:t>
      </w:r>
    </w:p>
    <w:p w14:paraId="7D95E255" w14:textId="77777777" w:rsidR="006A22CA" w:rsidRDefault="006A22C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7A18C1CC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i/>
          <w:noProof/>
          <w:lang w:val="hu-HU"/>
        </w:rPr>
      </w:pPr>
      <w:r>
        <w:rPr>
          <w:i/>
          <w:noProof/>
          <w:lang w:val="hu-HU"/>
        </w:rPr>
        <w:t>Gyermekek és serdülők</w:t>
      </w:r>
    </w:p>
    <w:p w14:paraId="22CFB71B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alkalmazása </w:t>
      </w:r>
      <w:r>
        <w:rPr>
          <w:noProof/>
          <w:lang w:val="hu-HU"/>
        </w:rPr>
        <w:t xml:space="preserve">nem javasolt gyermekek és 18 év alatti serdülők számára. 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</w:t>
      </w:r>
      <w:r>
        <w:rPr>
          <w:noProof/>
          <w:lang w:val="hu-HU"/>
        </w:rPr>
        <w:t>biztonságosságát és hatásosságát gyermekek és 18 év alatti serdülők esetében nem igazolták. Ebben a korosztályban nincsenek rendelkezésre álló adatok.</w:t>
      </w:r>
    </w:p>
    <w:p w14:paraId="15B0545D" w14:textId="77777777" w:rsidR="006A22CA" w:rsidRDefault="006A22C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28A12730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Az alkalmazás módja</w:t>
      </w:r>
    </w:p>
    <w:p w14:paraId="49692724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>Szájon át történő alkalmazásra.</w:t>
      </w:r>
    </w:p>
    <w:p w14:paraId="620F6D96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noProof/>
          <w:lang w:val="hu-HU"/>
        </w:rPr>
      </w:pPr>
      <w:r>
        <w:rPr>
          <w:noProof/>
          <w:lang w:val="hu-HU"/>
        </w:rPr>
        <w:t xml:space="preserve">A </w:t>
      </w:r>
      <w:proofErr w:type="spellStart"/>
      <w:r>
        <w:rPr>
          <w:iCs/>
          <w:lang w:val="hu-HU"/>
        </w:rPr>
        <w:t>Vimetso</w:t>
      </w:r>
      <w:proofErr w:type="spellEnd"/>
      <w:r>
        <w:rPr>
          <w:iCs/>
          <w:lang w:val="hu-HU"/>
        </w:rPr>
        <w:t xml:space="preserve"> </w:t>
      </w:r>
      <w:r>
        <w:rPr>
          <w:noProof/>
          <w:lang w:val="hu-HU"/>
        </w:rPr>
        <w:t xml:space="preserve">étkezés közben történő vagy közvetlenül az étkezést követő bevétele csökkentheti a metforminnal összefüggő emésztőrendszeri tüneteket (lásd még 5.2 pont). </w:t>
      </w:r>
    </w:p>
    <w:p w14:paraId="04EC07B6" w14:textId="77777777" w:rsidR="006A22CA" w:rsidRDefault="006A22CA">
      <w:pPr>
        <w:spacing w:line="240" w:lineRule="auto"/>
        <w:ind w:left="567" w:hanging="567"/>
        <w:outlineLvl w:val="0"/>
        <w:rPr>
          <w:noProof/>
          <w:lang w:val="hu-HU"/>
        </w:rPr>
      </w:pPr>
    </w:p>
    <w:p w14:paraId="6DF07A07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4.3</w:t>
      </w:r>
      <w:r>
        <w:rPr>
          <w:b/>
          <w:bCs/>
          <w:lang w:val="hu-HU"/>
        </w:rPr>
        <w:tab/>
        <w:t>Ellenjavallatok</w:t>
      </w:r>
    </w:p>
    <w:p w14:paraId="3D863F20" w14:textId="77777777" w:rsidR="006A22CA" w:rsidRDefault="006A22CA">
      <w:pPr>
        <w:spacing w:line="240" w:lineRule="auto"/>
        <w:rPr>
          <w:lang w:val="hu-HU"/>
        </w:rPr>
      </w:pPr>
    </w:p>
    <w:p w14:paraId="62308DB5" w14:textId="77777777" w:rsidR="006A22CA" w:rsidRDefault="00BA2766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>
        <w:rPr>
          <w:lang w:val="hu-HU"/>
        </w:rPr>
        <w:t>A készítmény hatóanyagaival vagy a 6.1 pontban felsorolt bármely segédanyagával szembeni túlérzékenység;</w:t>
      </w:r>
    </w:p>
    <w:p w14:paraId="7BB945D9" w14:textId="77777777" w:rsidR="006A22CA" w:rsidRDefault="00BA2766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>
        <w:rPr>
          <w:lang w:val="hu-HU"/>
        </w:rPr>
        <w:t xml:space="preserve">Az akut metabolikus acidózis bármely formája (például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, diabeteses </w:t>
      </w:r>
      <w:proofErr w:type="spellStart"/>
      <w:r>
        <w:rPr>
          <w:lang w:val="hu-HU"/>
        </w:rPr>
        <w:t>ketoacidosis</w:t>
      </w:r>
      <w:proofErr w:type="spellEnd"/>
      <w:r>
        <w:rPr>
          <w:lang w:val="hu-HU"/>
        </w:rPr>
        <w:t>);</w:t>
      </w:r>
    </w:p>
    <w:p w14:paraId="0DB981A8" w14:textId="77777777" w:rsidR="006A22CA" w:rsidRDefault="00BA2766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>
        <w:rPr>
          <w:lang w:val="hu-HU"/>
        </w:rPr>
        <w:t xml:space="preserve">Diabeteses </w:t>
      </w:r>
      <w:proofErr w:type="spellStart"/>
      <w:r>
        <w:rPr>
          <w:lang w:val="hu-HU"/>
        </w:rPr>
        <w:t>precoma</w:t>
      </w:r>
      <w:proofErr w:type="spellEnd"/>
      <w:r>
        <w:rPr>
          <w:lang w:val="hu-HU"/>
        </w:rPr>
        <w:t>;</w:t>
      </w:r>
    </w:p>
    <w:p w14:paraId="20AFCC32" w14:textId="77777777" w:rsidR="006A22CA" w:rsidRDefault="00BA2766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>
        <w:rPr>
          <w:lang w:val="hu-HU"/>
        </w:rPr>
        <w:t>Súlyos vesekárosodás (GRF </w:t>
      </w:r>
      <w:proofErr w:type="gramStart"/>
      <w:r>
        <w:rPr>
          <w:lang w:val="hu-HU"/>
        </w:rPr>
        <w:t>&lt; 30</w:t>
      </w:r>
      <w:proofErr w:type="gramEnd"/>
      <w:r>
        <w:rPr>
          <w:lang w:val="hu-HU"/>
        </w:rPr>
        <w:t xml:space="preserve"> ml/perc) (lásd 4.4 pont); </w:t>
      </w:r>
    </w:p>
    <w:p w14:paraId="13395C8E" w14:textId="77777777" w:rsidR="006A22CA" w:rsidRDefault="00BA2766">
      <w:pPr>
        <w:pStyle w:val="Listaszerbekezds"/>
        <w:numPr>
          <w:ilvl w:val="0"/>
          <w:numId w:val="20"/>
        </w:numPr>
        <w:ind w:left="567" w:hanging="567"/>
        <w:rPr>
          <w:lang w:val="hu-HU"/>
        </w:rPr>
      </w:pPr>
      <w:r>
        <w:rPr>
          <w:lang w:val="hu-HU"/>
        </w:rPr>
        <w:t>Olyan akut állapotok, amelyek megváltoztathatják a veseműködést, mint például:</w:t>
      </w:r>
    </w:p>
    <w:p w14:paraId="1AA06484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proofErr w:type="spellStart"/>
      <w:r>
        <w:rPr>
          <w:lang w:val="hu-HU"/>
        </w:rPr>
        <w:t>dehidratio</w:t>
      </w:r>
      <w:proofErr w:type="spellEnd"/>
      <w:r>
        <w:rPr>
          <w:lang w:val="hu-HU"/>
        </w:rPr>
        <w:t>,</w:t>
      </w:r>
    </w:p>
    <w:p w14:paraId="163CE6E2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>
        <w:rPr>
          <w:lang w:val="hu-HU"/>
        </w:rPr>
        <w:t xml:space="preserve">súlyos </w:t>
      </w:r>
      <w:proofErr w:type="spellStart"/>
      <w:r>
        <w:rPr>
          <w:lang w:val="hu-HU"/>
        </w:rPr>
        <w:t>infectio</w:t>
      </w:r>
      <w:proofErr w:type="spellEnd"/>
      <w:r>
        <w:rPr>
          <w:lang w:val="hu-HU"/>
        </w:rPr>
        <w:t>,</w:t>
      </w:r>
    </w:p>
    <w:p w14:paraId="39723828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>
        <w:rPr>
          <w:lang w:val="hu-HU"/>
        </w:rPr>
        <w:t>sokk,</w:t>
      </w:r>
    </w:p>
    <w:p w14:paraId="6DE11804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>
        <w:rPr>
          <w:lang w:val="hu-HU"/>
        </w:rPr>
        <w:t xml:space="preserve">jódozott kontrasztanyagok </w:t>
      </w:r>
      <w:proofErr w:type="spellStart"/>
      <w:r>
        <w:rPr>
          <w:lang w:val="hu-HU"/>
        </w:rPr>
        <w:t>intravascularis</w:t>
      </w:r>
      <w:proofErr w:type="spellEnd"/>
      <w:r>
        <w:rPr>
          <w:lang w:val="hu-HU"/>
        </w:rPr>
        <w:t xml:space="preserve"> alkalmazása (lásd 4.4 pont).</w:t>
      </w:r>
    </w:p>
    <w:p w14:paraId="6F634836" w14:textId="77777777" w:rsidR="006A22CA" w:rsidRDefault="00BA276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 xml:space="preserve">Olyan akut vagy krónikus kórképek, amelyek szöveti </w:t>
      </w:r>
      <w:proofErr w:type="spellStart"/>
      <w:r>
        <w:rPr>
          <w:lang w:val="hu-HU"/>
        </w:rPr>
        <w:t>hypoxiát</w:t>
      </w:r>
      <w:proofErr w:type="spellEnd"/>
      <w:r>
        <w:rPr>
          <w:lang w:val="hu-HU"/>
        </w:rPr>
        <w:t xml:space="preserve"> idézhetnek elő, mint például:</w:t>
      </w:r>
    </w:p>
    <w:p w14:paraId="4ED63C13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>
        <w:rPr>
          <w:lang w:val="hu-HU"/>
        </w:rPr>
        <w:t>keringési vagy légzési elégtelenség,</w:t>
      </w:r>
    </w:p>
    <w:p w14:paraId="0BCB7381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>
        <w:rPr>
          <w:lang w:val="hu-HU"/>
        </w:rPr>
        <w:t>szívinfarktus a közelmúltban,</w:t>
      </w:r>
    </w:p>
    <w:p w14:paraId="171AE419" w14:textId="77777777" w:rsidR="006A22CA" w:rsidRDefault="00BA2766">
      <w:pPr>
        <w:pStyle w:val="Listaszerbekezds"/>
        <w:numPr>
          <w:ilvl w:val="0"/>
          <w:numId w:val="20"/>
        </w:numPr>
        <w:tabs>
          <w:tab w:val="clear" w:pos="567"/>
          <w:tab w:val="left" w:pos="1134"/>
        </w:tabs>
        <w:ind w:left="1134" w:hanging="567"/>
        <w:rPr>
          <w:lang w:val="hu-HU"/>
        </w:rPr>
      </w:pPr>
      <w:r>
        <w:rPr>
          <w:lang w:val="hu-HU"/>
        </w:rPr>
        <w:t>sokk.</w:t>
      </w:r>
    </w:p>
    <w:p w14:paraId="7DAD4A73" w14:textId="77777777" w:rsidR="006A22CA" w:rsidRDefault="00BA276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Májkárosodás (lásd 4.2, 4.4 és 4.8 pont);</w:t>
      </w:r>
    </w:p>
    <w:p w14:paraId="7C0E26E5" w14:textId="77777777" w:rsidR="006A22CA" w:rsidRDefault="00BA276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Akut alkoholintoxikáció, alkoholizmus;</w:t>
      </w:r>
    </w:p>
    <w:p w14:paraId="45F7089E" w14:textId="77777777" w:rsidR="006A22CA" w:rsidRDefault="00BA2766">
      <w:pPr>
        <w:pStyle w:val="Listaszerbekezds"/>
        <w:numPr>
          <w:ilvl w:val="0"/>
          <w:numId w:val="20"/>
        </w:numPr>
        <w:ind w:left="1134" w:hanging="1134"/>
        <w:rPr>
          <w:lang w:val="hu-HU"/>
        </w:rPr>
      </w:pPr>
      <w:r>
        <w:rPr>
          <w:lang w:val="hu-HU"/>
        </w:rPr>
        <w:t>Szoptatás (lásd 4.6 pont).</w:t>
      </w:r>
    </w:p>
    <w:p w14:paraId="31125EC1" w14:textId="77777777" w:rsidR="006A22CA" w:rsidRDefault="006A22CA">
      <w:pPr>
        <w:spacing w:line="240" w:lineRule="auto"/>
        <w:rPr>
          <w:lang w:val="hu-HU"/>
        </w:rPr>
      </w:pPr>
    </w:p>
    <w:p w14:paraId="28C9E549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4.4</w:t>
      </w:r>
      <w:r>
        <w:rPr>
          <w:b/>
          <w:bCs/>
          <w:lang w:val="hu-HU"/>
        </w:rPr>
        <w:tab/>
        <w:t>Különleges figyelmeztetések és az alkalmazással kapcsolatos óvintézkedések</w:t>
      </w:r>
    </w:p>
    <w:p w14:paraId="646DECD2" w14:textId="77777777" w:rsidR="006A22CA" w:rsidRDefault="006A22CA">
      <w:pPr>
        <w:spacing w:line="240" w:lineRule="auto"/>
        <w:rPr>
          <w:lang w:val="hu-HU"/>
        </w:rPr>
      </w:pPr>
    </w:p>
    <w:p w14:paraId="6823232E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Általános megfontolások</w:t>
      </w:r>
    </w:p>
    <w:p w14:paraId="27099552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nem helyettesíti az inzulint az inzulin-kezelést igénylő betegeknél, és nem használható 1-es típusú diabeteses betegeknél.</w:t>
      </w:r>
    </w:p>
    <w:p w14:paraId="35B23D10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11DD533A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Laktátacidózis</w:t>
      </w:r>
      <w:proofErr w:type="spellEnd"/>
    </w:p>
    <w:p w14:paraId="72CE855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, amely egy nagyon ritka, de súlyos metabolikus szövődmény, leggyakrabban akut vesekárosodás, szív- és légzőszervi megbetegedésben vagy szepszisben lép fel. Akut vesekárosodás esetén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felhalmozódása következik be, ami növeli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kockázatát.</w:t>
      </w:r>
    </w:p>
    <w:p w14:paraId="77DDB643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0FA624F3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Dehidráció</w:t>
      </w:r>
      <w:proofErr w:type="spellEnd"/>
      <w:r>
        <w:rPr>
          <w:lang w:val="hu-HU"/>
        </w:rPr>
        <w:t xml:space="preserve"> (súlyos hasmenés vagy hányás, láz vagy csökkent folyadékbevitel) esetén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adagolását átmenetileg fel kell függeszteni, és ajánlott felvenni a kapcsolatot egészségügyi szakemberrel.</w:t>
      </w:r>
    </w:p>
    <w:p w14:paraId="73E43473" w14:textId="77777777" w:rsidR="006A22CA" w:rsidRDefault="006A22CA">
      <w:pPr>
        <w:spacing w:line="240" w:lineRule="auto"/>
        <w:rPr>
          <w:lang w:val="hu-HU"/>
        </w:rPr>
      </w:pPr>
    </w:p>
    <w:p w14:paraId="14BD0622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kezelt betegeknél a veseműködést esetlegesen akutan károsító gyógyszerek (például vérnyomáscsökkentők, vízhajtók és nem-szteroid gyulladáscsökkentők [NSAID-ok]) adásának megkezdésekor elővigyázatosság szükséges.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egyéb kockázati tényezői a túlzott alkoholfogyasztás, a májelégtelenség, a rosszul beállított diabetes, a </w:t>
      </w:r>
      <w:proofErr w:type="spellStart"/>
      <w:r>
        <w:rPr>
          <w:lang w:val="hu-HU"/>
        </w:rPr>
        <w:t>ketosis</w:t>
      </w:r>
      <w:proofErr w:type="spellEnd"/>
      <w:r>
        <w:rPr>
          <w:lang w:val="hu-HU"/>
        </w:rPr>
        <w:t xml:space="preserve">, a tartós éhezés és bármilyen, </w:t>
      </w:r>
      <w:proofErr w:type="spellStart"/>
      <w:r>
        <w:rPr>
          <w:lang w:val="hu-HU"/>
        </w:rPr>
        <w:t>hypoxiával</w:t>
      </w:r>
      <w:proofErr w:type="spellEnd"/>
      <w:r>
        <w:rPr>
          <w:lang w:val="hu-HU"/>
        </w:rPr>
        <w:t xml:space="preserve"> társuló állapot, valamint </w:t>
      </w:r>
      <w:proofErr w:type="spellStart"/>
      <w:r>
        <w:rPr>
          <w:lang w:val="hu-HU"/>
        </w:rPr>
        <w:t>laktátacidózist</w:t>
      </w:r>
      <w:proofErr w:type="spellEnd"/>
      <w:r>
        <w:rPr>
          <w:lang w:val="hu-HU"/>
        </w:rPr>
        <w:t xml:space="preserve"> kiváltani képes gyógyszerek </w:t>
      </w:r>
      <w:proofErr w:type="spellStart"/>
      <w:r>
        <w:rPr>
          <w:lang w:val="hu-HU"/>
        </w:rPr>
        <w:t>együttadása</w:t>
      </w:r>
      <w:proofErr w:type="spellEnd"/>
      <w:r>
        <w:rPr>
          <w:lang w:val="hu-HU"/>
        </w:rPr>
        <w:t xml:space="preserve"> (lásd 4.3 és 4.5 pont).</w:t>
      </w:r>
    </w:p>
    <w:p w14:paraId="32A0FEA0" w14:textId="77777777" w:rsidR="006A22CA" w:rsidRDefault="006A22CA">
      <w:pPr>
        <w:spacing w:line="240" w:lineRule="auto"/>
        <w:rPr>
          <w:lang w:val="hu-HU"/>
        </w:rPr>
      </w:pPr>
    </w:p>
    <w:p w14:paraId="65550369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betegeket és/vagy gondozóikat tájékoztatni kell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kockázatáról. A </w:t>
      </w:r>
      <w:proofErr w:type="spellStart"/>
      <w:r>
        <w:rPr>
          <w:lang w:val="hu-HU"/>
        </w:rPr>
        <w:t>laktátacidózisra</w:t>
      </w:r>
      <w:proofErr w:type="spellEnd"/>
      <w:r>
        <w:rPr>
          <w:lang w:val="hu-HU"/>
        </w:rPr>
        <w:t xml:space="preserve"> jellemző az </w:t>
      </w:r>
      <w:proofErr w:type="spellStart"/>
      <w:r>
        <w:rPr>
          <w:lang w:val="hu-HU"/>
        </w:rPr>
        <w:t>acidotikus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dispnoe</w:t>
      </w:r>
      <w:proofErr w:type="spellEnd"/>
      <w:r>
        <w:rPr>
          <w:lang w:val="hu-HU"/>
        </w:rPr>
        <w:t xml:space="preserve">, a hasi fájdalom, az izomgörcsök, az </w:t>
      </w:r>
      <w:proofErr w:type="spellStart"/>
      <w:r>
        <w:rPr>
          <w:lang w:val="hu-HU"/>
        </w:rPr>
        <w:t>astenia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hypothermia</w:t>
      </w:r>
      <w:proofErr w:type="spellEnd"/>
      <w:r>
        <w:rPr>
          <w:lang w:val="hu-HU"/>
        </w:rPr>
        <w:t xml:space="preserve">, amit kóma követ. Feltételezett tünetek esetén a betegnek abba kell hagynia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szedését, és azonnal orvoshoz kell fordulnia. Diagnosztikai laboratóriumi eredmény a vér csökkent pH értéke </w:t>
      </w:r>
      <w:proofErr w:type="gramStart"/>
      <w:r>
        <w:rPr>
          <w:lang w:val="hu-HU"/>
        </w:rPr>
        <w:t>(&lt; 7</w:t>
      </w:r>
      <w:proofErr w:type="gramEnd"/>
      <w:r>
        <w:rPr>
          <w:lang w:val="hu-HU"/>
        </w:rPr>
        <w:t xml:space="preserve">,35), az emelkedett plazma </w:t>
      </w:r>
      <w:proofErr w:type="spellStart"/>
      <w:r>
        <w:rPr>
          <w:lang w:val="hu-HU"/>
        </w:rPr>
        <w:t>laktátszint</w:t>
      </w:r>
      <w:proofErr w:type="spellEnd"/>
      <w:r>
        <w:rPr>
          <w:lang w:val="hu-HU"/>
        </w:rPr>
        <w:t xml:space="preserve"> (&gt; 5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>/l), valamint az emelkedett anionrés és laktát/</w:t>
      </w:r>
      <w:proofErr w:type="spellStart"/>
      <w:r>
        <w:rPr>
          <w:lang w:val="hu-HU"/>
        </w:rPr>
        <w:t>piruvát</w:t>
      </w:r>
      <w:proofErr w:type="spellEnd"/>
      <w:r>
        <w:rPr>
          <w:lang w:val="hu-HU"/>
        </w:rPr>
        <w:t xml:space="preserve"> arány.</w:t>
      </w:r>
    </w:p>
    <w:p w14:paraId="0970B155" w14:textId="77777777" w:rsidR="006A22CA" w:rsidRDefault="006A22CA">
      <w:pPr>
        <w:spacing w:line="240" w:lineRule="auto"/>
        <w:rPr>
          <w:lang w:val="hu-HU"/>
        </w:rPr>
      </w:pPr>
    </w:p>
    <w:p w14:paraId="434FC9B8" w14:textId="77777777" w:rsidR="006A22CA" w:rsidRDefault="00BA2766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Mitokondriális</w:t>
      </w:r>
      <w:proofErr w:type="spellEnd"/>
      <w:r>
        <w:rPr>
          <w:i/>
          <w:iCs/>
          <w:lang w:val="hu-HU"/>
        </w:rPr>
        <w:t xml:space="preserve"> betegségben ismerten vagy feltételezetten szenvedő betegek:</w:t>
      </w:r>
    </w:p>
    <w:p w14:paraId="66FA6864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alkalmazása nem ajánlott </w:t>
      </w:r>
      <w:proofErr w:type="spellStart"/>
      <w:r>
        <w:rPr>
          <w:lang w:val="hu-HU"/>
        </w:rPr>
        <w:t>mitokondriális</w:t>
      </w:r>
      <w:proofErr w:type="spellEnd"/>
      <w:r>
        <w:rPr>
          <w:lang w:val="hu-HU"/>
        </w:rPr>
        <w:t xml:space="preserve"> betegségben – ilyen például a </w:t>
      </w:r>
      <w:proofErr w:type="spellStart"/>
      <w:r>
        <w:rPr>
          <w:lang w:val="hu-HU"/>
        </w:rPr>
        <w:t>laktátacidózissal</w:t>
      </w:r>
      <w:proofErr w:type="spellEnd"/>
      <w:r>
        <w:rPr>
          <w:lang w:val="hu-HU"/>
        </w:rPr>
        <w:t xml:space="preserve"> és stroke-szerű epizódokkal járó </w:t>
      </w:r>
      <w:proofErr w:type="spellStart"/>
      <w:r>
        <w:rPr>
          <w:lang w:val="hu-HU"/>
        </w:rPr>
        <w:t>mitokondriális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encephalopathia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Mitochondrial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Encephalopathy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with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Lactic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Acidosis</w:t>
      </w:r>
      <w:proofErr w:type="spellEnd"/>
      <w:r>
        <w:rPr>
          <w:lang w:val="hu-HU"/>
        </w:rPr>
        <w:t xml:space="preserve">, and Stroke-like </w:t>
      </w:r>
      <w:proofErr w:type="spellStart"/>
      <w:r>
        <w:rPr>
          <w:lang w:val="hu-HU"/>
        </w:rPr>
        <w:t>episodes</w:t>
      </w:r>
      <w:proofErr w:type="spellEnd"/>
      <w:r>
        <w:rPr>
          <w:lang w:val="hu-HU"/>
        </w:rPr>
        <w:t>, MELAS) szindróma és az anyai ágon öröklődő diabetes és süketség (</w:t>
      </w:r>
      <w:proofErr w:type="spellStart"/>
      <w:r>
        <w:rPr>
          <w:lang w:val="hu-HU"/>
        </w:rPr>
        <w:t>Maternal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inherited</w:t>
      </w:r>
      <w:proofErr w:type="spellEnd"/>
      <w:r>
        <w:rPr>
          <w:lang w:val="hu-HU"/>
        </w:rPr>
        <w:t xml:space="preserve"> diabetes and </w:t>
      </w:r>
      <w:proofErr w:type="spellStart"/>
      <w:r>
        <w:rPr>
          <w:lang w:val="hu-HU"/>
        </w:rPr>
        <w:t>deafness</w:t>
      </w:r>
      <w:proofErr w:type="spellEnd"/>
      <w:r>
        <w:rPr>
          <w:lang w:val="hu-HU"/>
        </w:rPr>
        <w:t xml:space="preserve">, MIDD) – ismerten szenvedő betegeknél, mivel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exacerbatiója</w:t>
      </w:r>
      <w:proofErr w:type="spellEnd"/>
      <w:r>
        <w:rPr>
          <w:lang w:val="hu-HU"/>
        </w:rPr>
        <w:t xml:space="preserve"> és a neurológiai szövődmények kockázatot jelentenek – mindkettő a betegség súlyosbodásához vezethet.</w:t>
      </w:r>
    </w:p>
    <w:p w14:paraId="2F83A849" w14:textId="77777777" w:rsidR="006A22CA" w:rsidRDefault="006A22CA">
      <w:pPr>
        <w:spacing w:line="240" w:lineRule="auto"/>
        <w:rPr>
          <w:lang w:val="hu-HU"/>
        </w:rPr>
      </w:pPr>
    </w:p>
    <w:p w14:paraId="68DBB7D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Ha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bevételét követően MELAS szindrómára vagy MIDD-re utaló jelek és tünetek alakulnak ki,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adagolását azonnal fel kell függeszteni, és mihamarabb diagnosztikus vizsgálatokat kell elvégezni.</w:t>
      </w:r>
    </w:p>
    <w:p w14:paraId="502852E0" w14:textId="77777777" w:rsidR="006A22CA" w:rsidRDefault="006A22CA">
      <w:pPr>
        <w:spacing w:line="240" w:lineRule="auto"/>
        <w:rPr>
          <w:lang w:val="hu-HU"/>
        </w:rPr>
      </w:pPr>
    </w:p>
    <w:p w14:paraId="360035D0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Jódtartalmú kontrasztanyagok alkalmazása</w:t>
      </w:r>
    </w:p>
    <w:p w14:paraId="411D4F9E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Jódtartalmú kontrasztanyagok </w:t>
      </w:r>
      <w:proofErr w:type="spellStart"/>
      <w:r>
        <w:rPr>
          <w:lang w:val="hu-HU"/>
        </w:rPr>
        <w:t>intravascularis</w:t>
      </w:r>
      <w:proofErr w:type="spellEnd"/>
      <w:r>
        <w:rPr>
          <w:lang w:val="hu-HU"/>
        </w:rPr>
        <w:t xml:space="preserve"> alkalmazása kontrasztanyag-indukált </w:t>
      </w:r>
      <w:proofErr w:type="spellStart"/>
      <w:r>
        <w:rPr>
          <w:lang w:val="hu-HU"/>
        </w:rPr>
        <w:t>nephropathiához</w:t>
      </w:r>
      <w:proofErr w:type="spellEnd"/>
      <w:r>
        <w:rPr>
          <w:lang w:val="hu-HU"/>
        </w:rPr>
        <w:t xml:space="preserve"> vezethet, ami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felhalmozódásával és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kockázatának növekedésével jár.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adását fel kell függeszteni a vizsgálatot megelőzően vagy a vizsgálat idejére, és csak legalább 48 óra elteltével állítható vissza, akkor is csak abban az esetben, ha a veseműködést újra ellenőrizték, és az stabilnak bizonyult (lásd 4.2 és 4.5 pont).</w:t>
      </w:r>
    </w:p>
    <w:p w14:paraId="1C843F2F" w14:textId="77777777" w:rsidR="006A22CA" w:rsidRDefault="006A22CA">
      <w:pPr>
        <w:spacing w:line="240" w:lineRule="auto"/>
        <w:rPr>
          <w:lang w:val="hu-HU"/>
        </w:rPr>
      </w:pPr>
    </w:p>
    <w:p w14:paraId="1878BF4D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Veseműködés</w:t>
      </w:r>
    </w:p>
    <w:p w14:paraId="6B4F9C8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GFR-értéket a kezelés megkezdése előtt és a kezelés során rendszeresen ellenőrizni kell (lásd 4.2 pont).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ellenjavallt azoknál a betegeknél, akiknél a GFR </w:t>
      </w:r>
      <w:proofErr w:type="gramStart"/>
      <w:r>
        <w:rPr>
          <w:lang w:val="hu-HU"/>
        </w:rPr>
        <w:t>&lt; 30</w:t>
      </w:r>
      <w:proofErr w:type="gramEnd"/>
      <w:r>
        <w:rPr>
          <w:lang w:val="hu-HU"/>
        </w:rPr>
        <w:t> ml/perc, és a gyógyszert átmenetileg fel kell függeszteni olyan állapotokban, amelyek a veseműködést módosítják (lásd 4.3 pont).</w:t>
      </w:r>
    </w:p>
    <w:p w14:paraId="6835B42C" w14:textId="77777777" w:rsidR="006A22CA" w:rsidRDefault="006A22CA">
      <w:pPr>
        <w:spacing w:line="240" w:lineRule="auto"/>
        <w:rPr>
          <w:lang w:val="hu-HU"/>
        </w:rPr>
      </w:pPr>
    </w:p>
    <w:p w14:paraId="6F4DEC00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Elővigyázatosság szükséges olyan gyógyszerek egyidejű alkalmazása esetén, amelyek befolyásolhatják a vesefunkciót, jelentős </w:t>
      </w:r>
      <w:proofErr w:type="spellStart"/>
      <w:r>
        <w:rPr>
          <w:lang w:val="hu-HU"/>
        </w:rPr>
        <w:t>hemodinamikai</w:t>
      </w:r>
      <w:proofErr w:type="spellEnd"/>
      <w:r>
        <w:rPr>
          <w:lang w:val="hu-HU"/>
        </w:rPr>
        <w:t xml:space="preserve"> változásokat okoznak, illetve gátolják a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transzportot és fokozzák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szisztémás expozícióját (lásd 4.5 pont).</w:t>
      </w:r>
    </w:p>
    <w:p w14:paraId="1B63AB0C" w14:textId="77777777" w:rsidR="006A22CA" w:rsidRDefault="006A22CA">
      <w:pPr>
        <w:spacing w:line="240" w:lineRule="auto"/>
        <w:rPr>
          <w:lang w:val="hu-HU"/>
        </w:rPr>
      </w:pPr>
    </w:p>
    <w:p w14:paraId="59A5A654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Májkárosodás</w:t>
      </w:r>
    </w:p>
    <w:p w14:paraId="42EABC7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májkárosodásban szenvedő betegeket, beleértve azokat a betegeket is, akiknél a kezelés előtt a GPT vagy a GOT szintje meghaladja a normálérték felső határának 3-szorosát, nem szabad </w:t>
      </w:r>
      <w:proofErr w:type="spellStart"/>
      <w:r>
        <w:rPr>
          <w:lang w:val="hu-HU"/>
        </w:rPr>
        <w:t>Vimetso-val</w:t>
      </w:r>
      <w:proofErr w:type="spellEnd"/>
      <w:r>
        <w:rPr>
          <w:lang w:val="hu-HU"/>
        </w:rPr>
        <w:t xml:space="preserve"> kezelni (lásd 4.2, 4.3 és 4.8 pont).</w:t>
      </w:r>
    </w:p>
    <w:p w14:paraId="424D9DF7" w14:textId="77777777" w:rsidR="006A22CA" w:rsidRDefault="006A22CA">
      <w:pPr>
        <w:spacing w:line="240" w:lineRule="auto"/>
        <w:rPr>
          <w:lang w:val="hu-HU"/>
        </w:rPr>
      </w:pPr>
    </w:p>
    <w:p w14:paraId="36B1DA0F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>A májenzimszintek ellenőrzése</w:t>
      </w:r>
    </w:p>
    <w:p w14:paraId="6007364F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Beszámoltak májműködési zavar (beleértve a hepatitist is) ritka eseteiről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-kezelés során. Ezek az esetek nem jártak klinikai következménnyel, a betegek rendszerint tünetmentesek voltak, és a májfunkciós vizsgálatok eredményei a kezelés felfüggesztését követően visszatértek a normálértékre. A beteg kiindulási enzimértékeinek ismerete érdekében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-kezelés megkezdése előtt májfunkciós vizsgálatokat kell végezni. A májfunkciót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-kezelés első évében háromhavonta, majd azt követően időszakosan ellenőrizni kell. Azoknál a betegeknél, akiknél emelkedett a </w:t>
      </w:r>
      <w:proofErr w:type="spellStart"/>
      <w:r>
        <w:rPr>
          <w:lang w:val="hu-HU"/>
        </w:rPr>
        <w:t>transzaminázszint</w:t>
      </w:r>
      <w:proofErr w:type="spellEnd"/>
      <w:r>
        <w:rPr>
          <w:lang w:val="hu-HU"/>
        </w:rPr>
        <w:t>, egy második májfunkciós vizsgálattal kell ellenőrizni az első vizsgálat eredményét, majd a továbbiakban gyakori májfunkciós vizsgálatokat kell végezni a rendellenesség(</w:t>
      </w:r>
      <w:proofErr w:type="spellStart"/>
      <w:r>
        <w:rPr>
          <w:lang w:val="hu-HU"/>
        </w:rPr>
        <w:t>ek</w:t>
      </w:r>
      <w:proofErr w:type="spellEnd"/>
      <w:r>
        <w:rPr>
          <w:lang w:val="hu-HU"/>
        </w:rPr>
        <w:t xml:space="preserve">) rendeződéséig. Amennyiben a GOT vagy a GPT értéke tartósan meghaladja a normálérték felső határának a háromszorosát, javasolt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-kezelés leállítása. Azoknál a betegeknél, akiknél sárgaság vagy májműködési zavarra utaló egyéb tünet alakul ki,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adását abba kell hagyni.</w:t>
      </w:r>
    </w:p>
    <w:p w14:paraId="0FBB4BC5" w14:textId="77777777" w:rsidR="006A22CA" w:rsidRDefault="006A22CA">
      <w:pPr>
        <w:spacing w:line="240" w:lineRule="auto"/>
        <w:rPr>
          <w:lang w:val="hu-HU"/>
        </w:rPr>
      </w:pPr>
    </w:p>
    <w:p w14:paraId="1F567A98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-kezelés abbahagyását és a májfunkciós vizsgálatok eredményeinek normalizálódását követően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>-kezelést nem szabad újra elkezdeni.</w:t>
      </w:r>
    </w:p>
    <w:p w14:paraId="53A9CB45" w14:textId="77777777" w:rsidR="006A22CA" w:rsidRDefault="006A22CA">
      <w:pPr>
        <w:spacing w:line="240" w:lineRule="auto"/>
        <w:rPr>
          <w:lang w:val="hu-HU"/>
        </w:rPr>
      </w:pPr>
    </w:p>
    <w:p w14:paraId="33E7FCCB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Bőrbetegségek</w:t>
      </w:r>
    </w:p>
    <w:p w14:paraId="65D9D2B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folytatott </w:t>
      </w:r>
      <w:proofErr w:type="spellStart"/>
      <w:r>
        <w:rPr>
          <w:lang w:val="hu-HU"/>
        </w:rPr>
        <w:t>preklinikai</w:t>
      </w:r>
      <w:proofErr w:type="spellEnd"/>
      <w:r>
        <w:rPr>
          <w:lang w:val="hu-HU"/>
        </w:rPr>
        <w:t xml:space="preserve"> toxikológiai vizsgálatok során majmoknál </w:t>
      </w:r>
      <w:proofErr w:type="spellStart"/>
      <w:r>
        <w:rPr>
          <w:lang w:val="hu-HU"/>
        </w:rPr>
        <w:t>bőrléziókról</w:t>
      </w:r>
      <w:proofErr w:type="spellEnd"/>
      <w:r>
        <w:rPr>
          <w:lang w:val="hu-HU"/>
        </w:rPr>
        <w:t xml:space="preserve">, köztük a végtagokon kialakuló hólyagképződésről és kifekélyesedésről számoltak be (lásd 5.3 pont). Noha a klinikai vizsgálatokban nem észlelték a </w:t>
      </w:r>
      <w:proofErr w:type="spellStart"/>
      <w:r>
        <w:rPr>
          <w:lang w:val="hu-HU"/>
        </w:rPr>
        <w:t>bőrléziók</w:t>
      </w:r>
      <w:proofErr w:type="spellEnd"/>
      <w:r>
        <w:rPr>
          <w:lang w:val="hu-HU"/>
        </w:rPr>
        <w:t xml:space="preserve"> magasabb </w:t>
      </w:r>
      <w:proofErr w:type="spellStart"/>
      <w:r>
        <w:rPr>
          <w:lang w:val="hu-HU"/>
        </w:rPr>
        <w:t>incidenciáját</w:t>
      </w:r>
      <w:proofErr w:type="spellEnd"/>
      <w:r>
        <w:rPr>
          <w:lang w:val="hu-HU"/>
        </w:rPr>
        <w:t>, csupán korlátozottan állt rendelkezésre tapasztalat a diabeteses betegek bőrszövődményeivel kapcsolatosan. Továbbá a forgalomba hozatalt követően beszámoltak hólyagos és hámló bőrelváltozásokról. Ezért a cukorbetegek rutinszerű gondozása mellett a bőrbetegségek, mint például a hólyag- vagy fekélyképződés ellenőrzése javasolt.</w:t>
      </w:r>
    </w:p>
    <w:p w14:paraId="70755739" w14:textId="77777777" w:rsidR="006A22CA" w:rsidRDefault="006A22CA">
      <w:pPr>
        <w:spacing w:line="240" w:lineRule="auto"/>
        <w:rPr>
          <w:lang w:val="hu-HU"/>
        </w:rPr>
      </w:pPr>
    </w:p>
    <w:p w14:paraId="60A00E01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Akut </w:t>
      </w:r>
      <w:proofErr w:type="spellStart"/>
      <w:r>
        <w:rPr>
          <w:u w:val="single"/>
          <w:lang w:val="hu-HU"/>
        </w:rPr>
        <w:t>pancreatitis</w:t>
      </w:r>
      <w:proofErr w:type="spellEnd"/>
    </w:p>
    <w:p w14:paraId="77463691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alkalmazását az akut </w:t>
      </w:r>
      <w:proofErr w:type="spellStart"/>
      <w:r>
        <w:rPr>
          <w:lang w:val="hu-HU"/>
        </w:rPr>
        <w:t>pancreatitis</w:t>
      </w:r>
      <w:proofErr w:type="spellEnd"/>
      <w:r>
        <w:rPr>
          <w:lang w:val="hu-HU"/>
        </w:rPr>
        <w:t xml:space="preserve"> kialakulásának kockázatával hozták összefüggésbe. A betegekkel ismertetni kell az akut </w:t>
      </w:r>
      <w:proofErr w:type="spellStart"/>
      <w:r>
        <w:rPr>
          <w:lang w:val="hu-HU"/>
        </w:rPr>
        <w:t>pancreatitis</w:t>
      </w:r>
      <w:proofErr w:type="spellEnd"/>
      <w:r>
        <w:rPr>
          <w:lang w:val="hu-HU"/>
        </w:rPr>
        <w:t xml:space="preserve"> jellemző tünetét.</w:t>
      </w:r>
    </w:p>
    <w:p w14:paraId="5BA862B1" w14:textId="77777777" w:rsidR="006A22CA" w:rsidRDefault="006A22CA">
      <w:pPr>
        <w:spacing w:line="240" w:lineRule="auto"/>
        <w:rPr>
          <w:lang w:val="hu-HU"/>
        </w:rPr>
      </w:pPr>
    </w:p>
    <w:p w14:paraId="65DF109E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Pancreatitis</w:t>
      </w:r>
      <w:proofErr w:type="spellEnd"/>
      <w:r>
        <w:rPr>
          <w:lang w:val="hu-HU"/>
        </w:rPr>
        <w:t xml:space="preserve"> gyanúja esetén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szedését abba kell hagyni. Ha az akut </w:t>
      </w:r>
      <w:proofErr w:type="spellStart"/>
      <w:r>
        <w:rPr>
          <w:lang w:val="hu-HU"/>
        </w:rPr>
        <w:t>pancreatitis</w:t>
      </w:r>
      <w:proofErr w:type="spellEnd"/>
      <w:r>
        <w:rPr>
          <w:lang w:val="hu-HU"/>
        </w:rPr>
        <w:t xml:space="preserve"> bizonyított,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szedését nem szabad újrakezdeni. Elővigyázatosság szükséges az olyan betegeknél, akiknek az anamnézisében akut </w:t>
      </w:r>
      <w:proofErr w:type="spellStart"/>
      <w:r>
        <w:rPr>
          <w:lang w:val="hu-HU"/>
        </w:rPr>
        <w:t>pancreatitis</w:t>
      </w:r>
      <w:proofErr w:type="spellEnd"/>
      <w:r>
        <w:rPr>
          <w:lang w:val="hu-HU"/>
        </w:rPr>
        <w:t xml:space="preserve"> szerepel.</w:t>
      </w:r>
    </w:p>
    <w:p w14:paraId="398D61F4" w14:textId="77777777" w:rsidR="006A22CA" w:rsidRDefault="006A22CA">
      <w:pPr>
        <w:spacing w:line="240" w:lineRule="auto"/>
        <w:rPr>
          <w:lang w:val="hu-HU"/>
        </w:rPr>
      </w:pPr>
    </w:p>
    <w:p w14:paraId="7FF39E56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Hypoglykaemia</w:t>
      </w:r>
      <w:proofErr w:type="spellEnd"/>
    </w:p>
    <w:p w14:paraId="400E3B22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Ismert, hogy a </w:t>
      </w:r>
      <w:proofErr w:type="spellStart"/>
      <w:r>
        <w:rPr>
          <w:lang w:val="hu-HU"/>
        </w:rPr>
        <w:t>szulfonilureák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hypoglykaemiát</w:t>
      </w:r>
      <w:proofErr w:type="spellEnd"/>
      <w:r>
        <w:rPr>
          <w:lang w:val="hu-HU"/>
        </w:rPr>
        <w:t xml:space="preserve"> okoznak. </w:t>
      </w:r>
      <w:proofErr w:type="spellStart"/>
      <w:r>
        <w:rPr>
          <w:lang w:val="hu-HU"/>
        </w:rPr>
        <w:t>Szulfonilurea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kombinációját szedő betegeknél fennállhat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kockázata. Ezért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kockázatának csökkentése érdekében a </w:t>
      </w:r>
      <w:proofErr w:type="spellStart"/>
      <w:r>
        <w:rPr>
          <w:lang w:val="hu-HU"/>
        </w:rPr>
        <w:t>szulfonilurea</w:t>
      </w:r>
      <w:proofErr w:type="spellEnd"/>
      <w:r>
        <w:rPr>
          <w:lang w:val="hu-HU"/>
        </w:rPr>
        <w:t xml:space="preserve"> kisebb dózisban történő adása mérlegelhető.</w:t>
      </w:r>
    </w:p>
    <w:p w14:paraId="7CFF64C9" w14:textId="77777777" w:rsidR="006A22CA" w:rsidRDefault="006A22CA">
      <w:pPr>
        <w:spacing w:line="240" w:lineRule="auto"/>
        <w:rPr>
          <w:lang w:val="hu-HU"/>
        </w:rPr>
      </w:pPr>
    </w:p>
    <w:p w14:paraId="6CCA6043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Sebészeti beavatkozások</w:t>
      </w:r>
    </w:p>
    <w:p w14:paraId="2ADBE440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alkalmazását az általános, </w:t>
      </w:r>
      <w:proofErr w:type="spellStart"/>
      <w:r>
        <w:rPr>
          <w:lang w:val="hu-HU"/>
        </w:rPr>
        <w:t>spinális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epidurális</w:t>
      </w:r>
      <w:proofErr w:type="spellEnd"/>
      <w:r>
        <w:rPr>
          <w:lang w:val="hu-HU"/>
        </w:rPr>
        <w:t xml:space="preserve"> anesztéziával járó műtét idejére fel kell függeszteni. A készítmény leghamarabb 48 órával a műtét, illetve az orális táplálásra való visszatérés után adható újra, akkor is csak abban az esetben, ha a veseműködést ismét ellenőrizték, és az stabilnak bizonyult.</w:t>
      </w:r>
    </w:p>
    <w:p w14:paraId="50D0331B" w14:textId="77777777" w:rsidR="006A22CA" w:rsidRDefault="006A22CA">
      <w:pPr>
        <w:spacing w:line="240" w:lineRule="auto"/>
        <w:rPr>
          <w:lang w:val="hu-HU"/>
        </w:rPr>
      </w:pPr>
    </w:p>
    <w:p w14:paraId="5E457410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Segédanyagok</w:t>
      </w:r>
    </w:p>
    <w:p w14:paraId="2982812D" w14:textId="77777777" w:rsidR="006A22CA" w:rsidRDefault="00BA2766">
      <w:pPr>
        <w:pStyle w:val="Default"/>
        <w:rPr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A készítmény kevesebb mint 1 </w:t>
      </w:r>
      <w:proofErr w:type="spellStart"/>
      <w:r>
        <w:rPr>
          <w:color w:val="auto"/>
          <w:sz w:val="22"/>
          <w:szCs w:val="22"/>
          <w:lang w:val="hu-HU"/>
        </w:rPr>
        <w:t>mmol</w:t>
      </w:r>
      <w:proofErr w:type="spellEnd"/>
      <w:r>
        <w:rPr>
          <w:color w:val="auto"/>
          <w:sz w:val="22"/>
          <w:szCs w:val="22"/>
          <w:lang w:val="hu-HU"/>
        </w:rPr>
        <w:t xml:space="preserve"> (23 mg) nátriumot tartalmaz </w:t>
      </w:r>
      <w:proofErr w:type="spellStart"/>
      <w:r>
        <w:rPr>
          <w:color w:val="auto"/>
          <w:sz w:val="22"/>
          <w:szCs w:val="22"/>
          <w:lang w:val="hu-HU"/>
        </w:rPr>
        <w:t>filmtablettánként</w:t>
      </w:r>
      <w:proofErr w:type="spellEnd"/>
      <w:r>
        <w:rPr>
          <w:color w:val="auto"/>
          <w:sz w:val="22"/>
          <w:szCs w:val="22"/>
          <w:lang w:val="hu-HU"/>
        </w:rPr>
        <w:t>, azaz gyakorlatilag „nátriummentes”.</w:t>
      </w:r>
    </w:p>
    <w:p w14:paraId="0EA25C64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5BF0EEC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4.5</w:t>
      </w:r>
      <w:r>
        <w:rPr>
          <w:b/>
          <w:bCs/>
          <w:lang w:val="hu-HU"/>
        </w:rPr>
        <w:tab/>
        <w:t>Gyógyszerkölcsönhatások és egyéb interakciók</w:t>
      </w:r>
    </w:p>
    <w:p w14:paraId="0DAC15C1" w14:textId="77777777" w:rsidR="006A22CA" w:rsidRDefault="006A22CA">
      <w:pPr>
        <w:spacing w:line="240" w:lineRule="auto"/>
        <w:rPr>
          <w:lang w:val="hu-HU"/>
        </w:rPr>
      </w:pPr>
    </w:p>
    <w:p w14:paraId="1DCB526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Szabályos interakciós vizsgálatokat nem végeztek a </w:t>
      </w:r>
      <w:proofErr w:type="spellStart"/>
      <w:r>
        <w:rPr>
          <w:lang w:val="hu-HU"/>
        </w:rPr>
        <w:t>Vimetso-val</w:t>
      </w:r>
      <w:proofErr w:type="spellEnd"/>
      <w:r>
        <w:rPr>
          <w:lang w:val="hu-HU"/>
        </w:rPr>
        <w:t>. Az alábbi állítások az egyes hatóanyagok esetén rendelkezésre álló információkat tükrözik.</w:t>
      </w:r>
    </w:p>
    <w:p w14:paraId="1C25D3C0" w14:textId="77777777" w:rsidR="006A22CA" w:rsidRDefault="006A22CA">
      <w:pPr>
        <w:spacing w:line="240" w:lineRule="auto"/>
        <w:rPr>
          <w:lang w:val="hu-HU"/>
        </w:rPr>
      </w:pPr>
    </w:p>
    <w:p w14:paraId="72393068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Vildagliptin</w:t>
      </w:r>
      <w:proofErr w:type="spellEnd"/>
    </w:p>
    <w:p w14:paraId="170306D0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6A2904F2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esetében alacsony az egyidejűleg alkalmazott gyógyszerekkel létrejövő kölcsönhatások valószínűsége. Mivel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nem </w:t>
      </w:r>
      <w:proofErr w:type="spellStart"/>
      <w:r>
        <w:rPr>
          <w:lang w:val="hu-HU"/>
        </w:rPr>
        <w:t>szubsztrátja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citokróm</w:t>
      </w:r>
      <w:proofErr w:type="spellEnd"/>
      <w:r>
        <w:rPr>
          <w:lang w:val="hu-HU"/>
        </w:rPr>
        <w:t xml:space="preserve"> P (CYP) 450 enzimnek, és nem gátolja, illetve nem indukálja a CYP 450 enzimeket, valószínűleg nem lép interakcióba azokkal a hatóanyagokkal, amelyek ezen enzimek </w:t>
      </w:r>
      <w:proofErr w:type="spellStart"/>
      <w:r>
        <w:rPr>
          <w:lang w:val="hu-HU"/>
        </w:rPr>
        <w:t>szubsztrátjai</w:t>
      </w:r>
      <w:proofErr w:type="spellEnd"/>
      <w:r>
        <w:rPr>
          <w:lang w:val="hu-HU"/>
        </w:rPr>
        <w:t>, inhibitorai vagy induktorai.</w:t>
      </w:r>
    </w:p>
    <w:p w14:paraId="42AF9846" w14:textId="77777777" w:rsidR="006A22CA" w:rsidRDefault="006A22CA">
      <w:pPr>
        <w:spacing w:line="240" w:lineRule="auto"/>
        <w:rPr>
          <w:lang w:val="hu-HU"/>
        </w:rPr>
      </w:pPr>
    </w:p>
    <w:p w14:paraId="65717F88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kombinált </w:t>
      </w:r>
      <w:proofErr w:type="spellStart"/>
      <w:r>
        <w:rPr>
          <w:lang w:val="hu-HU"/>
        </w:rPr>
        <w:t>pioglitazon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glibenklamid</w:t>
      </w:r>
      <w:proofErr w:type="spellEnd"/>
      <w:r>
        <w:rPr>
          <w:lang w:val="hu-HU"/>
        </w:rPr>
        <w:t xml:space="preserve"> orális </w:t>
      </w:r>
      <w:proofErr w:type="spellStart"/>
      <w:r>
        <w:rPr>
          <w:lang w:val="hu-HU"/>
        </w:rPr>
        <w:t>antidiabetikumokkal</w:t>
      </w:r>
      <w:proofErr w:type="spellEnd"/>
      <w:r>
        <w:rPr>
          <w:lang w:val="hu-HU"/>
        </w:rPr>
        <w:t xml:space="preserve"> végzett klinikai vizsgálatok eredményei nem mutattak klinikailag releváns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interakciókat a célpopulációban.</w:t>
      </w:r>
    </w:p>
    <w:p w14:paraId="4E3676E5" w14:textId="77777777" w:rsidR="006A22CA" w:rsidRDefault="006A22CA">
      <w:pPr>
        <w:spacing w:line="240" w:lineRule="auto"/>
        <w:rPr>
          <w:lang w:val="hu-HU"/>
        </w:rPr>
      </w:pPr>
    </w:p>
    <w:p w14:paraId="1A7C1E0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digoxinnal</w:t>
      </w:r>
      <w:proofErr w:type="spellEnd"/>
      <w:r>
        <w:rPr>
          <w:lang w:val="hu-HU"/>
        </w:rPr>
        <w:t xml:space="preserve"> (P-</w:t>
      </w:r>
      <w:proofErr w:type="spellStart"/>
      <w:r>
        <w:rPr>
          <w:lang w:val="hu-HU"/>
        </w:rPr>
        <w:t>glikoprotein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szubsztrát</w:t>
      </w:r>
      <w:proofErr w:type="spellEnd"/>
      <w:r>
        <w:rPr>
          <w:lang w:val="hu-HU"/>
        </w:rPr>
        <w:t xml:space="preserve">) és </w:t>
      </w:r>
      <w:proofErr w:type="spellStart"/>
      <w:r>
        <w:rPr>
          <w:lang w:val="hu-HU"/>
        </w:rPr>
        <w:t>warfarinnal</w:t>
      </w:r>
      <w:proofErr w:type="spellEnd"/>
      <w:r>
        <w:rPr>
          <w:lang w:val="hu-HU"/>
        </w:rPr>
        <w:t xml:space="preserve"> (CYP2C9 </w:t>
      </w:r>
      <w:proofErr w:type="spellStart"/>
      <w:r>
        <w:rPr>
          <w:lang w:val="hu-HU"/>
        </w:rPr>
        <w:t>szubsztrát</w:t>
      </w:r>
      <w:proofErr w:type="spellEnd"/>
      <w:r>
        <w:rPr>
          <w:lang w:val="hu-HU"/>
        </w:rPr>
        <w:t xml:space="preserve">) egészséges önkéntesekkel végzett gyógyszerkölcsönhatás vizsgálatok nem mutattak klinikailag releváns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interakciókat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történő egyidejű alkalmazást követően.</w:t>
      </w:r>
    </w:p>
    <w:p w14:paraId="2698255E" w14:textId="77777777" w:rsidR="006A22CA" w:rsidRDefault="006A22CA">
      <w:pPr>
        <w:spacing w:line="240" w:lineRule="auto"/>
        <w:rPr>
          <w:lang w:val="hu-HU"/>
        </w:rPr>
      </w:pPr>
    </w:p>
    <w:p w14:paraId="35DE5D8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Egészséges önkéntesek bevonásával végeztek interakciós vizsgálatokat </w:t>
      </w:r>
      <w:proofErr w:type="spellStart"/>
      <w:r>
        <w:rPr>
          <w:lang w:val="hu-HU"/>
        </w:rPr>
        <w:t>amlodipinnel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ramiprillel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valzartánnal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szimvasztatinnal</w:t>
      </w:r>
      <w:proofErr w:type="spellEnd"/>
      <w:r>
        <w:rPr>
          <w:lang w:val="hu-HU"/>
        </w:rPr>
        <w:t xml:space="preserve">. Ezekben a vizsgálatokban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egyidejű alkalmazást követően nem észleltek klinikailag releváns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interakciókat. Ezt azonban a célpopulációban nem állapították meg.</w:t>
      </w:r>
    </w:p>
    <w:p w14:paraId="2EB76188" w14:textId="77777777" w:rsidR="006A22CA" w:rsidRDefault="006A22CA">
      <w:pPr>
        <w:spacing w:line="240" w:lineRule="auto"/>
        <w:rPr>
          <w:lang w:val="hu-HU"/>
        </w:rPr>
      </w:pPr>
    </w:p>
    <w:p w14:paraId="4C25758C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lastRenderedPageBreak/>
        <w:t>Kombináció ACE-gátlókkal</w:t>
      </w:r>
    </w:p>
    <w:p w14:paraId="541B5F37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egyidejűleg ACE-gátlót szedő betegeknél megnövekedhet az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kockázata (lásd 4.8 pont).</w:t>
      </w:r>
    </w:p>
    <w:p w14:paraId="39209547" w14:textId="77777777" w:rsidR="006A22CA" w:rsidRDefault="006A22CA">
      <w:pPr>
        <w:spacing w:line="240" w:lineRule="auto"/>
        <w:rPr>
          <w:lang w:val="hu-HU"/>
        </w:rPr>
      </w:pPr>
    </w:p>
    <w:p w14:paraId="320B8588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Más orális </w:t>
      </w:r>
      <w:proofErr w:type="spellStart"/>
      <w:r>
        <w:rPr>
          <w:lang w:val="hu-HU"/>
        </w:rPr>
        <w:t>antidiabetikumokhoz</w:t>
      </w:r>
      <w:proofErr w:type="spellEnd"/>
      <w:r>
        <w:rPr>
          <w:lang w:val="hu-HU"/>
        </w:rPr>
        <w:t xml:space="preserve"> hasonlóan,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hypoglykaemiás</w:t>
      </w:r>
      <w:proofErr w:type="spellEnd"/>
      <w:r>
        <w:rPr>
          <w:lang w:val="hu-HU"/>
        </w:rPr>
        <w:t xml:space="preserve"> hatását csökkenthetik bizonyos hatóanyagok, így például </w:t>
      </w:r>
      <w:proofErr w:type="spellStart"/>
      <w:r>
        <w:rPr>
          <w:lang w:val="hu-HU"/>
        </w:rPr>
        <w:t>tiazidok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kortikoszteroidok</w:t>
      </w:r>
      <w:proofErr w:type="spellEnd"/>
      <w:r>
        <w:rPr>
          <w:lang w:val="hu-HU"/>
        </w:rPr>
        <w:t xml:space="preserve">, pajzsmirigyre ható gyógyszerek és 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>.</w:t>
      </w:r>
    </w:p>
    <w:p w14:paraId="7F0E89D8" w14:textId="77777777" w:rsidR="006A22CA" w:rsidRDefault="006A22CA">
      <w:pPr>
        <w:spacing w:line="240" w:lineRule="auto"/>
        <w:rPr>
          <w:lang w:val="hu-HU"/>
        </w:rPr>
      </w:pPr>
    </w:p>
    <w:p w14:paraId="6BCB22B2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Metformin</w:t>
      </w:r>
      <w:proofErr w:type="spellEnd"/>
    </w:p>
    <w:p w14:paraId="6AFEF0FC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516FEA28" w14:textId="77777777" w:rsidR="006A22CA" w:rsidRDefault="00BA2766">
      <w:pPr>
        <w:spacing w:line="240" w:lineRule="auto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Együttadása</w:t>
      </w:r>
      <w:proofErr w:type="spellEnd"/>
      <w:r>
        <w:rPr>
          <w:i/>
          <w:u w:val="single"/>
          <w:lang w:val="hu-HU"/>
        </w:rPr>
        <w:t xml:space="preserve"> nem ajánlott</w:t>
      </w:r>
    </w:p>
    <w:p w14:paraId="4D76EF0D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>Alkohol</w:t>
      </w:r>
    </w:p>
    <w:p w14:paraId="66BD9C7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alkoholintoxikáció fokozza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kockázatát, különösen éhezés, alultápláltság vagy májkárosodás fennállásakor.</w:t>
      </w:r>
    </w:p>
    <w:p w14:paraId="13294E4A" w14:textId="77777777" w:rsidR="006A22CA" w:rsidRDefault="006A22CA">
      <w:pPr>
        <w:spacing w:line="240" w:lineRule="auto"/>
        <w:rPr>
          <w:lang w:val="hu-HU"/>
        </w:rPr>
      </w:pPr>
    </w:p>
    <w:p w14:paraId="32AD2F6C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 xml:space="preserve">Jódtartalmú kontrasztanyagok </w:t>
      </w:r>
    </w:p>
    <w:p w14:paraId="3901011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alkalmazását fel kell függeszteni a vizsgálatot megelőzően vagy a vizsgálat idejére, és csak legalább 48 óra elteltével állítható vissza, akkor is csak abban az esetben, ha a veseműködést újra ellenőrizték, és az stabilnak bizonyult (lásd 4.2 és 4.4 pont).</w:t>
      </w:r>
    </w:p>
    <w:p w14:paraId="76940521" w14:textId="77777777" w:rsidR="006A22CA" w:rsidRDefault="006A22CA">
      <w:pPr>
        <w:spacing w:line="240" w:lineRule="auto"/>
        <w:rPr>
          <w:lang w:val="hu-HU"/>
        </w:rPr>
      </w:pPr>
    </w:p>
    <w:p w14:paraId="2795B628" w14:textId="77777777" w:rsidR="006A22CA" w:rsidRDefault="00BA2766">
      <w:pPr>
        <w:spacing w:line="240" w:lineRule="auto"/>
        <w:rPr>
          <w:i/>
          <w:u w:val="single"/>
          <w:lang w:val="hu-HU"/>
        </w:rPr>
      </w:pPr>
      <w:r>
        <w:rPr>
          <w:i/>
          <w:u w:val="single"/>
          <w:lang w:val="hu-HU"/>
        </w:rPr>
        <w:t>Elővigyázatosságot igénylő kombinációk</w:t>
      </w:r>
    </w:p>
    <w:p w14:paraId="3579D70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Egyes gyógyszerek, például az NSAID-ok, köztük a szelektív </w:t>
      </w:r>
      <w:proofErr w:type="spellStart"/>
      <w:r>
        <w:rPr>
          <w:lang w:val="hu-HU"/>
        </w:rPr>
        <w:t>ciklooxigenáz</w:t>
      </w:r>
      <w:proofErr w:type="spellEnd"/>
      <w:r>
        <w:rPr>
          <w:lang w:val="hu-HU"/>
        </w:rPr>
        <w:t xml:space="preserve">- (COX) 2-inhibitorok, az ACE-gátlók,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-II-receptor-blokkolók, valamint a vízhajtók, különösen a </w:t>
      </w:r>
      <w:proofErr w:type="spellStart"/>
      <w:r>
        <w:rPr>
          <w:lang w:val="hu-HU"/>
        </w:rPr>
        <w:t>kacsdiuretikumok</w:t>
      </w:r>
      <w:proofErr w:type="spellEnd"/>
      <w:r>
        <w:rPr>
          <w:lang w:val="hu-HU"/>
        </w:rPr>
        <w:t xml:space="preserve"> károsan befolyásolhatják a veseműködést, és ezáltal növelhetik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kockázatát. Ezen készítmények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történő együttes adásának megkezdésekor, illetve a kombinációs kezelés során a veseműködés szoros ellenőrzése szükséges.</w:t>
      </w:r>
    </w:p>
    <w:p w14:paraId="1E3BE23F" w14:textId="77777777" w:rsidR="006A22CA" w:rsidRDefault="006A22CA">
      <w:pPr>
        <w:spacing w:line="240" w:lineRule="auto"/>
        <w:rPr>
          <w:lang w:val="hu-HU"/>
        </w:rPr>
      </w:pPr>
    </w:p>
    <w:p w14:paraId="7A633A2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glükokortikoidok</w:t>
      </w:r>
      <w:proofErr w:type="spellEnd"/>
      <w:r>
        <w:rPr>
          <w:lang w:val="hu-HU"/>
        </w:rPr>
        <w:t xml:space="preserve">, béta-2-agonisták és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intrinsic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hyperglykaemiás</w:t>
      </w:r>
      <w:proofErr w:type="spellEnd"/>
      <w:r>
        <w:rPr>
          <w:lang w:val="hu-HU"/>
        </w:rPr>
        <w:t xml:space="preserve"> aktivitással rendelkeznek. A beteget tájékoztatni kell erről, és gyakoribb vércukorszint-ellenőrzés szükséges, különösen a kezelés kezdetén. Amennyiben szükséges,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adagolását az egyidejű kezelés alatt és annak abbahagyásakor módosítani kell.</w:t>
      </w:r>
    </w:p>
    <w:p w14:paraId="4BBB4EB3" w14:textId="77777777" w:rsidR="006A22CA" w:rsidRDefault="006A22CA">
      <w:pPr>
        <w:spacing w:line="240" w:lineRule="auto"/>
        <w:rPr>
          <w:lang w:val="hu-HU"/>
        </w:rPr>
      </w:pPr>
    </w:p>
    <w:p w14:paraId="6BC7032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konvertáló enzim (ACE) inhibitorok csökkenthetik a vércukorszintet. Amennyiben szükséges, a vércukorszint-csökkentő gyógyszer adagolását a másik gyógyszerrel végezett egyidejű kezelés alatt és annak abbahagyásakor módosítani kell.</w:t>
      </w:r>
    </w:p>
    <w:p w14:paraId="4CD14FCD" w14:textId="77777777" w:rsidR="006A22CA" w:rsidRDefault="006A22CA">
      <w:pPr>
        <w:spacing w:line="240" w:lineRule="auto"/>
        <w:rPr>
          <w:lang w:val="hu-HU"/>
        </w:rPr>
      </w:pPr>
    </w:p>
    <w:p w14:paraId="14EF5AE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vesén keresztül történő kiválasztásában érintett </w:t>
      </w:r>
      <w:proofErr w:type="spellStart"/>
      <w:r>
        <w:rPr>
          <w:lang w:val="hu-HU"/>
        </w:rPr>
        <w:t>renális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tubuláris</w:t>
      </w:r>
      <w:proofErr w:type="spellEnd"/>
      <w:r>
        <w:rPr>
          <w:lang w:val="hu-HU"/>
        </w:rPr>
        <w:t xml:space="preserve"> transzportrendszerekkel </w:t>
      </w:r>
      <w:proofErr w:type="spellStart"/>
      <w:r>
        <w:rPr>
          <w:lang w:val="hu-HU"/>
        </w:rPr>
        <w:t>interferáló</w:t>
      </w:r>
      <w:proofErr w:type="spellEnd"/>
      <w:r>
        <w:rPr>
          <w:lang w:val="hu-HU"/>
        </w:rPr>
        <w:t xml:space="preserve"> gyógyszerek (pl. az organikus </w:t>
      </w:r>
      <w:proofErr w:type="spellStart"/>
      <w:r>
        <w:rPr>
          <w:lang w:val="hu-HU"/>
        </w:rPr>
        <w:t>kationtranszporter</w:t>
      </w:r>
      <w:proofErr w:type="spellEnd"/>
      <w:r>
        <w:rPr>
          <w:lang w:val="hu-HU"/>
        </w:rPr>
        <w:t xml:space="preserve"> 2 [OCT2] vagy a multidrog és toxikus ágenseket kilökő fehérje [multidrog and toxin </w:t>
      </w:r>
      <w:proofErr w:type="spellStart"/>
      <w:r>
        <w:rPr>
          <w:lang w:val="hu-HU"/>
        </w:rPr>
        <w:t>extrusion</w:t>
      </w:r>
      <w:proofErr w:type="spellEnd"/>
      <w:r>
        <w:rPr>
          <w:lang w:val="hu-HU"/>
        </w:rPr>
        <w:t xml:space="preserve">; MATE] gátlói, mint a </w:t>
      </w:r>
      <w:proofErr w:type="spellStart"/>
      <w:r>
        <w:rPr>
          <w:lang w:val="hu-HU"/>
        </w:rPr>
        <w:t>ranolazin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vandetanib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dolutegravir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cimetidin</w:t>
      </w:r>
      <w:proofErr w:type="spellEnd"/>
      <w:r>
        <w:rPr>
          <w:lang w:val="hu-HU"/>
        </w:rPr>
        <w:t xml:space="preserve">) egyidejű alkalmazás esetén fokozhatják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szisztémás expozícióját.</w:t>
      </w:r>
    </w:p>
    <w:p w14:paraId="3D7EBA7D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41C52933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4.6</w:t>
      </w:r>
      <w:r>
        <w:rPr>
          <w:b/>
          <w:bCs/>
          <w:lang w:val="hu-HU"/>
        </w:rPr>
        <w:tab/>
        <w:t>Termékenység, terhesség és szoptatás</w:t>
      </w:r>
    </w:p>
    <w:p w14:paraId="43CA508F" w14:textId="77777777" w:rsidR="006A22CA" w:rsidRDefault="006A22CA">
      <w:pPr>
        <w:spacing w:line="240" w:lineRule="auto"/>
        <w:rPr>
          <w:iCs/>
          <w:lang w:val="hu-HU"/>
        </w:rPr>
      </w:pPr>
    </w:p>
    <w:p w14:paraId="43815F48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5531251F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Terhes nőknél történő alkalmazásra nincs megfelelő adat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tekintetében.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végzett állatkísérletek során nagy dózisok mellett reprodukciós toxicitást igazoltak.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esetében az állatkísérletek során nem igazoltak reprodukciós toxicitást.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végzett állatkísérletek </w:t>
      </w:r>
      <w:proofErr w:type="spellStart"/>
      <w:r>
        <w:rPr>
          <w:lang w:val="hu-HU"/>
        </w:rPr>
        <w:t>teratogenitásra</w:t>
      </w:r>
      <w:proofErr w:type="spellEnd"/>
      <w:r>
        <w:rPr>
          <w:lang w:val="hu-HU"/>
        </w:rPr>
        <w:t xml:space="preserve"> utaló jeleket nem, de </w:t>
      </w:r>
      <w:proofErr w:type="spellStart"/>
      <w:r>
        <w:rPr>
          <w:lang w:val="hu-HU"/>
        </w:rPr>
        <w:t>foetotoxikus</w:t>
      </w:r>
      <w:proofErr w:type="spellEnd"/>
      <w:r>
        <w:rPr>
          <w:lang w:val="hu-HU"/>
        </w:rPr>
        <w:t xml:space="preserve"> hatást kimutattak az anya számára toxikus dózisok mellett (lásd 5.3 pont). Embernél a potenciális veszély nem ismert.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>-t a terhesség ideje alatt nem javasolt alkalmazni.</w:t>
      </w:r>
    </w:p>
    <w:p w14:paraId="5969F98A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519716D2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2C53618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Állatkísérletek kimutatták, hogy mind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, mind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 az anyatejbe. Nem ismert, hogy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-e a humán anyatejbe, de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kis mennyiségekben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 a humán anyatejbe. Mind az újszülött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miatti </w:t>
      </w:r>
      <w:proofErr w:type="spellStart"/>
      <w:r>
        <w:rPr>
          <w:lang w:val="hu-HU"/>
        </w:rPr>
        <w:lastRenderedPageBreak/>
        <w:t>hypoglykaemiájának</w:t>
      </w:r>
      <w:proofErr w:type="spellEnd"/>
      <w:r>
        <w:rPr>
          <w:lang w:val="hu-HU"/>
        </w:rPr>
        <w:t xml:space="preserve"> potenciális kockázata, mind a </w:t>
      </w:r>
      <w:proofErr w:type="spellStart"/>
      <w:r>
        <w:rPr>
          <w:lang w:val="hu-HU"/>
        </w:rPr>
        <w:t>vildagliptinre</w:t>
      </w:r>
      <w:proofErr w:type="spellEnd"/>
      <w:r>
        <w:rPr>
          <w:lang w:val="hu-HU"/>
        </w:rPr>
        <w:t xml:space="preserve"> vonatkozó humán adatok hiánya miatt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alkalmazása szoptatás alatt ellenjavallt (lásd 4.3 pont).</w:t>
      </w:r>
    </w:p>
    <w:p w14:paraId="15D0B5A9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02D5CA6C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14:paraId="5EC34349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Vimetso-val</w:t>
      </w:r>
      <w:proofErr w:type="spellEnd"/>
      <w:r>
        <w:rPr>
          <w:lang w:val="hu-HU"/>
        </w:rPr>
        <w:t xml:space="preserve"> nem végeztek humán termékenységre gyakorolt hatásokra vonatkozó vizsgálatokat (lásd 5.3 pont).</w:t>
      </w:r>
    </w:p>
    <w:p w14:paraId="03F92E41" w14:textId="77777777" w:rsidR="006A22CA" w:rsidRDefault="006A22CA">
      <w:pPr>
        <w:spacing w:line="240" w:lineRule="auto"/>
        <w:rPr>
          <w:lang w:val="hu-HU"/>
        </w:rPr>
      </w:pPr>
    </w:p>
    <w:p w14:paraId="097018DB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4.7</w:t>
      </w:r>
      <w:r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2C76479A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0A5A1B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A készítménynek a gépjárművezetéshez és gépek kezeléséhez szükséges képességeket befolyásoló hatásait nem vizsgálták. A mellékhatásként szédülést tapasztaló betegeknek kerülniük kell a gépjárművezetést, illetve a gépek kezelését.</w:t>
      </w:r>
    </w:p>
    <w:p w14:paraId="7D397085" w14:textId="77777777" w:rsidR="006A22CA" w:rsidRDefault="006A22CA">
      <w:pPr>
        <w:spacing w:line="240" w:lineRule="auto"/>
        <w:rPr>
          <w:lang w:val="hu-HU"/>
        </w:rPr>
      </w:pPr>
    </w:p>
    <w:p w14:paraId="1F9EA15E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4.8</w:t>
      </w:r>
      <w:r>
        <w:rPr>
          <w:b/>
          <w:bCs/>
          <w:lang w:val="hu-HU"/>
        </w:rPr>
        <w:tab/>
        <w:t>Nemkívánatos hatások, mellékhatások</w:t>
      </w:r>
    </w:p>
    <w:p w14:paraId="23A16127" w14:textId="77777777" w:rsidR="006A22CA" w:rsidRDefault="006A22CA">
      <w:pPr>
        <w:spacing w:line="240" w:lineRule="auto"/>
        <w:rPr>
          <w:iCs/>
          <w:lang w:val="hu-HU"/>
        </w:rPr>
      </w:pPr>
    </w:p>
    <w:p w14:paraId="0118CC05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biztonságossági profil összefoglalása</w:t>
      </w:r>
    </w:p>
    <w:p w14:paraId="2F578DCC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Összesen 6197 olyan betegről gyűjtöttek gyógyszerbiztonsági adatokat, akik egyidejűleg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metformint</w:t>
      </w:r>
      <w:proofErr w:type="spellEnd"/>
      <w:r>
        <w:rPr>
          <w:lang w:val="hu-HU"/>
        </w:rPr>
        <w:t xml:space="preserve"> kaptak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 xml:space="preserve">, placebokontrollos vizsgálatokban. Közülük 3698 beteg kapott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metformint</w:t>
      </w:r>
      <w:proofErr w:type="spellEnd"/>
      <w:r>
        <w:rPr>
          <w:lang w:val="hu-HU"/>
        </w:rPr>
        <w:t xml:space="preserve"> és 2499 beteg kapott placebo/</w:t>
      </w:r>
      <w:proofErr w:type="spellStart"/>
      <w:r>
        <w:rPr>
          <w:lang w:val="hu-HU"/>
        </w:rPr>
        <w:t>metformint</w:t>
      </w:r>
      <w:proofErr w:type="spellEnd"/>
      <w:r>
        <w:rPr>
          <w:lang w:val="hu-HU"/>
        </w:rPr>
        <w:t>.</w:t>
      </w:r>
    </w:p>
    <w:p w14:paraId="4CE78481" w14:textId="77777777" w:rsidR="006A22CA" w:rsidRDefault="006A22CA">
      <w:pPr>
        <w:spacing w:line="240" w:lineRule="auto"/>
        <w:rPr>
          <w:lang w:val="hu-HU"/>
        </w:rPr>
      </w:pPr>
    </w:p>
    <w:p w14:paraId="68D33372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Bár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fix dózisú kombinációjával nem végeztek terápiás klinikai vizsgálatokat, azonban a fix dózisú kombinációs készítmény, valamint az egyidejűleg alkalmazott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kombináció közötti </w:t>
      </w:r>
      <w:proofErr w:type="spellStart"/>
      <w:r>
        <w:rPr>
          <w:lang w:val="hu-HU"/>
        </w:rPr>
        <w:t>bioekvivalenciát</w:t>
      </w:r>
      <w:proofErr w:type="spellEnd"/>
      <w:r>
        <w:rPr>
          <w:lang w:val="hu-HU"/>
        </w:rPr>
        <w:t xml:space="preserve"> igazolták (lásd 5.2 pont).</w:t>
      </w:r>
    </w:p>
    <w:p w14:paraId="09699833" w14:textId="77777777" w:rsidR="006A22CA" w:rsidRDefault="006A22CA">
      <w:pPr>
        <w:spacing w:line="240" w:lineRule="auto"/>
        <w:rPr>
          <w:lang w:val="hu-HU"/>
        </w:rPr>
      </w:pPr>
    </w:p>
    <w:p w14:paraId="330092B4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mellékhatások többsége enyhe és átmeneti volt, és nem igényelték a kezelés felfüggesztését. Nem találtak összefüggést a mellékhatások, valamint az életkor, etnikai hovatartozás, az expozíció időtartama, illetve a napi dózis között.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alkalmazása </w:t>
      </w:r>
      <w:proofErr w:type="spellStart"/>
      <w:r>
        <w:rPr>
          <w:lang w:val="hu-HU"/>
        </w:rPr>
        <w:t>pancreatitis</w:t>
      </w:r>
      <w:proofErr w:type="spellEnd"/>
      <w:r>
        <w:rPr>
          <w:lang w:val="hu-HU"/>
        </w:rPr>
        <w:t xml:space="preserve"> kialakulásának kockázatával jár. Beszámoltak </w:t>
      </w:r>
      <w:proofErr w:type="spellStart"/>
      <w:r>
        <w:rPr>
          <w:lang w:val="hu-HU"/>
        </w:rPr>
        <w:t>laktátacidózisról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alkalmazását követően, különösen olyan betegeknél, akiknél alapbetegségként vesekárosodás áll fenn (lásd 4.4. pont).</w:t>
      </w:r>
    </w:p>
    <w:p w14:paraId="3808C361" w14:textId="77777777" w:rsidR="006A22CA" w:rsidRDefault="006A22CA">
      <w:pPr>
        <w:spacing w:line="240" w:lineRule="auto"/>
        <w:rPr>
          <w:lang w:val="hu-HU"/>
        </w:rPr>
      </w:pPr>
    </w:p>
    <w:p w14:paraId="433C3EB9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A mellékhatások táblázatos felsorolása</w:t>
      </w:r>
    </w:p>
    <w:p w14:paraId="793F1AE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alábbiakban szervrendszerenként és abszolút gyakoriság szerint kerülnek felsorolásra azok a mellékhatások, amelyekről a kettős vak vizsgálatokban </w:t>
      </w:r>
      <w:proofErr w:type="spellStart"/>
      <w:r>
        <w:rPr>
          <w:lang w:val="hu-HU"/>
        </w:rPr>
        <w:t>monoterápiában</w:t>
      </w:r>
      <w:proofErr w:type="spellEnd"/>
      <w:r>
        <w:rPr>
          <w:lang w:val="hu-HU"/>
        </w:rPr>
        <w:t xml:space="preserve">, illetve kiegészítő kezelésként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kapó betegeknél számoltak be. A gyakorisági kategóriák meghatározása: nagyon gyakori (≥1/10), gyakori (≥1/100 – &lt;1/10), nem gyakori (≥1/1000 – &lt;1/100), ritka (≥1/10 000 – &lt;1/1000) nagyon ritka (&lt;1/10 000), nem ismert (a gyakoriság a rendelkezésre álló adatokból nem állapítható meg). Az egyes gyakorisági kategóriákon belül a mellékhatások csökkenő súlyosság szerint kerülnek megadásra.</w:t>
      </w:r>
    </w:p>
    <w:p w14:paraId="04F88FCD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4EB16AA3" w14:textId="77777777" w:rsidR="006A22CA" w:rsidRDefault="00BA2766">
      <w:pPr>
        <w:spacing w:line="240" w:lineRule="auto"/>
        <w:ind w:left="1410" w:hanging="1410"/>
        <w:rPr>
          <w:b/>
          <w:lang w:val="hu-HU"/>
        </w:rPr>
      </w:pPr>
      <w:r>
        <w:rPr>
          <w:b/>
          <w:lang w:val="hu-HU"/>
        </w:rPr>
        <w:t>1. táblázat</w:t>
      </w:r>
      <w:r>
        <w:rPr>
          <w:b/>
          <w:lang w:val="hu-HU"/>
        </w:rPr>
        <w:tab/>
        <w:t xml:space="preserve">Klinikai vizsgálatokban és a forgalomba hozatalt követően jelentett mellékhatások </w:t>
      </w:r>
      <w:proofErr w:type="spellStart"/>
      <w:r>
        <w:rPr>
          <w:b/>
          <w:lang w:val="hu-HU"/>
        </w:rPr>
        <w:t>vildagliptint</w:t>
      </w:r>
      <w:proofErr w:type="spellEnd"/>
      <w:r>
        <w:rPr>
          <w:b/>
          <w:lang w:val="hu-HU"/>
        </w:rPr>
        <w:t xml:space="preserve"> és </w:t>
      </w:r>
      <w:proofErr w:type="spellStart"/>
      <w:r>
        <w:rPr>
          <w:b/>
          <w:lang w:val="hu-HU"/>
        </w:rPr>
        <w:t>metformint</w:t>
      </w:r>
      <w:proofErr w:type="spellEnd"/>
      <w:r>
        <w:rPr>
          <w:b/>
          <w:lang w:val="hu-HU"/>
        </w:rPr>
        <w:t xml:space="preserve"> (</w:t>
      </w:r>
      <w:proofErr w:type="spellStart"/>
      <w:r>
        <w:rPr>
          <w:b/>
          <w:lang w:val="hu-HU"/>
        </w:rPr>
        <w:t>monokomponensű</w:t>
      </w:r>
      <w:proofErr w:type="spellEnd"/>
      <w:r>
        <w:rPr>
          <w:b/>
          <w:lang w:val="hu-HU"/>
        </w:rPr>
        <w:t xml:space="preserve"> készítmények formájában vagy fix kombinációban) kapó betegeknél, illetve </w:t>
      </w:r>
      <w:proofErr w:type="spellStart"/>
      <w:r>
        <w:rPr>
          <w:b/>
          <w:lang w:val="hu-HU"/>
        </w:rPr>
        <w:t>vildagliptint</w:t>
      </w:r>
      <w:proofErr w:type="spellEnd"/>
      <w:r>
        <w:rPr>
          <w:b/>
          <w:lang w:val="hu-HU"/>
        </w:rPr>
        <w:t xml:space="preserve"> és </w:t>
      </w:r>
      <w:proofErr w:type="spellStart"/>
      <w:r>
        <w:rPr>
          <w:b/>
          <w:lang w:val="hu-HU"/>
        </w:rPr>
        <w:t>metformint</w:t>
      </w:r>
      <w:proofErr w:type="spellEnd"/>
      <w:r>
        <w:rPr>
          <w:b/>
          <w:lang w:val="hu-HU"/>
        </w:rPr>
        <w:t xml:space="preserve"> egyéb </w:t>
      </w:r>
      <w:proofErr w:type="spellStart"/>
      <w:r>
        <w:rPr>
          <w:b/>
          <w:lang w:val="hu-HU"/>
        </w:rPr>
        <w:t>antidiabetikumokkal</w:t>
      </w:r>
      <w:proofErr w:type="spellEnd"/>
      <w:r>
        <w:rPr>
          <w:b/>
          <w:lang w:val="hu-HU"/>
        </w:rPr>
        <w:t xml:space="preserve"> kombinációban kapó betegeknél </w:t>
      </w:r>
    </w:p>
    <w:p w14:paraId="0754CDC7" w14:textId="77777777" w:rsidR="006A22CA" w:rsidRDefault="006A22CA">
      <w:pPr>
        <w:spacing w:line="240" w:lineRule="auto"/>
        <w:rPr>
          <w:u w:val="single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6A22CA" w14:paraId="6639D5A5" w14:textId="77777777">
        <w:tc>
          <w:tcPr>
            <w:tcW w:w="4530" w:type="dxa"/>
          </w:tcPr>
          <w:p w14:paraId="5B67079C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Szervrendszeri kategória – mellékhatás</w:t>
            </w:r>
          </w:p>
        </w:tc>
        <w:tc>
          <w:tcPr>
            <w:tcW w:w="4530" w:type="dxa"/>
          </w:tcPr>
          <w:p w14:paraId="1A9BCDFB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Gyakoriság</w:t>
            </w:r>
          </w:p>
        </w:tc>
      </w:tr>
      <w:tr w:rsidR="006A22CA" w14:paraId="712ED612" w14:textId="77777777">
        <w:tc>
          <w:tcPr>
            <w:tcW w:w="9060" w:type="dxa"/>
            <w:gridSpan w:val="2"/>
          </w:tcPr>
          <w:p w14:paraId="53C61560" w14:textId="77777777" w:rsidR="006A22CA" w:rsidRDefault="00BA2766">
            <w:pPr>
              <w:spacing w:line="240" w:lineRule="auto"/>
              <w:rPr>
                <w:b/>
                <w:u w:val="single"/>
                <w:lang w:val="hu-HU"/>
              </w:rPr>
            </w:pPr>
            <w:r>
              <w:rPr>
                <w:b/>
                <w:lang w:val="hu-HU"/>
              </w:rPr>
              <w:t>Fertőző betegségek és parazitafertőzések</w:t>
            </w:r>
          </w:p>
        </w:tc>
      </w:tr>
      <w:tr w:rsidR="006A22CA" w14:paraId="2ABB937E" w14:textId="77777777">
        <w:tc>
          <w:tcPr>
            <w:tcW w:w="4530" w:type="dxa"/>
          </w:tcPr>
          <w:p w14:paraId="2CD75458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Felső légúti fertőzés</w:t>
            </w:r>
          </w:p>
        </w:tc>
        <w:tc>
          <w:tcPr>
            <w:tcW w:w="4530" w:type="dxa"/>
          </w:tcPr>
          <w:p w14:paraId="5BCB8BB5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4759CF5D" w14:textId="77777777">
        <w:tc>
          <w:tcPr>
            <w:tcW w:w="4530" w:type="dxa"/>
          </w:tcPr>
          <w:p w14:paraId="79162276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>
              <w:rPr>
                <w:lang w:val="hu-HU"/>
              </w:rPr>
              <w:t>Nasopharyngitis</w:t>
            </w:r>
            <w:proofErr w:type="spellEnd"/>
          </w:p>
        </w:tc>
        <w:tc>
          <w:tcPr>
            <w:tcW w:w="4530" w:type="dxa"/>
          </w:tcPr>
          <w:p w14:paraId="6134F2F7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30320D23" w14:textId="77777777">
        <w:tc>
          <w:tcPr>
            <w:tcW w:w="9060" w:type="dxa"/>
            <w:gridSpan w:val="2"/>
          </w:tcPr>
          <w:p w14:paraId="5B74F042" w14:textId="77777777" w:rsidR="006A22CA" w:rsidRDefault="00BA2766">
            <w:pPr>
              <w:spacing w:line="240" w:lineRule="auto"/>
              <w:rPr>
                <w:b/>
                <w:u w:val="single"/>
                <w:lang w:val="hu-HU"/>
              </w:rPr>
            </w:pPr>
            <w:r>
              <w:rPr>
                <w:b/>
                <w:lang w:val="hu-HU"/>
              </w:rPr>
              <w:t>Anyagcsere- és táplálkozási betegségek és tünetek</w:t>
            </w:r>
          </w:p>
        </w:tc>
      </w:tr>
      <w:tr w:rsidR="006A22CA" w14:paraId="7AD01D6F" w14:textId="77777777">
        <w:tc>
          <w:tcPr>
            <w:tcW w:w="4530" w:type="dxa"/>
          </w:tcPr>
          <w:p w14:paraId="0B2EC68B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Hypoglykaemia</w:t>
            </w:r>
            <w:proofErr w:type="spellEnd"/>
          </w:p>
        </w:tc>
        <w:tc>
          <w:tcPr>
            <w:tcW w:w="4530" w:type="dxa"/>
          </w:tcPr>
          <w:p w14:paraId="1C837945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0366B218" w14:textId="77777777">
        <w:tc>
          <w:tcPr>
            <w:tcW w:w="4530" w:type="dxa"/>
          </w:tcPr>
          <w:p w14:paraId="1D063592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Étvágytalanság</w:t>
            </w:r>
          </w:p>
        </w:tc>
        <w:tc>
          <w:tcPr>
            <w:tcW w:w="4530" w:type="dxa"/>
          </w:tcPr>
          <w:p w14:paraId="1241DA77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0CF341D2" w14:textId="77777777">
        <w:tc>
          <w:tcPr>
            <w:tcW w:w="4530" w:type="dxa"/>
          </w:tcPr>
          <w:p w14:paraId="15CAF24D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A B</w:t>
            </w:r>
            <w:r>
              <w:rPr>
                <w:vertAlign w:val="subscript"/>
                <w:lang w:val="hu-HU"/>
              </w:rPr>
              <w:t>12</w:t>
            </w:r>
            <w:r>
              <w:rPr>
                <w:lang w:val="hu-HU"/>
              </w:rPr>
              <w:t xml:space="preserve">-vitamin csökkent felszívódása és </w:t>
            </w:r>
            <w:proofErr w:type="spellStart"/>
            <w:r>
              <w:rPr>
                <w:lang w:val="hu-HU"/>
              </w:rPr>
              <w:t>laktátacidózis</w:t>
            </w:r>
            <w:proofErr w:type="spellEnd"/>
          </w:p>
        </w:tc>
        <w:tc>
          <w:tcPr>
            <w:tcW w:w="4530" w:type="dxa"/>
          </w:tcPr>
          <w:p w14:paraId="25BE3490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Nagyon ritka*</w:t>
            </w:r>
          </w:p>
        </w:tc>
      </w:tr>
      <w:tr w:rsidR="006A22CA" w14:paraId="4AA9AC54" w14:textId="77777777">
        <w:tc>
          <w:tcPr>
            <w:tcW w:w="9060" w:type="dxa"/>
            <w:gridSpan w:val="2"/>
          </w:tcPr>
          <w:p w14:paraId="6B30D008" w14:textId="77777777" w:rsidR="006A22CA" w:rsidRDefault="00BA2766">
            <w:pPr>
              <w:spacing w:line="240" w:lineRule="auto"/>
              <w:rPr>
                <w:b/>
                <w:u w:val="single"/>
                <w:lang w:val="hu-HU"/>
              </w:rPr>
            </w:pPr>
            <w:r>
              <w:rPr>
                <w:b/>
                <w:lang w:val="hu-HU"/>
              </w:rPr>
              <w:t>Idegrendszeri betegségek és tünetek</w:t>
            </w:r>
          </w:p>
        </w:tc>
      </w:tr>
      <w:tr w:rsidR="006A22CA" w14:paraId="0FA71766" w14:textId="77777777">
        <w:tc>
          <w:tcPr>
            <w:tcW w:w="4530" w:type="dxa"/>
          </w:tcPr>
          <w:p w14:paraId="6A45023B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Szédülés</w:t>
            </w:r>
          </w:p>
        </w:tc>
        <w:tc>
          <w:tcPr>
            <w:tcW w:w="4530" w:type="dxa"/>
          </w:tcPr>
          <w:p w14:paraId="74738AF7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208253D3" w14:textId="77777777">
        <w:tc>
          <w:tcPr>
            <w:tcW w:w="4530" w:type="dxa"/>
          </w:tcPr>
          <w:p w14:paraId="18396CAA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Fejfájás</w:t>
            </w:r>
          </w:p>
        </w:tc>
        <w:tc>
          <w:tcPr>
            <w:tcW w:w="4530" w:type="dxa"/>
          </w:tcPr>
          <w:p w14:paraId="6E0A699B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1C15FB6C" w14:textId="77777777">
        <w:tc>
          <w:tcPr>
            <w:tcW w:w="4530" w:type="dxa"/>
          </w:tcPr>
          <w:p w14:paraId="42D68A83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lastRenderedPageBreak/>
              <w:t>Remegés</w:t>
            </w:r>
          </w:p>
        </w:tc>
        <w:tc>
          <w:tcPr>
            <w:tcW w:w="4530" w:type="dxa"/>
          </w:tcPr>
          <w:p w14:paraId="3B8C9AA8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10F8F6DA" w14:textId="77777777">
        <w:tc>
          <w:tcPr>
            <w:tcW w:w="4530" w:type="dxa"/>
          </w:tcPr>
          <w:p w14:paraId="125B104A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Fémes szájíz</w:t>
            </w:r>
          </w:p>
        </w:tc>
        <w:tc>
          <w:tcPr>
            <w:tcW w:w="4530" w:type="dxa"/>
          </w:tcPr>
          <w:p w14:paraId="4A8CA73F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649E0245" w14:textId="77777777">
        <w:tc>
          <w:tcPr>
            <w:tcW w:w="9060" w:type="dxa"/>
            <w:gridSpan w:val="2"/>
          </w:tcPr>
          <w:p w14:paraId="3A22D04E" w14:textId="77777777" w:rsidR="006A22CA" w:rsidRDefault="00BA2766">
            <w:pPr>
              <w:spacing w:line="240" w:lineRule="auto"/>
              <w:rPr>
                <w:b/>
                <w:u w:val="single"/>
                <w:lang w:val="hu-HU"/>
              </w:rPr>
            </w:pPr>
            <w:r>
              <w:rPr>
                <w:b/>
                <w:lang w:val="hu-HU"/>
              </w:rPr>
              <w:t>Emésztőrendszeri betegségek és tünetek</w:t>
            </w:r>
          </w:p>
        </w:tc>
      </w:tr>
      <w:tr w:rsidR="006A22CA" w14:paraId="64B5F5CB" w14:textId="77777777">
        <w:tc>
          <w:tcPr>
            <w:tcW w:w="4530" w:type="dxa"/>
          </w:tcPr>
          <w:p w14:paraId="1CCA0B47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Hányás</w:t>
            </w:r>
          </w:p>
        </w:tc>
        <w:tc>
          <w:tcPr>
            <w:tcW w:w="4530" w:type="dxa"/>
          </w:tcPr>
          <w:p w14:paraId="0E1F6016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0B0DB55F" w14:textId="77777777">
        <w:tc>
          <w:tcPr>
            <w:tcW w:w="4530" w:type="dxa"/>
          </w:tcPr>
          <w:p w14:paraId="33A369BA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Hasmenés</w:t>
            </w:r>
          </w:p>
        </w:tc>
        <w:tc>
          <w:tcPr>
            <w:tcW w:w="4530" w:type="dxa"/>
          </w:tcPr>
          <w:p w14:paraId="1F1BDD83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46A708FE" w14:textId="77777777">
        <w:tc>
          <w:tcPr>
            <w:tcW w:w="4530" w:type="dxa"/>
          </w:tcPr>
          <w:p w14:paraId="27F3BBA1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Hányinger</w:t>
            </w:r>
          </w:p>
        </w:tc>
        <w:tc>
          <w:tcPr>
            <w:tcW w:w="4530" w:type="dxa"/>
          </w:tcPr>
          <w:p w14:paraId="4C71D938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019FB7F2" w14:textId="77777777">
        <w:tc>
          <w:tcPr>
            <w:tcW w:w="4530" w:type="dxa"/>
          </w:tcPr>
          <w:p w14:paraId="1110D556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Gastrooesophagealis</w:t>
            </w:r>
            <w:proofErr w:type="spellEnd"/>
            <w:r>
              <w:rPr>
                <w:lang w:val="hu-HU"/>
              </w:rPr>
              <w:t xml:space="preserve"> refluxbetegség</w:t>
            </w:r>
          </w:p>
        </w:tc>
        <w:tc>
          <w:tcPr>
            <w:tcW w:w="4530" w:type="dxa"/>
          </w:tcPr>
          <w:p w14:paraId="4DD50EA5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5A1F0E4B" w14:textId="77777777">
        <w:tc>
          <w:tcPr>
            <w:tcW w:w="4530" w:type="dxa"/>
          </w:tcPr>
          <w:p w14:paraId="676076E2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Flatulencia</w:t>
            </w:r>
            <w:proofErr w:type="spellEnd"/>
          </w:p>
        </w:tc>
        <w:tc>
          <w:tcPr>
            <w:tcW w:w="4530" w:type="dxa"/>
          </w:tcPr>
          <w:p w14:paraId="7ABDB03D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56BFBCEC" w14:textId="77777777">
        <w:tc>
          <w:tcPr>
            <w:tcW w:w="4530" w:type="dxa"/>
          </w:tcPr>
          <w:p w14:paraId="74743014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Székrekedés</w:t>
            </w:r>
          </w:p>
        </w:tc>
        <w:tc>
          <w:tcPr>
            <w:tcW w:w="4530" w:type="dxa"/>
          </w:tcPr>
          <w:p w14:paraId="2865717E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0F8CEF0A" w14:textId="77777777">
        <w:tc>
          <w:tcPr>
            <w:tcW w:w="4530" w:type="dxa"/>
          </w:tcPr>
          <w:p w14:paraId="14BF94E3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Hasi fájdalom, beleértve a has felső részén fellépő fájdalmat is</w:t>
            </w:r>
          </w:p>
        </w:tc>
        <w:tc>
          <w:tcPr>
            <w:tcW w:w="4530" w:type="dxa"/>
          </w:tcPr>
          <w:p w14:paraId="14BF7234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4C79177B" w14:textId="77777777">
        <w:tc>
          <w:tcPr>
            <w:tcW w:w="4530" w:type="dxa"/>
          </w:tcPr>
          <w:p w14:paraId="2CBB0450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Pancreatitis</w:t>
            </w:r>
            <w:proofErr w:type="spellEnd"/>
          </w:p>
        </w:tc>
        <w:tc>
          <w:tcPr>
            <w:tcW w:w="4530" w:type="dxa"/>
          </w:tcPr>
          <w:p w14:paraId="1DA134F3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36E55EB4" w14:textId="77777777">
        <w:tc>
          <w:tcPr>
            <w:tcW w:w="9060" w:type="dxa"/>
            <w:gridSpan w:val="2"/>
          </w:tcPr>
          <w:p w14:paraId="5C86B547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Máj- és epebetegségek, illetve tünetek</w:t>
            </w:r>
          </w:p>
        </w:tc>
      </w:tr>
      <w:tr w:rsidR="006A22CA" w14:paraId="3CB21B8C" w14:textId="77777777">
        <w:tc>
          <w:tcPr>
            <w:tcW w:w="4530" w:type="dxa"/>
          </w:tcPr>
          <w:p w14:paraId="186EE72D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Hepatitis</w:t>
            </w:r>
          </w:p>
        </w:tc>
        <w:tc>
          <w:tcPr>
            <w:tcW w:w="4530" w:type="dxa"/>
          </w:tcPr>
          <w:p w14:paraId="71A75D45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48A9C4F0" w14:textId="77777777">
        <w:tc>
          <w:tcPr>
            <w:tcW w:w="9060" w:type="dxa"/>
            <w:gridSpan w:val="2"/>
          </w:tcPr>
          <w:p w14:paraId="17D7B0E3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A bőr és a bőr alatti szövet betegségei és tünetei</w:t>
            </w:r>
          </w:p>
        </w:tc>
      </w:tr>
      <w:tr w:rsidR="006A22CA" w14:paraId="00B209C8" w14:textId="77777777">
        <w:tc>
          <w:tcPr>
            <w:tcW w:w="4530" w:type="dxa"/>
          </w:tcPr>
          <w:p w14:paraId="33F5082D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Hyperhidrosis</w:t>
            </w:r>
            <w:proofErr w:type="spellEnd"/>
          </w:p>
        </w:tc>
        <w:tc>
          <w:tcPr>
            <w:tcW w:w="4530" w:type="dxa"/>
          </w:tcPr>
          <w:p w14:paraId="5A4769C8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796BC604" w14:textId="77777777">
        <w:tc>
          <w:tcPr>
            <w:tcW w:w="4530" w:type="dxa"/>
          </w:tcPr>
          <w:p w14:paraId="492DF541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Pruritus</w:t>
            </w:r>
            <w:proofErr w:type="spellEnd"/>
          </w:p>
        </w:tc>
        <w:tc>
          <w:tcPr>
            <w:tcW w:w="4530" w:type="dxa"/>
          </w:tcPr>
          <w:p w14:paraId="03268FEA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6B1ED086" w14:textId="77777777">
        <w:tc>
          <w:tcPr>
            <w:tcW w:w="4530" w:type="dxa"/>
          </w:tcPr>
          <w:p w14:paraId="369888A2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Kiütés</w:t>
            </w:r>
          </w:p>
        </w:tc>
        <w:tc>
          <w:tcPr>
            <w:tcW w:w="4530" w:type="dxa"/>
          </w:tcPr>
          <w:p w14:paraId="14BE7F1A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6F184ED7" w14:textId="77777777">
        <w:tc>
          <w:tcPr>
            <w:tcW w:w="4530" w:type="dxa"/>
          </w:tcPr>
          <w:p w14:paraId="18329AD8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Dermatitis</w:t>
            </w:r>
            <w:proofErr w:type="spellEnd"/>
          </w:p>
        </w:tc>
        <w:tc>
          <w:tcPr>
            <w:tcW w:w="4530" w:type="dxa"/>
          </w:tcPr>
          <w:p w14:paraId="686B152D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0A0D4403" w14:textId="77777777">
        <w:tc>
          <w:tcPr>
            <w:tcW w:w="4530" w:type="dxa"/>
          </w:tcPr>
          <w:p w14:paraId="129572BD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Erythema</w:t>
            </w:r>
            <w:proofErr w:type="spellEnd"/>
          </w:p>
        </w:tc>
        <w:tc>
          <w:tcPr>
            <w:tcW w:w="4530" w:type="dxa"/>
          </w:tcPr>
          <w:p w14:paraId="0A5F6E0B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22A561F1" w14:textId="77777777">
        <w:tc>
          <w:tcPr>
            <w:tcW w:w="4530" w:type="dxa"/>
          </w:tcPr>
          <w:p w14:paraId="39F6DA6B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Urticaria</w:t>
            </w:r>
            <w:proofErr w:type="spellEnd"/>
          </w:p>
        </w:tc>
        <w:tc>
          <w:tcPr>
            <w:tcW w:w="4530" w:type="dxa"/>
          </w:tcPr>
          <w:p w14:paraId="4E25FE9B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1E28436F" w14:textId="77777777">
        <w:tc>
          <w:tcPr>
            <w:tcW w:w="4530" w:type="dxa"/>
          </w:tcPr>
          <w:p w14:paraId="3DAB2807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Exfoliativ</w:t>
            </w:r>
            <w:proofErr w:type="spellEnd"/>
            <w:r>
              <w:rPr>
                <w:lang w:val="hu-HU"/>
              </w:rPr>
              <w:t xml:space="preserve"> és </w:t>
            </w:r>
            <w:proofErr w:type="spellStart"/>
            <w:r>
              <w:rPr>
                <w:lang w:val="hu-HU"/>
              </w:rPr>
              <w:t>bullosus</w:t>
            </w:r>
            <w:proofErr w:type="spellEnd"/>
            <w:r>
              <w:rPr>
                <w:lang w:val="hu-HU"/>
              </w:rPr>
              <w:t xml:space="preserve"> bőrelváltozások, a </w:t>
            </w:r>
            <w:proofErr w:type="spellStart"/>
            <w:r>
              <w:rPr>
                <w:lang w:val="hu-HU"/>
              </w:rPr>
              <w:t>bullosus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pemphigoidot</w:t>
            </w:r>
            <w:proofErr w:type="spellEnd"/>
            <w:r>
              <w:rPr>
                <w:lang w:val="hu-HU"/>
              </w:rPr>
              <w:t xml:space="preserve"> is beleértve</w:t>
            </w:r>
          </w:p>
        </w:tc>
        <w:tc>
          <w:tcPr>
            <w:tcW w:w="4530" w:type="dxa"/>
          </w:tcPr>
          <w:p w14:paraId="6A2B6756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ismert</w:t>
            </w:r>
            <w:r>
              <w:rPr>
                <w:vertAlign w:val="superscript"/>
                <w:lang w:val="hu-HU"/>
              </w:rPr>
              <w:t>†</w:t>
            </w:r>
          </w:p>
        </w:tc>
      </w:tr>
      <w:tr w:rsidR="006A22CA" w14:paraId="0563C606" w14:textId="77777777">
        <w:tc>
          <w:tcPr>
            <w:tcW w:w="4530" w:type="dxa"/>
          </w:tcPr>
          <w:p w14:paraId="09AFB01A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Cutan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vasculitis</w:t>
            </w:r>
            <w:proofErr w:type="spellEnd"/>
          </w:p>
        </w:tc>
        <w:tc>
          <w:tcPr>
            <w:tcW w:w="4530" w:type="dxa"/>
          </w:tcPr>
          <w:p w14:paraId="34038075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ismert</w:t>
            </w:r>
            <w:r>
              <w:rPr>
                <w:vertAlign w:val="superscript"/>
                <w:lang w:val="hu-HU"/>
              </w:rPr>
              <w:t>†</w:t>
            </w:r>
          </w:p>
        </w:tc>
      </w:tr>
      <w:tr w:rsidR="006A22CA" w14:paraId="130BE14D" w14:textId="77777777">
        <w:tc>
          <w:tcPr>
            <w:tcW w:w="9060" w:type="dxa"/>
            <w:gridSpan w:val="2"/>
          </w:tcPr>
          <w:p w14:paraId="5FB08C86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A csont- és izomrendszer, valamint a kötőszövet betegségei és tünetei</w:t>
            </w:r>
          </w:p>
        </w:tc>
      </w:tr>
      <w:tr w:rsidR="006A22CA" w14:paraId="7DDE55D6" w14:textId="77777777">
        <w:tc>
          <w:tcPr>
            <w:tcW w:w="4530" w:type="dxa"/>
          </w:tcPr>
          <w:p w14:paraId="49CEFAAC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proofErr w:type="spellStart"/>
            <w:r>
              <w:rPr>
                <w:lang w:val="hu-HU"/>
              </w:rPr>
              <w:t>Arthralgia</w:t>
            </w:r>
            <w:proofErr w:type="spellEnd"/>
          </w:p>
        </w:tc>
        <w:tc>
          <w:tcPr>
            <w:tcW w:w="4530" w:type="dxa"/>
          </w:tcPr>
          <w:p w14:paraId="24737F10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Gyakori</w:t>
            </w:r>
          </w:p>
        </w:tc>
      </w:tr>
      <w:tr w:rsidR="006A22CA" w14:paraId="7845EE0E" w14:textId="77777777">
        <w:tc>
          <w:tcPr>
            <w:tcW w:w="4530" w:type="dxa"/>
          </w:tcPr>
          <w:p w14:paraId="558FE874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Myalgia</w:t>
            </w:r>
            <w:proofErr w:type="spellEnd"/>
          </w:p>
        </w:tc>
        <w:tc>
          <w:tcPr>
            <w:tcW w:w="4530" w:type="dxa"/>
          </w:tcPr>
          <w:p w14:paraId="0CD591C5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502F8CE3" w14:textId="77777777">
        <w:tc>
          <w:tcPr>
            <w:tcW w:w="9060" w:type="dxa"/>
            <w:gridSpan w:val="2"/>
          </w:tcPr>
          <w:p w14:paraId="2DCA97D5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Általános tünetek, az alkalmazás helyén fellépő reakciók</w:t>
            </w:r>
          </w:p>
        </w:tc>
      </w:tr>
      <w:tr w:rsidR="006A22CA" w14:paraId="77864861" w14:textId="77777777">
        <w:tc>
          <w:tcPr>
            <w:tcW w:w="4530" w:type="dxa"/>
          </w:tcPr>
          <w:p w14:paraId="4B3CB762" w14:textId="77777777" w:rsidR="006A22CA" w:rsidRDefault="00BA2766">
            <w:pPr>
              <w:spacing w:line="240" w:lineRule="auto"/>
              <w:rPr>
                <w:lang w:val="hu-HU"/>
              </w:rPr>
            </w:pPr>
            <w:proofErr w:type="spellStart"/>
            <w:r>
              <w:rPr>
                <w:lang w:val="hu-HU"/>
              </w:rPr>
              <w:t>Asthenia</w:t>
            </w:r>
            <w:proofErr w:type="spellEnd"/>
          </w:p>
        </w:tc>
        <w:tc>
          <w:tcPr>
            <w:tcW w:w="4530" w:type="dxa"/>
          </w:tcPr>
          <w:p w14:paraId="7353F90C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Gyakori </w:t>
            </w:r>
          </w:p>
        </w:tc>
      </w:tr>
      <w:tr w:rsidR="006A22CA" w14:paraId="61653997" w14:textId="77777777">
        <w:tc>
          <w:tcPr>
            <w:tcW w:w="4530" w:type="dxa"/>
          </w:tcPr>
          <w:p w14:paraId="7593975D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Kimerültség</w:t>
            </w:r>
          </w:p>
        </w:tc>
        <w:tc>
          <w:tcPr>
            <w:tcW w:w="4530" w:type="dxa"/>
          </w:tcPr>
          <w:p w14:paraId="3A22BACE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181E6AC0" w14:textId="77777777">
        <w:tc>
          <w:tcPr>
            <w:tcW w:w="4530" w:type="dxa"/>
          </w:tcPr>
          <w:p w14:paraId="035F3E03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Hidegrázás</w:t>
            </w:r>
          </w:p>
        </w:tc>
        <w:tc>
          <w:tcPr>
            <w:tcW w:w="4530" w:type="dxa"/>
          </w:tcPr>
          <w:p w14:paraId="77DA98A2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04C9BFEE" w14:textId="77777777">
        <w:tc>
          <w:tcPr>
            <w:tcW w:w="4530" w:type="dxa"/>
          </w:tcPr>
          <w:p w14:paraId="61F210CE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Perifériás </w:t>
            </w:r>
            <w:proofErr w:type="spellStart"/>
            <w:r>
              <w:rPr>
                <w:lang w:val="hu-HU"/>
              </w:rPr>
              <w:t>oedema</w:t>
            </w:r>
            <w:proofErr w:type="spellEnd"/>
            <w:r>
              <w:rPr>
                <w:lang w:val="hu-HU"/>
              </w:rPr>
              <w:t xml:space="preserve"> </w:t>
            </w:r>
          </w:p>
        </w:tc>
        <w:tc>
          <w:tcPr>
            <w:tcW w:w="4530" w:type="dxa"/>
          </w:tcPr>
          <w:p w14:paraId="1E7B8C80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5C290952" w14:textId="77777777">
        <w:tc>
          <w:tcPr>
            <w:tcW w:w="9060" w:type="dxa"/>
            <w:gridSpan w:val="2"/>
          </w:tcPr>
          <w:p w14:paraId="4AD4AE21" w14:textId="77777777" w:rsidR="006A22CA" w:rsidRDefault="00BA2766">
            <w:pPr>
              <w:spacing w:line="240" w:lineRule="auto"/>
              <w:rPr>
                <w:b/>
                <w:lang w:val="hu-HU"/>
              </w:rPr>
            </w:pPr>
            <w:r>
              <w:rPr>
                <w:b/>
                <w:lang w:val="hu-HU"/>
              </w:rPr>
              <w:t>Laboratóriumi és egyéb vizsgálatok eredményei</w:t>
            </w:r>
          </w:p>
        </w:tc>
      </w:tr>
      <w:tr w:rsidR="006A22CA" w14:paraId="67F33904" w14:textId="77777777">
        <w:tc>
          <w:tcPr>
            <w:tcW w:w="4530" w:type="dxa"/>
          </w:tcPr>
          <w:p w14:paraId="2D5766C2" w14:textId="77777777" w:rsidR="006A22CA" w:rsidRDefault="00BA2766">
            <w:pPr>
              <w:spacing w:line="240" w:lineRule="auto"/>
              <w:rPr>
                <w:lang w:val="hu-HU"/>
              </w:rPr>
            </w:pPr>
            <w:r>
              <w:rPr>
                <w:lang w:val="hu-HU"/>
              </w:rPr>
              <w:t xml:space="preserve">Rendellenes májfunkciós vizsgálati eredmények </w:t>
            </w:r>
          </w:p>
        </w:tc>
        <w:tc>
          <w:tcPr>
            <w:tcW w:w="4530" w:type="dxa"/>
          </w:tcPr>
          <w:p w14:paraId="0D0DDD66" w14:textId="77777777" w:rsidR="006A22CA" w:rsidRDefault="00BA2766">
            <w:pPr>
              <w:spacing w:line="240" w:lineRule="auto"/>
              <w:rPr>
                <w:u w:val="single"/>
                <w:lang w:val="hu-HU"/>
              </w:rPr>
            </w:pPr>
            <w:r>
              <w:rPr>
                <w:lang w:val="hu-HU"/>
              </w:rPr>
              <w:t>Nem gyakori</w:t>
            </w:r>
          </w:p>
        </w:tc>
      </w:tr>
      <w:tr w:rsidR="006A22CA" w14:paraId="748F858B" w14:textId="77777777">
        <w:tc>
          <w:tcPr>
            <w:tcW w:w="9060" w:type="dxa"/>
            <w:gridSpan w:val="2"/>
          </w:tcPr>
          <w:p w14:paraId="78DF39AC" w14:textId="77777777" w:rsidR="006A22CA" w:rsidRDefault="00BA2766">
            <w:pPr>
              <w:spacing w:line="240" w:lineRule="auto"/>
              <w:ind w:left="567" w:hanging="567"/>
              <w:rPr>
                <w:lang w:val="hu-HU"/>
              </w:rPr>
            </w:pPr>
            <w:r>
              <w:rPr>
                <w:lang w:val="hu-HU"/>
              </w:rPr>
              <w:t>*</w:t>
            </w:r>
            <w:r>
              <w:rPr>
                <w:lang w:val="hu-HU"/>
              </w:rPr>
              <w:tab/>
              <w:t xml:space="preserve">Ezeket a mellékhatásokat olyan betegeknél jelentették, akik a </w:t>
            </w:r>
            <w:proofErr w:type="spellStart"/>
            <w:r>
              <w:rPr>
                <w:lang w:val="hu-HU"/>
              </w:rPr>
              <w:t>metformint</w:t>
            </w:r>
            <w:proofErr w:type="spellEnd"/>
            <w:r>
              <w:rPr>
                <w:lang w:val="hu-HU"/>
              </w:rPr>
              <w:t xml:space="preserve"> </w:t>
            </w:r>
            <w:proofErr w:type="spellStart"/>
            <w:r>
              <w:rPr>
                <w:lang w:val="hu-HU"/>
              </w:rPr>
              <w:t>monoterápiában</w:t>
            </w:r>
            <w:proofErr w:type="spellEnd"/>
            <w:r>
              <w:rPr>
                <w:lang w:val="hu-HU"/>
              </w:rPr>
              <w:t xml:space="preserve"> kapták, továbbá nem észlelték olyan betegeknél, akik </w:t>
            </w:r>
            <w:proofErr w:type="spellStart"/>
            <w:r>
              <w:rPr>
                <w:lang w:val="hu-HU"/>
              </w:rPr>
              <w:t>vildagliptin</w:t>
            </w:r>
            <w:proofErr w:type="spellEnd"/>
            <w:r>
              <w:rPr>
                <w:lang w:val="hu-HU"/>
              </w:rPr>
              <w:t xml:space="preserve"> és </w:t>
            </w:r>
            <w:proofErr w:type="spellStart"/>
            <w:r>
              <w:rPr>
                <w:lang w:val="hu-HU"/>
              </w:rPr>
              <w:t>metformin</w:t>
            </w:r>
            <w:proofErr w:type="spellEnd"/>
            <w:r>
              <w:rPr>
                <w:lang w:val="hu-HU"/>
              </w:rPr>
              <w:t xml:space="preserve"> fix kombinációját kapták. További információkért olvassa el a </w:t>
            </w:r>
            <w:proofErr w:type="spellStart"/>
            <w:r>
              <w:rPr>
                <w:lang w:val="hu-HU"/>
              </w:rPr>
              <w:t>metformin</w:t>
            </w:r>
            <w:proofErr w:type="spellEnd"/>
            <w:r>
              <w:rPr>
                <w:lang w:val="hu-HU"/>
              </w:rPr>
              <w:t xml:space="preserve"> alkalmazási előírását.</w:t>
            </w:r>
          </w:p>
          <w:p w14:paraId="26B478EB" w14:textId="77777777" w:rsidR="006A22CA" w:rsidRDefault="00BA2766">
            <w:pPr>
              <w:spacing w:line="240" w:lineRule="auto"/>
              <w:ind w:left="567" w:hanging="567"/>
              <w:rPr>
                <w:lang w:val="hu-HU"/>
              </w:rPr>
            </w:pPr>
            <w:r>
              <w:rPr>
                <w:vertAlign w:val="superscript"/>
                <w:lang w:val="hu-HU"/>
              </w:rPr>
              <w:t>†</w:t>
            </w:r>
            <w:r>
              <w:rPr>
                <w:vertAlign w:val="superscript"/>
                <w:lang w:val="hu-HU"/>
              </w:rPr>
              <w:tab/>
            </w:r>
            <w:r>
              <w:rPr>
                <w:lang w:val="hu-HU"/>
              </w:rPr>
              <w:t>A forgalomba hozatalt követően szerzett tapasztalatok alapján</w:t>
            </w:r>
          </w:p>
        </w:tc>
      </w:tr>
    </w:tbl>
    <w:p w14:paraId="41030BD9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2CEA6278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Kiválasztott mellékhatások ismertetése</w:t>
      </w:r>
    </w:p>
    <w:p w14:paraId="36D058E1" w14:textId="77777777" w:rsidR="006A22CA" w:rsidRDefault="006A22CA">
      <w:pPr>
        <w:spacing w:line="240" w:lineRule="auto"/>
        <w:rPr>
          <w:lang w:val="hu-HU"/>
        </w:rPr>
      </w:pPr>
    </w:p>
    <w:p w14:paraId="71EE8DEC" w14:textId="77777777" w:rsidR="006A22CA" w:rsidRDefault="00BA2766">
      <w:pPr>
        <w:spacing w:line="240" w:lineRule="auto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Vildagliptin</w:t>
      </w:r>
      <w:proofErr w:type="spellEnd"/>
    </w:p>
    <w:p w14:paraId="67C77CEF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>Májkárosodás</w:t>
      </w:r>
    </w:p>
    <w:p w14:paraId="6B10D3BC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Májműködési zavar (beleértve a hepatitist is) ritka eseteiről számoltak be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-kezelés során. Ezek az esetek nem jártak klinikai következménnyel, a betegek rendszerint tünetmentesek voltak, és a májfunkciós vizsgálatok eredményei a kezelés felfüggesztését követően visszatértek a normálértékre. 24 hétig tartó </w:t>
      </w:r>
      <w:proofErr w:type="spellStart"/>
      <w:r>
        <w:rPr>
          <w:lang w:val="hu-HU"/>
        </w:rPr>
        <w:t>monoterápiával</w:t>
      </w:r>
      <w:proofErr w:type="spellEnd"/>
      <w:r>
        <w:rPr>
          <w:lang w:val="hu-HU"/>
        </w:rPr>
        <w:t xml:space="preserve"> és kiegészítő kezeléssel folytatott kontrollos vizsgálatok adatai alapján a normálérték 3-szorosát elérő vagy meghaladó GPT- vagy GOT-szint-emelkedés (ami a meghatározása szerint legalább két, egymást követő méréskor vagy a kezelés alatti utolsó ellenőrzéskor fennállt)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napi egyszer 50 mg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esetén 0,2%, napi kétszer 50 mg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esetén 0,3% és az összes komparátor esetén 0,2% volt. A </w:t>
      </w:r>
      <w:proofErr w:type="spellStart"/>
      <w:r>
        <w:rPr>
          <w:lang w:val="hu-HU"/>
        </w:rPr>
        <w:t>transzaminázszintek</w:t>
      </w:r>
      <w:proofErr w:type="spellEnd"/>
      <w:r>
        <w:rPr>
          <w:lang w:val="hu-HU"/>
        </w:rPr>
        <w:t xml:space="preserve"> ezen emelkedései általában tünetmentesek voltak, nem </w:t>
      </w:r>
      <w:proofErr w:type="spellStart"/>
      <w:r>
        <w:rPr>
          <w:lang w:val="hu-HU"/>
        </w:rPr>
        <w:t>progrediáltak</w:t>
      </w:r>
      <w:proofErr w:type="spellEnd"/>
      <w:r>
        <w:rPr>
          <w:lang w:val="hu-HU"/>
        </w:rPr>
        <w:t xml:space="preserve">, és nem jártak </w:t>
      </w:r>
      <w:proofErr w:type="spellStart"/>
      <w:r>
        <w:rPr>
          <w:lang w:val="hu-HU"/>
        </w:rPr>
        <w:t>cholestasissal</w:t>
      </w:r>
      <w:proofErr w:type="spellEnd"/>
      <w:r>
        <w:rPr>
          <w:lang w:val="hu-HU"/>
        </w:rPr>
        <w:t xml:space="preserve"> vagy sárgasággal.</w:t>
      </w:r>
    </w:p>
    <w:p w14:paraId="7F97B73F" w14:textId="77777777" w:rsidR="006A22CA" w:rsidRDefault="006A22CA">
      <w:pPr>
        <w:spacing w:line="240" w:lineRule="auto"/>
        <w:rPr>
          <w:lang w:val="hu-HU"/>
        </w:rPr>
      </w:pPr>
    </w:p>
    <w:p w14:paraId="7A5DF813" w14:textId="77777777" w:rsidR="006A22CA" w:rsidRDefault="00BA2766">
      <w:pPr>
        <w:spacing w:line="240" w:lineRule="auto"/>
        <w:rPr>
          <w:i/>
          <w:lang w:val="hu-HU"/>
        </w:rPr>
      </w:pPr>
      <w:proofErr w:type="spellStart"/>
      <w:r>
        <w:rPr>
          <w:i/>
          <w:lang w:val="hu-HU"/>
        </w:rPr>
        <w:t>Angiooedema</w:t>
      </w:r>
      <w:proofErr w:type="spellEnd"/>
    </w:p>
    <w:p w14:paraId="0202EB6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Ritka esetekben beszámoltak </w:t>
      </w:r>
      <w:proofErr w:type="spellStart"/>
      <w:r>
        <w:rPr>
          <w:lang w:val="hu-HU"/>
        </w:rPr>
        <w:t>angiooedemáról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alkalmazásakor, a kontrollokhoz hasonló arányban. Nagyobb arányban jelentettek ilyen eseteket, amikor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ACE-gátlóval kombinációban alkalmazták. Az események többsége enyhe volt és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-kezelés folytatása során elmúlt.</w:t>
      </w:r>
    </w:p>
    <w:p w14:paraId="450DF462" w14:textId="77777777" w:rsidR="006A22CA" w:rsidRDefault="006A22CA">
      <w:pPr>
        <w:spacing w:line="240" w:lineRule="auto"/>
        <w:rPr>
          <w:lang w:val="hu-HU"/>
        </w:rPr>
      </w:pPr>
    </w:p>
    <w:p w14:paraId="43653A41" w14:textId="77777777" w:rsidR="006A22CA" w:rsidRDefault="00BA2766">
      <w:pPr>
        <w:spacing w:line="240" w:lineRule="auto"/>
        <w:rPr>
          <w:i/>
          <w:lang w:val="hu-HU"/>
        </w:rPr>
      </w:pPr>
      <w:proofErr w:type="spellStart"/>
      <w:r>
        <w:rPr>
          <w:i/>
          <w:lang w:val="hu-HU"/>
        </w:rPr>
        <w:t>Hypoglykaemia</w:t>
      </w:r>
      <w:proofErr w:type="spellEnd"/>
    </w:p>
    <w:p w14:paraId="1D78BA9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előfordulása nem gyakori volt, amikor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(0,4%) </w:t>
      </w:r>
      <w:proofErr w:type="spellStart"/>
      <w:r>
        <w:rPr>
          <w:lang w:val="hu-HU"/>
        </w:rPr>
        <w:t>monoterápiában</w:t>
      </w:r>
      <w:proofErr w:type="spellEnd"/>
      <w:r>
        <w:rPr>
          <w:lang w:val="hu-HU"/>
        </w:rPr>
        <w:t xml:space="preserve"> alkalmazták aktív komparátorral vagy </w:t>
      </w:r>
      <w:proofErr w:type="spellStart"/>
      <w:r>
        <w:rPr>
          <w:lang w:val="hu-HU"/>
        </w:rPr>
        <w:t>placebóval</w:t>
      </w:r>
      <w:proofErr w:type="spellEnd"/>
      <w:r>
        <w:rPr>
          <w:lang w:val="hu-HU"/>
        </w:rPr>
        <w:t xml:space="preserve"> (0,2%) összehasonlító, kontrollos </w:t>
      </w:r>
      <w:proofErr w:type="spellStart"/>
      <w:r>
        <w:rPr>
          <w:lang w:val="hu-HU"/>
        </w:rPr>
        <w:t>monoterápiás</w:t>
      </w:r>
      <w:proofErr w:type="spellEnd"/>
      <w:r>
        <w:rPr>
          <w:lang w:val="hu-HU"/>
        </w:rPr>
        <w:t xml:space="preserve"> vizsgálatokban. Nem számoltak be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súlyos vagy komoly eseteiről.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kiegészítéseként alkalmazva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kezelt betegek 1%-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placebóval</w:t>
      </w:r>
      <w:proofErr w:type="spellEnd"/>
      <w:r>
        <w:rPr>
          <w:lang w:val="hu-HU"/>
        </w:rPr>
        <w:t xml:space="preserve"> kezelt betegek 0,4%-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fordult elő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. </w:t>
      </w:r>
      <w:proofErr w:type="spellStart"/>
      <w:r>
        <w:rPr>
          <w:lang w:val="hu-HU"/>
        </w:rPr>
        <w:t>Pioglitazon</w:t>
      </w:r>
      <w:proofErr w:type="spellEnd"/>
      <w:r>
        <w:rPr>
          <w:lang w:val="hu-HU"/>
        </w:rPr>
        <w:t xml:space="preserve"> hozzáadása esetén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kezelt betegek 0,6%-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placebóval</w:t>
      </w:r>
      <w:proofErr w:type="spellEnd"/>
      <w:r>
        <w:rPr>
          <w:lang w:val="hu-HU"/>
        </w:rPr>
        <w:t xml:space="preserve"> kezelt betegek 1,9%-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fordult elő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. </w:t>
      </w:r>
      <w:proofErr w:type="spellStart"/>
      <w:r>
        <w:rPr>
          <w:lang w:val="hu-HU"/>
        </w:rPr>
        <w:t>Szulfonilurea</w:t>
      </w:r>
      <w:proofErr w:type="spellEnd"/>
      <w:r>
        <w:rPr>
          <w:lang w:val="hu-HU"/>
        </w:rPr>
        <w:t xml:space="preserve"> hozzáadása esetén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kezelt betegek 1,2%-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placebóval</w:t>
      </w:r>
      <w:proofErr w:type="spellEnd"/>
      <w:r>
        <w:rPr>
          <w:lang w:val="hu-HU"/>
        </w:rPr>
        <w:t xml:space="preserve"> kezelt betegek 0,6%-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fordult elő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. </w:t>
      </w:r>
      <w:proofErr w:type="spellStart"/>
      <w:r>
        <w:rPr>
          <w:lang w:val="hu-HU"/>
        </w:rPr>
        <w:t>Szulfonilurea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hozzáadása esetén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kezelt betegek 5,1%-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placebóval</w:t>
      </w:r>
      <w:proofErr w:type="spellEnd"/>
      <w:r>
        <w:rPr>
          <w:lang w:val="hu-HU"/>
        </w:rPr>
        <w:t xml:space="preserve"> kezelt betegek 1,9%-</w:t>
      </w:r>
      <w:proofErr w:type="spellStart"/>
      <w:r>
        <w:rPr>
          <w:lang w:val="hu-HU"/>
        </w:rPr>
        <w:t>ánál</w:t>
      </w:r>
      <w:proofErr w:type="spellEnd"/>
      <w:r>
        <w:rPr>
          <w:lang w:val="hu-HU"/>
        </w:rPr>
        <w:t xml:space="preserve"> fordult elő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.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inzulinnal kombinációban alkalmazó betegeknél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előfordulási gyakorisága 14% volt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16% placebo esetében.</w:t>
      </w:r>
    </w:p>
    <w:p w14:paraId="3B9BDB33" w14:textId="77777777" w:rsidR="006A22CA" w:rsidRDefault="006A22CA">
      <w:pPr>
        <w:spacing w:line="240" w:lineRule="auto"/>
        <w:rPr>
          <w:lang w:val="hu-HU"/>
        </w:rPr>
      </w:pPr>
    </w:p>
    <w:p w14:paraId="6534F5E9" w14:textId="77777777" w:rsidR="006A22CA" w:rsidRDefault="00BA2766">
      <w:pPr>
        <w:spacing w:line="240" w:lineRule="auto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Metformin</w:t>
      </w:r>
      <w:proofErr w:type="spellEnd"/>
      <w:r>
        <w:rPr>
          <w:i/>
          <w:u w:val="single"/>
          <w:lang w:val="hu-HU"/>
        </w:rPr>
        <w:t xml:space="preserve"> </w:t>
      </w:r>
    </w:p>
    <w:p w14:paraId="3BCAE94D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>A B</w:t>
      </w:r>
      <w:r>
        <w:rPr>
          <w:i/>
          <w:vertAlign w:val="subscript"/>
          <w:lang w:val="hu-HU"/>
        </w:rPr>
        <w:t>12</w:t>
      </w:r>
      <w:r>
        <w:rPr>
          <w:i/>
          <w:lang w:val="hu-HU"/>
        </w:rPr>
        <w:t>-vitamin felszívódásának csökkenése</w:t>
      </w:r>
    </w:p>
    <w:p w14:paraId="7264F9E6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Nagyon ritkán megfigyelték a B</w:t>
      </w:r>
      <w:r>
        <w:rPr>
          <w:vertAlign w:val="subscript"/>
          <w:lang w:val="hu-HU"/>
        </w:rPr>
        <w:t>12</w:t>
      </w:r>
      <w:r>
        <w:rPr>
          <w:lang w:val="hu-HU"/>
        </w:rPr>
        <w:t xml:space="preserve">-vitamin felszívódásának csökkenését, amely a szérumszint csökkenésével járt, olyan betegeknél, akiket hosszú ideig kezeltek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. Ha a betegnél </w:t>
      </w:r>
      <w:proofErr w:type="spellStart"/>
      <w:r>
        <w:rPr>
          <w:lang w:val="hu-HU"/>
        </w:rPr>
        <w:t>megaloblastos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anaemia</w:t>
      </w:r>
      <w:proofErr w:type="spellEnd"/>
      <w:r>
        <w:rPr>
          <w:lang w:val="hu-HU"/>
        </w:rPr>
        <w:t xml:space="preserve"> alakul ki, gondolni kell arra, hogy akár ez is állhat a hátterében.</w:t>
      </w:r>
    </w:p>
    <w:p w14:paraId="26D3DEF9" w14:textId="77777777" w:rsidR="006A22CA" w:rsidRDefault="006A22CA">
      <w:pPr>
        <w:spacing w:line="240" w:lineRule="auto"/>
        <w:rPr>
          <w:lang w:val="hu-HU"/>
        </w:rPr>
      </w:pPr>
    </w:p>
    <w:p w14:paraId="291DB805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>Májműködés</w:t>
      </w:r>
    </w:p>
    <w:p w14:paraId="74296F2E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Izolált esetekben beszámoltak a májfunkciós tesztek rendellenességeiről vagy hepatitisről, amelyek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>-terápia elhagyásakor elmúltak.</w:t>
      </w:r>
    </w:p>
    <w:p w14:paraId="749B2FF8" w14:textId="77777777" w:rsidR="006A22CA" w:rsidRDefault="006A22CA">
      <w:pPr>
        <w:spacing w:line="240" w:lineRule="auto"/>
        <w:rPr>
          <w:lang w:val="hu-HU"/>
        </w:rPr>
      </w:pPr>
    </w:p>
    <w:p w14:paraId="008C2B78" w14:textId="77777777" w:rsidR="006A22CA" w:rsidRDefault="00BA2766">
      <w:pPr>
        <w:spacing w:line="240" w:lineRule="auto"/>
        <w:rPr>
          <w:i/>
          <w:lang w:val="hu-HU"/>
        </w:rPr>
      </w:pPr>
      <w:r>
        <w:rPr>
          <w:i/>
          <w:lang w:val="hu-HU"/>
        </w:rPr>
        <w:t>Emésztőrendszeri betegségek és tünetek</w:t>
      </w:r>
    </w:p>
    <w:p w14:paraId="1C6C3D23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Gastrointestinalis</w:t>
      </w:r>
      <w:proofErr w:type="spellEnd"/>
      <w:r>
        <w:rPr>
          <w:lang w:val="hu-HU"/>
        </w:rPr>
        <w:t xml:space="preserve"> mellékhatások leggyakrabban a kezelés megkezdésekor fordulnak elő és az esetek többségében spontán elmúlnak. Megelőzésük érdekében ajánlott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napi dózisát 2 részre osztva bevenni étkezés közben vagy azt követően. A dózis lassú emelése szintén javíthatja a </w:t>
      </w:r>
      <w:proofErr w:type="spellStart"/>
      <w:r>
        <w:rPr>
          <w:lang w:val="hu-HU"/>
        </w:rPr>
        <w:t>gastrointestinalis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tolerálhatóságot</w:t>
      </w:r>
      <w:proofErr w:type="spellEnd"/>
      <w:r>
        <w:rPr>
          <w:lang w:val="hu-HU"/>
        </w:rPr>
        <w:t>.</w:t>
      </w:r>
    </w:p>
    <w:p w14:paraId="7F723770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5BC5B338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14:paraId="4A79406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8A7F606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egészségügyi szakembereket kérjük, hogy jelentsék be a feltételezett mellékhatásokat a hatóság részére az </w:t>
      </w:r>
      <w:hyperlink r:id="rId8" w:history="1">
        <w:r>
          <w:rPr>
            <w:rStyle w:val="Hiperhivatkozs"/>
            <w:highlight w:val="lightGray"/>
            <w:lang w:val="hu-HU"/>
          </w:rPr>
          <w:t>V. függelékben</w:t>
        </w:r>
      </w:hyperlink>
      <w:r>
        <w:rPr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14:paraId="4E9618C6" w14:textId="77777777" w:rsidR="006A22CA" w:rsidRDefault="006A22CA">
      <w:pPr>
        <w:spacing w:line="240" w:lineRule="auto"/>
        <w:rPr>
          <w:lang w:val="hu-HU"/>
        </w:rPr>
      </w:pPr>
    </w:p>
    <w:p w14:paraId="6F41408A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4.9</w:t>
      </w:r>
      <w:r>
        <w:rPr>
          <w:b/>
          <w:bCs/>
          <w:lang w:val="hu-HU"/>
        </w:rPr>
        <w:tab/>
        <w:t>Túladagolás</w:t>
      </w:r>
    </w:p>
    <w:p w14:paraId="3555DB74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9D0CB94" w14:textId="77777777" w:rsidR="006A22CA" w:rsidRDefault="00BA2766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túladagolására vonatkozóan nem áll rendelkezésre adat.</w:t>
      </w:r>
    </w:p>
    <w:p w14:paraId="1A1ECFD3" w14:textId="77777777" w:rsidR="006A22CA" w:rsidRDefault="006A22CA">
      <w:pPr>
        <w:spacing w:line="240" w:lineRule="auto"/>
        <w:ind w:left="567" w:hanging="567"/>
        <w:outlineLvl w:val="0"/>
        <w:rPr>
          <w:lang w:val="hu-HU"/>
        </w:rPr>
      </w:pPr>
    </w:p>
    <w:p w14:paraId="2B178A13" w14:textId="77777777" w:rsidR="006A22CA" w:rsidRDefault="00BA2766">
      <w:pPr>
        <w:spacing w:line="240" w:lineRule="auto"/>
        <w:ind w:left="567" w:hanging="567"/>
        <w:outlineLvl w:val="0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Vildagliptin</w:t>
      </w:r>
      <w:proofErr w:type="spellEnd"/>
    </w:p>
    <w:p w14:paraId="4118CC20" w14:textId="77777777" w:rsidR="006A22CA" w:rsidRDefault="00BA2766">
      <w:pPr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túladagolására vonatkozó információk korlátozottak.</w:t>
      </w:r>
    </w:p>
    <w:p w14:paraId="6F5BBD91" w14:textId="77777777" w:rsidR="006A22CA" w:rsidRDefault="006A22CA">
      <w:pPr>
        <w:spacing w:line="240" w:lineRule="auto"/>
        <w:ind w:left="567" w:hanging="567"/>
        <w:outlineLvl w:val="0"/>
        <w:rPr>
          <w:lang w:val="hu-HU"/>
        </w:rPr>
      </w:pPr>
    </w:p>
    <w:p w14:paraId="2D844AA1" w14:textId="77777777" w:rsidR="006A22CA" w:rsidRDefault="00BA2766">
      <w:pPr>
        <w:spacing w:line="240" w:lineRule="auto"/>
        <w:ind w:left="567" w:hanging="567"/>
        <w:outlineLvl w:val="0"/>
        <w:rPr>
          <w:u w:val="single"/>
          <w:lang w:val="hu-HU"/>
        </w:rPr>
      </w:pPr>
      <w:r>
        <w:rPr>
          <w:u w:val="single"/>
          <w:lang w:val="hu-HU"/>
        </w:rPr>
        <w:t>Tünetek</w:t>
      </w:r>
    </w:p>
    <w:p w14:paraId="472FCC25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 xml:space="preserve">A túladagolás valószínű tüneteivel kapcsolatos információk egészséges önkéntesekkel végzett, dózisnövelő </w:t>
      </w:r>
      <w:proofErr w:type="spellStart"/>
      <w:r>
        <w:rPr>
          <w:lang w:val="hu-HU"/>
        </w:rPr>
        <w:t>tolerabilitási</w:t>
      </w:r>
      <w:proofErr w:type="spellEnd"/>
      <w:r>
        <w:rPr>
          <w:lang w:val="hu-HU"/>
        </w:rPr>
        <w:t xml:space="preserve"> vizsgálatból származnak, melyben az egészséges önkéntesek 10 napon keresztül kaptak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. A 400 mg-os dózis mellett három esetben lépett fel izomfájdalom, és egyedi esetekben előfordult enyhe és átmeneti </w:t>
      </w:r>
      <w:proofErr w:type="spellStart"/>
      <w:r>
        <w:rPr>
          <w:lang w:val="hu-HU"/>
        </w:rPr>
        <w:t>paresztézia</w:t>
      </w:r>
      <w:proofErr w:type="spellEnd"/>
      <w:r>
        <w:rPr>
          <w:lang w:val="hu-HU"/>
        </w:rPr>
        <w:t xml:space="preserve">, láz, ödéma, illetve átmeneti </w:t>
      </w:r>
      <w:proofErr w:type="spellStart"/>
      <w:r>
        <w:rPr>
          <w:lang w:val="hu-HU"/>
        </w:rPr>
        <w:t>lipázszint</w:t>
      </w:r>
      <w:proofErr w:type="spellEnd"/>
      <w:r>
        <w:rPr>
          <w:lang w:val="hu-HU"/>
        </w:rPr>
        <w:t xml:space="preserve">-emelkedés. A 600 mg-os dózis mellett egy betegnél lépett fel kéz- és lábödéma, valamint a kreatin </w:t>
      </w:r>
      <w:proofErr w:type="spellStart"/>
      <w:r>
        <w:rPr>
          <w:lang w:val="hu-HU"/>
        </w:rPr>
        <w:t>foszfokináz</w:t>
      </w:r>
      <w:proofErr w:type="spellEnd"/>
      <w:r>
        <w:rPr>
          <w:lang w:val="hu-HU"/>
        </w:rPr>
        <w:t xml:space="preserve"> (CPK), GOT, C-reaktív protein (CRP) és a </w:t>
      </w:r>
      <w:proofErr w:type="spellStart"/>
      <w:r>
        <w:rPr>
          <w:lang w:val="hu-HU"/>
        </w:rPr>
        <w:t>mioglobin</w:t>
      </w:r>
      <w:proofErr w:type="spellEnd"/>
      <w:r>
        <w:rPr>
          <w:lang w:val="hu-HU"/>
        </w:rPr>
        <w:t xml:space="preserve"> szintjének emelkedése. Három további betegnél lépett fel lábödéma, melyet két esetben </w:t>
      </w:r>
      <w:proofErr w:type="spellStart"/>
      <w:r>
        <w:rPr>
          <w:lang w:val="hu-HU"/>
        </w:rPr>
        <w:t>paresztézia</w:t>
      </w:r>
      <w:proofErr w:type="spellEnd"/>
      <w:r>
        <w:rPr>
          <w:lang w:val="hu-HU"/>
        </w:rPr>
        <w:t xml:space="preserve"> kísért. A vizsgálati gyógyszer </w:t>
      </w:r>
      <w:r>
        <w:rPr>
          <w:lang w:val="hu-HU"/>
        </w:rPr>
        <w:lastRenderedPageBreak/>
        <w:t>adagolásának felfüggesztését követően minden tünet és laboratóriumi eltérés kezelés nélkül rendeződött.</w:t>
      </w:r>
    </w:p>
    <w:p w14:paraId="0FB77020" w14:textId="77777777" w:rsidR="006A22CA" w:rsidRDefault="006A22CA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0B553672" w14:textId="77777777" w:rsidR="006A22CA" w:rsidRDefault="00BA2766">
      <w:pPr>
        <w:spacing w:line="240" w:lineRule="auto"/>
        <w:ind w:left="567" w:hanging="567"/>
        <w:outlineLvl w:val="0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Metformin</w:t>
      </w:r>
      <w:proofErr w:type="spellEnd"/>
    </w:p>
    <w:p w14:paraId="5F167D71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jelentős túladagolása (vagy a </w:t>
      </w:r>
      <w:proofErr w:type="spellStart"/>
      <w:r>
        <w:rPr>
          <w:lang w:val="hu-HU"/>
        </w:rPr>
        <w:t>laktátacidózis</w:t>
      </w:r>
      <w:proofErr w:type="spellEnd"/>
      <w:r>
        <w:rPr>
          <w:lang w:val="hu-HU"/>
        </w:rPr>
        <w:t xml:space="preserve"> egyidejű kockázata) </w:t>
      </w:r>
      <w:proofErr w:type="spellStart"/>
      <w:r>
        <w:rPr>
          <w:lang w:val="hu-HU"/>
        </w:rPr>
        <w:t>laktátacidózishoz</w:t>
      </w:r>
      <w:proofErr w:type="spellEnd"/>
      <w:r>
        <w:rPr>
          <w:lang w:val="hu-HU"/>
        </w:rPr>
        <w:t xml:space="preserve"> vezethet, ami sürgősségi állapot, és kórházban kell kezelni.</w:t>
      </w:r>
    </w:p>
    <w:p w14:paraId="7CD74392" w14:textId="77777777" w:rsidR="006A22CA" w:rsidRDefault="006A22CA">
      <w:pPr>
        <w:spacing w:line="240" w:lineRule="auto"/>
        <w:ind w:left="567" w:hanging="567"/>
        <w:outlineLvl w:val="0"/>
        <w:rPr>
          <w:lang w:val="hu-HU"/>
        </w:rPr>
      </w:pPr>
    </w:p>
    <w:p w14:paraId="69482AFA" w14:textId="77777777" w:rsidR="006A22CA" w:rsidRDefault="00BA2766">
      <w:pPr>
        <w:spacing w:line="240" w:lineRule="auto"/>
        <w:ind w:left="567" w:hanging="567"/>
        <w:outlineLvl w:val="0"/>
        <w:rPr>
          <w:u w:val="single"/>
          <w:lang w:val="hu-HU"/>
        </w:rPr>
      </w:pPr>
      <w:r>
        <w:rPr>
          <w:u w:val="single"/>
          <w:lang w:val="hu-HU"/>
        </w:rPr>
        <w:t>Kezelés</w:t>
      </w:r>
    </w:p>
    <w:p w14:paraId="10A5AB3D" w14:textId="77777777" w:rsidR="006A22CA" w:rsidRDefault="00BA276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eltávolításának leghatékonyabb módszere a </w:t>
      </w:r>
      <w:proofErr w:type="spellStart"/>
      <w:r>
        <w:rPr>
          <w:lang w:val="hu-HU"/>
        </w:rPr>
        <w:t>hemodialízis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azonban nem távolítható el </w:t>
      </w:r>
      <w:proofErr w:type="spellStart"/>
      <w:r>
        <w:rPr>
          <w:lang w:val="hu-HU"/>
        </w:rPr>
        <w:t>hemodialízissel</w:t>
      </w:r>
      <w:proofErr w:type="spellEnd"/>
      <w:r>
        <w:rPr>
          <w:lang w:val="hu-HU"/>
        </w:rPr>
        <w:t xml:space="preserve">, míg az elsődleges </w:t>
      </w:r>
      <w:proofErr w:type="spellStart"/>
      <w:r>
        <w:rPr>
          <w:lang w:val="hu-HU"/>
        </w:rPr>
        <w:t>hidrolizációs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metabolit</w:t>
      </w:r>
      <w:proofErr w:type="spellEnd"/>
      <w:r>
        <w:rPr>
          <w:lang w:val="hu-HU"/>
        </w:rPr>
        <w:t xml:space="preserve"> (LAY 151) igen. Szupportív kezelés javasolt.</w:t>
      </w:r>
    </w:p>
    <w:p w14:paraId="3EA704A6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86A24B4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B0EE369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FARMAKOLÓGIAI TULAJDONSÁGOK</w:t>
      </w:r>
    </w:p>
    <w:p w14:paraId="5536FAB3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93C90C6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5.1</w:t>
      </w:r>
      <w:r>
        <w:rPr>
          <w:b/>
          <w:bCs/>
          <w:lang w:val="hu-HU"/>
        </w:rPr>
        <w:tab/>
      </w:r>
      <w:proofErr w:type="spellStart"/>
      <w:r>
        <w:rPr>
          <w:b/>
          <w:bCs/>
          <w:lang w:val="hu-HU"/>
        </w:rPr>
        <w:t>Farmakodinámiás</w:t>
      </w:r>
      <w:proofErr w:type="spellEnd"/>
      <w:r>
        <w:rPr>
          <w:b/>
          <w:bCs/>
          <w:lang w:val="hu-HU"/>
        </w:rPr>
        <w:t xml:space="preserve"> tulajdonságok</w:t>
      </w:r>
    </w:p>
    <w:p w14:paraId="638ADD69" w14:textId="77777777" w:rsidR="006A22CA" w:rsidRDefault="006A22CA">
      <w:pPr>
        <w:spacing w:line="240" w:lineRule="auto"/>
        <w:rPr>
          <w:lang w:val="hu-HU"/>
        </w:rPr>
      </w:pPr>
    </w:p>
    <w:p w14:paraId="615CEB0C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Farmakoterápiás</w:t>
      </w:r>
      <w:proofErr w:type="spellEnd"/>
      <w:r>
        <w:rPr>
          <w:lang w:val="hu-HU"/>
        </w:rPr>
        <w:t xml:space="preserve"> csoport: Vércukorszint-csökkentő gyógyszerek, orális vércukorszint-csökkentők kombinációja, ATC kód: A10BD08</w:t>
      </w:r>
    </w:p>
    <w:p w14:paraId="44B20666" w14:textId="77777777" w:rsidR="006A22CA" w:rsidRDefault="006A22CA">
      <w:pPr>
        <w:spacing w:line="240" w:lineRule="auto"/>
        <w:rPr>
          <w:lang w:val="hu-HU"/>
        </w:rPr>
      </w:pPr>
    </w:p>
    <w:p w14:paraId="7CAC4520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14:paraId="77E4E72A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238530E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a 2-es típusú </w:t>
      </w:r>
      <w:proofErr w:type="spellStart"/>
      <w:r>
        <w:rPr>
          <w:lang w:val="hu-HU"/>
        </w:rPr>
        <w:t>dibeteses</w:t>
      </w:r>
      <w:proofErr w:type="spellEnd"/>
      <w:r>
        <w:rPr>
          <w:lang w:val="hu-HU"/>
        </w:rPr>
        <w:t xml:space="preserve"> betegek </w:t>
      </w:r>
      <w:proofErr w:type="spellStart"/>
      <w:r>
        <w:rPr>
          <w:lang w:val="hu-HU"/>
        </w:rPr>
        <w:t>glykaemiás</w:t>
      </w:r>
      <w:proofErr w:type="spellEnd"/>
      <w:r>
        <w:rPr>
          <w:lang w:val="hu-HU"/>
        </w:rPr>
        <w:t xml:space="preserve"> kontrolljának javítása érdekében két, egymást kiegészítő hatásmechanizmusú </w:t>
      </w:r>
      <w:proofErr w:type="spellStart"/>
      <w:r>
        <w:rPr>
          <w:lang w:val="hu-HU"/>
        </w:rPr>
        <w:t>antihyperglykaemiás</w:t>
      </w:r>
      <w:proofErr w:type="spellEnd"/>
      <w:r>
        <w:rPr>
          <w:lang w:val="hu-HU"/>
        </w:rPr>
        <w:t xml:space="preserve"> szert egyesít: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, a szigetsejt-serkentők osztályának egyik tagját, és a </w:t>
      </w:r>
      <w:proofErr w:type="spellStart"/>
      <w:r>
        <w:rPr>
          <w:lang w:val="hu-HU"/>
        </w:rPr>
        <w:t>metformin-hidrokloridot</w:t>
      </w:r>
      <w:proofErr w:type="spellEnd"/>
      <w:r>
        <w:rPr>
          <w:lang w:val="hu-HU"/>
        </w:rPr>
        <w:t xml:space="preserve">, ami a </w:t>
      </w:r>
      <w:proofErr w:type="spellStart"/>
      <w:r>
        <w:rPr>
          <w:lang w:val="hu-HU"/>
        </w:rPr>
        <w:t>biguanidok</w:t>
      </w:r>
      <w:proofErr w:type="spellEnd"/>
      <w:r>
        <w:rPr>
          <w:lang w:val="hu-HU"/>
        </w:rPr>
        <w:t xml:space="preserve"> osztályába tartozik.</w:t>
      </w:r>
    </w:p>
    <w:p w14:paraId="47B2682F" w14:textId="77777777" w:rsidR="006A22CA" w:rsidRDefault="006A22CA">
      <w:pPr>
        <w:spacing w:line="240" w:lineRule="auto"/>
        <w:rPr>
          <w:lang w:val="hu-HU"/>
        </w:rPr>
      </w:pPr>
    </w:p>
    <w:p w14:paraId="2253B17C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, a szigetsejt-serkentők osztályába tartozó vegyület potens és szelektív dipeptidil-peptidáz-4 (DPP-4) inhibitor.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főként a májban zajló endogén glükóztermelés csökkentésével hat.</w:t>
      </w:r>
    </w:p>
    <w:p w14:paraId="7FCCB6CA" w14:textId="77777777" w:rsidR="006A22CA" w:rsidRDefault="006A22CA">
      <w:pPr>
        <w:spacing w:line="240" w:lineRule="auto"/>
        <w:rPr>
          <w:lang w:val="hu-HU"/>
        </w:rPr>
      </w:pPr>
    </w:p>
    <w:p w14:paraId="6B8D4DEE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Farmakodinámiás</w:t>
      </w:r>
      <w:proofErr w:type="spellEnd"/>
      <w:r>
        <w:rPr>
          <w:u w:val="single"/>
          <w:lang w:val="hu-HU"/>
        </w:rPr>
        <w:t xml:space="preserve"> hatások</w:t>
      </w:r>
    </w:p>
    <w:p w14:paraId="26F388B1" w14:textId="77777777" w:rsidR="006A22CA" w:rsidRDefault="006A22CA">
      <w:pPr>
        <w:spacing w:line="240" w:lineRule="auto"/>
        <w:rPr>
          <w:u w:val="single"/>
          <w:lang w:val="hu-HU"/>
        </w:rPr>
      </w:pPr>
    </w:p>
    <w:p w14:paraId="67CFB10F" w14:textId="77777777" w:rsidR="006A22CA" w:rsidRDefault="00BA2766">
      <w:pPr>
        <w:spacing w:line="240" w:lineRule="auto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Vildagliptin</w:t>
      </w:r>
      <w:proofErr w:type="spellEnd"/>
    </w:p>
    <w:p w14:paraId="25C88696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elsősorban a DPP-4 gátlásával hat, ami a GLP-1 (</w:t>
      </w:r>
      <w:proofErr w:type="spellStart"/>
      <w:r>
        <w:rPr>
          <w:lang w:val="hu-HU"/>
        </w:rPr>
        <w:t>glükagon</w:t>
      </w:r>
      <w:proofErr w:type="spellEnd"/>
      <w:r>
        <w:rPr>
          <w:lang w:val="hu-HU"/>
        </w:rPr>
        <w:t>-szerű fehérje) és GIP (</w:t>
      </w:r>
      <w:proofErr w:type="spellStart"/>
      <w:r>
        <w:rPr>
          <w:lang w:val="hu-HU"/>
        </w:rPr>
        <w:t>glükózdependens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inzulinotrop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polipeptid</w:t>
      </w:r>
      <w:proofErr w:type="spellEnd"/>
      <w:r>
        <w:rPr>
          <w:lang w:val="hu-HU"/>
        </w:rPr>
        <w:t xml:space="preserve">) </w:t>
      </w:r>
      <w:proofErr w:type="spellStart"/>
      <w:r>
        <w:rPr>
          <w:lang w:val="hu-HU"/>
        </w:rPr>
        <w:t>inkretin</w:t>
      </w:r>
      <w:proofErr w:type="spellEnd"/>
      <w:r>
        <w:rPr>
          <w:lang w:val="hu-HU"/>
        </w:rPr>
        <w:t xml:space="preserve"> hormonok lebomlásáért felelős enzim.</w:t>
      </w:r>
    </w:p>
    <w:p w14:paraId="18DFDED1" w14:textId="77777777" w:rsidR="006A22CA" w:rsidRDefault="006A22CA">
      <w:pPr>
        <w:spacing w:line="240" w:lineRule="auto"/>
        <w:rPr>
          <w:lang w:val="hu-HU"/>
        </w:rPr>
      </w:pPr>
    </w:p>
    <w:p w14:paraId="5F73C5D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alkalmazása a DPP-4 aktivitás gyors és teljes gátlását eredményezi, ami a GLP-1 és GIP </w:t>
      </w:r>
      <w:proofErr w:type="spellStart"/>
      <w:r>
        <w:rPr>
          <w:lang w:val="hu-HU"/>
        </w:rPr>
        <w:t>inkretin</w:t>
      </w:r>
      <w:proofErr w:type="spellEnd"/>
      <w:r>
        <w:rPr>
          <w:lang w:val="hu-HU"/>
        </w:rPr>
        <w:t xml:space="preserve"> hormonok </w:t>
      </w:r>
      <w:proofErr w:type="spellStart"/>
      <w:r>
        <w:rPr>
          <w:lang w:val="hu-HU"/>
        </w:rPr>
        <w:t>éhomi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posztprandiális</w:t>
      </w:r>
      <w:proofErr w:type="spellEnd"/>
      <w:r>
        <w:rPr>
          <w:lang w:val="hu-HU"/>
        </w:rPr>
        <w:t xml:space="preserve"> endogén szintjének növekedését okozza.</w:t>
      </w:r>
    </w:p>
    <w:p w14:paraId="777A126F" w14:textId="77777777" w:rsidR="006A22CA" w:rsidRDefault="006A22CA">
      <w:pPr>
        <w:spacing w:line="240" w:lineRule="auto"/>
        <w:rPr>
          <w:lang w:val="hu-HU"/>
        </w:rPr>
      </w:pPr>
    </w:p>
    <w:p w14:paraId="21222F27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Ezen </w:t>
      </w:r>
      <w:proofErr w:type="spellStart"/>
      <w:r>
        <w:rPr>
          <w:lang w:val="hu-HU"/>
        </w:rPr>
        <w:t>inkretin</w:t>
      </w:r>
      <w:proofErr w:type="spellEnd"/>
      <w:r>
        <w:rPr>
          <w:lang w:val="hu-HU"/>
        </w:rPr>
        <w:t xml:space="preserve"> hormonok endogén szintjeinek növelése révén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javítja a szigetsejtek érzékenységét a glükózzal szemben, ami jobb </w:t>
      </w:r>
      <w:proofErr w:type="spellStart"/>
      <w:r>
        <w:rPr>
          <w:lang w:val="hu-HU"/>
        </w:rPr>
        <w:t>glükózdependens</w:t>
      </w:r>
      <w:proofErr w:type="spellEnd"/>
      <w:r>
        <w:rPr>
          <w:lang w:val="hu-HU"/>
        </w:rPr>
        <w:t xml:space="preserve"> inzulinszekréciót eredményez. A napi 50-100 mg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végzett kezelés a 2-es típusú cukorbetegségben szenvedő betegeknél lényegesen javította a béta</w:t>
      </w:r>
      <w:r>
        <w:rPr>
          <w:lang w:val="hu-HU"/>
        </w:rPr>
        <w:noBreakHyphen/>
        <w:t xml:space="preserve">sejt működés </w:t>
      </w:r>
      <w:proofErr w:type="spellStart"/>
      <w:r>
        <w:rPr>
          <w:lang w:val="hu-HU"/>
        </w:rPr>
        <w:t>markereit</w:t>
      </w:r>
      <w:proofErr w:type="spellEnd"/>
      <w:r>
        <w:rPr>
          <w:lang w:val="hu-HU"/>
        </w:rPr>
        <w:t>, köztük a HOMA-β-t (</w:t>
      </w:r>
      <w:proofErr w:type="spellStart"/>
      <w:r>
        <w:rPr>
          <w:lang w:val="hu-HU"/>
        </w:rPr>
        <w:t>Homeostasis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Model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Assessment</w:t>
      </w:r>
      <w:proofErr w:type="spellEnd"/>
      <w:r>
        <w:rPr>
          <w:lang w:val="hu-HU"/>
        </w:rPr>
        <w:t xml:space="preserve">–β), a </w:t>
      </w:r>
      <w:proofErr w:type="spellStart"/>
      <w:r>
        <w:rPr>
          <w:lang w:val="hu-HU"/>
        </w:rPr>
        <w:t>proinzulin</w:t>
      </w:r>
      <w:proofErr w:type="spellEnd"/>
      <w:r>
        <w:rPr>
          <w:lang w:val="hu-HU"/>
        </w:rPr>
        <w:noBreakHyphen/>
        <w:t>inzulin arányt, valamint a gyakori mintavétellel végzett étkezési tolerancia teszttel mért béta-sejt válaszkészség mértékét. Nem diabeteses (</w:t>
      </w:r>
      <w:proofErr w:type="spellStart"/>
      <w:r>
        <w:rPr>
          <w:lang w:val="hu-HU"/>
        </w:rPr>
        <w:t>normoglykaemiás</w:t>
      </w:r>
      <w:proofErr w:type="spellEnd"/>
      <w:r>
        <w:rPr>
          <w:lang w:val="hu-HU"/>
        </w:rPr>
        <w:t xml:space="preserve">) egyéneknél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nem serkenti az inzulinszekréciót, és nem csökkenti a vércukorszinteket.</w:t>
      </w:r>
    </w:p>
    <w:p w14:paraId="3777A457" w14:textId="77777777" w:rsidR="006A22CA" w:rsidRDefault="006A22CA">
      <w:pPr>
        <w:spacing w:line="240" w:lineRule="auto"/>
        <w:rPr>
          <w:lang w:val="hu-HU"/>
        </w:rPr>
      </w:pPr>
    </w:p>
    <w:p w14:paraId="03E867C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endogén GLP-1-szintek növelése révén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fokozza még az alfasejtek glükózérzékenységét, ami javítja a glükózszintnek megfelelő mértékű </w:t>
      </w:r>
      <w:proofErr w:type="spellStart"/>
      <w:r>
        <w:rPr>
          <w:lang w:val="hu-HU"/>
        </w:rPr>
        <w:t>glükagonelválasztást</w:t>
      </w:r>
      <w:proofErr w:type="spellEnd"/>
      <w:r>
        <w:rPr>
          <w:lang w:val="hu-HU"/>
        </w:rPr>
        <w:t>.</w:t>
      </w:r>
    </w:p>
    <w:p w14:paraId="05E25D1E" w14:textId="77777777" w:rsidR="006A22CA" w:rsidRDefault="006A22CA">
      <w:pPr>
        <w:spacing w:line="240" w:lineRule="auto"/>
        <w:rPr>
          <w:lang w:val="hu-HU"/>
        </w:rPr>
      </w:pPr>
    </w:p>
    <w:p w14:paraId="581B0C3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hyperglykaemia</w:t>
      </w:r>
      <w:proofErr w:type="spellEnd"/>
      <w:r>
        <w:rPr>
          <w:lang w:val="hu-HU"/>
        </w:rPr>
        <w:t xml:space="preserve"> során fellépő inzulin/</w:t>
      </w:r>
      <w:proofErr w:type="spellStart"/>
      <w:r>
        <w:rPr>
          <w:lang w:val="hu-HU"/>
        </w:rPr>
        <w:t>glükagon</w:t>
      </w:r>
      <w:proofErr w:type="spellEnd"/>
      <w:r>
        <w:rPr>
          <w:lang w:val="hu-HU"/>
        </w:rPr>
        <w:t xml:space="preserve"> arány növekedésének mértéke fokozódik az </w:t>
      </w:r>
      <w:proofErr w:type="spellStart"/>
      <w:r>
        <w:rPr>
          <w:lang w:val="hu-HU"/>
        </w:rPr>
        <w:t>inkretin</w:t>
      </w:r>
      <w:proofErr w:type="spellEnd"/>
      <w:r>
        <w:rPr>
          <w:lang w:val="hu-HU"/>
        </w:rPr>
        <w:t xml:space="preserve"> hormon magasabb szintjeinek hatására, melynek következtében csökken az </w:t>
      </w:r>
      <w:proofErr w:type="spellStart"/>
      <w:r>
        <w:rPr>
          <w:lang w:val="hu-HU"/>
        </w:rPr>
        <w:t>éhomi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posztprandiális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hepatikus</w:t>
      </w:r>
      <w:proofErr w:type="spellEnd"/>
      <w:r>
        <w:rPr>
          <w:lang w:val="hu-HU"/>
        </w:rPr>
        <w:t xml:space="preserve"> glükóztermelés, ami csökkent vércukorszintet eredményez.</w:t>
      </w:r>
    </w:p>
    <w:p w14:paraId="20B12673" w14:textId="77777777" w:rsidR="006A22CA" w:rsidRDefault="006A22CA">
      <w:pPr>
        <w:spacing w:line="240" w:lineRule="auto"/>
        <w:rPr>
          <w:lang w:val="hu-HU"/>
        </w:rPr>
      </w:pPr>
    </w:p>
    <w:p w14:paraId="471CDCA6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magasabb GLP-1-szint gyomorürülést késleltető, ismert hatását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-kezelés kapcsán nem észlelték.</w:t>
      </w:r>
    </w:p>
    <w:p w14:paraId="3949A219" w14:textId="77777777" w:rsidR="006A22CA" w:rsidRDefault="006A22CA">
      <w:pPr>
        <w:spacing w:line="240" w:lineRule="auto"/>
        <w:rPr>
          <w:lang w:val="hu-HU"/>
        </w:rPr>
      </w:pPr>
    </w:p>
    <w:p w14:paraId="58DC7218" w14:textId="77777777" w:rsidR="006A22CA" w:rsidRDefault="00BA2766">
      <w:pPr>
        <w:spacing w:line="240" w:lineRule="auto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Metformin</w:t>
      </w:r>
      <w:proofErr w:type="spellEnd"/>
    </w:p>
    <w:p w14:paraId="1C11FAD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egy </w:t>
      </w:r>
      <w:proofErr w:type="spellStart"/>
      <w:r>
        <w:rPr>
          <w:lang w:val="hu-HU"/>
        </w:rPr>
        <w:t>antihyperglykaemiás</w:t>
      </w:r>
      <w:proofErr w:type="spellEnd"/>
      <w:r>
        <w:rPr>
          <w:lang w:val="hu-HU"/>
        </w:rPr>
        <w:t xml:space="preserve"> hatású </w:t>
      </w:r>
      <w:proofErr w:type="spellStart"/>
      <w:r>
        <w:rPr>
          <w:lang w:val="hu-HU"/>
        </w:rPr>
        <w:t>biguanid</w:t>
      </w:r>
      <w:proofErr w:type="spellEnd"/>
      <w:r>
        <w:rPr>
          <w:lang w:val="hu-HU"/>
        </w:rPr>
        <w:t xml:space="preserve">, ami a </w:t>
      </w:r>
      <w:proofErr w:type="spellStart"/>
      <w:r>
        <w:rPr>
          <w:lang w:val="hu-HU"/>
        </w:rPr>
        <w:t>bazális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posztprandiális</w:t>
      </w:r>
      <w:proofErr w:type="spellEnd"/>
      <w:r>
        <w:rPr>
          <w:lang w:val="hu-HU"/>
        </w:rPr>
        <w:t xml:space="preserve"> plazma glükózszintet egyaránt csökkenti. Nem serkenti az inzulinszekréciót, ezért nem okoz </w:t>
      </w:r>
      <w:proofErr w:type="spellStart"/>
      <w:r>
        <w:rPr>
          <w:lang w:val="hu-HU"/>
        </w:rPr>
        <w:t>hypoglykaemiát</w:t>
      </w:r>
      <w:proofErr w:type="spellEnd"/>
      <w:r>
        <w:rPr>
          <w:lang w:val="hu-HU"/>
        </w:rPr>
        <w:t>, sem testtömeg-növekedést.</w:t>
      </w:r>
    </w:p>
    <w:p w14:paraId="78D0775F" w14:textId="77777777" w:rsidR="006A22CA" w:rsidRDefault="006A22CA">
      <w:pPr>
        <w:spacing w:line="240" w:lineRule="auto"/>
        <w:rPr>
          <w:lang w:val="hu-HU"/>
        </w:rPr>
      </w:pPr>
    </w:p>
    <w:p w14:paraId="708067FA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három mechanizmuson keresztül fejtheti ki glükózszintcsökkentő hatását:</w:t>
      </w:r>
    </w:p>
    <w:p w14:paraId="0921D464" w14:textId="77777777" w:rsidR="006A22CA" w:rsidRDefault="00BA2766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glükoneogenezis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glikogenolízis</w:t>
      </w:r>
      <w:proofErr w:type="spellEnd"/>
      <w:r>
        <w:rPr>
          <w:lang w:val="hu-HU"/>
        </w:rPr>
        <w:t xml:space="preserve"> gátlásán keresztül a májban zajló glükóztermelés csökkentésével;</w:t>
      </w:r>
    </w:p>
    <w:p w14:paraId="71DDA976" w14:textId="77777777" w:rsidR="006A22CA" w:rsidRDefault="00BA2766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az izomban, az inzulin-szenzitivitás mérsékelt növelésével javítja a perifériás glükózfelvételt és glükózhasznosítást;</w:t>
      </w:r>
    </w:p>
    <w:p w14:paraId="5FBB095A" w14:textId="77777777" w:rsidR="006A22CA" w:rsidRDefault="00BA2766">
      <w:pPr>
        <w:pStyle w:val="Listaszerbekezds"/>
        <w:numPr>
          <w:ilvl w:val="0"/>
          <w:numId w:val="22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 belekben zajló glükózfelszívódás lassításával.</w:t>
      </w:r>
    </w:p>
    <w:p w14:paraId="2562BAB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A glikogén-</w:t>
      </w:r>
      <w:proofErr w:type="spellStart"/>
      <w:r>
        <w:rPr>
          <w:lang w:val="hu-HU"/>
        </w:rPr>
        <w:t>szintetázra</w:t>
      </w:r>
      <w:proofErr w:type="spellEnd"/>
      <w:r>
        <w:rPr>
          <w:lang w:val="hu-HU"/>
        </w:rPr>
        <w:t xml:space="preserve"> hatva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serkenti az </w:t>
      </w:r>
      <w:proofErr w:type="spellStart"/>
      <w:r>
        <w:rPr>
          <w:lang w:val="hu-HU"/>
        </w:rPr>
        <w:t>intracelluláris</w:t>
      </w:r>
      <w:proofErr w:type="spellEnd"/>
      <w:r>
        <w:rPr>
          <w:lang w:val="hu-HU"/>
        </w:rPr>
        <w:t xml:space="preserve"> glikogénszintézist, és fokozza a membránban lévő specifikus glükóztranszporterek (GLUT-1 és GLUT-4) transzportkapacitását.</w:t>
      </w:r>
    </w:p>
    <w:p w14:paraId="57A172A4" w14:textId="77777777" w:rsidR="006A22CA" w:rsidRDefault="006A22CA">
      <w:pPr>
        <w:spacing w:line="240" w:lineRule="auto"/>
        <w:rPr>
          <w:lang w:val="hu-HU"/>
        </w:rPr>
      </w:pPr>
    </w:p>
    <w:p w14:paraId="67B7E2F4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Embernél, a vércukorszintre kifejtett hatásától függetlenül,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kedvezően hat a </w:t>
      </w:r>
      <w:proofErr w:type="spellStart"/>
      <w:r>
        <w:rPr>
          <w:lang w:val="hu-HU"/>
        </w:rPr>
        <w:t>lipidanyagcserére</w:t>
      </w:r>
      <w:proofErr w:type="spellEnd"/>
      <w:r>
        <w:rPr>
          <w:lang w:val="hu-HU"/>
        </w:rPr>
        <w:t xml:space="preserve">. Terápiás dózisokkal végzett, kontrollos közép- vagy hosszú távú klinikai vizsgálatok során kimutatták: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csökkenti az </w:t>
      </w:r>
      <w:proofErr w:type="spellStart"/>
      <w:r>
        <w:rPr>
          <w:lang w:val="hu-HU"/>
        </w:rPr>
        <w:t>összkoleszterin</w:t>
      </w:r>
      <w:proofErr w:type="spellEnd"/>
      <w:r>
        <w:rPr>
          <w:lang w:val="hu-HU"/>
        </w:rPr>
        <w:t>-, az LDL-koleszterin és a triglicerid szérumszinteket.</w:t>
      </w:r>
    </w:p>
    <w:p w14:paraId="148AA1A1" w14:textId="77777777" w:rsidR="006A22CA" w:rsidRDefault="006A22CA">
      <w:pPr>
        <w:spacing w:line="240" w:lineRule="auto"/>
        <w:rPr>
          <w:lang w:val="hu-HU"/>
        </w:rPr>
      </w:pPr>
    </w:p>
    <w:p w14:paraId="2567620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prospektív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 xml:space="preserve"> UKPDS-vizsgálat (UK </w:t>
      </w:r>
      <w:proofErr w:type="spellStart"/>
      <w:r>
        <w:rPr>
          <w:lang w:val="hu-HU"/>
        </w:rPr>
        <w:t>Prospective</w:t>
      </w:r>
      <w:proofErr w:type="spellEnd"/>
      <w:r>
        <w:rPr>
          <w:lang w:val="hu-HU"/>
        </w:rPr>
        <w:t xml:space="preserve"> Diabetes </w:t>
      </w:r>
      <w:proofErr w:type="spellStart"/>
      <w:r>
        <w:rPr>
          <w:lang w:val="hu-HU"/>
        </w:rPr>
        <w:t>Study</w:t>
      </w:r>
      <w:proofErr w:type="spellEnd"/>
      <w:r>
        <w:rPr>
          <w:lang w:val="hu-HU"/>
        </w:rPr>
        <w:t xml:space="preserve">) megállapította az intenzív vércukorszint-beállítás hosszú távú előnyeit 2-es típusú diabetesben. Az önmagában alkalmazott diéta sikertelensége után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kezelt túlsúlyos betegek eredményeinek elemzése a következőket mutatta:</w:t>
      </w:r>
    </w:p>
    <w:p w14:paraId="0A2947EB" w14:textId="77777777" w:rsidR="006A22CA" w:rsidRDefault="00BA2766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diabetes okozta valamennyi szövődmény abszolút kockázatának szignifikáns csökkenését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-csoportban (29,8 esemény/1000 betegév), a csak diétázó csoporttal szemben (43,3 esemény/1000 betegév), p=0,0023, és a kombinált </w:t>
      </w:r>
      <w:proofErr w:type="spellStart"/>
      <w:r>
        <w:rPr>
          <w:lang w:val="hu-HU"/>
        </w:rPr>
        <w:t>szulfonilurea</w:t>
      </w:r>
      <w:proofErr w:type="spellEnd"/>
      <w:r>
        <w:rPr>
          <w:lang w:val="hu-HU"/>
        </w:rPr>
        <w:t xml:space="preserve"> és inzulin </w:t>
      </w:r>
      <w:proofErr w:type="spellStart"/>
      <w:r>
        <w:rPr>
          <w:lang w:val="hu-HU"/>
        </w:rPr>
        <w:t>monoterápiás</w:t>
      </w:r>
      <w:proofErr w:type="spellEnd"/>
      <w:r>
        <w:rPr>
          <w:lang w:val="hu-HU"/>
        </w:rPr>
        <w:t xml:space="preserve"> csoportokkal szemben (40,1 esemény/1000 betegév), p=0,0034,</w:t>
      </w:r>
    </w:p>
    <w:p w14:paraId="6CB8C8E0" w14:textId="77777777" w:rsidR="006A22CA" w:rsidRDefault="00BA2766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diabetessel összefüggő mortalitás abszolút kockázatának szignifikáns csökkenését: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7,5 esemény/1000 betegév, csak diéta 12,7 esemény/1000 betegév, p=0,017,</w:t>
      </w:r>
    </w:p>
    <w:p w14:paraId="07FF36A9" w14:textId="77777777" w:rsidR="006A22CA" w:rsidRDefault="00BA2766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összmortalitás</w:t>
      </w:r>
      <w:proofErr w:type="spellEnd"/>
      <w:r>
        <w:rPr>
          <w:lang w:val="hu-HU"/>
        </w:rPr>
        <w:t xml:space="preserve"> abszolút kockázatának szignifikáns csökkenését: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13,5 esemény/1000 betegév, a csak diétával szemben, 20,6 esemény/1000 betegév (p=0,011), és a kombinált </w:t>
      </w:r>
      <w:proofErr w:type="spellStart"/>
      <w:r>
        <w:rPr>
          <w:lang w:val="hu-HU"/>
        </w:rPr>
        <w:t>szulfonilurea</w:t>
      </w:r>
      <w:proofErr w:type="spellEnd"/>
      <w:r>
        <w:rPr>
          <w:lang w:val="hu-HU"/>
        </w:rPr>
        <w:t xml:space="preserve"> és inzulin </w:t>
      </w:r>
      <w:proofErr w:type="spellStart"/>
      <w:r>
        <w:rPr>
          <w:lang w:val="hu-HU"/>
        </w:rPr>
        <w:t>monoterápiás</w:t>
      </w:r>
      <w:proofErr w:type="spellEnd"/>
      <w:r>
        <w:rPr>
          <w:lang w:val="hu-HU"/>
        </w:rPr>
        <w:t xml:space="preserve"> csoportokkal szemben, 18,9 esemény/1000 betegév (p=0,021),</w:t>
      </w:r>
    </w:p>
    <w:p w14:paraId="64E0997B" w14:textId="77777777" w:rsidR="006A22CA" w:rsidRDefault="00BA2766">
      <w:pPr>
        <w:pStyle w:val="Listaszerbekezds"/>
        <w:numPr>
          <w:ilvl w:val="0"/>
          <w:numId w:val="2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a szívinfarktus abszolút kockázatának szignifikáns csökkenését: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11 esemény/1000 betegév, csak diéta 18 esemény/1000 betegév (p=0,01).</w:t>
      </w:r>
    </w:p>
    <w:p w14:paraId="176CE458" w14:textId="77777777" w:rsidR="006A22CA" w:rsidRDefault="006A22CA">
      <w:pPr>
        <w:spacing w:line="240" w:lineRule="auto"/>
        <w:rPr>
          <w:lang w:val="hu-HU"/>
        </w:rPr>
      </w:pPr>
    </w:p>
    <w:p w14:paraId="4780C395" w14:textId="77777777" w:rsidR="006A22CA" w:rsidRDefault="00BA2766">
      <w:pPr>
        <w:spacing w:line="240" w:lineRule="auto"/>
        <w:rPr>
          <w:lang w:val="hu-HU"/>
        </w:rPr>
      </w:pPr>
      <w:r>
        <w:rPr>
          <w:u w:val="single"/>
          <w:lang w:val="hu-HU"/>
        </w:rPr>
        <w:t>Klinikai hatásosság és biztonságosság</w:t>
      </w:r>
      <w:r>
        <w:rPr>
          <w:lang w:val="hu-HU"/>
        </w:rPr>
        <w:t xml:space="preserve"> </w:t>
      </w:r>
      <w:r>
        <w:rPr>
          <w:lang w:val="hu-HU"/>
        </w:rPr>
        <w:br/>
        <w:t xml:space="preserve">Ha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olyan betegeknek adták, akiknek a vércukorszint beállítása a </w:t>
      </w:r>
      <w:proofErr w:type="spellStart"/>
      <w:r>
        <w:rPr>
          <w:lang w:val="hu-HU"/>
        </w:rPr>
        <w:t>metformin-monoterápia</w:t>
      </w:r>
      <w:proofErr w:type="spellEnd"/>
      <w:r>
        <w:rPr>
          <w:lang w:val="hu-HU"/>
        </w:rPr>
        <w:t xml:space="preserve"> ellenére nem volt kielégítő, akkor az 6 hónapos kezelés után a </w:t>
      </w:r>
      <w:proofErr w:type="spellStart"/>
      <w:r>
        <w:rPr>
          <w:lang w:val="hu-HU"/>
        </w:rPr>
        <w:t>palcebóhoz</w:t>
      </w:r>
      <w:proofErr w:type="spellEnd"/>
      <w:r>
        <w:rPr>
          <w:lang w:val="hu-HU"/>
        </w:rPr>
        <w:t xml:space="preserve"> viszonyítva további, </w:t>
      </w:r>
      <w:proofErr w:type="spellStart"/>
      <w:r>
        <w:rPr>
          <w:lang w:val="hu-HU"/>
        </w:rPr>
        <w:t>statisztikailag</w:t>
      </w:r>
      <w:proofErr w:type="spellEnd"/>
      <w:r>
        <w:rPr>
          <w:lang w:val="hu-HU"/>
        </w:rPr>
        <w:t xml:space="preserve"> szignifikáns átlagos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-csökkenést eredményezett (a csoportok közötti különbség 50 mg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esetén -0,7% és 100 mg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esetén -1,1% közé esik). A kiindulási szinthez képest ≥ 0,7%-os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-csökkenést elérő betegek aránya </w:t>
      </w:r>
      <w:proofErr w:type="spellStart"/>
      <w:r>
        <w:rPr>
          <w:lang w:val="hu-HU"/>
        </w:rPr>
        <w:t>statisztikailag</w:t>
      </w:r>
      <w:proofErr w:type="spellEnd"/>
      <w:r>
        <w:rPr>
          <w:lang w:val="hu-HU"/>
        </w:rPr>
        <w:t xml:space="preserve"> szignifikánsan magasabb volt mindkét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+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-csoportban (sorrendben 46% és 60%), mint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+ placebocsoportban (20%).</w:t>
      </w:r>
    </w:p>
    <w:p w14:paraId="31DC0D23" w14:textId="77777777" w:rsidR="006A22CA" w:rsidRDefault="006A22CA">
      <w:pPr>
        <w:spacing w:line="240" w:lineRule="auto"/>
        <w:rPr>
          <w:lang w:val="hu-HU"/>
        </w:rPr>
      </w:pPr>
    </w:p>
    <w:p w14:paraId="61F0C1A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24 hetes vizsgálatban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(naponta kétszer 50 mg) a </w:t>
      </w:r>
      <w:proofErr w:type="spellStart"/>
      <w:r>
        <w:rPr>
          <w:lang w:val="hu-HU"/>
        </w:rPr>
        <w:t>pioglitazonnal</w:t>
      </w:r>
      <w:proofErr w:type="spellEnd"/>
      <w:r>
        <w:rPr>
          <w:lang w:val="hu-HU"/>
        </w:rPr>
        <w:t xml:space="preserve"> (napi egyszer 30 mg) hasonlították össze,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(átlagos napi dózis: 2020 mg) nem megfelelően kontrollált betegek esetén. A 8,4%-os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-szint átlagos csökkenése -0,9% volt, ha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mellé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, és -1,0% volt, ha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mellé </w:t>
      </w:r>
      <w:proofErr w:type="spellStart"/>
      <w:r>
        <w:rPr>
          <w:lang w:val="hu-HU"/>
        </w:rPr>
        <w:t>pioglitazont</w:t>
      </w:r>
      <w:proofErr w:type="spellEnd"/>
      <w:r>
        <w:rPr>
          <w:lang w:val="hu-HU"/>
        </w:rPr>
        <w:t xml:space="preserve"> adtak. Azoknál a betegeknél, akik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mellé </w:t>
      </w:r>
      <w:proofErr w:type="spellStart"/>
      <w:r>
        <w:rPr>
          <w:lang w:val="hu-HU"/>
        </w:rPr>
        <w:t>pioglitazont</w:t>
      </w:r>
      <w:proofErr w:type="spellEnd"/>
      <w:r>
        <w:rPr>
          <w:lang w:val="hu-HU"/>
        </w:rPr>
        <w:t xml:space="preserve"> kaptak, +1,9 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-os átlagos testtömeg-növekedést figyeltek meg, míg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mellé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kapóknál +0,3 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>-os volt a testtömeg-növekedés.</w:t>
      </w:r>
    </w:p>
    <w:p w14:paraId="6C42A1AC" w14:textId="77777777" w:rsidR="006A22CA" w:rsidRDefault="006A22CA">
      <w:pPr>
        <w:spacing w:line="240" w:lineRule="auto"/>
        <w:rPr>
          <w:lang w:val="hu-HU"/>
        </w:rPr>
      </w:pPr>
    </w:p>
    <w:p w14:paraId="53413A8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2 évig tartó klinikai vizsgálatban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(naponta kétszer 50 mg) </w:t>
      </w:r>
      <w:proofErr w:type="spellStart"/>
      <w:r>
        <w:rPr>
          <w:lang w:val="hu-HU"/>
        </w:rPr>
        <w:t>glimepiriddel</w:t>
      </w:r>
      <w:proofErr w:type="spellEnd"/>
      <w:r>
        <w:rPr>
          <w:lang w:val="hu-HU"/>
        </w:rPr>
        <w:t xml:space="preserve"> (legfeljebb naponta 6 mg - átlagos dózis a két év alatt: 4,6 mg) hasonlították össze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(átlagos napi dózis: 1894 mg) kezelt betegeknél. A 7,3%-os átlagos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-szintről 1 év után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átlagos csökkenése -0,4% volt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mellé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-0,5% volt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mellé </w:t>
      </w:r>
      <w:r>
        <w:rPr>
          <w:lang w:val="hu-HU"/>
        </w:rPr>
        <w:lastRenderedPageBreak/>
        <w:t xml:space="preserve">adott </w:t>
      </w:r>
      <w:proofErr w:type="spellStart"/>
      <w:r>
        <w:rPr>
          <w:lang w:val="hu-HU"/>
        </w:rPr>
        <w:t>glimepirid</w:t>
      </w:r>
      <w:proofErr w:type="spellEnd"/>
      <w:r>
        <w:rPr>
          <w:lang w:val="hu-HU"/>
        </w:rPr>
        <w:t xml:space="preserve"> esetén. A testtömegváltozás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mellett -0,2 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, míg a </w:t>
      </w:r>
      <w:proofErr w:type="spellStart"/>
      <w:r>
        <w:rPr>
          <w:lang w:val="hu-HU"/>
        </w:rPr>
        <w:t>glimepirid</w:t>
      </w:r>
      <w:proofErr w:type="spellEnd"/>
      <w:r>
        <w:rPr>
          <w:lang w:val="hu-HU"/>
        </w:rPr>
        <w:t xml:space="preserve"> mellett +1,6 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volt.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előfordulási gyakorisága szignifikánsan alacsonyabb volt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-csoportban (1,7%), mint a </w:t>
      </w:r>
      <w:proofErr w:type="spellStart"/>
      <w:r>
        <w:rPr>
          <w:lang w:val="hu-HU"/>
        </w:rPr>
        <w:t>glimepirid</w:t>
      </w:r>
      <w:proofErr w:type="spellEnd"/>
      <w:r>
        <w:rPr>
          <w:lang w:val="hu-HU"/>
        </w:rPr>
        <w:t>-csoportban (16,2%). A vizsgálati végpontnál (2 év)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mindkét terápiás csoportban a kiindulási értékhez volt hasonló, és a testtömegváltozás és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közti különbségek is fennmaradtak.</w:t>
      </w:r>
    </w:p>
    <w:p w14:paraId="086FD877" w14:textId="77777777" w:rsidR="006A22CA" w:rsidRDefault="006A22CA">
      <w:pPr>
        <w:spacing w:line="240" w:lineRule="auto"/>
        <w:rPr>
          <w:lang w:val="hu-HU"/>
        </w:rPr>
      </w:pPr>
    </w:p>
    <w:p w14:paraId="45D00B4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52 hetes vizsgálatban a (naponta kétszer 50 mg)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gliklaziddal</w:t>
      </w:r>
      <w:proofErr w:type="spellEnd"/>
      <w:r>
        <w:rPr>
          <w:lang w:val="hu-HU"/>
        </w:rPr>
        <w:t xml:space="preserve"> (átlagos napi dózis: 229,5 mg) hasonlították össze a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(a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kiindulási dózisa 1928 mg/nap) nem megfelelően kontrollált betegeknél. Egy év után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átlagos csökkenése -0,81% volt a </w:t>
      </w:r>
      <w:proofErr w:type="spellStart"/>
      <w:r>
        <w:rPr>
          <w:lang w:val="hu-HU"/>
        </w:rPr>
        <w:t>metforminhoz</w:t>
      </w:r>
      <w:proofErr w:type="spellEnd"/>
      <w:r>
        <w:rPr>
          <w:lang w:val="hu-HU"/>
        </w:rPr>
        <w:t xml:space="preserve">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(a kiindulási átlagos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8,4%) és -0,85% volt a </w:t>
      </w:r>
      <w:proofErr w:type="spellStart"/>
      <w:r>
        <w:rPr>
          <w:lang w:val="hu-HU"/>
        </w:rPr>
        <w:t>metforminhoz</w:t>
      </w:r>
      <w:proofErr w:type="spellEnd"/>
      <w:r>
        <w:rPr>
          <w:lang w:val="hu-HU"/>
        </w:rPr>
        <w:t xml:space="preserve"> adott </w:t>
      </w:r>
      <w:proofErr w:type="spellStart"/>
      <w:r>
        <w:rPr>
          <w:lang w:val="hu-HU"/>
        </w:rPr>
        <w:t>gliklazid</w:t>
      </w:r>
      <w:proofErr w:type="spellEnd"/>
      <w:r>
        <w:rPr>
          <w:lang w:val="hu-HU"/>
        </w:rPr>
        <w:t xml:space="preserve"> esetén (az átlagos kiindulási HbA</w:t>
      </w:r>
      <w:r>
        <w:rPr>
          <w:vertAlign w:val="subscript"/>
          <w:lang w:val="hu-HU"/>
        </w:rPr>
        <w:t xml:space="preserve">1c </w:t>
      </w:r>
      <w:r>
        <w:rPr>
          <w:lang w:val="hu-HU"/>
        </w:rPr>
        <w:t>8,5%). A statisztikai „non-</w:t>
      </w:r>
      <w:proofErr w:type="spellStart"/>
      <w:r>
        <w:rPr>
          <w:lang w:val="hu-HU"/>
        </w:rPr>
        <w:t>inferioritás</w:t>
      </w:r>
      <w:proofErr w:type="spellEnd"/>
      <w:r>
        <w:rPr>
          <w:lang w:val="hu-HU"/>
        </w:rPr>
        <w:t xml:space="preserve">” („nem rosszabb, mint”) igazolódott (95%-os CI -0,11 – 0,20).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mellett a testtömegváltozás +0,1 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, míg a </w:t>
      </w:r>
      <w:proofErr w:type="spellStart"/>
      <w:r>
        <w:rPr>
          <w:lang w:val="hu-HU"/>
        </w:rPr>
        <w:t>gliklazid</w:t>
      </w:r>
      <w:proofErr w:type="spellEnd"/>
      <w:r>
        <w:rPr>
          <w:lang w:val="hu-HU"/>
        </w:rPr>
        <w:t xml:space="preserve"> melletti testtömeg-növekedés +1,4 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volt.</w:t>
      </w:r>
    </w:p>
    <w:p w14:paraId="594D3F31" w14:textId="77777777" w:rsidR="006A22CA" w:rsidRDefault="006A22CA">
      <w:pPr>
        <w:spacing w:line="240" w:lineRule="auto"/>
        <w:rPr>
          <w:lang w:val="hu-HU"/>
        </w:rPr>
      </w:pPr>
    </w:p>
    <w:p w14:paraId="037E0E9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24 hetes vizsgálatban a fix dózisú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kombináció (melynek dózisát fokozatosan emelték naponta kétszer 50 mg/500 mg-ra vagy naponta kétszer 50 mg/1000 mg-ra), mint kezdeti kezelés hatásosságát értékelték a gyógyszert korábban még nem kapó betegeknél. A 8,6%-os átlagos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-szintet a naponta kétszer 50 mg/1000 mg dózisban alkalmazott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-1,82%-kal, a naponta kétszer 50 mg/500 mg dózisban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-1,61%-kal, a naponta kétszer 1000 mg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-1,36%-kal és a naponta kétszer 50 mg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-1,09%-kal csökkentette. Azoknál a betegeknél, akiknél a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>-szint ≥10,0% volt, nagyobb csökkenést észleltek.</w:t>
      </w:r>
    </w:p>
    <w:p w14:paraId="1601D3BA" w14:textId="77777777" w:rsidR="006A22CA" w:rsidRDefault="006A22CA">
      <w:pPr>
        <w:spacing w:line="240" w:lineRule="auto"/>
        <w:rPr>
          <w:lang w:val="hu-HU"/>
        </w:rPr>
      </w:pPr>
    </w:p>
    <w:p w14:paraId="5F24547F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24 hetes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 xml:space="preserve">, kettős vak, placebokontrollos vizsgálatot végeztek 318 beteggel, hogy értékeljék a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(naponta ≥1500 mg) és </w:t>
      </w:r>
      <w:proofErr w:type="spellStart"/>
      <w:r>
        <w:rPr>
          <w:lang w:val="hu-HU"/>
        </w:rPr>
        <w:t>glimepiriddel</w:t>
      </w:r>
      <w:proofErr w:type="spellEnd"/>
      <w:r>
        <w:rPr>
          <w:lang w:val="hu-HU"/>
        </w:rPr>
        <w:t xml:space="preserve"> (naponta ≥4 mg) kombinációban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(naponta kétszer 50 mg) hatásosságát és biztonságosságát. A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glimepiriddel</w:t>
      </w:r>
      <w:proofErr w:type="spellEnd"/>
      <w:r>
        <w:rPr>
          <w:lang w:val="hu-HU"/>
        </w:rPr>
        <w:t xml:space="preserve"> kombinációban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placebóhoz</w:t>
      </w:r>
      <w:proofErr w:type="spellEnd"/>
      <w:r>
        <w:rPr>
          <w:lang w:val="hu-HU"/>
        </w:rPr>
        <w:t xml:space="preserve"> képest jelentősen csökkentette a HbA</w:t>
      </w:r>
      <w:r>
        <w:rPr>
          <w:vertAlign w:val="subscript"/>
          <w:lang w:val="hu-HU"/>
        </w:rPr>
        <w:t>1c</w:t>
      </w:r>
      <w:r>
        <w:rPr>
          <w:lang w:val="hu-HU"/>
        </w:rPr>
        <w:noBreakHyphen/>
        <w:t>szintet. Az átlagos 8,8%-os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-szinttől mért, </w:t>
      </w:r>
      <w:proofErr w:type="spellStart"/>
      <w:r>
        <w:rPr>
          <w:lang w:val="hu-HU"/>
        </w:rPr>
        <w:t>placebóra</w:t>
      </w:r>
      <w:proofErr w:type="spellEnd"/>
      <w:r>
        <w:rPr>
          <w:lang w:val="hu-HU"/>
        </w:rPr>
        <w:t xml:space="preserve"> korrigált átlagos csökkenés -0,76% volt.</w:t>
      </w:r>
    </w:p>
    <w:p w14:paraId="0FCA6262" w14:textId="77777777" w:rsidR="006A22CA" w:rsidRDefault="006A22CA">
      <w:pPr>
        <w:spacing w:line="240" w:lineRule="auto"/>
        <w:rPr>
          <w:lang w:val="hu-HU"/>
        </w:rPr>
      </w:pPr>
    </w:p>
    <w:p w14:paraId="622CFFB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VERIFY egy öt éves, multicentrikus,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>, kettős vak vizsgálat, melyet 2-es típusú</w:t>
      </w:r>
    </w:p>
    <w:p w14:paraId="735A5569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cukorbetegek részvételével végeztek. A vizsgálat során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alkotta korai kombinációs terápia (N=998) hatását tanulmányozták, a standard ellátást jelentő, </w:t>
      </w:r>
      <w:proofErr w:type="spellStart"/>
      <w:r>
        <w:rPr>
          <w:lang w:val="hu-HU"/>
        </w:rPr>
        <w:t>metformin-monoterápiával</w:t>
      </w:r>
      <w:proofErr w:type="spellEnd"/>
      <w:r>
        <w:rPr>
          <w:lang w:val="hu-HU"/>
        </w:rPr>
        <w:t xml:space="preserve"> induló, majd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kombinált (lépcsőzetes felépítésű terápiás csoport, N=1003) kezelés hatásával szemben, újonnan diagnosztizált 2-es típusú cukorbetegeknél. A vizsgálat 5 éves időtartama alatt igazolódott, hogy a napi kétszer 50 mg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alkotta kombinációs kezelési protokoll </w:t>
      </w:r>
      <w:proofErr w:type="spellStart"/>
      <w:r>
        <w:rPr>
          <w:lang w:val="hu-HU"/>
        </w:rPr>
        <w:t>statisztikailag</w:t>
      </w:r>
      <w:proofErr w:type="spellEnd"/>
      <w:r>
        <w:rPr>
          <w:lang w:val="hu-HU"/>
        </w:rPr>
        <w:t xml:space="preserve"> és klinikailag szignifikánsan csökkentette az „igazolt kezdeti terápiás kudarcig eltelt idővel” (HbA1c-érték ≥7%) kapcsolatos relatív kockázatot a </w:t>
      </w:r>
      <w:proofErr w:type="spellStart"/>
      <w:r>
        <w:rPr>
          <w:lang w:val="hu-HU"/>
        </w:rPr>
        <w:t>metformin-monoterápiához</w:t>
      </w:r>
      <w:proofErr w:type="spellEnd"/>
      <w:r>
        <w:rPr>
          <w:lang w:val="hu-HU"/>
        </w:rPr>
        <w:t xml:space="preserve"> képest, a kezelést korábban még nem kapó 2-es típusú cukorbetegek körében (HR [95%-os CI]: 0,51 [0,45, 0,58]; p&lt;0,001). A kezdeti terápiás kudarc (HbA1c-érték ≥7%) </w:t>
      </w:r>
      <w:proofErr w:type="spellStart"/>
      <w:r>
        <w:rPr>
          <w:lang w:val="hu-HU"/>
        </w:rPr>
        <w:t>incidenciája</w:t>
      </w:r>
      <w:proofErr w:type="spellEnd"/>
      <w:r>
        <w:rPr>
          <w:lang w:val="hu-HU"/>
        </w:rPr>
        <w:t xml:space="preserve"> 43,6% (429 beteg) volt a kombinációs, illetve 62,1% (614 beteg) a lépcsőzetes felépítésű terápiás csoportban.</w:t>
      </w:r>
    </w:p>
    <w:p w14:paraId="6B8B7FBF" w14:textId="77777777" w:rsidR="006A22CA" w:rsidRDefault="006A22CA">
      <w:pPr>
        <w:spacing w:line="240" w:lineRule="auto"/>
        <w:rPr>
          <w:lang w:val="hu-HU"/>
        </w:rPr>
      </w:pPr>
    </w:p>
    <w:p w14:paraId="61B0C416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24 hetes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 xml:space="preserve">, kettős vak, placebokontrollos vizsgálatot végeztek 449 beteggel, hogy értékeljék a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együtt (n=276) vagy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nélkül adott (n=173) stabil dózisú </w:t>
      </w:r>
      <w:proofErr w:type="spellStart"/>
      <w:r>
        <w:rPr>
          <w:lang w:val="hu-HU"/>
        </w:rPr>
        <w:t>bazális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premix</w:t>
      </w:r>
      <w:proofErr w:type="spellEnd"/>
      <w:r>
        <w:rPr>
          <w:lang w:val="hu-HU"/>
        </w:rPr>
        <w:t xml:space="preserve"> inzulinnal (átlagos napi dózis 41 egység) kombinációban alkalmazott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(naponta kétszer 50 mg) hatásosságát és biztonságosságát. Az inzulinnal kombinációban adott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placebóhoz</w:t>
      </w:r>
      <w:proofErr w:type="spellEnd"/>
      <w:r>
        <w:rPr>
          <w:lang w:val="hu-HU"/>
        </w:rPr>
        <w:t xml:space="preserve"> képest jelentősen csökkentette a HbA</w:t>
      </w:r>
      <w:r>
        <w:rPr>
          <w:vertAlign w:val="subscript"/>
          <w:lang w:val="hu-HU"/>
        </w:rPr>
        <w:t>1c</w:t>
      </w:r>
      <w:r>
        <w:rPr>
          <w:lang w:val="hu-HU"/>
        </w:rPr>
        <w:t>-szintet. A teljes populációban az átlagos 8,8%-os kiindulási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-szintről mért, </w:t>
      </w:r>
      <w:proofErr w:type="spellStart"/>
      <w:r>
        <w:rPr>
          <w:lang w:val="hu-HU"/>
        </w:rPr>
        <w:t>placebóra</w:t>
      </w:r>
      <w:proofErr w:type="spellEnd"/>
      <w:r>
        <w:rPr>
          <w:lang w:val="hu-HU"/>
        </w:rPr>
        <w:t xml:space="preserve"> korrigált átlagos csökkenés -0,72% volt. Az egyidejűleg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nélkül adott inzulinnal kezelt alcsoportokban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placebóra</w:t>
      </w:r>
      <w:proofErr w:type="spellEnd"/>
      <w:r>
        <w:rPr>
          <w:lang w:val="hu-HU"/>
        </w:rPr>
        <w:t xml:space="preserve"> korrigált átlagos csökkenése sorrendben -0,63% és -0,84% volt. A teljes populációban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előfordulási gyakorisága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-csoportban 8,4% és a placebocsoportban 7,2% volt. A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kapó betegeknél nem észleltek testtömeg-növekedést (+0,2 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), míg a </w:t>
      </w:r>
      <w:proofErr w:type="spellStart"/>
      <w:r>
        <w:rPr>
          <w:lang w:val="hu-HU"/>
        </w:rPr>
        <w:t>placebót</w:t>
      </w:r>
      <w:proofErr w:type="spellEnd"/>
      <w:r>
        <w:rPr>
          <w:lang w:val="hu-HU"/>
        </w:rPr>
        <w:t xml:space="preserve"> kapóknál testtömegcsökkenést tapasztaltak (-0,7 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>).</w:t>
      </w:r>
    </w:p>
    <w:p w14:paraId="555F6A04" w14:textId="77777777" w:rsidR="006A22CA" w:rsidRDefault="006A22CA">
      <w:pPr>
        <w:spacing w:line="240" w:lineRule="auto"/>
        <w:rPr>
          <w:lang w:val="hu-HU"/>
        </w:rPr>
      </w:pPr>
    </w:p>
    <w:p w14:paraId="4872F61E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másik, 24 hetes vizsgálatban, amit olyan betegekkel végeztek, akiknek előrehaladottabb 2-es típusú cukorbetegségük volt, és nem voltak megfelelően beállítva inzulinnal (rövid- és hosszú hatású, </w:t>
      </w:r>
      <w:r>
        <w:rPr>
          <w:lang w:val="hu-HU"/>
        </w:rPr>
        <w:lastRenderedPageBreak/>
        <w:t>átlagos inzulin dózis 80 NE/nap), a HbA</w:t>
      </w:r>
      <w:r>
        <w:rPr>
          <w:vertAlign w:val="subscript"/>
          <w:lang w:val="hu-HU"/>
        </w:rPr>
        <w:t>1c</w:t>
      </w:r>
      <w:r>
        <w:rPr>
          <w:lang w:val="hu-HU"/>
        </w:rPr>
        <w:t xml:space="preserve">-szint átlagos csökkenése </w:t>
      </w:r>
      <w:proofErr w:type="spellStart"/>
      <w:r>
        <w:rPr>
          <w:lang w:val="hu-HU"/>
        </w:rPr>
        <w:t>statisztikailag</w:t>
      </w:r>
      <w:proofErr w:type="spellEnd"/>
      <w:r>
        <w:rPr>
          <w:lang w:val="hu-HU"/>
        </w:rPr>
        <w:t xml:space="preserve"> szignifikánsan nagyobb volt, amikor </w:t>
      </w:r>
      <w:proofErr w:type="spellStart"/>
      <w:r>
        <w:rPr>
          <w:lang w:val="hu-HU"/>
        </w:rPr>
        <w:t>vildagliptint</w:t>
      </w:r>
      <w:proofErr w:type="spellEnd"/>
      <w:r>
        <w:rPr>
          <w:lang w:val="hu-HU"/>
        </w:rPr>
        <w:t xml:space="preserve"> (naponta kétszer 50 mg) adtak az inzulinhoz, mint a placebo plusz inzulin esetén (0,5% </w:t>
      </w:r>
      <w:proofErr w:type="spellStart"/>
      <w:r>
        <w:rPr>
          <w:lang w:val="hu-HU"/>
        </w:rPr>
        <w:t>vs</w:t>
      </w:r>
      <w:proofErr w:type="spellEnd"/>
      <w:r>
        <w:rPr>
          <w:lang w:val="hu-HU"/>
        </w:rPr>
        <w:t xml:space="preserve">. 0,2%).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előfordulási gyakorisága alacsonyabb volt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-csoportban, mint a placebocsoportban (22,9% </w:t>
      </w:r>
      <w:proofErr w:type="spellStart"/>
      <w:r>
        <w:rPr>
          <w:lang w:val="hu-HU"/>
        </w:rPr>
        <w:t>vs</w:t>
      </w:r>
      <w:proofErr w:type="spellEnd"/>
      <w:r>
        <w:rPr>
          <w:lang w:val="hu-HU"/>
        </w:rPr>
        <w:t>. 29,6%).</w:t>
      </w:r>
    </w:p>
    <w:p w14:paraId="7D58AE7E" w14:textId="77777777" w:rsidR="006A22CA" w:rsidRDefault="006A22CA">
      <w:pPr>
        <w:spacing w:line="240" w:lineRule="auto"/>
        <w:rPr>
          <w:lang w:val="hu-HU"/>
        </w:rPr>
      </w:pPr>
    </w:p>
    <w:p w14:paraId="4E2B108F" w14:textId="77777777" w:rsidR="006A22CA" w:rsidRDefault="00BA2766">
      <w:pPr>
        <w:spacing w:line="240" w:lineRule="auto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Cardiovascularis</w:t>
      </w:r>
      <w:proofErr w:type="spellEnd"/>
      <w:r>
        <w:rPr>
          <w:i/>
          <w:u w:val="single"/>
          <w:lang w:val="hu-HU"/>
        </w:rPr>
        <w:t xml:space="preserve"> kockázat</w:t>
      </w:r>
    </w:p>
    <w:p w14:paraId="6527104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Harminchét, akár 2 évnél is hosszabb (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esetében átlag 50 hetes, a komparátorok esetében átlag 49 hetes) időtartamú, III. fázisú és IV. fázisú, </w:t>
      </w:r>
      <w:proofErr w:type="spellStart"/>
      <w:r>
        <w:rPr>
          <w:lang w:val="hu-HU"/>
        </w:rPr>
        <w:t>monoterápiával</w:t>
      </w:r>
      <w:proofErr w:type="spellEnd"/>
      <w:r>
        <w:rPr>
          <w:lang w:val="hu-HU"/>
        </w:rPr>
        <w:t xml:space="preserve"> és kombinált terápiával végzett klinikai vizsgálatból származó, függetlenül és </w:t>
      </w:r>
      <w:proofErr w:type="spellStart"/>
      <w:r>
        <w:rPr>
          <w:lang w:val="hu-HU"/>
        </w:rPr>
        <w:t>prospektíven</w:t>
      </w:r>
      <w:proofErr w:type="spellEnd"/>
      <w:r>
        <w:rPr>
          <w:lang w:val="hu-HU"/>
        </w:rPr>
        <w:t xml:space="preserve"> igazolt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események </w:t>
      </w:r>
      <w:proofErr w:type="spellStart"/>
      <w:proofErr w:type="gramStart"/>
      <w:r>
        <w:rPr>
          <w:lang w:val="hu-HU"/>
        </w:rPr>
        <w:t>meta</w:t>
      </w:r>
      <w:proofErr w:type="spellEnd"/>
      <w:r>
        <w:rPr>
          <w:lang w:val="hu-HU"/>
        </w:rPr>
        <w:t>-analízisét</w:t>
      </w:r>
      <w:proofErr w:type="gramEnd"/>
      <w:r>
        <w:rPr>
          <w:lang w:val="hu-HU"/>
        </w:rPr>
        <w:t xml:space="preserve"> végezték el, ami azt mutatta, hogy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-kezelés nem járt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kockázat emelkedésével a komparátorokhoz viszonyítva. Az igazolt major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nemkívánatos események (major </w:t>
      </w:r>
      <w:proofErr w:type="spellStart"/>
      <w:r>
        <w:rPr>
          <w:lang w:val="hu-HU"/>
        </w:rPr>
        <w:t>adverse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cardiovascular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events</w:t>
      </w:r>
      <w:proofErr w:type="spellEnd"/>
      <w:r>
        <w:rPr>
          <w:lang w:val="hu-HU"/>
        </w:rPr>
        <w:t xml:space="preserve">; MACE) – beleértve az akut </w:t>
      </w:r>
      <w:proofErr w:type="spellStart"/>
      <w:r>
        <w:rPr>
          <w:lang w:val="hu-HU"/>
        </w:rPr>
        <w:t>myocardiális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infarctust</w:t>
      </w:r>
      <w:proofErr w:type="spellEnd"/>
      <w:r>
        <w:rPr>
          <w:lang w:val="hu-HU"/>
        </w:rPr>
        <w:t xml:space="preserve">, a stroke-ot vagy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halálozást is – összetett végpontja hasonló volt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, illetve az aktív és placebo komparátorok esetén (</w:t>
      </w:r>
      <w:proofErr w:type="spellStart"/>
      <w:r>
        <w:rPr>
          <w:lang w:val="hu-HU"/>
        </w:rPr>
        <w:t>Mantel</w:t>
      </w:r>
      <w:proofErr w:type="spellEnd"/>
      <w:r>
        <w:rPr>
          <w:lang w:val="hu-HU"/>
        </w:rPr>
        <w:t>–</w:t>
      </w:r>
      <w:proofErr w:type="spellStart"/>
      <w:r>
        <w:rPr>
          <w:lang w:val="hu-HU"/>
        </w:rPr>
        <w:t>Haenszel</w:t>
      </w:r>
      <w:proofErr w:type="spellEnd"/>
      <w:r>
        <w:rPr>
          <w:lang w:val="hu-HU"/>
        </w:rPr>
        <w:t xml:space="preserve">-féle kockázati arány [M-H RR] 0,82 [95%-os CI 0,61-1,11]).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noBreakHyphen/>
        <w:t xml:space="preserve">csoport 9599 betege közül 83-nál (0,86%), míg a komparátor csoport 7102 betege közül 85-nél (1,20%) számoltak be major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nemkívánatos eseményről. A MACE komponensek mindegyikének </w:t>
      </w:r>
      <w:proofErr w:type="spellStart"/>
      <w:r>
        <w:rPr>
          <w:lang w:val="hu-HU"/>
        </w:rPr>
        <w:t>egyenkénti</w:t>
      </w:r>
      <w:proofErr w:type="spellEnd"/>
      <w:r>
        <w:rPr>
          <w:lang w:val="hu-HU"/>
        </w:rPr>
        <w:t xml:space="preserve"> értékelése nem mutatott megnövekedett kockázatot (hasonló M-H RR). Bizonyított szívelégtelenség eseményeket, vagyis a definíciója szerint </w:t>
      </w:r>
      <w:proofErr w:type="spellStart"/>
      <w:r>
        <w:rPr>
          <w:lang w:val="hu-HU"/>
        </w:rPr>
        <w:t>hospitalizációt</w:t>
      </w:r>
      <w:proofErr w:type="spellEnd"/>
      <w:r>
        <w:rPr>
          <w:lang w:val="hu-HU"/>
        </w:rPr>
        <w:t xml:space="preserve"> igénylő szívelégtelenséget, vagy újonnan fellépő szívelégtelenséget 41,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-csoportba tartozó betegnél (0,43%), illetve 32, a komparátorcsoportba tartozó betegnél (0,45%) jelentettek – M-H RR 1,08 (95%-os CI 0,68-1,70).</w:t>
      </w:r>
    </w:p>
    <w:p w14:paraId="26A8FEFD" w14:textId="77777777" w:rsidR="006A22CA" w:rsidRDefault="006A22CA">
      <w:pPr>
        <w:spacing w:line="240" w:lineRule="auto"/>
        <w:rPr>
          <w:lang w:val="hu-HU"/>
        </w:rPr>
      </w:pPr>
    </w:p>
    <w:p w14:paraId="3C4AFF69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14:paraId="24352E4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Az Európai Gyógyszerügynökség a gyermekek esetén minden korosztálynál eltekint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kombinációt tartalmazó referencia készítmény vizsgálati eredményeinek benyújtási kötelezettségétől 2-es típusú diabetesben (lásd 4.2 pont, gyermekekre és serdülőkre vonatkozó információk).</w:t>
      </w:r>
    </w:p>
    <w:p w14:paraId="273CDFB7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55F305E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5.2</w:t>
      </w:r>
      <w:r>
        <w:rPr>
          <w:b/>
          <w:bCs/>
          <w:lang w:val="hu-HU"/>
        </w:rPr>
        <w:tab/>
      </w:r>
      <w:proofErr w:type="spellStart"/>
      <w:r>
        <w:rPr>
          <w:b/>
          <w:bCs/>
          <w:lang w:val="hu-HU"/>
        </w:rPr>
        <w:t>Farmakokinetikai</w:t>
      </w:r>
      <w:proofErr w:type="spellEnd"/>
      <w:r>
        <w:rPr>
          <w:b/>
          <w:bCs/>
          <w:lang w:val="hu-HU"/>
        </w:rPr>
        <w:t xml:space="preserve"> tulajdonságok</w:t>
      </w:r>
    </w:p>
    <w:p w14:paraId="0FCF6B88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35CEAAB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Vildagliptin</w:t>
      </w:r>
      <w:proofErr w:type="spellEnd"/>
      <w:r>
        <w:rPr>
          <w:i/>
          <w:u w:val="single"/>
          <w:lang w:val="hu-HU"/>
        </w:rPr>
        <w:t>/</w:t>
      </w:r>
      <w:proofErr w:type="spellStart"/>
      <w:r>
        <w:rPr>
          <w:i/>
          <w:u w:val="single"/>
          <w:lang w:val="hu-HU"/>
        </w:rPr>
        <w:t>metformin</w:t>
      </w:r>
      <w:proofErr w:type="spellEnd"/>
    </w:p>
    <w:p w14:paraId="3EA366AE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1DA702C5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Felszívódás</w:t>
      </w:r>
    </w:p>
    <w:p w14:paraId="2B220613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Bizonyították a fix kombinációjú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metformin-hidroklorid</w:t>
      </w:r>
      <w:proofErr w:type="spellEnd"/>
      <w:r>
        <w:rPr>
          <w:lang w:val="hu-HU"/>
        </w:rPr>
        <w:t xml:space="preserve"> három dóziserőssége (50 mg/500 mg, 50 mg/850 mg és 50 mg/1000 mg) és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metformin-hidroklorid</w:t>
      </w:r>
      <w:proofErr w:type="spellEnd"/>
      <w:r>
        <w:rPr>
          <w:lang w:val="hu-HU"/>
        </w:rPr>
        <w:t xml:space="preserve"> tabletták megfelelő dózisainak különálló kombinációja közötti </w:t>
      </w:r>
      <w:proofErr w:type="spellStart"/>
      <w:r>
        <w:rPr>
          <w:lang w:val="hu-HU"/>
        </w:rPr>
        <w:t>bioekvivalenciát</w:t>
      </w:r>
      <w:proofErr w:type="spellEnd"/>
      <w:r>
        <w:rPr>
          <w:lang w:val="hu-HU"/>
        </w:rPr>
        <w:t>.</w:t>
      </w:r>
    </w:p>
    <w:p w14:paraId="534FDDD1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9FD8FBD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táplálék nem befolyásolja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fix dózisú kombinációban lévő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felszívódásának mértékét vagy sebességét.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50 mg/1000 mg-os kombinációban lévő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felszívódásának sebessége és mértéke csökkent, ha táplálékkal együtt adták, amit a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 26%-os, az AUC 7%-os csökkenése, valamint a </w:t>
      </w:r>
      <w:proofErr w:type="spellStart"/>
      <w:r>
        <w:rPr>
          <w:lang w:val="hu-HU"/>
        </w:rPr>
        <w:t>t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 megnyúlása (2,0-4,0 óra) tükröz.</w:t>
      </w:r>
    </w:p>
    <w:p w14:paraId="4F802651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24AD768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Az alábbi megállapítások 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-ban lévő egyes hatóanyagok </w:t>
      </w:r>
      <w:proofErr w:type="spellStart"/>
      <w:r>
        <w:rPr>
          <w:lang w:val="hu-HU"/>
        </w:rPr>
        <w:t>farmakokinetikai</w:t>
      </w:r>
      <w:proofErr w:type="spellEnd"/>
      <w:r>
        <w:rPr>
          <w:lang w:val="hu-HU"/>
        </w:rPr>
        <w:t xml:space="preserve"> tulajdonságait tükrözik.</w:t>
      </w:r>
    </w:p>
    <w:p w14:paraId="0C366C6D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EEA5B8E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Vildagliptin</w:t>
      </w:r>
      <w:proofErr w:type="spellEnd"/>
    </w:p>
    <w:p w14:paraId="1FC72BC6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36E70350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Felszívódás</w:t>
      </w:r>
    </w:p>
    <w:p w14:paraId="5776F4FB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proofErr w:type="spellStart"/>
      <w:r>
        <w:rPr>
          <w:lang w:val="hu-HU"/>
        </w:rPr>
        <w:t>Éhomi</w:t>
      </w:r>
      <w:proofErr w:type="spellEnd"/>
      <w:r>
        <w:rPr>
          <w:lang w:val="hu-HU"/>
        </w:rPr>
        <w:t xml:space="preserve"> állapotban, orális adagolást követően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gyorsan felszívódik, és a plazma csúcskoncentráció 1,7 óra elteltével mérhető. Az ételek kismértékben, 2,5 órára nyújtják a plazma csúcskoncentráció kialakulásáig eltelt időt, de nem változtatják meg a teljes expozíciót (AUC).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étkezés közben történő adása az éhomra történő adagoláshoz képest a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-érték csökkenését eredményezte (19%). A változás nagyságrendje azonban klinikailag nem jelentős, így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étkezés közben vagy attól függetlenül is bevehető. Az abszolút </w:t>
      </w:r>
      <w:proofErr w:type="spellStart"/>
      <w:r>
        <w:rPr>
          <w:lang w:val="hu-HU"/>
        </w:rPr>
        <w:t>biohasznosulás</w:t>
      </w:r>
      <w:proofErr w:type="spellEnd"/>
      <w:r>
        <w:rPr>
          <w:lang w:val="hu-HU"/>
        </w:rPr>
        <w:t xml:space="preserve"> 85%.</w:t>
      </w:r>
    </w:p>
    <w:p w14:paraId="09A12C56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72E88FB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Eloszlás</w:t>
      </w:r>
    </w:p>
    <w:p w14:paraId="1F49BF55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lastRenderedPageBreak/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kismértékben kötődik a plazmafehérjékhez (9,3%), és egyenlő mértékben oszlik meg a plazma és a vörösvértestek között.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átlagos eloszlási térfogata dinamikus egyensúlyi állapotban, intravénás alkalmazást követően (</w:t>
      </w:r>
      <w:proofErr w:type="spellStart"/>
      <w:r>
        <w:rPr>
          <w:lang w:val="hu-HU"/>
        </w:rPr>
        <w:t>V</w:t>
      </w:r>
      <w:r>
        <w:rPr>
          <w:vertAlign w:val="subscript"/>
          <w:lang w:val="hu-HU"/>
        </w:rPr>
        <w:t>ss</w:t>
      </w:r>
      <w:proofErr w:type="spellEnd"/>
      <w:r>
        <w:rPr>
          <w:lang w:val="hu-HU"/>
        </w:rPr>
        <w:t xml:space="preserve">) 71 liter, ami </w:t>
      </w:r>
      <w:proofErr w:type="spellStart"/>
      <w:r>
        <w:rPr>
          <w:lang w:val="hu-HU"/>
        </w:rPr>
        <w:t>extravaszkuláris</w:t>
      </w:r>
      <w:proofErr w:type="spellEnd"/>
      <w:r>
        <w:rPr>
          <w:lang w:val="hu-HU"/>
        </w:rPr>
        <w:t xml:space="preserve"> megoszlásra utal.</w:t>
      </w:r>
    </w:p>
    <w:p w14:paraId="6B3DD18E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D9D1ED6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Biotranszformáció</w:t>
      </w:r>
      <w:proofErr w:type="spellEnd"/>
    </w:p>
    <w:p w14:paraId="4FB4C119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Humán vonatkozásban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elsődleges eliminációs útvonala a </w:t>
      </w:r>
      <w:proofErr w:type="spellStart"/>
      <w:r>
        <w:rPr>
          <w:lang w:val="hu-HU"/>
        </w:rPr>
        <w:t>metabolizáció</w:t>
      </w:r>
      <w:proofErr w:type="spellEnd"/>
      <w:r>
        <w:rPr>
          <w:lang w:val="hu-HU"/>
        </w:rPr>
        <w:t>, ami a bevitt dózis 69%</w:t>
      </w:r>
      <w:r>
        <w:rPr>
          <w:lang w:val="hu-HU"/>
        </w:rPr>
        <w:noBreakHyphen/>
        <w:t xml:space="preserve">át érinti. A legfontosabb </w:t>
      </w:r>
      <w:proofErr w:type="spellStart"/>
      <w:r>
        <w:rPr>
          <w:lang w:val="hu-HU"/>
        </w:rPr>
        <w:t>metabolit</w:t>
      </w:r>
      <w:proofErr w:type="spellEnd"/>
      <w:r>
        <w:rPr>
          <w:lang w:val="hu-HU"/>
        </w:rPr>
        <w:t xml:space="preserve"> (LAY 151) </w:t>
      </w:r>
      <w:proofErr w:type="spellStart"/>
      <w:r>
        <w:rPr>
          <w:lang w:val="hu-HU"/>
        </w:rPr>
        <w:t>farmakológiailag</w:t>
      </w:r>
      <w:proofErr w:type="spellEnd"/>
      <w:r>
        <w:rPr>
          <w:lang w:val="hu-HU"/>
        </w:rPr>
        <w:t xml:space="preserve"> inaktív, a </w:t>
      </w:r>
      <w:proofErr w:type="spellStart"/>
      <w:r>
        <w:rPr>
          <w:lang w:val="hu-HU"/>
        </w:rPr>
        <w:t>ciano</w:t>
      </w:r>
      <w:proofErr w:type="spellEnd"/>
      <w:r>
        <w:rPr>
          <w:lang w:val="hu-HU"/>
        </w:rPr>
        <w:t>-rész hidrolízisének terméke, amely a bevitt dózis 57%-</w:t>
      </w:r>
      <w:proofErr w:type="spellStart"/>
      <w:r>
        <w:rPr>
          <w:lang w:val="hu-HU"/>
        </w:rPr>
        <w:t>ából</w:t>
      </w:r>
      <w:proofErr w:type="spellEnd"/>
      <w:r>
        <w:rPr>
          <w:lang w:val="hu-HU"/>
        </w:rPr>
        <w:t xml:space="preserve"> jön létre, amit az amid-hidrolízis terméke követ (a bevitt dózis 4%-a). Egy DPP-4-hiányos patkányokon végzett </w:t>
      </w:r>
      <w:r>
        <w:rPr>
          <w:i/>
          <w:lang w:val="hu-HU"/>
        </w:rPr>
        <w:t>in vivo</w:t>
      </w:r>
      <w:r>
        <w:rPr>
          <w:lang w:val="hu-HU"/>
        </w:rPr>
        <w:t xml:space="preserve"> vizsgálat alapján a DPP-4 részlegesen hozzájárul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hidrolíziséhez. A </w:t>
      </w:r>
      <w:proofErr w:type="spellStart"/>
      <w:r>
        <w:rPr>
          <w:lang w:val="hu-HU"/>
        </w:rPr>
        <w:t>vildaglitpin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metabolizációjában</w:t>
      </w:r>
      <w:proofErr w:type="spellEnd"/>
      <w:r>
        <w:rPr>
          <w:lang w:val="hu-HU"/>
        </w:rPr>
        <w:t xml:space="preserve"> mérhető módon nem vesznek részt a CYP 450 enzimek. Ennek megfelelően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metabolikus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-ét várhatóan nem befolyásolják az egyidejűleg adott CYP 450 inhibitor és/vagy induktor gyógyszerek. </w:t>
      </w:r>
      <w:r>
        <w:rPr>
          <w:i/>
          <w:lang w:val="hu-HU"/>
        </w:rPr>
        <w:t>In vitro</w:t>
      </w:r>
      <w:r>
        <w:rPr>
          <w:lang w:val="hu-HU"/>
        </w:rPr>
        <w:t xml:space="preserve"> vizsgálatokban kimutatták, hogy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nem gátol, illetve nem indukál CYP 450 enzimeket. Ebből adódóan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várhatóan nem befolyásolja a CYP 1A2, CYP 2C8, CYP 2C9, CYP 2C19, CYP 2D6, CYP 2E1 vagy CYP 3A4/5 által </w:t>
      </w:r>
      <w:proofErr w:type="spellStart"/>
      <w:r>
        <w:rPr>
          <w:lang w:val="hu-HU"/>
        </w:rPr>
        <w:t>metabolizált</w:t>
      </w:r>
      <w:proofErr w:type="spellEnd"/>
      <w:r>
        <w:rPr>
          <w:lang w:val="hu-HU"/>
        </w:rPr>
        <w:t xml:space="preserve">, egyidejűleg alkalmazott gyógyszerek metabolikus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-ét.</w:t>
      </w:r>
    </w:p>
    <w:p w14:paraId="6460AF40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C301BEA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Elimináció</w:t>
      </w:r>
    </w:p>
    <w:p w14:paraId="0CABCEE8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vertAlign w:val="superscript"/>
          <w:lang w:val="hu-HU"/>
        </w:rPr>
        <w:t>14</w:t>
      </w:r>
      <w:r>
        <w:rPr>
          <w:lang w:val="hu-HU"/>
        </w:rPr>
        <w:t xml:space="preserve">C-pal jelölt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orális alkalmazását követően a bevitt dózis megközelítőleg 85%-a ürült a vizeletben, és 15%-a volt visszanyerhető a székletből. A szájon át bevitt dózis 23%-a változatlan formában ürül a vesén keresztül. Egészséges önkénteseknél intravénás bevitelt követően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összplazma</w:t>
      </w:r>
      <w:proofErr w:type="spellEnd"/>
      <w:r>
        <w:rPr>
          <w:lang w:val="hu-HU"/>
        </w:rPr>
        <w:t xml:space="preserve">- és </w:t>
      </w:r>
      <w:proofErr w:type="spellStart"/>
      <w:r>
        <w:rPr>
          <w:lang w:val="hu-HU"/>
        </w:rPr>
        <w:t>renalis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-értéke sorrendben 41, illetve 13 l/óra. Intravénás bevitelt követően az átlagos eliminációs felezési idő megközelítőleg 2 óra. Orális alkalmazást követően az eliminációs felezési idő megközelítőleg 3 óra.</w:t>
      </w:r>
    </w:p>
    <w:p w14:paraId="362D472A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20FE888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Linearitás/nem-linearitás</w:t>
      </w:r>
    </w:p>
    <w:p w14:paraId="37586DD1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>-értéke, valamint a plazmakoncentráció/idő függvény görbe alatti területe (AUC) megközelítőleg dózisarányos módon növekedett a terápiás dózistartományban.</w:t>
      </w:r>
    </w:p>
    <w:p w14:paraId="5679BE8C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178FE69D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i/>
          <w:u w:val="single"/>
          <w:lang w:val="hu-HU"/>
        </w:rPr>
      </w:pPr>
      <w:r>
        <w:rPr>
          <w:i/>
          <w:u w:val="single"/>
          <w:lang w:val="hu-HU"/>
        </w:rPr>
        <w:t>A betegeknél megfigyelt jellemzők</w:t>
      </w:r>
    </w:p>
    <w:p w14:paraId="068EE224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32862F09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u w:val="single"/>
          <w:lang w:val="hu-HU"/>
        </w:rPr>
        <w:t>Nem</w:t>
      </w:r>
    </w:p>
    <w:p w14:paraId="60C72956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Széles, életkor- és testtömegindex (BMI) tartományba tartozó egészséges férfi és női önkéntesek között nem figyeltek meg klinikailag lényeges különbségeket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farmakokinetikájában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DPP-4 gátlását nem befolyásolja a beteg neme.</w:t>
      </w:r>
    </w:p>
    <w:p w14:paraId="5389A381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62526ED7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Életkor</w:t>
      </w:r>
    </w:p>
    <w:p w14:paraId="0F732C4A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Egészséges időseknél (≥ 70 év), a teljes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-expozíció (100 mg naponta egyszer) 32%-kal, míg a plazma csúcskoncentráció a fiatal (18-40 év) egészséges önkéntesekkel összehasonlítva 18%-kal nőtt. Ezeket a változásokat ugyanakkor nem tekintik klinikailag lényegesnek.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DPP-4 gátlását nem befolyásolja a beteg kora.</w:t>
      </w:r>
    </w:p>
    <w:p w14:paraId="5076C1DD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6F810DA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Májkárosodás</w:t>
      </w:r>
    </w:p>
    <w:p w14:paraId="25AB65AC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>Enyhe, közepesen súlyos vagy súlyos májkárosodásban (</w:t>
      </w:r>
      <w:proofErr w:type="spellStart"/>
      <w:r>
        <w:rPr>
          <w:lang w:val="hu-HU"/>
        </w:rPr>
        <w:t>Child-Pugh</w:t>
      </w:r>
      <w:proofErr w:type="spellEnd"/>
      <w:r>
        <w:rPr>
          <w:lang w:val="hu-HU"/>
        </w:rPr>
        <w:t xml:space="preserve"> A-C)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expozíciójában nem volt klinikailag jelentős változás (maximum ~30%).</w:t>
      </w:r>
    </w:p>
    <w:p w14:paraId="3B682F4E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6EBA98A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Vesekárosodás</w:t>
      </w:r>
    </w:p>
    <w:p w14:paraId="39D3E3AE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Enyhe, közepesen súlyos, illetve súlyos vesekárosodás esetén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szisztémás expozíciója növekedett (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 8-66%; AUC 32-134%), és a teljestest-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csökkent a normál veseműködésű egyénekhez viszonyítva.</w:t>
      </w:r>
    </w:p>
    <w:p w14:paraId="10D26E2B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3D926EF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Etnikai csoportok</w:t>
      </w:r>
    </w:p>
    <w:p w14:paraId="6CB78B51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Korlátozott mennyiségű adatok arra utalnak, hogy a rassznak nincs jelentős befolyása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farmakokinetikájára</w:t>
      </w:r>
      <w:proofErr w:type="spellEnd"/>
      <w:r>
        <w:rPr>
          <w:lang w:val="hu-HU"/>
        </w:rPr>
        <w:t>.</w:t>
      </w:r>
    </w:p>
    <w:p w14:paraId="5868A33A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414ACB33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i/>
          <w:u w:val="single"/>
          <w:lang w:val="hu-HU"/>
        </w:rPr>
      </w:pPr>
      <w:proofErr w:type="spellStart"/>
      <w:r>
        <w:rPr>
          <w:i/>
          <w:u w:val="single"/>
          <w:lang w:val="hu-HU"/>
        </w:rPr>
        <w:t>Metformin</w:t>
      </w:r>
      <w:proofErr w:type="spellEnd"/>
    </w:p>
    <w:p w14:paraId="6D624947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</w:p>
    <w:p w14:paraId="6EA21C41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lastRenderedPageBreak/>
        <w:t>Felszívódás</w:t>
      </w:r>
    </w:p>
    <w:p w14:paraId="5C22E65E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Egyetlen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dózis után a maximális plazmakoncentráció (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) kb. 2,5 óra múlva alakul ki. Egészséges önkénteseknél egy 500 mg-os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tabletta abszolút </w:t>
      </w:r>
      <w:proofErr w:type="spellStart"/>
      <w:r>
        <w:rPr>
          <w:lang w:val="hu-HU"/>
        </w:rPr>
        <w:t>biohasznosulása</w:t>
      </w:r>
      <w:proofErr w:type="spellEnd"/>
      <w:r>
        <w:rPr>
          <w:lang w:val="hu-HU"/>
        </w:rPr>
        <w:t xml:space="preserve"> kb. 50-60%. Egy orális dózis után a székletből visszanyerhető, nem felszívódott frakció 20-30% volt.</w:t>
      </w:r>
    </w:p>
    <w:p w14:paraId="41EC8E9F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B2847E0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Szájon át történő alkalmazást követően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felszívódása telíthető és nem teljes. Feltételezések szerint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felszívódásának </w:t>
      </w:r>
      <w:proofErr w:type="spellStart"/>
      <w:r>
        <w:rPr>
          <w:lang w:val="hu-HU"/>
        </w:rPr>
        <w:t>farmakokinetikája</w:t>
      </w:r>
      <w:proofErr w:type="spellEnd"/>
      <w:r>
        <w:rPr>
          <w:lang w:val="hu-HU"/>
        </w:rPr>
        <w:t xml:space="preserve"> nem lineáris. A szokásos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dózisok és adagolási rend esetén az egyensúlyi plazmakoncentráció 24-48 órán belül alakul ki, és általában kevesebb mint 1 </w:t>
      </w:r>
      <w:proofErr w:type="spellStart"/>
      <w:r>
        <w:rPr>
          <w:lang w:val="hu-HU"/>
        </w:rPr>
        <w:t>μg</w:t>
      </w:r>
      <w:proofErr w:type="spellEnd"/>
      <w:r>
        <w:rPr>
          <w:lang w:val="hu-HU"/>
        </w:rPr>
        <w:t xml:space="preserve">/ml. Kontrollos klinikai vizsgálatokban a legmagasabb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plazmaszintek (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>) nem haladták meg a 4 </w:t>
      </w:r>
      <w:proofErr w:type="spellStart"/>
      <w:r>
        <w:rPr>
          <w:lang w:val="hu-HU"/>
        </w:rPr>
        <w:t>μg</w:t>
      </w:r>
      <w:proofErr w:type="spellEnd"/>
      <w:r>
        <w:rPr>
          <w:lang w:val="hu-HU"/>
        </w:rPr>
        <w:t>/ml-t, még maximális dózisoknál sem.</w:t>
      </w:r>
    </w:p>
    <w:p w14:paraId="435A153F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71EDE68E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táplálék némiképp hátráltatja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felszívódását, és csökkenti annak mértékét. Egy 850 mg-os dózis alkalmazását követően a plazma csúcskoncentráció 40%-kal alacsonyabb volt, az AUC 25%-kal csökkent, és a plazma csúcskoncentráció eléréséig szükséges idő 35 perccel megnyúlt. Ennek a csökkenésnek a klinikai jelentősége nem ismert.</w:t>
      </w:r>
    </w:p>
    <w:p w14:paraId="4EB2B92A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9766988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Eloszlás</w:t>
      </w:r>
    </w:p>
    <w:p w14:paraId="0EBB681E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plazmafehérjékhez kötődés elhanyagolható.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a vörösvértestekben oszlik szét. Az átlagos eloszlási volumen (</w:t>
      </w:r>
      <w:proofErr w:type="spellStart"/>
      <w:r>
        <w:rPr>
          <w:lang w:val="hu-HU"/>
        </w:rPr>
        <w:t>V</w:t>
      </w:r>
      <w:r>
        <w:rPr>
          <w:vertAlign w:val="subscript"/>
          <w:lang w:val="hu-HU"/>
        </w:rPr>
        <w:t>d</w:t>
      </w:r>
      <w:proofErr w:type="spellEnd"/>
      <w:r>
        <w:rPr>
          <w:lang w:val="hu-HU"/>
        </w:rPr>
        <w:t>) a 63-276 l közti tartományba esik.</w:t>
      </w:r>
    </w:p>
    <w:p w14:paraId="4695F4FB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01E40FDD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Biotranszformáció</w:t>
      </w:r>
      <w:proofErr w:type="spellEnd"/>
    </w:p>
    <w:p w14:paraId="25413A1F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változatlan formában ürül a vizelettel. Embernél nem azonosítottak </w:t>
      </w:r>
      <w:proofErr w:type="spellStart"/>
      <w:r>
        <w:rPr>
          <w:lang w:val="hu-HU"/>
        </w:rPr>
        <w:t>metabolitokat</w:t>
      </w:r>
      <w:proofErr w:type="spellEnd"/>
      <w:r>
        <w:rPr>
          <w:lang w:val="hu-HU"/>
        </w:rPr>
        <w:t>.</w:t>
      </w:r>
    </w:p>
    <w:p w14:paraId="525F90E1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745DB82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u w:val="single"/>
          <w:lang w:val="hu-HU"/>
        </w:rPr>
      </w:pPr>
      <w:r>
        <w:rPr>
          <w:u w:val="single"/>
          <w:lang w:val="hu-HU"/>
        </w:rPr>
        <w:t>Elimináció</w:t>
      </w:r>
    </w:p>
    <w:p w14:paraId="0E02E6EB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excretióval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eliminálódik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&gt; 400 ml/perc, ami arra utal, hogy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glomerulusfiltrációval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tubuláris</w:t>
      </w:r>
      <w:proofErr w:type="spellEnd"/>
      <w:r>
        <w:rPr>
          <w:lang w:val="hu-HU"/>
        </w:rPr>
        <w:t xml:space="preserve"> szekrécióval </w:t>
      </w:r>
      <w:proofErr w:type="spellStart"/>
      <w:r>
        <w:rPr>
          <w:lang w:val="hu-HU"/>
        </w:rPr>
        <w:t>eliminálódik</w:t>
      </w:r>
      <w:proofErr w:type="spellEnd"/>
      <w:r>
        <w:rPr>
          <w:lang w:val="hu-HU"/>
        </w:rPr>
        <w:t xml:space="preserve">. Egyetlen </w:t>
      </w:r>
      <w:r>
        <w:rPr>
          <w:i/>
          <w:lang w:val="hu-HU"/>
        </w:rPr>
        <w:t xml:space="preserve">per </w:t>
      </w:r>
      <w:proofErr w:type="spellStart"/>
      <w:r>
        <w:rPr>
          <w:i/>
          <w:lang w:val="hu-HU"/>
        </w:rPr>
        <w:t>os</w:t>
      </w:r>
      <w:proofErr w:type="spellEnd"/>
      <w:r>
        <w:rPr>
          <w:lang w:val="hu-HU"/>
        </w:rPr>
        <w:t xml:space="preserve"> dózis után a látszólagos terminális felezési idő körülbelül 6,5 óra. Vesekárosodás esetén a </w:t>
      </w:r>
      <w:proofErr w:type="spellStart"/>
      <w:r>
        <w:rPr>
          <w:lang w:val="hu-HU"/>
        </w:rPr>
        <w:t>renális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a 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csökkenés mértékével arányosan csökken, és így az eliminációs felezési idő megnyúlik, ami a </w:t>
      </w:r>
      <w:proofErr w:type="spellStart"/>
      <w:r>
        <w:rPr>
          <w:lang w:val="hu-HU"/>
        </w:rPr>
        <w:t>metformin</w:t>
      </w:r>
      <w:proofErr w:type="spellEnd"/>
      <w:r>
        <w:rPr>
          <w:lang w:val="hu-HU"/>
        </w:rPr>
        <w:t xml:space="preserve"> plazmaszintjének emelkedéséhez vezet.</w:t>
      </w:r>
    </w:p>
    <w:p w14:paraId="20616CEF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549CE311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5.3</w:t>
      </w:r>
      <w:r>
        <w:rPr>
          <w:b/>
          <w:bCs/>
          <w:lang w:val="hu-HU"/>
        </w:rPr>
        <w:tab/>
        <w:t xml:space="preserve">A </w:t>
      </w:r>
      <w:proofErr w:type="spellStart"/>
      <w:r>
        <w:rPr>
          <w:b/>
          <w:bCs/>
          <w:lang w:val="hu-HU"/>
        </w:rPr>
        <w:t>preklinikai</w:t>
      </w:r>
      <w:proofErr w:type="spellEnd"/>
      <w:r>
        <w:rPr>
          <w:b/>
          <w:bCs/>
          <w:lang w:val="hu-HU"/>
        </w:rPr>
        <w:t xml:space="preserve"> biztonságossági vizsgálatok eredményei</w:t>
      </w:r>
    </w:p>
    <w:p w14:paraId="21BFDFA4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i/>
          <w:iCs/>
          <w:lang w:val="hu-HU"/>
        </w:rPr>
      </w:pPr>
    </w:p>
    <w:p w14:paraId="58F34F99" w14:textId="77777777" w:rsidR="006A22CA" w:rsidRDefault="00BA2766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Vimetso</w:t>
      </w:r>
      <w:proofErr w:type="spellEnd"/>
      <w:r>
        <w:rPr>
          <w:lang w:val="hu-HU"/>
        </w:rPr>
        <w:t xml:space="preserve"> filmtablettában lévő hatóanyagok kombinációjával legfeljebb 13 hétig tartó állatkísérleteket végeztek. A kombinációval kapcsolatba hozható, új toxicitásokat nem észleltek. Az alábbi adatok a </w:t>
      </w:r>
      <w:proofErr w:type="spellStart"/>
      <w:r>
        <w:rPr>
          <w:lang w:val="hu-HU"/>
        </w:rPr>
        <w:t>vildagliptinnel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metforminnal</w:t>
      </w:r>
      <w:proofErr w:type="spellEnd"/>
      <w:r>
        <w:rPr>
          <w:lang w:val="hu-HU"/>
        </w:rPr>
        <w:t xml:space="preserve"> külön-külön végzett vizsgálatokból származó eredmények.</w:t>
      </w:r>
    </w:p>
    <w:p w14:paraId="09418331" w14:textId="77777777" w:rsidR="006A22CA" w:rsidRDefault="006A22C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3152A3C7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Vildagliptin</w:t>
      </w:r>
      <w:proofErr w:type="spellEnd"/>
    </w:p>
    <w:p w14:paraId="4A61CCE1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Kutyáknál az </w:t>
      </w:r>
      <w:proofErr w:type="spellStart"/>
      <w:r>
        <w:rPr>
          <w:lang w:val="hu-HU"/>
        </w:rPr>
        <w:t>intracardialis</w:t>
      </w:r>
      <w:proofErr w:type="spellEnd"/>
      <w:r>
        <w:rPr>
          <w:lang w:val="hu-HU"/>
        </w:rPr>
        <w:t xml:space="preserve"> ingerületvezetés lassulását figyelték meg, a „hatást nem okozó” dózis15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volt (a </w:t>
      </w:r>
      <w:proofErr w:type="spellStart"/>
      <w:r>
        <w:rPr>
          <w:lang w:val="hu-HU"/>
        </w:rPr>
        <w:t>C</w:t>
      </w:r>
      <w:r>
        <w:rPr>
          <w:vertAlign w:val="subscript"/>
          <w:lang w:val="hu-HU"/>
        </w:rPr>
        <w:t>max</w:t>
      </w:r>
      <w:proofErr w:type="spellEnd"/>
      <w:r>
        <w:rPr>
          <w:lang w:val="hu-HU"/>
        </w:rPr>
        <w:t xml:space="preserve"> alapján a humán expozíció 7-szerese).</w:t>
      </w:r>
    </w:p>
    <w:p w14:paraId="24FDA76F" w14:textId="77777777" w:rsidR="006A22CA" w:rsidRDefault="006A22CA">
      <w:pPr>
        <w:spacing w:line="240" w:lineRule="auto"/>
        <w:rPr>
          <w:lang w:val="hu-HU"/>
        </w:rPr>
      </w:pPr>
    </w:p>
    <w:p w14:paraId="320D230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Patkányoknál és egereknél habos alveoláris </w:t>
      </w:r>
      <w:proofErr w:type="spellStart"/>
      <w:r>
        <w:rPr>
          <w:lang w:val="hu-HU"/>
        </w:rPr>
        <w:t>makrofágok</w:t>
      </w:r>
      <w:proofErr w:type="spellEnd"/>
      <w:r>
        <w:rPr>
          <w:lang w:val="hu-HU"/>
        </w:rPr>
        <w:t xml:space="preserve"> akkumulációját figyelték meg a tüdőkben. A „hatást nem okozó” dózis patkányoknál 25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(az AUC alapján a humán expozíció 5-szöröse), míg egereknél 750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(a humán expozíció 142-szerese) volt.</w:t>
      </w:r>
    </w:p>
    <w:p w14:paraId="3D062F0B" w14:textId="77777777" w:rsidR="006A22CA" w:rsidRDefault="006A22CA">
      <w:pPr>
        <w:spacing w:line="240" w:lineRule="auto"/>
        <w:rPr>
          <w:lang w:val="hu-HU"/>
        </w:rPr>
      </w:pPr>
    </w:p>
    <w:p w14:paraId="31478ED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Kutyáknál emésztőrendszeri tüneteket figyeltek meg, elsősorban laza székletet, nyákos székletet, hasmenést és nagyobb dózisok mellett véres székletet. A „hatást nem okozó” dózist nem határozták meg.</w:t>
      </w:r>
    </w:p>
    <w:p w14:paraId="21409445" w14:textId="77777777" w:rsidR="006A22CA" w:rsidRDefault="006A22CA">
      <w:pPr>
        <w:spacing w:line="240" w:lineRule="auto"/>
        <w:rPr>
          <w:lang w:val="hu-HU"/>
        </w:rPr>
      </w:pPr>
    </w:p>
    <w:p w14:paraId="4584E8B1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hagyományos </w:t>
      </w:r>
      <w:r>
        <w:rPr>
          <w:i/>
          <w:lang w:val="hu-HU"/>
        </w:rPr>
        <w:t>in vitro</w:t>
      </w:r>
      <w:r>
        <w:rPr>
          <w:lang w:val="hu-HU"/>
        </w:rPr>
        <w:t xml:space="preserve"> és </w:t>
      </w:r>
      <w:r>
        <w:rPr>
          <w:i/>
          <w:lang w:val="hu-HU"/>
        </w:rPr>
        <w:t>in vivo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genotoxicitási</w:t>
      </w:r>
      <w:proofErr w:type="spellEnd"/>
      <w:r>
        <w:rPr>
          <w:lang w:val="hu-HU"/>
        </w:rPr>
        <w:t xml:space="preserve"> vizsgálatokban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nem volt mutagén.</w:t>
      </w:r>
    </w:p>
    <w:p w14:paraId="16DFAF09" w14:textId="77777777" w:rsidR="006A22CA" w:rsidRDefault="006A22CA">
      <w:pPr>
        <w:spacing w:line="240" w:lineRule="auto"/>
        <w:rPr>
          <w:lang w:val="hu-HU"/>
        </w:rPr>
      </w:pPr>
    </w:p>
    <w:p w14:paraId="1E4AB2D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patkányokkal végzett, a fertilitást és a korai embrionális fejlődést tanulmányozó vizsgálat nem utalt arra, hogy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károsan hatna a fertilitásra, a reprodukciós teljesítményre vagy a korai embrionális fejlődésre. Az </w:t>
      </w:r>
      <w:proofErr w:type="spellStart"/>
      <w:r>
        <w:rPr>
          <w:lang w:val="hu-HU"/>
        </w:rPr>
        <w:t>embryofoetalis</w:t>
      </w:r>
      <w:proofErr w:type="spellEnd"/>
      <w:r>
        <w:rPr>
          <w:lang w:val="hu-HU"/>
        </w:rPr>
        <w:t xml:space="preserve"> toxicitást patkányoknál és nyulaknál vizsgálták. Patkányoknál a lengőbordák </w:t>
      </w:r>
      <w:proofErr w:type="spellStart"/>
      <w:r>
        <w:rPr>
          <w:lang w:val="hu-HU"/>
        </w:rPr>
        <w:t>incidenciájának</w:t>
      </w:r>
      <w:proofErr w:type="spellEnd"/>
      <w:r>
        <w:rPr>
          <w:lang w:val="hu-HU"/>
        </w:rPr>
        <w:t xml:space="preserve"> növekedését észlelték, ami az anyai testtömeg-paraméterek csökkenéséhez társult, és a „hatást nem okozó” dózis 75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volt (a humán expozíció 10-szerese). Nyulaknál a retardált fejlődésre utaló magzati súlycsökkenést és csontdeformitásokat </w:t>
      </w:r>
      <w:r>
        <w:rPr>
          <w:lang w:val="hu-HU"/>
        </w:rPr>
        <w:lastRenderedPageBreak/>
        <w:t>kizárólag súlyos anyai toxicitás jelenlétében figyeltek meg, a „hatást nem okozó” dózis 50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volt (a humán expozíció 9-szerese). Egy </w:t>
      </w:r>
      <w:proofErr w:type="spellStart"/>
      <w:r>
        <w:rPr>
          <w:lang w:val="hu-HU"/>
        </w:rPr>
        <w:t>pre</w:t>
      </w:r>
      <w:proofErr w:type="spellEnd"/>
      <w:r>
        <w:rPr>
          <w:lang w:val="hu-HU"/>
        </w:rPr>
        <w:t xml:space="preserve">- és </w:t>
      </w:r>
      <w:proofErr w:type="spellStart"/>
      <w:r>
        <w:rPr>
          <w:lang w:val="hu-HU"/>
        </w:rPr>
        <w:t>posztnatális</w:t>
      </w:r>
      <w:proofErr w:type="spellEnd"/>
      <w:r>
        <w:rPr>
          <w:lang w:val="hu-HU"/>
        </w:rPr>
        <w:t xml:space="preserve"> fejlődési vizsgálatot végeztek patkányokkal. Elváltozásokat csak anyai toxicitás mellett, ≥ 150 mg/</w:t>
      </w:r>
      <w:proofErr w:type="spellStart"/>
      <w:r>
        <w:rPr>
          <w:lang w:val="hu-HU"/>
        </w:rPr>
        <w:t>ttkg-nál</w:t>
      </w:r>
      <w:proofErr w:type="spellEnd"/>
      <w:r>
        <w:rPr>
          <w:lang w:val="hu-HU"/>
        </w:rPr>
        <w:t xml:space="preserve"> figyeltek meg az F1 generációban, köztük a testtömeg átmeneti csökkenését és a motoros aktivitás csökkenését.</w:t>
      </w:r>
    </w:p>
    <w:p w14:paraId="32BC3315" w14:textId="77777777" w:rsidR="006A22CA" w:rsidRDefault="006A22CA">
      <w:pPr>
        <w:spacing w:line="240" w:lineRule="auto"/>
        <w:rPr>
          <w:lang w:val="hu-HU"/>
        </w:rPr>
      </w:pPr>
    </w:p>
    <w:p w14:paraId="790076F4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kétéves, </w:t>
      </w:r>
      <w:proofErr w:type="spellStart"/>
      <w:r>
        <w:rPr>
          <w:lang w:val="hu-HU"/>
        </w:rPr>
        <w:t>karcinogenitási</w:t>
      </w:r>
      <w:proofErr w:type="spellEnd"/>
      <w:r>
        <w:rPr>
          <w:lang w:val="hu-HU"/>
        </w:rPr>
        <w:t xml:space="preserve"> vizsgálatot végeztek patkányokkal, 900 mg/</w:t>
      </w:r>
      <w:proofErr w:type="spellStart"/>
      <w:r>
        <w:rPr>
          <w:lang w:val="hu-HU"/>
        </w:rPr>
        <w:t>ttkg-ig</w:t>
      </w:r>
      <w:proofErr w:type="spellEnd"/>
      <w:r>
        <w:rPr>
          <w:lang w:val="hu-HU"/>
        </w:rPr>
        <w:t xml:space="preserve"> terjedő orális dózisokkal (a maximális ajánlott dózisok melletti humán expozíció megközelítőleg 200-szorosa). Nem észlelték a tumorok </w:t>
      </w:r>
      <w:proofErr w:type="spellStart"/>
      <w:r>
        <w:rPr>
          <w:lang w:val="hu-HU"/>
        </w:rPr>
        <w:t>incidenciájának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vildagliptinnek</w:t>
      </w:r>
      <w:proofErr w:type="spellEnd"/>
      <w:r>
        <w:rPr>
          <w:lang w:val="hu-HU"/>
        </w:rPr>
        <w:t xml:space="preserve"> tulajdonítható növekedését. Egy másik kétéves </w:t>
      </w:r>
      <w:proofErr w:type="spellStart"/>
      <w:r>
        <w:rPr>
          <w:lang w:val="hu-HU"/>
        </w:rPr>
        <w:t>karcinogenitási</w:t>
      </w:r>
      <w:proofErr w:type="spellEnd"/>
      <w:r>
        <w:rPr>
          <w:lang w:val="hu-HU"/>
        </w:rPr>
        <w:t xml:space="preserve"> vizsgálatot egerekkel végeztek, 1000 mg/</w:t>
      </w:r>
      <w:proofErr w:type="spellStart"/>
      <w:r>
        <w:rPr>
          <w:lang w:val="hu-HU"/>
        </w:rPr>
        <w:t>ttkg-ig</w:t>
      </w:r>
      <w:proofErr w:type="spellEnd"/>
      <w:r>
        <w:rPr>
          <w:lang w:val="hu-HU"/>
        </w:rPr>
        <w:t xml:space="preserve"> terjedő orális dózisokkal. Az emlő </w:t>
      </w:r>
      <w:proofErr w:type="spellStart"/>
      <w:r>
        <w:rPr>
          <w:lang w:val="hu-HU"/>
        </w:rPr>
        <w:t>adenokarcinómák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hemangioszarkómák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incidenciájának</w:t>
      </w:r>
      <w:proofErr w:type="spellEnd"/>
      <w:r>
        <w:rPr>
          <w:lang w:val="hu-HU"/>
        </w:rPr>
        <w:t xml:space="preserve"> növekedését figyelték meg, az </w:t>
      </w:r>
      <w:proofErr w:type="spellStart"/>
      <w:r>
        <w:rPr>
          <w:lang w:val="hu-HU"/>
        </w:rPr>
        <w:t>adenokarcinómák</w:t>
      </w:r>
      <w:proofErr w:type="spellEnd"/>
      <w:r>
        <w:rPr>
          <w:lang w:val="hu-HU"/>
        </w:rPr>
        <w:t xml:space="preserve"> esetén 500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(a humán expozíció 59-szerese), a </w:t>
      </w:r>
      <w:proofErr w:type="spellStart"/>
      <w:r>
        <w:rPr>
          <w:lang w:val="hu-HU"/>
        </w:rPr>
        <w:t>hemangioszarkómák</w:t>
      </w:r>
      <w:proofErr w:type="spellEnd"/>
      <w:r>
        <w:rPr>
          <w:lang w:val="hu-HU"/>
        </w:rPr>
        <w:t xml:space="preserve"> esetén 100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(a humán expozíció 16-szorosa) „hatást nem okozó” dózissal. Ezen tumorok </w:t>
      </w:r>
      <w:proofErr w:type="spellStart"/>
      <w:r>
        <w:rPr>
          <w:lang w:val="hu-HU"/>
        </w:rPr>
        <w:t>incidenciájának</w:t>
      </w:r>
      <w:proofErr w:type="spellEnd"/>
      <w:r>
        <w:rPr>
          <w:lang w:val="hu-HU"/>
        </w:rPr>
        <w:t xml:space="preserve"> egereknél észlelt növekedése nem jelent jelentős kockázatot emberek számára, mivel a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 és az elsődleges </w:t>
      </w:r>
      <w:proofErr w:type="spellStart"/>
      <w:r>
        <w:rPr>
          <w:lang w:val="hu-HU"/>
        </w:rPr>
        <w:t>metabolitja</w:t>
      </w:r>
      <w:proofErr w:type="spellEnd"/>
      <w:r>
        <w:rPr>
          <w:lang w:val="hu-HU"/>
        </w:rPr>
        <w:t xml:space="preserve"> nem </w:t>
      </w:r>
      <w:proofErr w:type="spellStart"/>
      <w:r>
        <w:rPr>
          <w:lang w:val="hu-HU"/>
        </w:rPr>
        <w:t>genotoxikus</w:t>
      </w:r>
      <w:proofErr w:type="spellEnd"/>
      <w:r>
        <w:rPr>
          <w:lang w:val="hu-HU"/>
        </w:rPr>
        <w:t>, a tumorok előfordulását csak egyetlen fajban és csak nagyon magas szisztémás expozíció mellett észlelték.</w:t>
      </w:r>
    </w:p>
    <w:p w14:paraId="21E0760A" w14:textId="77777777" w:rsidR="006A22CA" w:rsidRDefault="006A22CA">
      <w:pPr>
        <w:spacing w:line="240" w:lineRule="auto"/>
        <w:rPr>
          <w:lang w:val="hu-HU"/>
        </w:rPr>
      </w:pPr>
    </w:p>
    <w:p w14:paraId="3B1D19CD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Egy 13 hetes toxikológiai vizsgálatban makákóknál </w:t>
      </w:r>
      <w:proofErr w:type="spellStart"/>
      <w:r>
        <w:rPr>
          <w:lang w:val="hu-HU"/>
        </w:rPr>
        <w:t>bőrléziókat</w:t>
      </w:r>
      <w:proofErr w:type="spellEnd"/>
      <w:r>
        <w:rPr>
          <w:lang w:val="hu-HU"/>
        </w:rPr>
        <w:t xml:space="preserve"> írtak le ≥ 5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/nap dózisok mellett. Ezek következetesen az </w:t>
      </w:r>
      <w:proofErr w:type="spellStart"/>
      <w:r>
        <w:rPr>
          <w:lang w:val="hu-HU"/>
        </w:rPr>
        <w:t>akrális</w:t>
      </w:r>
      <w:proofErr w:type="spellEnd"/>
      <w:r>
        <w:rPr>
          <w:lang w:val="hu-HU"/>
        </w:rPr>
        <w:t xml:space="preserve"> részeken (kezek, lábak, fülek és farok) helyezkedtek el. Az 5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>/nap dózis mellett (ami megközelítőleg megfelel a 100 mg-os dózis melletti humán AUC-expozíciónak) csak hólyagokat figyeltek meg. Ezek a kezelés folytatása ellenére reverzibilisek voltak, és nem jártak kórszövettani eltérésekkel. Leírtak pikkelyes, illetve lemezes hámlást, pörkképződést és farokfekélyeket, a megfelelő kórszövettani elváltozásokkal, ≥ 20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/nap dózis mellett (a 100 mg-os humán dózis melletti AUC-expozíció megközelítőleg 3-szorosa). A farok </w:t>
      </w:r>
      <w:proofErr w:type="spellStart"/>
      <w:r>
        <w:rPr>
          <w:lang w:val="hu-HU"/>
        </w:rPr>
        <w:t>nekrotikus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lézióit</w:t>
      </w:r>
      <w:proofErr w:type="spellEnd"/>
      <w:r>
        <w:rPr>
          <w:lang w:val="hu-HU"/>
        </w:rPr>
        <w:t xml:space="preserve"> figyelték meg ≥ 80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 dózis mellett. A 160 mg/</w:t>
      </w:r>
      <w:proofErr w:type="spellStart"/>
      <w:r>
        <w:rPr>
          <w:lang w:val="hu-HU"/>
        </w:rPr>
        <w:t>ttkg</w:t>
      </w:r>
      <w:proofErr w:type="spellEnd"/>
      <w:r>
        <w:rPr>
          <w:lang w:val="hu-HU"/>
        </w:rPr>
        <w:t xml:space="preserve">/nap dózissal kezelt majmoknál egy négyhetes gyógyulási időszak alatt a </w:t>
      </w:r>
      <w:proofErr w:type="spellStart"/>
      <w:r>
        <w:rPr>
          <w:lang w:val="hu-HU"/>
        </w:rPr>
        <w:t>bőrléziók</w:t>
      </w:r>
      <w:proofErr w:type="spellEnd"/>
      <w:r>
        <w:rPr>
          <w:lang w:val="hu-HU"/>
        </w:rPr>
        <w:t xml:space="preserve"> irreverzibilisnek bizonyultak.</w:t>
      </w:r>
    </w:p>
    <w:p w14:paraId="6673A1D7" w14:textId="77777777" w:rsidR="006A22CA" w:rsidRDefault="006A22CA">
      <w:pPr>
        <w:spacing w:line="240" w:lineRule="auto"/>
        <w:rPr>
          <w:lang w:val="hu-HU"/>
        </w:rPr>
      </w:pPr>
    </w:p>
    <w:p w14:paraId="7D14A32C" w14:textId="77777777" w:rsidR="006A22CA" w:rsidRDefault="00BA2766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Metformin</w:t>
      </w:r>
      <w:proofErr w:type="spellEnd"/>
    </w:p>
    <w:p w14:paraId="1BC4C8AC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 xml:space="preserve">A hagyományos – farmakológiai biztonságossági, ismételt </w:t>
      </w:r>
      <w:proofErr w:type="spellStart"/>
      <w:r>
        <w:rPr>
          <w:lang w:val="hu-HU"/>
        </w:rPr>
        <w:t>adagolású</w:t>
      </w:r>
      <w:proofErr w:type="spellEnd"/>
      <w:r>
        <w:rPr>
          <w:lang w:val="hu-HU"/>
        </w:rPr>
        <w:t xml:space="preserve"> dózistoxicitási, </w:t>
      </w:r>
      <w:proofErr w:type="spellStart"/>
      <w:r>
        <w:rPr>
          <w:lang w:val="hu-HU"/>
        </w:rPr>
        <w:t>genotoxicitási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karcinogenitási</w:t>
      </w:r>
      <w:proofErr w:type="spellEnd"/>
      <w:r>
        <w:rPr>
          <w:lang w:val="hu-HU"/>
        </w:rPr>
        <w:t>, reprodukcióra kifejtett toxicitási – vizsgálatokból származó nem klinikai jellegű adatok azt igazolták, hogy a készítmény alkalmazásakor humán vonatkozásban különleges kockázat nem várható.</w:t>
      </w:r>
    </w:p>
    <w:p w14:paraId="6753215C" w14:textId="77777777" w:rsidR="006A22CA" w:rsidRDefault="006A22CA">
      <w:pPr>
        <w:spacing w:line="240" w:lineRule="auto"/>
        <w:rPr>
          <w:lang w:val="hu-HU"/>
        </w:rPr>
      </w:pPr>
    </w:p>
    <w:p w14:paraId="7B33AD12" w14:textId="77777777" w:rsidR="006A22CA" w:rsidRDefault="006A22CA">
      <w:pPr>
        <w:spacing w:line="240" w:lineRule="auto"/>
        <w:rPr>
          <w:lang w:val="hu-HU"/>
        </w:rPr>
      </w:pPr>
    </w:p>
    <w:p w14:paraId="088385E7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GYÓGYSZERÉSZETI JELLEMZŐK</w:t>
      </w:r>
    </w:p>
    <w:p w14:paraId="38B493DC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2992775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6.1</w:t>
      </w:r>
      <w:r>
        <w:rPr>
          <w:b/>
          <w:bCs/>
          <w:lang w:val="hu-HU"/>
        </w:rPr>
        <w:tab/>
        <w:t>Segédanyagok felsorolása</w:t>
      </w:r>
    </w:p>
    <w:p w14:paraId="488B6063" w14:textId="77777777" w:rsidR="006A22CA" w:rsidRDefault="006A22CA">
      <w:pPr>
        <w:spacing w:line="240" w:lineRule="auto"/>
        <w:rPr>
          <w:lang w:val="hu-HU"/>
        </w:rPr>
      </w:pPr>
    </w:p>
    <w:p w14:paraId="25FD883E" w14:textId="77777777" w:rsidR="006A22CA" w:rsidRDefault="00BA2766">
      <w:pPr>
        <w:spacing w:line="240" w:lineRule="auto"/>
        <w:rPr>
          <w:i/>
          <w:lang w:val="hu-HU"/>
        </w:rPr>
      </w:pPr>
      <w:r>
        <w:rPr>
          <w:u w:val="single"/>
          <w:lang w:val="hu-HU"/>
        </w:rPr>
        <w:t>Tablettamag</w:t>
      </w:r>
    </w:p>
    <w:p w14:paraId="0A606794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hidroxipropilcellulóz</w:t>
      </w:r>
      <w:proofErr w:type="spellEnd"/>
      <w:r>
        <w:rPr>
          <w:lang w:val="hu-HU"/>
        </w:rPr>
        <w:t xml:space="preserve"> (E463);</w:t>
      </w:r>
    </w:p>
    <w:p w14:paraId="2F723CF5" w14:textId="77777777" w:rsidR="006A22CA" w:rsidRDefault="00BA2766">
      <w:pPr>
        <w:widowControl w:val="0"/>
        <w:tabs>
          <w:tab w:val="left" w:pos="2925"/>
        </w:tabs>
        <w:outlineLvl w:val="0"/>
        <w:rPr>
          <w:noProof/>
        </w:rPr>
      </w:pPr>
      <w:r>
        <w:rPr>
          <w:noProof/>
        </w:rPr>
        <w:t>mannit (E421);</w:t>
      </w:r>
    </w:p>
    <w:p w14:paraId="4C995294" w14:textId="77777777" w:rsidR="006A22CA" w:rsidRDefault="00BA2766">
      <w:pPr>
        <w:widowControl w:val="0"/>
        <w:tabs>
          <w:tab w:val="left" w:pos="2925"/>
        </w:tabs>
        <w:outlineLvl w:val="0"/>
        <w:rPr>
          <w:noProof/>
        </w:rPr>
      </w:pPr>
      <w:r>
        <w:rPr>
          <w:noProof/>
        </w:rPr>
        <w:t>nátrium-sztearil-fumarát (E470a);</w:t>
      </w:r>
    </w:p>
    <w:p w14:paraId="3101CDDC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magnézium-</w:t>
      </w:r>
      <w:proofErr w:type="spellStart"/>
      <w:r>
        <w:rPr>
          <w:lang w:val="hu-HU"/>
        </w:rPr>
        <w:t>sztearát</w:t>
      </w:r>
      <w:proofErr w:type="spellEnd"/>
      <w:r>
        <w:rPr>
          <w:lang w:val="hu-HU"/>
        </w:rPr>
        <w:t xml:space="preserve"> (E470b).</w:t>
      </w:r>
    </w:p>
    <w:p w14:paraId="2D433F73" w14:textId="77777777" w:rsidR="006A22CA" w:rsidRDefault="006A22CA">
      <w:pPr>
        <w:spacing w:line="240" w:lineRule="auto"/>
        <w:rPr>
          <w:lang w:val="hu-HU"/>
        </w:rPr>
      </w:pPr>
    </w:p>
    <w:p w14:paraId="07E5E00B" w14:textId="77777777" w:rsidR="006A22CA" w:rsidRDefault="00BA2766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Filmbevonat</w:t>
      </w:r>
    </w:p>
    <w:p w14:paraId="18D0C17E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hipromellóz</w:t>
      </w:r>
      <w:proofErr w:type="spellEnd"/>
      <w:r>
        <w:rPr>
          <w:lang w:val="hu-HU"/>
        </w:rPr>
        <w:t xml:space="preserve"> </w:t>
      </w:r>
      <w:r>
        <w:rPr>
          <w:iCs/>
          <w:noProof/>
        </w:rPr>
        <w:t>(E464);</w:t>
      </w:r>
    </w:p>
    <w:p w14:paraId="1B9BBAC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titán-dioxid (E171);</w:t>
      </w:r>
    </w:p>
    <w:p w14:paraId="4059C42E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talkum (E553b);</w:t>
      </w:r>
    </w:p>
    <w:p w14:paraId="4EC7E8A9" w14:textId="77777777" w:rsidR="006A22CA" w:rsidRDefault="00BA2766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propilénglikol</w:t>
      </w:r>
      <w:proofErr w:type="spellEnd"/>
      <w:r>
        <w:rPr>
          <w:lang w:val="hu-HU"/>
        </w:rPr>
        <w:t xml:space="preserve"> (E1520);</w:t>
      </w:r>
    </w:p>
    <w:p w14:paraId="66356DF7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sárga vas-oxid (E172).</w:t>
      </w:r>
    </w:p>
    <w:p w14:paraId="2AC87D04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870C596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6.2</w:t>
      </w:r>
      <w:r>
        <w:rPr>
          <w:b/>
          <w:bCs/>
          <w:lang w:val="hu-HU"/>
        </w:rPr>
        <w:tab/>
        <w:t>Inkompatibilitások</w:t>
      </w:r>
    </w:p>
    <w:p w14:paraId="4959021A" w14:textId="77777777" w:rsidR="006A22CA" w:rsidRDefault="006A22CA">
      <w:pPr>
        <w:spacing w:line="240" w:lineRule="auto"/>
        <w:rPr>
          <w:lang w:val="hu-HU"/>
        </w:rPr>
      </w:pPr>
    </w:p>
    <w:p w14:paraId="76B28DE3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Nem értelmezhető.</w:t>
      </w:r>
    </w:p>
    <w:p w14:paraId="3AFA33A1" w14:textId="77777777" w:rsidR="006A22CA" w:rsidRDefault="006A22CA">
      <w:pPr>
        <w:spacing w:line="240" w:lineRule="auto"/>
        <w:rPr>
          <w:lang w:val="hu-HU"/>
        </w:rPr>
      </w:pPr>
    </w:p>
    <w:p w14:paraId="2B9B6C33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6.3</w:t>
      </w:r>
      <w:r>
        <w:rPr>
          <w:b/>
          <w:bCs/>
          <w:lang w:val="hu-HU"/>
        </w:rPr>
        <w:tab/>
        <w:t>Felhasználhatósági időtartam</w:t>
      </w:r>
    </w:p>
    <w:p w14:paraId="0492A9A9" w14:textId="77777777" w:rsidR="006A22CA" w:rsidRDefault="006A22CA">
      <w:pPr>
        <w:spacing w:line="240" w:lineRule="auto"/>
        <w:rPr>
          <w:lang w:val="hu-HU"/>
        </w:rPr>
      </w:pPr>
    </w:p>
    <w:p w14:paraId="098376AA" w14:textId="77777777" w:rsidR="006A22CA" w:rsidRDefault="00BA276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2 év</w:t>
      </w:r>
    </w:p>
    <w:p w14:paraId="136C0910" w14:textId="77777777" w:rsidR="006A22CA" w:rsidRDefault="006A22CA">
      <w:pPr>
        <w:spacing w:line="240" w:lineRule="auto"/>
        <w:rPr>
          <w:lang w:val="hu-HU"/>
        </w:rPr>
      </w:pPr>
    </w:p>
    <w:p w14:paraId="32A47238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6.4</w:t>
      </w:r>
      <w:r>
        <w:rPr>
          <w:b/>
          <w:bCs/>
          <w:lang w:val="hu-HU"/>
        </w:rPr>
        <w:tab/>
        <w:t>Különleges tárolási előírások</w:t>
      </w:r>
    </w:p>
    <w:p w14:paraId="69BEAC27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2DF3DE4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Legfeljebb 30°C-on tárolandó.</w:t>
      </w:r>
    </w:p>
    <w:p w14:paraId="595638FB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A nedvességtől való védelem érdekében az eredeti csomagolásban tárolandó.</w:t>
      </w:r>
    </w:p>
    <w:p w14:paraId="5BD4D743" w14:textId="77777777" w:rsidR="006A22CA" w:rsidRDefault="006A22CA">
      <w:pPr>
        <w:spacing w:line="240" w:lineRule="auto"/>
        <w:rPr>
          <w:lang w:val="hu-HU"/>
        </w:rPr>
      </w:pPr>
    </w:p>
    <w:p w14:paraId="0F531CA1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6.5</w:t>
      </w:r>
      <w:r>
        <w:rPr>
          <w:b/>
          <w:bCs/>
          <w:lang w:val="hu-HU"/>
        </w:rPr>
        <w:tab/>
        <w:t xml:space="preserve">Csomagolás típusa és kiszerelése </w:t>
      </w:r>
    </w:p>
    <w:p w14:paraId="027E0690" w14:textId="77777777" w:rsidR="006A22CA" w:rsidRDefault="006A22CA">
      <w:pPr>
        <w:spacing w:line="240" w:lineRule="auto"/>
        <w:rPr>
          <w:lang w:val="hu-HU"/>
        </w:rPr>
      </w:pPr>
    </w:p>
    <w:p w14:paraId="37CE6D06" w14:textId="77777777" w:rsidR="006A22CA" w:rsidRDefault="00BA276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Filmtabletták OPA/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>/PVC//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 xml:space="preserve"> buborékcsomagolásban és 10, 30, 60, 120 és 180 filmtablettát tartalmazó csomagolásban és 120 (2 darab 60 filmtablettás buborékcsomagolás) vagy 180 (3 darab 60 filmtablettás buborékcsomagolás) filmtablettát tartalmazó gyűjtőcsomagolásban.</w:t>
      </w:r>
    </w:p>
    <w:p w14:paraId="05394731" w14:textId="77777777" w:rsidR="006A22CA" w:rsidRDefault="006A22CA">
      <w:pPr>
        <w:pStyle w:val="Default"/>
        <w:rPr>
          <w:sz w:val="22"/>
          <w:szCs w:val="22"/>
          <w:lang w:val="hu-HU"/>
        </w:rPr>
      </w:pPr>
    </w:p>
    <w:p w14:paraId="016CDC46" w14:textId="77777777" w:rsidR="006A22CA" w:rsidRDefault="00BA2766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feltétlenül mindegyik kiszerelés kerül kereskedelmi forgalomba.</w:t>
      </w:r>
    </w:p>
    <w:p w14:paraId="484B291E" w14:textId="77777777" w:rsidR="006A22CA" w:rsidRDefault="006A22CA">
      <w:pPr>
        <w:pStyle w:val="Default"/>
        <w:rPr>
          <w:sz w:val="22"/>
          <w:szCs w:val="22"/>
          <w:lang w:val="hu-HU"/>
        </w:rPr>
      </w:pPr>
    </w:p>
    <w:p w14:paraId="06754CE1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6.6</w:t>
      </w:r>
      <w:r>
        <w:rPr>
          <w:b/>
          <w:bCs/>
          <w:lang w:val="hu-HU"/>
        </w:rPr>
        <w:tab/>
        <w:t>A megsemmisítésre vonatkozó különleges óvintézkedések és egyéb, a készítmény kezelésével kapcsolatos információk</w:t>
      </w:r>
    </w:p>
    <w:p w14:paraId="5D12FEAC" w14:textId="77777777" w:rsidR="006A22CA" w:rsidRDefault="006A22CA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</w:p>
    <w:p w14:paraId="3CC0E965" w14:textId="77777777" w:rsidR="006A22CA" w:rsidRDefault="00BA2766">
      <w:pPr>
        <w:spacing w:line="240" w:lineRule="auto"/>
        <w:rPr>
          <w:lang w:val="hu-HU"/>
        </w:rPr>
      </w:pPr>
      <w:r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4FC6AA85" w14:textId="77777777" w:rsidR="006A22CA" w:rsidRDefault="006A22CA">
      <w:pPr>
        <w:spacing w:line="240" w:lineRule="auto"/>
        <w:rPr>
          <w:lang w:val="hu-HU"/>
        </w:rPr>
      </w:pPr>
    </w:p>
    <w:p w14:paraId="1388A090" w14:textId="77777777" w:rsidR="006A22CA" w:rsidRDefault="00BA2766">
      <w:pPr>
        <w:rPr>
          <w:lang w:val="hu-HU"/>
        </w:rPr>
      </w:pPr>
      <w:r>
        <w:rPr>
          <w:b/>
          <w:bCs/>
          <w:lang w:val="hu-HU"/>
        </w:rPr>
        <w:t>Megjegyzés</w:t>
      </w:r>
      <w:r>
        <w:rPr>
          <w:lang w:val="hu-HU"/>
        </w:rPr>
        <w:t xml:space="preserve">: </w:t>
      </w:r>
      <w:r>
        <w:rPr>
          <w:rFonts w:ascii="Wingdings" w:eastAsia="Wingdings" w:hAnsi="Wingdings"/>
          <w:b/>
          <w:lang w:val="hu-HU"/>
        </w:rPr>
        <w:t></w:t>
      </w:r>
      <w:r>
        <w:rPr>
          <w:lang w:val="hu-HU"/>
        </w:rPr>
        <w:t xml:space="preserve"> (egy keresztes)</w:t>
      </w:r>
    </w:p>
    <w:p w14:paraId="7B846B88" w14:textId="1653F94A" w:rsidR="006A22CA" w:rsidRDefault="00BA2766">
      <w:pPr>
        <w:rPr>
          <w:lang w:val="hu-HU"/>
        </w:rPr>
      </w:pPr>
      <w:r>
        <w:rPr>
          <w:b/>
          <w:lang w:val="hu-HU"/>
        </w:rPr>
        <w:t>Osztályozás</w:t>
      </w:r>
      <w:r w:rsidRPr="00BA2766">
        <w:rPr>
          <w:b/>
          <w:lang w:val="hu-HU"/>
        </w:rPr>
        <w:t xml:space="preserve">: </w:t>
      </w:r>
      <w:r w:rsidRPr="00660783">
        <w:rPr>
          <w:b/>
          <w:lang w:val="hu-HU"/>
        </w:rPr>
        <w:t>II. csoport</w:t>
      </w:r>
    </w:p>
    <w:p w14:paraId="7CE0DB01" w14:textId="4AFB5AF6" w:rsidR="006A22CA" w:rsidRPr="00971541" w:rsidRDefault="00BA2766">
      <w:pPr>
        <w:spacing w:line="240" w:lineRule="auto"/>
        <w:ind w:left="567" w:hanging="567"/>
        <w:outlineLvl w:val="0"/>
        <w:rPr>
          <w:bCs/>
          <w:lang w:val="hu-HU"/>
        </w:rPr>
      </w:pPr>
      <w:r w:rsidRPr="00971541">
        <w:rPr>
          <w:lang w:val="hu-HU"/>
        </w:rPr>
        <w:t>Kizárólag orvosi rendelvényhez kötött gyógyszer (V).</w:t>
      </w:r>
    </w:p>
    <w:p w14:paraId="593EBCAF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6D96136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C733413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>A FORGALOMBA HOZATALI ENGEDÉLY JOGOSULTJA</w:t>
      </w:r>
    </w:p>
    <w:p w14:paraId="1AA1A67B" w14:textId="77777777" w:rsidR="006A22CA" w:rsidRDefault="006A22CA">
      <w:pPr>
        <w:spacing w:line="240" w:lineRule="auto"/>
        <w:rPr>
          <w:lang w:val="hu-HU"/>
        </w:rPr>
      </w:pPr>
    </w:p>
    <w:p w14:paraId="467C6D9D" w14:textId="77777777" w:rsidR="006A22CA" w:rsidRDefault="00BA2766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 xml:space="preserve">KRKA, </w:t>
      </w:r>
      <w:proofErr w:type="spellStart"/>
      <w:r>
        <w:rPr>
          <w:bCs/>
          <w:lang w:val="hu-HU"/>
        </w:rPr>
        <w:t>d.d</w:t>
      </w:r>
      <w:proofErr w:type="spellEnd"/>
      <w:r>
        <w:rPr>
          <w:bCs/>
          <w:lang w:val="hu-HU"/>
        </w:rPr>
        <w:t xml:space="preserve">., Novo </w:t>
      </w:r>
      <w:proofErr w:type="spellStart"/>
      <w:r>
        <w:rPr>
          <w:bCs/>
          <w:lang w:val="hu-HU"/>
        </w:rPr>
        <w:t>mesto</w:t>
      </w:r>
      <w:proofErr w:type="spellEnd"/>
      <w:r>
        <w:rPr>
          <w:bCs/>
          <w:lang w:val="hu-HU"/>
        </w:rPr>
        <w:t xml:space="preserve">, </w:t>
      </w:r>
      <w:proofErr w:type="spellStart"/>
      <w:r>
        <w:rPr>
          <w:bCs/>
          <w:lang w:val="hu-HU"/>
        </w:rPr>
        <w:t>Šmarješka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cesta</w:t>
      </w:r>
      <w:proofErr w:type="spellEnd"/>
      <w:r>
        <w:rPr>
          <w:bCs/>
          <w:lang w:val="hu-HU"/>
        </w:rPr>
        <w:t xml:space="preserve"> 6, 8501 Novo </w:t>
      </w:r>
      <w:proofErr w:type="spellStart"/>
      <w:r>
        <w:rPr>
          <w:bCs/>
          <w:lang w:val="hu-HU"/>
        </w:rPr>
        <w:t>mesto</w:t>
      </w:r>
      <w:proofErr w:type="spellEnd"/>
      <w:r>
        <w:rPr>
          <w:bCs/>
          <w:lang w:val="hu-HU"/>
        </w:rPr>
        <w:t>, Szlovénia</w:t>
      </w:r>
    </w:p>
    <w:p w14:paraId="2E85EAF7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293D1C8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BE3CD81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A FORGALOMBA HOZATALI ENGEDÉLY SZÁMA(I)</w:t>
      </w:r>
    </w:p>
    <w:p w14:paraId="4D4FC4A0" w14:textId="77777777" w:rsidR="006A22CA" w:rsidRDefault="006A22CA">
      <w:pPr>
        <w:widowControl w:val="0"/>
        <w:spacing w:line="240" w:lineRule="auto"/>
        <w:rPr>
          <w:noProof/>
          <w:lang w:val="sl-SI"/>
        </w:rPr>
      </w:pPr>
    </w:p>
    <w:p w14:paraId="08370425" w14:textId="77777777" w:rsidR="006A22CA" w:rsidRDefault="00BA2766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Vimetso 50 mg/850 mg filmtabletta</w:t>
      </w:r>
    </w:p>
    <w:p w14:paraId="41A6C700" w14:textId="77777777" w:rsidR="006A22CA" w:rsidRDefault="006A22CA">
      <w:pPr>
        <w:widowControl w:val="0"/>
        <w:spacing w:line="240" w:lineRule="auto"/>
        <w:rPr>
          <w:noProof/>
          <w:u w:val="single"/>
          <w:lang w:val="sl-SI"/>
        </w:rPr>
      </w:pPr>
    </w:p>
    <w:p w14:paraId="362D1062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OGYI-T-23918/01</w:t>
      </w:r>
      <w:r>
        <w:rPr>
          <w:color w:val="000000"/>
          <w:sz w:val="22"/>
          <w:szCs w:val="22"/>
        </w:rPr>
        <w:tab/>
        <w:t>10×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79DA6114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OGYI-T-23918/02</w:t>
      </w:r>
      <w:r>
        <w:rPr>
          <w:color w:val="000000"/>
          <w:sz w:val="22"/>
          <w:szCs w:val="22"/>
        </w:rPr>
        <w:tab/>
        <w:t>30×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49CB4888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OGYI-T-23918/03</w:t>
      </w:r>
      <w:r>
        <w:rPr>
          <w:color w:val="000000"/>
          <w:sz w:val="22"/>
          <w:szCs w:val="22"/>
        </w:rPr>
        <w:tab/>
        <w:t>60×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16AA6472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OGYI-T-23918/04</w:t>
      </w:r>
      <w:r>
        <w:rPr>
          <w:color w:val="000000"/>
          <w:sz w:val="22"/>
          <w:szCs w:val="22"/>
        </w:rPr>
        <w:tab/>
        <w:t>2×60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21DC377E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OGYI-T-23918/05</w:t>
      </w:r>
      <w:r>
        <w:rPr>
          <w:color w:val="000000"/>
          <w:sz w:val="22"/>
          <w:szCs w:val="22"/>
        </w:rPr>
        <w:tab/>
        <w:t>120×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18499A98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OGYI-T-23918/06</w:t>
      </w:r>
      <w:r>
        <w:rPr>
          <w:color w:val="000000"/>
          <w:sz w:val="22"/>
          <w:szCs w:val="22"/>
        </w:rPr>
        <w:tab/>
        <w:t>3×60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5ABC6713" w14:textId="77777777" w:rsidR="006A22CA" w:rsidRDefault="00BA2766">
      <w:pPr>
        <w:pStyle w:val="NormlWeb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OGYI-T-23918/07</w:t>
      </w:r>
      <w:r>
        <w:rPr>
          <w:color w:val="000000"/>
          <w:sz w:val="22"/>
          <w:szCs w:val="22"/>
        </w:rPr>
        <w:tab/>
        <w:t>180×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08CB240A" w14:textId="77777777" w:rsidR="006A22CA" w:rsidRDefault="006A22CA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43248D4" w14:textId="77777777" w:rsidR="006A22CA" w:rsidRDefault="00BA2766">
      <w:pPr>
        <w:widowControl w:val="0"/>
        <w:spacing w:line="240" w:lineRule="auto"/>
        <w:rPr>
          <w:noProof/>
          <w:u w:val="single"/>
          <w:lang w:val="sl-SI"/>
        </w:rPr>
      </w:pPr>
      <w:r>
        <w:rPr>
          <w:noProof/>
          <w:u w:val="single"/>
          <w:lang w:val="sl-SI"/>
        </w:rPr>
        <w:t>Vimetso 50 mg/1000 mg filmtabletta</w:t>
      </w:r>
    </w:p>
    <w:p w14:paraId="4820EBDE" w14:textId="77777777" w:rsidR="006A22CA" w:rsidRDefault="006A22CA">
      <w:pPr>
        <w:spacing w:line="240" w:lineRule="auto"/>
        <w:outlineLvl w:val="0"/>
        <w:rPr>
          <w:bCs/>
          <w:lang w:val="hu-HU"/>
        </w:rPr>
      </w:pPr>
    </w:p>
    <w:p w14:paraId="3205916B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OGYI-T-23918/08</w:t>
      </w:r>
      <w:r>
        <w:rPr>
          <w:color w:val="000000"/>
          <w:sz w:val="22"/>
          <w:szCs w:val="22"/>
        </w:rPr>
        <w:tab/>
        <w:t>10×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1AA893AF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OGYI-T-23918/09</w:t>
      </w:r>
      <w:r>
        <w:rPr>
          <w:color w:val="000000"/>
          <w:sz w:val="22"/>
          <w:szCs w:val="22"/>
        </w:rPr>
        <w:tab/>
        <w:t>30×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503663EF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OGYI-T-23918/10</w:t>
      </w:r>
      <w:r>
        <w:rPr>
          <w:color w:val="000000"/>
          <w:sz w:val="22"/>
          <w:szCs w:val="22"/>
        </w:rPr>
        <w:tab/>
        <w:t>60×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51A4ACFA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OGYI-T-23918/11</w:t>
      </w:r>
      <w:r>
        <w:rPr>
          <w:color w:val="000000"/>
          <w:sz w:val="22"/>
          <w:szCs w:val="22"/>
        </w:rPr>
        <w:tab/>
        <w:t>2×60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358CD4E7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OGYI-T-23918/12</w:t>
      </w:r>
      <w:r>
        <w:rPr>
          <w:color w:val="000000"/>
          <w:sz w:val="22"/>
          <w:szCs w:val="22"/>
        </w:rPr>
        <w:tab/>
        <w:t>120×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76D072D6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OGYI-T-23918/13</w:t>
      </w:r>
      <w:r>
        <w:rPr>
          <w:color w:val="000000"/>
          <w:sz w:val="22"/>
          <w:szCs w:val="22"/>
        </w:rPr>
        <w:tab/>
        <w:t>3×60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35D2828A" w14:textId="77777777" w:rsidR="006A22CA" w:rsidRDefault="00BA2766">
      <w:pPr>
        <w:pStyle w:val="NormlWeb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OGYI-T-23918/14</w:t>
      </w:r>
      <w:r>
        <w:rPr>
          <w:color w:val="000000"/>
          <w:sz w:val="22"/>
          <w:szCs w:val="22"/>
        </w:rPr>
        <w:tab/>
        <w:t>180×</w:t>
      </w:r>
      <w:r>
        <w:rPr>
          <w:color w:val="000000"/>
          <w:sz w:val="22"/>
          <w:szCs w:val="22"/>
        </w:rPr>
        <w:tab/>
      </w:r>
      <w:r>
        <w:rPr>
          <w:sz w:val="22"/>
          <w:szCs w:val="22"/>
        </w:rPr>
        <w:t>OPA/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>/PVC//</w:t>
      </w:r>
      <w:proofErr w:type="spellStart"/>
      <w:r>
        <w:rPr>
          <w:sz w:val="22"/>
          <w:szCs w:val="22"/>
        </w:rPr>
        <w:t>Al</w:t>
      </w:r>
      <w:proofErr w:type="spellEnd"/>
      <w:r>
        <w:rPr>
          <w:sz w:val="22"/>
          <w:szCs w:val="22"/>
        </w:rPr>
        <w:t xml:space="preserve"> buborékcsomagolásban.</w:t>
      </w:r>
    </w:p>
    <w:p w14:paraId="67E6B947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4D500C6" w14:textId="77777777" w:rsidR="00402B21" w:rsidRDefault="00402B21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95ECE22" w14:textId="77777777" w:rsidR="006A22CA" w:rsidRDefault="00BA2766" w:rsidP="00660783">
      <w:pPr>
        <w:keepNext/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9.</w:t>
      </w:r>
      <w:r>
        <w:rPr>
          <w:b/>
          <w:bCs/>
          <w:lang w:val="hu-HU"/>
        </w:rPr>
        <w:tab/>
        <w:t>A FORGALOMBA HOZATALI ENGEDÉLY ELSŐ KIADÁSÁNAK/ MEGÚJÍTÁSÁNAK DÁTUMA</w:t>
      </w:r>
    </w:p>
    <w:p w14:paraId="6516B30F" w14:textId="77777777" w:rsidR="006A22CA" w:rsidRDefault="006A22CA" w:rsidP="00660783">
      <w:pPr>
        <w:keepNext/>
        <w:spacing w:line="240" w:lineRule="auto"/>
        <w:rPr>
          <w:lang w:val="hu-HU"/>
        </w:rPr>
      </w:pPr>
    </w:p>
    <w:p w14:paraId="32E035F2" w14:textId="77777777" w:rsidR="006A22CA" w:rsidRDefault="00BA2766" w:rsidP="00660783">
      <w:pPr>
        <w:keepNext/>
        <w:spacing w:line="240" w:lineRule="auto"/>
        <w:rPr>
          <w:lang w:val="hu-HU"/>
        </w:rPr>
      </w:pPr>
      <w:r>
        <w:rPr>
          <w:lang w:val="hu-HU"/>
        </w:rPr>
        <w:t>A forgalomba hozatali engedély első kiadásának dátuma: 2021. július 22.</w:t>
      </w:r>
    </w:p>
    <w:p w14:paraId="5E82432E" w14:textId="77777777" w:rsidR="006A22CA" w:rsidRDefault="006A22CA">
      <w:pPr>
        <w:spacing w:line="240" w:lineRule="auto"/>
        <w:rPr>
          <w:lang w:val="hu-HU"/>
        </w:rPr>
      </w:pPr>
    </w:p>
    <w:p w14:paraId="46581361" w14:textId="77777777" w:rsidR="006A22CA" w:rsidRDefault="006A22CA">
      <w:pPr>
        <w:spacing w:line="240" w:lineRule="auto"/>
        <w:rPr>
          <w:lang w:val="hu-HU"/>
        </w:rPr>
      </w:pPr>
    </w:p>
    <w:p w14:paraId="3BEC37A5" w14:textId="77777777" w:rsidR="006A22CA" w:rsidRDefault="00BA2766">
      <w:pP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A SZÖVEG ELLENŐRZÉSÉNEK DÁTUMA</w:t>
      </w:r>
    </w:p>
    <w:p w14:paraId="701F92C0" w14:textId="77777777" w:rsidR="006A22CA" w:rsidRDefault="006A22CA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64DB97A" w14:textId="27DD6709" w:rsidR="006A22CA" w:rsidRDefault="00BA2766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2026. április 7.</w:t>
      </w:r>
    </w:p>
    <w:sectPr w:rsidR="006A22CA">
      <w:headerReference w:type="default" r:id="rId9"/>
      <w:footerReference w:type="default" r:id="rId10"/>
      <w:footerReference w:type="first" r:id="rId11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34FE4" w14:textId="77777777" w:rsidR="006A22CA" w:rsidRDefault="00BA2766">
      <w:pPr>
        <w:spacing w:line="240" w:lineRule="auto"/>
      </w:pPr>
      <w:r>
        <w:separator/>
      </w:r>
    </w:p>
  </w:endnote>
  <w:endnote w:type="continuationSeparator" w:id="0">
    <w:p w14:paraId="66D5FC4F" w14:textId="77777777" w:rsidR="006A22CA" w:rsidRDefault="00BA27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6372D" w14:textId="77777777" w:rsidR="006A22CA" w:rsidRDefault="006A22CA">
    <w:pPr>
      <w:pStyle w:val="llb"/>
      <w:jc w:val="center"/>
    </w:pPr>
  </w:p>
  <w:p w14:paraId="552F9F2D" w14:textId="77777777" w:rsidR="006A22CA" w:rsidRDefault="006A22C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D541E" w14:textId="6ABB9BC1" w:rsidR="00BA2766" w:rsidRDefault="00BA2766">
    <w:pPr>
      <w:pStyle w:val="Nincstrkz"/>
      <w:rPr>
        <w:sz w:val="18"/>
        <w:szCs w:val="18"/>
      </w:rPr>
    </w:pPr>
    <w:r w:rsidRPr="00BA2766">
      <w:rPr>
        <w:sz w:val="18"/>
        <w:szCs w:val="18"/>
      </w:rPr>
      <w:t>NNGYK/ETGY/7867/2026</w:t>
    </w:r>
  </w:p>
  <w:p w14:paraId="2508497A" w14:textId="3A532044" w:rsidR="006A22CA" w:rsidRDefault="00BA2766">
    <w:pPr>
      <w:pStyle w:val="Nincstrkz"/>
    </w:pPr>
    <w:r w:rsidRPr="00BA2766">
      <w:rPr>
        <w:sz w:val="18"/>
        <w:szCs w:val="18"/>
      </w:rPr>
      <w:t>NNGYK/ETGY/7868/2026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019B9" w14:textId="77777777" w:rsidR="006A22CA" w:rsidRDefault="00BA2766">
      <w:pPr>
        <w:spacing w:line="240" w:lineRule="auto"/>
      </w:pPr>
      <w:r>
        <w:separator/>
      </w:r>
    </w:p>
  </w:footnote>
  <w:footnote w:type="continuationSeparator" w:id="0">
    <w:p w14:paraId="4E56340E" w14:textId="77777777" w:rsidR="006A22CA" w:rsidRDefault="00BA27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E3589" w14:textId="77777777" w:rsidR="006A22CA" w:rsidRDefault="00BA2766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  \* MERGEFORMAT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  <w:lang w:val="hu-HU"/>
      </w:rPr>
      <w:t>18</w:t>
    </w:r>
    <w:r>
      <w:rPr>
        <w:sz w:val="18"/>
        <w:szCs w:val="18"/>
      </w:rPr>
      <w:fldChar w:fldCharType="end"/>
    </w:r>
  </w:p>
  <w:p w14:paraId="3CA8D58F" w14:textId="77777777" w:rsidR="006A22CA" w:rsidRDefault="006A22C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298721E"/>
    <w:multiLevelType w:val="hybridMultilevel"/>
    <w:tmpl w:val="50B81524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575220"/>
    <w:multiLevelType w:val="hybridMultilevel"/>
    <w:tmpl w:val="04904B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2797F"/>
    <w:multiLevelType w:val="hybridMultilevel"/>
    <w:tmpl w:val="83E45D34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9656A"/>
    <w:multiLevelType w:val="hybridMultilevel"/>
    <w:tmpl w:val="CA360F8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4B35529"/>
    <w:multiLevelType w:val="hybridMultilevel"/>
    <w:tmpl w:val="D2327DE8"/>
    <w:lvl w:ilvl="0" w:tplc="051204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B3D4636"/>
    <w:multiLevelType w:val="hybridMultilevel"/>
    <w:tmpl w:val="A8624DB6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73795"/>
    <w:multiLevelType w:val="hybridMultilevel"/>
    <w:tmpl w:val="D3C60896"/>
    <w:lvl w:ilvl="0" w:tplc="AF12E8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B877D7"/>
    <w:multiLevelType w:val="hybridMultilevel"/>
    <w:tmpl w:val="52F29F1E"/>
    <w:lvl w:ilvl="0" w:tplc="0B341628">
      <w:start w:val="1"/>
      <w:numFmt w:val="bullet"/>
      <w:lvlText w:val="­"/>
      <w:lvlJc w:val="left"/>
      <w:pPr>
        <w:ind w:left="720" w:hanging="360"/>
      </w:pPr>
      <w:rPr>
        <w:rFonts w:ascii="Arial" w:hAnsi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3D4AC9"/>
    <w:multiLevelType w:val="hybridMultilevel"/>
    <w:tmpl w:val="A800950A"/>
    <w:lvl w:ilvl="0" w:tplc="A432917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00CBA"/>
    <w:multiLevelType w:val="hybridMultilevel"/>
    <w:tmpl w:val="69A2EE6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198980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7211844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008596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25939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5347318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209185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7011403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419298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6437700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84324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2334745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22651913">
    <w:abstractNumId w:val="7"/>
  </w:num>
  <w:num w:numId="13" w16cid:durableId="2083023219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4" w16cid:durableId="1745448371">
    <w:abstractNumId w:val="11"/>
  </w:num>
  <w:num w:numId="15" w16cid:durableId="1174078118">
    <w:abstractNumId w:val="22"/>
  </w:num>
  <w:num w:numId="16" w16cid:durableId="1044601846">
    <w:abstractNumId w:val="17"/>
  </w:num>
  <w:num w:numId="17" w16cid:durableId="581525318">
    <w:abstractNumId w:val="10"/>
  </w:num>
  <w:num w:numId="18" w16cid:durableId="1375351346">
    <w:abstractNumId w:val="9"/>
  </w:num>
  <w:num w:numId="19" w16cid:durableId="583144896">
    <w:abstractNumId w:val="16"/>
  </w:num>
  <w:num w:numId="20" w16cid:durableId="1967194775">
    <w:abstractNumId w:val="21"/>
  </w:num>
  <w:num w:numId="21" w16cid:durableId="163085693">
    <w:abstractNumId w:val="23"/>
  </w:num>
  <w:num w:numId="22" w16cid:durableId="241455852">
    <w:abstractNumId w:val="14"/>
  </w:num>
  <w:num w:numId="23" w16cid:durableId="1030183825">
    <w:abstractNumId w:val="19"/>
  </w:num>
  <w:num w:numId="24" w16cid:durableId="1077677572">
    <w:abstractNumId w:val="13"/>
  </w:num>
  <w:num w:numId="25" w16cid:durableId="582420991">
    <w:abstractNumId w:val="20"/>
  </w:num>
  <w:num w:numId="26" w16cid:durableId="1284652942">
    <w:abstractNumId w:val="24"/>
  </w:num>
  <w:num w:numId="27" w16cid:durableId="14469703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2CA"/>
    <w:rsid w:val="00040A3E"/>
    <w:rsid w:val="00402B21"/>
    <w:rsid w:val="00660783"/>
    <w:rsid w:val="006A22CA"/>
    <w:rsid w:val="00971541"/>
    <w:rsid w:val="009D06DB"/>
    <w:rsid w:val="00BA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0BC01DD"/>
  <w15:docId w15:val="{7FF48EEE-8EA5-4FAC-AA2D-C1C79FCB7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Cmsor2">
    <w:name w:val="heading 2"/>
    <w:basedOn w:val="Norml"/>
    <w:next w:val="Norml"/>
    <w:link w:val="Cmsor2Char"/>
    <w:qFormat/>
    <w:pPr>
      <w:keepNext/>
      <w:tabs>
        <w:tab w:val="clear" w:pos="567"/>
      </w:tabs>
      <w:spacing w:line="240" w:lineRule="auto"/>
      <w:outlineLvl w:val="1"/>
    </w:pPr>
    <w:rPr>
      <w:b/>
      <w:bCs/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uiPriority w:val="99"/>
    <w:semiHidden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Pr>
      <w:rFonts w:ascii="Times New Roman" w:eastAsia="Times New Roman" w:hAnsi="Times New Roman" w:cs="Times New Roman"/>
      <w:lang w:val="en-GB" w:eastAsia="hu-HU"/>
    </w:rPr>
  </w:style>
  <w:style w:type="paragraph" w:customStyle="1" w:styleId="EMEAEnBodyText">
    <w:name w:val="EMEA En Body Text"/>
    <w:basedOn w:val="Norml"/>
    <w:uiPriority w:val="99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paragraph" w:styleId="Listaszerbekezds">
    <w:name w:val="List Paragraph"/>
    <w:basedOn w:val="Norml"/>
    <w:uiPriority w:val="99"/>
    <w:qFormat/>
    <w:pPr>
      <w:ind w:left="720"/>
    </w:pPr>
  </w:style>
  <w:style w:type="paragraph" w:styleId="Nincstrkz">
    <w:name w:val="No Spacing"/>
    <w:uiPriority w:val="1"/>
    <w:qFormat/>
    <w:pPr>
      <w:tabs>
        <w:tab w:val="left" w:pos="567"/>
      </w:tabs>
    </w:pPr>
    <w:rPr>
      <w:rFonts w:ascii="Times New Roman" w:eastAsia="Times New Roman" w:hAnsi="Times New Roman"/>
      <w:sz w:val="22"/>
      <w:szCs w:val="22"/>
      <w:lang w:val="en-GB" w:eastAsia="en-US"/>
    </w:rPr>
  </w:style>
  <w:style w:type="table" w:styleId="Rcsostblzat">
    <w:name w:val="Table Grid"/>
    <w:basedOn w:val="Normltblzat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Pr>
      <w:rFonts w:ascii="Segoe UI" w:eastAsia="Times New Roman" w:hAnsi="Segoe UI" w:cs="Segoe UI"/>
      <w:sz w:val="18"/>
      <w:szCs w:val="18"/>
      <w:lang w:val="en-GB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link w:val="lfej"/>
    <w:uiPriority w:val="99"/>
    <w:rPr>
      <w:rFonts w:ascii="Times New Roman" w:eastAsia="Times New Roman" w:hAnsi="Times New Roman" w:cs="Times New Roman"/>
      <w:lang w:val="en-GB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eastAsia="Times New Roman" w:hAnsi="Times New Roman"/>
      <w:b/>
      <w:bCs/>
      <w:lang w:val="en-GB" w:eastAsia="en-US"/>
    </w:rPr>
  </w:style>
  <w:style w:type="paragraph" w:styleId="Vltozat">
    <w:name w:val="Revision"/>
    <w:hidden/>
    <w:uiPriority w:val="99"/>
    <w:semiHidden/>
    <w:rPr>
      <w:rFonts w:ascii="Times New Roman" w:eastAsia="Times New Roman" w:hAnsi="Times New Roman"/>
      <w:sz w:val="22"/>
      <w:szCs w:val="22"/>
      <w:lang w:val="en-GB" w:eastAsia="en-US"/>
    </w:rPr>
  </w:style>
  <w:style w:type="paragraph" w:styleId="NormlWeb">
    <w:name w:val="Normal (Web)"/>
    <w:basedOn w:val="Norml"/>
    <w:uiPriority w:val="99"/>
    <w:semiHidden/>
    <w:unhideWhenUsed/>
    <w:pPr>
      <w:tabs>
        <w:tab w:val="clear" w:pos="567"/>
      </w:tabs>
      <w:spacing w:line="240" w:lineRule="auto"/>
    </w:pPr>
    <w:rPr>
      <w:rFonts w:eastAsia="Calibri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22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FC4DC-4742-4C1E-84D8-87A727BE7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6756</Words>
  <Characters>46622</Characters>
  <Application>Microsoft Office Word</Application>
  <DocSecurity>0</DocSecurity>
  <Lines>388</Lines>
  <Paragraphs>106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Sandoz</Company>
  <LinksUpToDate>false</LinksUpToDate>
  <CharactersWithSpaces>53272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OGYI_22.1</dc:creator>
  <cp:keywords/>
  <cp:lastModifiedBy>HU_OGYI_64.1</cp:lastModifiedBy>
  <cp:revision>6</cp:revision>
  <dcterms:created xsi:type="dcterms:W3CDTF">2026-04-10T09:06:00Z</dcterms:created>
  <dcterms:modified xsi:type="dcterms:W3CDTF">2026-04-10T10:11:00Z</dcterms:modified>
</cp:coreProperties>
</file>