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DB2" w:rsidRDefault="00B557C8">
      <w:pPr>
        <w:widowControl w:val="0"/>
        <w:spacing w:line="240" w:lineRule="auto"/>
        <w:rPr>
          <w:lang w:val="hu-HU"/>
        </w:rPr>
      </w:pPr>
      <w:bookmarkStart w:id="0" w:name="_GoBack"/>
      <w:bookmarkEnd w:id="0"/>
      <w:r>
        <w:rPr>
          <w:b/>
          <w:bCs/>
          <w:lang w:val="hu-HU"/>
        </w:rPr>
        <w:t>1.</w:t>
      </w:r>
      <w:r>
        <w:rPr>
          <w:b/>
          <w:bCs/>
          <w:lang w:val="hu-HU"/>
        </w:rPr>
        <w:tab/>
        <w:t>A GYÓGYSZER NEVE</w:t>
      </w:r>
    </w:p>
    <w:p w:rsidR="00D52DB2" w:rsidRDefault="00D52DB2">
      <w:pPr>
        <w:widowControl w:val="0"/>
        <w:spacing w:line="240" w:lineRule="auto"/>
        <w:rPr>
          <w:lang w:val="hu-HU"/>
        </w:rPr>
      </w:pPr>
    </w:p>
    <w:p w:rsidR="00D52DB2" w:rsidRDefault="00B557C8">
      <w:pPr>
        <w:widowControl w:val="0"/>
        <w:spacing w:line="240" w:lineRule="auto"/>
        <w:rPr>
          <w:lang w:val="hu-HU"/>
        </w:rPr>
      </w:pPr>
      <w:r>
        <w:rPr>
          <w:lang w:val="hu-HU"/>
        </w:rPr>
        <w:t>Exoterbyn gyógyszeres körömlakk</w:t>
      </w:r>
    </w:p>
    <w:p w:rsidR="00D52DB2" w:rsidRDefault="00D52DB2">
      <w:pPr>
        <w:widowControl w:val="0"/>
        <w:spacing w:line="240" w:lineRule="auto"/>
        <w:rPr>
          <w:lang w:val="hu-HU"/>
        </w:rPr>
      </w:pPr>
    </w:p>
    <w:p w:rsidR="00D52DB2" w:rsidRDefault="00D52DB2">
      <w:pPr>
        <w:widowControl w:val="0"/>
        <w:spacing w:line="240" w:lineRule="auto"/>
        <w:rPr>
          <w:lang w:val="hu-HU"/>
        </w:rPr>
      </w:pPr>
    </w:p>
    <w:p w:rsidR="00D52DB2" w:rsidRDefault="00B557C8">
      <w:pPr>
        <w:widowControl w:val="0"/>
        <w:spacing w:line="240" w:lineRule="auto"/>
        <w:rPr>
          <w:b/>
          <w:bCs/>
          <w:lang w:val="hu-HU"/>
        </w:rPr>
      </w:pPr>
      <w:r>
        <w:rPr>
          <w:b/>
          <w:bCs/>
          <w:lang w:val="hu-HU"/>
        </w:rPr>
        <w:t>2.</w:t>
      </w:r>
      <w:r>
        <w:rPr>
          <w:b/>
          <w:bCs/>
          <w:lang w:val="hu-HU"/>
        </w:rPr>
        <w:tab/>
        <w:t>MINŐSÉGI ÉS MENNYISÉGI ÖSSZETÉTEL</w:t>
      </w:r>
    </w:p>
    <w:p w:rsidR="00D52DB2" w:rsidRDefault="00D52DB2">
      <w:pPr>
        <w:pStyle w:val="EMEAEnBodyText"/>
        <w:autoSpaceDE w:val="0"/>
        <w:autoSpaceDN w:val="0"/>
        <w:spacing w:before="0" w:after="0"/>
        <w:jc w:val="left"/>
        <w:rPr>
          <w:u w:val="single"/>
          <w:lang w:val="hu-HU"/>
        </w:rPr>
      </w:pPr>
    </w:p>
    <w:p w:rsidR="00D52DB2" w:rsidRDefault="00B557C8">
      <w:pPr>
        <w:pStyle w:val="EMEAEnBodyText"/>
        <w:autoSpaceDE w:val="0"/>
        <w:autoSpaceDN w:val="0"/>
        <w:spacing w:before="0" w:after="0"/>
        <w:jc w:val="left"/>
        <w:rPr>
          <w:lang w:val="hu-HU"/>
        </w:rPr>
      </w:pPr>
      <w:r>
        <w:rPr>
          <w:lang w:val="hu-HU"/>
        </w:rPr>
        <w:t>A gyógyszeres körömlakk 78,22 mg terbinafinnak megfelelő terbinafin-hidrokloridot tartalmaz milliliterenként.</w:t>
      </w:r>
    </w:p>
    <w:p w:rsidR="00D52DB2" w:rsidRDefault="00D52DB2">
      <w:pPr>
        <w:pStyle w:val="EMEAEnBodyText"/>
        <w:autoSpaceDE w:val="0"/>
        <w:autoSpaceDN w:val="0"/>
        <w:spacing w:before="0" w:after="0"/>
        <w:jc w:val="left"/>
        <w:rPr>
          <w:u w:val="single"/>
          <w:lang w:val="hu-HU"/>
        </w:rPr>
      </w:pPr>
    </w:p>
    <w:p w:rsidR="00D52DB2" w:rsidRDefault="00B557C8">
      <w:pPr>
        <w:pStyle w:val="EMEAEnBodyText"/>
        <w:autoSpaceDE w:val="0"/>
        <w:autoSpaceDN w:val="0"/>
        <w:spacing w:before="0" w:after="0"/>
        <w:jc w:val="left"/>
        <w:rPr>
          <w:u w:val="single"/>
          <w:lang w:val="hu-HU"/>
        </w:rPr>
      </w:pPr>
      <w:r>
        <w:rPr>
          <w:u w:val="single"/>
          <w:lang w:val="hu-HU"/>
        </w:rPr>
        <w:t>Ismert hatású segédanyag:</w:t>
      </w:r>
    </w:p>
    <w:p w:rsidR="00D52DB2" w:rsidRDefault="00B557C8">
      <w:pPr>
        <w:pStyle w:val="EMEAEnBodyText"/>
        <w:autoSpaceDE w:val="0"/>
        <w:autoSpaceDN w:val="0"/>
        <w:spacing w:before="0" w:after="0"/>
        <w:jc w:val="left"/>
        <w:rPr>
          <w:lang w:val="hu-HU"/>
        </w:rPr>
      </w:pPr>
      <w:r>
        <w:rPr>
          <w:lang w:val="hu-HU"/>
        </w:rPr>
        <w:t>A gyógyszeres körömlakk 616 mg (96 százalékos) etanolt tartalmaz milliliterenként.</w:t>
      </w:r>
    </w:p>
    <w:p w:rsidR="00D52DB2" w:rsidRDefault="00D52DB2">
      <w:pPr>
        <w:pStyle w:val="EMEAEnBodyText"/>
        <w:autoSpaceDE w:val="0"/>
        <w:autoSpaceDN w:val="0"/>
        <w:spacing w:before="0" w:after="0"/>
        <w:jc w:val="left"/>
        <w:rPr>
          <w:lang w:val="hu-HU"/>
        </w:rPr>
      </w:pPr>
    </w:p>
    <w:p w:rsidR="00D52DB2" w:rsidRDefault="00B557C8">
      <w:pPr>
        <w:pStyle w:val="EMEAEnBodyText"/>
        <w:autoSpaceDE w:val="0"/>
        <w:autoSpaceDN w:val="0"/>
        <w:spacing w:before="0" w:after="0"/>
        <w:jc w:val="left"/>
        <w:rPr>
          <w:lang w:val="hu-HU"/>
        </w:rPr>
      </w:pPr>
      <w:r>
        <w:rPr>
          <w:lang w:val="hu-HU"/>
        </w:rPr>
        <w:t>A segédanyagok teljes listáját lásd a 6.1 pontban.</w:t>
      </w:r>
    </w:p>
    <w:p w:rsidR="00D52DB2" w:rsidRDefault="00D52DB2">
      <w:pPr>
        <w:widowControl w:val="0"/>
        <w:spacing w:line="240" w:lineRule="auto"/>
        <w:rPr>
          <w:lang w:val="hu-HU"/>
        </w:rPr>
      </w:pPr>
    </w:p>
    <w:p w:rsidR="00D52DB2" w:rsidRDefault="00D52DB2">
      <w:pPr>
        <w:widowControl w:val="0"/>
        <w:spacing w:line="240" w:lineRule="auto"/>
        <w:rPr>
          <w:lang w:val="hu-HU"/>
        </w:rPr>
      </w:pPr>
    </w:p>
    <w:p w:rsidR="00D52DB2" w:rsidRDefault="00B557C8">
      <w:pPr>
        <w:spacing w:line="240" w:lineRule="auto"/>
        <w:ind w:left="567" w:hanging="567"/>
        <w:rPr>
          <w:b/>
          <w:bCs/>
          <w:lang w:val="hu-HU"/>
        </w:rPr>
      </w:pPr>
      <w:r>
        <w:rPr>
          <w:b/>
          <w:bCs/>
          <w:lang w:val="hu-HU"/>
        </w:rPr>
        <w:t>3.</w:t>
      </w:r>
      <w:r>
        <w:rPr>
          <w:b/>
          <w:bCs/>
          <w:lang w:val="hu-HU"/>
        </w:rPr>
        <w:tab/>
        <w:t>GYÓGYSZERFORMA</w:t>
      </w:r>
    </w:p>
    <w:p w:rsidR="00D52DB2" w:rsidRDefault="00D52DB2">
      <w:pPr>
        <w:spacing w:line="240" w:lineRule="auto"/>
        <w:ind w:left="567" w:hanging="567"/>
        <w:rPr>
          <w:lang w:val="hu-HU"/>
        </w:rPr>
      </w:pPr>
    </w:p>
    <w:p w:rsidR="00D52DB2" w:rsidRDefault="00B557C8">
      <w:pPr>
        <w:spacing w:line="240" w:lineRule="auto"/>
        <w:rPr>
          <w:lang w:val="hu-HU"/>
        </w:rPr>
      </w:pPr>
      <w:r>
        <w:rPr>
          <w:lang w:val="hu-HU"/>
        </w:rPr>
        <w:t>Gyógyszeres körömlakk.</w:t>
      </w:r>
    </w:p>
    <w:p w:rsidR="00D52DB2" w:rsidRDefault="00D52DB2">
      <w:pPr>
        <w:spacing w:line="240" w:lineRule="auto"/>
        <w:rPr>
          <w:lang w:val="hu-HU"/>
        </w:rPr>
      </w:pPr>
    </w:p>
    <w:p w:rsidR="00D52DB2" w:rsidRDefault="00B557C8">
      <w:pPr>
        <w:spacing w:line="240" w:lineRule="auto"/>
        <w:rPr>
          <w:lang w:val="hu-HU"/>
        </w:rPr>
      </w:pPr>
      <w:r>
        <w:rPr>
          <w:lang w:val="hu-HU"/>
        </w:rPr>
        <w:t>Tiszta, színtelen oldat.</w:t>
      </w:r>
    </w:p>
    <w:p w:rsidR="00D52DB2" w:rsidRDefault="00D52DB2">
      <w:pPr>
        <w:autoSpaceDE w:val="0"/>
        <w:autoSpaceDN w:val="0"/>
        <w:spacing w:line="240" w:lineRule="auto"/>
        <w:jc w:val="both"/>
        <w:rPr>
          <w:lang w:val="hu-HU"/>
        </w:rPr>
      </w:pP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4.</w:t>
      </w:r>
      <w:r>
        <w:rPr>
          <w:b/>
          <w:bCs/>
          <w:lang w:val="hu-HU"/>
        </w:rPr>
        <w:tab/>
        <w:t>KLINIKAI JELLEMZŐK</w:t>
      </w:r>
    </w:p>
    <w:p w:rsidR="00D52DB2" w:rsidRDefault="00D52DB2">
      <w:pPr>
        <w:spacing w:line="240" w:lineRule="auto"/>
        <w:ind w:left="567" w:hanging="567"/>
        <w:outlineLvl w:val="0"/>
        <w:rPr>
          <w:lang w:val="hu-HU"/>
        </w:rPr>
      </w:pPr>
    </w:p>
    <w:p w:rsidR="00D52DB2" w:rsidRDefault="00B557C8">
      <w:pPr>
        <w:spacing w:line="240" w:lineRule="auto"/>
        <w:ind w:left="567" w:hanging="567"/>
        <w:outlineLvl w:val="0"/>
        <w:rPr>
          <w:b/>
          <w:bCs/>
          <w:lang w:val="hu-HU"/>
        </w:rPr>
      </w:pPr>
      <w:r>
        <w:rPr>
          <w:b/>
          <w:bCs/>
          <w:lang w:val="hu-HU"/>
        </w:rPr>
        <w:t>4.1</w:t>
      </w:r>
      <w:r>
        <w:rPr>
          <w:b/>
          <w:bCs/>
          <w:lang w:val="hu-HU"/>
        </w:rPr>
        <w:tab/>
        <w:t>Terápiás javallatok</w:t>
      </w:r>
    </w:p>
    <w:p w:rsidR="00D52DB2" w:rsidRDefault="00D52DB2">
      <w:pPr>
        <w:pStyle w:val="Nincstrkz"/>
        <w:rPr>
          <w:lang w:val="hu-HU"/>
        </w:rPr>
      </w:pPr>
    </w:p>
    <w:p w:rsidR="00D52DB2" w:rsidRDefault="00B557C8">
      <w:pPr>
        <w:pStyle w:val="Nincstrkz"/>
        <w:rPr>
          <w:lang w:val="hu-HU"/>
        </w:rPr>
      </w:pPr>
      <w:r>
        <w:rPr>
          <w:lang w:val="hu-HU"/>
        </w:rPr>
        <w:t>A körmök dermatophytonok és/vagy más, terbinafinra érzékeny gombák által okozott enyhe, közepesen súlyos gombafertőzése.</w:t>
      </w:r>
    </w:p>
    <w:p w:rsidR="00D52DB2" w:rsidRDefault="00D52DB2">
      <w:pPr>
        <w:spacing w:line="240" w:lineRule="auto"/>
        <w:rPr>
          <w:lang w:val="hu-HU"/>
        </w:rPr>
      </w:pPr>
    </w:p>
    <w:p w:rsidR="00D52DB2" w:rsidRDefault="00B557C8">
      <w:pPr>
        <w:spacing w:line="240" w:lineRule="auto"/>
        <w:rPr>
          <w:lang w:val="hu-HU"/>
        </w:rPr>
      </w:pPr>
      <w:r>
        <w:rPr>
          <w:lang w:val="hu-HU"/>
        </w:rPr>
        <w:t>Az Exoterbyn</w:t>
      </w:r>
      <w:r>
        <w:rPr>
          <w:rStyle w:val="Jegyzethivatkozs"/>
        </w:rPr>
        <w:t xml:space="preserve"> </w:t>
      </w:r>
      <w:r>
        <w:rPr>
          <w:rStyle w:val="Jegyzethivatkozs"/>
          <w:sz w:val="22"/>
          <w:szCs w:val="22"/>
        </w:rPr>
        <w:t>f</w:t>
      </w:r>
      <w:r>
        <w:rPr>
          <w:lang w:val="hu-HU"/>
        </w:rPr>
        <w:t>elnőttek számára javallott.</w:t>
      </w:r>
    </w:p>
    <w:p w:rsidR="00D52DB2" w:rsidRDefault="00D52DB2">
      <w:pPr>
        <w:pStyle w:val="Nincstrkz"/>
        <w:rPr>
          <w:lang w:val="hu-HU"/>
        </w:rPr>
      </w:pPr>
    </w:p>
    <w:p w:rsidR="00D52DB2" w:rsidRDefault="00B557C8">
      <w:pPr>
        <w:pStyle w:val="Nincstrkz"/>
        <w:rPr>
          <w:lang w:val="hu-HU"/>
        </w:rPr>
      </w:pPr>
      <w:r>
        <w:rPr>
          <w:lang w:val="hu-HU"/>
        </w:rPr>
        <w:t>Figyelembe kell venni a gombaellenes szerek megfelelő alkalmazására vonatkozó hivatalos ajánlásokat.</w:t>
      </w: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4.2</w:t>
      </w:r>
      <w:r>
        <w:rPr>
          <w:b/>
          <w:bCs/>
          <w:lang w:val="hu-HU"/>
        </w:rPr>
        <w:tab/>
        <w:t>Adagolás és alkalmazás</w:t>
      </w:r>
    </w:p>
    <w:p w:rsidR="00D52DB2" w:rsidRDefault="00D52DB2">
      <w:pPr>
        <w:pStyle w:val="Nincstrkz"/>
        <w:rPr>
          <w:lang w:val="hu-HU"/>
        </w:rPr>
      </w:pPr>
    </w:p>
    <w:p w:rsidR="00D52DB2" w:rsidRDefault="00B557C8">
      <w:pPr>
        <w:pStyle w:val="Nincstrkz"/>
        <w:rPr>
          <w:lang w:val="hu-HU"/>
        </w:rPr>
      </w:pPr>
      <w:r>
        <w:rPr>
          <w:lang w:val="hu-HU"/>
        </w:rPr>
        <w:t>A gyógyszeres körömlakk a kéz- és lábkörmök kezelésére szolgál.</w:t>
      </w:r>
    </w:p>
    <w:p w:rsidR="00D52DB2" w:rsidRDefault="00D52DB2">
      <w:pPr>
        <w:pStyle w:val="Nincstrkz"/>
        <w:rPr>
          <w:u w:val="single"/>
          <w:lang w:val="hu-HU"/>
        </w:rPr>
      </w:pPr>
    </w:p>
    <w:p w:rsidR="00D52DB2" w:rsidRDefault="00B557C8">
      <w:pPr>
        <w:pStyle w:val="Nincstrkz"/>
        <w:rPr>
          <w:u w:val="single"/>
          <w:lang w:val="hu-HU"/>
        </w:rPr>
      </w:pPr>
      <w:r>
        <w:rPr>
          <w:u w:val="single"/>
          <w:lang w:val="hu-HU"/>
        </w:rPr>
        <w:t>Adagolás</w:t>
      </w:r>
    </w:p>
    <w:p w:rsidR="00D52DB2" w:rsidRDefault="00D52DB2">
      <w:pPr>
        <w:pStyle w:val="Nincstrkz"/>
        <w:rPr>
          <w:lang w:val="hu-HU"/>
        </w:rPr>
      </w:pPr>
    </w:p>
    <w:p w:rsidR="00D52DB2" w:rsidRDefault="00B557C8">
      <w:pPr>
        <w:pStyle w:val="Nincstrkz"/>
        <w:rPr>
          <w:lang w:val="hu-HU"/>
        </w:rPr>
      </w:pPr>
      <w:r>
        <w:rPr>
          <w:lang w:val="hu-HU"/>
        </w:rPr>
        <w:t>A kezdeti 4 hetes, mindennapos kezelést követően az Exoterbyn-t hetente egyszer kell felvinni az érintett körmökre.</w:t>
      </w:r>
    </w:p>
    <w:p w:rsidR="00D52DB2" w:rsidRDefault="00D52DB2">
      <w:pPr>
        <w:pStyle w:val="Nincstrkz"/>
        <w:rPr>
          <w:color w:val="000000"/>
          <w:lang w:val="hu-HU" w:eastAsia="de-DE"/>
        </w:rPr>
      </w:pPr>
    </w:p>
    <w:p w:rsidR="00D52DB2" w:rsidRDefault="00B557C8">
      <w:pPr>
        <w:pStyle w:val="Nincstrkz"/>
        <w:rPr>
          <w:lang w:val="hu-HU"/>
        </w:rPr>
      </w:pPr>
      <w:r>
        <w:rPr>
          <w:color w:val="000000"/>
          <w:lang w:val="hu-HU" w:eastAsia="de-DE"/>
        </w:rPr>
        <w:t xml:space="preserve">A kezelés időtartama a kézkörmök esetében általában körülbelül </w:t>
      </w:r>
      <w:r>
        <w:rPr>
          <w:lang w:val="hu-HU"/>
        </w:rPr>
        <w:t>6 hónap, míg a lábkörmöknél körülbelül 9–12 hónap.</w:t>
      </w:r>
    </w:p>
    <w:p w:rsidR="00D52DB2" w:rsidRDefault="00D52DB2">
      <w:pPr>
        <w:pStyle w:val="Nincstrkz"/>
        <w:rPr>
          <w:lang w:val="hu-HU"/>
        </w:rPr>
      </w:pPr>
    </w:p>
    <w:p w:rsidR="00D52DB2" w:rsidRDefault="00B557C8">
      <w:pPr>
        <w:pStyle w:val="Nincstrkz"/>
        <w:rPr>
          <w:lang w:val="hu-HU"/>
        </w:rPr>
      </w:pPr>
      <w:r>
        <w:rPr>
          <w:lang w:val="hu-HU"/>
        </w:rPr>
        <w:t>Megfontolandó kiegészítő orális terápia azokban az esetekben, amikor nem megfelelő a lokális kezelésre adott válasz a kezelési időszak végén, továbbá súlyos körömfertőzésben, amikor egy vagy több kéz- és/vagy lábköröm és/vagy a mátrix is érintett. Ezekben a helyzetekben orvosi tanácsot kell kérni.</w:t>
      </w:r>
    </w:p>
    <w:p w:rsidR="00D52DB2" w:rsidRDefault="00D52DB2">
      <w:pPr>
        <w:pStyle w:val="Nincstrkz"/>
        <w:rPr>
          <w:lang w:val="hu-HU"/>
        </w:rPr>
      </w:pPr>
    </w:p>
    <w:p w:rsidR="00D52DB2" w:rsidRDefault="00B557C8">
      <w:pPr>
        <w:pStyle w:val="Nincstrkz"/>
        <w:keepNext/>
        <w:rPr>
          <w:lang w:val="hu-HU"/>
        </w:rPr>
      </w:pPr>
      <w:r>
        <w:rPr>
          <w:lang w:val="hu-HU"/>
        </w:rPr>
        <w:lastRenderedPageBreak/>
        <w:t>Különleges betegcsoportok</w:t>
      </w:r>
    </w:p>
    <w:p w:rsidR="00D52DB2" w:rsidRDefault="00D52DB2">
      <w:pPr>
        <w:pStyle w:val="Nincstrkz"/>
        <w:keepNext/>
        <w:rPr>
          <w:lang w:val="hu-HU"/>
        </w:rPr>
      </w:pPr>
    </w:p>
    <w:p w:rsidR="00D52DB2" w:rsidRDefault="00B557C8">
      <w:pPr>
        <w:pStyle w:val="Nincstrkz"/>
        <w:keepNext/>
        <w:rPr>
          <w:i/>
          <w:lang w:val="hu-HU"/>
        </w:rPr>
      </w:pPr>
      <w:r>
        <w:rPr>
          <w:i/>
          <w:lang w:val="hu-HU"/>
        </w:rPr>
        <w:t>Gyermekek és serdülők</w:t>
      </w:r>
    </w:p>
    <w:p w:rsidR="00D52DB2" w:rsidRDefault="00D52DB2">
      <w:pPr>
        <w:pStyle w:val="Nincstrkz"/>
        <w:keepNext/>
        <w:rPr>
          <w:lang w:val="hu-HU"/>
        </w:rPr>
      </w:pPr>
    </w:p>
    <w:p w:rsidR="00D52DB2" w:rsidRDefault="00B557C8">
      <w:pPr>
        <w:pStyle w:val="Nincstrkz"/>
        <w:keepNext/>
        <w:rPr>
          <w:lang w:val="hu-HU"/>
        </w:rPr>
      </w:pPr>
      <w:r>
        <w:rPr>
          <w:lang w:val="hu-HU"/>
        </w:rPr>
        <w:t>Az Exoterbyn biztonságosságát és hatásosságát 2 év és betöltött 18. életév közötti gyermekeknél és serdülőknél még nem állapították meg. A gyermekekre és serdülőkre vonatkozó, rendelkezésre álló adatok a 4.8 és 5.1 pontokban kerülnek ismertetésre.</w:t>
      </w:r>
    </w:p>
    <w:p w:rsidR="00D52DB2" w:rsidRDefault="00D52DB2">
      <w:pPr>
        <w:pStyle w:val="Nincstrkz"/>
        <w:rPr>
          <w:u w:val="single"/>
          <w:lang w:val="hu-HU"/>
        </w:rPr>
      </w:pPr>
    </w:p>
    <w:p w:rsidR="00D52DB2" w:rsidRDefault="00B557C8">
      <w:pPr>
        <w:pStyle w:val="Nincstrkz"/>
        <w:rPr>
          <w:u w:val="single"/>
          <w:lang w:val="hu-HU"/>
        </w:rPr>
      </w:pPr>
      <w:r>
        <w:rPr>
          <w:u w:val="single"/>
          <w:lang w:val="hu-HU"/>
        </w:rPr>
        <w:t>Az alkalmazás módja</w:t>
      </w:r>
    </w:p>
    <w:p w:rsidR="00D52DB2" w:rsidRDefault="00D52DB2">
      <w:pPr>
        <w:pStyle w:val="Nincstrkz"/>
        <w:rPr>
          <w:u w:val="single"/>
          <w:lang w:val="hu-HU"/>
        </w:rPr>
      </w:pPr>
    </w:p>
    <w:p w:rsidR="00D52DB2" w:rsidRDefault="00B557C8">
      <w:pPr>
        <w:pStyle w:val="Nincstrkz"/>
        <w:rPr>
          <w:u w:val="single"/>
          <w:lang w:val="hu-HU"/>
        </w:rPr>
      </w:pPr>
      <w:r>
        <w:rPr>
          <w:u w:val="single"/>
          <w:lang w:val="hu-HU"/>
        </w:rPr>
        <w:t>Kizárólag külsőleges használatra (a körmökön történő alkalmazásra).</w:t>
      </w:r>
    </w:p>
    <w:p w:rsidR="00D52DB2" w:rsidRDefault="00D52DB2">
      <w:pPr>
        <w:pStyle w:val="Nincstrkz"/>
        <w:rPr>
          <w:lang w:val="hu-HU"/>
        </w:rPr>
      </w:pPr>
    </w:p>
    <w:p w:rsidR="00D52DB2" w:rsidRDefault="00B557C8">
      <w:pPr>
        <w:pStyle w:val="Nincstrkz"/>
        <w:rPr>
          <w:lang w:val="hu-HU"/>
        </w:rPr>
      </w:pPr>
      <w:r>
        <w:rPr>
          <w:lang w:val="hu-HU"/>
        </w:rPr>
        <w:t xml:space="preserve">Az Exoterbyn felvitele előtt el kell távolítani minden körömlakkot és egyéb kozmetikai készítményt a körmökről és a közvetlen környezetükben lévő bőrről. Az érintett területeket alaposan meg kell tisztítani és meg kell szárítani. </w:t>
      </w:r>
    </w:p>
    <w:p w:rsidR="00D52DB2" w:rsidRDefault="00D52DB2">
      <w:pPr>
        <w:pStyle w:val="Nincstrkz"/>
        <w:rPr>
          <w:lang w:val="hu-HU"/>
        </w:rPr>
      </w:pPr>
    </w:p>
    <w:p w:rsidR="00D52DB2" w:rsidRDefault="00B557C8">
      <w:pPr>
        <w:pStyle w:val="Nincstrkz"/>
        <w:rPr>
          <w:lang w:val="hu-HU"/>
        </w:rPr>
      </w:pPr>
      <w:r>
        <w:rPr>
          <w:lang w:val="hu-HU"/>
        </w:rPr>
        <w:t>Az applikátorral vékony rétegben kell felvinni az Exoterbyn-t az érintett körmök teljes felszínére, valamint egy 5 mm</w:t>
      </w:r>
      <w:r>
        <w:rPr>
          <w:lang w:val="hu-HU"/>
        </w:rPr>
        <w:noBreakHyphen/>
        <w:t xml:space="preserve">es sávban a környező bőrre, és ha lehetséges a szabad körömszél alá, valamint a köröm alatti bőrre is. Körülbelül 30 másodpercet kell várni, amíg a lakk teljesen megszárad. A kezelt körmöket legalább 6 órán keresztül nem szabad lemosni vagy nedvességnek kitenni. Ennek megfelelően a gyógyszer felvitele este, lefekvés előtt és zuhanyozás vagy fürdés után ajánlott. Ezt követően a szokásos higiénés gyakorlatot lehet követni. </w:t>
      </w:r>
    </w:p>
    <w:p w:rsidR="00D52DB2" w:rsidRDefault="00B557C8">
      <w:pPr>
        <w:pStyle w:val="Nincstrkz"/>
        <w:rPr>
          <w:lang w:val="hu-HU"/>
        </w:rPr>
      </w:pPr>
      <w:r>
        <w:rPr>
          <w:lang w:val="hu-HU"/>
        </w:rPr>
        <w:t xml:space="preserve">Az Exoterbyn eltávolításához nincs szükség semmilyen oldószerre vagy recés eszközre (pl. körömreszelőre). Elegendő vízzel alaposan lemosni a körmöket. </w:t>
      </w:r>
    </w:p>
    <w:p w:rsidR="00D52DB2" w:rsidRDefault="00D52DB2">
      <w:pPr>
        <w:pStyle w:val="Nincstrkz"/>
        <w:rPr>
          <w:lang w:val="hu-HU"/>
        </w:rPr>
      </w:pPr>
    </w:p>
    <w:p w:rsidR="00D52DB2" w:rsidRDefault="00B557C8">
      <w:pPr>
        <w:spacing w:line="240" w:lineRule="auto"/>
        <w:ind w:left="567" w:hanging="567"/>
        <w:outlineLvl w:val="0"/>
        <w:rPr>
          <w:b/>
          <w:bCs/>
          <w:lang w:val="hu-HU"/>
        </w:rPr>
      </w:pPr>
      <w:r>
        <w:rPr>
          <w:b/>
          <w:bCs/>
          <w:lang w:val="hu-HU"/>
        </w:rPr>
        <w:t>4.3</w:t>
      </w:r>
      <w:r>
        <w:rPr>
          <w:b/>
          <w:bCs/>
          <w:lang w:val="hu-HU"/>
        </w:rPr>
        <w:tab/>
        <w:t>Ellenjavallatok</w:t>
      </w:r>
    </w:p>
    <w:p w:rsidR="00D52DB2" w:rsidRDefault="00D52DB2">
      <w:pPr>
        <w:spacing w:line="240" w:lineRule="auto"/>
        <w:rPr>
          <w:lang w:val="hu-HU"/>
        </w:rPr>
      </w:pPr>
    </w:p>
    <w:p w:rsidR="00D52DB2" w:rsidRDefault="00B557C8">
      <w:pPr>
        <w:spacing w:line="240" w:lineRule="auto"/>
        <w:rPr>
          <w:lang w:val="hu-HU"/>
        </w:rPr>
      </w:pPr>
      <w:r>
        <w:rPr>
          <w:lang w:val="hu-HU"/>
        </w:rPr>
        <w:t>A készítmény hatóanyagával vagy a 6.1 pontban felsorolt bármely segédanyagával szembeni túlérzékenység.</w:t>
      </w: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4.4</w:t>
      </w:r>
      <w:r>
        <w:rPr>
          <w:b/>
          <w:bCs/>
          <w:lang w:val="hu-HU"/>
        </w:rPr>
        <w:tab/>
        <w:t>Különleges figyelmeztetések és az alkalmazással kapcsolatos óvintézkedések</w:t>
      </w:r>
    </w:p>
    <w:p w:rsidR="00D52DB2" w:rsidRDefault="00D52DB2">
      <w:pPr>
        <w:pStyle w:val="Nincstrkz"/>
        <w:rPr>
          <w:lang w:val="hu-HU"/>
        </w:rPr>
      </w:pPr>
    </w:p>
    <w:p w:rsidR="00D52DB2" w:rsidRDefault="00B557C8">
      <w:pPr>
        <w:pStyle w:val="Nincstrkz"/>
        <w:rPr>
          <w:sz w:val="28"/>
          <w:szCs w:val="28"/>
          <w:lang w:val="hu-HU"/>
        </w:rPr>
      </w:pPr>
      <w:r>
        <w:rPr>
          <w:lang w:val="hu-HU"/>
        </w:rPr>
        <w:t xml:space="preserve">Az összes, az onychomycosis lokális kezelésére alkalmazott készítményhez hasonlóan itt is megfontolandó a szisztémás kiegészítő terápia azokban az esetekben, amikor 3 vagy több köröm érintett, a körömlemez több mint felén jelentkezik elváltozás, vagy a körömmátrix is érintett, továbbá, ha olyan hajlamosító tényezők vannak jelen, mint a diabetes és immunrendszeri betegségek. </w:t>
      </w:r>
    </w:p>
    <w:p w:rsidR="00D52DB2" w:rsidRDefault="00D52DB2">
      <w:pPr>
        <w:pStyle w:val="Nincstrkz"/>
        <w:rPr>
          <w:lang w:val="hu-HU"/>
        </w:rPr>
      </w:pPr>
    </w:p>
    <w:p w:rsidR="00D52DB2" w:rsidRDefault="00B557C8">
      <w:pPr>
        <w:pStyle w:val="Nincstrkz"/>
        <w:rPr>
          <w:lang w:val="hu-HU"/>
        </w:rPr>
      </w:pPr>
      <w:r>
        <w:rPr>
          <w:lang w:val="hu-HU"/>
        </w:rPr>
        <w:t xml:space="preserve">A terápia eredményességét befolyásolhatja a betegség jelenlétének időtartama, a körömlemez érintettségének mértéke és a körömvastagság. </w:t>
      </w:r>
    </w:p>
    <w:p w:rsidR="00D52DB2" w:rsidRDefault="00D52DB2">
      <w:pPr>
        <w:pStyle w:val="Nincstrkz"/>
        <w:rPr>
          <w:lang w:val="hu-HU"/>
        </w:rPr>
      </w:pPr>
    </w:p>
    <w:p w:rsidR="00D52DB2" w:rsidRDefault="00B557C8">
      <w:pPr>
        <w:pStyle w:val="Nincstrkz"/>
        <w:rPr>
          <w:lang w:val="hu-HU"/>
        </w:rPr>
      </w:pPr>
      <w:r>
        <w:rPr>
          <w:lang w:val="hu-HU"/>
        </w:rPr>
        <w:t xml:space="preserve">Az Exoterbyn kizárólag külsőleg alkalmazható. </w:t>
      </w:r>
    </w:p>
    <w:p w:rsidR="00D52DB2" w:rsidRDefault="00D52DB2">
      <w:pPr>
        <w:pStyle w:val="Nincstrkz"/>
        <w:rPr>
          <w:lang w:val="hu-HU" w:eastAsia="de-DE"/>
        </w:rPr>
      </w:pPr>
    </w:p>
    <w:p w:rsidR="00D52DB2" w:rsidRDefault="00B557C8">
      <w:pPr>
        <w:pStyle w:val="Nincstrkz"/>
        <w:rPr>
          <w:lang w:val="hu-HU" w:eastAsia="de-DE"/>
        </w:rPr>
      </w:pPr>
      <w:r>
        <w:rPr>
          <w:lang w:val="hu-HU" w:eastAsia="de-DE"/>
        </w:rPr>
        <w:t xml:space="preserve">Azoknak a betegeknek, akiknek kórtörténetében diabetes, immunrendszeri betegség, perifériás vascularis betegség, sérült, fájdalmas vagy súlyosan károsodott körmök, olyan bőrbetegségek, mint pl. a psoriasis, vagy más, krónikus bőrbetegségek és sárga köröm szindróma (alsó végtagi oedema, légzési nehézség és a körmök sárga elszíneződése) szerepelnek, orvosi tanácsot kell kérniük a kezelés megkezdése előtt. </w:t>
      </w:r>
    </w:p>
    <w:p w:rsidR="00D52DB2" w:rsidRDefault="00D52DB2">
      <w:pPr>
        <w:pStyle w:val="Nincstrkz"/>
        <w:rPr>
          <w:lang w:val="hu-HU" w:eastAsia="de-DE"/>
        </w:rPr>
      </w:pPr>
    </w:p>
    <w:p w:rsidR="00D52DB2" w:rsidRDefault="00B557C8">
      <w:pPr>
        <w:pStyle w:val="Nincstrkz"/>
        <w:rPr>
          <w:lang w:val="hu-HU" w:eastAsia="de-DE"/>
        </w:rPr>
      </w:pPr>
      <w:r>
        <w:rPr>
          <w:lang w:val="hu-HU" w:eastAsia="de-DE"/>
        </w:rPr>
        <w:t xml:space="preserve">El kell kerülni, hogy az érintett területeken kívül a lakk bármely más testrésszel érintkezésbe kerüljön, mielőtt teljesen meg nem szárad. Irritáció előfordulhat, ha a lakk véletlenül a szembe vagy a nyálkahártyára jut. Amennyiben véletlenül ezekre a területekre kerül, folyó vízzel alaposan le kell öblíteni. </w:t>
      </w:r>
    </w:p>
    <w:p w:rsidR="00D52DB2" w:rsidRDefault="00D52DB2">
      <w:pPr>
        <w:pStyle w:val="Nincstrkz"/>
        <w:rPr>
          <w:lang w:val="hu-HU"/>
        </w:rPr>
      </w:pPr>
    </w:p>
    <w:p w:rsidR="00D52DB2" w:rsidRDefault="00B557C8">
      <w:pPr>
        <w:pStyle w:val="Nincstrkz"/>
        <w:rPr>
          <w:lang w:val="hu-HU"/>
        </w:rPr>
      </w:pPr>
      <w:r>
        <w:rPr>
          <w:lang w:val="hu-HU"/>
        </w:rPr>
        <w:t xml:space="preserve">Nem vizsgálták, hogy a körömlakk vagy egyéb, körömápolásra szolgáló kozmetikum miként befolyásolja az Exoterbyn hatásosságát. </w:t>
      </w:r>
    </w:p>
    <w:p w:rsidR="00D52DB2" w:rsidRDefault="00D52DB2">
      <w:pPr>
        <w:pStyle w:val="Nincstrkz"/>
        <w:rPr>
          <w:u w:val="single"/>
          <w:lang w:val="hu-HU"/>
        </w:rPr>
      </w:pPr>
    </w:p>
    <w:p w:rsidR="00D52DB2" w:rsidRDefault="00B557C8">
      <w:pPr>
        <w:pStyle w:val="Nincstrkz"/>
        <w:keepNext/>
        <w:rPr>
          <w:u w:val="single"/>
          <w:lang w:val="hu-HU"/>
        </w:rPr>
      </w:pPr>
      <w:r>
        <w:rPr>
          <w:u w:val="single"/>
          <w:lang w:val="hu-HU"/>
        </w:rPr>
        <w:lastRenderedPageBreak/>
        <w:t>Gyermekek és serdülők</w:t>
      </w:r>
    </w:p>
    <w:p w:rsidR="00D52DB2" w:rsidRDefault="00B557C8">
      <w:pPr>
        <w:pStyle w:val="Nincstrkz"/>
        <w:keepNext/>
        <w:rPr>
          <w:lang w:val="hu-HU"/>
        </w:rPr>
      </w:pPr>
      <w:r>
        <w:rPr>
          <w:lang w:val="hu-HU"/>
        </w:rPr>
        <w:t>Az Exoterbyn-t nem szabad gyermekeknél, és 18 éves kor alatti serdülőknél alkalmazni, mivel erre a korcsoportra vonatkozóan nincsenek klinikai tapasztalatok.</w:t>
      </w:r>
    </w:p>
    <w:p w:rsidR="00D52DB2" w:rsidRDefault="00D52DB2">
      <w:pPr>
        <w:pStyle w:val="Nincstrkz"/>
        <w:rPr>
          <w:color w:val="000000"/>
          <w:lang w:val="hu-HU"/>
        </w:rPr>
      </w:pPr>
    </w:p>
    <w:p w:rsidR="00D52DB2" w:rsidRDefault="00B557C8">
      <w:pPr>
        <w:pStyle w:val="Nincstrkz"/>
        <w:rPr>
          <w:color w:val="000000"/>
          <w:lang w:val="hu-HU"/>
        </w:rPr>
      </w:pPr>
      <w:r>
        <w:rPr>
          <w:lang w:val="hu-HU"/>
        </w:rPr>
        <w:t xml:space="preserve">Ez a készítmény 616 mg alkoholt (etanol) tartalmaz milliliterenként. Sérült bőrfelületen égő érzést okozhat. </w:t>
      </w: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4.5</w:t>
      </w:r>
      <w:r>
        <w:rPr>
          <w:b/>
          <w:bCs/>
          <w:lang w:val="hu-HU"/>
        </w:rPr>
        <w:tab/>
        <w:t>Gyógyszerkölcsönhatások és egyéb interakciók</w:t>
      </w:r>
    </w:p>
    <w:p w:rsidR="00D52DB2" w:rsidRDefault="00D52DB2">
      <w:pPr>
        <w:pStyle w:val="Nincstrkz"/>
        <w:rPr>
          <w:lang w:val="hu-HU"/>
        </w:rPr>
      </w:pPr>
    </w:p>
    <w:p w:rsidR="00D52DB2" w:rsidRDefault="00B557C8">
      <w:pPr>
        <w:pStyle w:val="Nincstrkz"/>
        <w:rPr>
          <w:lang w:val="hu-HU"/>
        </w:rPr>
      </w:pPr>
      <w:r>
        <w:rPr>
          <w:lang w:val="hu-HU"/>
        </w:rPr>
        <w:t xml:space="preserve">Interakciós vizsgálatokat nem végeztek. Ugyanakkor, a javasolt módon történő felvitel után a terbinafin szisztémás biohasznosulását elhanyagolhatónak tartják (lásd 5.2 pont), ezért szisztémás interakciók nem várhatók. </w:t>
      </w:r>
    </w:p>
    <w:p w:rsidR="00D52DB2" w:rsidRDefault="00D52DB2">
      <w:pPr>
        <w:pStyle w:val="Nincstrkz"/>
        <w:rPr>
          <w:lang w:val="hu-HU"/>
        </w:rPr>
      </w:pPr>
    </w:p>
    <w:p w:rsidR="00D52DB2" w:rsidRDefault="00B557C8">
      <w:pPr>
        <w:pStyle w:val="Nincstrkz"/>
        <w:rPr>
          <w:lang w:val="hu-HU"/>
        </w:rPr>
      </w:pPr>
      <w:r>
        <w:rPr>
          <w:lang w:val="hu-HU"/>
        </w:rPr>
        <w:t xml:space="preserve">Az érintett területeken nem szabad más gyógyszereket alkalmazni. </w:t>
      </w:r>
    </w:p>
    <w:p w:rsidR="00D52DB2" w:rsidRDefault="00D52DB2">
      <w:pPr>
        <w:pStyle w:val="Nincstrkz"/>
        <w:rPr>
          <w:lang w:val="hu-HU"/>
        </w:rPr>
      </w:pPr>
    </w:p>
    <w:p w:rsidR="00D52DB2" w:rsidRDefault="00B557C8">
      <w:pPr>
        <w:spacing w:line="240" w:lineRule="auto"/>
        <w:ind w:left="567" w:hanging="567"/>
        <w:outlineLvl w:val="0"/>
        <w:rPr>
          <w:b/>
          <w:bCs/>
          <w:lang w:val="hu-HU"/>
        </w:rPr>
      </w:pPr>
      <w:r>
        <w:rPr>
          <w:b/>
          <w:bCs/>
          <w:lang w:val="hu-HU"/>
        </w:rPr>
        <w:t>4.6</w:t>
      </w:r>
      <w:r>
        <w:rPr>
          <w:b/>
          <w:bCs/>
          <w:lang w:val="hu-HU"/>
        </w:rPr>
        <w:tab/>
        <w:t>Termékenység, terhesség és szoptatás</w:t>
      </w:r>
    </w:p>
    <w:p w:rsidR="00D52DB2" w:rsidRDefault="00D52DB2">
      <w:pPr>
        <w:pStyle w:val="Nincstrkz"/>
        <w:rPr>
          <w:lang w:val="hu-HU"/>
        </w:rPr>
      </w:pPr>
    </w:p>
    <w:p w:rsidR="00D52DB2" w:rsidRDefault="00B557C8">
      <w:pPr>
        <w:pStyle w:val="Nincstrkz"/>
        <w:rPr>
          <w:u w:val="single"/>
          <w:lang w:val="hu-HU"/>
        </w:rPr>
      </w:pPr>
      <w:r>
        <w:rPr>
          <w:u w:val="single"/>
          <w:lang w:val="hu-HU"/>
        </w:rPr>
        <w:t>Terhesség</w:t>
      </w:r>
    </w:p>
    <w:p w:rsidR="00D52DB2" w:rsidRDefault="00B557C8">
      <w:pPr>
        <w:pStyle w:val="Nincstrkz"/>
        <w:rPr>
          <w:lang w:val="hu-HU" w:eastAsia="es-ES"/>
        </w:rPr>
      </w:pPr>
      <w:r>
        <w:rPr>
          <w:lang w:val="hu-HU" w:eastAsia="es-ES"/>
        </w:rPr>
        <w:t xml:space="preserve">A terbinafin terhes nőknél történő alkalmazásáról nincsenek hozzáférhető adatok. Az állatkísérletek nem utalnak semmilyen, a terhességre gyakorolt vagy a magzat egészségét érintő káros hatásokra (lásd 5.3 pont). </w:t>
      </w:r>
    </w:p>
    <w:p w:rsidR="00D52DB2" w:rsidRDefault="00B557C8">
      <w:pPr>
        <w:pStyle w:val="Nincstrkz"/>
        <w:rPr>
          <w:lang w:val="hu-HU"/>
        </w:rPr>
      </w:pPr>
      <w:r>
        <w:rPr>
          <w:lang w:val="hu-HU" w:eastAsia="es-ES"/>
        </w:rPr>
        <w:t xml:space="preserve">Az Exoterbyn csak akkor alkalmazható terhesség alatt, ha feltétlenül szükséges. </w:t>
      </w:r>
    </w:p>
    <w:p w:rsidR="00D52DB2" w:rsidRDefault="00D52DB2">
      <w:pPr>
        <w:pStyle w:val="Nincstrkz"/>
        <w:rPr>
          <w:u w:val="single"/>
          <w:lang w:val="hu-HU"/>
        </w:rPr>
      </w:pPr>
    </w:p>
    <w:p w:rsidR="00D52DB2" w:rsidRDefault="00B557C8">
      <w:pPr>
        <w:pStyle w:val="Nincstrkz"/>
        <w:rPr>
          <w:u w:val="single"/>
          <w:lang w:val="hu-HU"/>
        </w:rPr>
      </w:pPr>
      <w:r>
        <w:rPr>
          <w:u w:val="single"/>
          <w:lang w:val="hu-HU"/>
        </w:rPr>
        <w:t>Szoptatás</w:t>
      </w:r>
    </w:p>
    <w:p w:rsidR="00D52DB2" w:rsidRDefault="00B557C8">
      <w:pPr>
        <w:pStyle w:val="Nincstrkz"/>
        <w:rPr>
          <w:lang w:val="hu-HU" w:eastAsia="es-ES"/>
        </w:rPr>
      </w:pPr>
      <w:r>
        <w:rPr>
          <w:lang w:val="hu-HU" w:eastAsia="es-ES"/>
        </w:rPr>
        <w:t xml:space="preserve">A terbinafin kiválasztódik az anyatejbe. Lokális alkalmazást követően csupán alacsony szisztémás expozíció várható. </w:t>
      </w:r>
    </w:p>
    <w:p w:rsidR="00D52DB2" w:rsidRDefault="00B557C8">
      <w:pPr>
        <w:pStyle w:val="Nincstrkz"/>
        <w:rPr>
          <w:lang w:val="hu-HU"/>
        </w:rPr>
      </w:pPr>
      <w:r>
        <w:rPr>
          <w:lang w:val="hu-HU" w:eastAsia="es-ES"/>
        </w:rPr>
        <w:t xml:space="preserve">A terbinafin kizárólag akkor alkalmazható szoptató anyánál, ha a várható előnyök felülmúlják a csecsemőt érintő kockázatot. Továbbá, nem szabad engedni, hogy a csecsemő bármilyen kezelt területtel érintkezésbe kerüljön. </w:t>
      </w:r>
    </w:p>
    <w:p w:rsidR="00D52DB2" w:rsidRDefault="00D52DB2">
      <w:pPr>
        <w:pStyle w:val="Nincstrkz"/>
        <w:rPr>
          <w:u w:val="single"/>
          <w:lang w:val="hu-HU"/>
        </w:rPr>
      </w:pPr>
    </w:p>
    <w:p w:rsidR="00D52DB2" w:rsidRDefault="00B557C8">
      <w:pPr>
        <w:pStyle w:val="Nincstrkz"/>
        <w:rPr>
          <w:u w:val="single"/>
          <w:lang w:val="hu-HU"/>
        </w:rPr>
      </w:pPr>
      <w:r>
        <w:rPr>
          <w:u w:val="single"/>
          <w:lang w:val="hu-HU"/>
        </w:rPr>
        <w:t>Termékenység</w:t>
      </w:r>
    </w:p>
    <w:p w:rsidR="00D52DB2" w:rsidRDefault="00B557C8">
      <w:pPr>
        <w:pStyle w:val="Nincstrkz"/>
        <w:rPr>
          <w:lang w:val="hu-HU"/>
        </w:rPr>
      </w:pPr>
      <w:r>
        <w:rPr>
          <w:lang w:val="hu-HU" w:eastAsia="es-ES"/>
        </w:rPr>
        <w:t xml:space="preserve">Állatkísérletekben a terbinafin semmilyen, termékenységre gyakorolt hatását nem tapasztalták (lásd 5.3 pont). </w:t>
      </w: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4.7</w:t>
      </w:r>
      <w:r>
        <w:rPr>
          <w:b/>
          <w:bCs/>
          <w:lang w:val="hu-HU"/>
        </w:rPr>
        <w:tab/>
        <w:t>A készítmény hatásai a gépjárművezetéshez és a gépek kezeléséhez szükséges képességekre</w:t>
      </w:r>
    </w:p>
    <w:p w:rsidR="00D52DB2" w:rsidRDefault="00D52DB2">
      <w:pPr>
        <w:pStyle w:val="Nincstrkz"/>
        <w:rPr>
          <w:lang w:val="hu-HU"/>
        </w:rPr>
      </w:pPr>
    </w:p>
    <w:p w:rsidR="00D52DB2" w:rsidRDefault="00B557C8">
      <w:pPr>
        <w:pStyle w:val="Nincstrkz"/>
        <w:rPr>
          <w:lang w:val="hu-HU"/>
        </w:rPr>
      </w:pPr>
      <w:r>
        <w:rPr>
          <w:lang w:val="hu-HU"/>
        </w:rPr>
        <w:t xml:space="preserve">Az </w:t>
      </w:r>
      <w:r>
        <w:rPr>
          <w:noProof/>
        </w:rPr>
        <w:t xml:space="preserve">Exoterbyn nem </w:t>
      </w:r>
      <w:r>
        <w:rPr>
          <w:lang w:val="hu-HU"/>
        </w:rPr>
        <w:t>befolyásolja a gépjárművezetéshez és a gépek kezeléséhez szükséges képességeket.</w:t>
      </w:r>
    </w:p>
    <w:p w:rsidR="00D52DB2" w:rsidRDefault="00D52DB2">
      <w:pPr>
        <w:pStyle w:val="Nincstrkz"/>
        <w:rPr>
          <w:lang w:val="hu-HU"/>
        </w:rPr>
      </w:pPr>
    </w:p>
    <w:p w:rsidR="00D52DB2" w:rsidRDefault="00B557C8">
      <w:pPr>
        <w:spacing w:line="240" w:lineRule="auto"/>
        <w:ind w:left="567" w:hanging="567"/>
        <w:outlineLvl w:val="0"/>
        <w:rPr>
          <w:b/>
          <w:bCs/>
          <w:lang w:val="hu-HU"/>
        </w:rPr>
      </w:pPr>
      <w:r>
        <w:rPr>
          <w:b/>
          <w:bCs/>
          <w:lang w:val="hu-HU"/>
        </w:rPr>
        <w:t>4.8</w:t>
      </w:r>
      <w:r>
        <w:rPr>
          <w:b/>
          <w:bCs/>
          <w:lang w:val="hu-HU"/>
        </w:rPr>
        <w:tab/>
        <w:t>Nemkívánatos hatások, mellékhatások</w:t>
      </w:r>
    </w:p>
    <w:p w:rsidR="00D52DB2" w:rsidRDefault="00D52DB2">
      <w:pPr>
        <w:spacing w:line="240" w:lineRule="auto"/>
        <w:rPr>
          <w:lang w:val="hu-HU"/>
        </w:rPr>
      </w:pPr>
    </w:p>
    <w:p w:rsidR="00D52DB2" w:rsidRDefault="00B557C8">
      <w:pPr>
        <w:pStyle w:val="Nincstrkz"/>
        <w:rPr>
          <w:u w:val="single"/>
          <w:lang w:val="hu-HU"/>
        </w:rPr>
      </w:pPr>
      <w:r>
        <w:rPr>
          <w:u w:val="single"/>
          <w:lang w:val="hu-HU"/>
        </w:rPr>
        <w:t>A biztonságossági profil összefoglalása</w:t>
      </w:r>
    </w:p>
    <w:p w:rsidR="00D52DB2" w:rsidRDefault="00D52DB2">
      <w:pPr>
        <w:pStyle w:val="Nincstrkz"/>
        <w:rPr>
          <w:lang w:val="hu-HU"/>
        </w:rPr>
      </w:pPr>
    </w:p>
    <w:p w:rsidR="00D52DB2" w:rsidRDefault="00B557C8">
      <w:pPr>
        <w:pStyle w:val="Nincstrkz"/>
        <w:rPr>
          <w:i/>
          <w:lang w:val="hu-HU"/>
        </w:rPr>
      </w:pPr>
      <w:r>
        <w:rPr>
          <w:i/>
          <w:lang w:val="hu-HU"/>
        </w:rPr>
        <w:t>Felnőttek</w:t>
      </w:r>
    </w:p>
    <w:p w:rsidR="00D52DB2" w:rsidRDefault="00D52DB2">
      <w:pPr>
        <w:pStyle w:val="Nincstrkz"/>
        <w:rPr>
          <w:lang w:val="hu-HU"/>
        </w:rPr>
      </w:pPr>
    </w:p>
    <w:p w:rsidR="00D52DB2" w:rsidRDefault="00B557C8">
      <w:pPr>
        <w:pStyle w:val="Nincstrkz"/>
        <w:rPr>
          <w:lang w:val="hu-HU"/>
        </w:rPr>
      </w:pPr>
      <w:r>
        <w:rPr>
          <w:lang w:val="hu-HU"/>
        </w:rPr>
        <w:t xml:space="preserve">Az Exoterbyn biztonságossági profilja felnőtteknél 2, enyhe és közepesen súlyos onychomycosisban szenvedő betegekkel végzett, randomizált, kettős vak, vivőanyag-kontrollos vizsgálatból (PM1331 és PM0731) származó, összevont adatokon alapul. Összesen 556 beteget kezeltek Exoterbyn-nel az ajánlott adagolás szerint, 454 beteget pedig a vivőanyaggal. A leggyakrabban jelentett gyógyszermellékhatás az alkalmazás helyén jelentkező erythema (0,9% az Exoterbyn-karon; a vivőanyag-karon nem jelentették erythema eseteit). Az erythema minden esetben enyhe és átmeneti volt. </w:t>
      </w:r>
    </w:p>
    <w:p w:rsidR="00D52DB2" w:rsidRDefault="00D52DB2">
      <w:pPr>
        <w:pStyle w:val="Nincstrkz"/>
        <w:rPr>
          <w:u w:val="single"/>
          <w:lang w:val="hu-HU"/>
        </w:rPr>
      </w:pPr>
    </w:p>
    <w:p w:rsidR="00D52DB2" w:rsidRDefault="00B557C8">
      <w:pPr>
        <w:pStyle w:val="Nincstrkz"/>
        <w:rPr>
          <w:u w:val="single"/>
          <w:lang w:val="hu-HU"/>
        </w:rPr>
      </w:pPr>
      <w:r>
        <w:rPr>
          <w:u w:val="single"/>
          <w:lang w:val="hu-HU"/>
        </w:rPr>
        <w:t>A mellékhatások táblázatos felsorolása</w:t>
      </w:r>
    </w:p>
    <w:p w:rsidR="00D52DB2" w:rsidRDefault="00B557C8">
      <w:pPr>
        <w:pStyle w:val="Nincstrkz"/>
        <w:rPr>
          <w:lang w:val="hu-HU"/>
        </w:rPr>
      </w:pPr>
      <w:r>
        <w:rPr>
          <w:lang w:val="hu-HU"/>
        </w:rPr>
        <w:t xml:space="preserve">Az 1. táblázat összefoglalja azokat a mellékhatásokat, amelyekről az onychomycosisban szenvedő, Exoterbyn-nel kezelt betegek beszámoltak. A gyakoriságok meghatározása: </w:t>
      </w:r>
      <w:r>
        <w:rPr>
          <w:i/>
          <w:lang w:val="hu-HU"/>
        </w:rPr>
        <w:t>nagyon gyakori</w:t>
      </w:r>
      <w:r>
        <w:rPr>
          <w:lang w:val="hu-HU"/>
        </w:rPr>
        <w:t xml:space="preserve"> (≥ 1/10); </w:t>
      </w:r>
      <w:r>
        <w:rPr>
          <w:i/>
          <w:lang w:val="hu-HU"/>
        </w:rPr>
        <w:t>gyakori</w:t>
      </w:r>
      <w:r>
        <w:rPr>
          <w:lang w:val="hu-HU"/>
        </w:rPr>
        <w:t xml:space="preserve"> (≥ 1/100 </w:t>
      </w:r>
      <w:r>
        <w:rPr>
          <w:lang w:val="hu-HU"/>
        </w:rPr>
        <w:noBreakHyphen/>
        <w:t xml:space="preserve"> &lt; 1/10); </w:t>
      </w:r>
      <w:r>
        <w:rPr>
          <w:i/>
          <w:lang w:val="hu-HU"/>
        </w:rPr>
        <w:t>nem gyakori</w:t>
      </w:r>
      <w:r>
        <w:rPr>
          <w:lang w:val="hu-HU"/>
        </w:rPr>
        <w:t xml:space="preserve"> (≥ 1/1000 </w:t>
      </w:r>
      <w:r>
        <w:rPr>
          <w:lang w:val="hu-HU"/>
        </w:rPr>
        <w:noBreakHyphen/>
        <w:t xml:space="preserve"> &lt; 1/100); </w:t>
      </w:r>
      <w:r>
        <w:rPr>
          <w:i/>
          <w:lang w:val="hu-HU"/>
        </w:rPr>
        <w:t xml:space="preserve">ritka </w:t>
      </w:r>
      <w:r>
        <w:rPr>
          <w:lang w:val="hu-HU"/>
        </w:rPr>
        <w:t>(≥ 1/10 000 </w:t>
      </w:r>
      <w:r>
        <w:rPr>
          <w:lang w:val="hu-HU"/>
        </w:rPr>
        <w:noBreakHyphen/>
        <w:t xml:space="preserve"> &lt; 1/1000); </w:t>
      </w:r>
      <w:r>
        <w:rPr>
          <w:i/>
          <w:lang w:val="hu-HU"/>
        </w:rPr>
        <w:t>nagyon ritka</w:t>
      </w:r>
      <w:r>
        <w:rPr>
          <w:lang w:val="hu-HU"/>
        </w:rPr>
        <w:t xml:space="preserve"> (&lt; 1/10 000); </w:t>
      </w:r>
      <w:r>
        <w:rPr>
          <w:i/>
          <w:lang w:val="hu-HU"/>
        </w:rPr>
        <w:t>nem ismert</w:t>
      </w:r>
      <w:r>
        <w:rPr>
          <w:lang w:val="hu-HU"/>
        </w:rPr>
        <w:t xml:space="preserve"> (a gyakoriság a rendelkezésre álló adatokból nem állapítható meg).</w:t>
      </w:r>
    </w:p>
    <w:p w:rsidR="00D52DB2" w:rsidRDefault="00D52DB2">
      <w:pPr>
        <w:pStyle w:val="Nincstrkz"/>
        <w:rPr>
          <w:lang w:val="hu-HU"/>
        </w:rPr>
      </w:pPr>
    </w:p>
    <w:tbl>
      <w:tblPr>
        <w:tblW w:w="49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1842"/>
        <w:gridCol w:w="2410"/>
      </w:tblGrid>
      <w:tr w:rsidR="00D52DB2">
        <w:trPr>
          <w:trHeight w:val="413"/>
        </w:trPr>
        <w:tc>
          <w:tcPr>
            <w:tcW w:w="5000" w:type="pct"/>
            <w:gridSpan w:val="3"/>
            <w:tcBorders>
              <w:top w:val="nil"/>
              <w:left w:val="nil"/>
              <w:right w:val="nil"/>
            </w:tcBorders>
            <w:vAlign w:val="center"/>
          </w:tcPr>
          <w:p w:rsidR="00D52DB2" w:rsidRDefault="00B557C8">
            <w:pPr>
              <w:pStyle w:val="Nincstrkz"/>
              <w:keepNext/>
              <w:tabs>
                <w:tab w:val="clear" w:pos="567"/>
              </w:tabs>
              <w:rPr>
                <w:b/>
                <w:bCs/>
                <w:lang w:val="hu-HU"/>
              </w:rPr>
            </w:pPr>
            <w:r>
              <w:rPr>
                <w:b/>
                <w:bCs/>
                <w:lang w:val="hu-HU"/>
              </w:rPr>
              <w:t>1. táblázat: Az onychomycosisban szenvedő, Exoterbyn-nel kezelt betegeknél jelentkező mellékhatások</w:t>
            </w:r>
          </w:p>
        </w:tc>
      </w:tr>
      <w:tr w:rsidR="00D52DB2">
        <w:tc>
          <w:tcPr>
            <w:tcW w:w="2620" w:type="pct"/>
          </w:tcPr>
          <w:p w:rsidR="00D52DB2" w:rsidRDefault="00B557C8">
            <w:pPr>
              <w:pStyle w:val="Nincstrkz"/>
              <w:keepNext/>
              <w:rPr>
                <w:b/>
                <w:bCs/>
                <w:lang w:val="hu-HU"/>
              </w:rPr>
            </w:pPr>
            <w:r>
              <w:rPr>
                <w:b/>
                <w:bCs/>
                <w:lang w:val="hu-HU"/>
              </w:rPr>
              <w:t>Szervrendszer</w:t>
            </w:r>
          </w:p>
        </w:tc>
        <w:tc>
          <w:tcPr>
            <w:tcW w:w="1031" w:type="pct"/>
          </w:tcPr>
          <w:p w:rsidR="00D52DB2" w:rsidRDefault="00B557C8">
            <w:pPr>
              <w:pStyle w:val="Nincstrkz"/>
              <w:keepNext/>
              <w:rPr>
                <w:b/>
                <w:bCs/>
                <w:lang w:val="hu-HU"/>
              </w:rPr>
            </w:pPr>
            <w:r>
              <w:rPr>
                <w:b/>
                <w:bCs/>
                <w:lang w:val="hu-HU"/>
              </w:rPr>
              <w:t xml:space="preserve">Gyakoriság </w:t>
            </w:r>
          </w:p>
        </w:tc>
        <w:tc>
          <w:tcPr>
            <w:tcW w:w="1350" w:type="pct"/>
          </w:tcPr>
          <w:p w:rsidR="00D52DB2" w:rsidRDefault="00B557C8">
            <w:pPr>
              <w:pStyle w:val="Nincstrkz"/>
              <w:keepNext/>
              <w:rPr>
                <w:b/>
                <w:bCs/>
                <w:lang w:val="hu-HU"/>
              </w:rPr>
            </w:pPr>
            <w:r>
              <w:rPr>
                <w:b/>
                <w:bCs/>
                <w:lang w:val="hu-HU"/>
              </w:rPr>
              <w:t>Preferált kifejezés</w:t>
            </w:r>
          </w:p>
        </w:tc>
      </w:tr>
      <w:tr w:rsidR="00D52DB2">
        <w:trPr>
          <w:trHeight w:val="332"/>
        </w:trPr>
        <w:tc>
          <w:tcPr>
            <w:tcW w:w="2620" w:type="pct"/>
          </w:tcPr>
          <w:p w:rsidR="00D52DB2" w:rsidRDefault="00B557C8">
            <w:pPr>
              <w:pStyle w:val="Nincstrkz"/>
              <w:keepNext/>
              <w:rPr>
                <w:lang w:val="hu-HU"/>
              </w:rPr>
            </w:pPr>
            <w:r>
              <w:rPr>
                <w:lang w:val="hu-HU"/>
              </w:rPr>
              <w:t>A bőr és a bőr alatti szövet betegségei és tünetei</w:t>
            </w:r>
          </w:p>
        </w:tc>
        <w:tc>
          <w:tcPr>
            <w:tcW w:w="1031" w:type="pct"/>
          </w:tcPr>
          <w:p w:rsidR="00D52DB2" w:rsidRDefault="00B557C8">
            <w:pPr>
              <w:pStyle w:val="Nincstrkz"/>
              <w:keepNext/>
              <w:rPr>
                <w:lang w:val="hu-HU"/>
              </w:rPr>
            </w:pPr>
            <w:r>
              <w:rPr>
                <w:lang w:val="hu-HU"/>
              </w:rPr>
              <w:t>Nem gyakori</w:t>
            </w:r>
          </w:p>
        </w:tc>
        <w:tc>
          <w:tcPr>
            <w:tcW w:w="1350" w:type="pct"/>
          </w:tcPr>
          <w:p w:rsidR="00D52DB2" w:rsidRDefault="00B557C8">
            <w:pPr>
              <w:pStyle w:val="Nincstrkz"/>
              <w:keepNext/>
              <w:rPr>
                <w:lang w:val="hu-HU"/>
              </w:rPr>
            </w:pPr>
            <w:r>
              <w:rPr>
                <w:lang w:val="hu-HU"/>
              </w:rPr>
              <w:t>erythema,</w:t>
            </w:r>
          </w:p>
          <w:p w:rsidR="00D52DB2" w:rsidRDefault="00B557C8">
            <w:pPr>
              <w:pStyle w:val="Nincstrkz"/>
              <w:keepNext/>
              <w:rPr>
                <w:lang w:val="hu-HU"/>
              </w:rPr>
            </w:pPr>
            <w:r>
              <w:rPr>
                <w:lang w:val="hu-HU"/>
              </w:rPr>
              <w:t>bőrirritáció</w:t>
            </w:r>
          </w:p>
        </w:tc>
      </w:tr>
    </w:tbl>
    <w:p w:rsidR="00D52DB2" w:rsidRDefault="00D52DB2">
      <w:pPr>
        <w:pStyle w:val="Nincstrkz"/>
        <w:widowControl w:val="0"/>
        <w:rPr>
          <w:lang w:val="hu-HU"/>
        </w:rPr>
      </w:pPr>
    </w:p>
    <w:p w:rsidR="00D52DB2" w:rsidRDefault="00B557C8">
      <w:pPr>
        <w:pStyle w:val="Nincstrkz"/>
        <w:keepNext/>
        <w:rPr>
          <w:i/>
          <w:lang w:val="hu-HU"/>
        </w:rPr>
      </w:pPr>
      <w:r>
        <w:rPr>
          <w:i/>
          <w:lang w:val="hu-HU"/>
        </w:rPr>
        <w:t>Gyermekek és serdülők</w:t>
      </w:r>
    </w:p>
    <w:p w:rsidR="00D52DB2" w:rsidRDefault="00B557C8">
      <w:pPr>
        <w:pStyle w:val="Nincstrkz"/>
        <w:keepNext/>
        <w:rPr>
          <w:lang w:val="hu-HU"/>
        </w:rPr>
      </w:pPr>
      <w:r>
        <w:rPr>
          <w:lang w:val="hu-HU"/>
        </w:rPr>
        <w:t>Az Exoterbyn biztonságosságát 20, enyhe és közepesen súlyos onychomycosisban szenvedő, 2</w:t>
      </w:r>
      <w:r>
        <w:rPr>
          <w:lang w:val="hu-HU"/>
        </w:rPr>
        <w:noBreakHyphen/>
        <w:t>17 éves kor közötti gyermek, illetve serdülő betegnél vizsgálták, akik egy nyílt elrendezésű, III. fázisú vizsgálatban (PM Ped</w:t>
      </w:r>
      <w:r>
        <w:rPr>
          <w:lang w:val="hu-HU"/>
        </w:rPr>
        <w:noBreakHyphen/>
        <w:t>004) vettek részt. A gyermek és serdülő betegeknél leggyakrabban jelentett gyógyszermellékhatás az alkalmazás helyére lokalizálódó bőrirritáció volt, amit tizenhat, 2 </w:t>
      </w:r>
      <w:r>
        <w:rPr>
          <w:lang w:val="hu-HU"/>
        </w:rPr>
        <w:noBreakHyphen/>
        <w:t> 11 éves korú gyermek közül 3</w:t>
      </w:r>
      <w:r>
        <w:rPr>
          <w:lang w:val="hu-HU"/>
        </w:rPr>
        <w:noBreakHyphen/>
        <w:t>nál (18,8%) tapasztaltak. A négy, 12 </w:t>
      </w:r>
      <w:r>
        <w:rPr>
          <w:lang w:val="hu-HU"/>
        </w:rPr>
        <w:noBreakHyphen/>
        <w:t> 17 év közötti gyermeknél és serdülőnél nem jelentettek nemkívánatos eseményeket. Gyermekeknél a bőrirritáció esetei enyhék és átmenetiek voltak.</w:t>
      </w:r>
    </w:p>
    <w:p w:rsidR="00D52DB2" w:rsidRDefault="00D52DB2">
      <w:pPr>
        <w:pStyle w:val="Nincstrkz"/>
        <w:rPr>
          <w:u w:val="single"/>
          <w:lang w:val="hu-HU"/>
        </w:rPr>
      </w:pPr>
    </w:p>
    <w:p w:rsidR="00D52DB2" w:rsidRDefault="00B557C8">
      <w:pPr>
        <w:spacing w:line="240" w:lineRule="auto"/>
        <w:rPr>
          <w:u w:val="single"/>
          <w:lang w:val="hu-HU"/>
        </w:rPr>
      </w:pPr>
      <w:r>
        <w:rPr>
          <w:u w:val="single"/>
          <w:lang w:val="hu-HU"/>
        </w:rPr>
        <w:t>Feltételezett mellékhatások bejelentése</w:t>
      </w:r>
    </w:p>
    <w:p w:rsidR="00D52DB2" w:rsidRDefault="00B557C8">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w:t>
      </w:r>
    </w:p>
    <w:p w:rsidR="00D52DB2" w:rsidRDefault="00B557C8">
      <w:pPr>
        <w:spacing w:line="240" w:lineRule="auto"/>
        <w:rPr>
          <w:lang w:val="hu-HU"/>
        </w:rPr>
      </w:pPr>
      <w:r>
        <w:rPr>
          <w:lang w:val="hu-HU"/>
        </w:rPr>
        <w:t xml:space="preserve">Az egészségügyi szakembereket kérjük, hogy jelentsék be a feltételezett mellékhatásokat a hatóság részére az </w:t>
      </w:r>
      <w:hyperlink r:id="rId8" w:history="1">
        <w:r>
          <w:rPr>
            <w:rStyle w:val="Hiperhivatkozs1"/>
            <w:highlight w:val="lightGray"/>
            <w:lang w:val="hu-HU"/>
          </w:rPr>
          <w:t>V. függelékben</w:t>
        </w:r>
      </w:hyperlink>
      <w:r>
        <w:rPr>
          <w:highlight w:val="lightGray"/>
          <w:lang w:val="hu-HU"/>
        </w:rPr>
        <w:t xml:space="preserve"> található elérhetőségek valamelyikén keresztül</w:t>
      </w:r>
      <w:r>
        <w:rPr>
          <w:color w:val="008000"/>
          <w:lang w:val="hu-HU"/>
        </w:rPr>
        <w:t>.</w:t>
      </w: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4.9</w:t>
      </w:r>
      <w:r>
        <w:rPr>
          <w:b/>
          <w:bCs/>
          <w:lang w:val="hu-HU"/>
        </w:rPr>
        <w:tab/>
        <w:t>Túladagolás</w:t>
      </w:r>
    </w:p>
    <w:p w:rsidR="00D52DB2" w:rsidRDefault="00D52DB2">
      <w:pPr>
        <w:pStyle w:val="Nincstrkz"/>
        <w:rPr>
          <w:lang w:val="hu-HU"/>
        </w:rPr>
      </w:pPr>
    </w:p>
    <w:p w:rsidR="00D52DB2" w:rsidRDefault="00B557C8">
      <w:pPr>
        <w:pStyle w:val="Nincstrkz"/>
        <w:rPr>
          <w:lang w:val="hu-HU"/>
        </w:rPr>
      </w:pPr>
      <w:r>
        <w:rPr>
          <w:lang w:val="hu-HU"/>
        </w:rPr>
        <w:t xml:space="preserve">Az alkalmazás módjából adódóan a túladagolás nagyon valószínűtlen. Az Exoterbyn lokális felvitelét követően nem várható a túladagolás szisztémás jeleinek kialakulása. Amennyiben a gyógyszert véletlenül lenyelik, megfelelő tüneti kezelést kell indítani. </w:t>
      </w:r>
    </w:p>
    <w:p w:rsidR="00D52DB2" w:rsidRDefault="00D52DB2">
      <w:pPr>
        <w:pStyle w:val="Nincstrkz"/>
        <w:rPr>
          <w:lang w:val="hu-HU"/>
        </w:rPr>
      </w:pPr>
    </w:p>
    <w:p w:rsidR="00D52DB2" w:rsidRDefault="00D52DB2">
      <w:pPr>
        <w:spacing w:line="240" w:lineRule="auto"/>
        <w:ind w:left="567" w:hanging="567"/>
        <w:outlineLvl w:val="0"/>
        <w:rPr>
          <w:lang w:val="hu-HU"/>
        </w:rPr>
      </w:pPr>
    </w:p>
    <w:p w:rsidR="00D52DB2" w:rsidRDefault="00B557C8">
      <w:pPr>
        <w:spacing w:line="240" w:lineRule="auto"/>
        <w:ind w:left="567" w:hanging="567"/>
        <w:outlineLvl w:val="0"/>
        <w:rPr>
          <w:b/>
          <w:bCs/>
          <w:lang w:val="hu-HU"/>
        </w:rPr>
      </w:pPr>
      <w:r>
        <w:rPr>
          <w:b/>
          <w:bCs/>
          <w:lang w:val="hu-HU"/>
        </w:rPr>
        <w:t>5.</w:t>
      </w:r>
      <w:r>
        <w:rPr>
          <w:b/>
          <w:bCs/>
          <w:lang w:val="hu-HU"/>
        </w:rPr>
        <w:tab/>
        <w:t>FARMAKOLÓGIAI TULAJDONSÁGOK</w:t>
      </w:r>
    </w:p>
    <w:p w:rsidR="00D52DB2" w:rsidRDefault="00D52DB2">
      <w:pPr>
        <w:spacing w:line="240" w:lineRule="auto"/>
        <w:ind w:left="567" w:hanging="567"/>
        <w:outlineLvl w:val="0"/>
        <w:rPr>
          <w:lang w:val="hu-HU"/>
        </w:rPr>
      </w:pPr>
    </w:p>
    <w:p w:rsidR="00D52DB2" w:rsidRDefault="00B557C8">
      <w:pPr>
        <w:spacing w:line="240" w:lineRule="auto"/>
        <w:ind w:left="567" w:hanging="567"/>
        <w:outlineLvl w:val="0"/>
        <w:rPr>
          <w:b/>
          <w:bCs/>
          <w:lang w:val="hu-HU"/>
        </w:rPr>
      </w:pPr>
      <w:r>
        <w:rPr>
          <w:b/>
          <w:bCs/>
          <w:lang w:val="hu-HU"/>
        </w:rPr>
        <w:t>5.1</w:t>
      </w:r>
      <w:r>
        <w:rPr>
          <w:b/>
          <w:bCs/>
          <w:lang w:val="hu-HU"/>
        </w:rPr>
        <w:tab/>
        <w:t>Farmakodinámiás tulajdonságok</w:t>
      </w:r>
    </w:p>
    <w:p w:rsidR="00D52DB2" w:rsidRDefault="00D52DB2">
      <w:pPr>
        <w:spacing w:line="240" w:lineRule="auto"/>
        <w:rPr>
          <w:lang w:val="hu-HU"/>
        </w:rPr>
      </w:pPr>
    </w:p>
    <w:p w:rsidR="00D52DB2" w:rsidRDefault="00B557C8">
      <w:pPr>
        <w:spacing w:line="240" w:lineRule="auto"/>
        <w:rPr>
          <w:lang w:val="hu-HU"/>
        </w:rPr>
      </w:pPr>
      <w:r>
        <w:rPr>
          <w:lang w:val="hu-HU"/>
        </w:rPr>
        <w:t>Farmakoterápiás csoport: Gombaellenes szerek bőrgyógyászati alkalmazásra; egyéb, lokális alkalmazású gombaellenes szerek.</w:t>
      </w:r>
    </w:p>
    <w:p w:rsidR="00D52DB2" w:rsidRDefault="00D52DB2">
      <w:pPr>
        <w:pStyle w:val="Nincstrkz"/>
        <w:rPr>
          <w:lang w:val="hu-HU"/>
        </w:rPr>
      </w:pPr>
    </w:p>
    <w:p w:rsidR="00D52DB2" w:rsidRDefault="00B557C8">
      <w:pPr>
        <w:pStyle w:val="Nincstrkz"/>
        <w:rPr>
          <w:lang w:val="hu-HU"/>
        </w:rPr>
      </w:pPr>
      <w:r>
        <w:rPr>
          <w:lang w:val="hu-HU"/>
        </w:rPr>
        <w:t xml:space="preserve">ATC kód: </w:t>
      </w:r>
      <w:r>
        <w:t>D01AE15</w:t>
      </w:r>
    </w:p>
    <w:p w:rsidR="00D52DB2" w:rsidRDefault="00D52DB2">
      <w:pPr>
        <w:pStyle w:val="Nincstrkz"/>
        <w:rPr>
          <w:u w:val="single"/>
          <w:lang w:val="hu-HU"/>
        </w:rPr>
      </w:pPr>
    </w:p>
    <w:p w:rsidR="00D52DB2" w:rsidRDefault="00B557C8">
      <w:pPr>
        <w:pStyle w:val="Nincstrkz"/>
        <w:rPr>
          <w:u w:val="single"/>
          <w:lang w:val="hu-HU"/>
        </w:rPr>
      </w:pPr>
      <w:r>
        <w:rPr>
          <w:u w:val="single"/>
          <w:lang w:val="hu-HU"/>
        </w:rPr>
        <w:t>Hatásmechanizmus</w:t>
      </w:r>
    </w:p>
    <w:p w:rsidR="00D52DB2" w:rsidRDefault="00D52DB2">
      <w:pPr>
        <w:pStyle w:val="Nincstrkz"/>
        <w:rPr>
          <w:lang w:val="hu-HU"/>
        </w:rPr>
      </w:pPr>
    </w:p>
    <w:p w:rsidR="00D52DB2" w:rsidRDefault="00B557C8">
      <w:pPr>
        <w:pStyle w:val="Nincstrkz"/>
        <w:rPr>
          <w:rFonts w:eastAsia="Calibri"/>
          <w:lang w:val="hu-HU"/>
        </w:rPr>
      </w:pPr>
      <w:r>
        <w:rPr>
          <w:lang w:val="hu-HU"/>
        </w:rPr>
        <w:t xml:space="preserve">Az Exoterbyn a terbinafin egy eredeti, szabadalmaztatott gyógyszerformája, amelyben </w:t>
      </w:r>
      <w:r>
        <w:rPr>
          <w:rFonts w:eastAsia="Calibri"/>
          <w:lang w:val="hu-HU"/>
        </w:rPr>
        <w:t>hidroxipropil</w:t>
      </w:r>
      <w:r>
        <w:rPr>
          <w:rFonts w:eastAsia="Calibri"/>
          <w:lang w:val="hu-HU"/>
        </w:rPr>
        <w:noBreakHyphen/>
        <w:t xml:space="preserve">kitozán juttatja a </w:t>
      </w:r>
      <w:r>
        <w:rPr>
          <w:lang w:val="hu-HU"/>
        </w:rPr>
        <w:t>hatóanyagot a körmökre</w:t>
      </w:r>
      <w:r>
        <w:rPr>
          <w:rFonts w:eastAsia="Calibri"/>
          <w:lang w:val="hu-HU"/>
        </w:rPr>
        <w:t xml:space="preserve">. </w:t>
      </w:r>
    </w:p>
    <w:p w:rsidR="00D52DB2" w:rsidRDefault="00D52DB2">
      <w:pPr>
        <w:pStyle w:val="Nincstrkz"/>
        <w:rPr>
          <w:lang w:val="hu-HU"/>
        </w:rPr>
      </w:pPr>
    </w:p>
    <w:p w:rsidR="00D52DB2" w:rsidRDefault="00B557C8">
      <w:pPr>
        <w:rPr>
          <w:lang w:val="hu-HU"/>
        </w:rPr>
      </w:pPr>
      <w:r>
        <w:rPr>
          <w:lang w:val="hu-HU"/>
        </w:rPr>
        <w:t xml:space="preserve">A terbinafin egy gombás fertőzés elleni, széles hatásspektrumú allilamin-származék, amely hatékony a dermatophytonok, mint a Trichophyton (pl. </w:t>
      </w:r>
      <w:r>
        <w:rPr>
          <w:i/>
          <w:lang w:val="hu-HU"/>
        </w:rPr>
        <w:t>T. rubrum, T. mentagrophytes, T. verrucosum, T. violaceum</w:t>
      </w:r>
      <w:r>
        <w:rPr>
          <w:lang w:val="hu-HU"/>
        </w:rPr>
        <w:t xml:space="preserve">), </w:t>
      </w:r>
      <w:r>
        <w:rPr>
          <w:i/>
          <w:lang w:val="hu-HU"/>
        </w:rPr>
        <w:t>Microsporum</w:t>
      </w:r>
      <w:r>
        <w:rPr>
          <w:lang w:val="hu-HU"/>
        </w:rPr>
        <w:t xml:space="preserve"> </w:t>
      </w:r>
      <w:r>
        <w:rPr>
          <w:i/>
          <w:lang w:val="hu-HU"/>
        </w:rPr>
        <w:t>canis</w:t>
      </w:r>
      <w:r>
        <w:rPr>
          <w:lang w:val="hu-HU"/>
        </w:rPr>
        <w:t xml:space="preserve">, és </w:t>
      </w:r>
      <w:r>
        <w:rPr>
          <w:i/>
          <w:lang w:val="hu-HU"/>
        </w:rPr>
        <w:t>Epidermophyton floccosum</w:t>
      </w:r>
      <w:r>
        <w:rPr>
          <w:lang w:val="hu-HU"/>
        </w:rPr>
        <w:t xml:space="preserve"> által okozott gombás fertőzésekben. A terbinafin már alacsony koncentrációban fungicid hatású a dermatophytonokkal és penészgombákkal szemben. Sarjadzógombák elleni aktivitása – a fajtól függően – fungicid (pl. </w:t>
      </w:r>
      <w:r>
        <w:rPr>
          <w:i/>
          <w:lang w:val="hu-HU"/>
        </w:rPr>
        <w:t xml:space="preserve">Pityrosporum orbiculare, </w:t>
      </w:r>
      <w:r>
        <w:rPr>
          <w:lang w:val="hu-HU"/>
        </w:rPr>
        <w:t>más néven</w:t>
      </w:r>
      <w:r>
        <w:rPr>
          <w:i/>
          <w:lang w:val="hu-HU"/>
        </w:rPr>
        <w:t xml:space="preserve"> Malassezia furfur</w:t>
      </w:r>
      <w:r>
        <w:rPr>
          <w:lang w:val="hu-HU"/>
        </w:rPr>
        <w:t>) vagy fungisztatikus.</w:t>
      </w:r>
    </w:p>
    <w:p w:rsidR="00D52DB2" w:rsidRDefault="00D52DB2">
      <w:pPr>
        <w:rPr>
          <w:lang w:val="hu-HU"/>
        </w:rPr>
      </w:pPr>
    </w:p>
    <w:p w:rsidR="00D52DB2" w:rsidRDefault="00B557C8">
      <w:pPr>
        <w:rPr>
          <w:lang w:val="hu-HU"/>
        </w:rPr>
      </w:pPr>
      <w:r>
        <w:rPr>
          <w:lang w:val="hu-HU"/>
        </w:rPr>
        <w:t>A terbinafin specifikusan a gombák szterol</w:t>
      </w:r>
      <w:r>
        <w:rPr>
          <w:lang w:val="hu-HU"/>
        </w:rPr>
        <w:noBreakHyphen/>
        <w:t>bioszintézisének korai fázisát gátolja. Ez az ergoszterol hiányához, valamint a szkvalének intracelluláris felhalmozódásához vezet, ami a gombasejtek pusztulását okozza. A terbinafin a szkvalén</w:t>
      </w:r>
      <w:r>
        <w:rPr>
          <w:lang w:val="hu-HU"/>
        </w:rPr>
        <w:noBreakHyphen/>
        <w:t>epoxidázt gátolja a gomba sejtmembránjában.</w:t>
      </w:r>
    </w:p>
    <w:p w:rsidR="00D52DB2" w:rsidRDefault="00B557C8">
      <w:pPr>
        <w:rPr>
          <w:lang w:val="hu-HU"/>
        </w:rPr>
      </w:pPr>
      <w:r>
        <w:rPr>
          <w:lang w:val="hu-HU"/>
        </w:rPr>
        <w:t>A szkvalén-epoxidáz enzim nem kapcsolódik a citokróm P450</w:t>
      </w:r>
      <w:r>
        <w:rPr>
          <w:lang w:val="hu-HU"/>
        </w:rPr>
        <w:noBreakHyphen/>
        <w:t>rendszerhez.</w:t>
      </w:r>
    </w:p>
    <w:p w:rsidR="00D52DB2" w:rsidRDefault="00B557C8">
      <w:pPr>
        <w:pStyle w:val="Nincstrkz"/>
        <w:rPr>
          <w:rFonts w:eastAsia="Calibri"/>
          <w:lang w:val="hu-HU"/>
        </w:rPr>
      </w:pPr>
      <w:r>
        <w:rPr>
          <w:lang w:val="hu-HU"/>
        </w:rPr>
        <w:t xml:space="preserve">A terbinafin nem befolyásolja a hormonok és egyéb vegyületek metabolizmusát. </w:t>
      </w:r>
    </w:p>
    <w:p w:rsidR="00D52DB2" w:rsidRDefault="00D52DB2">
      <w:pPr>
        <w:pStyle w:val="Nincstrkz"/>
        <w:rPr>
          <w:rFonts w:eastAsia="Calibri"/>
          <w:u w:val="single"/>
          <w:lang w:val="hu-HU"/>
        </w:rPr>
      </w:pPr>
    </w:p>
    <w:p w:rsidR="00D52DB2" w:rsidRDefault="00B557C8">
      <w:pPr>
        <w:pStyle w:val="Nincstrkz"/>
        <w:keepNext/>
        <w:rPr>
          <w:rFonts w:eastAsia="Calibri"/>
          <w:u w:val="single"/>
          <w:lang w:val="hu-HU"/>
        </w:rPr>
      </w:pPr>
      <w:r>
        <w:rPr>
          <w:rFonts w:eastAsia="Calibri"/>
          <w:u w:val="single"/>
          <w:lang w:val="hu-HU"/>
        </w:rPr>
        <w:t>A klinikai vizsgálatokból származó információk:</w:t>
      </w:r>
    </w:p>
    <w:p w:rsidR="00D52DB2" w:rsidRDefault="00D52DB2">
      <w:pPr>
        <w:pStyle w:val="Nincstrkz"/>
        <w:keepNext/>
        <w:rPr>
          <w:u w:val="single"/>
          <w:lang w:val="hu-HU"/>
        </w:rPr>
      </w:pPr>
    </w:p>
    <w:p w:rsidR="00D52DB2" w:rsidRDefault="00B557C8">
      <w:pPr>
        <w:pStyle w:val="Nincstrkz"/>
        <w:keepNext/>
        <w:rPr>
          <w:u w:val="single"/>
          <w:lang w:val="hu-HU"/>
        </w:rPr>
      </w:pPr>
      <w:r>
        <w:rPr>
          <w:u w:val="single"/>
          <w:lang w:val="hu-HU"/>
        </w:rPr>
        <w:t>Klinikai hatásosság</w:t>
      </w:r>
    </w:p>
    <w:p w:rsidR="00D52DB2" w:rsidRDefault="00D52DB2">
      <w:pPr>
        <w:pStyle w:val="Nincstrkz"/>
        <w:rPr>
          <w:i/>
          <w:lang w:val="hu-HU"/>
        </w:rPr>
      </w:pPr>
    </w:p>
    <w:p w:rsidR="00D52DB2" w:rsidRDefault="00B557C8">
      <w:pPr>
        <w:pStyle w:val="Nincstrkz"/>
        <w:rPr>
          <w:i/>
          <w:lang w:val="hu-HU"/>
        </w:rPr>
      </w:pPr>
      <w:r>
        <w:rPr>
          <w:i/>
          <w:lang w:val="hu-HU"/>
        </w:rPr>
        <w:t>Felnőtt populáció</w:t>
      </w:r>
    </w:p>
    <w:p w:rsidR="00D52DB2" w:rsidRDefault="00D52DB2">
      <w:pPr>
        <w:pStyle w:val="Nincstrkz"/>
        <w:rPr>
          <w:rFonts w:eastAsia="Calibri"/>
          <w:i/>
          <w:u w:val="single"/>
          <w:lang w:val="hu-HU"/>
        </w:rPr>
      </w:pPr>
      <w:bookmarkStart w:id="1" w:name="_Toc3527619"/>
      <w:bookmarkStart w:id="2" w:name="_Toc3535521"/>
      <w:bookmarkStart w:id="3" w:name="_Toc3574682"/>
      <w:bookmarkStart w:id="4" w:name="_Toc3542899"/>
      <w:bookmarkStart w:id="5" w:name="_Toc3802186"/>
    </w:p>
    <w:p w:rsidR="00D52DB2" w:rsidRDefault="00B557C8">
      <w:pPr>
        <w:pStyle w:val="Nincstrkz"/>
        <w:rPr>
          <w:rFonts w:eastAsia="Calibri"/>
          <w:i/>
          <w:u w:val="single"/>
          <w:lang w:val="hu-HU"/>
        </w:rPr>
      </w:pPr>
      <w:r>
        <w:rPr>
          <w:rFonts w:eastAsia="Calibri"/>
          <w:i/>
          <w:u w:val="single"/>
          <w:lang w:val="hu-HU"/>
        </w:rPr>
        <w:t>PM1331 vizsgálat</w:t>
      </w:r>
    </w:p>
    <w:p w:rsidR="00D52DB2" w:rsidRDefault="00B557C8">
      <w:pPr>
        <w:pStyle w:val="Nincstrkz"/>
        <w:rPr>
          <w:rFonts w:eastAsia="Calibri"/>
          <w:lang w:val="hu-HU"/>
        </w:rPr>
      </w:pPr>
      <w:r>
        <w:rPr>
          <w:i/>
          <w:lang w:val="hu-HU"/>
        </w:rPr>
        <w:t>Enyhe vagy közepesen súlyos onychomycosis:</w:t>
      </w:r>
      <w:r>
        <w:rPr>
          <w:lang w:val="hu-HU"/>
        </w:rPr>
        <w:t xml:space="preserve"> Az </w:t>
      </w:r>
      <w:r>
        <w:rPr>
          <w:rFonts w:eastAsia="Calibri"/>
          <w:lang w:val="hu-HU"/>
        </w:rPr>
        <w:t xml:space="preserve">PM1331 vizsgálat egy </w:t>
      </w:r>
      <w:r>
        <w:rPr>
          <w:lang w:val="hu-HU"/>
        </w:rPr>
        <w:t>randomizált, kettős vak, vivőanyag- és aktív referencia-kontrollos, III. fázisú vizsgálat, az Exoterbyn</w:t>
      </w:r>
      <w:r>
        <w:rPr>
          <w:lang w:val="hu-HU"/>
        </w:rPr>
        <w:noBreakHyphen/>
        <w:t>kezelést hasonlította össze az aktív referenciaként alkalmazott lokális vivőanyaggal, valamint 5%</w:t>
      </w:r>
      <w:r>
        <w:rPr>
          <w:lang w:val="hu-HU"/>
        </w:rPr>
        <w:noBreakHyphen/>
        <w:t xml:space="preserve">os </w:t>
      </w:r>
      <w:r>
        <w:rPr>
          <w:rFonts w:eastAsia="Calibri"/>
          <w:lang w:val="hu-HU"/>
        </w:rPr>
        <w:t xml:space="preserve">amorolfinnal. </w:t>
      </w:r>
      <w:r>
        <w:rPr>
          <w:lang w:val="hu-HU"/>
        </w:rPr>
        <w:t>Az Exoterbyn-t vagy a vivőanyagot az első 4 héten át naponta egyszer, majd további 44 hétig hetente egyszer, összességében tehát 48 héten keresztül alkalmazták. Az a</w:t>
      </w:r>
      <w:r>
        <w:rPr>
          <w:rFonts w:eastAsia="Calibri"/>
          <w:lang w:val="hu-HU"/>
        </w:rPr>
        <w:t>morolfint 48 héten keresztül, hetente egyszer alkalmazták, és eltérő termékkarakterisztikája, valamint eltávolításának módja miatt nyílt elrendezésben vizsgálták.</w:t>
      </w:r>
    </w:p>
    <w:p w:rsidR="00D52DB2" w:rsidRDefault="00D52DB2">
      <w:pPr>
        <w:pStyle w:val="Nincstrkz"/>
        <w:rPr>
          <w:rFonts w:eastAsia="Calibri"/>
          <w:lang w:val="hu-HU"/>
        </w:rPr>
      </w:pPr>
    </w:p>
    <w:p w:rsidR="00D52DB2" w:rsidRDefault="00B557C8">
      <w:pPr>
        <w:pStyle w:val="Nincstrkz"/>
        <w:rPr>
          <w:rFonts w:eastAsia="Calibri"/>
          <w:lang w:val="hu-HU"/>
        </w:rPr>
      </w:pPr>
      <w:r>
        <w:rPr>
          <w:rFonts w:eastAsia="Calibri"/>
          <w:lang w:val="hu-HU"/>
        </w:rPr>
        <w:t xml:space="preserve">Összesen 953 beteget randomizáltak és láttak el vizsgálati gyógyszerrel (beválasztás szerinti populáció): 406 beteg került az </w:t>
      </w:r>
      <w:r>
        <w:rPr>
          <w:lang w:val="hu-HU"/>
        </w:rPr>
        <w:t>Exoterbyn</w:t>
      </w:r>
      <w:r>
        <w:rPr>
          <w:lang w:val="hu-HU"/>
        </w:rPr>
        <w:noBreakHyphen/>
        <w:t>karra,</w:t>
      </w:r>
      <w:r>
        <w:rPr>
          <w:rFonts w:eastAsia="Calibri"/>
          <w:lang w:val="hu-HU"/>
        </w:rPr>
        <w:t xml:space="preserve"> 410 a vivőanyag karra, és 137 az aktív referencia anyag (5%-os amorolfin) karra. </w:t>
      </w:r>
    </w:p>
    <w:p w:rsidR="00D52DB2" w:rsidRDefault="00D52DB2">
      <w:pPr>
        <w:pStyle w:val="Nincstrkz"/>
        <w:rPr>
          <w:rFonts w:eastAsia="Calibri"/>
          <w:lang w:val="hu-HU"/>
        </w:rPr>
      </w:pPr>
    </w:p>
    <w:p w:rsidR="00D52DB2" w:rsidRDefault="00B557C8">
      <w:pPr>
        <w:pStyle w:val="Nincstrkz"/>
        <w:rPr>
          <w:rFonts w:cs="Arial"/>
          <w:spacing w:val="5"/>
          <w:lang w:val="hu-HU"/>
        </w:rPr>
      </w:pPr>
      <w:r>
        <w:rPr>
          <w:rFonts w:eastAsia="Calibri"/>
          <w:lang w:val="hu-HU"/>
        </w:rPr>
        <w:t>A hatásossági végpontokat az utánkövetés végén (60. hét) értékelték. Minden értékelést egy kijelölt nagylábujj körmön végeztek el. A hatásossági végpontok közé az alábbiak tartoztak</w:t>
      </w:r>
      <w:r>
        <w:rPr>
          <w:rFonts w:cs="Arial"/>
          <w:spacing w:val="5"/>
          <w:lang w:val="hu-HU"/>
        </w:rPr>
        <w:t>:</w:t>
      </w:r>
    </w:p>
    <w:p w:rsidR="00D52DB2" w:rsidRDefault="00B557C8">
      <w:pPr>
        <w:pStyle w:val="Nincstrkz"/>
        <w:numPr>
          <w:ilvl w:val="0"/>
          <w:numId w:val="1"/>
        </w:numPr>
        <w:ind w:left="567" w:hanging="567"/>
        <w:rPr>
          <w:rFonts w:eastAsia="Calibri"/>
          <w:lang w:val="hu-HU"/>
        </w:rPr>
      </w:pPr>
      <w:r>
        <w:rPr>
          <w:rFonts w:eastAsia="Calibri"/>
          <w:i/>
          <w:lang w:val="hu-HU"/>
        </w:rPr>
        <w:t>Teljes gyógyulási arány</w:t>
      </w:r>
      <w:r>
        <w:rPr>
          <w:rFonts w:eastAsia="Calibri"/>
          <w:lang w:val="hu-HU"/>
        </w:rPr>
        <w:t>: Ez negatív KOH mikroszkópos eredményből, negatív dermatophyta tenyésztésből és reziduális klinikai tünet hiányából (a köröm teljesen tiszta) tevődött össze.</w:t>
      </w:r>
    </w:p>
    <w:p w:rsidR="00D52DB2" w:rsidRDefault="00B557C8">
      <w:pPr>
        <w:pStyle w:val="Nincstrkz"/>
        <w:numPr>
          <w:ilvl w:val="0"/>
          <w:numId w:val="1"/>
        </w:numPr>
        <w:ind w:left="567" w:hanging="567"/>
        <w:rPr>
          <w:rFonts w:eastAsia="Calibri"/>
          <w:lang w:val="hu-HU"/>
        </w:rPr>
      </w:pPr>
      <w:r>
        <w:rPr>
          <w:rFonts w:eastAsia="Calibri"/>
          <w:i/>
          <w:lang w:val="hu-HU"/>
        </w:rPr>
        <w:t>Válaszadók aránya</w:t>
      </w:r>
      <w:r>
        <w:rPr>
          <w:rFonts w:eastAsia="Calibri"/>
          <w:lang w:val="hu-HU"/>
        </w:rPr>
        <w:t>:</w:t>
      </w:r>
      <w:r>
        <w:rPr>
          <w:lang w:val="hu-HU"/>
        </w:rPr>
        <w:t xml:space="preserve"> </w:t>
      </w:r>
      <w:r>
        <w:rPr>
          <w:rFonts w:eastAsia="Calibri"/>
          <w:lang w:val="hu-HU"/>
        </w:rPr>
        <w:t xml:space="preserve">Ez negatív KOH mikroszkópos eredményből, negatív dermatophyta tenyésztésből és </w:t>
      </w:r>
      <w:r>
        <w:rPr>
          <w:rFonts w:cs="Arial"/>
          <w:lang w:val="hu-HU"/>
        </w:rPr>
        <w:t>≤ 10%</w:t>
      </w:r>
      <w:r>
        <w:rPr>
          <w:rFonts w:cs="Arial"/>
          <w:lang w:val="hu-HU"/>
        </w:rPr>
        <w:noBreakHyphen/>
        <w:t xml:space="preserve">os </w:t>
      </w:r>
      <w:r>
        <w:rPr>
          <w:rFonts w:eastAsia="Calibri"/>
          <w:lang w:val="hu-HU"/>
        </w:rPr>
        <w:t xml:space="preserve">reziduális érintettségből tevődött össze. </w:t>
      </w:r>
    </w:p>
    <w:p w:rsidR="00D52DB2" w:rsidRDefault="00B557C8">
      <w:pPr>
        <w:pStyle w:val="Nincstrkz"/>
        <w:numPr>
          <w:ilvl w:val="0"/>
          <w:numId w:val="1"/>
        </w:numPr>
        <w:ind w:left="567" w:hanging="567"/>
        <w:rPr>
          <w:lang w:val="hu-HU"/>
        </w:rPr>
      </w:pPr>
      <w:r>
        <w:rPr>
          <w:rFonts w:eastAsia="Calibri"/>
          <w:i/>
          <w:lang w:val="hu-HU"/>
        </w:rPr>
        <w:t>Mikológiai gyógyulási arány</w:t>
      </w:r>
      <w:r>
        <w:rPr>
          <w:lang w:val="hu-HU"/>
        </w:rPr>
        <w:t xml:space="preserve">: </w:t>
      </w:r>
      <w:r>
        <w:rPr>
          <w:rFonts w:eastAsia="Calibri"/>
          <w:lang w:val="hu-HU"/>
        </w:rPr>
        <w:t>Ez negatív KOH mikroszkópos eredményből, és negatív dermatophyta tenyésztésből tevődött össze</w:t>
      </w:r>
      <w:r>
        <w:rPr>
          <w:rFonts w:cs="Arial"/>
          <w:lang w:val="hu-HU"/>
        </w:rPr>
        <w:t>.</w:t>
      </w:r>
    </w:p>
    <w:p w:rsidR="00D52DB2" w:rsidRDefault="00D52DB2">
      <w:pPr>
        <w:pStyle w:val="Nincstrkz"/>
        <w:rPr>
          <w:lang w:val="hu-HU"/>
        </w:rPr>
      </w:pPr>
    </w:p>
    <w:p w:rsidR="00D52DB2" w:rsidRDefault="00B557C8">
      <w:pPr>
        <w:pStyle w:val="Nincstrkz"/>
        <w:rPr>
          <w:lang w:val="hu-HU"/>
        </w:rPr>
      </w:pPr>
      <w:r>
        <w:rPr>
          <w:lang w:val="hu-HU"/>
        </w:rPr>
        <w:t xml:space="preserve">A 2. táblázat az elsődleges és a kulcsfontosságú másodlagos hatásossági végpontokat foglalja össze. </w:t>
      </w:r>
    </w:p>
    <w:p w:rsidR="00D52DB2" w:rsidRDefault="00D52DB2">
      <w:pPr>
        <w:pStyle w:val="Nincstrkz"/>
        <w:rPr>
          <w:lang w:val="hu-HU"/>
        </w:rPr>
      </w:pPr>
    </w:p>
    <w:p w:rsidR="00D52DB2" w:rsidRDefault="00B557C8">
      <w:pPr>
        <w:pStyle w:val="Nincstrkz"/>
        <w:tabs>
          <w:tab w:val="clear" w:pos="567"/>
          <w:tab w:val="left" w:pos="1276"/>
        </w:tabs>
        <w:ind w:left="1276" w:hanging="1276"/>
        <w:rPr>
          <w:lang w:val="hu-HU"/>
        </w:rPr>
      </w:pPr>
      <w:r>
        <w:rPr>
          <w:b/>
          <w:bCs/>
          <w:lang w:val="hu-HU"/>
        </w:rPr>
        <w:t>2. táblázat:</w:t>
      </w:r>
      <w:r>
        <w:rPr>
          <w:b/>
          <w:bCs/>
          <w:lang w:val="hu-HU"/>
        </w:rPr>
        <w:tab/>
        <w:t>PM1331: Elsődleges és kulcsfontosságú másodlagos hatásossági végpontok a 60. héten (ITT populáció)</w:t>
      </w: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1559"/>
        <w:gridCol w:w="1426"/>
        <w:gridCol w:w="1268"/>
        <w:gridCol w:w="1849"/>
        <w:gridCol w:w="1695"/>
      </w:tblGrid>
      <w:tr w:rsidR="00D52DB2">
        <w:tc>
          <w:tcPr>
            <w:tcW w:w="703" w:type="pct"/>
            <w:vMerge w:val="restart"/>
            <w:vAlign w:val="bottom"/>
          </w:tcPr>
          <w:p w:rsidR="00D52DB2" w:rsidRDefault="00B557C8">
            <w:pPr>
              <w:pStyle w:val="HeadTab"/>
              <w:keepNext/>
              <w:spacing w:after="0"/>
              <w:jc w:val="both"/>
              <w:rPr>
                <w:sz w:val="22"/>
                <w:szCs w:val="22"/>
                <w:lang w:val="hu-HU"/>
              </w:rPr>
            </w:pPr>
            <w:r>
              <w:rPr>
                <w:sz w:val="22"/>
                <w:szCs w:val="22"/>
                <w:lang w:val="hu-HU"/>
              </w:rPr>
              <w:t>Végpont</w:t>
            </w:r>
          </w:p>
        </w:tc>
        <w:tc>
          <w:tcPr>
            <w:tcW w:w="859" w:type="pct"/>
            <w:vMerge w:val="restart"/>
            <w:vAlign w:val="center"/>
          </w:tcPr>
          <w:p w:rsidR="00D52DB2" w:rsidRDefault="00B557C8">
            <w:pPr>
              <w:pStyle w:val="HeadTab"/>
              <w:keepNext/>
              <w:spacing w:after="0"/>
              <w:jc w:val="left"/>
              <w:rPr>
                <w:sz w:val="22"/>
                <w:szCs w:val="22"/>
                <w:lang w:val="hu-HU"/>
              </w:rPr>
            </w:pPr>
            <w:r>
              <w:rPr>
                <w:sz w:val="22"/>
                <w:szCs w:val="22"/>
                <w:lang w:val="hu-HU"/>
              </w:rPr>
              <w:t>Exoterbyn (N = 406)</w:t>
            </w:r>
          </w:p>
        </w:tc>
        <w:tc>
          <w:tcPr>
            <w:tcW w:w="786" w:type="pct"/>
            <w:vMerge w:val="restart"/>
            <w:vAlign w:val="center"/>
          </w:tcPr>
          <w:p w:rsidR="00D52DB2" w:rsidRDefault="00B557C8">
            <w:pPr>
              <w:pStyle w:val="HeadTab"/>
              <w:keepNext/>
              <w:spacing w:after="0"/>
              <w:jc w:val="left"/>
              <w:rPr>
                <w:sz w:val="22"/>
                <w:szCs w:val="22"/>
                <w:lang w:val="hu-HU"/>
              </w:rPr>
            </w:pPr>
            <w:r>
              <w:rPr>
                <w:sz w:val="22"/>
                <w:szCs w:val="22"/>
                <w:lang w:val="hu-HU"/>
              </w:rPr>
              <w:t>Vivőanyag</w:t>
            </w:r>
          </w:p>
          <w:p w:rsidR="00D52DB2" w:rsidRDefault="00B557C8">
            <w:pPr>
              <w:pStyle w:val="HeadTab"/>
              <w:keepNext/>
              <w:spacing w:after="0"/>
              <w:jc w:val="left"/>
              <w:rPr>
                <w:sz w:val="22"/>
                <w:szCs w:val="22"/>
                <w:lang w:val="hu-HU"/>
              </w:rPr>
            </w:pPr>
            <w:r>
              <w:rPr>
                <w:sz w:val="22"/>
                <w:szCs w:val="22"/>
                <w:lang w:val="hu-HU"/>
              </w:rPr>
              <w:t>(N = 410)</w:t>
            </w:r>
          </w:p>
        </w:tc>
        <w:tc>
          <w:tcPr>
            <w:tcW w:w="699" w:type="pct"/>
            <w:vMerge w:val="restart"/>
            <w:vAlign w:val="center"/>
          </w:tcPr>
          <w:p w:rsidR="00D52DB2" w:rsidRDefault="00B557C8">
            <w:pPr>
              <w:pStyle w:val="HeadTab"/>
              <w:keepNext/>
              <w:spacing w:after="0"/>
              <w:jc w:val="left"/>
              <w:rPr>
                <w:sz w:val="22"/>
                <w:szCs w:val="22"/>
                <w:lang w:val="hu-HU"/>
              </w:rPr>
            </w:pPr>
            <w:r>
              <w:rPr>
                <w:sz w:val="22"/>
                <w:szCs w:val="22"/>
                <w:lang w:val="hu-HU"/>
              </w:rPr>
              <w:t>Amorolfin</w:t>
            </w:r>
          </w:p>
          <w:p w:rsidR="00D52DB2" w:rsidRDefault="00B557C8">
            <w:pPr>
              <w:pStyle w:val="HeadTab"/>
              <w:keepNext/>
              <w:spacing w:after="0"/>
              <w:jc w:val="left"/>
              <w:rPr>
                <w:sz w:val="22"/>
                <w:szCs w:val="22"/>
                <w:lang w:val="hu-HU"/>
              </w:rPr>
            </w:pPr>
            <w:r>
              <w:rPr>
                <w:sz w:val="22"/>
                <w:szCs w:val="22"/>
                <w:lang w:val="hu-HU"/>
              </w:rPr>
              <w:t>(N = 137)</w:t>
            </w:r>
          </w:p>
        </w:tc>
        <w:tc>
          <w:tcPr>
            <w:tcW w:w="1952" w:type="pct"/>
            <w:gridSpan w:val="2"/>
            <w:vAlign w:val="center"/>
          </w:tcPr>
          <w:p w:rsidR="00D52DB2" w:rsidRDefault="00B557C8">
            <w:pPr>
              <w:pStyle w:val="HeadTab"/>
              <w:keepNext/>
              <w:spacing w:after="0"/>
              <w:jc w:val="left"/>
              <w:rPr>
                <w:sz w:val="22"/>
                <w:szCs w:val="22"/>
                <w:lang w:val="hu-HU"/>
              </w:rPr>
            </w:pPr>
            <w:r>
              <w:rPr>
                <w:sz w:val="22"/>
                <w:szCs w:val="22"/>
                <w:lang w:val="hu-HU"/>
              </w:rPr>
              <w:t>Esélyhányados (95%-os CI)</w:t>
            </w:r>
          </w:p>
        </w:tc>
      </w:tr>
      <w:tr w:rsidR="00D52DB2">
        <w:tc>
          <w:tcPr>
            <w:tcW w:w="1275" w:type="dxa"/>
            <w:vMerge/>
          </w:tcPr>
          <w:p w:rsidR="00D52DB2" w:rsidRDefault="00D52DB2">
            <w:pPr>
              <w:pStyle w:val="HeadTab"/>
              <w:keepNext/>
              <w:spacing w:after="0"/>
              <w:jc w:val="both"/>
              <w:rPr>
                <w:sz w:val="22"/>
                <w:szCs w:val="22"/>
                <w:lang w:val="hu-HU"/>
              </w:rPr>
            </w:pPr>
          </w:p>
        </w:tc>
        <w:tc>
          <w:tcPr>
            <w:tcW w:w="1559" w:type="dxa"/>
            <w:vMerge/>
          </w:tcPr>
          <w:p w:rsidR="00D52DB2" w:rsidRDefault="00D52DB2">
            <w:pPr>
              <w:pStyle w:val="HeadTab"/>
              <w:keepNext/>
              <w:spacing w:after="0"/>
              <w:jc w:val="left"/>
              <w:rPr>
                <w:sz w:val="22"/>
                <w:szCs w:val="22"/>
                <w:lang w:val="hu-HU"/>
              </w:rPr>
            </w:pPr>
          </w:p>
        </w:tc>
        <w:tc>
          <w:tcPr>
            <w:tcW w:w="1426" w:type="dxa"/>
            <w:vMerge/>
          </w:tcPr>
          <w:p w:rsidR="00D52DB2" w:rsidRDefault="00D52DB2">
            <w:pPr>
              <w:pStyle w:val="HeadTab"/>
              <w:keepNext/>
              <w:spacing w:after="0"/>
              <w:jc w:val="left"/>
              <w:rPr>
                <w:sz w:val="22"/>
                <w:szCs w:val="22"/>
                <w:lang w:val="hu-HU"/>
              </w:rPr>
            </w:pPr>
          </w:p>
        </w:tc>
        <w:tc>
          <w:tcPr>
            <w:tcW w:w="1268" w:type="dxa"/>
            <w:vMerge/>
          </w:tcPr>
          <w:p w:rsidR="00D52DB2" w:rsidRDefault="00D52DB2">
            <w:pPr>
              <w:pStyle w:val="HeadTab"/>
              <w:keepNext/>
              <w:spacing w:after="0"/>
              <w:jc w:val="left"/>
              <w:rPr>
                <w:sz w:val="22"/>
                <w:szCs w:val="22"/>
                <w:lang w:val="hu-HU"/>
              </w:rPr>
            </w:pPr>
          </w:p>
        </w:tc>
        <w:tc>
          <w:tcPr>
            <w:tcW w:w="1019" w:type="pct"/>
            <w:vAlign w:val="center"/>
          </w:tcPr>
          <w:p w:rsidR="00D52DB2" w:rsidRDefault="00B557C8">
            <w:pPr>
              <w:pStyle w:val="HeadTab"/>
              <w:keepNext/>
              <w:spacing w:after="0"/>
              <w:ind w:left="-63" w:right="-73"/>
              <w:jc w:val="left"/>
              <w:rPr>
                <w:sz w:val="22"/>
                <w:szCs w:val="22"/>
                <w:lang w:val="hu-HU"/>
              </w:rPr>
            </w:pPr>
            <w:r>
              <w:rPr>
                <w:sz w:val="22"/>
                <w:szCs w:val="22"/>
                <w:lang w:val="hu-HU"/>
              </w:rPr>
              <w:t xml:space="preserve">Exoterbyn </w:t>
            </w:r>
            <w:r>
              <w:rPr>
                <w:sz w:val="22"/>
                <w:szCs w:val="22"/>
                <w:lang w:val="hu-HU"/>
              </w:rPr>
              <w:br/>
            </w:r>
            <w:r>
              <w:rPr>
                <w:i/>
                <w:sz w:val="22"/>
                <w:szCs w:val="22"/>
                <w:lang w:val="hu-HU"/>
              </w:rPr>
              <w:t>vs.</w:t>
            </w:r>
            <w:r>
              <w:rPr>
                <w:sz w:val="22"/>
                <w:szCs w:val="22"/>
                <w:lang w:val="hu-HU"/>
              </w:rPr>
              <w:t xml:space="preserve"> vivőanyag</w:t>
            </w:r>
          </w:p>
        </w:tc>
        <w:tc>
          <w:tcPr>
            <w:tcW w:w="933" w:type="pct"/>
            <w:vAlign w:val="center"/>
          </w:tcPr>
          <w:p w:rsidR="00D52DB2" w:rsidRDefault="00B557C8">
            <w:pPr>
              <w:pStyle w:val="HeadTab"/>
              <w:keepNext/>
              <w:spacing w:after="0"/>
              <w:ind w:left="-63" w:right="-73"/>
              <w:jc w:val="left"/>
              <w:rPr>
                <w:sz w:val="22"/>
                <w:szCs w:val="22"/>
                <w:lang w:val="hu-HU"/>
              </w:rPr>
            </w:pPr>
            <w:r>
              <w:rPr>
                <w:sz w:val="22"/>
                <w:szCs w:val="22"/>
                <w:lang w:val="hu-HU"/>
              </w:rPr>
              <w:t xml:space="preserve">Exoterbyn </w:t>
            </w:r>
            <w:r>
              <w:rPr>
                <w:sz w:val="22"/>
                <w:szCs w:val="22"/>
                <w:lang w:val="hu-HU"/>
              </w:rPr>
              <w:br/>
            </w:r>
            <w:r>
              <w:rPr>
                <w:i/>
                <w:sz w:val="22"/>
                <w:szCs w:val="22"/>
                <w:lang w:val="hu-HU"/>
              </w:rPr>
              <w:t>vs</w:t>
            </w:r>
            <w:r>
              <w:rPr>
                <w:sz w:val="22"/>
                <w:szCs w:val="22"/>
                <w:lang w:val="hu-HU"/>
              </w:rPr>
              <w:t>. amorolfin</w:t>
            </w:r>
          </w:p>
        </w:tc>
      </w:tr>
      <w:tr w:rsidR="00D52DB2">
        <w:tc>
          <w:tcPr>
            <w:tcW w:w="703" w:type="pct"/>
          </w:tcPr>
          <w:p w:rsidR="00D52DB2" w:rsidRDefault="00B557C8">
            <w:pPr>
              <w:pStyle w:val="BodyTab"/>
              <w:keepNext/>
              <w:spacing w:before="60"/>
              <w:rPr>
                <w:sz w:val="22"/>
                <w:szCs w:val="22"/>
                <w:lang w:val="hu-HU"/>
              </w:rPr>
            </w:pPr>
            <w:r>
              <w:rPr>
                <w:sz w:val="22"/>
                <w:szCs w:val="22"/>
                <w:lang w:val="hu-HU"/>
              </w:rPr>
              <w:t>Teljes gyógyulási arány</w:t>
            </w:r>
          </w:p>
        </w:tc>
        <w:tc>
          <w:tcPr>
            <w:tcW w:w="859" w:type="pct"/>
          </w:tcPr>
          <w:p w:rsidR="00D52DB2" w:rsidRDefault="00B557C8">
            <w:pPr>
              <w:pStyle w:val="BodyTab"/>
              <w:keepNext/>
              <w:spacing w:before="60"/>
              <w:jc w:val="both"/>
              <w:rPr>
                <w:sz w:val="22"/>
                <w:szCs w:val="22"/>
                <w:lang w:val="hu-HU"/>
              </w:rPr>
            </w:pPr>
            <w:r>
              <w:rPr>
                <w:sz w:val="22"/>
                <w:szCs w:val="22"/>
                <w:lang w:val="hu-HU"/>
              </w:rPr>
              <w:t>5,67%</w:t>
            </w:r>
          </w:p>
        </w:tc>
        <w:tc>
          <w:tcPr>
            <w:tcW w:w="786" w:type="pct"/>
          </w:tcPr>
          <w:p w:rsidR="00D52DB2" w:rsidRDefault="00B557C8">
            <w:pPr>
              <w:pStyle w:val="BodyTab"/>
              <w:keepNext/>
              <w:spacing w:before="60"/>
              <w:jc w:val="both"/>
              <w:rPr>
                <w:sz w:val="22"/>
                <w:szCs w:val="22"/>
                <w:lang w:val="hu-HU"/>
              </w:rPr>
            </w:pPr>
            <w:r>
              <w:rPr>
                <w:sz w:val="22"/>
                <w:szCs w:val="22"/>
                <w:lang w:val="hu-HU"/>
              </w:rPr>
              <w:t>2,20%</w:t>
            </w:r>
          </w:p>
        </w:tc>
        <w:tc>
          <w:tcPr>
            <w:tcW w:w="699" w:type="pct"/>
          </w:tcPr>
          <w:p w:rsidR="00D52DB2" w:rsidRDefault="00B557C8">
            <w:pPr>
              <w:pStyle w:val="BodyTab"/>
              <w:keepNext/>
              <w:spacing w:before="60"/>
              <w:jc w:val="both"/>
              <w:rPr>
                <w:sz w:val="22"/>
                <w:szCs w:val="22"/>
                <w:lang w:val="hu-HU"/>
              </w:rPr>
            </w:pPr>
            <w:r>
              <w:rPr>
                <w:sz w:val="22"/>
                <w:szCs w:val="22"/>
                <w:lang w:val="hu-HU"/>
              </w:rPr>
              <w:t>2,92%</w:t>
            </w:r>
          </w:p>
        </w:tc>
        <w:tc>
          <w:tcPr>
            <w:tcW w:w="1019" w:type="pct"/>
          </w:tcPr>
          <w:p w:rsidR="00D52DB2" w:rsidRDefault="00B557C8">
            <w:pPr>
              <w:pStyle w:val="BodyTab"/>
              <w:keepNext/>
              <w:spacing w:before="60"/>
              <w:ind w:left="-63" w:right="-73"/>
              <w:jc w:val="both"/>
              <w:rPr>
                <w:sz w:val="22"/>
                <w:szCs w:val="22"/>
                <w:lang w:val="hu-HU"/>
              </w:rPr>
            </w:pPr>
            <w:r>
              <w:rPr>
                <w:sz w:val="22"/>
                <w:szCs w:val="22"/>
                <w:lang w:val="hu-HU"/>
              </w:rPr>
              <w:t>2,68 (1,22; 5,86)*</w:t>
            </w:r>
          </w:p>
        </w:tc>
        <w:tc>
          <w:tcPr>
            <w:tcW w:w="933" w:type="pct"/>
          </w:tcPr>
          <w:p w:rsidR="00D52DB2" w:rsidRDefault="00B557C8">
            <w:pPr>
              <w:pStyle w:val="BodyTab"/>
              <w:keepNext/>
              <w:spacing w:before="60"/>
              <w:ind w:left="-63" w:right="-73"/>
              <w:jc w:val="both"/>
              <w:rPr>
                <w:sz w:val="22"/>
                <w:szCs w:val="22"/>
                <w:lang w:val="hu-HU"/>
              </w:rPr>
            </w:pPr>
            <w:r>
              <w:rPr>
                <w:sz w:val="22"/>
                <w:szCs w:val="22"/>
                <w:lang w:val="hu-HU"/>
              </w:rPr>
              <w:t>2,00 (0,68; 5,88)</w:t>
            </w:r>
          </w:p>
        </w:tc>
      </w:tr>
      <w:tr w:rsidR="00D52DB2">
        <w:tc>
          <w:tcPr>
            <w:tcW w:w="703" w:type="pct"/>
          </w:tcPr>
          <w:p w:rsidR="00D52DB2" w:rsidRDefault="00B557C8">
            <w:pPr>
              <w:pStyle w:val="BodyTab"/>
              <w:keepNext/>
              <w:spacing w:before="60"/>
              <w:rPr>
                <w:sz w:val="22"/>
                <w:szCs w:val="22"/>
                <w:lang w:val="hu-HU"/>
              </w:rPr>
            </w:pPr>
            <w:r>
              <w:rPr>
                <w:sz w:val="22"/>
                <w:szCs w:val="22"/>
                <w:lang w:val="hu-HU"/>
              </w:rPr>
              <w:t>Kezelésre reagálók aránya</w:t>
            </w:r>
          </w:p>
        </w:tc>
        <w:tc>
          <w:tcPr>
            <w:tcW w:w="859" w:type="pct"/>
          </w:tcPr>
          <w:p w:rsidR="00D52DB2" w:rsidRDefault="00B557C8">
            <w:pPr>
              <w:pStyle w:val="BodyTab"/>
              <w:keepNext/>
              <w:spacing w:before="60"/>
              <w:jc w:val="both"/>
              <w:rPr>
                <w:sz w:val="22"/>
                <w:szCs w:val="22"/>
                <w:lang w:val="hu-HU"/>
              </w:rPr>
            </w:pPr>
            <w:r>
              <w:rPr>
                <w:sz w:val="22"/>
                <w:szCs w:val="22"/>
                <w:lang w:val="hu-HU"/>
              </w:rPr>
              <w:t>6,65%</w:t>
            </w:r>
          </w:p>
        </w:tc>
        <w:tc>
          <w:tcPr>
            <w:tcW w:w="786" w:type="pct"/>
          </w:tcPr>
          <w:p w:rsidR="00D52DB2" w:rsidRDefault="00B557C8">
            <w:pPr>
              <w:pStyle w:val="BodyTab"/>
              <w:keepNext/>
              <w:spacing w:before="60"/>
              <w:jc w:val="both"/>
              <w:rPr>
                <w:sz w:val="22"/>
                <w:szCs w:val="22"/>
                <w:lang w:val="hu-HU"/>
              </w:rPr>
            </w:pPr>
            <w:r>
              <w:rPr>
                <w:sz w:val="22"/>
                <w:szCs w:val="22"/>
                <w:lang w:val="hu-HU"/>
              </w:rPr>
              <w:t>3,41%</w:t>
            </w:r>
          </w:p>
        </w:tc>
        <w:tc>
          <w:tcPr>
            <w:tcW w:w="699" w:type="pct"/>
          </w:tcPr>
          <w:p w:rsidR="00D52DB2" w:rsidRDefault="00B557C8">
            <w:pPr>
              <w:pStyle w:val="BodyTab"/>
              <w:keepNext/>
              <w:spacing w:before="60"/>
              <w:jc w:val="both"/>
              <w:rPr>
                <w:sz w:val="22"/>
                <w:szCs w:val="22"/>
                <w:lang w:val="hu-HU"/>
              </w:rPr>
            </w:pPr>
            <w:r>
              <w:rPr>
                <w:sz w:val="22"/>
                <w:szCs w:val="22"/>
                <w:lang w:val="hu-HU"/>
              </w:rPr>
              <w:t>3,65%</w:t>
            </w:r>
          </w:p>
        </w:tc>
        <w:tc>
          <w:tcPr>
            <w:tcW w:w="1019" w:type="pct"/>
          </w:tcPr>
          <w:p w:rsidR="00D52DB2" w:rsidRDefault="00B557C8">
            <w:pPr>
              <w:pStyle w:val="BodyTab"/>
              <w:keepNext/>
              <w:spacing w:before="60"/>
              <w:ind w:left="-63" w:right="-73"/>
              <w:jc w:val="both"/>
              <w:rPr>
                <w:sz w:val="22"/>
                <w:szCs w:val="22"/>
                <w:lang w:val="hu-HU"/>
              </w:rPr>
            </w:pPr>
            <w:r>
              <w:rPr>
                <w:sz w:val="22"/>
                <w:szCs w:val="22"/>
                <w:lang w:val="hu-HU"/>
              </w:rPr>
              <w:t>2,02 (1,04; 3,90)*</w:t>
            </w:r>
          </w:p>
        </w:tc>
        <w:tc>
          <w:tcPr>
            <w:tcW w:w="933" w:type="pct"/>
          </w:tcPr>
          <w:p w:rsidR="00D52DB2" w:rsidRDefault="00B557C8">
            <w:pPr>
              <w:pStyle w:val="BodyTab"/>
              <w:keepNext/>
              <w:spacing w:before="60"/>
              <w:ind w:left="-63" w:right="-73"/>
              <w:jc w:val="both"/>
              <w:rPr>
                <w:sz w:val="22"/>
                <w:szCs w:val="22"/>
                <w:lang w:val="hu-HU"/>
              </w:rPr>
            </w:pPr>
            <w:r>
              <w:rPr>
                <w:sz w:val="22"/>
                <w:szCs w:val="22"/>
                <w:lang w:val="hu-HU"/>
              </w:rPr>
              <w:t>1,88 (0,71; 4,98)</w:t>
            </w:r>
          </w:p>
        </w:tc>
      </w:tr>
      <w:tr w:rsidR="00D52DB2">
        <w:tc>
          <w:tcPr>
            <w:tcW w:w="703" w:type="pct"/>
            <w:tcBorders>
              <w:bottom w:val="single" w:sz="4" w:space="0" w:color="auto"/>
            </w:tcBorders>
          </w:tcPr>
          <w:p w:rsidR="00D52DB2" w:rsidRDefault="00B557C8">
            <w:pPr>
              <w:pStyle w:val="BodyTab"/>
              <w:spacing w:before="60"/>
              <w:rPr>
                <w:sz w:val="22"/>
                <w:szCs w:val="22"/>
                <w:lang w:val="hu-HU"/>
              </w:rPr>
            </w:pPr>
            <w:r>
              <w:rPr>
                <w:sz w:val="22"/>
                <w:szCs w:val="22"/>
                <w:lang w:val="hu-HU"/>
              </w:rPr>
              <w:t>Mikológiai gyógyulási arány</w:t>
            </w:r>
          </w:p>
        </w:tc>
        <w:tc>
          <w:tcPr>
            <w:tcW w:w="859" w:type="pct"/>
            <w:tcBorders>
              <w:bottom w:val="single" w:sz="4" w:space="0" w:color="auto"/>
            </w:tcBorders>
          </w:tcPr>
          <w:p w:rsidR="00D52DB2" w:rsidRDefault="00B557C8">
            <w:pPr>
              <w:pStyle w:val="BodyTab"/>
              <w:spacing w:before="60"/>
              <w:jc w:val="both"/>
              <w:rPr>
                <w:sz w:val="22"/>
                <w:szCs w:val="22"/>
                <w:lang w:val="hu-HU"/>
              </w:rPr>
            </w:pPr>
            <w:r>
              <w:rPr>
                <w:sz w:val="22"/>
                <w:szCs w:val="22"/>
                <w:lang w:val="hu-HU"/>
              </w:rPr>
              <w:t>20,44%</w:t>
            </w:r>
          </w:p>
        </w:tc>
        <w:tc>
          <w:tcPr>
            <w:tcW w:w="786" w:type="pct"/>
            <w:tcBorders>
              <w:bottom w:val="single" w:sz="4" w:space="0" w:color="auto"/>
            </w:tcBorders>
          </w:tcPr>
          <w:p w:rsidR="00D52DB2" w:rsidRDefault="00B557C8">
            <w:pPr>
              <w:pStyle w:val="BodyTab"/>
              <w:spacing w:before="60"/>
              <w:jc w:val="both"/>
              <w:rPr>
                <w:sz w:val="22"/>
                <w:szCs w:val="22"/>
                <w:lang w:val="hu-HU"/>
              </w:rPr>
            </w:pPr>
            <w:r>
              <w:rPr>
                <w:sz w:val="22"/>
                <w:szCs w:val="22"/>
                <w:lang w:val="hu-HU"/>
              </w:rPr>
              <w:t>12,20%</w:t>
            </w:r>
          </w:p>
        </w:tc>
        <w:tc>
          <w:tcPr>
            <w:tcW w:w="699" w:type="pct"/>
            <w:tcBorders>
              <w:bottom w:val="single" w:sz="4" w:space="0" w:color="auto"/>
            </w:tcBorders>
          </w:tcPr>
          <w:p w:rsidR="00D52DB2" w:rsidRDefault="00B557C8">
            <w:pPr>
              <w:pStyle w:val="BodyTab"/>
              <w:spacing w:before="60"/>
              <w:jc w:val="both"/>
              <w:rPr>
                <w:sz w:val="22"/>
                <w:szCs w:val="22"/>
                <w:lang w:val="hu-HU"/>
              </w:rPr>
            </w:pPr>
            <w:r>
              <w:rPr>
                <w:sz w:val="22"/>
                <w:szCs w:val="22"/>
                <w:lang w:val="hu-HU"/>
              </w:rPr>
              <w:t>18,98%</w:t>
            </w:r>
          </w:p>
        </w:tc>
        <w:tc>
          <w:tcPr>
            <w:tcW w:w="1019" w:type="pct"/>
            <w:tcBorders>
              <w:bottom w:val="single" w:sz="4" w:space="0" w:color="auto"/>
            </w:tcBorders>
          </w:tcPr>
          <w:p w:rsidR="00D52DB2" w:rsidRDefault="00B557C8">
            <w:pPr>
              <w:pStyle w:val="BodyTab"/>
              <w:spacing w:before="60"/>
              <w:ind w:left="-63" w:right="-73"/>
              <w:jc w:val="both"/>
              <w:rPr>
                <w:sz w:val="22"/>
                <w:szCs w:val="22"/>
                <w:lang w:val="hu-HU"/>
              </w:rPr>
            </w:pPr>
            <w:r>
              <w:rPr>
                <w:sz w:val="22"/>
                <w:szCs w:val="22"/>
                <w:lang w:val="hu-HU"/>
              </w:rPr>
              <w:t>1,85 (1,26; 2,71)**</w:t>
            </w:r>
          </w:p>
        </w:tc>
        <w:tc>
          <w:tcPr>
            <w:tcW w:w="933" w:type="pct"/>
            <w:tcBorders>
              <w:bottom w:val="single" w:sz="4" w:space="0" w:color="auto"/>
            </w:tcBorders>
          </w:tcPr>
          <w:p w:rsidR="00D52DB2" w:rsidRDefault="00B557C8">
            <w:pPr>
              <w:pStyle w:val="BodyTab"/>
              <w:spacing w:before="60"/>
              <w:ind w:left="-63" w:right="-73"/>
              <w:jc w:val="both"/>
              <w:rPr>
                <w:sz w:val="22"/>
                <w:szCs w:val="22"/>
                <w:lang w:val="hu-HU"/>
              </w:rPr>
            </w:pPr>
            <w:r>
              <w:rPr>
                <w:sz w:val="22"/>
                <w:szCs w:val="22"/>
                <w:lang w:val="hu-HU"/>
              </w:rPr>
              <w:t>1,10 (0,67; 1,79)</w:t>
            </w:r>
          </w:p>
        </w:tc>
      </w:tr>
      <w:tr w:rsidR="00D52DB2">
        <w:trPr>
          <w:trHeight w:val="431"/>
        </w:trPr>
        <w:tc>
          <w:tcPr>
            <w:tcW w:w="5000" w:type="pct"/>
            <w:gridSpan w:val="6"/>
            <w:tcBorders>
              <w:left w:val="nil"/>
              <w:bottom w:val="nil"/>
              <w:right w:val="nil"/>
            </w:tcBorders>
          </w:tcPr>
          <w:p w:rsidR="00D52DB2" w:rsidRDefault="00B557C8">
            <w:pPr>
              <w:pStyle w:val="Nincstrkz"/>
              <w:rPr>
                <w:sz w:val="18"/>
                <w:szCs w:val="18"/>
                <w:lang w:val="hu-HU"/>
              </w:rPr>
            </w:pPr>
            <w:r>
              <w:rPr>
                <w:sz w:val="18"/>
                <w:szCs w:val="18"/>
                <w:lang w:val="hu-HU"/>
              </w:rPr>
              <w:t xml:space="preserve">CI = konfidencia intervallum; ITT = beválasztás szerinti (Intent-to-treat). </w:t>
            </w:r>
          </w:p>
          <w:p w:rsidR="00D52DB2" w:rsidRDefault="00B557C8">
            <w:pPr>
              <w:pStyle w:val="Nincstrkz"/>
              <w:rPr>
                <w:sz w:val="18"/>
                <w:szCs w:val="18"/>
                <w:lang w:val="hu-HU"/>
              </w:rPr>
            </w:pPr>
            <w:r>
              <w:rPr>
                <w:sz w:val="18"/>
                <w:szCs w:val="18"/>
                <w:lang w:val="hu-HU"/>
              </w:rPr>
              <w:t xml:space="preserve">Logisztikus regresszió modell, amibe beletartozik a kezelésre vonatkozó faktor (a kezelés alatti utolsó megfigyelés alapján [last observation carried forward] végzett elemzés). </w:t>
            </w:r>
          </w:p>
          <w:p w:rsidR="00D52DB2" w:rsidRDefault="00B557C8">
            <w:pPr>
              <w:pStyle w:val="Nincstrkz"/>
              <w:rPr>
                <w:lang w:val="hu-HU"/>
              </w:rPr>
            </w:pPr>
            <w:r>
              <w:rPr>
                <w:sz w:val="18"/>
                <w:szCs w:val="18"/>
                <w:lang w:val="hu-HU"/>
              </w:rPr>
              <w:t>* p &lt; 0,05, ** p&lt;0,025</w:t>
            </w:r>
          </w:p>
        </w:tc>
      </w:tr>
      <w:bookmarkEnd w:id="1"/>
      <w:bookmarkEnd w:id="2"/>
      <w:bookmarkEnd w:id="3"/>
      <w:bookmarkEnd w:id="4"/>
    </w:tbl>
    <w:p w:rsidR="00D52DB2" w:rsidRDefault="00D52DB2">
      <w:pPr>
        <w:pStyle w:val="Nincstrkz"/>
        <w:rPr>
          <w:i/>
          <w:u w:val="single"/>
          <w:lang w:val="hu-HU"/>
        </w:rPr>
      </w:pPr>
    </w:p>
    <w:bookmarkEnd w:id="5"/>
    <w:p w:rsidR="00D52DB2" w:rsidRDefault="00B557C8">
      <w:pPr>
        <w:pStyle w:val="Nincstrkz"/>
        <w:rPr>
          <w:i/>
          <w:lang w:val="hu-HU"/>
        </w:rPr>
      </w:pPr>
      <w:r>
        <w:rPr>
          <w:i/>
          <w:lang w:val="hu-HU"/>
        </w:rPr>
        <w:t>Gyermekek és serdülők</w:t>
      </w:r>
    </w:p>
    <w:p w:rsidR="00D52DB2" w:rsidRDefault="00D52DB2">
      <w:pPr>
        <w:pStyle w:val="Nincstrkz"/>
        <w:rPr>
          <w:lang w:val="hu-HU"/>
        </w:rPr>
      </w:pPr>
    </w:p>
    <w:p w:rsidR="00D52DB2" w:rsidRDefault="00B557C8">
      <w:pPr>
        <w:pStyle w:val="Nincstrkz"/>
        <w:rPr>
          <w:lang w:val="hu-HU"/>
        </w:rPr>
      </w:pPr>
      <w:r>
        <w:rPr>
          <w:lang w:val="hu-HU"/>
        </w:rPr>
        <w:t xml:space="preserve">Az Exoterbyn biztonságosságát és hatásosságát 2 éves kor alatti gyermekeknél nem állapították meg. </w:t>
      </w:r>
    </w:p>
    <w:p w:rsidR="00D52DB2" w:rsidRDefault="00D52DB2">
      <w:pPr>
        <w:pStyle w:val="Nincstrkz"/>
        <w:rPr>
          <w:lang w:val="hu-HU"/>
        </w:rPr>
      </w:pPr>
    </w:p>
    <w:p w:rsidR="00D52DB2" w:rsidRDefault="00B557C8">
      <w:pPr>
        <w:pStyle w:val="Nincstrkz"/>
        <w:rPr>
          <w:lang w:val="hu-HU"/>
        </w:rPr>
      </w:pPr>
      <w:r>
        <w:rPr>
          <w:lang w:val="hu-HU"/>
        </w:rPr>
        <w:t>A 2</w:t>
      </w:r>
      <w:r>
        <w:rPr>
          <w:lang w:val="hu-HU"/>
        </w:rPr>
        <w:noBreakHyphen/>
        <w:t xml:space="preserve">17 éves korcsoportra vonatkozóan az Exoterbyn tolerálhatóságát és biztonságosságát egy multicentrikus, nyílt elrendezésű vizsgálatban értékelték, 20 gyermekgyógyászati betegnél </w:t>
      </w:r>
      <w:r>
        <w:rPr>
          <w:lang w:val="hu-HU"/>
        </w:rPr>
        <w:lastRenderedPageBreak/>
        <w:t>(16 gyermek 2</w:t>
      </w:r>
      <w:r>
        <w:rPr>
          <w:lang w:val="hu-HU"/>
        </w:rPr>
        <w:noBreakHyphen/>
        <w:t>11 éves kor közötti, 4 serdülő pedig 12</w:t>
      </w:r>
      <w:r>
        <w:rPr>
          <w:lang w:val="hu-HU"/>
        </w:rPr>
        <w:noBreakHyphen/>
        <w:t>17 éves kor közötti volt), akik a lábujj körmök enyhe és közepesen súlyos onychomycosisában szenvedtek (PM Ped</w:t>
      </w:r>
      <w:r>
        <w:rPr>
          <w:lang w:val="hu-HU"/>
        </w:rPr>
        <w:noBreakHyphen/>
        <w:t xml:space="preserve">004 vizsgálat). </w:t>
      </w:r>
    </w:p>
    <w:p w:rsidR="00D52DB2" w:rsidRDefault="00D52DB2">
      <w:pPr>
        <w:pStyle w:val="Nincstrkz"/>
        <w:rPr>
          <w:lang w:val="hu-HU"/>
        </w:rPr>
      </w:pPr>
    </w:p>
    <w:p w:rsidR="00D52DB2" w:rsidRDefault="00B557C8">
      <w:pPr>
        <w:pStyle w:val="Nincstrkz"/>
        <w:rPr>
          <w:rFonts w:eastAsia="Calibri"/>
          <w:lang w:val="hu-HU"/>
        </w:rPr>
      </w:pPr>
      <w:r>
        <w:rPr>
          <w:lang w:val="hu-HU"/>
        </w:rPr>
        <w:t xml:space="preserve">Az elsődleges végpont a lokális tolerálhatóság volt az alkalmazás helyén, a vizsgálat teljes ideje alatt. A teljes kezelési időszak alatt 3 gyermeknél 6 esetben fordult elő enyhe bőrirritáció. A bőrirritációs események rendeződtek és nem vezettek a kezelés leállításához. A hatásosság tekintetében, </w:t>
      </w:r>
      <w:r>
        <w:rPr>
          <w:rFonts w:eastAsia="Calibri"/>
          <w:lang w:val="hu-HU"/>
        </w:rPr>
        <w:t>12 gyermekből 2 (16,7%) és 4 serdülőből 2 (50%) ért el teljes gyógyulást az utánkövetés során (ITT populáció).</w:t>
      </w:r>
    </w:p>
    <w:p w:rsidR="00D52DB2" w:rsidRDefault="00D52DB2">
      <w:pPr>
        <w:pStyle w:val="Nincstrkz"/>
        <w:rPr>
          <w:lang w:val="hu-HU"/>
        </w:rPr>
      </w:pPr>
    </w:p>
    <w:p w:rsidR="00D52DB2" w:rsidRDefault="00B557C8">
      <w:pPr>
        <w:keepNext/>
        <w:spacing w:line="240" w:lineRule="auto"/>
        <w:ind w:left="567" w:hanging="567"/>
        <w:outlineLvl w:val="0"/>
        <w:rPr>
          <w:b/>
          <w:bCs/>
          <w:lang w:val="hu-HU"/>
        </w:rPr>
      </w:pPr>
      <w:r>
        <w:rPr>
          <w:b/>
          <w:bCs/>
          <w:lang w:val="hu-HU"/>
        </w:rPr>
        <w:t>5.2</w:t>
      </w:r>
      <w:r>
        <w:rPr>
          <w:b/>
          <w:bCs/>
          <w:lang w:val="hu-HU"/>
        </w:rPr>
        <w:tab/>
        <w:t>Farmakokinetikai tulajdonságok</w:t>
      </w:r>
    </w:p>
    <w:p w:rsidR="00D52DB2" w:rsidRDefault="00D52DB2">
      <w:pPr>
        <w:pStyle w:val="Nincstrkz"/>
        <w:keepNext/>
        <w:rPr>
          <w:lang w:val="hu-HU"/>
        </w:rPr>
      </w:pPr>
    </w:p>
    <w:p w:rsidR="00D52DB2" w:rsidRDefault="00B557C8">
      <w:pPr>
        <w:pStyle w:val="Nincstrkz"/>
        <w:keepNext/>
        <w:rPr>
          <w:rFonts w:eastAsia="Calibri"/>
          <w:lang w:val="hu-HU"/>
        </w:rPr>
      </w:pPr>
      <w:r>
        <w:rPr>
          <w:rFonts w:eastAsia="Calibri"/>
          <w:lang w:val="hu-HU"/>
        </w:rPr>
        <w:t>A terbinafin gyógyszeres körömlakk kimutatottan jól áthatol a keratinon. Azzal, hogy fungicid koncentrációt ér el a fertőzés helyén, a hatóanyag gátolja a szkvalén</w:t>
      </w:r>
      <w:r>
        <w:rPr>
          <w:rFonts w:eastAsia="Calibri"/>
          <w:lang w:val="hu-HU"/>
        </w:rPr>
        <w:noBreakHyphen/>
        <w:t xml:space="preserve">epoxidázt, aminek eredménye a fungisztatikus és fungicid hatás (lásd 5.1 pont). </w:t>
      </w:r>
    </w:p>
    <w:p w:rsidR="00D52DB2" w:rsidRDefault="00D52DB2">
      <w:pPr>
        <w:pStyle w:val="Nincstrkz"/>
        <w:rPr>
          <w:rFonts w:eastAsia="SimSun"/>
          <w:color w:val="000000"/>
          <w:lang w:val="hu-HU" w:eastAsia="en-GB"/>
        </w:rPr>
      </w:pPr>
    </w:p>
    <w:p w:rsidR="00D52DB2" w:rsidRDefault="00B557C8">
      <w:pPr>
        <w:pStyle w:val="Nincstrkz"/>
        <w:rPr>
          <w:rFonts w:eastAsia="Calibri"/>
          <w:lang w:val="hu-HU"/>
        </w:rPr>
      </w:pPr>
      <w:r>
        <w:rPr>
          <w:rFonts w:eastAsia="SimSun"/>
          <w:color w:val="000000"/>
          <w:lang w:val="hu-HU" w:eastAsia="en-GB"/>
        </w:rPr>
        <w:t>Mivel lokális alkalmazáskor csupán korlátozott nagyságú területet szabad kezelni, az Exoterbyn</w:t>
      </w:r>
      <w:r>
        <w:rPr>
          <w:rFonts w:eastAsia="SimSun"/>
          <w:color w:val="000000"/>
          <w:lang w:val="hu-HU" w:eastAsia="en-GB"/>
        </w:rPr>
        <w:noBreakHyphen/>
        <w:t xml:space="preserve">kezelést követően a szisztémás keringésbe jutó terbinafin mennyisége elhanyagolható. Dinamikus egyensúlyi állapotban (± standard deviáció [SD]) a terbinafin átlagos plazmakoncentrációja az Exoterbyn hetente egyszeri alkalmazása után (197 ± 134 pg/ml) több mint 3 nagyságrenddel kisebb, mint ami a terbinafin orális alkalmazását követően mérhető. Az Exoterbyn tartós (legfeljebb 52 hét) alkalmazását követően semmi nem utalt a gyógyszer szervezetben történő felhalmozódására. </w:t>
      </w:r>
    </w:p>
    <w:p w:rsidR="00D52DB2" w:rsidRDefault="00D52DB2">
      <w:pPr>
        <w:pStyle w:val="Nincstrkz"/>
        <w:rPr>
          <w:lang w:val="hu-HU"/>
        </w:rPr>
      </w:pPr>
    </w:p>
    <w:p w:rsidR="00D52DB2" w:rsidRDefault="00B557C8">
      <w:pPr>
        <w:pStyle w:val="Nincstrkz"/>
        <w:rPr>
          <w:lang w:val="hu-HU"/>
        </w:rPr>
      </w:pPr>
      <w:r>
        <w:rPr>
          <w:lang w:val="hu-HU"/>
        </w:rPr>
        <w:t xml:space="preserve">Az </w:t>
      </w:r>
      <w:r>
        <w:rPr>
          <w:rFonts w:eastAsia="SimSun"/>
          <w:color w:val="000000"/>
          <w:lang w:val="hu-HU" w:eastAsia="en-GB"/>
        </w:rPr>
        <w:t xml:space="preserve">Exoterbyn hetente egyszeri alkalmazása után </w:t>
      </w:r>
      <w:r>
        <w:rPr>
          <w:rFonts w:eastAsia="SimSun"/>
          <w:lang w:val="hu-HU"/>
        </w:rPr>
        <w:t>(</w:t>
      </w:r>
      <w:r>
        <w:rPr>
          <w:rFonts w:eastAsia="SimSun"/>
          <w:lang w:val="hu-HU" w:eastAsia="en-GB"/>
        </w:rPr>
        <w:t>9245 </w:t>
      </w:r>
      <w:r>
        <w:rPr>
          <w:lang w:val="hu-HU" w:eastAsia="en-GB"/>
        </w:rPr>
        <w:t>± 6325 </w:t>
      </w:r>
      <w:r>
        <w:rPr>
          <w:rFonts w:eastAsia="SimSun"/>
          <w:color w:val="000000"/>
          <w:lang w:val="hu-HU" w:eastAsia="en-GB"/>
        </w:rPr>
        <w:t>mikrogramm</w:t>
      </w:r>
      <w:r>
        <w:rPr>
          <w:rFonts w:eastAsia="SimSun"/>
          <w:lang w:val="hu-HU" w:eastAsia="en-GB"/>
        </w:rPr>
        <w:t>/g</w:t>
      </w:r>
      <w:r>
        <w:rPr>
          <w:rFonts w:eastAsia="SimSun"/>
          <w:lang w:val="hu-HU"/>
        </w:rPr>
        <w:t xml:space="preserve">), </w:t>
      </w:r>
      <w:r>
        <w:rPr>
          <w:rFonts w:eastAsia="SimSun"/>
          <w:color w:val="000000"/>
          <w:lang w:val="hu-HU" w:eastAsia="en-GB"/>
        </w:rPr>
        <w:t xml:space="preserve">dinamikus egyensúlyi állapotban (± SD) az </w:t>
      </w:r>
      <w:r>
        <w:rPr>
          <w:lang w:val="hu-HU"/>
        </w:rPr>
        <w:t>átlagos terbinafin-koncentráció a körömben</w:t>
      </w:r>
      <w:r>
        <w:rPr>
          <w:rFonts w:eastAsia="SimSun"/>
          <w:color w:val="000000"/>
          <w:lang w:val="hu-HU" w:eastAsia="en-GB"/>
        </w:rPr>
        <w:t xml:space="preserve"> </w:t>
      </w:r>
      <w:r>
        <w:rPr>
          <w:rFonts w:eastAsia="SimSun"/>
          <w:lang w:val="hu-HU"/>
        </w:rPr>
        <w:t>több mint 3 nagyságrenddel nagyobb (legfeljebb 11 000</w:t>
      </w:r>
      <w:r>
        <w:rPr>
          <w:rFonts w:eastAsia="SimSun"/>
          <w:lang w:val="hu-HU"/>
        </w:rPr>
        <w:noBreakHyphen/>
        <w:t xml:space="preserve">szeres) volt, mint </w:t>
      </w:r>
      <w:r>
        <w:rPr>
          <w:rFonts w:eastAsia="SimSun"/>
          <w:color w:val="000000"/>
          <w:lang w:val="hu-HU" w:eastAsia="en-GB"/>
        </w:rPr>
        <w:t xml:space="preserve">ami a terbinafin orális alkalmazását követően elérhető </w:t>
      </w:r>
      <w:r>
        <w:rPr>
          <w:lang w:val="hu-HU"/>
        </w:rPr>
        <w:t>(1,01 mikrogramm/g)</w:t>
      </w:r>
      <w:r>
        <w:rPr>
          <w:rFonts w:eastAsia="SimSun"/>
          <w:color w:val="000000"/>
          <w:lang w:val="hu-HU" w:eastAsia="en-GB"/>
        </w:rPr>
        <w:t>.</w:t>
      </w:r>
      <w:r>
        <w:rPr>
          <w:rFonts w:eastAsia="SimSun"/>
          <w:lang w:val="hu-HU"/>
        </w:rPr>
        <w:t xml:space="preserve"> Az Exoterbyn lokális alkalmazása mellett, dinamikus egyensúlyi állapotban a körömben a koncentráció szintén nagyságrendekkel volt magasabb, mint a </w:t>
      </w:r>
      <w:r>
        <w:rPr>
          <w:lang w:val="hu-HU"/>
        </w:rPr>
        <w:t>dermatophytákra vonatkozó minimális gátló koncentráció (</w:t>
      </w:r>
      <w:r>
        <w:rPr>
          <w:i/>
          <w:lang w:val="hu-HU"/>
        </w:rPr>
        <w:t>minimum inhibitory concentration</w:t>
      </w:r>
      <w:r>
        <w:rPr>
          <w:lang w:val="hu-HU"/>
        </w:rPr>
        <w:t>, MIC) (≥ 500 000 MIC).</w:t>
      </w:r>
    </w:p>
    <w:p w:rsidR="00D52DB2" w:rsidRDefault="00D52DB2">
      <w:pPr>
        <w:spacing w:line="240" w:lineRule="auto"/>
        <w:ind w:left="567" w:hanging="567"/>
        <w:outlineLvl w:val="0"/>
        <w:rPr>
          <w:lang w:val="hu-HU"/>
        </w:rPr>
      </w:pPr>
    </w:p>
    <w:p w:rsidR="00D52DB2" w:rsidRDefault="00B557C8">
      <w:pPr>
        <w:pStyle w:val="Nincstrkz"/>
        <w:rPr>
          <w:b/>
          <w:bCs/>
          <w:lang w:val="hu-HU"/>
        </w:rPr>
      </w:pPr>
      <w:r>
        <w:rPr>
          <w:b/>
          <w:bCs/>
          <w:lang w:val="hu-HU"/>
        </w:rPr>
        <w:t>5.3</w:t>
      </w:r>
      <w:r>
        <w:rPr>
          <w:b/>
          <w:bCs/>
          <w:lang w:val="hu-HU"/>
        </w:rPr>
        <w:tab/>
        <w:t>A preklinikai biztonságossági vizsgálatok eredményei</w:t>
      </w:r>
    </w:p>
    <w:p w:rsidR="00D52DB2" w:rsidRDefault="00D52DB2">
      <w:pPr>
        <w:pStyle w:val="Nincstrkz"/>
        <w:rPr>
          <w:lang w:val="hu-HU"/>
        </w:rPr>
      </w:pPr>
    </w:p>
    <w:p w:rsidR="00D52DB2" w:rsidRDefault="00B557C8">
      <w:pPr>
        <w:spacing w:line="240" w:lineRule="auto"/>
        <w:rPr>
          <w:lang w:val="hu-HU"/>
        </w:rPr>
      </w:pPr>
      <w:r>
        <w:rPr>
          <w:lang w:val="hu-HU"/>
        </w:rPr>
        <w:t>A hagyományos – farmakológiai biztonságossági, ismételt adagolású dózistoxicitási, genotoxicitási, karcinogenitási, reprodukcióra-, és fejlődésre kifejtett toxicitási – vizsgálatokból származó nem klinikai jellegű adatok azt igazolták, hogy a terbinafin orális alkalmazásakor humán vonatkozásban különleges kockázat nem várható.</w:t>
      </w:r>
    </w:p>
    <w:p w:rsidR="00D52DB2" w:rsidRDefault="00D52DB2">
      <w:pPr>
        <w:pStyle w:val="Nincstrkz"/>
        <w:rPr>
          <w:lang w:val="hu-HU"/>
        </w:rPr>
      </w:pPr>
    </w:p>
    <w:p w:rsidR="00D52DB2" w:rsidRDefault="00B557C8">
      <w:pPr>
        <w:pStyle w:val="Nincstrkz"/>
        <w:rPr>
          <w:lang w:val="hu-HU"/>
        </w:rPr>
      </w:pPr>
      <w:r>
        <w:rPr>
          <w:lang w:val="hu-HU"/>
        </w:rPr>
        <w:t xml:space="preserve">Az Exoterbyn vonatkozó, hozzáférhető preklinikai adatok a bőrt érintő minimális irritációs potenciált mutatnak. Szenzitizációs vizsgálatok kimutatták, hogy az Exoterbyn nem rendelkezik allergén potenciállal. A 10%-os Exoterbyn fototoxikus potenciálját mesterséges napfénnyel vizsgálták, és nem figyeltek meg fototoxikus hatásokat. </w:t>
      </w:r>
    </w:p>
    <w:p w:rsidR="00D52DB2" w:rsidRDefault="00D52DB2">
      <w:pPr>
        <w:pStyle w:val="Nincstrkz"/>
        <w:rPr>
          <w:lang w:val="hu-HU"/>
        </w:rPr>
      </w:pPr>
    </w:p>
    <w:p w:rsidR="00D52DB2" w:rsidRDefault="00B557C8">
      <w:pPr>
        <w:pStyle w:val="Nincstrkz"/>
        <w:rPr>
          <w:lang w:val="hu-HU"/>
        </w:rPr>
      </w:pPr>
      <w:r>
        <w:rPr>
          <w:lang w:val="hu-HU"/>
        </w:rPr>
        <w:t xml:space="preserve">Állatokkal végzett dermális (szemiokkluzív kötéssel végzett) toxicitás vizsgálatokban nem találtak gyógyszer-indukálta szisztémás hatást a 10%-os vagy 15%-os Exoterbyn esetében, ugyanakkor nem vagy csupán enyhe helyi irritáció (erythema, varasodás, hámlás) jeleit észlelték az alkalmazás helyén. </w:t>
      </w:r>
    </w:p>
    <w:p w:rsidR="00D52DB2" w:rsidRDefault="00D52DB2">
      <w:pPr>
        <w:pStyle w:val="Nincstrkz"/>
        <w:rPr>
          <w:lang w:val="hu-HU"/>
        </w:rPr>
      </w:pPr>
    </w:p>
    <w:p w:rsidR="00D52DB2" w:rsidRDefault="00B557C8">
      <w:pPr>
        <w:pStyle w:val="Nincstrkz"/>
        <w:rPr>
          <w:lang w:val="hu-HU"/>
        </w:rPr>
      </w:pPr>
      <w:r>
        <w:rPr>
          <w:lang w:val="hu-HU"/>
        </w:rPr>
        <w:t xml:space="preserve">Az Exoterbyn (5%, 10% és 15% terbinafin) mind 4 hetes, mind 9 hónapos, napi, dermális alkalmazása után a terbinafin plazmaszintjei alacsony szisztémás terbinafin-expozíciót jeleztek, kimutatható dózisfüggés nélkül. </w:t>
      </w:r>
    </w:p>
    <w:p w:rsidR="00D52DB2" w:rsidRDefault="00D52DB2">
      <w:pPr>
        <w:pStyle w:val="Nincstrkz"/>
        <w:rPr>
          <w:lang w:val="hu-HU"/>
        </w:rPr>
      </w:pPr>
    </w:p>
    <w:p w:rsidR="00D52DB2" w:rsidRDefault="00B557C8">
      <w:pPr>
        <w:pStyle w:val="Nincstrkz"/>
        <w:rPr>
          <w:lang w:val="hu-HU"/>
        </w:rPr>
      </w:pPr>
      <w:r>
        <w:rPr>
          <w:lang w:val="hu-HU"/>
        </w:rPr>
        <w:t>Környezeti kockázatbecslés vizsgálatok azt igazolták, hogy a terbinafin</w:t>
      </w:r>
      <w:r>
        <w:rPr>
          <w:lang w:val="hu-HU"/>
        </w:rPr>
        <w:noBreakHyphen/>
        <w:t xml:space="preserve">hidroklorid kockázatot jelenthet a vízi élőhelyekre. </w:t>
      </w:r>
    </w:p>
    <w:p w:rsidR="00D52DB2" w:rsidRDefault="00D52DB2">
      <w:pPr>
        <w:spacing w:line="240" w:lineRule="auto"/>
        <w:rPr>
          <w:lang w:val="hu-HU"/>
        </w:rPr>
      </w:pPr>
    </w:p>
    <w:p w:rsidR="00D52DB2" w:rsidRDefault="00D52DB2">
      <w:pPr>
        <w:spacing w:line="240" w:lineRule="auto"/>
        <w:rPr>
          <w:lang w:val="hu-HU"/>
        </w:rPr>
      </w:pPr>
    </w:p>
    <w:p w:rsidR="00D52DB2" w:rsidRDefault="00B557C8">
      <w:pPr>
        <w:keepNext/>
        <w:spacing w:line="240" w:lineRule="auto"/>
        <w:ind w:left="567" w:hanging="567"/>
        <w:outlineLvl w:val="0"/>
        <w:rPr>
          <w:b/>
          <w:bCs/>
          <w:lang w:val="hu-HU"/>
        </w:rPr>
      </w:pPr>
      <w:r>
        <w:rPr>
          <w:b/>
          <w:bCs/>
          <w:lang w:val="hu-HU"/>
        </w:rPr>
        <w:lastRenderedPageBreak/>
        <w:t>6.</w:t>
      </w:r>
      <w:r>
        <w:rPr>
          <w:b/>
          <w:bCs/>
          <w:lang w:val="hu-HU"/>
        </w:rPr>
        <w:tab/>
        <w:t>GYÓGYSZERÉSZETI JELLEMZŐK</w:t>
      </w:r>
    </w:p>
    <w:p w:rsidR="00D52DB2" w:rsidRDefault="00D52DB2">
      <w:pPr>
        <w:keepNext/>
        <w:spacing w:line="240" w:lineRule="auto"/>
        <w:ind w:left="567" w:hanging="567"/>
        <w:outlineLvl w:val="0"/>
        <w:rPr>
          <w:lang w:val="hu-HU"/>
        </w:rPr>
      </w:pPr>
    </w:p>
    <w:p w:rsidR="00D52DB2" w:rsidRDefault="00B557C8">
      <w:pPr>
        <w:keepNext/>
        <w:spacing w:line="240" w:lineRule="auto"/>
        <w:ind w:left="567" w:hanging="567"/>
        <w:outlineLvl w:val="0"/>
        <w:rPr>
          <w:b/>
          <w:bCs/>
          <w:lang w:val="hu-HU"/>
        </w:rPr>
      </w:pPr>
      <w:r>
        <w:rPr>
          <w:b/>
          <w:bCs/>
          <w:lang w:val="hu-HU"/>
        </w:rPr>
        <w:t>6.1</w:t>
      </w:r>
      <w:r>
        <w:rPr>
          <w:b/>
          <w:bCs/>
          <w:lang w:val="hu-HU"/>
        </w:rPr>
        <w:tab/>
        <w:t>Segédanyagok felsorolása</w:t>
      </w:r>
    </w:p>
    <w:p w:rsidR="00D52DB2" w:rsidRDefault="00D52DB2">
      <w:pPr>
        <w:pStyle w:val="Nincstrkz"/>
        <w:keepNext/>
        <w:rPr>
          <w:lang w:val="hu-HU"/>
        </w:rPr>
      </w:pPr>
    </w:p>
    <w:p w:rsidR="00D52DB2" w:rsidRDefault="00B557C8">
      <w:pPr>
        <w:pStyle w:val="Nincstrkz"/>
        <w:keepNext/>
        <w:rPr>
          <w:noProof/>
        </w:rPr>
      </w:pPr>
      <w:r>
        <w:rPr>
          <w:noProof/>
        </w:rPr>
        <w:t>etanol (96%-os)</w:t>
      </w:r>
    </w:p>
    <w:p w:rsidR="00D52DB2" w:rsidRDefault="00B557C8">
      <w:pPr>
        <w:pStyle w:val="Nincstrkz"/>
        <w:keepNext/>
        <w:rPr>
          <w:noProof/>
        </w:rPr>
      </w:pPr>
      <w:r>
        <w:rPr>
          <w:noProof/>
        </w:rPr>
        <w:t>hidroxipropil-kitozán</w:t>
      </w:r>
    </w:p>
    <w:p w:rsidR="00D52DB2" w:rsidRDefault="00B557C8">
      <w:pPr>
        <w:pStyle w:val="Nincstrkz"/>
        <w:rPr>
          <w:noProof/>
        </w:rPr>
      </w:pPr>
      <w:r>
        <w:rPr>
          <w:noProof/>
        </w:rPr>
        <w:t>tisztított víz</w:t>
      </w:r>
    </w:p>
    <w:p w:rsidR="00D52DB2" w:rsidRDefault="00D52DB2">
      <w:pPr>
        <w:pStyle w:val="Nincstrkz"/>
        <w:rPr>
          <w:lang w:val="hu-HU"/>
        </w:rPr>
      </w:pPr>
    </w:p>
    <w:p w:rsidR="00D52DB2" w:rsidRDefault="00B557C8">
      <w:pPr>
        <w:spacing w:line="240" w:lineRule="auto"/>
        <w:ind w:left="567" w:hanging="567"/>
        <w:outlineLvl w:val="0"/>
        <w:rPr>
          <w:b/>
          <w:bCs/>
          <w:lang w:val="hu-HU"/>
        </w:rPr>
      </w:pPr>
      <w:r>
        <w:rPr>
          <w:b/>
          <w:bCs/>
          <w:lang w:val="hu-HU"/>
        </w:rPr>
        <w:t>6.2</w:t>
      </w:r>
      <w:r>
        <w:rPr>
          <w:b/>
          <w:bCs/>
          <w:lang w:val="hu-HU"/>
        </w:rPr>
        <w:tab/>
        <w:t>Inkompatibilitások</w:t>
      </w:r>
    </w:p>
    <w:p w:rsidR="00D52DB2" w:rsidRDefault="00D52DB2">
      <w:pPr>
        <w:spacing w:line="240" w:lineRule="auto"/>
        <w:rPr>
          <w:lang w:val="hu-HU"/>
        </w:rPr>
      </w:pPr>
    </w:p>
    <w:p w:rsidR="00D52DB2" w:rsidRDefault="00B557C8">
      <w:pPr>
        <w:spacing w:line="240" w:lineRule="auto"/>
        <w:rPr>
          <w:lang w:val="hu-HU"/>
        </w:rPr>
      </w:pPr>
      <w:r>
        <w:rPr>
          <w:lang w:val="hu-HU"/>
        </w:rPr>
        <w:t>Nem értelmezhető.</w:t>
      </w: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6.3</w:t>
      </w:r>
      <w:r>
        <w:rPr>
          <w:b/>
          <w:bCs/>
          <w:lang w:val="hu-HU"/>
        </w:rPr>
        <w:tab/>
        <w:t>Felhasználhatósági időtartam</w:t>
      </w:r>
    </w:p>
    <w:p w:rsidR="00D52DB2" w:rsidRDefault="00D52DB2">
      <w:pPr>
        <w:spacing w:line="240" w:lineRule="auto"/>
        <w:rPr>
          <w:lang w:val="hu-HU"/>
        </w:rPr>
      </w:pPr>
    </w:p>
    <w:p w:rsidR="00D52DB2" w:rsidRDefault="00B557C8">
      <w:pPr>
        <w:spacing w:line="240" w:lineRule="auto"/>
        <w:rPr>
          <w:lang w:val="hu-HU"/>
        </w:rPr>
      </w:pPr>
      <w:r>
        <w:rPr>
          <w:lang w:val="hu-HU"/>
        </w:rPr>
        <w:t>3 év.</w:t>
      </w:r>
    </w:p>
    <w:p w:rsidR="00D52DB2" w:rsidRDefault="00D52DB2">
      <w:pPr>
        <w:spacing w:line="240" w:lineRule="auto"/>
        <w:rPr>
          <w:lang w:val="hu-HU"/>
        </w:rPr>
      </w:pPr>
    </w:p>
    <w:p w:rsidR="00D52DB2" w:rsidRDefault="00B557C8">
      <w:pPr>
        <w:spacing w:line="240" w:lineRule="auto"/>
        <w:rPr>
          <w:lang w:val="hu-HU"/>
        </w:rPr>
      </w:pPr>
      <w:r>
        <w:rPr>
          <w:lang w:val="hu-HU"/>
        </w:rPr>
        <w:t>Első felbontás után: 6 hónap.</w:t>
      </w: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6.4</w:t>
      </w:r>
      <w:r>
        <w:rPr>
          <w:b/>
          <w:bCs/>
          <w:lang w:val="hu-HU"/>
        </w:rPr>
        <w:tab/>
        <w:t>Különleges tárolási előírások</w:t>
      </w:r>
    </w:p>
    <w:p w:rsidR="00D52DB2" w:rsidRDefault="00D52DB2">
      <w:pPr>
        <w:spacing w:line="240" w:lineRule="auto"/>
        <w:ind w:left="567" w:hanging="567"/>
        <w:outlineLvl w:val="0"/>
        <w:rPr>
          <w:lang w:val="hu-HU"/>
        </w:rPr>
      </w:pPr>
    </w:p>
    <w:p w:rsidR="00D52DB2" w:rsidRDefault="00B557C8">
      <w:pPr>
        <w:rPr>
          <w:noProof/>
        </w:rPr>
      </w:pPr>
      <w:r>
        <w:rPr>
          <w:noProof/>
        </w:rPr>
        <w:t>Ez a gyógyszer különleges tárolási hőmérsékletet nem igényel.</w:t>
      </w:r>
    </w:p>
    <w:p w:rsidR="00D52DB2" w:rsidRDefault="00D52DB2">
      <w:pPr>
        <w:spacing w:line="240" w:lineRule="auto"/>
        <w:rPr>
          <w:lang w:val="hu-HU"/>
        </w:rPr>
      </w:pPr>
    </w:p>
    <w:p w:rsidR="00D52DB2" w:rsidRDefault="00B557C8">
      <w:pPr>
        <w:spacing w:line="240" w:lineRule="auto"/>
        <w:rPr>
          <w:lang w:val="hu-HU"/>
        </w:rPr>
      </w:pPr>
      <w:r>
        <w:rPr>
          <w:lang w:val="hu-HU"/>
        </w:rPr>
        <w:t xml:space="preserve">A készítmény kiszáradásának elkerülése érdekében </w:t>
      </w:r>
      <w:r>
        <w:rPr>
          <w:noProof/>
        </w:rPr>
        <w:t>a palackot tartsa jól lezárva</w:t>
      </w:r>
      <w:r>
        <w:rPr>
          <w:lang w:val="hu-HU"/>
        </w:rPr>
        <w:t>.</w:t>
      </w:r>
    </w:p>
    <w:p w:rsidR="00D52DB2" w:rsidRDefault="00D52DB2">
      <w:pPr>
        <w:spacing w:line="240" w:lineRule="auto"/>
        <w:rPr>
          <w:lang w:val="hu-HU"/>
        </w:rPr>
      </w:pPr>
    </w:p>
    <w:p w:rsidR="00D52DB2" w:rsidRDefault="00B557C8">
      <w:pPr>
        <w:spacing w:line="240" w:lineRule="auto"/>
        <w:rPr>
          <w:noProof/>
        </w:rPr>
      </w:pPr>
      <w:r>
        <w:rPr>
          <w:noProof/>
        </w:rPr>
        <w:t>A fénytől való védelem érdekében</w:t>
      </w:r>
      <w:r>
        <w:rPr>
          <w:lang w:val="hu-HU"/>
        </w:rPr>
        <w:t xml:space="preserve"> </w:t>
      </w:r>
      <w:r>
        <w:rPr>
          <w:noProof/>
        </w:rPr>
        <w:t>a palackot tartsa a dobozában.</w:t>
      </w:r>
    </w:p>
    <w:p w:rsidR="00D52DB2" w:rsidRDefault="00D52DB2">
      <w:pPr>
        <w:spacing w:line="240" w:lineRule="auto"/>
        <w:rPr>
          <w:noProof/>
        </w:rPr>
      </w:pPr>
    </w:p>
    <w:p w:rsidR="00D52DB2" w:rsidRDefault="00B557C8">
      <w:pPr>
        <w:spacing w:line="240" w:lineRule="auto"/>
        <w:rPr>
          <w:noProof/>
        </w:rPr>
      </w:pPr>
      <w:r>
        <w:rPr>
          <w:noProof/>
        </w:rPr>
        <w:t xml:space="preserve">Ez a gyógyszer gyúlékony. Hőtől és nyílt lángtól távol tartandó. </w:t>
      </w:r>
    </w:p>
    <w:p w:rsidR="00D52DB2" w:rsidRDefault="00D52DB2">
      <w:pPr>
        <w:rPr>
          <w:noProof/>
        </w:rPr>
      </w:pPr>
    </w:p>
    <w:p w:rsidR="00D52DB2" w:rsidRDefault="00B557C8">
      <w:pPr>
        <w:widowControl w:val="0"/>
        <w:suppressLineNumbers/>
        <w:rPr>
          <w:noProof/>
        </w:rPr>
      </w:pPr>
      <w:r>
        <w:rPr>
          <w:noProof/>
        </w:rPr>
        <w:t>A gyógyszer első felbontás utáni tárolására vonatkozó előírásokat lásd a 6.3 pontban.</w:t>
      </w:r>
    </w:p>
    <w:p w:rsidR="00D52DB2" w:rsidRDefault="00D52DB2">
      <w:pPr>
        <w:spacing w:line="240" w:lineRule="auto"/>
        <w:rPr>
          <w:noProof/>
        </w:rPr>
      </w:pPr>
    </w:p>
    <w:p w:rsidR="00D52DB2" w:rsidRDefault="00B557C8">
      <w:pPr>
        <w:spacing w:line="240" w:lineRule="auto"/>
        <w:rPr>
          <w:b/>
          <w:bCs/>
          <w:lang w:val="hu-HU"/>
        </w:rPr>
      </w:pPr>
      <w:r>
        <w:rPr>
          <w:b/>
          <w:bCs/>
          <w:lang w:val="hu-HU"/>
        </w:rPr>
        <w:t>6.5</w:t>
      </w:r>
      <w:r>
        <w:rPr>
          <w:b/>
          <w:bCs/>
          <w:lang w:val="hu-HU"/>
        </w:rPr>
        <w:tab/>
        <w:t xml:space="preserve">Csomagolás típusa és kiszerelése </w:t>
      </w:r>
    </w:p>
    <w:p w:rsidR="00D52DB2" w:rsidRDefault="00D52DB2">
      <w:pPr>
        <w:pStyle w:val="Nincstrkz"/>
        <w:rPr>
          <w:lang w:val="hu-HU"/>
        </w:rPr>
      </w:pPr>
    </w:p>
    <w:p w:rsidR="00D52DB2" w:rsidRDefault="00B557C8">
      <w:pPr>
        <w:pStyle w:val="Nincstrkz"/>
        <w:rPr>
          <w:lang w:val="hu-HU"/>
        </w:rPr>
      </w:pPr>
      <w:r>
        <w:rPr>
          <w:lang w:val="hu-HU"/>
        </w:rPr>
        <w:t xml:space="preserve">Gyógyszeres körömlakk átlátszó, III-as típusú üvegpalackba töltve, egy alacsony sűrűségű polietilén (LDPE) applikátorral. Az applikátor része egy rövid, LDPE spatula, ami a lecsavarható kupakhoz van rögzítve. A lecsavarható kupak a spatula nyeleként és a palack lezárására is szolgál. </w:t>
      </w:r>
    </w:p>
    <w:p w:rsidR="00D52DB2" w:rsidRDefault="00D52DB2">
      <w:pPr>
        <w:pStyle w:val="Nincstrkz"/>
        <w:rPr>
          <w:lang w:val="hu-HU"/>
        </w:rPr>
      </w:pPr>
    </w:p>
    <w:p w:rsidR="00D52DB2" w:rsidRDefault="00B557C8">
      <w:pPr>
        <w:pStyle w:val="Nincstrkz"/>
        <w:rPr>
          <w:lang w:val="hu-HU"/>
        </w:rPr>
      </w:pPr>
      <w:r>
        <w:rPr>
          <w:lang w:val="hu-HU"/>
        </w:rPr>
        <w:t>Kiszerelések: 3,3 ml, 6,6 ml.</w:t>
      </w:r>
    </w:p>
    <w:p w:rsidR="00D52DB2" w:rsidRDefault="00D52DB2">
      <w:pPr>
        <w:pStyle w:val="Nincstrkz"/>
        <w:rPr>
          <w:lang w:val="hu-HU"/>
        </w:rPr>
      </w:pPr>
    </w:p>
    <w:p w:rsidR="00D52DB2" w:rsidRDefault="00B557C8">
      <w:pPr>
        <w:spacing w:line="240" w:lineRule="auto"/>
        <w:rPr>
          <w:lang w:val="hu-HU"/>
        </w:rPr>
      </w:pPr>
      <w:r>
        <w:rPr>
          <w:lang w:val="hu-HU"/>
        </w:rPr>
        <w:t>Nem feltétlenül mindegyik kiszerelés kerül kereskedelmi forgalomba.</w:t>
      </w:r>
    </w:p>
    <w:p w:rsidR="00D52DB2" w:rsidRDefault="00D52DB2">
      <w:pPr>
        <w:spacing w:line="240" w:lineRule="auto"/>
        <w:rPr>
          <w:lang w:val="hu-HU"/>
        </w:rPr>
      </w:pPr>
    </w:p>
    <w:p w:rsidR="00D52DB2" w:rsidRDefault="00B557C8">
      <w:pPr>
        <w:spacing w:line="240" w:lineRule="auto"/>
        <w:ind w:left="567" w:hanging="567"/>
        <w:outlineLvl w:val="0"/>
        <w:rPr>
          <w:b/>
          <w:bCs/>
          <w:lang w:val="hu-HU"/>
        </w:rPr>
      </w:pPr>
      <w:r>
        <w:rPr>
          <w:b/>
          <w:bCs/>
          <w:lang w:val="hu-HU"/>
        </w:rPr>
        <w:t>6.6</w:t>
      </w:r>
      <w:r>
        <w:rPr>
          <w:b/>
          <w:bCs/>
          <w:lang w:val="hu-HU"/>
        </w:rPr>
        <w:tab/>
        <w:t>A megsemmisítésre vonatkozó különleges óvintézkedések és egyéb, a készítmény kezelésével kapcsolatos információk</w:t>
      </w:r>
    </w:p>
    <w:p w:rsidR="00D52DB2" w:rsidRDefault="00D52DB2">
      <w:pPr>
        <w:pStyle w:val="Nincstrkz"/>
        <w:rPr>
          <w:lang w:val="hu-HU"/>
        </w:rPr>
      </w:pPr>
    </w:p>
    <w:p w:rsidR="00D52DB2" w:rsidRDefault="00B557C8">
      <w:pPr>
        <w:pStyle w:val="Nincstrkz"/>
        <w:rPr>
          <w:lang w:val="hu-HU"/>
        </w:rPr>
      </w:pPr>
      <w:r>
        <w:rPr>
          <w:lang w:val="hu-HU"/>
        </w:rPr>
        <w:t>Ez a gyógyszer környezeti kockázatot jelenthet (lásd 5.3 pont).</w:t>
      </w:r>
    </w:p>
    <w:p w:rsidR="00D52DB2" w:rsidRDefault="00D52DB2">
      <w:pPr>
        <w:pStyle w:val="Nincstrkz"/>
        <w:rPr>
          <w:lang w:val="hu-HU"/>
        </w:rPr>
      </w:pPr>
    </w:p>
    <w:p w:rsidR="00D52DB2" w:rsidRDefault="00B557C8">
      <w:pPr>
        <w:spacing w:line="240" w:lineRule="auto"/>
        <w:rPr>
          <w:lang w:val="hu-HU"/>
        </w:rPr>
      </w:pPr>
      <w:r>
        <w:rPr>
          <w:lang w:val="hu-HU"/>
        </w:rPr>
        <w:t xml:space="preserve">Bármilyen fel nem használt gyógyszer, illetve hulladékanyag </w:t>
      </w:r>
      <w:bookmarkStart w:id="6" w:name="_Hlk22283260"/>
      <w:r>
        <w:rPr>
          <w:lang w:val="hu-HU"/>
        </w:rPr>
        <w:t xml:space="preserve">megsemmisítését a gyógyszerekre vonatkozó </w:t>
      </w:r>
      <w:bookmarkEnd w:id="6"/>
      <w:r>
        <w:rPr>
          <w:lang w:val="hu-HU"/>
        </w:rPr>
        <w:t>előírások szerint kell végrehajtani.</w:t>
      </w:r>
    </w:p>
    <w:p w:rsidR="00D52DB2" w:rsidRDefault="00D52DB2">
      <w:pPr>
        <w:spacing w:line="240" w:lineRule="auto"/>
        <w:ind w:left="567" w:hanging="567"/>
        <w:outlineLvl w:val="0"/>
        <w:rPr>
          <w:lang w:val="hu-HU"/>
        </w:rPr>
      </w:pPr>
    </w:p>
    <w:p w:rsidR="00D52DB2" w:rsidRDefault="00B557C8">
      <w:pPr>
        <w:spacing w:line="240" w:lineRule="exact"/>
      </w:pPr>
      <w:r>
        <w:rPr>
          <w:b/>
          <w:bCs/>
          <w:lang w:val="hu-HU"/>
        </w:rPr>
        <w:t xml:space="preserve">Megjegyzés: </w:t>
      </w:r>
      <w:r>
        <w:rPr>
          <w:rFonts w:ascii="Wingdings" w:eastAsia="Wingdings" w:hAnsi="Wingdings" w:cs="Wingdings"/>
          <w:b/>
          <w:bCs/>
        </w:rPr>
        <w:t></w:t>
      </w:r>
      <w:r>
        <w:t xml:space="preserve"> (egy keresztes)</w:t>
      </w:r>
    </w:p>
    <w:p w:rsidR="00D52DB2" w:rsidRDefault="00B557C8">
      <w:pPr>
        <w:pStyle w:val="Cmsor2"/>
        <w:spacing w:before="0" w:line="240" w:lineRule="auto"/>
        <w:rPr>
          <w:rFonts w:ascii="Times New Roman" w:hAnsi="Times New Roman"/>
          <w:b/>
          <w:bCs/>
          <w:color w:val="auto"/>
          <w:sz w:val="22"/>
          <w:szCs w:val="22"/>
          <w:lang w:val="hu-HU"/>
        </w:rPr>
      </w:pPr>
      <w:r>
        <w:rPr>
          <w:rFonts w:ascii="Times New Roman" w:hAnsi="Times New Roman"/>
          <w:b/>
          <w:bCs/>
          <w:color w:val="auto"/>
          <w:sz w:val="22"/>
          <w:szCs w:val="22"/>
          <w:lang w:val="hu-HU"/>
        </w:rPr>
        <w:t>Osztályozás: I. csoport</w:t>
      </w:r>
    </w:p>
    <w:p w:rsidR="00D52DB2" w:rsidRDefault="00B557C8">
      <w:pPr>
        <w:spacing w:line="240" w:lineRule="auto"/>
        <w:ind w:left="567" w:hanging="567"/>
        <w:outlineLvl w:val="0"/>
        <w:rPr>
          <w:lang w:val="hu-HU"/>
        </w:rPr>
      </w:pPr>
      <w:r>
        <w:rPr>
          <w:lang w:val="hu-HU"/>
        </w:rPr>
        <w:t>Orvosi rendelvény nélkül is kiadható gyógyszer (VN).</w:t>
      </w:r>
    </w:p>
    <w:p w:rsidR="00D52DB2" w:rsidRDefault="00D52DB2">
      <w:pPr>
        <w:spacing w:line="240" w:lineRule="auto"/>
        <w:ind w:left="567" w:hanging="567"/>
        <w:outlineLvl w:val="0"/>
      </w:pPr>
    </w:p>
    <w:p w:rsidR="00D52DB2" w:rsidRDefault="00D52DB2">
      <w:pPr>
        <w:spacing w:line="240" w:lineRule="auto"/>
        <w:ind w:left="567" w:hanging="567"/>
        <w:outlineLvl w:val="0"/>
        <w:rPr>
          <w:lang w:val="hu-HU"/>
        </w:rPr>
      </w:pPr>
    </w:p>
    <w:p w:rsidR="00D52DB2" w:rsidRDefault="00B557C8">
      <w:pPr>
        <w:keepNext/>
        <w:spacing w:line="240" w:lineRule="auto"/>
        <w:ind w:left="567" w:hanging="567"/>
        <w:outlineLvl w:val="0"/>
        <w:rPr>
          <w:b/>
          <w:bCs/>
          <w:lang w:val="hu-HU"/>
        </w:rPr>
      </w:pPr>
      <w:r>
        <w:rPr>
          <w:b/>
          <w:bCs/>
          <w:lang w:val="hu-HU"/>
        </w:rPr>
        <w:lastRenderedPageBreak/>
        <w:t>7.</w:t>
      </w:r>
      <w:r>
        <w:rPr>
          <w:b/>
          <w:bCs/>
          <w:lang w:val="hu-HU"/>
        </w:rPr>
        <w:tab/>
        <w:t>A FORGALOMBA HOZATALI ENGEDÉLY JOGOSULTJA</w:t>
      </w:r>
    </w:p>
    <w:p w:rsidR="00D52DB2" w:rsidRDefault="00D52DB2">
      <w:pPr>
        <w:pStyle w:val="Nincstrkz"/>
        <w:keepNext/>
        <w:rPr>
          <w:lang w:val="hu-HU"/>
        </w:rPr>
      </w:pPr>
    </w:p>
    <w:p w:rsidR="00D52DB2" w:rsidRDefault="00B557C8">
      <w:pPr>
        <w:pStyle w:val="Nincstrkz"/>
        <w:keepNext/>
      </w:pPr>
      <w:r>
        <w:t xml:space="preserve">Sandoz Hungária Kft. </w:t>
      </w:r>
    </w:p>
    <w:p w:rsidR="00D52DB2" w:rsidRDefault="00B557C8">
      <w:pPr>
        <w:pStyle w:val="Nincstrkz"/>
        <w:keepNext/>
      </w:pPr>
      <w:r>
        <w:t xml:space="preserve">1114 Budapest, </w:t>
      </w:r>
    </w:p>
    <w:p w:rsidR="00D52DB2" w:rsidRDefault="00B557C8">
      <w:pPr>
        <w:pStyle w:val="Nincstrkz"/>
        <w:keepNext/>
      </w:pPr>
      <w:proofErr w:type="spellStart"/>
      <w:r>
        <w:t>Bartók</w:t>
      </w:r>
      <w:proofErr w:type="spellEnd"/>
      <w:r>
        <w:t xml:space="preserve"> </w:t>
      </w:r>
      <w:proofErr w:type="spellStart"/>
      <w:r>
        <w:t>Béla</w:t>
      </w:r>
      <w:proofErr w:type="spellEnd"/>
      <w:r>
        <w:t xml:space="preserve"> </w:t>
      </w:r>
      <w:proofErr w:type="spellStart"/>
      <w:r>
        <w:t>út</w:t>
      </w:r>
      <w:proofErr w:type="spellEnd"/>
      <w:r>
        <w:t xml:space="preserve"> 43-47.</w:t>
      </w:r>
    </w:p>
    <w:p w:rsidR="00BD6DD4" w:rsidRDefault="00BD6DD4">
      <w:pPr>
        <w:pStyle w:val="Nincstrkz"/>
        <w:keepNext/>
        <w:rPr>
          <w:lang w:val="hu-HU"/>
        </w:rPr>
      </w:pPr>
      <w:proofErr w:type="spellStart"/>
      <w:r>
        <w:t>Magyarország</w:t>
      </w:r>
      <w:proofErr w:type="spellEnd"/>
    </w:p>
    <w:p w:rsidR="00D52DB2" w:rsidRDefault="00D52DB2">
      <w:pPr>
        <w:pStyle w:val="Nincstrkz"/>
        <w:rPr>
          <w:lang w:val="hu-HU"/>
        </w:rPr>
      </w:pPr>
    </w:p>
    <w:p w:rsidR="00D52DB2" w:rsidRDefault="00D52DB2">
      <w:pPr>
        <w:pStyle w:val="Nincstrkz"/>
        <w:rPr>
          <w:lang w:val="hu-HU"/>
        </w:rPr>
      </w:pPr>
    </w:p>
    <w:p w:rsidR="00D52DB2" w:rsidRDefault="00B557C8">
      <w:pPr>
        <w:keepNext/>
        <w:spacing w:line="240" w:lineRule="auto"/>
        <w:ind w:left="567" w:hanging="567"/>
        <w:outlineLvl w:val="0"/>
        <w:rPr>
          <w:b/>
          <w:bCs/>
          <w:lang w:val="hu-HU"/>
        </w:rPr>
      </w:pPr>
      <w:r>
        <w:rPr>
          <w:b/>
          <w:bCs/>
          <w:lang w:val="hu-HU"/>
        </w:rPr>
        <w:t>8.</w:t>
      </w:r>
      <w:r>
        <w:rPr>
          <w:b/>
          <w:bCs/>
          <w:lang w:val="hu-HU"/>
        </w:rPr>
        <w:tab/>
        <w:t>A FORGALOMBA HOZATALI ENGEDÉLY SZÁMA(I)</w:t>
      </w:r>
    </w:p>
    <w:p w:rsidR="00D52DB2" w:rsidRDefault="00D52DB2">
      <w:pPr>
        <w:keepNext/>
        <w:spacing w:line="240" w:lineRule="auto"/>
        <w:ind w:left="567" w:hanging="567"/>
        <w:outlineLvl w:val="0"/>
        <w:rPr>
          <w:lang w:val="hu-HU"/>
        </w:rPr>
      </w:pPr>
    </w:p>
    <w:p w:rsidR="00D52DB2" w:rsidRDefault="00B557C8">
      <w:pPr>
        <w:keepNext/>
        <w:spacing w:line="240" w:lineRule="auto"/>
        <w:ind w:left="567" w:hanging="567"/>
        <w:outlineLvl w:val="0"/>
        <w:rPr>
          <w:lang w:val="hu-HU"/>
        </w:rPr>
      </w:pPr>
      <w:r>
        <w:rPr>
          <w:lang w:val="hu-HU"/>
        </w:rPr>
        <w:t>OGYI-T-23769/01</w:t>
      </w:r>
      <w:r>
        <w:rPr>
          <w:lang w:val="hu-HU"/>
        </w:rPr>
        <w:tab/>
        <w:t>3,3 ml</w:t>
      </w:r>
    </w:p>
    <w:p w:rsidR="00D52DB2" w:rsidRDefault="00B557C8">
      <w:pPr>
        <w:keepNext/>
        <w:spacing w:line="240" w:lineRule="auto"/>
        <w:ind w:left="567" w:hanging="567"/>
        <w:outlineLvl w:val="0"/>
        <w:rPr>
          <w:lang w:val="hu-HU"/>
        </w:rPr>
      </w:pPr>
      <w:r>
        <w:rPr>
          <w:lang w:val="hu-HU"/>
        </w:rPr>
        <w:t>OGYI-T-23769/02</w:t>
      </w:r>
      <w:r>
        <w:rPr>
          <w:lang w:val="hu-HU"/>
        </w:rPr>
        <w:tab/>
        <w:t>6,6 ml</w:t>
      </w:r>
    </w:p>
    <w:p w:rsidR="00D52DB2" w:rsidRDefault="00D52DB2">
      <w:pPr>
        <w:spacing w:line="240" w:lineRule="auto"/>
        <w:ind w:left="567" w:hanging="567"/>
        <w:outlineLvl w:val="0"/>
        <w:rPr>
          <w:lang w:val="hu-HU"/>
        </w:rPr>
      </w:pPr>
    </w:p>
    <w:p w:rsidR="00D52DB2" w:rsidRDefault="00D52DB2">
      <w:pPr>
        <w:spacing w:line="240" w:lineRule="auto"/>
        <w:ind w:left="567" w:hanging="567"/>
        <w:outlineLvl w:val="0"/>
        <w:rPr>
          <w:lang w:val="hu-HU"/>
        </w:rPr>
      </w:pPr>
    </w:p>
    <w:p w:rsidR="00D52DB2" w:rsidRDefault="00B557C8">
      <w:pPr>
        <w:spacing w:line="240" w:lineRule="auto"/>
        <w:ind w:left="567" w:hanging="567"/>
        <w:outlineLvl w:val="0"/>
        <w:rPr>
          <w:b/>
          <w:bCs/>
          <w:lang w:val="hu-HU"/>
        </w:rPr>
      </w:pPr>
      <w:r>
        <w:rPr>
          <w:b/>
          <w:bCs/>
          <w:lang w:val="hu-HU"/>
        </w:rPr>
        <w:t>9.</w:t>
      </w:r>
      <w:r>
        <w:rPr>
          <w:b/>
          <w:bCs/>
          <w:lang w:val="hu-HU"/>
        </w:rPr>
        <w:tab/>
        <w:t>A FORGALOMBA HOZATALI ENGEDÉLY ELSŐ KIADÁSÁNAK/ MEGÚJÍTÁSÁNAK DÁTUMA</w:t>
      </w:r>
    </w:p>
    <w:p w:rsidR="00D52DB2" w:rsidRDefault="00D52DB2">
      <w:pPr>
        <w:spacing w:line="240" w:lineRule="auto"/>
        <w:rPr>
          <w:lang w:val="hu-HU"/>
        </w:rPr>
      </w:pPr>
    </w:p>
    <w:p w:rsidR="00D52DB2" w:rsidRDefault="00B557C8">
      <w:pPr>
        <w:spacing w:line="240" w:lineRule="auto"/>
        <w:rPr>
          <w:lang w:val="hu-HU"/>
        </w:rPr>
      </w:pPr>
      <w:r>
        <w:rPr>
          <w:lang w:val="hu-HU"/>
        </w:rPr>
        <w:t>A forgalomba hozatali engedély első kiadásának dátuma: 2020. október 21.</w:t>
      </w:r>
    </w:p>
    <w:p w:rsidR="00D52DB2" w:rsidRDefault="00B557C8">
      <w:pPr>
        <w:spacing w:line="240" w:lineRule="auto"/>
        <w:rPr>
          <w:lang w:val="hu-HU"/>
        </w:rPr>
      </w:pPr>
      <w:r>
        <w:rPr>
          <w:lang w:val="hu-HU"/>
        </w:rPr>
        <w:t>A forgalomba hozatali engedély legutóbbi megújításának dátuma: 2025. június 26.</w:t>
      </w:r>
    </w:p>
    <w:p w:rsidR="00D52DB2" w:rsidRDefault="00D52DB2">
      <w:pPr>
        <w:spacing w:line="240" w:lineRule="auto"/>
        <w:rPr>
          <w:lang w:val="hu-HU"/>
        </w:rPr>
      </w:pPr>
    </w:p>
    <w:p w:rsidR="00BD6DD4" w:rsidRDefault="00BD6DD4">
      <w:pPr>
        <w:spacing w:line="240" w:lineRule="auto"/>
        <w:rPr>
          <w:lang w:val="hu-HU"/>
        </w:rPr>
      </w:pPr>
    </w:p>
    <w:p w:rsidR="00D52DB2" w:rsidRDefault="00B557C8">
      <w:pPr>
        <w:spacing w:line="240" w:lineRule="auto"/>
        <w:ind w:left="567" w:hanging="567"/>
        <w:outlineLvl w:val="0"/>
        <w:rPr>
          <w:b/>
          <w:bCs/>
          <w:lang w:val="hu-HU"/>
        </w:rPr>
      </w:pPr>
      <w:r>
        <w:rPr>
          <w:b/>
          <w:bCs/>
          <w:lang w:val="hu-HU"/>
        </w:rPr>
        <w:t>10.</w:t>
      </w:r>
      <w:r>
        <w:rPr>
          <w:b/>
          <w:bCs/>
          <w:lang w:val="hu-HU"/>
        </w:rPr>
        <w:tab/>
        <w:t>A SZÖVEG ELLENŐRZÉSÉNEK DÁTUMA</w:t>
      </w:r>
    </w:p>
    <w:p w:rsidR="00D52DB2" w:rsidRDefault="00D52DB2">
      <w:pPr>
        <w:spacing w:line="240" w:lineRule="auto"/>
        <w:ind w:left="567" w:hanging="567"/>
        <w:outlineLvl w:val="0"/>
        <w:rPr>
          <w:lang w:val="hu-HU"/>
        </w:rPr>
      </w:pPr>
    </w:p>
    <w:p w:rsidR="00A52EB6" w:rsidRDefault="00B557C8">
      <w:pPr>
        <w:pStyle w:val="Nincstrkz"/>
        <w:rPr>
          <w:noProof/>
        </w:rPr>
      </w:pPr>
      <w:r>
        <w:rPr>
          <w:noProof/>
        </w:rPr>
        <w:t>202</w:t>
      </w:r>
      <w:r w:rsidR="00A52EB6">
        <w:rPr>
          <w:noProof/>
        </w:rPr>
        <w:t>5. november 13.</w:t>
      </w:r>
    </w:p>
    <w:p w:rsidR="00D52DB2" w:rsidRDefault="00D52DB2" w:rsidP="00B76559">
      <w:pPr>
        <w:pStyle w:val="Nincstrkz"/>
        <w:tabs>
          <w:tab w:val="clear" w:pos="567"/>
          <w:tab w:val="left" w:pos="2010"/>
        </w:tabs>
        <w:rPr>
          <w:noProof/>
        </w:rPr>
      </w:pPr>
    </w:p>
    <w:p w:rsidR="00D52DB2" w:rsidRDefault="00D52DB2">
      <w:pPr>
        <w:spacing w:line="240" w:lineRule="auto"/>
        <w:rPr>
          <w:lang w:val="hu-HU"/>
        </w:rPr>
      </w:pPr>
    </w:p>
    <w:sectPr w:rsidR="00D52DB2">
      <w:headerReference w:type="default" r:id="rId9"/>
      <w:headerReference w:type="first" r:id="rId10"/>
      <w:footerReference w:type="first" r:id="rId11"/>
      <w:endnotePr>
        <w:numFmt w:val="decimal"/>
      </w:endnotePr>
      <w:pgSz w:w="11907"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9FD" w:rsidRDefault="00B557C8">
      <w:pPr>
        <w:spacing w:line="240" w:lineRule="auto"/>
      </w:pPr>
      <w:r>
        <w:separator/>
      </w:r>
    </w:p>
  </w:endnote>
  <w:endnote w:type="continuationSeparator" w:id="0">
    <w:p w:rsidR="00EA39FD" w:rsidRDefault="00B557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DB2" w:rsidRDefault="00A52EB6">
    <w:pPr>
      <w:pStyle w:val="llb"/>
      <w:rPr>
        <w:sz w:val="18"/>
        <w:szCs w:val="18"/>
      </w:rPr>
    </w:pPr>
    <w:r w:rsidRPr="00A52EB6">
      <w:rPr>
        <w:sz w:val="18"/>
        <w:szCs w:val="18"/>
      </w:rPr>
      <w:t>NNGYK/ETGY/29562/2025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9FD" w:rsidRDefault="00B557C8">
      <w:pPr>
        <w:spacing w:line="240" w:lineRule="auto"/>
      </w:pPr>
      <w:r>
        <w:separator/>
      </w:r>
    </w:p>
  </w:footnote>
  <w:footnote w:type="continuationSeparator" w:id="0">
    <w:p w:rsidR="00EA39FD" w:rsidRDefault="00B557C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5116568"/>
      <w:docPartObj>
        <w:docPartGallery w:val="Page Numbers (Top of Page)"/>
        <w:docPartUnique/>
      </w:docPartObj>
    </w:sdtPr>
    <w:sdtEndPr/>
    <w:sdtContent>
      <w:p w:rsidR="00D52DB2" w:rsidRDefault="00B557C8">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B76559" w:rsidRPr="00B76559">
          <w:rPr>
            <w:noProof/>
            <w:sz w:val="18"/>
            <w:szCs w:val="18"/>
            <w:lang w:val="hu-HU"/>
          </w:rPr>
          <w:t>3</w:t>
        </w:r>
        <w:r>
          <w:rPr>
            <w:sz w:val="18"/>
            <w:szCs w:val="18"/>
          </w:rPr>
          <w:fldChar w:fldCharType="end"/>
        </w:r>
      </w:p>
    </w:sdtContent>
  </w:sdt>
  <w:p w:rsidR="00D52DB2" w:rsidRDefault="00D52DB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DB2" w:rsidRDefault="00D52DB2">
    <w:pPr>
      <w:pStyle w:val="lfej"/>
      <w:tabs>
        <w:tab w:val="clear" w:pos="4536"/>
        <w:tab w:val="center" w:pos="4535"/>
        <w:tab w:val="left" w:pos="7163"/>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7F7938"/>
    <w:multiLevelType w:val="hybridMultilevel"/>
    <w:tmpl w:val="39942D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7CF63CE8"/>
    <w:multiLevelType w:val="multilevel"/>
    <w:tmpl w:val="AC9A0450"/>
    <w:styleLink w:val="Nemlista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8A4"/>
    <w:rsid w:val="00000D62"/>
    <w:rsid w:val="00001587"/>
    <w:rsid w:val="0000362A"/>
    <w:rsid w:val="00005701"/>
    <w:rsid w:val="000061DA"/>
    <w:rsid w:val="00007528"/>
    <w:rsid w:val="00010670"/>
    <w:rsid w:val="0001164F"/>
    <w:rsid w:val="00014869"/>
    <w:rsid w:val="000150D3"/>
    <w:rsid w:val="000166C1"/>
    <w:rsid w:val="00017871"/>
    <w:rsid w:val="0002006B"/>
    <w:rsid w:val="00020AE8"/>
    <w:rsid w:val="000235B5"/>
    <w:rsid w:val="00025EBE"/>
    <w:rsid w:val="00026BF2"/>
    <w:rsid w:val="000271F6"/>
    <w:rsid w:val="00027699"/>
    <w:rsid w:val="00030445"/>
    <w:rsid w:val="000318C7"/>
    <w:rsid w:val="00032F59"/>
    <w:rsid w:val="00033FDB"/>
    <w:rsid w:val="000344F6"/>
    <w:rsid w:val="00040D58"/>
    <w:rsid w:val="00042263"/>
    <w:rsid w:val="00043077"/>
    <w:rsid w:val="00043505"/>
    <w:rsid w:val="00044042"/>
    <w:rsid w:val="000474D2"/>
    <w:rsid w:val="000479C5"/>
    <w:rsid w:val="00050DFD"/>
    <w:rsid w:val="00053809"/>
    <w:rsid w:val="00053914"/>
    <w:rsid w:val="00054756"/>
    <w:rsid w:val="000559B1"/>
    <w:rsid w:val="000560C5"/>
    <w:rsid w:val="00056C49"/>
    <w:rsid w:val="00056FE0"/>
    <w:rsid w:val="000603C8"/>
    <w:rsid w:val="0006067D"/>
    <w:rsid w:val="000608A4"/>
    <w:rsid w:val="00060AA1"/>
    <w:rsid w:val="00061B10"/>
    <w:rsid w:val="00062494"/>
    <w:rsid w:val="000631FD"/>
    <w:rsid w:val="000643D3"/>
    <w:rsid w:val="0006579A"/>
    <w:rsid w:val="00067B16"/>
    <w:rsid w:val="00067D12"/>
    <w:rsid w:val="00071F8A"/>
    <w:rsid w:val="00073E04"/>
    <w:rsid w:val="00074BBF"/>
    <w:rsid w:val="0007628D"/>
    <w:rsid w:val="00076A01"/>
    <w:rsid w:val="00080676"/>
    <w:rsid w:val="00081DAB"/>
    <w:rsid w:val="00085167"/>
    <w:rsid w:val="0008669A"/>
    <w:rsid w:val="00086EDB"/>
    <w:rsid w:val="000916D7"/>
    <w:rsid w:val="000917FF"/>
    <w:rsid w:val="0009351E"/>
    <w:rsid w:val="0009479A"/>
    <w:rsid w:val="00095E44"/>
    <w:rsid w:val="00096D8D"/>
    <w:rsid w:val="000973F4"/>
    <w:rsid w:val="0009755A"/>
    <w:rsid w:val="000A0A35"/>
    <w:rsid w:val="000A1232"/>
    <w:rsid w:val="000A16F2"/>
    <w:rsid w:val="000A40D0"/>
    <w:rsid w:val="000A5686"/>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7535"/>
    <w:rsid w:val="000E165D"/>
    <w:rsid w:val="000E1729"/>
    <w:rsid w:val="000E1BAF"/>
    <w:rsid w:val="000E223E"/>
    <w:rsid w:val="000E2491"/>
    <w:rsid w:val="000E2EA9"/>
    <w:rsid w:val="000E46A3"/>
    <w:rsid w:val="000E4E88"/>
    <w:rsid w:val="000E5726"/>
    <w:rsid w:val="000E6C94"/>
    <w:rsid w:val="000E6DC9"/>
    <w:rsid w:val="000F1BB2"/>
    <w:rsid w:val="000F249B"/>
    <w:rsid w:val="000F3F94"/>
    <w:rsid w:val="000F5AC9"/>
    <w:rsid w:val="000F7B2E"/>
    <w:rsid w:val="00103501"/>
    <w:rsid w:val="00103B2D"/>
    <w:rsid w:val="00103CD2"/>
    <w:rsid w:val="00104061"/>
    <w:rsid w:val="0010618D"/>
    <w:rsid w:val="00107236"/>
    <w:rsid w:val="001101A2"/>
    <w:rsid w:val="001106F7"/>
    <w:rsid w:val="001108A9"/>
    <w:rsid w:val="00111B96"/>
    <w:rsid w:val="00112EDA"/>
    <w:rsid w:val="00114174"/>
    <w:rsid w:val="00117C1D"/>
    <w:rsid w:val="00122A0E"/>
    <w:rsid w:val="00123688"/>
    <w:rsid w:val="00127F47"/>
    <w:rsid w:val="00130037"/>
    <w:rsid w:val="00133572"/>
    <w:rsid w:val="00133697"/>
    <w:rsid w:val="001342C8"/>
    <w:rsid w:val="00136D7A"/>
    <w:rsid w:val="00141470"/>
    <w:rsid w:val="00141540"/>
    <w:rsid w:val="00142F3A"/>
    <w:rsid w:val="001439E8"/>
    <w:rsid w:val="001449DF"/>
    <w:rsid w:val="001451BE"/>
    <w:rsid w:val="0014569B"/>
    <w:rsid w:val="001470E0"/>
    <w:rsid w:val="00150060"/>
    <w:rsid w:val="00154C69"/>
    <w:rsid w:val="0015617B"/>
    <w:rsid w:val="0015704C"/>
    <w:rsid w:val="0016153D"/>
    <w:rsid w:val="00161701"/>
    <w:rsid w:val="00161B50"/>
    <w:rsid w:val="00161E87"/>
    <w:rsid w:val="00162DBD"/>
    <w:rsid w:val="0016566C"/>
    <w:rsid w:val="00165848"/>
    <w:rsid w:val="00167891"/>
    <w:rsid w:val="00170EDA"/>
    <w:rsid w:val="001727F0"/>
    <w:rsid w:val="00172B06"/>
    <w:rsid w:val="0017347E"/>
    <w:rsid w:val="001752D8"/>
    <w:rsid w:val="00175931"/>
    <w:rsid w:val="00176B25"/>
    <w:rsid w:val="00177EC4"/>
    <w:rsid w:val="00180C59"/>
    <w:rsid w:val="001817EF"/>
    <w:rsid w:val="0018238B"/>
    <w:rsid w:val="00183419"/>
    <w:rsid w:val="0018394A"/>
    <w:rsid w:val="00184DCC"/>
    <w:rsid w:val="00186A9D"/>
    <w:rsid w:val="001874A6"/>
    <w:rsid w:val="0018765B"/>
    <w:rsid w:val="00190913"/>
    <w:rsid w:val="00193DD3"/>
    <w:rsid w:val="00195F65"/>
    <w:rsid w:val="00197423"/>
    <w:rsid w:val="001A07E2"/>
    <w:rsid w:val="001A2018"/>
    <w:rsid w:val="001A56F1"/>
    <w:rsid w:val="001A6CEC"/>
    <w:rsid w:val="001A74BA"/>
    <w:rsid w:val="001B01C8"/>
    <w:rsid w:val="001B045C"/>
    <w:rsid w:val="001B0B52"/>
    <w:rsid w:val="001B13F6"/>
    <w:rsid w:val="001B1747"/>
    <w:rsid w:val="001B2D44"/>
    <w:rsid w:val="001B3A9E"/>
    <w:rsid w:val="001B4D0B"/>
    <w:rsid w:val="001B55F1"/>
    <w:rsid w:val="001B72B1"/>
    <w:rsid w:val="001B752A"/>
    <w:rsid w:val="001C12FB"/>
    <w:rsid w:val="001C1B3C"/>
    <w:rsid w:val="001C2223"/>
    <w:rsid w:val="001C2DB4"/>
    <w:rsid w:val="001C3228"/>
    <w:rsid w:val="001C35E9"/>
    <w:rsid w:val="001C36BD"/>
    <w:rsid w:val="001C3733"/>
    <w:rsid w:val="001C49B3"/>
    <w:rsid w:val="001C5B30"/>
    <w:rsid w:val="001D18C9"/>
    <w:rsid w:val="001D3C05"/>
    <w:rsid w:val="001D4C8D"/>
    <w:rsid w:val="001D54A4"/>
    <w:rsid w:val="001D57B1"/>
    <w:rsid w:val="001D6AF4"/>
    <w:rsid w:val="001E06BB"/>
    <w:rsid w:val="001E0CC1"/>
    <w:rsid w:val="001E1C10"/>
    <w:rsid w:val="001E3CC0"/>
    <w:rsid w:val="001E5F97"/>
    <w:rsid w:val="001E77C3"/>
    <w:rsid w:val="001F090B"/>
    <w:rsid w:val="001F098D"/>
    <w:rsid w:val="001F180A"/>
    <w:rsid w:val="001F1A28"/>
    <w:rsid w:val="001F1AD0"/>
    <w:rsid w:val="001F2050"/>
    <w:rsid w:val="001F35E8"/>
    <w:rsid w:val="001F4014"/>
    <w:rsid w:val="001F445E"/>
    <w:rsid w:val="00201213"/>
    <w:rsid w:val="002013A7"/>
    <w:rsid w:val="0020165E"/>
    <w:rsid w:val="0020179F"/>
    <w:rsid w:val="00202B05"/>
    <w:rsid w:val="00202E50"/>
    <w:rsid w:val="00205180"/>
    <w:rsid w:val="002058BD"/>
    <w:rsid w:val="00205C4F"/>
    <w:rsid w:val="002063E7"/>
    <w:rsid w:val="002068E2"/>
    <w:rsid w:val="00207F81"/>
    <w:rsid w:val="002109F4"/>
    <w:rsid w:val="00211FDA"/>
    <w:rsid w:val="00213450"/>
    <w:rsid w:val="002145D4"/>
    <w:rsid w:val="00215FDA"/>
    <w:rsid w:val="002160C2"/>
    <w:rsid w:val="00217D6E"/>
    <w:rsid w:val="00217DC8"/>
    <w:rsid w:val="00222BB9"/>
    <w:rsid w:val="0022333D"/>
    <w:rsid w:val="0022355E"/>
    <w:rsid w:val="002244DE"/>
    <w:rsid w:val="002258D6"/>
    <w:rsid w:val="002274FB"/>
    <w:rsid w:val="00230108"/>
    <w:rsid w:val="002309D2"/>
    <w:rsid w:val="0023158F"/>
    <w:rsid w:val="00231B61"/>
    <w:rsid w:val="0023205D"/>
    <w:rsid w:val="00232483"/>
    <w:rsid w:val="0023315B"/>
    <w:rsid w:val="002347FE"/>
    <w:rsid w:val="00236B03"/>
    <w:rsid w:val="0024178D"/>
    <w:rsid w:val="0024251F"/>
    <w:rsid w:val="0024392B"/>
    <w:rsid w:val="002450C6"/>
    <w:rsid w:val="00245DCF"/>
    <w:rsid w:val="00246C65"/>
    <w:rsid w:val="00251FEA"/>
    <w:rsid w:val="00252FFB"/>
    <w:rsid w:val="0025349D"/>
    <w:rsid w:val="00253D48"/>
    <w:rsid w:val="002542A8"/>
    <w:rsid w:val="0025726B"/>
    <w:rsid w:val="00260A11"/>
    <w:rsid w:val="0026169A"/>
    <w:rsid w:val="00262763"/>
    <w:rsid w:val="0026498E"/>
    <w:rsid w:val="00264BEA"/>
    <w:rsid w:val="002654F7"/>
    <w:rsid w:val="0026588C"/>
    <w:rsid w:val="00267850"/>
    <w:rsid w:val="00271032"/>
    <w:rsid w:val="00273E3E"/>
    <w:rsid w:val="00274147"/>
    <w:rsid w:val="00275189"/>
    <w:rsid w:val="002756DC"/>
    <w:rsid w:val="0027586A"/>
    <w:rsid w:val="00276412"/>
    <w:rsid w:val="00276437"/>
    <w:rsid w:val="0028063F"/>
    <w:rsid w:val="00280740"/>
    <w:rsid w:val="00280F45"/>
    <w:rsid w:val="00282741"/>
    <w:rsid w:val="00283B02"/>
    <w:rsid w:val="00283C5D"/>
    <w:rsid w:val="00283CB0"/>
    <w:rsid w:val="002844B0"/>
    <w:rsid w:val="002848E5"/>
    <w:rsid w:val="00286322"/>
    <w:rsid w:val="002966E8"/>
    <w:rsid w:val="00296B03"/>
    <w:rsid w:val="00296C1F"/>
    <w:rsid w:val="002A092C"/>
    <w:rsid w:val="002A234E"/>
    <w:rsid w:val="002A41E6"/>
    <w:rsid w:val="002A44C8"/>
    <w:rsid w:val="002A5E48"/>
    <w:rsid w:val="002B0059"/>
    <w:rsid w:val="002B0455"/>
    <w:rsid w:val="002B261C"/>
    <w:rsid w:val="002B2BEE"/>
    <w:rsid w:val="002B35C5"/>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15DB"/>
    <w:rsid w:val="002D21CF"/>
    <w:rsid w:val="002D4705"/>
    <w:rsid w:val="002D5648"/>
    <w:rsid w:val="002D5B65"/>
    <w:rsid w:val="002D5F33"/>
    <w:rsid w:val="002D6396"/>
    <w:rsid w:val="002D7E1F"/>
    <w:rsid w:val="002D7E5E"/>
    <w:rsid w:val="002E07EF"/>
    <w:rsid w:val="002E0D06"/>
    <w:rsid w:val="002E1810"/>
    <w:rsid w:val="002E1A5C"/>
    <w:rsid w:val="002E2844"/>
    <w:rsid w:val="002E48E6"/>
    <w:rsid w:val="002E495E"/>
    <w:rsid w:val="002E4E94"/>
    <w:rsid w:val="002E6F06"/>
    <w:rsid w:val="002F1F28"/>
    <w:rsid w:val="002F28D5"/>
    <w:rsid w:val="002F43CA"/>
    <w:rsid w:val="002F57AA"/>
    <w:rsid w:val="002F714C"/>
    <w:rsid w:val="002F77BF"/>
    <w:rsid w:val="003004A2"/>
    <w:rsid w:val="00302266"/>
    <w:rsid w:val="00302503"/>
    <w:rsid w:val="00303CD7"/>
    <w:rsid w:val="00303DD5"/>
    <w:rsid w:val="00304D9B"/>
    <w:rsid w:val="00305A4B"/>
    <w:rsid w:val="00307B74"/>
    <w:rsid w:val="00310764"/>
    <w:rsid w:val="003122D4"/>
    <w:rsid w:val="00312EFF"/>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0DB1"/>
    <w:rsid w:val="00341F90"/>
    <w:rsid w:val="00345893"/>
    <w:rsid w:val="00345F79"/>
    <w:rsid w:val="00345F9C"/>
    <w:rsid w:val="00347080"/>
    <w:rsid w:val="00347776"/>
    <w:rsid w:val="00351A91"/>
    <w:rsid w:val="003520C4"/>
    <w:rsid w:val="003533AE"/>
    <w:rsid w:val="00355E14"/>
    <w:rsid w:val="003560CD"/>
    <w:rsid w:val="00361280"/>
    <w:rsid w:val="003615F1"/>
    <w:rsid w:val="00361A6E"/>
    <w:rsid w:val="0036393C"/>
    <w:rsid w:val="00363D7F"/>
    <w:rsid w:val="00367C66"/>
    <w:rsid w:val="003700B2"/>
    <w:rsid w:val="0037233D"/>
    <w:rsid w:val="00372690"/>
    <w:rsid w:val="003736EF"/>
    <w:rsid w:val="003737E3"/>
    <w:rsid w:val="00377F8C"/>
    <w:rsid w:val="00380A1A"/>
    <w:rsid w:val="00380D80"/>
    <w:rsid w:val="0038500E"/>
    <w:rsid w:val="0038511B"/>
    <w:rsid w:val="0038761D"/>
    <w:rsid w:val="00390456"/>
    <w:rsid w:val="003906F8"/>
    <w:rsid w:val="00392E0F"/>
    <w:rsid w:val="003935EE"/>
    <w:rsid w:val="0039408A"/>
    <w:rsid w:val="003945F5"/>
    <w:rsid w:val="0039673D"/>
    <w:rsid w:val="003975DA"/>
    <w:rsid w:val="00397893"/>
    <w:rsid w:val="003A2407"/>
    <w:rsid w:val="003A2CF0"/>
    <w:rsid w:val="003A33D3"/>
    <w:rsid w:val="003A3880"/>
    <w:rsid w:val="003A3D43"/>
    <w:rsid w:val="003A3F77"/>
    <w:rsid w:val="003A5BC5"/>
    <w:rsid w:val="003A5D55"/>
    <w:rsid w:val="003A656B"/>
    <w:rsid w:val="003A6B69"/>
    <w:rsid w:val="003A75E6"/>
    <w:rsid w:val="003B17D1"/>
    <w:rsid w:val="003B255B"/>
    <w:rsid w:val="003B3317"/>
    <w:rsid w:val="003B3BAD"/>
    <w:rsid w:val="003B4B2F"/>
    <w:rsid w:val="003B52D4"/>
    <w:rsid w:val="003C1CA5"/>
    <w:rsid w:val="003C1EC7"/>
    <w:rsid w:val="003C222B"/>
    <w:rsid w:val="003C3D8E"/>
    <w:rsid w:val="003C64A0"/>
    <w:rsid w:val="003C6F0B"/>
    <w:rsid w:val="003C7B92"/>
    <w:rsid w:val="003C7BA3"/>
    <w:rsid w:val="003D25C1"/>
    <w:rsid w:val="003D4E9C"/>
    <w:rsid w:val="003D5F3D"/>
    <w:rsid w:val="003D66B1"/>
    <w:rsid w:val="003E0D78"/>
    <w:rsid w:val="003E1CB1"/>
    <w:rsid w:val="003E2969"/>
    <w:rsid w:val="003E2C12"/>
    <w:rsid w:val="003E3A1D"/>
    <w:rsid w:val="003E523E"/>
    <w:rsid w:val="003E6CA0"/>
    <w:rsid w:val="003E78D4"/>
    <w:rsid w:val="003F1F41"/>
    <w:rsid w:val="003F2FDE"/>
    <w:rsid w:val="003F330B"/>
    <w:rsid w:val="003F4C01"/>
    <w:rsid w:val="003F6FDF"/>
    <w:rsid w:val="004016F5"/>
    <w:rsid w:val="004045AA"/>
    <w:rsid w:val="0040549A"/>
    <w:rsid w:val="00405CC9"/>
    <w:rsid w:val="004061DF"/>
    <w:rsid w:val="00407D67"/>
    <w:rsid w:val="00412450"/>
    <w:rsid w:val="004138DE"/>
    <w:rsid w:val="00413E13"/>
    <w:rsid w:val="00414B2F"/>
    <w:rsid w:val="00415E58"/>
    <w:rsid w:val="00416231"/>
    <w:rsid w:val="00416B5E"/>
    <w:rsid w:val="004208AB"/>
    <w:rsid w:val="004219EF"/>
    <w:rsid w:val="0042369C"/>
    <w:rsid w:val="00426CD9"/>
    <w:rsid w:val="00430FEB"/>
    <w:rsid w:val="004310EE"/>
    <w:rsid w:val="00433677"/>
    <w:rsid w:val="004340D5"/>
    <w:rsid w:val="00434880"/>
    <w:rsid w:val="0043526D"/>
    <w:rsid w:val="004417D5"/>
    <w:rsid w:val="004460E9"/>
    <w:rsid w:val="00447B6F"/>
    <w:rsid w:val="004508CD"/>
    <w:rsid w:val="00453623"/>
    <w:rsid w:val="00453C11"/>
    <w:rsid w:val="00454069"/>
    <w:rsid w:val="00454C88"/>
    <w:rsid w:val="004557B0"/>
    <w:rsid w:val="00457946"/>
    <w:rsid w:val="00457B7C"/>
    <w:rsid w:val="00457D8B"/>
    <w:rsid w:val="0046005E"/>
    <w:rsid w:val="00460A17"/>
    <w:rsid w:val="00463ECE"/>
    <w:rsid w:val="00466AD4"/>
    <w:rsid w:val="00470CB5"/>
    <w:rsid w:val="00471EAB"/>
    <w:rsid w:val="004723EE"/>
    <w:rsid w:val="00473DC3"/>
    <w:rsid w:val="00475A92"/>
    <w:rsid w:val="00476558"/>
    <w:rsid w:val="00477BB9"/>
    <w:rsid w:val="00480011"/>
    <w:rsid w:val="004805EA"/>
    <w:rsid w:val="00487366"/>
    <w:rsid w:val="004873E4"/>
    <w:rsid w:val="0049072C"/>
    <w:rsid w:val="00490FD1"/>
    <w:rsid w:val="00491AD2"/>
    <w:rsid w:val="004921AA"/>
    <w:rsid w:val="004935C0"/>
    <w:rsid w:val="00493B43"/>
    <w:rsid w:val="00494EB1"/>
    <w:rsid w:val="00496414"/>
    <w:rsid w:val="00497A38"/>
    <w:rsid w:val="00497F93"/>
    <w:rsid w:val="004A093F"/>
    <w:rsid w:val="004A0987"/>
    <w:rsid w:val="004A0BB1"/>
    <w:rsid w:val="004A443B"/>
    <w:rsid w:val="004A45BD"/>
    <w:rsid w:val="004A4656"/>
    <w:rsid w:val="004A7645"/>
    <w:rsid w:val="004A77B0"/>
    <w:rsid w:val="004B08A9"/>
    <w:rsid w:val="004B1CED"/>
    <w:rsid w:val="004B34A7"/>
    <w:rsid w:val="004B3B06"/>
    <w:rsid w:val="004B4643"/>
    <w:rsid w:val="004B7F67"/>
    <w:rsid w:val="004C1994"/>
    <w:rsid w:val="004C70B5"/>
    <w:rsid w:val="004D4080"/>
    <w:rsid w:val="004E05FD"/>
    <w:rsid w:val="004E08BE"/>
    <w:rsid w:val="004E1A0D"/>
    <w:rsid w:val="004E23F5"/>
    <w:rsid w:val="004E36CB"/>
    <w:rsid w:val="004E511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4F81"/>
    <w:rsid w:val="00505229"/>
    <w:rsid w:val="00507F98"/>
    <w:rsid w:val="005108A3"/>
    <w:rsid w:val="00510E13"/>
    <w:rsid w:val="00510F6E"/>
    <w:rsid w:val="005118AE"/>
    <w:rsid w:val="0051192D"/>
    <w:rsid w:val="005150BA"/>
    <w:rsid w:val="0051587A"/>
    <w:rsid w:val="005158FA"/>
    <w:rsid w:val="005169AD"/>
    <w:rsid w:val="005208B9"/>
    <w:rsid w:val="005221F0"/>
    <w:rsid w:val="00524807"/>
    <w:rsid w:val="00525524"/>
    <w:rsid w:val="00525FF9"/>
    <w:rsid w:val="00532C41"/>
    <w:rsid w:val="00532D3F"/>
    <w:rsid w:val="0053386D"/>
    <w:rsid w:val="00534700"/>
    <w:rsid w:val="0053791F"/>
    <w:rsid w:val="00544AC8"/>
    <w:rsid w:val="00546264"/>
    <w:rsid w:val="0054689E"/>
    <w:rsid w:val="00547538"/>
    <w:rsid w:val="00550BAA"/>
    <w:rsid w:val="00553BFA"/>
    <w:rsid w:val="00554AAF"/>
    <w:rsid w:val="00554D05"/>
    <w:rsid w:val="00556848"/>
    <w:rsid w:val="0056077E"/>
    <w:rsid w:val="00560EDA"/>
    <w:rsid w:val="00561A45"/>
    <w:rsid w:val="005629EE"/>
    <w:rsid w:val="0056428A"/>
    <w:rsid w:val="005648FA"/>
    <w:rsid w:val="00564D50"/>
    <w:rsid w:val="00567346"/>
    <w:rsid w:val="005710D1"/>
    <w:rsid w:val="0057371B"/>
    <w:rsid w:val="00575EB8"/>
    <w:rsid w:val="0058175B"/>
    <w:rsid w:val="00582A9B"/>
    <w:rsid w:val="005832AB"/>
    <w:rsid w:val="0058437C"/>
    <w:rsid w:val="00584ECC"/>
    <w:rsid w:val="00587609"/>
    <w:rsid w:val="005935F4"/>
    <w:rsid w:val="00593AB1"/>
    <w:rsid w:val="00593E0A"/>
    <w:rsid w:val="005A0DCD"/>
    <w:rsid w:val="005A167F"/>
    <w:rsid w:val="005A2D37"/>
    <w:rsid w:val="005A346E"/>
    <w:rsid w:val="005A64AD"/>
    <w:rsid w:val="005A7312"/>
    <w:rsid w:val="005A73CF"/>
    <w:rsid w:val="005B3F6F"/>
    <w:rsid w:val="005B407E"/>
    <w:rsid w:val="005B6503"/>
    <w:rsid w:val="005B798B"/>
    <w:rsid w:val="005C1FAE"/>
    <w:rsid w:val="005C2112"/>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0CD8"/>
    <w:rsid w:val="00603148"/>
    <w:rsid w:val="00606FC7"/>
    <w:rsid w:val="00610456"/>
    <w:rsid w:val="00611473"/>
    <w:rsid w:val="00611B36"/>
    <w:rsid w:val="00613A34"/>
    <w:rsid w:val="00615ADA"/>
    <w:rsid w:val="00617169"/>
    <w:rsid w:val="00620EB3"/>
    <w:rsid w:val="006221CD"/>
    <w:rsid w:val="0062298A"/>
    <w:rsid w:val="00623574"/>
    <w:rsid w:val="006255A3"/>
    <w:rsid w:val="006266A9"/>
    <w:rsid w:val="00630426"/>
    <w:rsid w:val="006316C1"/>
    <w:rsid w:val="00631ED4"/>
    <w:rsid w:val="00633BC7"/>
    <w:rsid w:val="0063550A"/>
    <w:rsid w:val="00635E9C"/>
    <w:rsid w:val="00637791"/>
    <w:rsid w:val="00637B41"/>
    <w:rsid w:val="00640294"/>
    <w:rsid w:val="00640E24"/>
    <w:rsid w:val="006414EE"/>
    <w:rsid w:val="00642524"/>
    <w:rsid w:val="00642D0A"/>
    <w:rsid w:val="00643ECE"/>
    <w:rsid w:val="00646B88"/>
    <w:rsid w:val="00646FE1"/>
    <w:rsid w:val="0064733B"/>
    <w:rsid w:val="006508D6"/>
    <w:rsid w:val="00651F73"/>
    <w:rsid w:val="006528FC"/>
    <w:rsid w:val="0065581D"/>
    <w:rsid w:val="00655C2F"/>
    <w:rsid w:val="00660064"/>
    <w:rsid w:val="00660403"/>
    <w:rsid w:val="00661140"/>
    <w:rsid w:val="006671F5"/>
    <w:rsid w:val="006710DD"/>
    <w:rsid w:val="00673200"/>
    <w:rsid w:val="0067501E"/>
    <w:rsid w:val="006773D2"/>
    <w:rsid w:val="00680581"/>
    <w:rsid w:val="00681A41"/>
    <w:rsid w:val="006821B2"/>
    <w:rsid w:val="006838C0"/>
    <w:rsid w:val="00685901"/>
    <w:rsid w:val="00685BB9"/>
    <w:rsid w:val="00686AA0"/>
    <w:rsid w:val="00690127"/>
    <w:rsid w:val="00691BFF"/>
    <w:rsid w:val="006953C1"/>
    <w:rsid w:val="00696EB2"/>
    <w:rsid w:val="006A16E9"/>
    <w:rsid w:val="006A2373"/>
    <w:rsid w:val="006A5450"/>
    <w:rsid w:val="006B0199"/>
    <w:rsid w:val="006B0A32"/>
    <w:rsid w:val="006B0BD8"/>
    <w:rsid w:val="006B160D"/>
    <w:rsid w:val="006B4557"/>
    <w:rsid w:val="006B4CBF"/>
    <w:rsid w:val="006B67D9"/>
    <w:rsid w:val="006B7806"/>
    <w:rsid w:val="006C0251"/>
    <w:rsid w:val="006C08FE"/>
    <w:rsid w:val="006C16CA"/>
    <w:rsid w:val="006C1EA8"/>
    <w:rsid w:val="006C24F9"/>
    <w:rsid w:val="006C2B9A"/>
    <w:rsid w:val="006C39BB"/>
    <w:rsid w:val="006C3BC5"/>
    <w:rsid w:val="006C4502"/>
    <w:rsid w:val="006C5A3E"/>
    <w:rsid w:val="006D36A7"/>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4531"/>
    <w:rsid w:val="0070610E"/>
    <w:rsid w:val="00706F5D"/>
    <w:rsid w:val="00707148"/>
    <w:rsid w:val="007074BB"/>
    <w:rsid w:val="00707759"/>
    <w:rsid w:val="00710081"/>
    <w:rsid w:val="00710B0D"/>
    <w:rsid w:val="00711240"/>
    <w:rsid w:val="00713CB5"/>
    <w:rsid w:val="00714AEC"/>
    <w:rsid w:val="0071558B"/>
    <w:rsid w:val="00715A67"/>
    <w:rsid w:val="00715CAA"/>
    <w:rsid w:val="00716DD0"/>
    <w:rsid w:val="00721189"/>
    <w:rsid w:val="007221C3"/>
    <w:rsid w:val="00722F2C"/>
    <w:rsid w:val="00724C22"/>
    <w:rsid w:val="007254D1"/>
    <w:rsid w:val="00725B32"/>
    <w:rsid w:val="00725B3C"/>
    <w:rsid w:val="00725C75"/>
    <w:rsid w:val="00733677"/>
    <w:rsid w:val="007336B0"/>
    <w:rsid w:val="00733D54"/>
    <w:rsid w:val="00736A4F"/>
    <w:rsid w:val="0073741D"/>
    <w:rsid w:val="00737753"/>
    <w:rsid w:val="00740CE9"/>
    <w:rsid w:val="007428E3"/>
    <w:rsid w:val="0074394E"/>
    <w:rsid w:val="00750D0A"/>
    <w:rsid w:val="00751D93"/>
    <w:rsid w:val="00752300"/>
    <w:rsid w:val="007546F8"/>
    <w:rsid w:val="00754710"/>
    <w:rsid w:val="00755106"/>
    <w:rsid w:val="00755BAB"/>
    <w:rsid w:val="00757306"/>
    <w:rsid w:val="0076080E"/>
    <w:rsid w:val="00762382"/>
    <w:rsid w:val="0076411D"/>
    <w:rsid w:val="007656A8"/>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97FC1"/>
    <w:rsid w:val="007A06AC"/>
    <w:rsid w:val="007A1CC0"/>
    <w:rsid w:val="007A22E9"/>
    <w:rsid w:val="007A4C35"/>
    <w:rsid w:val="007A79D6"/>
    <w:rsid w:val="007B0EF3"/>
    <w:rsid w:val="007B1014"/>
    <w:rsid w:val="007B103F"/>
    <w:rsid w:val="007B1484"/>
    <w:rsid w:val="007B1A10"/>
    <w:rsid w:val="007B42B1"/>
    <w:rsid w:val="007B42D3"/>
    <w:rsid w:val="007B60DF"/>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57D8"/>
    <w:rsid w:val="007D6217"/>
    <w:rsid w:val="007D65C7"/>
    <w:rsid w:val="007D74D2"/>
    <w:rsid w:val="007D79B5"/>
    <w:rsid w:val="007E1455"/>
    <w:rsid w:val="007E2334"/>
    <w:rsid w:val="007E23CE"/>
    <w:rsid w:val="007E2CE7"/>
    <w:rsid w:val="007E43D0"/>
    <w:rsid w:val="007E4F00"/>
    <w:rsid w:val="007E54F8"/>
    <w:rsid w:val="007E5987"/>
    <w:rsid w:val="007E5BD8"/>
    <w:rsid w:val="007E5D80"/>
    <w:rsid w:val="007E6C39"/>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4E3"/>
    <w:rsid w:val="0080553D"/>
    <w:rsid w:val="008056DD"/>
    <w:rsid w:val="00810600"/>
    <w:rsid w:val="0081104C"/>
    <w:rsid w:val="008126DD"/>
    <w:rsid w:val="00812D16"/>
    <w:rsid w:val="00813417"/>
    <w:rsid w:val="00813A0B"/>
    <w:rsid w:val="00816C51"/>
    <w:rsid w:val="00821865"/>
    <w:rsid w:val="008225EB"/>
    <w:rsid w:val="0082327D"/>
    <w:rsid w:val="0082433D"/>
    <w:rsid w:val="00826509"/>
    <w:rsid w:val="00831749"/>
    <w:rsid w:val="008319C9"/>
    <w:rsid w:val="0083354D"/>
    <w:rsid w:val="0083561B"/>
    <w:rsid w:val="00836C13"/>
    <w:rsid w:val="00837D78"/>
    <w:rsid w:val="00840D79"/>
    <w:rsid w:val="00842A21"/>
    <w:rsid w:val="0084319A"/>
    <w:rsid w:val="008434AE"/>
    <w:rsid w:val="008439A4"/>
    <w:rsid w:val="00843ADF"/>
    <w:rsid w:val="00845DAD"/>
    <w:rsid w:val="00846F99"/>
    <w:rsid w:val="008476E7"/>
    <w:rsid w:val="00851377"/>
    <w:rsid w:val="008521BF"/>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3967"/>
    <w:rsid w:val="008770D4"/>
    <w:rsid w:val="008770F3"/>
    <w:rsid w:val="00877DD4"/>
    <w:rsid w:val="0088127F"/>
    <w:rsid w:val="008815EF"/>
    <w:rsid w:val="0088243A"/>
    <w:rsid w:val="0088325C"/>
    <w:rsid w:val="00883A61"/>
    <w:rsid w:val="00885273"/>
    <w:rsid w:val="00885F2C"/>
    <w:rsid w:val="008861A0"/>
    <w:rsid w:val="00886386"/>
    <w:rsid w:val="0088701C"/>
    <w:rsid w:val="00887EA3"/>
    <w:rsid w:val="00892AA5"/>
    <w:rsid w:val="008940AF"/>
    <w:rsid w:val="0089499B"/>
    <w:rsid w:val="00894ACA"/>
    <w:rsid w:val="00894EC5"/>
    <w:rsid w:val="00896658"/>
    <w:rsid w:val="008967B5"/>
    <w:rsid w:val="008A03AC"/>
    <w:rsid w:val="008A0B29"/>
    <w:rsid w:val="008A1008"/>
    <w:rsid w:val="008A345A"/>
    <w:rsid w:val="008A3DB9"/>
    <w:rsid w:val="008A40D0"/>
    <w:rsid w:val="008A4AA5"/>
    <w:rsid w:val="008A6A5C"/>
    <w:rsid w:val="008A7316"/>
    <w:rsid w:val="008B500A"/>
    <w:rsid w:val="008B5B89"/>
    <w:rsid w:val="008C029D"/>
    <w:rsid w:val="008C1610"/>
    <w:rsid w:val="008C2F1E"/>
    <w:rsid w:val="008C30E5"/>
    <w:rsid w:val="008C3B5B"/>
    <w:rsid w:val="008C409F"/>
    <w:rsid w:val="008C602D"/>
    <w:rsid w:val="008C6BCC"/>
    <w:rsid w:val="008C7FEF"/>
    <w:rsid w:val="008D098D"/>
    <w:rsid w:val="008D135A"/>
    <w:rsid w:val="008D1621"/>
    <w:rsid w:val="008D19E2"/>
    <w:rsid w:val="008D2205"/>
    <w:rsid w:val="008D2331"/>
    <w:rsid w:val="008D328C"/>
    <w:rsid w:val="008D35E8"/>
    <w:rsid w:val="008D36CD"/>
    <w:rsid w:val="008D4380"/>
    <w:rsid w:val="008D48D1"/>
    <w:rsid w:val="008D6BE8"/>
    <w:rsid w:val="008E0E0D"/>
    <w:rsid w:val="008E13BE"/>
    <w:rsid w:val="008E27E9"/>
    <w:rsid w:val="008E5D1F"/>
    <w:rsid w:val="008E6A0D"/>
    <w:rsid w:val="008F17EA"/>
    <w:rsid w:val="008F2C49"/>
    <w:rsid w:val="008F36F0"/>
    <w:rsid w:val="008F38BA"/>
    <w:rsid w:val="008F3BF5"/>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5C7D"/>
    <w:rsid w:val="00917C0F"/>
    <w:rsid w:val="0092040E"/>
    <w:rsid w:val="00920C6C"/>
    <w:rsid w:val="00921C6D"/>
    <w:rsid w:val="009227D9"/>
    <w:rsid w:val="00923C44"/>
    <w:rsid w:val="00927791"/>
    <w:rsid w:val="009277AE"/>
    <w:rsid w:val="00930607"/>
    <w:rsid w:val="00930D0A"/>
    <w:rsid w:val="009329BA"/>
    <w:rsid w:val="0093304D"/>
    <w:rsid w:val="009366DF"/>
    <w:rsid w:val="00936939"/>
    <w:rsid w:val="0094053B"/>
    <w:rsid w:val="00940C62"/>
    <w:rsid w:val="00942040"/>
    <w:rsid w:val="00942C9F"/>
    <w:rsid w:val="00944B0A"/>
    <w:rsid w:val="00945631"/>
    <w:rsid w:val="00946CE1"/>
    <w:rsid w:val="00947549"/>
    <w:rsid w:val="00955864"/>
    <w:rsid w:val="0095793C"/>
    <w:rsid w:val="009602CC"/>
    <w:rsid w:val="0096045D"/>
    <w:rsid w:val="0096111E"/>
    <w:rsid w:val="00961125"/>
    <w:rsid w:val="00963362"/>
    <w:rsid w:val="00963BD1"/>
    <w:rsid w:val="00965BF8"/>
    <w:rsid w:val="00966B1F"/>
    <w:rsid w:val="0097024E"/>
    <w:rsid w:val="0097116E"/>
    <w:rsid w:val="00974518"/>
    <w:rsid w:val="00975617"/>
    <w:rsid w:val="00980FE0"/>
    <w:rsid w:val="0098301E"/>
    <w:rsid w:val="00990488"/>
    <w:rsid w:val="00990C3B"/>
    <w:rsid w:val="00991CBD"/>
    <w:rsid w:val="009928B7"/>
    <w:rsid w:val="0099321A"/>
    <w:rsid w:val="009947E8"/>
    <w:rsid w:val="009954E5"/>
    <w:rsid w:val="009960B7"/>
    <w:rsid w:val="009972FE"/>
    <w:rsid w:val="009977FF"/>
    <w:rsid w:val="009978E7"/>
    <w:rsid w:val="009A3BEE"/>
    <w:rsid w:val="009A3D80"/>
    <w:rsid w:val="009A7256"/>
    <w:rsid w:val="009B267F"/>
    <w:rsid w:val="009B2691"/>
    <w:rsid w:val="009B38D8"/>
    <w:rsid w:val="009B536C"/>
    <w:rsid w:val="009B5C19"/>
    <w:rsid w:val="009B6137"/>
    <w:rsid w:val="009B6496"/>
    <w:rsid w:val="009C01DA"/>
    <w:rsid w:val="009C12B9"/>
    <w:rsid w:val="009C1528"/>
    <w:rsid w:val="009C20CC"/>
    <w:rsid w:val="009C3558"/>
    <w:rsid w:val="009C4381"/>
    <w:rsid w:val="009C4695"/>
    <w:rsid w:val="009C4896"/>
    <w:rsid w:val="009C562E"/>
    <w:rsid w:val="009C7531"/>
    <w:rsid w:val="009C7F21"/>
    <w:rsid w:val="009D220C"/>
    <w:rsid w:val="009D221F"/>
    <w:rsid w:val="009D5234"/>
    <w:rsid w:val="009D54A2"/>
    <w:rsid w:val="009D5EDA"/>
    <w:rsid w:val="009E09F0"/>
    <w:rsid w:val="009E19E8"/>
    <w:rsid w:val="009E2F69"/>
    <w:rsid w:val="009E30B2"/>
    <w:rsid w:val="009E377C"/>
    <w:rsid w:val="009E411C"/>
    <w:rsid w:val="009E458A"/>
    <w:rsid w:val="009E5316"/>
    <w:rsid w:val="009E5983"/>
    <w:rsid w:val="009E5A1B"/>
    <w:rsid w:val="009E5D7C"/>
    <w:rsid w:val="009E5DFC"/>
    <w:rsid w:val="009F12A0"/>
    <w:rsid w:val="009F1789"/>
    <w:rsid w:val="009F2E3B"/>
    <w:rsid w:val="009F359B"/>
    <w:rsid w:val="009F36D2"/>
    <w:rsid w:val="009F3B6B"/>
    <w:rsid w:val="009F4504"/>
    <w:rsid w:val="009F502C"/>
    <w:rsid w:val="009F5BA2"/>
    <w:rsid w:val="009F603B"/>
    <w:rsid w:val="009F67BF"/>
    <w:rsid w:val="009F6987"/>
    <w:rsid w:val="009F720F"/>
    <w:rsid w:val="009F7A02"/>
    <w:rsid w:val="00A0001D"/>
    <w:rsid w:val="00A004D4"/>
    <w:rsid w:val="00A00523"/>
    <w:rsid w:val="00A0095B"/>
    <w:rsid w:val="00A010E7"/>
    <w:rsid w:val="00A01A17"/>
    <w:rsid w:val="00A01A60"/>
    <w:rsid w:val="00A03C57"/>
    <w:rsid w:val="00A076F9"/>
    <w:rsid w:val="00A07997"/>
    <w:rsid w:val="00A07F87"/>
    <w:rsid w:val="00A07F99"/>
    <w:rsid w:val="00A122DF"/>
    <w:rsid w:val="00A13317"/>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402B8"/>
    <w:rsid w:val="00A4043E"/>
    <w:rsid w:val="00A41AF6"/>
    <w:rsid w:val="00A443A6"/>
    <w:rsid w:val="00A45A1A"/>
    <w:rsid w:val="00A45E61"/>
    <w:rsid w:val="00A4778F"/>
    <w:rsid w:val="00A47F32"/>
    <w:rsid w:val="00A52EB6"/>
    <w:rsid w:val="00A53220"/>
    <w:rsid w:val="00A538E6"/>
    <w:rsid w:val="00A54EE4"/>
    <w:rsid w:val="00A56102"/>
    <w:rsid w:val="00A56800"/>
    <w:rsid w:val="00A56D7E"/>
    <w:rsid w:val="00A57404"/>
    <w:rsid w:val="00A575BD"/>
    <w:rsid w:val="00A60EEC"/>
    <w:rsid w:val="00A655DD"/>
    <w:rsid w:val="00A65BD9"/>
    <w:rsid w:val="00A66718"/>
    <w:rsid w:val="00A7006A"/>
    <w:rsid w:val="00A70B31"/>
    <w:rsid w:val="00A72856"/>
    <w:rsid w:val="00A73A74"/>
    <w:rsid w:val="00A759FE"/>
    <w:rsid w:val="00A76D67"/>
    <w:rsid w:val="00A776B8"/>
    <w:rsid w:val="00A814CF"/>
    <w:rsid w:val="00A81EB6"/>
    <w:rsid w:val="00A837FE"/>
    <w:rsid w:val="00A84C13"/>
    <w:rsid w:val="00A85357"/>
    <w:rsid w:val="00A86003"/>
    <w:rsid w:val="00A902DD"/>
    <w:rsid w:val="00A91617"/>
    <w:rsid w:val="00A928A8"/>
    <w:rsid w:val="00A9432C"/>
    <w:rsid w:val="00A96FA8"/>
    <w:rsid w:val="00A9770A"/>
    <w:rsid w:val="00AA0A43"/>
    <w:rsid w:val="00AA0DD3"/>
    <w:rsid w:val="00AA0F49"/>
    <w:rsid w:val="00AA1C07"/>
    <w:rsid w:val="00AA2482"/>
    <w:rsid w:val="00AA2668"/>
    <w:rsid w:val="00AA3688"/>
    <w:rsid w:val="00AA5887"/>
    <w:rsid w:val="00AA672D"/>
    <w:rsid w:val="00AB19F8"/>
    <w:rsid w:val="00AB1A3B"/>
    <w:rsid w:val="00AB2A61"/>
    <w:rsid w:val="00AB355C"/>
    <w:rsid w:val="00AB3A12"/>
    <w:rsid w:val="00AB3C56"/>
    <w:rsid w:val="00AB5A8D"/>
    <w:rsid w:val="00AB6642"/>
    <w:rsid w:val="00AB70E9"/>
    <w:rsid w:val="00AC2265"/>
    <w:rsid w:val="00AC2B0E"/>
    <w:rsid w:val="00AC2EFE"/>
    <w:rsid w:val="00AC3930"/>
    <w:rsid w:val="00AC3AB1"/>
    <w:rsid w:val="00AC4F69"/>
    <w:rsid w:val="00AC68C6"/>
    <w:rsid w:val="00AC79C1"/>
    <w:rsid w:val="00AC7CA4"/>
    <w:rsid w:val="00AD2886"/>
    <w:rsid w:val="00AD2C5C"/>
    <w:rsid w:val="00AD4A64"/>
    <w:rsid w:val="00AD56AC"/>
    <w:rsid w:val="00AD598F"/>
    <w:rsid w:val="00AD6D09"/>
    <w:rsid w:val="00AD72A5"/>
    <w:rsid w:val="00AE07DA"/>
    <w:rsid w:val="00AE098E"/>
    <w:rsid w:val="00AE09F9"/>
    <w:rsid w:val="00AE0BBA"/>
    <w:rsid w:val="00AE201E"/>
    <w:rsid w:val="00AE2291"/>
    <w:rsid w:val="00AE25C8"/>
    <w:rsid w:val="00AE26E0"/>
    <w:rsid w:val="00AE4113"/>
    <w:rsid w:val="00AE4380"/>
    <w:rsid w:val="00AE4FAC"/>
    <w:rsid w:val="00AE5525"/>
    <w:rsid w:val="00AE5A27"/>
    <w:rsid w:val="00AE6381"/>
    <w:rsid w:val="00AE656F"/>
    <w:rsid w:val="00AE7D78"/>
    <w:rsid w:val="00AF0F42"/>
    <w:rsid w:val="00AF41F6"/>
    <w:rsid w:val="00AF438E"/>
    <w:rsid w:val="00AF45CA"/>
    <w:rsid w:val="00AF5CEE"/>
    <w:rsid w:val="00AF6DF4"/>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6296"/>
    <w:rsid w:val="00B17FAB"/>
    <w:rsid w:val="00B20586"/>
    <w:rsid w:val="00B20A89"/>
    <w:rsid w:val="00B22C5F"/>
    <w:rsid w:val="00B23687"/>
    <w:rsid w:val="00B25710"/>
    <w:rsid w:val="00B27B03"/>
    <w:rsid w:val="00B31B62"/>
    <w:rsid w:val="00B3208E"/>
    <w:rsid w:val="00B327DC"/>
    <w:rsid w:val="00B33711"/>
    <w:rsid w:val="00B33DC3"/>
    <w:rsid w:val="00B347F0"/>
    <w:rsid w:val="00B34889"/>
    <w:rsid w:val="00B37550"/>
    <w:rsid w:val="00B402C6"/>
    <w:rsid w:val="00B41DC1"/>
    <w:rsid w:val="00B42302"/>
    <w:rsid w:val="00B45755"/>
    <w:rsid w:val="00B46EC7"/>
    <w:rsid w:val="00B50A91"/>
    <w:rsid w:val="00B51761"/>
    <w:rsid w:val="00B51A33"/>
    <w:rsid w:val="00B52022"/>
    <w:rsid w:val="00B52187"/>
    <w:rsid w:val="00B52D05"/>
    <w:rsid w:val="00B52EC2"/>
    <w:rsid w:val="00B54691"/>
    <w:rsid w:val="00B557C8"/>
    <w:rsid w:val="00B60CCD"/>
    <w:rsid w:val="00B61BCC"/>
    <w:rsid w:val="00B62854"/>
    <w:rsid w:val="00B62EF1"/>
    <w:rsid w:val="00B640CC"/>
    <w:rsid w:val="00B645B6"/>
    <w:rsid w:val="00B64820"/>
    <w:rsid w:val="00B64B2F"/>
    <w:rsid w:val="00B667BF"/>
    <w:rsid w:val="00B6797D"/>
    <w:rsid w:val="00B70434"/>
    <w:rsid w:val="00B735B8"/>
    <w:rsid w:val="00B74858"/>
    <w:rsid w:val="00B752EB"/>
    <w:rsid w:val="00B76559"/>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151A"/>
    <w:rsid w:val="00BA6003"/>
    <w:rsid w:val="00BA6419"/>
    <w:rsid w:val="00BA6550"/>
    <w:rsid w:val="00BB1D56"/>
    <w:rsid w:val="00BB214D"/>
    <w:rsid w:val="00BB3642"/>
    <w:rsid w:val="00BB59F6"/>
    <w:rsid w:val="00BB66AB"/>
    <w:rsid w:val="00BC0AD6"/>
    <w:rsid w:val="00BC122E"/>
    <w:rsid w:val="00BC3584"/>
    <w:rsid w:val="00BC7CE3"/>
    <w:rsid w:val="00BD5A77"/>
    <w:rsid w:val="00BD679E"/>
    <w:rsid w:val="00BD6DD4"/>
    <w:rsid w:val="00BD732A"/>
    <w:rsid w:val="00BE4ED6"/>
    <w:rsid w:val="00BE54F3"/>
    <w:rsid w:val="00BE5A7D"/>
    <w:rsid w:val="00BE5F67"/>
    <w:rsid w:val="00BE7920"/>
    <w:rsid w:val="00BF1C75"/>
    <w:rsid w:val="00BF1E46"/>
    <w:rsid w:val="00BF2CD1"/>
    <w:rsid w:val="00BF4B6A"/>
    <w:rsid w:val="00BF50E9"/>
    <w:rsid w:val="00BF5135"/>
    <w:rsid w:val="00BF5DD0"/>
    <w:rsid w:val="00BF5FA5"/>
    <w:rsid w:val="00BF7A33"/>
    <w:rsid w:val="00C00312"/>
    <w:rsid w:val="00C009F5"/>
    <w:rsid w:val="00C01129"/>
    <w:rsid w:val="00C02239"/>
    <w:rsid w:val="00C022E1"/>
    <w:rsid w:val="00C02B0F"/>
    <w:rsid w:val="00C0327E"/>
    <w:rsid w:val="00C038D1"/>
    <w:rsid w:val="00C0398D"/>
    <w:rsid w:val="00C06D2E"/>
    <w:rsid w:val="00C071AC"/>
    <w:rsid w:val="00C1044D"/>
    <w:rsid w:val="00C11E4C"/>
    <w:rsid w:val="00C14954"/>
    <w:rsid w:val="00C15995"/>
    <w:rsid w:val="00C179B0"/>
    <w:rsid w:val="00C20CA6"/>
    <w:rsid w:val="00C226F9"/>
    <w:rsid w:val="00C23398"/>
    <w:rsid w:val="00C23B23"/>
    <w:rsid w:val="00C24337"/>
    <w:rsid w:val="00C24711"/>
    <w:rsid w:val="00C2669B"/>
    <w:rsid w:val="00C26C22"/>
    <w:rsid w:val="00C278DD"/>
    <w:rsid w:val="00C27B03"/>
    <w:rsid w:val="00C27FBA"/>
    <w:rsid w:val="00C3089B"/>
    <w:rsid w:val="00C3366D"/>
    <w:rsid w:val="00C34B40"/>
    <w:rsid w:val="00C35836"/>
    <w:rsid w:val="00C35BB3"/>
    <w:rsid w:val="00C36EE5"/>
    <w:rsid w:val="00C37800"/>
    <w:rsid w:val="00C405DE"/>
    <w:rsid w:val="00C41CD3"/>
    <w:rsid w:val="00C43438"/>
    <w:rsid w:val="00C44264"/>
    <w:rsid w:val="00C46251"/>
    <w:rsid w:val="00C4790F"/>
    <w:rsid w:val="00C47AAC"/>
    <w:rsid w:val="00C47FC0"/>
    <w:rsid w:val="00C52038"/>
    <w:rsid w:val="00C528CC"/>
    <w:rsid w:val="00C53760"/>
    <w:rsid w:val="00C53ABD"/>
    <w:rsid w:val="00C53AD3"/>
    <w:rsid w:val="00C53C94"/>
    <w:rsid w:val="00C53DDD"/>
    <w:rsid w:val="00C54102"/>
    <w:rsid w:val="00C57725"/>
    <w:rsid w:val="00C57741"/>
    <w:rsid w:val="00C6074F"/>
    <w:rsid w:val="00C60E4A"/>
    <w:rsid w:val="00C60EAF"/>
    <w:rsid w:val="00C61268"/>
    <w:rsid w:val="00C62568"/>
    <w:rsid w:val="00C63789"/>
    <w:rsid w:val="00C63C19"/>
    <w:rsid w:val="00C64143"/>
    <w:rsid w:val="00C6434D"/>
    <w:rsid w:val="00C652E5"/>
    <w:rsid w:val="00C658E9"/>
    <w:rsid w:val="00C66547"/>
    <w:rsid w:val="00C67446"/>
    <w:rsid w:val="00C7072F"/>
    <w:rsid w:val="00C73292"/>
    <w:rsid w:val="00C73AF7"/>
    <w:rsid w:val="00C7665B"/>
    <w:rsid w:val="00C7697F"/>
    <w:rsid w:val="00C80A3C"/>
    <w:rsid w:val="00C8136C"/>
    <w:rsid w:val="00C82FFA"/>
    <w:rsid w:val="00C85521"/>
    <w:rsid w:val="00C863EE"/>
    <w:rsid w:val="00C9037A"/>
    <w:rsid w:val="00C909AE"/>
    <w:rsid w:val="00C92646"/>
    <w:rsid w:val="00C92F6E"/>
    <w:rsid w:val="00C9316A"/>
    <w:rsid w:val="00C937E7"/>
    <w:rsid w:val="00C93B5E"/>
    <w:rsid w:val="00C95D8D"/>
    <w:rsid w:val="00C97C7F"/>
    <w:rsid w:val="00CA0D2F"/>
    <w:rsid w:val="00CA1DF9"/>
    <w:rsid w:val="00CA20E3"/>
    <w:rsid w:val="00CA218A"/>
    <w:rsid w:val="00CA2283"/>
    <w:rsid w:val="00CA2AEF"/>
    <w:rsid w:val="00CA325F"/>
    <w:rsid w:val="00CA33B8"/>
    <w:rsid w:val="00CA79CC"/>
    <w:rsid w:val="00CB1582"/>
    <w:rsid w:val="00CB1FB3"/>
    <w:rsid w:val="00CB22B7"/>
    <w:rsid w:val="00CB31DA"/>
    <w:rsid w:val="00CB5032"/>
    <w:rsid w:val="00CB7DF6"/>
    <w:rsid w:val="00CC01E4"/>
    <w:rsid w:val="00CC0933"/>
    <w:rsid w:val="00CC303F"/>
    <w:rsid w:val="00CC3C96"/>
    <w:rsid w:val="00CC7E2D"/>
    <w:rsid w:val="00CD077C"/>
    <w:rsid w:val="00CD0962"/>
    <w:rsid w:val="00CD342A"/>
    <w:rsid w:val="00CD364C"/>
    <w:rsid w:val="00CD3940"/>
    <w:rsid w:val="00CD3B1F"/>
    <w:rsid w:val="00CD7A7D"/>
    <w:rsid w:val="00CE0584"/>
    <w:rsid w:val="00CE15CD"/>
    <w:rsid w:val="00CE6A0B"/>
    <w:rsid w:val="00CF087F"/>
    <w:rsid w:val="00CF0950"/>
    <w:rsid w:val="00CF3B07"/>
    <w:rsid w:val="00CF4C13"/>
    <w:rsid w:val="00CF4DC9"/>
    <w:rsid w:val="00CF61D3"/>
    <w:rsid w:val="00CF6384"/>
    <w:rsid w:val="00CF6623"/>
    <w:rsid w:val="00CF6902"/>
    <w:rsid w:val="00D01155"/>
    <w:rsid w:val="00D06E88"/>
    <w:rsid w:val="00D07172"/>
    <w:rsid w:val="00D0750E"/>
    <w:rsid w:val="00D078A0"/>
    <w:rsid w:val="00D11F90"/>
    <w:rsid w:val="00D1243A"/>
    <w:rsid w:val="00D13527"/>
    <w:rsid w:val="00D13773"/>
    <w:rsid w:val="00D14375"/>
    <w:rsid w:val="00D15E4E"/>
    <w:rsid w:val="00D17601"/>
    <w:rsid w:val="00D20D6E"/>
    <w:rsid w:val="00D21300"/>
    <w:rsid w:val="00D22F7B"/>
    <w:rsid w:val="00D230DC"/>
    <w:rsid w:val="00D26C9A"/>
    <w:rsid w:val="00D303E8"/>
    <w:rsid w:val="00D317D5"/>
    <w:rsid w:val="00D31BA6"/>
    <w:rsid w:val="00D335E1"/>
    <w:rsid w:val="00D3545E"/>
    <w:rsid w:val="00D35FEA"/>
    <w:rsid w:val="00D366E4"/>
    <w:rsid w:val="00D36735"/>
    <w:rsid w:val="00D36BF5"/>
    <w:rsid w:val="00D37788"/>
    <w:rsid w:val="00D413B4"/>
    <w:rsid w:val="00D423AC"/>
    <w:rsid w:val="00D44530"/>
    <w:rsid w:val="00D44DC6"/>
    <w:rsid w:val="00D44DDF"/>
    <w:rsid w:val="00D514E5"/>
    <w:rsid w:val="00D52A98"/>
    <w:rsid w:val="00D52DB2"/>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671B9"/>
    <w:rsid w:val="00D73B08"/>
    <w:rsid w:val="00D773F1"/>
    <w:rsid w:val="00D80127"/>
    <w:rsid w:val="00D804E2"/>
    <w:rsid w:val="00D805D1"/>
    <w:rsid w:val="00D81EDD"/>
    <w:rsid w:val="00D82FD7"/>
    <w:rsid w:val="00D84FA6"/>
    <w:rsid w:val="00D859A2"/>
    <w:rsid w:val="00D85C5F"/>
    <w:rsid w:val="00D85ECC"/>
    <w:rsid w:val="00D864C7"/>
    <w:rsid w:val="00D86EB7"/>
    <w:rsid w:val="00D87CBC"/>
    <w:rsid w:val="00D914EB"/>
    <w:rsid w:val="00D91B3C"/>
    <w:rsid w:val="00D92B5E"/>
    <w:rsid w:val="00D93388"/>
    <w:rsid w:val="00D93CFF"/>
    <w:rsid w:val="00D95457"/>
    <w:rsid w:val="00D959EE"/>
    <w:rsid w:val="00D96ECA"/>
    <w:rsid w:val="00D97A7B"/>
    <w:rsid w:val="00DA0B11"/>
    <w:rsid w:val="00DA1231"/>
    <w:rsid w:val="00DA1259"/>
    <w:rsid w:val="00DA1AAD"/>
    <w:rsid w:val="00DA1E08"/>
    <w:rsid w:val="00DA1E79"/>
    <w:rsid w:val="00DA3511"/>
    <w:rsid w:val="00DA3848"/>
    <w:rsid w:val="00DA4A52"/>
    <w:rsid w:val="00DA4FBC"/>
    <w:rsid w:val="00DA7457"/>
    <w:rsid w:val="00DA7F10"/>
    <w:rsid w:val="00DB1083"/>
    <w:rsid w:val="00DB1AE2"/>
    <w:rsid w:val="00DB2995"/>
    <w:rsid w:val="00DB2ED0"/>
    <w:rsid w:val="00DB38F0"/>
    <w:rsid w:val="00DB3EE8"/>
    <w:rsid w:val="00DB4701"/>
    <w:rsid w:val="00DB59C0"/>
    <w:rsid w:val="00DB71EA"/>
    <w:rsid w:val="00DC0146"/>
    <w:rsid w:val="00DC03EE"/>
    <w:rsid w:val="00DC08F7"/>
    <w:rsid w:val="00DC1771"/>
    <w:rsid w:val="00DC36B8"/>
    <w:rsid w:val="00DC53F2"/>
    <w:rsid w:val="00DC6B01"/>
    <w:rsid w:val="00DC73EF"/>
    <w:rsid w:val="00DC7797"/>
    <w:rsid w:val="00DD078A"/>
    <w:rsid w:val="00DD1737"/>
    <w:rsid w:val="00DD34E1"/>
    <w:rsid w:val="00DD6E20"/>
    <w:rsid w:val="00DD7667"/>
    <w:rsid w:val="00DD777C"/>
    <w:rsid w:val="00DE04CF"/>
    <w:rsid w:val="00DE0D2F"/>
    <w:rsid w:val="00DE0D75"/>
    <w:rsid w:val="00DE19EB"/>
    <w:rsid w:val="00DE24A9"/>
    <w:rsid w:val="00DE2B2A"/>
    <w:rsid w:val="00DE34BF"/>
    <w:rsid w:val="00DE48E4"/>
    <w:rsid w:val="00DE5B0F"/>
    <w:rsid w:val="00DF0DC5"/>
    <w:rsid w:val="00DF0FE3"/>
    <w:rsid w:val="00DF2CB1"/>
    <w:rsid w:val="00DF5B80"/>
    <w:rsid w:val="00DF69F9"/>
    <w:rsid w:val="00E011D9"/>
    <w:rsid w:val="00E02579"/>
    <w:rsid w:val="00E02B50"/>
    <w:rsid w:val="00E04740"/>
    <w:rsid w:val="00E047F4"/>
    <w:rsid w:val="00E04B3F"/>
    <w:rsid w:val="00E060C1"/>
    <w:rsid w:val="00E06B1E"/>
    <w:rsid w:val="00E07787"/>
    <w:rsid w:val="00E10AAF"/>
    <w:rsid w:val="00E12296"/>
    <w:rsid w:val="00E12B5C"/>
    <w:rsid w:val="00E12F61"/>
    <w:rsid w:val="00E147D5"/>
    <w:rsid w:val="00E14C0E"/>
    <w:rsid w:val="00E16642"/>
    <w:rsid w:val="00E1787C"/>
    <w:rsid w:val="00E17A8C"/>
    <w:rsid w:val="00E20F93"/>
    <w:rsid w:val="00E2249E"/>
    <w:rsid w:val="00E22B76"/>
    <w:rsid w:val="00E231C0"/>
    <w:rsid w:val="00E234F1"/>
    <w:rsid w:val="00E241A0"/>
    <w:rsid w:val="00E24E3A"/>
    <w:rsid w:val="00E25AF8"/>
    <w:rsid w:val="00E26C55"/>
    <w:rsid w:val="00E26F6C"/>
    <w:rsid w:val="00E31BD0"/>
    <w:rsid w:val="00E34CA3"/>
    <w:rsid w:val="00E34CD8"/>
    <w:rsid w:val="00E35C4A"/>
    <w:rsid w:val="00E37DA6"/>
    <w:rsid w:val="00E37FE3"/>
    <w:rsid w:val="00E41A04"/>
    <w:rsid w:val="00E43AAA"/>
    <w:rsid w:val="00E44C62"/>
    <w:rsid w:val="00E46E02"/>
    <w:rsid w:val="00E47B3D"/>
    <w:rsid w:val="00E544BA"/>
    <w:rsid w:val="00E54EF2"/>
    <w:rsid w:val="00E558D0"/>
    <w:rsid w:val="00E60DC5"/>
    <w:rsid w:val="00E63559"/>
    <w:rsid w:val="00E644FF"/>
    <w:rsid w:val="00E67180"/>
    <w:rsid w:val="00E676E2"/>
    <w:rsid w:val="00E7109D"/>
    <w:rsid w:val="00E73AC0"/>
    <w:rsid w:val="00E74FA5"/>
    <w:rsid w:val="00E74FDD"/>
    <w:rsid w:val="00E756A8"/>
    <w:rsid w:val="00E76032"/>
    <w:rsid w:val="00E761F6"/>
    <w:rsid w:val="00E768F2"/>
    <w:rsid w:val="00E77E9E"/>
    <w:rsid w:val="00E81DED"/>
    <w:rsid w:val="00E82316"/>
    <w:rsid w:val="00E825B3"/>
    <w:rsid w:val="00E82A6D"/>
    <w:rsid w:val="00E849DE"/>
    <w:rsid w:val="00E85948"/>
    <w:rsid w:val="00E86536"/>
    <w:rsid w:val="00E907F4"/>
    <w:rsid w:val="00E9167E"/>
    <w:rsid w:val="00E922A4"/>
    <w:rsid w:val="00E925CE"/>
    <w:rsid w:val="00E93F3F"/>
    <w:rsid w:val="00EA05D9"/>
    <w:rsid w:val="00EA1104"/>
    <w:rsid w:val="00EA1846"/>
    <w:rsid w:val="00EA39FD"/>
    <w:rsid w:val="00EA416B"/>
    <w:rsid w:val="00EA5257"/>
    <w:rsid w:val="00EA59B6"/>
    <w:rsid w:val="00EA6447"/>
    <w:rsid w:val="00EA6A52"/>
    <w:rsid w:val="00EA6BDF"/>
    <w:rsid w:val="00EA6BE3"/>
    <w:rsid w:val="00EA7C28"/>
    <w:rsid w:val="00EB0433"/>
    <w:rsid w:val="00EB1B8B"/>
    <w:rsid w:val="00EB2862"/>
    <w:rsid w:val="00EB32A5"/>
    <w:rsid w:val="00EB3921"/>
    <w:rsid w:val="00EB3C54"/>
    <w:rsid w:val="00EB4951"/>
    <w:rsid w:val="00EB595B"/>
    <w:rsid w:val="00EB7AEF"/>
    <w:rsid w:val="00EC098E"/>
    <w:rsid w:val="00EC0BCB"/>
    <w:rsid w:val="00EC0E71"/>
    <w:rsid w:val="00EC5FC9"/>
    <w:rsid w:val="00EC799E"/>
    <w:rsid w:val="00ED0A5D"/>
    <w:rsid w:val="00ED613A"/>
    <w:rsid w:val="00ED6CFA"/>
    <w:rsid w:val="00ED6D53"/>
    <w:rsid w:val="00ED7982"/>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B3E"/>
    <w:rsid w:val="00F03865"/>
    <w:rsid w:val="00F05CFF"/>
    <w:rsid w:val="00F1030E"/>
    <w:rsid w:val="00F10925"/>
    <w:rsid w:val="00F12063"/>
    <w:rsid w:val="00F12F6C"/>
    <w:rsid w:val="00F13DAE"/>
    <w:rsid w:val="00F157D8"/>
    <w:rsid w:val="00F158C3"/>
    <w:rsid w:val="00F201AD"/>
    <w:rsid w:val="00F21481"/>
    <w:rsid w:val="00F21B21"/>
    <w:rsid w:val="00F222BB"/>
    <w:rsid w:val="00F2491A"/>
    <w:rsid w:val="00F24C53"/>
    <w:rsid w:val="00F24EF6"/>
    <w:rsid w:val="00F254E4"/>
    <w:rsid w:val="00F26F5D"/>
    <w:rsid w:val="00F27E12"/>
    <w:rsid w:val="00F30CF6"/>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45A"/>
    <w:rsid w:val="00F7058F"/>
    <w:rsid w:val="00F70D21"/>
    <w:rsid w:val="00F70FEF"/>
    <w:rsid w:val="00F71C59"/>
    <w:rsid w:val="00F7206D"/>
    <w:rsid w:val="00F7353B"/>
    <w:rsid w:val="00F74F3A"/>
    <w:rsid w:val="00F74F3C"/>
    <w:rsid w:val="00F75C02"/>
    <w:rsid w:val="00F77ECB"/>
    <w:rsid w:val="00F81E47"/>
    <w:rsid w:val="00F824EF"/>
    <w:rsid w:val="00F84408"/>
    <w:rsid w:val="00F85D08"/>
    <w:rsid w:val="00F86474"/>
    <w:rsid w:val="00F868B4"/>
    <w:rsid w:val="00F8730A"/>
    <w:rsid w:val="00F9016F"/>
    <w:rsid w:val="00F90601"/>
    <w:rsid w:val="00F91584"/>
    <w:rsid w:val="00F91E26"/>
    <w:rsid w:val="00F951ED"/>
    <w:rsid w:val="00FA3D28"/>
    <w:rsid w:val="00FA4A57"/>
    <w:rsid w:val="00FA78FD"/>
    <w:rsid w:val="00FB11BE"/>
    <w:rsid w:val="00FB1357"/>
    <w:rsid w:val="00FB1B56"/>
    <w:rsid w:val="00FB2094"/>
    <w:rsid w:val="00FB27F1"/>
    <w:rsid w:val="00FB4C6F"/>
    <w:rsid w:val="00FB6326"/>
    <w:rsid w:val="00FC03B8"/>
    <w:rsid w:val="00FC584B"/>
    <w:rsid w:val="00FC5E76"/>
    <w:rsid w:val="00FC5F52"/>
    <w:rsid w:val="00FC5FDD"/>
    <w:rsid w:val="00FC69CF"/>
    <w:rsid w:val="00FC7214"/>
    <w:rsid w:val="00FD0B70"/>
    <w:rsid w:val="00FD115D"/>
    <w:rsid w:val="00FD11B8"/>
    <w:rsid w:val="00FD1440"/>
    <w:rsid w:val="00FD1489"/>
    <w:rsid w:val="00FD17D7"/>
    <w:rsid w:val="00FD2DA9"/>
    <w:rsid w:val="00FD34F4"/>
    <w:rsid w:val="00FD35FA"/>
    <w:rsid w:val="00FD3914"/>
    <w:rsid w:val="00FD59F1"/>
    <w:rsid w:val="00FD6FE2"/>
    <w:rsid w:val="00FD74CB"/>
    <w:rsid w:val="00FD7543"/>
    <w:rsid w:val="00FD7BF5"/>
    <w:rsid w:val="00FE0722"/>
    <w:rsid w:val="00FE1253"/>
    <w:rsid w:val="00FE185C"/>
    <w:rsid w:val="00FE3C5F"/>
    <w:rsid w:val="00FE401B"/>
    <w:rsid w:val="00FE4705"/>
    <w:rsid w:val="00FE557C"/>
    <w:rsid w:val="00FE55D4"/>
    <w:rsid w:val="00FF18F0"/>
    <w:rsid w:val="00FF318A"/>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14EAE7DC-425E-41FA-94AF-0006484FB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z w:val="22"/>
      <w:szCs w:val="22"/>
      <w:lang w:eastAsia="en-US"/>
    </w:rPr>
  </w:style>
  <w:style w:type="paragraph" w:styleId="Cmsor1">
    <w:name w:val="heading 1"/>
    <w:basedOn w:val="Norml"/>
    <w:next w:val="Norml"/>
    <w:link w:val="Cmsor1Char"/>
    <w:qFormat/>
    <w:pPr>
      <w:tabs>
        <w:tab w:val="clear" w:pos="567"/>
        <w:tab w:val="num" w:pos="360"/>
      </w:tabs>
      <w:suppressAutoHyphens/>
      <w:spacing w:before="240" w:after="120"/>
      <w:outlineLvl w:val="0"/>
    </w:pPr>
    <w:rPr>
      <w:b/>
      <w:bCs/>
      <w:caps/>
      <w:sz w:val="26"/>
      <w:szCs w:val="26"/>
      <w:lang w:val="en-US"/>
    </w:rPr>
  </w:style>
  <w:style w:type="paragraph" w:styleId="Cmsor2">
    <w:name w:val="heading 2"/>
    <w:basedOn w:val="Norml"/>
    <w:next w:val="Norml"/>
    <w:link w:val="Cmsor2Char"/>
    <w:semiHidden/>
    <w:unhideWhenUsed/>
    <w:qFormat/>
    <w:pPr>
      <w:keepNext/>
      <w:keepLines/>
      <w:spacing w:before="40"/>
      <w:outlineLvl w:val="1"/>
    </w:pPr>
    <w:rPr>
      <w:rFonts w:ascii="Cambria" w:eastAsia="SimSun" w:hAnsi="Cambria"/>
      <w:color w:val="376092"/>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pPr>
      <w:numPr>
        <w:numId w:val="2"/>
      </w:numPr>
    </w:p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rPr>
      <w:rFonts w:ascii="Times New Roman" w:hAnsi="Times New Roman" w:cs="Times New Roman"/>
      <w:sz w:val="22"/>
      <w:szCs w:val="22"/>
      <w:lang w:val="en-GB" w:eastAsia="x-none"/>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rPr>
      <w:color w:val="0000FF"/>
      <w:u w:val="single"/>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rPr>
      <w:rFonts w:ascii="Tahoma" w:hAnsi="Tahoma" w:cs="Tahoma"/>
      <w:sz w:val="16"/>
      <w:szCs w:val="16"/>
      <w:lang w:val="en-GB" w:eastAsia="en-US"/>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aliases w:val="Car17 Car Car Char,Car17 Char,Car17 Car Char,Char13 Char,Char13 Car Car Char,Char13 Car Char, Car17 Car Car Char, Car17 Char, Car17 Car Char, Char13 Car Car Char, Char13 Car Char, Char13 Char"/>
    <w:link w:val="Jegyzetszveg1"/>
    <w:uiPriority w:val="99"/>
    <w:rPr>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b/>
      <w:bCs/>
      <w:sz w:val="20"/>
      <w:szCs w:val="20"/>
      <w:lang w:val="en-GB"/>
    </w:rPr>
  </w:style>
  <w:style w:type="paragraph" w:customStyle="1" w:styleId="Vltozat1">
    <w:name w:val="Változat1"/>
    <w:uiPriority w:val="99"/>
    <w:semiHidden/>
    <w:rPr>
      <w:sz w:val="22"/>
      <w:szCs w:val="22"/>
      <w:lang w:eastAsia="en-US"/>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Pr>
      <w:rFonts w:ascii="Segoe UI" w:hAnsi="Segoe UI" w:cs="Segoe UI"/>
      <w:sz w:val="18"/>
      <w:szCs w:val="18"/>
      <w:lang w:eastAsia="en-US"/>
    </w:rPr>
  </w:style>
  <w:style w:type="character" w:customStyle="1" w:styleId="Cmsor1Char">
    <w:name w:val="Címsor 1 Char"/>
    <w:basedOn w:val="Bekezdsalapbettpusa"/>
    <w:link w:val="Cmsor1"/>
    <w:rPr>
      <w:b/>
      <w:bCs/>
      <w:caps/>
      <w:sz w:val="26"/>
      <w:szCs w:val="26"/>
      <w:lang w:val="en-US"/>
    </w:rPr>
  </w:style>
  <w:style w:type="paragraph" w:styleId="Vgjegyzetszvege">
    <w:name w:val="endnote text"/>
    <w:basedOn w:val="Norml"/>
    <w:next w:val="Norml"/>
    <w:link w:val="VgjegyzetszvegeChar"/>
    <w:pPr>
      <w:tabs>
        <w:tab w:val="clear" w:pos="567"/>
      </w:tabs>
      <w:suppressAutoHyphens/>
      <w:spacing w:line="260" w:lineRule="atLeast"/>
    </w:pPr>
    <w:rPr>
      <w:lang w:val="hu-HU"/>
    </w:rPr>
  </w:style>
  <w:style w:type="character" w:customStyle="1" w:styleId="VgjegyzetszvegeChar">
    <w:name w:val="Végjegyzet szövege Char"/>
    <w:basedOn w:val="Bekezdsalapbettpusa"/>
    <w:link w:val="Vgjegyzetszvege"/>
    <w:rPr>
      <w:sz w:val="22"/>
      <w:szCs w:val="22"/>
      <w:lang w:val="hu-HU"/>
    </w:rPr>
  </w:style>
  <w:style w:type="paragraph" w:styleId="Cm">
    <w:name w:val="Title"/>
    <w:basedOn w:val="Norml"/>
    <w:link w:val="CmChar"/>
    <w:qFormat/>
    <w:pPr>
      <w:tabs>
        <w:tab w:val="clear" w:pos="567"/>
      </w:tabs>
      <w:spacing w:line="240" w:lineRule="auto"/>
      <w:jc w:val="center"/>
    </w:pPr>
    <w:rPr>
      <w:b/>
      <w:bCs/>
    </w:rPr>
  </w:style>
  <w:style w:type="character" w:customStyle="1" w:styleId="CmChar">
    <w:name w:val="Cím Char"/>
    <w:basedOn w:val="Bekezdsalapbettpusa"/>
    <w:link w:val="Cm"/>
    <w:rPr>
      <w:b/>
      <w:bCs/>
      <w:sz w:val="22"/>
      <w:szCs w:val="22"/>
      <w:lang w:eastAsia="en-US"/>
    </w:rPr>
  </w:style>
  <w:style w:type="paragraph" w:customStyle="1" w:styleId="BodytextAgency">
    <w:name w:val="Body text (Agency)"/>
    <w:basedOn w:val="Norml"/>
    <w:link w:val="BodytextAgencyChar"/>
    <w:qFormat/>
    <w:pPr>
      <w:tabs>
        <w:tab w:val="clear" w:pos="567"/>
      </w:tabs>
      <w:spacing w:after="140" w:line="280" w:lineRule="atLeast"/>
    </w:pPr>
    <w:rPr>
      <w:rFonts w:ascii="Verdana" w:eastAsia="Verdana" w:hAnsi="Verdana"/>
      <w:sz w:val="18"/>
      <w:szCs w:val="18"/>
      <w:lang w:val="hu-HU" w:eastAsia="hu-HU" w:bidi="hu-HU"/>
    </w:rPr>
  </w:style>
  <w:style w:type="paragraph" w:customStyle="1" w:styleId="DraftingNotesAgency">
    <w:name w:val="Drafting Notes (Agency)"/>
    <w:basedOn w:val="Norml"/>
    <w:next w:val="BodytextAgency"/>
    <w:link w:val="DraftingNotesAgencyChar"/>
    <w:pPr>
      <w:tabs>
        <w:tab w:val="clear" w:pos="567"/>
      </w:tabs>
      <w:spacing w:after="140" w:line="280" w:lineRule="atLeast"/>
    </w:pPr>
    <w:rPr>
      <w:rFonts w:ascii="Courier New" w:eastAsia="Verdana" w:hAnsi="Courier New"/>
      <w:i/>
      <w:color w:val="339966"/>
      <w:lang w:val="hu-HU" w:eastAsia="hu-HU" w:bidi="hu-HU"/>
    </w:rPr>
  </w:style>
  <w:style w:type="paragraph" w:customStyle="1" w:styleId="No-numheading3Agency">
    <w:name w:val="No-num heading 3 (Agency)"/>
    <w:basedOn w:val="Norml"/>
    <w:next w:val="BodytextAgency"/>
    <w:link w:val="No-numheading3AgencyChar"/>
    <w:pPr>
      <w:keepNext/>
      <w:tabs>
        <w:tab w:val="clear" w:pos="567"/>
      </w:tabs>
      <w:spacing w:before="280" w:after="220" w:line="240" w:lineRule="auto"/>
      <w:outlineLvl w:val="2"/>
    </w:pPr>
    <w:rPr>
      <w:rFonts w:ascii="Verdana" w:eastAsia="Verdana" w:hAnsi="Verdana"/>
      <w:b/>
      <w:bCs/>
      <w:kern w:val="32"/>
      <w:lang w:val="hu-HU" w:eastAsia="hu-HU" w:bidi="hu-HU"/>
    </w:rPr>
  </w:style>
  <w:style w:type="character" w:customStyle="1" w:styleId="DraftingNotesAgencyChar">
    <w:name w:val="Drafting Notes (Agency) Char"/>
    <w:link w:val="DraftingNotesAgency"/>
    <w:rPr>
      <w:rFonts w:ascii="Courier New" w:eastAsia="Verdana" w:hAnsi="Courier New"/>
      <w:i/>
      <w:color w:val="339966"/>
      <w:sz w:val="22"/>
      <w:szCs w:val="22"/>
      <w:lang w:val="hu-HU" w:eastAsia="hu-HU" w:bidi="hu-HU"/>
    </w:rPr>
  </w:style>
  <w:style w:type="character" w:customStyle="1" w:styleId="BodytextAgencyChar">
    <w:name w:val="Body text (Agency) Char"/>
    <w:link w:val="BodytextAgency"/>
    <w:rPr>
      <w:rFonts w:ascii="Verdana" w:eastAsia="Verdana" w:hAnsi="Verdana"/>
      <w:sz w:val="18"/>
      <w:szCs w:val="18"/>
      <w:lang w:val="hu-HU" w:eastAsia="hu-HU" w:bidi="hu-HU"/>
    </w:rPr>
  </w:style>
  <w:style w:type="character" w:customStyle="1" w:styleId="No-numheading3AgencyChar">
    <w:name w:val="No-num heading 3 (Agency) Char"/>
    <w:link w:val="No-numheading3Agency"/>
    <w:rPr>
      <w:rFonts w:ascii="Verdana" w:eastAsia="Verdana" w:hAnsi="Verdana"/>
      <w:b/>
      <w:bCs/>
      <w:kern w:val="32"/>
      <w:sz w:val="22"/>
      <w:szCs w:val="22"/>
      <w:lang w:val="hu-HU" w:eastAsia="hu-HU" w:bidi="hu-HU"/>
    </w:rPr>
  </w:style>
  <w:style w:type="paragraph" w:styleId="lfej">
    <w:name w:val="header"/>
    <w:basedOn w:val="Norml"/>
    <w:link w:val="lfejChar1"/>
    <w:uiPriority w:val="99"/>
    <w:pPr>
      <w:tabs>
        <w:tab w:val="clear" w:pos="567"/>
        <w:tab w:val="center" w:pos="4536"/>
        <w:tab w:val="right" w:pos="9072"/>
      </w:tabs>
      <w:spacing w:line="240" w:lineRule="auto"/>
    </w:pPr>
  </w:style>
  <w:style w:type="character" w:customStyle="1" w:styleId="lfejChar1">
    <w:name w:val="Élőfej Char1"/>
    <w:basedOn w:val="Bekezdsalapbettpusa"/>
    <w:link w:val="lfej"/>
    <w:rPr>
      <w:sz w:val="22"/>
      <w:szCs w:val="22"/>
      <w:lang w:eastAsia="en-US"/>
    </w:rPr>
  </w:style>
  <w:style w:type="paragraph" w:styleId="llb">
    <w:name w:val="footer"/>
    <w:basedOn w:val="Norml"/>
    <w:link w:val="llbChar1"/>
    <w:uiPriority w:val="99"/>
    <w:pPr>
      <w:tabs>
        <w:tab w:val="clear" w:pos="567"/>
        <w:tab w:val="center" w:pos="4536"/>
        <w:tab w:val="right" w:pos="9072"/>
      </w:tabs>
      <w:spacing w:line="240" w:lineRule="auto"/>
    </w:pPr>
  </w:style>
  <w:style w:type="character" w:customStyle="1" w:styleId="llbChar1">
    <w:name w:val="Élőláb Char1"/>
    <w:basedOn w:val="Bekezdsalapbettpusa"/>
    <w:link w:val="llb"/>
    <w:uiPriority w:val="99"/>
    <w:rPr>
      <w:sz w:val="22"/>
      <w:szCs w:val="22"/>
      <w:lang w:eastAsia="en-US"/>
    </w:rPr>
  </w:style>
  <w:style w:type="paragraph" w:styleId="Nincstrkz">
    <w:name w:val="No Spacing"/>
    <w:uiPriority w:val="1"/>
    <w:qFormat/>
    <w:pPr>
      <w:tabs>
        <w:tab w:val="left" w:pos="567"/>
      </w:tabs>
    </w:pPr>
    <w:rPr>
      <w:sz w:val="22"/>
      <w:szCs w:val="22"/>
      <w:lang w:eastAsia="en-US"/>
    </w:rPr>
  </w:style>
  <w:style w:type="paragraph" w:styleId="Jegyzetszveg">
    <w:name w:val="annotation text"/>
    <w:aliases w:val="Car17 Car Car,Car17,Car17 Car,Char13,Char13 Car Car,Char13 Car, Car17 Car Car, Car17, Car17 Car, Char13 Car Car, Char13 Car, Char13"/>
    <w:basedOn w:val="Norml"/>
    <w:link w:val="JegyzetszvegChar2"/>
    <w:uiPriority w:val="99"/>
    <w:pPr>
      <w:spacing w:before="240" w:line="360" w:lineRule="auto"/>
    </w:pPr>
    <w:rPr>
      <w:sz w:val="20"/>
      <w:szCs w:val="20"/>
    </w:rPr>
  </w:style>
  <w:style w:type="character" w:customStyle="1" w:styleId="JegyzetszvegChar1">
    <w:name w:val="Jegyzetszöveg Char1"/>
    <w:basedOn w:val="Bekezdsalapbettpusa"/>
    <w:uiPriority w:val="99"/>
    <w:semiHidden/>
    <w:rPr>
      <w:lang w:eastAsia="en-US"/>
    </w:rPr>
  </w:style>
  <w:style w:type="paragraph" w:customStyle="1" w:styleId="BodyTab">
    <w:name w:val="BodyTab"/>
    <w:basedOn w:val="Norml"/>
    <w:qFormat/>
    <w:pPr>
      <w:tabs>
        <w:tab w:val="clear" w:pos="567"/>
      </w:tabs>
      <w:spacing w:before="240" w:line="240" w:lineRule="auto"/>
    </w:pPr>
    <w:rPr>
      <w:sz w:val="20"/>
      <w:szCs w:val="20"/>
    </w:rPr>
  </w:style>
  <w:style w:type="paragraph" w:styleId="Listaszerbekezds">
    <w:name w:val="List Paragraph"/>
    <w:basedOn w:val="Norml"/>
    <w:uiPriority w:val="34"/>
    <w:qFormat/>
    <w:pPr>
      <w:ind w:left="720"/>
      <w:contextualSpacing/>
    </w:pPr>
  </w:style>
  <w:style w:type="paragraph" w:customStyle="1" w:styleId="TableNote">
    <w:name w:val="TableNote"/>
    <w:basedOn w:val="Norml"/>
    <w:next w:val="Norml"/>
    <w:pPr>
      <w:tabs>
        <w:tab w:val="clear" w:pos="567"/>
      </w:tabs>
      <w:spacing w:before="60" w:after="60" w:line="240" w:lineRule="auto"/>
      <w:ind w:left="935" w:hanging="935"/>
      <w:jc w:val="both"/>
    </w:pPr>
    <w:rPr>
      <w:sz w:val="20"/>
      <w:szCs w:val="20"/>
    </w:rPr>
  </w:style>
  <w:style w:type="paragraph" w:customStyle="1" w:styleId="HeadTab">
    <w:name w:val="HeadTab"/>
    <w:basedOn w:val="BodyTab"/>
    <w:next w:val="BodyTab"/>
    <w:qFormat/>
    <w:pPr>
      <w:spacing w:before="60" w:after="60"/>
      <w:jc w:val="center"/>
    </w:pPr>
    <w:rPr>
      <w:b/>
      <w:bCs/>
    </w:rPr>
  </w:style>
  <w:style w:type="table" w:styleId="Rcsostblzat">
    <w:name w:val="Table Grid"/>
    <w:basedOn w:val="Normltblzat"/>
    <w:uiPriority w:val="5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Pr>
      <w:sz w:val="16"/>
      <w:szCs w:val="16"/>
    </w:rPr>
  </w:style>
  <w:style w:type="paragraph" w:styleId="Megjegyzstrgya">
    <w:name w:val="annotation subject"/>
    <w:basedOn w:val="Jegyzetszveg"/>
    <w:next w:val="Jegyzetszveg"/>
    <w:link w:val="MegjegyzstrgyaChar1"/>
    <w:uiPriority w:val="99"/>
    <w:semiHidden/>
    <w:unhideWhenUsed/>
    <w:pPr>
      <w:spacing w:before="0" w:line="240" w:lineRule="auto"/>
    </w:pPr>
    <w:rPr>
      <w:b/>
      <w:bCs/>
    </w:rPr>
  </w:style>
  <w:style w:type="character" w:customStyle="1" w:styleId="JegyzetszvegChar2">
    <w:name w:val="Jegyzetszöveg Char2"/>
    <w:aliases w:val="Car17 Car Car Char1,Car17 Char1,Car17 Car Char1,Char13 Char1,Char13 Car Car Char1,Char13 Car Char1, Car17 Car Car Char1, Car17 Char1, Car17 Car Char1, Char13 Car Car Char1, Char13 Car Char1, Char13 Char1"/>
    <w:basedOn w:val="Bekezdsalapbettpusa"/>
    <w:link w:val="Jegyzetszveg"/>
    <w:uiPriority w:val="99"/>
    <w:rPr>
      <w:lang w:eastAsia="en-US"/>
    </w:rPr>
  </w:style>
  <w:style w:type="character" w:customStyle="1" w:styleId="MegjegyzstrgyaChar1">
    <w:name w:val="Megjegyzés tárgya Char1"/>
    <w:basedOn w:val="JegyzetszvegChar2"/>
    <w:link w:val="Megjegyzstrgya"/>
    <w:uiPriority w:val="99"/>
    <w:semiHidden/>
    <w:rPr>
      <w:b/>
      <w:bCs/>
      <w:lang w:eastAsia="en-US"/>
    </w:rPr>
  </w:style>
  <w:style w:type="character" w:styleId="Hiperhivatkozs">
    <w:name w:val="Hyperlink"/>
    <w:basedOn w:val="Bekezdsalapbettpusa"/>
    <w:rPr>
      <w:color w:val="0000FF"/>
      <w:u w:val="single"/>
    </w:rPr>
  </w:style>
  <w:style w:type="character" w:customStyle="1" w:styleId="Cmsor2Char">
    <w:name w:val="Címsor 2 Char"/>
    <w:basedOn w:val="Bekezdsalapbettpusa"/>
    <w:link w:val="Cmsor2"/>
    <w:semiHidden/>
    <w:rPr>
      <w:rFonts w:ascii="Cambria" w:eastAsia="SimSun" w:hAnsi="Cambria"/>
      <w:color w:val="376092"/>
      <w:sz w:val="26"/>
      <w:szCs w:val="26"/>
      <w:lang w:eastAsia="en-US"/>
    </w:rPr>
  </w:style>
  <w:style w:type="paragraph" w:styleId="Vltozat">
    <w:name w:val="Revision"/>
    <w:uiPriority w:val="99"/>
    <w:semiHidden/>
    <w:rPr>
      <w:sz w:val="22"/>
      <w:szCs w:val="22"/>
      <w:lang w:eastAsia="en-US"/>
    </w:rPr>
  </w:style>
  <w:style w:type="character" w:styleId="Lbjegyzet-hivatkozs">
    <w:name w:val="footnote reference"/>
    <w:basedOn w:val="Bekezdsalapbettpusa"/>
    <w:uiPriority w:val="99"/>
    <w:semiHidden/>
    <w:unhideWhenUsed/>
    <w:qFormat/>
    <w:rPr>
      <w:vertAlign w:val="superscript"/>
    </w:rPr>
  </w:style>
  <w:style w:type="character" w:styleId="Vgjegyzet-hivatkozs">
    <w:name w:val="endnote reference"/>
    <w:basedOn w:val="Bekezdsalapbettpusa"/>
    <w:uiPriority w:val="99"/>
    <w:semiHidden/>
    <w:unhideWhenUsed/>
    <w:qFormat/>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9334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E6551D-8B2B-4081-A52C-CC9DBE593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2231</Words>
  <Characters>15993</Characters>
  <Application>Microsoft Office Word</Application>
  <DocSecurity>0</DocSecurity>
  <Lines>133</Lines>
  <Paragraphs>36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HU_OGYI_56.1</cp:lastModifiedBy>
  <cp:revision>11</cp:revision>
  <cp:lastPrinted>2019-05-28T09:17:00Z</cp:lastPrinted>
  <dcterms:created xsi:type="dcterms:W3CDTF">2023-03-03T09:32:00Z</dcterms:created>
  <dcterms:modified xsi:type="dcterms:W3CDTF">2025-11-14T09:39:00Z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Category">
    <vt:lpwstr>Templates and Form</vt:lpwstr>
  </property>
  <property fmtid="{D5CDD505-2E9C-101B-9397-08002B2CF9AE}" pid="4" name="DM_Creation_Date">
    <vt:lpwstr>28/05/2019 11:44:26</vt:lpwstr>
  </property>
  <property fmtid="{D5CDD505-2E9C-101B-9397-08002B2CF9AE}" pid="5" name="DM_Creator_Name">
    <vt:lpwstr>Akhtar Timea</vt:lpwstr>
  </property>
  <property fmtid="{D5CDD505-2E9C-101B-9397-08002B2CF9AE}" pid="6" name="DM_DocRefId">
    <vt:lpwstr>EMA/295800/2019</vt:lpwstr>
  </property>
  <property fmtid="{D5CDD505-2E9C-101B-9397-08002B2CF9AE}" pid="7" name="DM_emea_doc_category">
    <vt:lpwstr>General</vt:lpwstr>
  </property>
  <property fmtid="{D5CDD505-2E9C-101B-9397-08002B2CF9AE}" pid="8" name="DM_emea_doc_number">
    <vt:lpwstr>423415</vt:lpwstr>
  </property>
  <property fmtid="{D5CDD505-2E9C-101B-9397-08002B2CF9AE}" pid="9" name="DM_emea_doc_ref_id">
    <vt:lpwstr>EMA/295800/2019</vt:lpwstr>
  </property>
  <property fmtid="{D5CDD505-2E9C-101B-9397-08002B2CF9AE}" pid="10" name="DM_emea_internal_label">
    <vt:lpwstr>EMA</vt:lpwstr>
  </property>
  <property fmtid="{D5CDD505-2E9C-101B-9397-08002B2CF9AE}" pid="11" name="DM_emea_legal_date">
    <vt:lpwstr>nulldate</vt:lpwstr>
  </property>
  <property fmtid="{D5CDD505-2E9C-101B-9397-08002B2CF9AE}" pid="12" name="DM_emea_received_date">
    <vt:lpwstr>nulldate</vt:lpwstr>
  </property>
  <property fmtid="{D5CDD505-2E9C-101B-9397-08002B2CF9AE}" pid="13" name="DM_emea_sent_date">
    <vt:lpwstr>nulldate</vt:lpwstr>
  </property>
  <property fmtid="{D5CDD505-2E9C-101B-9397-08002B2CF9AE}" pid="14" name="DM_emea_year">
    <vt:lpwstr>2010</vt:lpwstr>
  </property>
  <property fmtid="{D5CDD505-2E9C-101B-9397-08002B2CF9AE}" pid="15" name="DM_Keywords">
    <vt:lpwstr/>
  </property>
  <property fmtid="{D5CDD505-2E9C-101B-9397-08002B2CF9AE}" pid="16" name="DM_Language">
    <vt:lpwstr/>
  </property>
  <property fmtid="{D5CDD505-2E9C-101B-9397-08002B2CF9AE}" pid="17" name="DM_Modifer_Name">
    <vt:lpwstr>Akhtar Timea</vt:lpwstr>
  </property>
  <property fmtid="{D5CDD505-2E9C-101B-9397-08002B2CF9AE}" pid="18" name="DM_Modified_Date">
    <vt:lpwstr>28/05/2019 11:44:26</vt:lpwstr>
  </property>
  <property fmtid="{D5CDD505-2E9C-101B-9397-08002B2CF9AE}" pid="19" name="DM_Modifier_Name">
    <vt:lpwstr>Akhtar Timea</vt:lpwstr>
  </property>
  <property fmtid="{D5CDD505-2E9C-101B-9397-08002B2CF9AE}" pid="20" name="DM_Modify_Date">
    <vt:lpwstr>28/05/2019 11:44:26</vt:lpwstr>
  </property>
  <property fmtid="{D5CDD505-2E9C-101B-9397-08002B2CF9AE}" pid="21" name="DM_Name">
    <vt:lpwstr>Hqrdtemplateclean_hu</vt:lpwstr>
  </property>
  <property fmtid="{D5CDD505-2E9C-101B-9397-08002B2CF9AE}" pid="22" name="DM_Owner">
    <vt:lpwstr>Espinasse Claire</vt:lpwstr>
  </property>
  <property fmtid="{D5CDD505-2E9C-101B-9397-08002B2CF9AE}" pid="23" name="DM_Path">
    <vt:lpwstr>/02b. Administration of Scientific Meeting/WPs SAGs DGs and other WGs/CxMP - QRD/3. Other activities/02. Procedures/01. QRD PI templates/01 QRD Human Templates/07 H-qrd template v10.1/Translations FINAL versions for publication/Clean files</vt:lpwstr>
  </property>
  <property fmtid="{D5CDD505-2E9C-101B-9397-08002B2CF9AE}" pid="24" name="DM_Status">
    <vt:lpwstr/>
  </property>
  <property fmtid="{D5CDD505-2E9C-101B-9397-08002B2CF9AE}" pid="25" name="DM_Subject">
    <vt:lpwstr/>
  </property>
  <property fmtid="{D5CDD505-2E9C-101B-9397-08002B2CF9AE}" pid="26" name="DM_Title">
    <vt:lpwstr/>
  </property>
  <property fmtid="{D5CDD505-2E9C-101B-9397-08002B2CF9AE}" pid="27" name="DM_Type">
    <vt:lpwstr>emea_document</vt:lpwstr>
  </property>
  <property fmtid="{D5CDD505-2E9C-101B-9397-08002B2CF9AE}" pid="28" name="DM_Version">
    <vt:lpwstr>1.0,CURRENT</vt:lpwstr>
  </property>
  <property fmtid="{D5CDD505-2E9C-101B-9397-08002B2CF9AE}" pid="29" name="MSIP_Label_4929bff8-5b33-42aa-95d2-28f72e792cb0_Enabled">
    <vt:lpwstr>true</vt:lpwstr>
  </property>
  <property fmtid="{D5CDD505-2E9C-101B-9397-08002B2CF9AE}" pid="30" name="MSIP_Label_4929bff8-5b33-42aa-95d2-28f72e792cb0_SetDate">
    <vt:lpwstr>2020-12-08T20:13:36Z</vt:lpwstr>
  </property>
  <property fmtid="{D5CDD505-2E9C-101B-9397-08002B2CF9AE}" pid="31" name="MSIP_Label_4929bff8-5b33-42aa-95d2-28f72e792cb0_Method">
    <vt:lpwstr>Standard</vt:lpwstr>
  </property>
  <property fmtid="{D5CDD505-2E9C-101B-9397-08002B2CF9AE}" pid="32" name="MSIP_Label_4929bff8-5b33-42aa-95d2-28f72e792cb0_Name">
    <vt:lpwstr>Internal</vt:lpwstr>
  </property>
  <property fmtid="{D5CDD505-2E9C-101B-9397-08002B2CF9AE}" pid="33" name="MSIP_Label_4929bff8-5b33-42aa-95d2-28f72e792cb0_SiteId">
    <vt:lpwstr>f35a6974-607f-47d4-82d7-ff31d7dc53a5</vt:lpwstr>
  </property>
  <property fmtid="{D5CDD505-2E9C-101B-9397-08002B2CF9AE}" pid="34" name="MSIP_Label_4929bff8-5b33-42aa-95d2-28f72e792cb0_ActionId">
    <vt:lpwstr>09c3175a-ec64-494f-97ca-d73986965b79</vt:lpwstr>
  </property>
  <property fmtid="{D5CDD505-2E9C-101B-9397-08002B2CF9AE}" pid="35" name="MSIP_Label_4929bff8-5b33-42aa-95d2-28f72e792cb0_ContentBits">
    <vt:lpwstr>0</vt:lpwstr>
  </property>
  <property fmtid="{D5CDD505-2E9C-101B-9397-08002B2CF9AE}" pid="36" name="DMS_Doc_ID">
    <vt:lpwstr>120940105</vt:lpwstr>
  </property>
</Properties>
</file>