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49435A" w14:textId="77777777" w:rsidR="003F4E45" w:rsidRPr="003F4E45" w:rsidRDefault="003F4E45" w:rsidP="003F4E45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bookmarkStart w:id="0" w:name="_GoBack"/>
      <w:bookmarkEnd w:id="0"/>
      <w:r w:rsidRPr="003F4E45">
        <w:rPr>
          <w:rFonts w:ascii="Times New Roman" w:eastAsia="Times New Roman" w:hAnsi="Times New Roman" w:cs="Times New Roman"/>
          <w:b/>
          <w:noProof/>
        </w:rPr>
        <w:t>1.</w:t>
      </w:r>
      <w:r w:rsidRPr="003F4E45">
        <w:rPr>
          <w:rFonts w:ascii="Times New Roman" w:eastAsia="Times New Roman" w:hAnsi="Times New Roman" w:cs="Times New Roman"/>
          <w:b/>
          <w:noProof/>
        </w:rPr>
        <w:tab/>
        <w:t>A GYÓGYSZER NEVE</w:t>
      </w:r>
    </w:p>
    <w:p w14:paraId="20A979E9" w14:textId="77777777" w:rsidR="003F4E45" w:rsidRPr="003F4E45" w:rsidRDefault="003F4E45" w:rsidP="003F4E45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20B6AB8D" w14:textId="7FAAB49A" w:rsidR="003F4E45" w:rsidRPr="003F4E45" w:rsidRDefault="003F4E45" w:rsidP="003F4E45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  <w:bookmarkStart w:id="1" w:name="_Hlk536083383"/>
      <w:r w:rsidRPr="003F4E45">
        <w:rPr>
          <w:rFonts w:ascii="Times New Roman" w:eastAsia="Times New Roman" w:hAnsi="Times New Roman" w:cs="Times New Roman"/>
          <w:noProof/>
        </w:rPr>
        <w:t>Dexmedetomidine Kalceks</w:t>
      </w:r>
      <w:r w:rsidR="004240B4">
        <w:rPr>
          <w:rFonts w:ascii="Times New Roman" w:eastAsia="Times New Roman" w:hAnsi="Times New Roman" w:cs="Times New Roman"/>
          <w:noProof/>
        </w:rPr>
        <w:t xml:space="preserve"> </w:t>
      </w:r>
      <w:r w:rsidRPr="003F4E45">
        <w:rPr>
          <w:rFonts w:ascii="Times New Roman" w:eastAsia="Times New Roman" w:hAnsi="Times New Roman" w:cs="Times New Roman"/>
          <w:noProof/>
        </w:rPr>
        <w:t xml:space="preserve">100 mikrogramm/ml koncentrátum oldatos </w:t>
      </w:r>
      <w:r w:rsidRPr="003F4E45">
        <w:rPr>
          <w:rFonts w:ascii="Times New Roman" w:eastAsia="SimSun" w:hAnsi="Times New Roman" w:cs="Times New Roman"/>
          <w:snapToGrid w:val="0"/>
          <w:szCs w:val="24"/>
          <w:lang w:val="en-GB" w:eastAsia="zh-CN"/>
        </w:rPr>
        <w:t>infúzióhoz</w:t>
      </w:r>
    </w:p>
    <w:p w14:paraId="1ADFF3C7" w14:textId="77777777" w:rsidR="003F4E45" w:rsidRPr="003F4E45" w:rsidRDefault="003F4E45" w:rsidP="003F4E45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1C97CB93" w14:textId="77777777" w:rsidR="003F4E45" w:rsidRPr="003F4E45" w:rsidRDefault="003F4E45" w:rsidP="003F4E45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06697550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b/>
          <w:snapToGrid w:val="0"/>
          <w:lang w:eastAsia="zh-CN"/>
        </w:rPr>
        <w:t>2.</w:t>
      </w:r>
      <w:r w:rsidRPr="003F4E45">
        <w:rPr>
          <w:rFonts w:ascii="Times New Roman" w:eastAsia="SimSun" w:hAnsi="Times New Roman" w:cs="Times New Roman"/>
          <w:b/>
          <w:snapToGrid w:val="0"/>
          <w:lang w:eastAsia="zh-CN"/>
        </w:rPr>
        <w:tab/>
        <w:t>MINŐSÉGI ÉS MENNYISÉGI ÖSSZETÉTEL</w:t>
      </w:r>
    </w:p>
    <w:p w14:paraId="16C6264D" w14:textId="77777777" w:rsidR="003F4E45" w:rsidRPr="003F4E45" w:rsidRDefault="003F4E45" w:rsidP="003F4E45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noProof/>
        </w:rPr>
      </w:pPr>
    </w:p>
    <w:p w14:paraId="4AB82034" w14:textId="1C02122F" w:rsidR="003F4E45" w:rsidRPr="003F4E45" w:rsidRDefault="003F4E45" w:rsidP="003F4E4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noProof/>
        </w:rPr>
      </w:pPr>
      <w:bookmarkStart w:id="2" w:name="_Hlk536083416"/>
      <w:r w:rsidRPr="003F4E45">
        <w:rPr>
          <w:rFonts w:ascii="Times New Roman" w:eastAsia="Times New Roman" w:hAnsi="Times New Roman" w:cs="Times New Roman"/>
          <w:bCs/>
          <w:noProof/>
        </w:rPr>
        <w:t>100 mikrogramm dexmedetomidinnek megfelelő dexmedetomidin</w:t>
      </w:r>
      <w:r w:rsidR="00FF3D32">
        <w:rPr>
          <w:rFonts w:ascii="Times New Roman" w:eastAsia="Times New Roman" w:hAnsi="Times New Roman" w:cs="Times New Roman"/>
          <w:bCs/>
          <w:noProof/>
        </w:rPr>
        <w:t>-</w:t>
      </w:r>
      <w:r w:rsidRPr="003F4E45">
        <w:rPr>
          <w:rFonts w:ascii="Times New Roman" w:eastAsia="Times New Roman" w:hAnsi="Times New Roman" w:cs="Times New Roman"/>
          <w:bCs/>
          <w:noProof/>
        </w:rPr>
        <w:t>hidrokloridot tartalmaz</w:t>
      </w:r>
      <w:r w:rsidR="00FF3D32">
        <w:rPr>
          <w:rFonts w:ascii="Times New Roman" w:eastAsia="Times New Roman" w:hAnsi="Times New Roman" w:cs="Times New Roman"/>
          <w:bCs/>
          <w:noProof/>
        </w:rPr>
        <w:t xml:space="preserve"> milliliterenként</w:t>
      </w:r>
      <w:r w:rsidRPr="003F4E45">
        <w:rPr>
          <w:rFonts w:ascii="Times New Roman" w:eastAsia="Times New Roman" w:hAnsi="Times New Roman" w:cs="Times New Roman"/>
          <w:bCs/>
          <w:noProof/>
        </w:rPr>
        <w:t>.</w:t>
      </w:r>
    </w:p>
    <w:bookmarkEnd w:id="1"/>
    <w:bookmarkEnd w:id="2"/>
    <w:p w14:paraId="14B848A1" w14:textId="77777777" w:rsidR="003F4E45" w:rsidRPr="003F4E45" w:rsidRDefault="003F4E45" w:rsidP="003F4E4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noProof/>
        </w:rPr>
      </w:pPr>
    </w:p>
    <w:p w14:paraId="7CC704E1" w14:textId="2D752541" w:rsidR="003F4E45" w:rsidRPr="003F4E45" w:rsidRDefault="003F4E45" w:rsidP="003F4E4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noProof/>
        </w:rPr>
      </w:pPr>
      <w:bookmarkStart w:id="3" w:name="_Hlk536082066"/>
      <w:r w:rsidRPr="003F4E45">
        <w:rPr>
          <w:rFonts w:ascii="Times New Roman" w:eastAsia="Times New Roman" w:hAnsi="Times New Roman" w:cs="Times New Roman"/>
          <w:bCs/>
          <w:noProof/>
        </w:rPr>
        <w:t>200 mikrogramm dexmedetomidint tartalmaz</w:t>
      </w:r>
      <w:r w:rsidR="00D51ACA">
        <w:rPr>
          <w:rFonts w:ascii="Times New Roman" w:eastAsia="Times New Roman" w:hAnsi="Times New Roman" w:cs="Times New Roman"/>
          <w:bCs/>
          <w:noProof/>
        </w:rPr>
        <w:t xml:space="preserve"> </w:t>
      </w:r>
      <w:r w:rsidR="00D51ACA" w:rsidRPr="003F4E45">
        <w:rPr>
          <w:rFonts w:ascii="Times New Roman" w:eastAsia="Times New Roman" w:hAnsi="Times New Roman" w:cs="Times New Roman"/>
          <w:bCs/>
          <w:noProof/>
        </w:rPr>
        <w:t>2 ml-es ampullánként</w:t>
      </w:r>
      <w:r w:rsidRPr="003F4E45">
        <w:rPr>
          <w:rFonts w:ascii="Times New Roman" w:eastAsia="Times New Roman" w:hAnsi="Times New Roman" w:cs="Times New Roman"/>
          <w:bCs/>
          <w:noProof/>
        </w:rPr>
        <w:t>.</w:t>
      </w:r>
    </w:p>
    <w:bookmarkEnd w:id="3"/>
    <w:p w14:paraId="7ACEE6E8" w14:textId="6DD52DE7" w:rsidR="00353F64" w:rsidRPr="00353F64" w:rsidRDefault="00B349B7" w:rsidP="00353F6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noProof/>
        </w:rPr>
      </w:pPr>
      <w:r>
        <w:rPr>
          <w:rFonts w:ascii="Times New Roman" w:eastAsia="Times New Roman" w:hAnsi="Times New Roman" w:cs="Times New Roman"/>
          <w:bCs/>
          <w:noProof/>
        </w:rPr>
        <w:t>4</w:t>
      </w:r>
      <w:r w:rsidR="00353F64" w:rsidRPr="003F4E45">
        <w:rPr>
          <w:rFonts w:ascii="Times New Roman" w:eastAsia="Times New Roman" w:hAnsi="Times New Roman" w:cs="Times New Roman"/>
          <w:bCs/>
          <w:noProof/>
        </w:rPr>
        <w:t>00 mikrogramm dexmedetomidint tartalmaz</w:t>
      </w:r>
      <w:r w:rsidR="00D51ACA">
        <w:rPr>
          <w:rFonts w:ascii="Times New Roman" w:eastAsia="Times New Roman" w:hAnsi="Times New Roman" w:cs="Times New Roman"/>
          <w:bCs/>
          <w:noProof/>
        </w:rPr>
        <w:t xml:space="preserve"> </w:t>
      </w:r>
      <w:r w:rsidR="00D51ACA" w:rsidRPr="00B349B7">
        <w:rPr>
          <w:rFonts w:ascii="Times New Roman" w:eastAsia="Times New Roman" w:hAnsi="Times New Roman" w:cs="Times New Roman"/>
          <w:bCs/>
          <w:noProof/>
        </w:rPr>
        <w:t>4</w:t>
      </w:r>
      <w:r w:rsidR="00D51ACA">
        <w:rPr>
          <w:rFonts w:ascii="Times New Roman" w:eastAsia="Times New Roman" w:hAnsi="Times New Roman" w:cs="Times New Roman"/>
          <w:bCs/>
          <w:noProof/>
        </w:rPr>
        <w:t> </w:t>
      </w:r>
      <w:r w:rsidR="00D51ACA" w:rsidRPr="00B349B7">
        <w:rPr>
          <w:rFonts w:ascii="Times New Roman" w:eastAsia="Times New Roman" w:hAnsi="Times New Roman" w:cs="Times New Roman"/>
          <w:bCs/>
          <w:noProof/>
        </w:rPr>
        <w:t>ml</w:t>
      </w:r>
      <w:r w:rsidR="00D51ACA">
        <w:rPr>
          <w:rFonts w:ascii="Times New Roman" w:eastAsia="Times New Roman" w:hAnsi="Times New Roman" w:cs="Times New Roman"/>
          <w:bCs/>
          <w:noProof/>
        </w:rPr>
        <w:t>-es</w:t>
      </w:r>
      <w:r w:rsidR="00D51ACA" w:rsidRPr="00B349B7">
        <w:rPr>
          <w:rFonts w:ascii="Times New Roman" w:eastAsia="Times New Roman" w:hAnsi="Times New Roman" w:cs="Times New Roman"/>
          <w:bCs/>
          <w:noProof/>
        </w:rPr>
        <w:t xml:space="preserve"> </w:t>
      </w:r>
      <w:r w:rsidR="00D51ACA" w:rsidRPr="000F3228">
        <w:rPr>
          <w:rFonts w:ascii="Times New Roman" w:hAnsi="Times New Roman" w:cs="Times New Roman"/>
        </w:rPr>
        <w:t>injekciós üvegenként</w:t>
      </w:r>
      <w:r w:rsidR="00353F64" w:rsidRPr="003F4E45">
        <w:rPr>
          <w:rFonts w:ascii="Times New Roman" w:eastAsia="Times New Roman" w:hAnsi="Times New Roman" w:cs="Times New Roman"/>
          <w:bCs/>
          <w:noProof/>
        </w:rPr>
        <w:t>.</w:t>
      </w:r>
    </w:p>
    <w:p w14:paraId="30A7BBCB" w14:textId="48676E6C" w:rsidR="00353F64" w:rsidRPr="00353F64" w:rsidRDefault="00B349B7" w:rsidP="00353F6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noProof/>
        </w:rPr>
      </w:pPr>
      <w:r>
        <w:rPr>
          <w:rFonts w:ascii="Times New Roman" w:eastAsia="Times New Roman" w:hAnsi="Times New Roman" w:cs="Times New Roman"/>
          <w:bCs/>
          <w:noProof/>
        </w:rPr>
        <w:t>10</w:t>
      </w:r>
      <w:r w:rsidR="00353F64" w:rsidRPr="003F4E45">
        <w:rPr>
          <w:rFonts w:ascii="Times New Roman" w:eastAsia="Times New Roman" w:hAnsi="Times New Roman" w:cs="Times New Roman"/>
          <w:bCs/>
          <w:noProof/>
        </w:rPr>
        <w:t>00 mikrogramm dexmedetomidint tartalmaz</w:t>
      </w:r>
      <w:r w:rsidR="00D51ACA">
        <w:rPr>
          <w:rFonts w:ascii="Times New Roman" w:eastAsia="Times New Roman" w:hAnsi="Times New Roman" w:cs="Times New Roman"/>
          <w:bCs/>
          <w:noProof/>
        </w:rPr>
        <w:t xml:space="preserve"> 10 </w:t>
      </w:r>
      <w:r w:rsidR="00D51ACA" w:rsidRPr="00B349B7">
        <w:rPr>
          <w:rFonts w:ascii="Times New Roman" w:eastAsia="Times New Roman" w:hAnsi="Times New Roman" w:cs="Times New Roman"/>
          <w:bCs/>
          <w:noProof/>
        </w:rPr>
        <w:t>ml</w:t>
      </w:r>
      <w:r w:rsidR="00D51ACA">
        <w:rPr>
          <w:rFonts w:ascii="Times New Roman" w:eastAsia="Times New Roman" w:hAnsi="Times New Roman" w:cs="Times New Roman"/>
          <w:bCs/>
          <w:noProof/>
        </w:rPr>
        <w:t>-es</w:t>
      </w:r>
      <w:r w:rsidR="00D51ACA" w:rsidRPr="00B349B7">
        <w:rPr>
          <w:rFonts w:ascii="Times New Roman" w:eastAsia="Times New Roman" w:hAnsi="Times New Roman" w:cs="Times New Roman"/>
          <w:bCs/>
          <w:noProof/>
        </w:rPr>
        <w:t xml:space="preserve"> </w:t>
      </w:r>
      <w:r w:rsidR="00D51ACA" w:rsidRPr="000F3228">
        <w:rPr>
          <w:rFonts w:ascii="Times New Roman" w:hAnsi="Times New Roman" w:cs="Times New Roman"/>
        </w:rPr>
        <w:t>injekciós üvegenként</w:t>
      </w:r>
      <w:r w:rsidR="00353F64" w:rsidRPr="003F4E45">
        <w:rPr>
          <w:rFonts w:ascii="Times New Roman" w:eastAsia="Times New Roman" w:hAnsi="Times New Roman" w:cs="Times New Roman"/>
          <w:bCs/>
          <w:noProof/>
        </w:rPr>
        <w:t>.</w:t>
      </w:r>
    </w:p>
    <w:p w14:paraId="72EC6784" w14:textId="77777777" w:rsidR="00353F64" w:rsidRDefault="00353F64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</w:p>
    <w:p w14:paraId="4919F5DF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  <w:r w:rsidRPr="003F4E45"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  <w:t>Hígítást követően a végső oldat koncentrációjának 4 mikrogramm/ml-nek vagy 8 mikrogramm/ml-nek kell lennie.</w:t>
      </w:r>
    </w:p>
    <w:p w14:paraId="03DFCD53" w14:textId="0120CBC6" w:rsidR="003F4E45" w:rsidRPr="003F4E45" w:rsidRDefault="003F4E45" w:rsidP="003F4E45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</w:p>
    <w:p w14:paraId="3BD48DCB" w14:textId="77777777" w:rsidR="003F4E45" w:rsidRPr="003F4E45" w:rsidRDefault="003F4E45" w:rsidP="003F4E4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noProof/>
        </w:rPr>
      </w:pPr>
      <w:r w:rsidRPr="003F4E45">
        <w:rPr>
          <w:rFonts w:ascii="Times New Roman" w:eastAsia="Times New Roman" w:hAnsi="Times New Roman" w:cs="Times New Roman"/>
        </w:rPr>
        <w:t xml:space="preserve">A segédanyagok teljes </w:t>
      </w:r>
      <w:r w:rsidRPr="003F4E45">
        <w:rPr>
          <w:rFonts w:ascii="Times New Roman" w:eastAsia="Times New Roman" w:hAnsi="Times New Roman" w:cs="Times New Roman"/>
          <w:bCs/>
          <w:noProof/>
        </w:rPr>
        <w:t>listáját</w:t>
      </w:r>
      <w:r w:rsidRPr="003F4E45">
        <w:rPr>
          <w:rFonts w:ascii="Times New Roman" w:eastAsia="Times New Roman" w:hAnsi="Times New Roman" w:cs="Times New Roman"/>
        </w:rPr>
        <w:t xml:space="preserve"> lásd a 6.1 pontban</w:t>
      </w:r>
      <w:r w:rsidRPr="003F4E45">
        <w:rPr>
          <w:rFonts w:ascii="Times New Roman" w:eastAsia="Times New Roman" w:hAnsi="Times New Roman" w:cs="Times New Roman"/>
          <w:bCs/>
          <w:noProof/>
        </w:rPr>
        <w:t>.</w:t>
      </w:r>
    </w:p>
    <w:p w14:paraId="645077C4" w14:textId="77777777" w:rsidR="003F4E45" w:rsidRPr="003F4E45" w:rsidRDefault="003F4E45" w:rsidP="003F4E4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7E0F7DEE" w14:textId="77777777" w:rsidR="003F4E45" w:rsidRPr="003F4E45" w:rsidRDefault="003F4E45" w:rsidP="003F4E45">
      <w:pPr>
        <w:widowControl w:val="0"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335F0A99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noProof/>
        </w:rPr>
      </w:pPr>
      <w:r w:rsidRPr="003F4E45">
        <w:rPr>
          <w:rFonts w:ascii="Times New Roman" w:eastAsia="Times New Roman" w:hAnsi="Times New Roman" w:cs="Times New Roman"/>
          <w:b/>
          <w:noProof/>
        </w:rPr>
        <w:t>3.</w:t>
      </w:r>
      <w:r w:rsidRPr="003F4E45">
        <w:rPr>
          <w:rFonts w:ascii="Times New Roman" w:eastAsia="Times New Roman" w:hAnsi="Times New Roman" w:cs="Times New Roman"/>
          <w:b/>
          <w:noProof/>
        </w:rPr>
        <w:tab/>
        <w:t>GYÓGYSZERFORMA</w:t>
      </w:r>
    </w:p>
    <w:p w14:paraId="6026623A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noProof/>
          <w:snapToGrid w:val="0"/>
          <w:lang w:eastAsia="zh-CN"/>
        </w:rPr>
      </w:pPr>
    </w:p>
    <w:p w14:paraId="3B933252" w14:textId="77777777" w:rsidR="003F4E45" w:rsidRPr="003F4E45" w:rsidRDefault="003F4E45" w:rsidP="003F4E4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noProof/>
        </w:rPr>
      </w:pPr>
      <w:r w:rsidRPr="003F4E45">
        <w:rPr>
          <w:rFonts w:ascii="Times New Roman" w:eastAsia="Times New Roman" w:hAnsi="Times New Roman" w:cs="Times New Roman"/>
          <w:bCs/>
          <w:noProof/>
        </w:rPr>
        <w:t xml:space="preserve">Koncentrátum oldatos </w:t>
      </w:r>
      <w:r w:rsidRPr="003F4E45">
        <w:rPr>
          <w:rFonts w:ascii="Times New Roman" w:eastAsia="Times New Roman" w:hAnsi="Times New Roman" w:cs="Times New Roman"/>
          <w:noProof/>
          <w:szCs w:val="20"/>
        </w:rPr>
        <w:t>infúzióhoz</w:t>
      </w:r>
      <w:r w:rsidRPr="003F4E45">
        <w:rPr>
          <w:rFonts w:ascii="Times New Roman" w:eastAsia="Times New Roman" w:hAnsi="Times New Roman" w:cs="Times New Roman"/>
          <w:bCs/>
          <w:noProof/>
        </w:rPr>
        <w:t xml:space="preserve"> (steril koncentrátum).</w:t>
      </w:r>
    </w:p>
    <w:p w14:paraId="18FE592B" w14:textId="5D6AECCE" w:rsidR="003F4E45" w:rsidRPr="003F4E45" w:rsidRDefault="003F4E45" w:rsidP="003F4E4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noProof/>
        </w:rPr>
      </w:pPr>
      <w:r w:rsidRPr="003F4E45">
        <w:rPr>
          <w:rFonts w:ascii="Times New Roman" w:eastAsia="Times New Roman" w:hAnsi="Times New Roman" w:cs="Times New Roman"/>
          <w:bCs/>
          <w:noProof/>
        </w:rPr>
        <w:t>A koncentrátum tiszta, színtelen vagy sárgás színű oldat, pH: 4,5</w:t>
      </w:r>
      <w:r w:rsidR="00FF3D32">
        <w:rPr>
          <w:rFonts w:ascii="Times New Roman" w:eastAsia="Times New Roman" w:hAnsi="Times New Roman" w:cs="Times New Roman"/>
          <w:bCs/>
          <w:noProof/>
        </w:rPr>
        <w:t>–</w:t>
      </w:r>
      <w:r w:rsidRPr="003F4E45">
        <w:rPr>
          <w:rFonts w:ascii="Times New Roman" w:eastAsia="Times New Roman" w:hAnsi="Times New Roman" w:cs="Times New Roman"/>
          <w:bCs/>
          <w:noProof/>
        </w:rPr>
        <w:t>7,0.</w:t>
      </w:r>
    </w:p>
    <w:p w14:paraId="1B4A1073" w14:textId="77777777" w:rsid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lang w:eastAsia="zh-CN"/>
        </w:rPr>
      </w:pPr>
    </w:p>
    <w:p w14:paraId="06DA3F86" w14:textId="77777777" w:rsidR="00733E02" w:rsidRPr="003F4E45" w:rsidRDefault="00733E02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lang w:eastAsia="zh-CN"/>
        </w:rPr>
      </w:pPr>
    </w:p>
    <w:p w14:paraId="0365C70D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b/>
          <w:snapToGrid w:val="0"/>
          <w:lang w:eastAsia="zh-CN"/>
        </w:rPr>
        <w:t>4.</w:t>
      </w:r>
      <w:r w:rsidRPr="003F4E45">
        <w:rPr>
          <w:rFonts w:ascii="Times New Roman" w:eastAsia="SimSun" w:hAnsi="Times New Roman" w:cs="Times New Roman"/>
          <w:b/>
          <w:snapToGrid w:val="0"/>
          <w:lang w:eastAsia="zh-CN"/>
        </w:rPr>
        <w:tab/>
        <w:t>KLINIKAI JELLEMZŐK</w:t>
      </w:r>
    </w:p>
    <w:p w14:paraId="7291E4D5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</w:p>
    <w:p w14:paraId="6204B889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3F4E45">
        <w:rPr>
          <w:rFonts w:ascii="Times New Roman" w:eastAsia="Times New Roman" w:hAnsi="Times New Roman" w:cs="Times New Roman"/>
          <w:b/>
          <w:noProof/>
        </w:rPr>
        <w:t>4.1</w:t>
      </w:r>
      <w:r w:rsidRPr="003F4E45">
        <w:rPr>
          <w:rFonts w:ascii="Times New Roman" w:eastAsia="Times New Roman" w:hAnsi="Times New Roman" w:cs="Times New Roman"/>
          <w:b/>
          <w:noProof/>
        </w:rPr>
        <w:tab/>
        <w:t>Terápiás javallatok</w:t>
      </w:r>
    </w:p>
    <w:p w14:paraId="6A285508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</w:p>
    <w:p w14:paraId="2852F803" w14:textId="5459E496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  <w:bookmarkStart w:id="4" w:name="_Hlk517557877"/>
      <w:r w:rsidRPr="003F4E45">
        <w:rPr>
          <w:rFonts w:ascii="Times New Roman" w:eastAsia="Times New Roman" w:hAnsi="Times New Roman" w:cs="Times New Roman"/>
          <w:noProof/>
        </w:rPr>
        <w:t>Intenzív osztályon kezelt, a verbális stimulációra ébreszthető állapotnál nem mélyebb – a Richmond-féle agitációs-szedációs skálán (RASS) 0 </w:t>
      </w:r>
      <w:r w:rsidR="00FF3D32">
        <w:rPr>
          <w:rFonts w:ascii="Times New Roman" w:eastAsia="Times New Roman" w:hAnsi="Times New Roman" w:cs="Times New Roman"/>
          <w:noProof/>
        </w:rPr>
        <w:t>–</w:t>
      </w:r>
      <w:r w:rsidRPr="003F4E45">
        <w:rPr>
          <w:rFonts w:ascii="Times New Roman" w:eastAsia="Times New Roman" w:hAnsi="Times New Roman" w:cs="Times New Roman"/>
          <w:noProof/>
        </w:rPr>
        <w:t> (</w:t>
      </w:r>
      <w:r w:rsidR="00FF3D32">
        <w:rPr>
          <w:rFonts w:ascii="Times New Roman" w:eastAsia="Times New Roman" w:hAnsi="Times New Roman" w:cs="Times New Roman"/>
          <w:noProof/>
        </w:rPr>
        <w:t>–</w:t>
      </w:r>
      <w:r w:rsidRPr="003F4E45">
        <w:rPr>
          <w:rFonts w:ascii="Times New Roman" w:eastAsia="Times New Roman" w:hAnsi="Times New Roman" w:cs="Times New Roman"/>
          <w:noProof/>
        </w:rPr>
        <w:t>3) értékű – szedációt igénylő felnőtt betegek szedációja.</w:t>
      </w:r>
      <w:bookmarkEnd w:id="4"/>
    </w:p>
    <w:p w14:paraId="12015858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58A6E5DC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  <w:bookmarkStart w:id="5" w:name="_Hlk517628092"/>
      <w:r w:rsidRPr="003F4E45">
        <w:rPr>
          <w:rFonts w:ascii="Times New Roman" w:eastAsia="Times New Roman" w:hAnsi="Times New Roman" w:cs="Times New Roman"/>
        </w:rPr>
        <w:t>Szedációt igénylő diagnosztikai vagy műtéti beavatkozások előtt és/vagy során, nem intubált felnőtt betegek szedációja, azaz műtéti/éber szedáció.</w:t>
      </w:r>
      <w:bookmarkEnd w:id="5"/>
    </w:p>
    <w:p w14:paraId="15CD041D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523822E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3F4E45">
        <w:rPr>
          <w:rFonts w:ascii="Times New Roman" w:eastAsia="Times New Roman" w:hAnsi="Times New Roman" w:cs="Times New Roman"/>
          <w:b/>
          <w:noProof/>
        </w:rPr>
        <w:t>4.2</w:t>
      </w:r>
      <w:r w:rsidRPr="003F4E45">
        <w:rPr>
          <w:rFonts w:ascii="Times New Roman" w:eastAsia="Times New Roman" w:hAnsi="Times New Roman" w:cs="Times New Roman"/>
          <w:b/>
          <w:noProof/>
        </w:rPr>
        <w:tab/>
        <w:t>Adagolás és alkalmazás</w:t>
      </w:r>
    </w:p>
    <w:p w14:paraId="6E462102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</w:p>
    <w:p w14:paraId="136D4523" w14:textId="5EADBDB7" w:rsidR="003F4E45" w:rsidRPr="003F4E45" w:rsidRDefault="003F4E45" w:rsidP="003F4E45">
      <w:pPr>
        <w:keepNext/>
        <w:tabs>
          <w:tab w:val="left" w:pos="0"/>
        </w:tabs>
        <w:spacing w:after="0" w:line="240" w:lineRule="auto"/>
        <w:outlineLvl w:val="0"/>
        <w:rPr>
          <w:rFonts w:ascii="Times New Roman" w:eastAsia="SimSun" w:hAnsi="Times New Roman" w:cs="Times New Roman"/>
          <w:b/>
          <w:snapToGrid w:val="0"/>
          <w:szCs w:val="20"/>
          <w:lang w:eastAsia="zh-CN"/>
        </w:rPr>
      </w:pPr>
      <w:r w:rsidRPr="003F4E45">
        <w:rPr>
          <w:rFonts w:ascii="Times New Roman" w:eastAsia="SimSun" w:hAnsi="Times New Roman" w:cs="Times New Roman"/>
          <w:b/>
          <w:snapToGrid w:val="0"/>
          <w:szCs w:val="20"/>
          <w:lang w:eastAsia="zh-CN"/>
        </w:rPr>
        <w:t>Intenzív osztályon kezelt, a verbális stimulációra ébreszthető állapotnál nem mélyebb – a Richmond-féle agitációs-szedációs skálán (RASS) 0 </w:t>
      </w:r>
      <w:r w:rsidR="00FF3D32">
        <w:rPr>
          <w:rFonts w:ascii="Times New Roman" w:eastAsia="SimSun" w:hAnsi="Times New Roman" w:cs="Times New Roman"/>
          <w:b/>
          <w:snapToGrid w:val="0"/>
          <w:szCs w:val="20"/>
          <w:lang w:eastAsia="zh-CN"/>
        </w:rPr>
        <w:t>–</w:t>
      </w:r>
      <w:r w:rsidRPr="003F4E45">
        <w:rPr>
          <w:rFonts w:ascii="Times New Roman" w:eastAsia="SimSun" w:hAnsi="Times New Roman" w:cs="Times New Roman"/>
          <w:b/>
          <w:snapToGrid w:val="0"/>
          <w:szCs w:val="20"/>
          <w:lang w:eastAsia="zh-CN"/>
        </w:rPr>
        <w:t> (</w:t>
      </w:r>
      <w:r w:rsidR="00FF3D32">
        <w:rPr>
          <w:rFonts w:ascii="Times New Roman" w:eastAsia="SimSun" w:hAnsi="Times New Roman" w:cs="Times New Roman"/>
          <w:b/>
          <w:snapToGrid w:val="0"/>
          <w:szCs w:val="20"/>
          <w:lang w:eastAsia="zh-CN"/>
        </w:rPr>
        <w:t>–</w:t>
      </w:r>
      <w:r w:rsidRPr="003F4E45">
        <w:rPr>
          <w:rFonts w:ascii="Times New Roman" w:eastAsia="SimSun" w:hAnsi="Times New Roman" w:cs="Times New Roman"/>
          <w:b/>
          <w:snapToGrid w:val="0"/>
          <w:szCs w:val="20"/>
          <w:lang w:eastAsia="zh-CN"/>
        </w:rPr>
        <w:t>3) értékű – szedációt igénylő felnőtt betegek szedációja</w:t>
      </w:r>
    </w:p>
    <w:p w14:paraId="6202097C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</w:p>
    <w:p w14:paraId="4B6DFA29" w14:textId="59F686D0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>Kizárólag kórházi alkalmazásra. A gyógyszert az intenzív kezelést igénylő betegek ellátásában jártas egészségügyi szakembernek kell beadnia.</w:t>
      </w:r>
    </w:p>
    <w:p w14:paraId="5522E497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6A862B4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3F4E45">
        <w:rPr>
          <w:rFonts w:ascii="Times New Roman" w:eastAsia="Times New Roman" w:hAnsi="Times New Roman" w:cs="Times New Roman"/>
          <w:u w:val="single"/>
        </w:rPr>
        <w:t>Adagolás</w:t>
      </w:r>
    </w:p>
    <w:p w14:paraId="74DF51CE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6523171" w14:textId="161014EA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>A már intubált és szedált betegeket át lehet állítani 0,7 mikrogramm/ttkg/óra kezdeti infúziós sebességgel adott dexmedetomidinre, amelyet később a kívánt mértékű szedáció elérése érdekében, a beteg reakciójától függően lépésenként lehet módosítani a 0,2</w:t>
      </w:r>
      <w:r w:rsidR="00FF3D32">
        <w:rPr>
          <w:rFonts w:ascii="Times New Roman" w:eastAsia="Times New Roman" w:hAnsi="Times New Roman" w:cs="Times New Roman"/>
        </w:rPr>
        <w:t>–</w:t>
      </w:r>
      <w:r w:rsidRPr="003F4E45">
        <w:rPr>
          <w:rFonts w:ascii="Times New Roman" w:eastAsia="Times New Roman" w:hAnsi="Times New Roman" w:cs="Times New Roman"/>
        </w:rPr>
        <w:t xml:space="preserve">1,4 mikrogramm/ttkg/óra dózistartományon belül. Rossz általános állapotú betegek esetén mérlegelni kell egy alacsonyabb kezdő infúziós sebesség alkalmazását. A dexmedetomidin igen </w:t>
      </w:r>
      <w:r w:rsidR="00FF3D32">
        <w:rPr>
          <w:rFonts w:ascii="Times New Roman" w:eastAsia="Times New Roman" w:hAnsi="Times New Roman" w:cs="Times New Roman"/>
        </w:rPr>
        <w:t xml:space="preserve">erős </w:t>
      </w:r>
      <w:r w:rsidRPr="003F4E45">
        <w:rPr>
          <w:rFonts w:ascii="Times New Roman" w:eastAsia="Times New Roman" w:hAnsi="Times New Roman" w:cs="Times New Roman"/>
        </w:rPr>
        <w:t>hat</w:t>
      </w:r>
      <w:r w:rsidR="00FF3D32">
        <w:rPr>
          <w:rFonts w:ascii="Times New Roman" w:eastAsia="Times New Roman" w:hAnsi="Times New Roman" w:cs="Times New Roman"/>
        </w:rPr>
        <w:t>ású</w:t>
      </w:r>
      <w:r w:rsidRPr="003F4E45">
        <w:rPr>
          <w:rFonts w:ascii="Times New Roman" w:eastAsia="Times New Roman" w:hAnsi="Times New Roman" w:cs="Times New Roman"/>
        </w:rPr>
        <w:t xml:space="preserve">, az infúzió sebességét </w:t>
      </w:r>
      <w:r w:rsidRPr="003F4E45">
        <w:rPr>
          <w:rFonts w:ascii="Times New Roman" w:eastAsia="Times New Roman" w:hAnsi="Times New Roman" w:cs="Times New Roman"/>
          <w:b/>
        </w:rPr>
        <w:t>óránként</w:t>
      </w:r>
      <w:r w:rsidRPr="003F4E45">
        <w:rPr>
          <w:rFonts w:ascii="Times New Roman" w:eastAsia="Times New Roman" w:hAnsi="Times New Roman" w:cs="Times New Roman"/>
        </w:rPr>
        <w:t xml:space="preserve"> kell megállapítani. A dózis módosítását követően az új dinamikus egyensúlyi állapotra jellemző mértékű szedáció kialakulásáig akár egy óra is eltelhet.</w:t>
      </w:r>
    </w:p>
    <w:p w14:paraId="0A3F7B38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066CB8A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/>
        </w:rPr>
      </w:pPr>
      <w:r w:rsidRPr="003F4E45">
        <w:rPr>
          <w:rFonts w:ascii="Times New Roman" w:eastAsia="Times New Roman" w:hAnsi="Times New Roman" w:cs="Times New Roman"/>
          <w:i/>
        </w:rPr>
        <w:lastRenderedPageBreak/>
        <w:t>Maximális dózis</w:t>
      </w:r>
    </w:p>
    <w:p w14:paraId="429B4FD0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>A maximális, 1,4 mikrogramm/ttkg/óra dózist nem szabad túllépni. Azoknál a betegeknél, akiknél a dexmedetomidin maximális dózisával sem tudnak megfelelő szintű szedációt elérni, másik szedatív készítményre kell áttérni.</w:t>
      </w:r>
    </w:p>
    <w:p w14:paraId="5B51C0DE" w14:textId="0BCEC296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>A dexmedetomidin esetén telítő dózis alkalmazása intenzív osztályon végzett szedációhoz nem javasolt és fokozott mellékhatásokkal jár. Szükség esetén propofol vagy midazolám adható mindaddig, amíg a dexmedetomidin klinikai hatásai ki nem alakulnak.</w:t>
      </w:r>
    </w:p>
    <w:p w14:paraId="6A60EA79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3101E64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/>
        </w:rPr>
      </w:pPr>
      <w:r w:rsidRPr="003F4E45">
        <w:rPr>
          <w:rFonts w:ascii="Times New Roman" w:eastAsia="Times New Roman" w:hAnsi="Times New Roman" w:cs="Times New Roman"/>
          <w:i/>
        </w:rPr>
        <w:t>A kezelés időtartama</w:t>
      </w:r>
    </w:p>
    <w:p w14:paraId="3C6AB486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>A dexmedetomidin 14 napnál hosszabb ideig történő alkalmazásával kapcsolatban nincsenek tapasztalatok. Ennél az időtartamnál hosszabb alkalmazás esetén rendszeresen újra kell értékelni a dexmedetomidin alkalmazását.</w:t>
      </w:r>
    </w:p>
    <w:p w14:paraId="649C5C7B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5D94D8C9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3F4E45">
        <w:rPr>
          <w:rFonts w:ascii="Times New Roman" w:eastAsia="Times New Roman" w:hAnsi="Times New Roman" w:cs="Times New Roman"/>
          <w:b/>
        </w:rPr>
        <w:t>Szedációt igénylő, diagnosztikai vagy műtéti beavatkozások előtt és/vagy során nem intubált felnőtt betegek szedációja, azaz műtéti/éber szedáció</w:t>
      </w:r>
    </w:p>
    <w:p w14:paraId="324D8BC2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63F76B2A" w14:textId="5CFB0DD9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 xml:space="preserve">A dexmedetomidint kizárólag olyan egészségügyi szakember adhatja be, aki jártas a betegek aneszteziológiai ellátásában a műtőben vagy diagnosztikai eljárás alatt. Amikor a </w:t>
      </w:r>
      <w:bookmarkStart w:id="6" w:name="_Hlk517632712"/>
      <w:r w:rsidRPr="003F4E45">
        <w:rPr>
          <w:rFonts w:ascii="Times New Roman" w:eastAsia="Times New Roman" w:hAnsi="Times New Roman" w:cs="Times New Roman"/>
        </w:rPr>
        <w:t>dexmedetomidint</w:t>
      </w:r>
      <w:bookmarkEnd w:id="6"/>
      <w:r w:rsidRPr="003F4E45">
        <w:rPr>
          <w:rFonts w:ascii="Times New Roman" w:eastAsia="Times New Roman" w:hAnsi="Times New Roman" w:cs="Times New Roman"/>
        </w:rPr>
        <w:t xml:space="preserve"> éber szedáció során adják, a beteget olyan személyeknek kell folyamatosan monitorozniuk, akik nem vesznek részt a diagnosztikai vagy a műtéti beavatkozás végrehajtásában. A betegeket folyamatos megfigyelés alatt kell tartani, hogy észlelni lehessen a hypot</w:t>
      </w:r>
      <w:r w:rsidR="00953D92">
        <w:rPr>
          <w:rFonts w:ascii="Times New Roman" w:eastAsia="Times New Roman" w:hAnsi="Times New Roman" w:cs="Times New Roman"/>
        </w:rPr>
        <w:t>ensio</w:t>
      </w:r>
      <w:r w:rsidRPr="003F4E45">
        <w:rPr>
          <w:rFonts w:ascii="Times New Roman" w:eastAsia="Times New Roman" w:hAnsi="Times New Roman" w:cs="Times New Roman"/>
        </w:rPr>
        <w:t>, a hypert</w:t>
      </w:r>
      <w:r w:rsidR="00953D92">
        <w:rPr>
          <w:rFonts w:ascii="Times New Roman" w:eastAsia="Times New Roman" w:hAnsi="Times New Roman" w:cs="Times New Roman"/>
        </w:rPr>
        <w:t>ensio</w:t>
      </w:r>
      <w:r w:rsidRPr="003F4E45">
        <w:rPr>
          <w:rFonts w:ascii="Times New Roman" w:eastAsia="Times New Roman" w:hAnsi="Times New Roman" w:cs="Times New Roman"/>
        </w:rPr>
        <w:t>, a bradycardia, a légzésdepresszió, a légúti elzáródás, az apnoe, a légszomj és/vagy az oxigén</w:t>
      </w:r>
      <w:r w:rsidR="00FF3D32">
        <w:rPr>
          <w:rFonts w:ascii="Times New Roman" w:eastAsia="Times New Roman" w:hAnsi="Times New Roman" w:cs="Times New Roman"/>
        </w:rPr>
        <w:t>-</w:t>
      </w:r>
      <w:r w:rsidRPr="003F4E45">
        <w:rPr>
          <w:rFonts w:ascii="Times New Roman" w:eastAsia="Times New Roman" w:hAnsi="Times New Roman" w:cs="Times New Roman"/>
        </w:rPr>
        <w:t xml:space="preserve">deszaturáció korai jeleit (lásd 4.8 pont). </w:t>
      </w:r>
    </w:p>
    <w:p w14:paraId="25D7145C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734C8B1" w14:textId="2B4D6F31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>A kiegészítő oxigénellátásnak azonnal rendelkezésre kell állnia</w:t>
      </w:r>
      <w:r w:rsidR="00FF3D32">
        <w:rPr>
          <w:rFonts w:ascii="Times New Roman" w:eastAsia="Times New Roman" w:hAnsi="Times New Roman" w:cs="Times New Roman"/>
        </w:rPr>
        <w:t>,</w:t>
      </w:r>
      <w:r w:rsidRPr="003F4E45">
        <w:rPr>
          <w:rFonts w:ascii="Times New Roman" w:eastAsia="Times New Roman" w:hAnsi="Times New Roman" w:cs="Times New Roman"/>
        </w:rPr>
        <w:t xml:space="preserve"> és szükség esetén a betegnek oxigént kell kapnia. Az oxigénszaturációt impulzus-oximetriával monitorozni kell.</w:t>
      </w:r>
    </w:p>
    <w:p w14:paraId="4F03FBC7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66DED416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 xml:space="preserve">A dexmedetomidint telítő infúzióként, majd ezt követően fenntartó infúzióban adják. A beavatkozástól függően párhuzamosan alkalmazott lokális anesztéziára vagy analgéziára lehet szükség a kívánt klinikai hatás eléréséhez. Fájdalmas beavatkozásoknál vagy amikor mély szedáció szükséges, kiegészítő analgézia vagy szedatívumok (pl. opioidok, midazolám vagy propofol) alkalmazása ajánlott.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A </w:t>
      </w:r>
      <w:r w:rsidRPr="003F4E45">
        <w:rPr>
          <w:rFonts w:ascii="Times New Roman" w:eastAsia="Times New Roman" w:hAnsi="Times New Roman" w:cs="Times New Roman"/>
        </w:rPr>
        <w:t xml:space="preserve">dexmedetomidin farmakokinetikai eloszlási felezési ideje a becslések szerint körülbelül 6 perc,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amit </w:t>
      </w:r>
      <w:r w:rsidRPr="003F4E45">
        <w:rPr>
          <w:rFonts w:ascii="Times New Roman" w:eastAsia="Times New Roman" w:hAnsi="Times New Roman" w:cs="Times New Roman"/>
        </w:rPr>
        <w:t>a dexmedetomidin kívánt klinikai hatásának elérése érdekében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az egyidejűleg adott gyógyszerek hatásaival együtt figyelembe kell venni, amikor megállapítják azt a megfelelő időtartamot, amely a </w:t>
      </w:r>
      <w:r w:rsidRPr="003F4E45">
        <w:rPr>
          <w:rFonts w:ascii="Times New Roman" w:eastAsia="Times New Roman" w:hAnsi="Times New Roman" w:cs="Times New Roman"/>
        </w:rPr>
        <w:t>dexmedetomidin titrálásához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szükséges</w:t>
      </w:r>
      <w:r w:rsidRPr="003F4E45">
        <w:rPr>
          <w:rFonts w:ascii="Times New Roman" w:eastAsia="Times New Roman" w:hAnsi="Times New Roman" w:cs="Times New Roman"/>
        </w:rPr>
        <w:t xml:space="preserve">. </w:t>
      </w:r>
    </w:p>
    <w:p w14:paraId="0D7B452F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D19D2D9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/>
        </w:rPr>
      </w:pPr>
      <w:r w:rsidRPr="003F4E45">
        <w:rPr>
          <w:rFonts w:ascii="Times New Roman" w:eastAsia="Times New Roman" w:hAnsi="Times New Roman" w:cs="Times New Roman"/>
          <w:i/>
        </w:rPr>
        <w:t>A műtéti szedáció indítása:</w:t>
      </w:r>
    </w:p>
    <w:p w14:paraId="72BAA034" w14:textId="77777777" w:rsidR="003F4E45" w:rsidRPr="003F4E45" w:rsidRDefault="003F4E45" w:rsidP="003F4E45">
      <w:pPr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567"/>
        <w:contextualSpacing/>
        <w:outlineLvl w:val="0"/>
        <w:rPr>
          <w:rFonts w:ascii="Calibri" w:eastAsia="Calibri" w:hAnsi="Calibri" w:cs="Times New Roman"/>
        </w:rPr>
      </w:pPr>
      <w:r w:rsidRPr="003F4E45">
        <w:rPr>
          <w:rFonts w:ascii="Times New Roman" w:eastAsia="Calibri" w:hAnsi="Times New Roman" w:cs="Times New Roman"/>
        </w:rPr>
        <w:t>1,0 mikrogramm/ttkg telítő infúzió 10 percen keresztül. A kisebb beavatkozással járó eljárásoknál, pl. szemészeti műtéteknél, a 10 percen át adott 0,5 mikrogramm/ttkg telítő infúzió is elegendő lehet.</w:t>
      </w:r>
    </w:p>
    <w:p w14:paraId="7CA0CEC4" w14:textId="77777777" w:rsidR="003F4E45" w:rsidRPr="003F4E45" w:rsidRDefault="003F4E45" w:rsidP="003F4E45">
      <w:pPr>
        <w:tabs>
          <w:tab w:val="left" w:pos="284"/>
        </w:tabs>
        <w:spacing w:after="0" w:line="240" w:lineRule="auto"/>
        <w:outlineLvl w:val="0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40293A5A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Cs/>
          <w:i/>
          <w:snapToGrid w:val="0"/>
          <w:szCs w:val="20"/>
          <w:lang w:eastAsia="zh-CN"/>
        </w:rPr>
      </w:pPr>
      <w:r w:rsidRPr="003F4E45">
        <w:rPr>
          <w:rFonts w:ascii="Times New Roman" w:eastAsia="SimSun" w:hAnsi="Times New Roman" w:cs="Times New Roman"/>
          <w:bCs/>
          <w:i/>
          <w:snapToGrid w:val="0"/>
          <w:szCs w:val="20"/>
          <w:lang w:eastAsia="zh-CN"/>
        </w:rPr>
        <w:t>A műtéti szedáció fenntartása:</w:t>
      </w:r>
    </w:p>
    <w:p w14:paraId="08B05FFF" w14:textId="264F204A" w:rsidR="003F4E45" w:rsidRPr="003F4E45" w:rsidRDefault="003F4E45" w:rsidP="003F4E45">
      <w:pPr>
        <w:tabs>
          <w:tab w:val="left" w:pos="284"/>
        </w:tabs>
        <w:spacing w:after="0" w:line="240" w:lineRule="auto"/>
        <w:outlineLvl w:val="0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A fenntartó infúziót általában 0,6</w:t>
      </w:r>
      <w:r w:rsidR="00FF3D32">
        <w:rPr>
          <w:rFonts w:ascii="Times New Roman" w:eastAsia="SimSun" w:hAnsi="Times New Roman" w:cs="Times New Roman"/>
          <w:snapToGrid w:val="0"/>
          <w:szCs w:val="20"/>
          <w:lang w:eastAsia="zh-CN"/>
        </w:rPr>
        <w:t>–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0,7 mikrogramm/ttkg/óra dózissal indítják, amit később a 0,2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noBreakHyphen/>
        <w:t>1 mikrogramm/ttkg/óra dózistartományban végzett titrálással módosítanak a kívánt klinikai hatás eléréséig. A fenntartó infúzió sebességét a kívánt mértékű szedáció eléréséhez szükséges mértékben kell beállítani.</w:t>
      </w:r>
    </w:p>
    <w:p w14:paraId="715F702F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55F9DE7" w14:textId="12268FB9" w:rsidR="003F4E45" w:rsidRPr="003F4E45" w:rsidRDefault="00733E02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u w:val="single"/>
          <w:lang w:eastAsia="zh-CN"/>
        </w:rPr>
      </w:pPr>
      <w:r>
        <w:rPr>
          <w:rFonts w:ascii="Times New Roman" w:eastAsia="SimSun" w:hAnsi="Times New Roman" w:cs="Times New Roman"/>
          <w:snapToGrid w:val="0"/>
          <w:u w:val="single"/>
          <w:lang w:eastAsia="zh-CN"/>
        </w:rPr>
        <w:t>Különleges</w:t>
      </w: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 xml:space="preserve"> </w:t>
      </w:r>
      <w:r w:rsidR="003F4E45"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betegcsoportok</w:t>
      </w:r>
    </w:p>
    <w:p w14:paraId="7039973C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</w:p>
    <w:p w14:paraId="6C6BBD6C" w14:textId="77777777" w:rsidR="003F4E45" w:rsidRPr="003F4E45" w:rsidRDefault="003F4E45" w:rsidP="003F4E45">
      <w:pPr>
        <w:keepNext/>
        <w:tabs>
          <w:tab w:val="left" w:pos="0"/>
        </w:tabs>
        <w:spacing w:after="0" w:line="240" w:lineRule="auto"/>
        <w:outlineLvl w:val="0"/>
        <w:rPr>
          <w:rFonts w:ascii="Times New Roman" w:eastAsia="SimSun" w:hAnsi="Times New Roman" w:cs="Times New Roman"/>
          <w:i/>
          <w:iCs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i/>
          <w:iCs/>
          <w:snapToGrid w:val="0"/>
          <w:lang w:eastAsia="zh-CN"/>
        </w:rPr>
        <w:t>Idősek</w:t>
      </w:r>
    </w:p>
    <w:p w14:paraId="7C4ED656" w14:textId="5D5DB058" w:rsidR="003F4E45" w:rsidRPr="003F4E45" w:rsidRDefault="003F4E45" w:rsidP="003F4E45">
      <w:pPr>
        <w:tabs>
          <w:tab w:val="left" w:pos="0"/>
        </w:tabs>
        <w:spacing w:after="0" w:line="240" w:lineRule="auto"/>
        <w:outlineLvl w:val="0"/>
        <w:rPr>
          <w:rFonts w:ascii="Times New Roman" w:eastAsia="SimSun" w:hAnsi="Times New Roman" w:cs="Times New Roman"/>
          <w:iCs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iCs/>
          <w:snapToGrid w:val="0"/>
          <w:lang w:eastAsia="zh-CN"/>
        </w:rPr>
        <w:t xml:space="preserve">Idős betegeknél általában nincs szükség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a dózis módosítására</w:t>
      </w:r>
      <w:r w:rsidRPr="003F4E45">
        <w:rPr>
          <w:rFonts w:ascii="Times New Roman" w:eastAsia="SimSun" w:hAnsi="Times New Roman" w:cs="Times New Roman"/>
          <w:bCs/>
          <w:iCs/>
          <w:snapToGrid w:val="0"/>
          <w:lang w:eastAsia="zh-CN"/>
        </w:rPr>
        <w:t xml:space="preserve"> (lásd 5.2 pont). </w:t>
      </w:r>
      <w:r w:rsidR="00FF3D32">
        <w:rPr>
          <w:rFonts w:ascii="Times New Roman" w:eastAsia="SimSun" w:hAnsi="Times New Roman" w:cs="Times New Roman"/>
          <w:bCs/>
          <w:iCs/>
          <w:snapToGrid w:val="0"/>
          <w:lang w:eastAsia="zh-CN"/>
        </w:rPr>
        <w:t>I</w:t>
      </w:r>
      <w:r w:rsidRPr="003F4E45">
        <w:rPr>
          <w:rFonts w:ascii="Times New Roman" w:eastAsia="SimSun" w:hAnsi="Times New Roman" w:cs="Times New Roman"/>
          <w:bCs/>
          <w:iCs/>
          <w:snapToGrid w:val="0"/>
          <w:lang w:eastAsia="zh-CN"/>
        </w:rPr>
        <w:t>dős betegeknél fokozottnak tűnik a hypot</w:t>
      </w:r>
      <w:r w:rsidR="00953D92">
        <w:rPr>
          <w:rFonts w:ascii="Times New Roman" w:eastAsia="SimSun" w:hAnsi="Times New Roman" w:cs="Times New Roman"/>
          <w:bCs/>
          <w:iCs/>
          <w:snapToGrid w:val="0"/>
          <w:lang w:eastAsia="zh-CN"/>
        </w:rPr>
        <w:t>ensio</w:t>
      </w:r>
      <w:r w:rsidRPr="003F4E45">
        <w:rPr>
          <w:rFonts w:ascii="Times New Roman" w:eastAsia="SimSun" w:hAnsi="Times New Roman" w:cs="Times New Roman"/>
          <w:bCs/>
          <w:iCs/>
          <w:snapToGrid w:val="0"/>
          <w:lang w:eastAsia="zh-CN"/>
        </w:rPr>
        <w:t xml:space="preserve"> kockázata (lásd 4.4 pont), de a műtéti szedációkból származó korlátozott adatok nem utalnak egyértelmű dózisfüggőségre</w:t>
      </w:r>
      <w:r w:rsidRPr="003F4E45">
        <w:rPr>
          <w:rFonts w:ascii="Times New Roman" w:eastAsia="SimSun" w:hAnsi="Times New Roman" w:cs="Times New Roman"/>
          <w:iCs/>
          <w:snapToGrid w:val="0"/>
          <w:lang w:eastAsia="zh-CN"/>
        </w:rPr>
        <w:t>.</w:t>
      </w:r>
    </w:p>
    <w:p w14:paraId="7781960D" w14:textId="77777777" w:rsidR="003F4E45" w:rsidRPr="003F4E45" w:rsidRDefault="003F4E45" w:rsidP="003F4E45">
      <w:pPr>
        <w:tabs>
          <w:tab w:val="left" w:pos="0"/>
        </w:tabs>
        <w:spacing w:after="0" w:line="240" w:lineRule="auto"/>
        <w:outlineLvl w:val="0"/>
        <w:rPr>
          <w:rFonts w:ascii="Times New Roman" w:eastAsia="SimSun" w:hAnsi="Times New Roman" w:cs="Times New Roman"/>
          <w:iCs/>
          <w:snapToGrid w:val="0"/>
          <w:lang w:eastAsia="zh-CN"/>
        </w:rPr>
      </w:pPr>
    </w:p>
    <w:p w14:paraId="416677D2" w14:textId="77777777" w:rsidR="003F4E45" w:rsidRPr="003F4E45" w:rsidRDefault="003F4E45" w:rsidP="003F4E45">
      <w:pPr>
        <w:keepNext/>
        <w:tabs>
          <w:tab w:val="left" w:pos="0"/>
          <w:tab w:val="left" w:pos="567"/>
        </w:tabs>
        <w:spacing w:after="0" w:line="240" w:lineRule="auto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i/>
          <w:iCs/>
          <w:snapToGrid w:val="0"/>
          <w:lang w:eastAsia="zh-CN"/>
        </w:rPr>
        <w:t>Vesekárosodás</w:t>
      </w:r>
    </w:p>
    <w:p w14:paraId="130F79F3" w14:textId="77777777" w:rsidR="003F4E45" w:rsidRPr="003F4E45" w:rsidRDefault="003F4E45" w:rsidP="003F4E45">
      <w:pPr>
        <w:tabs>
          <w:tab w:val="left" w:pos="0"/>
        </w:tabs>
        <w:spacing w:after="0" w:line="240" w:lineRule="auto"/>
        <w:outlineLvl w:val="0"/>
        <w:rPr>
          <w:rFonts w:ascii="Times New Roman" w:eastAsia="SimSun" w:hAnsi="Times New Roman" w:cs="Times New Roman"/>
          <w:iCs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Vesekárosodásban szenvedő betegeknél </w:t>
      </w:r>
      <w:r w:rsidRPr="003F4E45">
        <w:rPr>
          <w:rFonts w:ascii="Times New Roman" w:eastAsia="SimSun" w:hAnsi="Times New Roman" w:cs="Times New Roman"/>
          <w:iCs/>
          <w:snapToGrid w:val="0"/>
          <w:lang w:eastAsia="zh-CN"/>
        </w:rPr>
        <w:t xml:space="preserve">nincs szükség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dózismódosításra</w:t>
      </w:r>
      <w:r w:rsidRPr="003F4E45">
        <w:rPr>
          <w:rFonts w:ascii="Times New Roman" w:eastAsia="SimSun" w:hAnsi="Times New Roman" w:cs="Times New Roman"/>
          <w:iCs/>
          <w:snapToGrid w:val="0"/>
          <w:lang w:eastAsia="zh-CN"/>
        </w:rPr>
        <w:t>.</w:t>
      </w:r>
    </w:p>
    <w:p w14:paraId="53C61DC4" w14:textId="77777777" w:rsidR="003F4E45" w:rsidRPr="003F4E45" w:rsidRDefault="003F4E45" w:rsidP="003F4E45">
      <w:pPr>
        <w:tabs>
          <w:tab w:val="left" w:pos="0"/>
          <w:tab w:val="left" w:pos="567"/>
        </w:tabs>
        <w:spacing w:after="0" w:line="240" w:lineRule="auto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</w:p>
    <w:p w14:paraId="7270D4C5" w14:textId="77777777" w:rsidR="003F4E45" w:rsidRPr="003F4E45" w:rsidRDefault="003F4E45" w:rsidP="003F4E45">
      <w:pPr>
        <w:keepNext/>
        <w:tabs>
          <w:tab w:val="left" w:pos="0"/>
          <w:tab w:val="left" w:pos="567"/>
        </w:tabs>
        <w:spacing w:after="0" w:line="240" w:lineRule="auto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i/>
          <w:iCs/>
          <w:snapToGrid w:val="0"/>
          <w:lang w:eastAsia="zh-CN"/>
        </w:rPr>
        <w:t>Májkárosodás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</w:t>
      </w:r>
    </w:p>
    <w:p w14:paraId="6D9F9156" w14:textId="77777777" w:rsidR="003F4E45" w:rsidRPr="003F4E45" w:rsidRDefault="003F4E45" w:rsidP="003F4E45">
      <w:pPr>
        <w:tabs>
          <w:tab w:val="left" w:pos="0"/>
          <w:tab w:val="left" w:pos="567"/>
        </w:tabs>
        <w:spacing w:after="0" w:line="240" w:lineRule="auto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dexmedetomidin a májban metabolizálódik és csak fokozott elővigyázatossággal alkalmazandó a májkárosodásban szenvedő betegeknél. Megfontolandó a csökkentett fenntartó dózis alkalmazása (lásd 4.4 és 5.2 pont).</w:t>
      </w:r>
    </w:p>
    <w:p w14:paraId="1D976F2E" w14:textId="77777777" w:rsidR="003F4E45" w:rsidRPr="003F4E45" w:rsidRDefault="003F4E45" w:rsidP="003F4E45">
      <w:pPr>
        <w:tabs>
          <w:tab w:val="left" w:pos="0"/>
        </w:tabs>
        <w:spacing w:after="0" w:line="240" w:lineRule="auto"/>
        <w:outlineLvl w:val="0"/>
        <w:rPr>
          <w:rFonts w:ascii="Times New Roman" w:eastAsia="SimSun" w:hAnsi="Times New Roman" w:cs="Times New Roman"/>
          <w:snapToGrid w:val="0"/>
          <w:highlight w:val="lightGray"/>
          <w:lang w:eastAsia="zh-CN"/>
        </w:rPr>
      </w:pPr>
    </w:p>
    <w:p w14:paraId="5590F095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 w:rsidRPr="003F4E45">
        <w:rPr>
          <w:rFonts w:ascii="Times New Roman" w:eastAsia="Times New Roman" w:hAnsi="Times New Roman" w:cs="Times New Roman"/>
          <w:bCs/>
          <w:i/>
          <w:iCs/>
        </w:rPr>
        <w:t>Gyermekek és serdülők</w:t>
      </w:r>
    </w:p>
    <w:p w14:paraId="346A58CD" w14:textId="32CF3DA1" w:rsidR="003F4E45" w:rsidRPr="003F4E45" w:rsidRDefault="003F4E45" w:rsidP="003F4E45">
      <w:pPr>
        <w:tabs>
          <w:tab w:val="left" w:pos="0"/>
        </w:tabs>
        <w:spacing w:after="0" w:line="240" w:lineRule="auto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dexmedetomidin biztonságosságát és hatásosságát 0</w:t>
      </w:r>
      <w:r w:rsidR="00FF3D32">
        <w:rPr>
          <w:rFonts w:ascii="Times New Roman" w:eastAsia="SimSun" w:hAnsi="Times New Roman" w:cs="Times New Roman"/>
          <w:snapToGrid w:val="0"/>
          <w:lang w:eastAsia="zh-CN"/>
        </w:rPr>
        <w:t>–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18 éves gyermekek és serdülők esetén nem igazolták. A jelenleg rendelkezésre álló adatok leirata a 4.8, 5.1 és 5.2 pontokban található, de az adagolásra vonatkozó</w:t>
      </w:r>
      <w:r w:rsidR="00AA156F">
        <w:rPr>
          <w:rFonts w:ascii="Times New Roman" w:eastAsia="SimSun" w:hAnsi="Times New Roman" w:cs="Times New Roman"/>
          <w:snapToGrid w:val="0"/>
          <w:lang w:eastAsia="zh-CN"/>
        </w:rPr>
        <w:t>an nem adható ajánlás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.</w:t>
      </w:r>
    </w:p>
    <w:p w14:paraId="6EDD6DB0" w14:textId="77777777" w:rsidR="003F4E45" w:rsidRPr="003F4E45" w:rsidRDefault="003F4E45" w:rsidP="003F4E45">
      <w:pPr>
        <w:tabs>
          <w:tab w:val="left" w:pos="0"/>
        </w:tabs>
        <w:spacing w:after="0" w:line="240" w:lineRule="auto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</w:p>
    <w:p w14:paraId="3FC5E223" w14:textId="77777777" w:rsidR="003F4E45" w:rsidRPr="003F4E45" w:rsidRDefault="003F4E45" w:rsidP="003F4E45">
      <w:pPr>
        <w:keepNext/>
        <w:tabs>
          <w:tab w:val="left" w:pos="0"/>
        </w:tabs>
        <w:spacing w:after="0" w:line="240" w:lineRule="auto"/>
        <w:outlineLvl w:val="0"/>
        <w:rPr>
          <w:rFonts w:ascii="Times New Roman" w:eastAsia="SimSun" w:hAnsi="Times New Roman" w:cs="Times New Roman"/>
          <w:snapToGrid w:val="0"/>
          <w:u w:val="single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Az alkalmazás módja</w:t>
      </w:r>
    </w:p>
    <w:p w14:paraId="25813374" w14:textId="77777777" w:rsidR="003F4E45" w:rsidRPr="003F4E45" w:rsidRDefault="003F4E45" w:rsidP="003F4E45">
      <w:pPr>
        <w:keepNext/>
        <w:tabs>
          <w:tab w:val="left" w:pos="0"/>
        </w:tabs>
        <w:spacing w:after="0" w:line="240" w:lineRule="auto"/>
        <w:outlineLvl w:val="0"/>
        <w:rPr>
          <w:rFonts w:ascii="Times New Roman" w:eastAsia="SimSun" w:hAnsi="Times New Roman" w:cs="Times New Roman"/>
          <w:snapToGrid w:val="0"/>
          <w:u w:val="single"/>
          <w:lang w:eastAsia="zh-CN"/>
        </w:rPr>
      </w:pPr>
    </w:p>
    <w:p w14:paraId="689FC1B4" w14:textId="77777777" w:rsidR="003F4E45" w:rsidRPr="003F4E45" w:rsidRDefault="003F4E45" w:rsidP="003F4E45">
      <w:pPr>
        <w:tabs>
          <w:tab w:val="left" w:pos="0"/>
        </w:tabs>
        <w:spacing w:after="0" w:line="240" w:lineRule="auto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gyógyszert csak hígított intravénás infúzió formájában, vezérelt infúziós készülékkel szabad beadni. A gyógyszer alkalmazás előtti hígítására vonatkozó utasításokat lásd a 6.6 pontban.</w:t>
      </w:r>
    </w:p>
    <w:p w14:paraId="53D70B0E" w14:textId="77777777" w:rsidR="003F4E45" w:rsidRPr="003F4E45" w:rsidRDefault="003F4E45" w:rsidP="003F4E45">
      <w:pPr>
        <w:tabs>
          <w:tab w:val="left" w:pos="5355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7BCFEACE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3F4E45">
        <w:rPr>
          <w:rFonts w:ascii="Times New Roman" w:eastAsia="Times New Roman" w:hAnsi="Times New Roman" w:cs="Times New Roman"/>
          <w:b/>
          <w:noProof/>
        </w:rPr>
        <w:t>4.3</w:t>
      </w:r>
      <w:r w:rsidRPr="003F4E45">
        <w:rPr>
          <w:rFonts w:ascii="Times New Roman" w:eastAsia="Times New Roman" w:hAnsi="Times New Roman" w:cs="Times New Roman"/>
          <w:b/>
          <w:noProof/>
        </w:rPr>
        <w:tab/>
        <w:t>Ellenjavallatok</w:t>
      </w:r>
    </w:p>
    <w:p w14:paraId="726FCF0D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46672D6B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3F4E45">
        <w:rPr>
          <w:rFonts w:ascii="Times New Roman" w:eastAsia="Times New Roman" w:hAnsi="Times New Roman" w:cs="Times New Roman"/>
          <w:noProof/>
        </w:rPr>
        <w:t>A készítmény hatóanyagával vagy a 6.1 pontban felsorolt bármely segédanyagával szembeni túlérzékenység.</w:t>
      </w:r>
    </w:p>
    <w:p w14:paraId="7F4639E9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3F4E45">
        <w:rPr>
          <w:rFonts w:ascii="Times New Roman" w:eastAsia="Times New Roman" w:hAnsi="Times New Roman" w:cs="Times New Roman"/>
          <w:noProof/>
        </w:rPr>
        <w:t>Előrehaladott (másod- vagy harmadfokú) vezetési blokk, amennyiben nincs pacemaker.</w:t>
      </w:r>
    </w:p>
    <w:p w14:paraId="442889E5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3F4E45">
        <w:rPr>
          <w:rFonts w:ascii="Times New Roman" w:eastAsia="Times New Roman" w:hAnsi="Times New Roman" w:cs="Times New Roman"/>
          <w:noProof/>
        </w:rPr>
        <w:t>Nem kontrollált hypotonia.</w:t>
      </w:r>
    </w:p>
    <w:p w14:paraId="623EDF8B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3F4E45">
        <w:rPr>
          <w:rFonts w:ascii="Times New Roman" w:eastAsia="Times New Roman" w:hAnsi="Times New Roman" w:cs="Times New Roman"/>
          <w:noProof/>
        </w:rPr>
        <w:t>Akut cerebrovascularis kórképek.</w:t>
      </w:r>
    </w:p>
    <w:p w14:paraId="2112D108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69E9EB35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3F4E45">
        <w:rPr>
          <w:rFonts w:ascii="Times New Roman" w:eastAsia="Times New Roman" w:hAnsi="Times New Roman" w:cs="Times New Roman"/>
          <w:b/>
          <w:noProof/>
        </w:rPr>
        <w:t>4.4</w:t>
      </w:r>
      <w:r w:rsidRPr="003F4E45">
        <w:rPr>
          <w:rFonts w:ascii="Times New Roman" w:eastAsia="Times New Roman" w:hAnsi="Times New Roman" w:cs="Times New Roman"/>
          <w:b/>
          <w:noProof/>
        </w:rPr>
        <w:tab/>
        <w:t>Különleges figyelmeztetések és az alkalmazással kapcsolatos óvintézkedések</w:t>
      </w:r>
    </w:p>
    <w:p w14:paraId="4DF13F26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3B10680D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Monitorozás</w:t>
      </w:r>
    </w:p>
    <w:p w14:paraId="7F748CFE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dexmedetomidin intenzív osztályon, műtőben és diagnosztikai beavatkozások során történő alkalmazásra szolgál. Egyéb körülmények közötti alkalmazása nem javasolt. A dexmedetomidin infúzió beadása során minden beteg szívműködését folyamatosan monitorozni kell. Nem intubált betegeknél a légzést szoros monitorozás alatt kell tartani a légzésdepresszió és esetenként az apnoe kockázata miatt (lásd 4.8 pont).</w:t>
      </w:r>
    </w:p>
    <w:p w14:paraId="3551D70C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u w:val="single"/>
          <w:lang w:eastAsia="zh-CN"/>
        </w:rPr>
      </w:pPr>
    </w:p>
    <w:p w14:paraId="1FB3BB0E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A dexmedetomidin alkalmazása után a szedációból való visszatérés ideje a beszámolók szerint megközelítőleg 1 óra. Járóbeteg-ellátásban történő alkalmazásakor a beteget legalább egy órán keresztül (vagy a beteg állapotától függően hosszabb ideig) folyamatosan szoros monitorozás alatt kell tartani, majd legalább további egy órán keresztül gondoskodni kell az orvosi felügyeletről a beteg biztonsága érdekében.</w:t>
      </w:r>
    </w:p>
    <w:p w14:paraId="4D1BDDCE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u w:val="single"/>
          <w:lang w:eastAsia="zh-CN"/>
        </w:rPr>
      </w:pPr>
    </w:p>
    <w:p w14:paraId="4118F9E2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Általános óvintézkedések</w:t>
      </w:r>
    </w:p>
    <w:p w14:paraId="763728F7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dexmedetomidint nem szabad bolus dózisban adni, továbbá intenzív osztályon történő alkalmazás során a telítő dózis sem javasolt. A felhasználóknak ezért készen kell állniuk alternatív szedatívum alkalmazására az agitáció akut gátlása érdekében vagy a beavatkozások alatt, különösen a kezelés első néhány órája alatt. Műtéti szedáció alatt egy másik szedatívum kisebb bolus dózisa alkalmazható, ha a szedáció szintjének gyors emelése szükséges.</w:t>
      </w:r>
    </w:p>
    <w:p w14:paraId="3D2B9214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4B8FD6F7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Néhány dexmedetomidint kapó betegnél megfigyelték, hogy stimulációra ébreszthetők és éberekké válnak. Egyéb klinikai jelek és tünetek hiányában ez önmagában nem tekinthető a hatástalanság bizonyítékának.</w:t>
      </w:r>
    </w:p>
    <w:p w14:paraId="6836A96E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140EC9CA" w14:textId="77777777" w:rsidR="003F4E45" w:rsidRPr="003F4E45" w:rsidRDefault="003F4E45" w:rsidP="003F4E45">
      <w:pPr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dexmedetomidin általában nem okoz mély szedációt és a betegek könnyen ébreszthetők. A dexmedetomidin ezért nem alkalmas azon a betegeknél, akik nem tolerálják ezt a hatásprofilt, például akiknek folyamatos, mély szedációra van szükségük.</w:t>
      </w:r>
    </w:p>
    <w:p w14:paraId="16600248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7C444AF6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dexmedetomidint nem szabad intubálásnál általános érzéstelenítő indukciós szerként adni vagy izomlazító alkalmazásakor szedáció biztosítására alkalmazni.</w:t>
      </w:r>
    </w:p>
    <w:p w14:paraId="62FCB228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134B8CDD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dexmedetomidin nem rendelkezik a néhány egyéb szedatívumnál tapasztalható görcsoldó hatással, így nem fogja elnyomni a fennálló görcsaktivitást.</w:t>
      </w:r>
    </w:p>
    <w:p w14:paraId="5467B614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29C0F528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Óvatosságra van szükség, ha a dexmedetomidint más szedatív vagy cardiovascularis hatású gyógyszerrel együtt alkalmazzák, mert additív hatások léphetnek fel.</w:t>
      </w:r>
    </w:p>
    <w:p w14:paraId="6A89DBD7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45C3BEEA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A dexmedetomidin nem ajánlott önszedációra. Nem állnak rendelkezésre megfelelő adatok.</w:t>
      </w:r>
    </w:p>
    <w:p w14:paraId="018001DC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6D40926" w14:textId="5D52B474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A dexmedetomidin járóbeteg</w:t>
      </w:r>
      <w:r w:rsidR="00AA156F">
        <w:rPr>
          <w:rFonts w:ascii="Times New Roman" w:eastAsia="SimSun" w:hAnsi="Times New Roman" w:cs="Times New Roman"/>
          <w:snapToGrid w:val="0"/>
          <w:szCs w:val="20"/>
          <w:lang w:eastAsia="zh-CN"/>
        </w:rPr>
        <w:t>-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ellátásban történő alkalmazását követően a beteget általában egy erre alkalmas harmadik fél gondjaira kell bízni. A betegeknek azt kell tanácsolni, hogy tartózkodjanak a gépjárművezetéstől és egyéb veszélyes feladatok végzésétől, továbbá kerüljék más, esetleg szedációt okozó szerek </w:t>
      </w:r>
      <w:r w:rsidRPr="009327DA">
        <w:rPr>
          <w:rFonts w:ascii="Times New Roman" w:eastAsia="SimSun" w:hAnsi="Times New Roman" w:cs="Times New Roman"/>
          <w:noProof/>
          <w:snapToGrid w:val="0"/>
          <w:lang w:eastAsia="zh-CN"/>
        </w:rPr>
        <w:t xml:space="preserve">(pl. benzodiazepinek, opioidok, alkohol) szedését/fogyasztását a 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dexemedetomidin megfigyelt hatásai, a műtéti beavatkozás, az egyidejűleg adott gyógyszerek, a beteg kora és állapota alapján megállapított megfelelő ideig.</w:t>
      </w:r>
    </w:p>
    <w:p w14:paraId="2F6FC170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6D5CA15E" w14:textId="48E1A2C0" w:rsidR="003F4E45" w:rsidRPr="003F4E45" w:rsidRDefault="003F4E45" w:rsidP="003F4E45">
      <w:pPr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Körültekintés szükséges a dexmedetomidin idős betegeknél történő alkalmazásakor. 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A 65 évesnél idősebb betegek hajlamosabbak lehetnek a hypot</w:t>
      </w:r>
      <w:r w:rsidR="00953D92">
        <w:rPr>
          <w:rFonts w:ascii="Times New Roman" w:eastAsia="SimSun" w:hAnsi="Times New Roman" w:cs="Times New Roman"/>
          <w:snapToGrid w:val="0"/>
          <w:szCs w:val="20"/>
          <w:lang w:eastAsia="zh-CN"/>
        </w:rPr>
        <w:t>ensió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ra a dexmedetomidin alkalmazásakor, beleértve a műtéti beavatkozásoknál alkalmazott telítő dózist is. Megfontolandó a dózis csökkentése. Kérjük, olvassa el a 4.2 pontot.</w:t>
      </w:r>
    </w:p>
    <w:p w14:paraId="15A773C5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54111BEA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Cardiovascularis hatások és óvintézkedések</w:t>
      </w:r>
    </w:p>
    <w:p w14:paraId="2F68C78F" w14:textId="132D8D13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dexmedetomidin a központi sympatholysisen keresztül csökkenti a szívritmust és a vérnyomást, azonban nagyobb koncentrációkban hypert</w:t>
      </w:r>
      <w:r w:rsidR="00953D92">
        <w:rPr>
          <w:rFonts w:ascii="Times New Roman" w:eastAsia="SimSun" w:hAnsi="Times New Roman" w:cs="Times New Roman"/>
          <w:snapToGrid w:val="0"/>
          <w:lang w:eastAsia="zh-CN"/>
        </w:rPr>
        <w:t>ensió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hoz vezető perifériás vasoconstrictiot okoz (lásd 5.1 pont). A dexmedetomidin ezért nem alkalmas olyan betegek számára, akiknél súlyos cardiovascularis instabilitás áll fenn.</w:t>
      </w:r>
    </w:p>
    <w:p w14:paraId="61BC93D6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1A805F3F" w14:textId="0153C599" w:rsidR="003F4E45" w:rsidRPr="003F4E45" w:rsidRDefault="003F4E45" w:rsidP="002647A4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Körültekintés szükséges a dexmedetomidin olyan betegeknél történő alkalmazásakor, akiknél korábbról fennálló bradycardia van jelen. A dexmedetomidin 60/perc alatti pulzusszám melletti alkalmazására vonatkozóan az adatok nagyon korlátozottak</w:t>
      </w:r>
      <w:r w:rsidR="00AA156F">
        <w:rPr>
          <w:rFonts w:ascii="Times New Roman" w:eastAsia="SimSun" w:hAnsi="Times New Roman" w:cs="Times New Roman"/>
          <w:snapToGrid w:val="0"/>
          <w:lang w:eastAsia="zh-CN"/>
        </w:rPr>
        <w:t>,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és az ilyen betegek esetében fokozott elővigyázatosság szükséges. A bradycardia rendszerint nem igényel kezelést, de szükség esetén általában reagál az antikolinerg gyógyszerekre vagy a dózis csökkentésére. A nagyon jó fizikai állapotú és alacsony nyugalmi szívfrekvenciájú betegek különösen érzékenyek lehetnek az alfa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noBreakHyphen/>
        <w:t>2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noBreakHyphen/>
        <w:t>receptor agonisták bradikardizáló hatásaira és átmeneti szinuszleállással járó esetekről is beszámoltak.</w:t>
      </w:r>
      <w:r w:rsidR="009327DA">
        <w:rPr>
          <w:rFonts w:ascii="Times New Roman" w:eastAsia="SimSun" w:hAnsi="Times New Roman" w:cs="Times New Roman"/>
          <w:snapToGrid w:val="0"/>
          <w:lang w:eastAsia="zh-CN"/>
        </w:rPr>
        <w:t xml:space="preserve"> </w:t>
      </w:r>
      <w:r w:rsidR="009327DA" w:rsidRPr="009327DA">
        <w:rPr>
          <w:rFonts w:ascii="Times New Roman" w:eastAsia="SimSun" w:hAnsi="Times New Roman" w:cs="Times New Roman"/>
          <w:snapToGrid w:val="0"/>
          <w:lang w:eastAsia="zh-CN"/>
        </w:rPr>
        <w:t>Emellett</w:t>
      </w:r>
      <w:r w:rsidR="009327DA">
        <w:rPr>
          <w:rFonts w:ascii="Times New Roman" w:eastAsia="SimSun" w:hAnsi="Times New Roman" w:cs="Times New Roman"/>
          <w:snapToGrid w:val="0"/>
          <w:lang w:eastAsia="zh-CN"/>
        </w:rPr>
        <w:t xml:space="preserve"> </w:t>
      </w:r>
      <w:r w:rsidR="009327DA" w:rsidRPr="009327DA">
        <w:rPr>
          <w:rFonts w:ascii="Times New Roman" w:eastAsia="SimSun" w:hAnsi="Times New Roman" w:cs="Times New Roman"/>
          <w:snapToGrid w:val="0"/>
          <w:lang w:eastAsia="zh-CN"/>
        </w:rPr>
        <w:t>jelentették szívmegállás eseteit, amelyet gyakran előzött meg brad</w:t>
      </w:r>
      <w:r w:rsidR="00F13C75">
        <w:rPr>
          <w:rFonts w:ascii="Times New Roman" w:eastAsia="SimSun" w:hAnsi="Times New Roman" w:cs="Times New Roman"/>
          <w:snapToGrid w:val="0"/>
          <w:lang w:eastAsia="zh-CN"/>
        </w:rPr>
        <w:t>yc</w:t>
      </w:r>
      <w:r w:rsidR="009327DA" w:rsidRPr="009327DA">
        <w:rPr>
          <w:rFonts w:ascii="Times New Roman" w:eastAsia="SimSun" w:hAnsi="Times New Roman" w:cs="Times New Roman"/>
          <w:snapToGrid w:val="0"/>
          <w:lang w:eastAsia="zh-CN"/>
        </w:rPr>
        <w:t>ardia vagy</w:t>
      </w:r>
      <w:r w:rsidR="00F13C75">
        <w:rPr>
          <w:rFonts w:ascii="Times New Roman" w:eastAsia="SimSun" w:hAnsi="Times New Roman" w:cs="Times New Roman"/>
          <w:snapToGrid w:val="0"/>
          <w:lang w:eastAsia="zh-CN"/>
        </w:rPr>
        <w:t xml:space="preserve"> </w:t>
      </w:r>
      <w:r w:rsidR="009327DA" w:rsidRPr="009327DA">
        <w:rPr>
          <w:rFonts w:ascii="Times New Roman" w:eastAsia="SimSun" w:hAnsi="Times New Roman" w:cs="Times New Roman"/>
          <w:snapToGrid w:val="0"/>
          <w:lang w:eastAsia="zh-CN"/>
        </w:rPr>
        <w:t>atrioventri</w:t>
      </w:r>
      <w:r w:rsidR="00F13C75">
        <w:rPr>
          <w:rFonts w:ascii="Times New Roman" w:eastAsia="SimSun" w:hAnsi="Times New Roman" w:cs="Times New Roman"/>
          <w:snapToGrid w:val="0"/>
          <w:lang w:eastAsia="zh-CN"/>
        </w:rPr>
        <w:t>c</w:t>
      </w:r>
      <w:r w:rsidR="009327DA" w:rsidRPr="009327DA">
        <w:rPr>
          <w:rFonts w:ascii="Times New Roman" w:eastAsia="SimSun" w:hAnsi="Times New Roman" w:cs="Times New Roman"/>
          <w:snapToGrid w:val="0"/>
          <w:lang w:eastAsia="zh-CN"/>
        </w:rPr>
        <w:t>ul</w:t>
      </w:r>
      <w:r w:rsidR="00F13C75">
        <w:rPr>
          <w:rFonts w:ascii="Times New Roman" w:eastAsia="SimSun" w:hAnsi="Times New Roman" w:cs="Times New Roman"/>
          <w:snapToGrid w:val="0"/>
          <w:lang w:eastAsia="zh-CN"/>
        </w:rPr>
        <w:t>a</w:t>
      </w:r>
      <w:r w:rsidR="009327DA" w:rsidRPr="009327DA">
        <w:rPr>
          <w:rFonts w:ascii="Times New Roman" w:eastAsia="SimSun" w:hAnsi="Times New Roman" w:cs="Times New Roman"/>
          <w:snapToGrid w:val="0"/>
          <w:lang w:eastAsia="zh-CN"/>
        </w:rPr>
        <w:t>ris blokk (lásd 4.8</w:t>
      </w:r>
      <w:r w:rsidR="00F13C75">
        <w:rPr>
          <w:rFonts w:ascii="Times New Roman" w:eastAsia="SimSun" w:hAnsi="Times New Roman" w:cs="Times New Roman"/>
          <w:snapToGrid w:val="0"/>
          <w:lang w:eastAsia="zh-CN"/>
        </w:rPr>
        <w:t> </w:t>
      </w:r>
      <w:r w:rsidR="009327DA" w:rsidRPr="009327DA">
        <w:rPr>
          <w:rFonts w:ascii="Times New Roman" w:eastAsia="SimSun" w:hAnsi="Times New Roman" w:cs="Times New Roman"/>
          <w:snapToGrid w:val="0"/>
          <w:lang w:eastAsia="zh-CN"/>
        </w:rPr>
        <w:t>pont).</w:t>
      </w:r>
    </w:p>
    <w:p w14:paraId="49D2B9F2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34344C63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dexmedetomidin vérnyomáscsökkentő hatásának nagyobb jelentősége lehet azoknál a betegeknél, akiknek már eredetileg is alacsony volt a vérnyomásuk (különösen, ha az nem reagált vérnyomásemelőkre), akik hypovolaemiában szenvednek, krónikusan alacsony a vérnyomásuk vagy akiknél csökkent a funkcionális rezerv, például a súlyos kamraműködési zavarban szenvedők és az idős betegek. Ezekben az esetekben fokozott óvatosságra van szükség (lásd 4.3 pont). Az alacsony vérnyomás általában nem igényel specifikus kezelést, azonban szükség esetén a felhasználóknak készen kell állniuk a beavatkozásra dóziscsökkentés, folyadékok és/vagy vasoconstrictorok adása révén.</w:t>
      </w:r>
    </w:p>
    <w:p w14:paraId="556332C7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599FDAB4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Csökkent perifériás autonóm aktivitás (például gerincvelő-sérülés miatt) esetén a betegeknél kifejezettebbek lehetnek a hemodinámiás változások a dexmedetomidin alkalmazásának kezdetén, ezért fokozott körültekintéssel kell őket kezelni.</w:t>
      </w:r>
    </w:p>
    <w:p w14:paraId="64960022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699002E6" w14:textId="217A0B02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dexmedetomidin perifériás vasoconstrictiv hatásaival kapcsolatosan átmeneti hypert</w:t>
      </w:r>
      <w:r w:rsidR="00953D92">
        <w:rPr>
          <w:rFonts w:ascii="Times New Roman" w:eastAsia="SimSun" w:hAnsi="Times New Roman" w:cs="Times New Roman"/>
          <w:snapToGrid w:val="0"/>
          <w:lang w:eastAsia="zh-CN"/>
        </w:rPr>
        <w:t>ensiót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figyeltek meg, elsősorban a telítő dózis alkalmazása során. Telítő dózis intenzív osztályon történő szedációnál nem javasolt. A hypert</w:t>
      </w:r>
      <w:r w:rsidR="00953D92">
        <w:rPr>
          <w:rFonts w:ascii="Times New Roman" w:eastAsia="SimSun" w:hAnsi="Times New Roman" w:cs="Times New Roman"/>
          <w:snapToGrid w:val="0"/>
          <w:lang w:eastAsia="zh-CN"/>
        </w:rPr>
        <w:t>ensió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t általában nem kell kezelni, azonban a folyamatos infúzió sebességének csökkentése tanácsos lehet.</w:t>
      </w:r>
    </w:p>
    <w:p w14:paraId="54CC16A2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348D1FF7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nagyobb koncentráció mellett fellépő helyi vasoconstrictio jelentősége nagyobb lehet ischaemiás szívbetegségben vagy súlyos cerebrovascularis betegségben szenvedő betegeknél, akiket szorosan kell monitorozni. A dózis csökkentését vagy a kezelés leállítását mérlegelni kell azoknál a betegeknél, akiknél a szívizom vagy az agy ischaemiájára utaló jelek mutatkoznak.</w:t>
      </w:r>
    </w:p>
    <w:p w14:paraId="25101BC7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76065AFC" w14:textId="62050844" w:rsidR="003F4E45" w:rsidRPr="008A0B3A" w:rsidRDefault="003F4E45" w:rsidP="003F4E45">
      <w:pPr>
        <w:spacing w:after="0" w:line="240" w:lineRule="auto"/>
        <w:rPr>
          <w:rFonts w:ascii="Times New Roman" w:eastAsia="SimSun" w:hAnsi="Times New Roman" w:cs="Times New Roman"/>
          <w:noProof/>
          <w:snapToGrid w:val="0"/>
          <w:lang w:eastAsia="zh-CN"/>
        </w:rPr>
      </w:pPr>
      <w:r w:rsidRPr="008A0B3A">
        <w:rPr>
          <w:rFonts w:ascii="Times New Roman" w:eastAsia="SimSun" w:hAnsi="Times New Roman" w:cs="Times New Roman"/>
          <w:noProof/>
          <w:snapToGrid w:val="0"/>
          <w:lang w:eastAsia="zh-CN"/>
        </w:rPr>
        <w:t>A hypot</w:t>
      </w:r>
      <w:r w:rsidR="00953D92">
        <w:rPr>
          <w:rFonts w:ascii="Times New Roman" w:eastAsia="SimSun" w:hAnsi="Times New Roman" w:cs="Times New Roman"/>
          <w:noProof/>
          <w:snapToGrid w:val="0"/>
          <w:lang w:eastAsia="zh-CN"/>
        </w:rPr>
        <w:t>ensio</w:t>
      </w:r>
      <w:r w:rsidRPr="008A0B3A">
        <w:rPr>
          <w:rFonts w:ascii="Times New Roman" w:eastAsia="SimSun" w:hAnsi="Times New Roman" w:cs="Times New Roman"/>
          <w:noProof/>
          <w:snapToGrid w:val="0"/>
          <w:lang w:eastAsia="zh-CN"/>
        </w:rPr>
        <w:t xml:space="preserve"> vagy bradycardia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esetlegesen megnövekedett kockázata miatt körültekintés ajánlott, ha a </w:t>
      </w:r>
      <w:r w:rsidRPr="008A0B3A">
        <w:rPr>
          <w:rFonts w:ascii="Times New Roman" w:eastAsia="SimSun" w:hAnsi="Times New Roman" w:cs="Times New Roman"/>
          <w:noProof/>
          <w:snapToGrid w:val="0"/>
          <w:lang w:eastAsia="zh-CN"/>
        </w:rPr>
        <w:t>dexmedetomidint spinalis vagy epiduralis anesztéziával együtt alkalmazzák.</w:t>
      </w:r>
    </w:p>
    <w:p w14:paraId="6CDD7080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0631E18E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Májkárosodás</w:t>
      </w:r>
    </w:p>
    <w:p w14:paraId="42A6AC39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Óvatosságra van szükség súlyos májkárosodás esetén, mivel a dexmedetomidin csökkent clearance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noBreakHyphen/>
        <w:t>e miatt a túl nagy dózisok fokozhatják a mellékhatások kialakulásának, a túlzott szedációnak vagy a hatás elhúzódásának a kockázatát.</w:t>
      </w:r>
    </w:p>
    <w:p w14:paraId="0F29E3EC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551986B6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Neurológiai betegségek</w:t>
      </w:r>
    </w:p>
    <w:p w14:paraId="4F51D3E0" w14:textId="761B0FE9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Súlyos idegrendszeri betegségekben, például fejsérülés esetén és ideggyógyászati műtét után, korlátozott a dexmedetomidin alkalmazásával kapcsolatos tapasztalat, ezért ilyen esetekben a gyógyszert elővigyázatosan kell </w:t>
      </w:r>
      <w:r w:rsidR="006E04A8">
        <w:rPr>
          <w:rFonts w:ascii="Times New Roman" w:eastAsia="SimSun" w:hAnsi="Times New Roman" w:cs="Times New Roman"/>
          <w:snapToGrid w:val="0"/>
          <w:lang w:eastAsia="zh-CN"/>
        </w:rPr>
        <w:t>alkalmazni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, különösen, ha mély szedációra van szükség. A dexmedetomidin csökkentheti az agyi véráramlást és a koponyaűri nyomást, amit figyelembe kell venni a kezelés kiválasztásakor.</w:t>
      </w:r>
    </w:p>
    <w:p w14:paraId="113A1776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7CA2D099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Egyéb</w:t>
      </w:r>
    </w:p>
    <w:p w14:paraId="0D296968" w14:textId="073E5D7A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Az alfa-2 agonisták tartós alkalmazását követő hirtelen abbahagyása ritkán megvonási reakciókkal járt. Ezt a lehetőséget figyelembe kell venni, ha a betegnél izgatottság és hypert</w:t>
      </w:r>
      <w:r w:rsidR="00953D92">
        <w:rPr>
          <w:rFonts w:ascii="Times New Roman" w:eastAsia="SimSun" w:hAnsi="Times New Roman" w:cs="Times New Roman"/>
          <w:snapToGrid w:val="0"/>
          <w:lang w:eastAsia="zh-CN"/>
        </w:rPr>
        <w:t>ensio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alakul ki röviddel a dexmedetomidin leállítását követően.</w:t>
      </w:r>
    </w:p>
    <w:p w14:paraId="08BD7CF2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686F124C" w14:textId="234CDC25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dexmedetomidin hipertermiát idézhet elő, mely rezisztens lehet a szokásos hűtési módszerekre. A dexmedetomidin-kezelést ismeretlen eredetű tartós láz esetén abba kell hagyni</w:t>
      </w:r>
      <w:r w:rsidR="006E04A8">
        <w:rPr>
          <w:rFonts w:ascii="Times New Roman" w:eastAsia="SimSun" w:hAnsi="Times New Roman" w:cs="Times New Roman"/>
          <w:snapToGrid w:val="0"/>
          <w:lang w:eastAsia="zh-CN"/>
        </w:rPr>
        <w:t>,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és alkalmazása nem ajánlott malignus hipertermiára hajlamos betegeknél.</w:t>
      </w:r>
    </w:p>
    <w:p w14:paraId="081DEB45" w14:textId="74D32535" w:rsid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63475BA3" w14:textId="509CE09E" w:rsidR="00DE298D" w:rsidRDefault="00DE298D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DE298D">
        <w:rPr>
          <w:rFonts w:ascii="Times New Roman" w:eastAsia="SimSun" w:hAnsi="Times New Roman" w:cs="Times New Roman"/>
          <w:snapToGrid w:val="0"/>
          <w:lang w:eastAsia="zh-CN"/>
        </w:rPr>
        <w:t>Diabetes insipidust jelentettek dexmedetomidin-kezeléssel kapcsolatosan. Amennyiben polyuria jelentkezik, javasolt a dexmedetomidinnal végzett kezelés leállítása, valamint a szérum nátriumszintjének és a vizelet ozmolalitásának ellenőrzése.</w:t>
      </w:r>
    </w:p>
    <w:p w14:paraId="2D61ECDC" w14:textId="77777777" w:rsidR="00DE298D" w:rsidRPr="003F4E45" w:rsidRDefault="00DE298D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7ED75AA1" w14:textId="7E94C04C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bookmarkStart w:id="7" w:name="_Hlk536080899"/>
      <w:r w:rsidRPr="003F4E45">
        <w:rPr>
          <w:rFonts w:ascii="Times New Roman" w:eastAsia="SimSun" w:hAnsi="Times New Roman" w:cs="Times New Roman"/>
          <w:snapToGrid w:val="0"/>
          <w:lang w:eastAsia="zh-CN"/>
        </w:rPr>
        <w:t>A készítmény kevesebb mint 1 mmol (23 mg) nátriumot tartalmaz milliliterenként, azaz gyakorlatilag „nátriummentes”.</w:t>
      </w:r>
    </w:p>
    <w:bookmarkEnd w:id="7"/>
    <w:p w14:paraId="26BCC4E8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32DAB9D8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3F4E45">
        <w:rPr>
          <w:rFonts w:ascii="Times New Roman" w:eastAsia="Times New Roman" w:hAnsi="Times New Roman" w:cs="Times New Roman"/>
          <w:b/>
          <w:noProof/>
        </w:rPr>
        <w:t>4.5</w:t>
      </w:r>
      <w:r w:rsidRPr="003F4E45">
        <w:rPr>
          <w:rFonts w:ascii="Times New Roman" w:eastAsia="Times New Roman" w:hAnsi="Times New Roman" w:cs="Times New Roman"/>
          <w:b/>
          <w:noProof/>
        </w:rPr>
        <w:tab/>
        <w:t>Gyógyszerkölcsönhatások és egyéb interakciók</w:t>
      </w:r>
    </w:p>
    <w:p w14:paraId="0C186AD7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1FC765A4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3F4E45">
        <w:rPr>
          <w:rFonts w:ascii="Times New Roman" w:eastAsia="Times New Roman" w:hAnsi="Times New Roman" w:cs="Times New Roman"/>
          <w:noProof/>
        </w:rPr>
        <w:t>Interakciós vizsgálatokat csak felnőttek körében végeztek.</w:t>
      </w:r>
    </w:p>
    <w:p w14:paraId="3F930C82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0753BF75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3F4E45">
        <w:rPr>
          <w:rFonts w:ascii="Times New Roman" w:eastAsia="Times New Roman" w:hAnsi="Times New Roman" w:cs="Times New Roman"/>
          <w:noProof/>
        </w:rPr>
        <w:t>A dexmedetomidin anesztetikumokkal, szedatívumokkal, hipnotikumokkal és opioidokkal történő együttes alkalmazása valószínűleg a hatások fokozódásához vezet, beleértve a szedatív, az anesztetikus és a cardiorespiratoricus hatásokat is. Az izofluránnal, a propofollal, az alfentanillal és a midazolámmal kapcsolatban specifikus vizsgálatok megerősítették a fokozott hatást.</w:t>
      </w:r>
    </w:p>
    <w:p w14:paraId="32E49205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05C28B3C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3F4E45">
        <w:rPr>
          <w:rFonts w:ascii="Times New Roman" w:eastAsia="Times New Roman" w:hAnsi="Times New Roman" w:cs="Times New Roman"/>
          <w:noProof/>
        </w:rPr>
        <w:t>A dexmedetomidin és az izoflurán, a propofol, az alfentanil és a midazolám között nem mutattak ki farmakokinetikai kölcsönhatásokat. Mindazonáltal a potenciális farmakodinámiás kölcsönhatások miatt a dexmedetomidinnal való együttes alkalmazáskor a dexmedetomidin vagy az egyidejűleg adott anesztetikum, szedatívum, hipnotikum vagy opioid dózisának csökkentésére lehet szükség.</w:t>
      </w:r>
    </w:p>
    <w:p w14:paraId="13641FDE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03273B6E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3F4E45">
        <w:rPr>
          <w:rFonts w:ascii="Times New Roman" w:eastAsia="Times New Roman" w:hAnsi="Times New Roman" w:cs="Times New Roman"/>
          <w:noProof/>
        </w:rPr>
        <w:t xml:space="preserve">A dexmedetomidin CYP enzim-gátló hatását (beleértve a CYP2B6 enzimet is) vizsgálták emberi máj mikroszóma inkubációban. Az </w:t>
      </w:r>
      <w:r w:rsidRPr="003F4E45">
        <w:rPr>
          <w:rFonts w:ascii="Times New Roman" w:eastAsia="Times New Roman" w:hAnsi="Times New Roman" w:cs="Times New Roman"/>
          <w:i/>
          <w:noProof/>
        </w:rPr>
        <w:t xml:space="preserve">in vitro </w:t>
      </w:r>
      <w:r w:rsidRPr="003F4E45">
        <w:rPr>
          <w:rFonts w:ascii="Times New Roman" w:eastAsia="Times New Roman" w:hAnsi="Times New Roman" w:cs="Times New Roman"/>
          <w:noProof/>
        </w:rPr>
        <w:t xml:space="preserve">vizsgálat arra utal, hogy fennáll a dexmedetomidin és a dominánsan CYP2B6 enzimen metabolizáló szubsztrátok között az </w:t>
      </w:r>
      <w:r w:rsidRPr="003F4E45">
        <w:rPr>
          <w:rFonts w:ascii="Times New Roman" w:eastAsia="Times New Roman" w:hAnsi="Times New Roman" w:cs="Times New Roman"/>
          <w:i/>
          <w:noProof/>
        </w:rPr>
        <w:t xml:space="preserve">in vivo </w:t>
      </w:r>
      <w:r w:rsidRPr="003F4E45">
        <w:rPr>
          <w:rFonts w:ascii="Times New Roman" w:eastAsia="Times New Roman" w:hAnsi="Times New Roman" w:cs="Times New Roman"/>
          <w:noProof/>
        </w:rPr>
        <w:t>kölcsönhatás lehetősége.</w:t>
      </w:r>
    </w:p>
    <w:p w14:paraId="131F8BC8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3C424090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3F4E45">
        <w:rPr>
          <w:rFonts w:ascii="Times New Roman" w:eastAsia="Times New Roman" w:hAnsi="Times New Roman" w:cs="Times New Roman"/>
          <w:noProof/>
        </w:rPr>
        <w:t xml:space="preserve">Megfigyelték, hogy a dexmedetomidinnek </w:t>
      </w:r>
      <w:r w:rsidRPr="003F4E45">
        <w:rPr>
          <w:rFonts w:ascii="Times New Roman" w:eastAsia="Times New Roman" w:hAnsi="Times New Roman" w:cs="Times New Roman"/>
          <w:i/>
          <w:noProof/>
        </w:rPr>
        <w:t xml:space="preserve">in vitro </w:t>
      </w:r>
      <w:r w:rsidRPr="003F4E45">
        <w:rPr>
          <w:rFonts w:ascii="Times New Roman" w:eastAsia="Times New Roman" w:hAnsi="Times New Roman" w:cs="Times New Roman"/>
          <w:noProof/>
        </w:rPr>
        <w:t xml:space="preserve">CYP1A2, CYP2B6, CYP2C8, CYP2C9 és CYP3A4 enzim-induktor hatása van, és az </w:t>
      </w:r>
      <w:r w:rsidRPr="003F4E45">
        <w:rPr>
          <w:rFonts w:ascii="Times New Roman" w:eastAsia="Times New Roman" w:hAnsi="Times New Roman" w:cs="Times New Roman"/>
          <w:i/>
          <w:noProof/>
        </w:rPr>
        <w:t xml:space="preserve">in vivo </w:t>
      </w:r>
      <w:r w:rsidRPr="003F4E45">
        <w:rPr>
          <w:rFonts w:ascii="Times New Roman" w:eastAsia="Times New Roman" w:hAnsi="Times New Roman" w:cs="Times New Roman"/>
          <w:noProof/>
        </w:rPr>
        <w:t>indukciót sem lehet kizárni. Ennek klinikai jelentősége nem ismert.</w:t>
      </w:r>
    </w:p>
    <w:p w14:paraId="54B3BB0A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0E1B4999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3F4E45">
        <w:rPr>
          <w:rFonts w:ascii="Times New Roman" w:eastAsia="Times New Roman" w:hAnsi="Times New Roman" w:cs="Times New Roman"/>
          <w:noProof/>
        </w:rPr>
        <w:t>A vérnyomáscsökkentő és bradikardizáló hatások fokozódásának lehetőségét mérlegelni kell olyan betegeknél, akik egyéb, ezeket a hatásokat kiváltó gyógyszereket, például béta-blokkolókat kapnak, bár egy ezmolollal végzett gyógyszerkölcsönhatás-vizsgálat során mérsékeltek voltak az additív hatások.</w:t>
      </w:r>
    </w:p>
    <w:p w14:paraId="47E339B0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7328FD3C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3F4E45">
        <w:rPr>
          <w:rFonts w:ascii="Times New Roman" w:eastAsia="Times New Roman" w:hAnsi="Times New Roman" w:cs="Times New Roman"/>
          <w:b/>
          <w:noProof/>
        </w:rPr>
        <w:t>4.6</w:t>
      </w:r>
      <w:r w:rsidRPr="003F4E45">
        <w:rPr>
          <w:rFonts w:ascii="Times New Roman" w:eastAsia="Times New Roman" w:hAnsi="Times New Roman" w:cs="Times New Roman"/>
          <w:b/>
          <w:noProof/>
        </w:rPr>
        <w:tab/>
        <w:t>Termékenység, terhesség és szoptatás</w:t>
      </w:r>
    </w:p>
    <w:p w14:paraId="0687E102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25CFC718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Terhesség</w:t>
      </w:r>
    </w:p>
    <w:p w14:paraId="2F15B47E" w14:textId="2A0A53E8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dexmedetomidin terhes nőknél történő alkalmazása tekintetében nincs</w:t>
      </w:r>
      <w:r w:rsidR="006E04A8">
        <w:rPr>
          <w:rFonts w:ascii="Times New Roman" w:eastAsia="SimSun" w:hAnsi="Times New Roman" w:cs="Times New Roman"/>
          <w:snapToGrid w:val="0"/>
          <w:lang w:eastAsia="zh-CN"/>
        </w:rPr>
        <w:t>enek adatok,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vagy csak korlátozott mennyiségű adat áll rendelkezésre.</w:t>
      </w:r>
    </w:p>
    <w:p w14:paraId="6EBA1844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7441E861" w14:textId="6EF92D07" w:rsidR="003F4E45" w:rsidRPr="003F4E45" w:rsidRDefault="006E04A8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>
        <w:rPr>
          <w:rFonts w:ascii="Times New Roman" w:eastAsia="SimSun" w:hAnsi="Times New Roman" w:cs="Times New Roman"/>
          <w:snapToGrid w:val="0"/>
          <w:lang w:eastAsia="zh-CN"/>
        </w:rPr>
        <w:t>Az á</w:t>
      </w:r>
      <w:r w:rsidR="003F4E45" w:rsidRPr="003F4E45">
        <w:rPr>
          <w:rFonts w:ascii="Times New Roman" w:eastAsia="SimSun" w:hAnsi="Times New Roman" w:cs="Times New Roman"/>
          <w:snapToGrid w:val="0"/>
          <w:lang w:eastAsia="zh-CN"/>
        </w:rPr>
        <w:t>llat</w:t>
      </w:r>
      <w:r>
        <w:rPr>
          <w:rFonts w:ascii="Times New Roman" w:eastAsia="SimSun" w:hAnsi="Times New Roman" w:cs="Times New Roman"/>
          <w:snapToGrid w:val="0"/>
          <w:lang w:eastAsia="zh-CN"/>
        </w:rPr>
        <w:t>okkal végzett vizsgálatok</w:t>
      </w:r>
      <w:r w:rsidR="003F4E45"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reproduktív toxicitást igazoltak (lásd 5.3 pont). A dexmedetomidin nem alkalmazható</w:t>
      </w:r>
      <w:r w:rsidRPr="006E04A8">
        <w:rPr>
          <w:rFonts w:ascii="Times New Roman" w:eastAsia="SimSun" w:hAnsi="Times New Roman" w:cs="Times New Roman"/>
          <w:snapToGrid w:val="0"/>
          <w:lang w:eastAsia="zh-CN"/>
        </w:rPr>
        <w:t xml:space="preserve">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terhesség alatt</w:t>
      </w:r>
      <w:r w:rsidR="003F4E45"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, kivéve, ha a </w:t>
      </w:r>
      <w:r>
        <w:rPr>
          <w:rFonts w:ascii="Times New Roman" w:eastAsia="SimSun" w:hAnsi="Times New Roman" w:cs="Times New Roman"/>
          <w:snapToGrid w:val="0"/>
          <w:lang w:eastAsia="zh-CN"/>
        </w:rPr>
        <w:t xml:space="preserve">terhes </w:t>
      </w:r>
      <w:r w:rsidR="003F4E45" w:rsidRPr="003F4E45">
        <w:rPr>
          <w:rFonts w:ascii="Times New Roman" w:eastAsia="SimSun" w:hAnsi="Times New Roman" w:cs="Times New Roman"/>
          <w:snapToGrid w:val="0"/>
          <w:lang w:eastAsia="zh-CN"/>
        </w:rPr>
        <w:t>nő klinikai állapota szükségessé teszi a dexmedetomidin</w:t>
      </w:r>
      <w:r>
        <w:rPr>
          <w:rFonts w:ascii="Times New Roman" w:eastAsia="SimSun" w:hAnsi="Times New Roman" w:cs="Times New Roman"/>
          <w:snapToGrid w:val="0"/>
          <w:lang w:eastAsia="zh-CN"/>
        </w:rPr>
        <w:t xml:space="preserve"> alkalmazását</w:t>
      </w:r>
      <w:r w:rsidR="003F4E45" w:rsidRPr="003F4E45">
        <w:rPr>
          <w:rFonts w:ascii="Times New Roman" w:eastAsia="SimSun" w:hAnsi="Times New Roman" w:cs="Times New Roman"/>
          <w:snapToGrid w:val="0"/>
          <w:lang w:eastAsia="zh-CN"/>
        </w:rPr>
        <w:t>.</w:t>
      </w:r>
    </w:p>
    <w:p w14:paraId="1F7CBEDC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0FB2CDE0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Szoptatás</w:t>
      </w:r>
    </w:p>
    <w:p w14:paraId="5990B695" w14:textId="497B4BC4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dexmedetomidin kiválasztódik az emberi anyatejbe, ugyanakkor a gyógyszer szintje a kezelés leállítását követő 24 óra múlva az észlelhető határérték alatt lesz. A csecsemő</w:t>
      </w:r>
      <w:r w:rsidR="006E04A8">
        <w:rPr>
          <w:rFonts w:ascii="Times New Roman" w:eastAsia="SimSun" w:hAnsi="Times New Roman" w:cs="Times New Roman"/>
          <w:snapToGrid w:val="0"/>
          <w:lang w:eastAsia="zh-CN"/>
        </w:rPr>
        <w:t xml:space="preserve"> vonatkozásában a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kockázatot nem lehet kizárni. A dexmedetomidin alkalmazása előtt el kell dönteni, hogy a szoptatást függesztik fel, vagy a dexmedetomidin-kezelést szakítják meg, figyelembe véve a szoptatás előnyét a gyermek, </w:t>
      </w:r>
      <w:r w:rsidR="006E04A8">
        <w:rPr>
          <w:rFonts w:ascii="Times New Roman" w:eastAsia="SimSun" w:hAnsi="Times New Roman" w:cs="Times New Roman"/>
          <w:snapToGrid w:val="0"/>
          <w:lang w:eastAsia="zh-CN"/>
        </w:rPr>
        <w:t>illetve</w:t>
      </w:r>
      <w:r w:rsidR="006E04A8"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a </w:t>
      </w:r>
      <w:r w:rsidR="00D837C8">
        <w:rPr>
          <w:rFonts w:ascii="Times New Roman" w:eastAsia="SimSun" w:hAnsi="Times New Roman" w:cs="Times New Roman"/>
          <w:snapToGrid w:val="0"/>
          <w:lang w:eastAsia="zh-CN"/>
        </w:rPr>
        <w:t>kezelés</w:t>
      </w:r>
      <w:r w:rsidR="00D837C8"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előnyét a</w:t>
      </w:r>
      <w:r w:rsidR="006E04A8">
        <w:rPr>
          <w:rFonts w:ascii="Times New Roman" w:eastAsia="SimSun" w:hAnsi="Times New Roman" w:cs="Times New Roman"/>
          <w:snapToGrid w:val="0"/>
          <w:lang w:eastAsia="zh-CN"/>
        </w:rPr>
        <w:t>z anya szempontjából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.</w:t>
      </w:r>
    </w:p>
    <w:p w14:paraId="1FB9526A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239B6FA5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Termékenység</w:t>
      </w:r>
    </w:p>
    <w:p w14:paraId="1D16DD31" w14:textId="1A166B02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patkányokkal végzett fertilitásvizsgálat során a dexmedetomidinnek nem volt hatása a hím vagy a nőstény állatok termékenységére. Termékenységre vonatkozó humán adatok nem állnak rendelkezésre.</w:t>
      </w:r>
    </w:p>
    <w:p w14:paraId="113068E3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093475E7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3F4E45">
        <w:rPr>
          <w:rFonts w:ascii="Times New Roman" w:eastAsia="Times New Roman" w:hAnsi="Times New Roman" w:cs="Times New Roman"/>
          <w:b/>
          <w:noProof/>
        </w:rPr>
        <w:t>4.7</w:t>
      </w:r>
      <w:r w:rsidRPr="003F4E45">
        <w:rPr>
          <w:rFonts w:ascii="Times New Roman" w:eastAsia="Times New Roman" w:hAnsi="Times New Roman" w:cs="Times New Roman"/>
          <w:b/>
          <w:noProof/>
        </w:rPr>
        <w:tab/>
        <w:t>A készítmény hatásai a gépjárművezetéshez és a gépek kezeléséhez szükséges képességekre</w:t>
      </w:r>
    </w:p>
    <w:p w14:paraId="3C9BE38E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</w:p>
    <w:p w14:paraId="437580BF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Times New Roman" w:hAnsi="Times New Roman" w:cs="Times New Roman"/>
          <w:noProof/>
        </w:rPr>
        <w:t>A betegeket figyelmeztetni kell, hogy a dexmedetomidinnel végzett műtéti szedációt követően megfelelő ideig tartózkodniuk kell a gépjárművezetéstől és egyéb veszélyes feladatok végzésétől.</w:t>
      </w:r>
    </w:p>
    <w:p w14:paraId="0DD90824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noProof/>
        </w:rPr>
      </w:pPr>
    </w:p>
    <w:p w14:paraId="5A19FE01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3F4E45">
        <w:rPr>
          <w:rFonts w:ascii="Times New Roman" w:eastAsia="Times New Roman" w:hAnsi="Times New Roman" w:cs="Times New Roman"/>
          <w:b/>
          <w:noProof/>
        </w:rPr>
        <w:t>4.8</w:t>
      </w:r>
      <w:r w:rsidRPr="003F4E45">
        <w:rPr>
          <w:rFonts w:ascii="Times New Roman" w:eastAsia="Times New Roman" w:hAnsi="Times New Roman" w:cs="Times New Roman"/>
          <w:b/>
          <w:noProof/>
        </w:rPr>
        <w:tab/>
        <w:t>Nemkívánatos hatások, mellékhatások</w:t>
      </w:r>
    </w:p>
    <w:p w14:paraId="32325DA8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513FC215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u w:val="single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A biztonságossági profil összefoglalása</w:t>
      </w:r>
    </w:p>
    <w:p w14:paraId="1605877B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u w:val="single"/>
          <w:lang w:eastAsia="zh-CN"/>
        </w:rPr>
      </w:pPr>
      <w:bookmarkStart w:id="8" w:name="_Hlk517721060"/>
    </w:p>
    <w:p w14:paraId="6D2B4A14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u w:val="single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szCs w:val="20"/>
          <w:u w:val="single"/>
          <w:lang w:eastAsia="zh-CN"/>
        </w:rPr>
        <w:t>Intenzív osztályon kezelt felnőtt betegek szedációja</w:t>
      </w:r>
      <w:bookmarkEnd w:id="8"/>
    </w:p>
    <w:p w14:paraId="30C5DDA6" w14:textId="04865A7A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dexmedetomidin intenzív osztályon történő alkalmazásával kapcsolatban leggyakrabban jelentett mellékhatások a hypot</w:t>
      </w:r>
      <w:r w:rsidR="000A48DF">
        <w:rPr>
          <w:rFonts w:ascii="Times New Roman" w:eastAsia="SimSun" w:hAnsi="Times New Roman" w:cs="Times New Roman"/>
          <w:snapToGrid w:val="0"/>
          <w:lang w:eastAsia="zh-CN"/>
        </w:rPr>
        <w:t>ensio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, hypert</w:t>
      </w:r>
      <w:r w:rsidR="000A48DF">
        <w:rPr>
          <w:rFonts w:ascii="Times New Roman" w:eastAsia="SimSun" w:hAnsi="Times New Roman" w:cs="Times New Roman"/>
          <w:snapToGrid w:val="0"/>
          <w:lang w:eastAsia="zh-CN"/>
        </w:rPr>
        <w:t>ensio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és bradycardia, amelyek a betegek körülbelül 25%</w:t>
      </w:r>
      <w:r w:rsidR="00D837C8">
        <w:rPr>
          <w:rFonts w:ascii="Times New Roman" w:eastAsia="SimSun" w:hAnsi="Times New Roman" w:cs="Times New Roman"/>
          <w:snapToGrid w:val="0"/>
          <w:lang w:eastAsia="zh-CN"/>
        </w:rPr>
        <w:t>-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ánál, 15%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noBreakHyphen/>
        <w:t>ánál és 13%</w:t>
      </w:r>
      <w:r w:rsidR="00D837C8">
        <w:rPr>
          <w:rFonts w:ascii="Times New Roman" w:eastAsia="SimSun" w:hAnsi="Times New Roman" w:cs="Times New Roman"/>
          <w:snapToGrid w:val="0"/>
          <w:lang w:eastAsia="zh-CN"/>
        </w:rPr>
        <w:t>-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ánál fordulnak elő. Az alacsony vérnyomás és a bradycardia voltak egyúttal a dexmedetomidin alkalmazásával kapcsolatos leggyakoribb súlyos mellékhatások is, amelyek a randomizált és intenzív osztályon kezelt betegek 1,7%-ánál, illetve 0,9%-ánál fordultak elő.</w:t>
      </w:r>
    </w:p>
    <w:p w14:paraId="31D4F0DD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u w:val="single"/>
          <w:lang w:eastAsia="zh-CN"/>
        </w:rPr>
      </w:pPr>
    </w:p>
    <w:p w14:paraId="512913AB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u w:val="single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szCs w:val="20"/>
          <w:u w:val="single"/>
          <w:lang w:eastAsia="zh-CN"/>
        </w:rPr>
        <w:t>Műtéti/éber szedáció</w:t>
      </w:r>
    </w:p>
    <w:p w14:paraId="2FE4689B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A dexmedetomidin műtéti szedáció során történő alkalmazásával kapcsolatban leggyakrabban jelentett mellékhatásai az alábbiak:</w:t>
      </w:r>
    </w:p>
    <w:p w14:paraId="688DC1D8" w14:textId="732A1671" w:rsidR="003F4E45" w:rsidRPr="003F4E45" w:rsidRDefault="003F4E45" w:rsidP="003F4E45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-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ab/>
        <w:t>hypot</w:t>
      </w:r>
      <w:r w:rsidR="004979E9">
        <w:rPr>
          <w:rFonts w:ascii="Times New Roman" w:eastAsia="SimSun" w:hAnsi="Times New Roman" w:cs="Times New Roman"/>
          <w:snapToGrid w:val="0"/>
          <w:szCs w:val="20"/>
          <w:lang w:eastAsia="zh-CN"/>
        </w:rPr>
        <w:t>ensio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(55% a dexmedetomidin-csoportban vs. 30% a palcebocsoportban)</w:t>
      </w:r>
      <w:r w:rsidR="00D837C8">
        <w:rPr>
          <w:rFonts w:ascii="Times New Roman" w:eastAsia="SimSun" w:hAnsi="Times New Roman" w:cs="Times New Roman"/>
          <w:snapToGrid w:val="0"/>
          <w:szCs w:val="20"/>
          <w:lang w:eastAsia="zh-CN"/>
        </w:rPr>
        <w:t>;</w:t>
      </w:r>
    </w:p>
    <w:p w14:paraId="21527CDF" w14:textId="30ABE2B1" w:rsidR="003F4E45" w:rsidRPr="003F4E45" w:rsidRDefault="003F4E45" w:rsidP="003F4E45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-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ab/>
        <w:t>légzésdepresszió (</w:t>
      </w:r>
      <w:bookmarkStart w:id="9" w:name="_Hlk517707607"/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38% a dexmedetomidin-csoportban vs. 35% </w:t>
      </w:r>
      <w:bookmarkEnd w:id="9"/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a palcebocsoportban)</w:t>
      </w:r>
      <w:r w:rsidR="00D837C8">
        <w:rPr>
          <w:rFonts w:ascii="Times New Roman" w:eastAsia="SimSun" w:hAnsi="Times New Roman" w:cs="Times New Roman"/>
          <w:snapToGrid w:val="0"/>
          <w:szCs w:val="20"/>
          <w:lang w:eastAsia="zh-CN"/>
        </w:rPr>
        <w:t>;</w:t>
      </w:r>
    </w:p>
    <w:p w14:paraId="748D4516" w14:textId="4D245AAB" w:rsidR="003F4E45" w:rsidRPr="003F4E45" w:rsidRDefault="003F4E45" w:rsidP="003F4E45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-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ab/>
        <w:t>bradycardia (14% a dexmedetomidin-csoportban vs. 4% a palcebocsoportban).</w:t>
      </w:r>
    </w:p>
    <w:p w14:paraId="6AA0412B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20F10948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u w:val="single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A mellékhatások táblázatos felsorolása</w:t>
      </w:r>
    </w:p>
    <w:p w14:paraId="59FDCFE5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Az 1. táblázatban felsorolt mellékhatások az intenzív ellátással kapcsolatos klinikai vizsgálatok összesített adatai alapján kerültek összegyűjtésre.</w:t>
      </w:r>
    </w:p>
    <w:p w14:paraId="791D5BA1" w14:textId="49C82924" w:rsidR="003F4E45" w:rsidRPr="00DE298D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mellékhatások előfordulási gyakoriság szerint kerültek csoportosításra, ahol elsőként a leggyakoribb szerepel, az alábbi konvenció alapján: nagyon gyakori (≥ 1/10); gyakori (≥ 1/100 </w:t>
      </w:r>
      <w:r w:rsidR="00D837C8">
        <w:rPr>
          <w:rFonts w:ascii="Times New Roman" w:eastAsia="SimSun" w:hAnsi="Times New Roman" w:cs="Times New Roman"/>
          <w:snapToGrid w:val="0"/>
          <w:lang w:eastAsia="zh-CN"/>
        </w:rPr>
        <w:t>–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 &lt; 1/10); nem gyakori (≥ 1/1000 </w:t>
      </w:r>
      <w:r w:rsidR="00D837C8">
        <w:rPr>
          <w:rFonts w:ascii="Times New Roman" w:eastAsia="SimSun" w:hAnsi="Times New Roman" w:cs="Times New Roman"/>
          <w:snapToGrid w:val="0"/>
          <w:lang w:eastAsia="zh-CN"/>
        </w:rPr>
        <w:t>–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 &lt; 1/100); ritka (≥ 1/10 000 </w:t>
      </w:r>
      <w:r w:rsidR="00D837C8">
        <w:rPr>
          <w:rFonts w:ascii="Times New Roman" w:eastAsia="SimSun" w:hAnsi="Times New Roman" w:cs="Times New Roman"/>
          <w:snapToGrid w:val="0"/>
          <w:lang w:eastAsia="zh-CN"/>
        </w:rPr>
        <w:t>–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 &lt; 1/1000), nagyon ritka (&lt; 1/10 000</w:t>
      </w:r>
      <w:r w:rsidRPr="00DE298D">
        <w:rPr>
          <w:rFonts w:ascii="Times New Roman" w:eastAsia="SimSun" w:hAnsi="Times New Roman" w:cs="Times New Roman"/>
          <w:snapToGrid w:val="0"/>
          <w:lang w:eastAsia="zh-CN"/>
        </w:rPr>
        <w:t>)</w:t>
      </w:r>
      <w:r w:rsidR="00DE298D" w:rsidRPr="00DE298D">
        <w:rPr>
          <w:rFonts w:ascii="Times New Roman" w:eastAsia="SimSun" w:hAnsi="Times New Roman" w:cs="Times New Roman"/>
          <w:snapToGrid w:val="0"/>
          <w:lang w:eastAsia="zh-CN"/>
        </w:rPr>
        <w:t xml:space="preserve">, nem ismert (a </w:t>
      </w:r>
      <w:r w:rsidR="00D837C8">
        <w:rPr>
          <w:rFonts w:ascii="Times New Roman" w:eastAsia="SimSun" w:hAnsi="Times New Roman" w:cs="Times New Roman"/>
          <w:snapToGrid w:val="0"/>
          <w:lang w:eastAsia="zh-CN"/>
        </w:rPr>
        <w:t xml:space="preserve">gyakoriság a </w:t>
      </w:r>
      <w:r w:rsidR="00DE298D" w:rsidRPr="00DE298D">
        <w:rPr>
          <w:rFonts w:ascii="Times New Roman" w:eastAsia="SimSun" w:hAnsi="Times New Roman" w:cs="Times New Roman"/>
          <w:snapToGrid w:val="0"/>
          <w:lang w:eastAsia="zh-CN"/>
        </w:rPr>
        <w:t>rendelkezésre álló adatokból nem állapítható meg)</w:t>
      </w:r>
      <w:r w:rsidRPr="00DE298D">
        <w:rPr>
          <w:rFonts w:ascii="Times New Roman" w:eastAsia="SimSun" w:hAnsi="Times New Roman" w:cs="Times New Roman"/>
          <w:snapToGrid w:val="0"/>
          <w:lang w:eastAsia="zh-CN"/>
        </w:rPr>
        <w:t>.</w:t>
      </w:r>
    </w:p>
    <w:p w14:paraId="76512EB7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237A0CCE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b/>
          <w:snapToGrid w:val="0"/>
          <w:lang w:eastAsia="zh-CN"/>
        </w:rPr>
        <w:t>1.táblázat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</w:t>
      </w:r>
      <w:r w:rsidRPr="003F4E45">
        <w:rPr>
          <w:rFonts w:ascii="Times New Roman" w:eastAsia="SimSun" w:hAnsi="Times New Roman" w:cs="Times New Roman"/>
          <w:b/>
          <w:snapToGrid w:val="0"/>
          <w:lang w:eastAsia="zh-CN"/>
        </w:rPr>
        <w:t>Mellékhatások</w:t>
      </w:r>
    </w:p>
    <w:p w14:paraId="1C4A0B16" w14:textId="426C05A3" w:rsid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45211C06" w14:textId="57E2DAEB" w:rsidR="00DE298D" w:rsidRDefault="00DE298D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i/>
          <w:iCs/>
          <w:snapToGrid w:val="0"/>
          <w:lang w:eastAsia="zh-CN"/>
        </w:rPr>
      </w:pPr>
      <w:r w:rsidRPr="00DE298D">
        <w:rPr>
          <w:rFonts w:ascii="Times New Roman" w:eastAsia="SimSun" w:hAnsi="Times New Roman" w:cs="Times New Roman"/>
          <w:b/>
          <w:i/>
          <w:iCs/>
          <w:snapToGrid w:val="0"/>
          <w:lang w:eastAsia="zh-CN"/>
        </w:rPr>
        <w:t>Endokrin betegségek és tünetek</w:t>
      </w:r>
    </w:p>
    <w:p w14:paraId="34F55BDD" w14:textId="21EB80F5" w:rsidR="00DE298D" w:rsidRDefault="00DE298D" w:rsidP="00B6389B">
      <w:pPr>
        <w:keepNext/>
        <w:tabs>
          <w:tab w:val="left" w:pos="567"/>
          <w:tab w:val="left" w:pos="2127"/>
        </w:tabs>
        <w:spacing w:after="0" w:line="240" w:lineRule="auto"/>
        <w:rPr>
          <w:rFonts w:ascii="Times New Roman" w:eastAsia="SimSun" w:hAnsi="Times New Roman" w:cs="Times New Roman"/>
          <w:bCs/>
          <w:snapToGrid w:val="0"/>
          <w:lang w:eastAsia="zh-CN"/>
        </w:rPr>
      </w:pPr>
      <w:r w:rsidRPr="00DE298D">
        <w:rPr>
          <w:rFonts w:ascii="Times New Roman" w:eastAsia="SimSun" w:hAnsi="Times New Roman" w:cs="Times New Roman"/>
          <w:bCs/>
          <w:snapToGrid w:val="0"/>
          <w:lang w:eastAsia="zh-CN"/>
        </w:rPr>
        <w:t>Nem ismert:</w:t>
      </w:r>
      <w:r>
        <w:rPr>
          <w:rFonts w:ascii="Times New Roman" w:eastAsia="SimSun" w:hAnsi="Times New Roman" w:cs="Times New Roman"/>
          <w:bCs/>
          <w:snapToGrid w:val="0"/>
          <w:lang w:eastAsia="zh-CN"/>
        </w:rPr>
        <w:tab/>
        <w:t>d</w:t>
      </w:r>
      <w:r w:rsidRPr="00DE298D">
        <w:rPr>
          <w:rFonts w:ascii="Times New Roman" w:eastAsia="SimSun" w:hAnsi="Times New Roman" w:cs="Times New Roman"/>
          <w:bCs/>
          <w:snapToGrid w:val="0"/>
          <w:lang w:eastAsia="zh-CN"/>
        </w:rPr>
        <w:t>iabetes insipidus</w:t>
      </w:r>
    </w:p>
    <w:p w14:paraId="62BEEDC6" w14:textId="77777777" w:rsidR="00DE298D" w:rsidRPr="00DE298D" w:rsidRDefault="00DE298D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snapToGrid w:val="0"/>
          <w:lang w:eastAsia="zh-CN"/>
        </w:rPr>
      </w:pPr>
    </w:p>
    <w:p w14:paraId="5F981312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i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b/>
          <w:i/>
          <w:snapToGrid w:val="0"/>
          <w:lang w:eastAsia="zh-CN"/>
        </w:rPr>
        <w:t xml:space="preserve">Anyagcsere-és táplálkozási betegségek és tünetek </w:t>
      </w:r>
    </w:p>
    <w:p w14:paraId="68208FB3" w14:textId="7285B3A0" w:rsidR="003F4E45" w:rsidRPr="003F4E45" w:rsidRDefault="003F4E45" w:rsidP="00C70FF1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Gyakori: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</w:r>
      <w:r w:rsidRPr="008A0B3A">
        <w:rPr>
          <w:rFonts w:ascii="Times New Roman" w:eastAsia="SimSun" w:hAnsi="Times New Roman" w:cs="Times New Roman"/>
          <w:snapToGrid w:val="0"/>
          <w:lang w:eastAsia="zh-CN"/>
        </w:rPr>
        <w:t>hypergly</w:t>
      </w:r>
      <w:r w:rsidR="004979E9">
        <w:rPr>
          <w:rFonts w:ascii="Times New Roman" w:eastAsia="SimSun" w:hAnsi="Times New Roman" w:cs="Times New Roman"/>
          <w:snapToGrid w:val="0"/>
          <w:lang w:eastAsia="zh-CN"/>
        </w:rPr>
        <w:t>k</w:t>
      </w:r>
      <w:r w:rsidRPr="008A0B3A">
        <w:rPr>
          <w:rFonts w:ascii="Times New Roman" w:eastAsia="SimSun" w:hAnsi="Times New Roman" w:cs="Times New Roman"/>
          <w:snapToGrid w:val="0"/>
          <w:lang w:eastAsia="zh-CN"/>
        </w:rPr>
        <w:t>aemia, hypogly</w:t>
      </w:r>
      <w:r w:rsidR="004979E9">
        <w:rPr>
          <w:rFonts w:ascii="Times New Roman" w:eastAsia="SimSun" w:hAnsi="Times New Roman" w:cs="Times New Roman"/>
          <w:snapToGrid w:val="0"/>
          <w:lang w:eastAsia="zh-CN"/>
        </w:rPr>
        <w:t>k</w:t>
      </w:r>
      <w:r w:rsidRPr="008A0B3A">
        <w:rPr>
          <w:rFonts w:ascii="Times New Roman" w:eastAsia="SimSun" w:hAnsi="Times New Roman" w:cs="Times New Roman"/>
          <w:snapToGrid w:val="0"/>
          <w:lang w:eastAsia="zh-CN"/>
        </w:rPr>
        <w:t>aemia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</w:t>
      </w:r>
    </w:p>
    <w:p w14:paraId="4435B106" w14:textId="77777777" w:rsidR="003F4E45" w:rsidRPr="003F4E45" w:rsidRDefault="003F4E45" w:rsidP="00C70FF1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Nem gyakori: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  <w:t>metabolikus acidózis, hypoalbuminaemia</w:t>
      </w:r>
    </w:p>
    <w:p w14:paraId="5AD51BB4" w14:textId="77777777" w:rsidR="003F4E45" w:rsidRPr="003F4E45" w:rsidRDefault="003F4E45" w:rsidP="00C70FF1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3C94B124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i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b/>
          <w:i/>
          <w:snapToGrid w:val="0"/>
          <w:lang w:eastAsia="zh-CN"/>
        </w:rPr>
        <w:t xml:space="preserve">Pszichiátriai kórképek </w:t>
      </w:r>
    </w:p>
    <w:p w14:paraId="2F5C895F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Gyakori: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  <w:t xml:space="preserve">izgatottság </w:t>
      </w:r>
    </w:p>
    <w:p w14:paraId="0C0ECC72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Nem gyakori: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  <w:t>hallucináció</w:t>
      </w:r>
    </w:p>
    <w:p w14:paraId="2EC5D71B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76D9E84B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i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b/>
          <w:i/>
          <w:snapToGrid w:val="0"/>
          <w:lang w:eastAsia="zh-CN"/>
        </w:rPr>
        <w:t xml:space="preserve">Szívbetegségek és a szívvel kapcsolatos tünetek </w:t>
      </w:r>
    </w:p>
    <w:p w14:paraId="20B17C02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Nagyon gyakori: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  <w:t>bradycardia</w:t>
      </w:r>
      <w:r w:rsidRPr="008A0B3A">
        <w:rPr>
          <w:rFonts w:ascii="Times New Roman" w:eastAsia="SimSun" w:hAnsi="Times New Roman" w:cs="Times New Roman"/>
          <w:snapToGrid w:val="0"/>
          <w:vertAlign w:val="superscript"/>
          <w:lang w:eastAsia="zh-CN"/>
        </w:rPr>
        <w:t>1,2</w:t>
      </w:r>
    </w:p>
    <w:p w14:paraId="53EF2ED1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Gyakori: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</w:r>
      <w:r w:rsidRPr="008A0B3A">
        <w:rPr>
          <w:rFonts w:ascii="Times New Roman" w:eastAsia="SimSun" w:hAnsi="Times New Roman" w:cs="Times New Roman"/>
          <w:snapToGrid w:val="0"/>
          <w:lang w:eastAsia="zh-CN"/>
        </w:rPr>
        <w:t>myocardialis ischaemia vagy infarctus, tachycardia</w:t>
      </w:r>
    </w:p>
    <w:p w14:paraId="19E3FCD1" w14:textId="14E09F8F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Nem gyakori: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  <w:t>atrioventricularis blokk</w:t>
      </w:r>
      <w:r w:rsidR="0099188E" w:rsidRPr="0099188E">
        <w:rPr>
          <w:rFonts w:ascii="Times New Roman" w:eastAsia="SimSun" w:hAnsi="Times New Roman" w:cs="Times New Roman"/>
          <w:snapToGrid w:val="0"/>
          <w:vertAlign w:val="superscript"/>
          <w:lang w:eastAsia="zh-CN"/>
        </w:rPr>
        <w:t>1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, csökkent szívteljesítmény</w:t>
      </w:r>
      <w:r w:rsidR="008A0B3A">
        <w:rPr>
          <w:rFonts w:ascii="Times New Roman" w:eastAsia="SimSun" w:hAnsi="Times New Roman" w:cs="Times New Roman"/>
          <w:snapToGrid w:val="0"/>
          <w:lang w:eastAsia="zh-CN"/>
        </w:rPr>
        <w:t xml:space="preserve">, </w:t>
      </w:r>
      <w:r w:rsidR="008A0B3A" w:rsidRPr="008A0B3A">
        <w:rPr>
          <w:rFonts w:ascii="Times New Roman" w:hAnsi="Times New Roman" w:cs="Times New Roman"/>
          <w:bCs/>
          <w:iCs/>
          <w:lang w:val="lv-LV"/>
        </w:rPr>
        <w:t>szívmegállás</w:t>
      </w:r>
      <w:r w:rsidR="008A0B3A" w:rsidRPr="008A0B3A">
        <w:rPr>
          <w:rFonts w:ascii="Times New Roman" w:hAnsi="Times New Roman" w:cs="Times New Roman"/>
          <w:bCs/>
          <w:vertAlign w:val="superscript"/>
          <w:lang w:val="lv-LV"/>
        </w:rPr>
        <w:t>1</w:t>
      </w:r>
    </w:p>
    <w:p w14:paraId="5A669F30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2DF5D64C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i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b/>
          <w:i/>
          <w:snapToGrid w:val="0"/>
          <w:lang w:eastAsia="zh-CN"/>
        </w:rPr>
        <w:t xml:space="preserve">Érbetegségek és tünetek </w:t>
      </w:r>
    </w:p>
    <w:p w14:paraId="4B2ADDA0" w14:textId="1FE79ABC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Nagyon gyakori: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  <w:t>hypot</w:t>
      </w:r>
      <w:r w:rsidR="004979E9">
        <w:rPr>
          <w:rFonts w:ascii="Times New Roman" w:eastAsia="SimSun" w:hAnsi="Times New Roman" w:cs="Times New Roman"/>
          <w:snapToGrid w:val="0"/>
          <w:lang w:eastAsia="zh-CN"/>
        </w:rPr>
        <w:t>ensio</w:t>
      </w:r>
      <w:r w:rsidRPr="008A0B3A">
        <w:rPr>
          <w:rFonts w:ascii="Times New Roman" w:eastAsia="SimSun" w:hAnsi="Times New Roman" w:cs="Times New Roman"/>
          <w:snapToGrid w:val="0"/>
          <w:vertAlign w:val="superscript"/>
          <w:lang w:eastAsia="zh-CN"/>
        </w:rPr>
        <w:t>1, 2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, hypert</w:t>
      </w:r>
      <w:r w:rsidR="004979E9">
        <w:rPr>
          <w:rFonts w:ascii="Times New Roman" w:eastAsia="SimSun" w:hAnsi="Times New Roman" w:cs="Times New Roman"/>
          <w:snapToGrid w:val="0"/>
          <w:lang w:eastAsia="zh-CN"/>
        </w:rPr>
        <w:t>ensio</w:t>
      </w:r>
      <w:r w:rsidRPr="008A0B3A">
        <w:rPr>
          <w:rFonts w:ascii="Times New Roman" w:eastAsia="SimSun" w:hAnsi="Times New Roman" w:cs="Times New Roman"/>
          <w:snapToGrid w:val="0"/>
          <w:vertAlign w:val="superscript"/>
          <w:lang w:eastAsia="zh-CN"/>
        </w:rPr>
        <w:t>1, 2</w:t>
      </w:r>
    </w:p>
    <w:p w14:paraId="46852FEC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7E8C40AE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i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b/>
          <w:i/>
          <w:snapToGrid w:val="0"/>
          <w:lang w:eastAsia="zh-CN"/>
        </w:rPr>
        <w:t xml:space="preserve">Légzőrendszeri, mellkasi és mediastinalis betegségek és tünetek </w:t>
      </w:r>
    </w:p>
    <w:p w14:paraId="659A4C25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Nagyon gyakori: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  <w:t>légzésdepresszió</w:t>
      </w:r>
      <w:r w:rsidRPr="008A0B3A">
        <w:rPr>
          <w:rFonts w:ascii="Times New Roman" w:eastAsia="SimSun" w:hAnsi="Times New Roman" w:cs="Times New Roman"/>
          <w:snapToGrid w:val="0"/>
          <w:vertAlign w:val="superscript"/>
          <w:lang w:eastAsia="zh-CN"/>
        </w:rPr>
        <w:t xml:space="preserve">2, </w:t>
      </w:r>
      <w:r w:rsidRPr="003F4E45">
        <w:rPr>
          <w:rFonts w:ascii="Times" w:eastAsia="SimSun" w:hAnsi="Times" w:cs="Times New Roman"/>
          <w:snapToGrid w:val="0"/>
          <w:vertAlign w:val="superscript"/>
          <w:lang w:eastAsia="zh-CN"/>
        </w:rPr>
        <w:t>3</w:t>
      </w:r>
    </w:p>
    <w:p w14:paraId="6B6807DF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Nem gyakori: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  <w:t>légszomj, apnoe</w:t>
      </w:r>
    </w:p>
    <w:p w14:paraId="1102ED73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385C1CEF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i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b/>
          <w:i/>
          <w:snapToGrid w:val="0"/>
          <w:lang w:eastAsia="zh-CN"/>
        </w:rPr>
        <w:t xml:space="preserve">Emésztőrendszeri betegségek és tünetek </w:t>
      </w:r>
    </w:p>
    <w:p w14:paraId="40CED397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Gyakori: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  <w:t>hányinger</w:t>
      </w:r>
      <w:r w:rsidRPr="008A0B3A">
        <w:rPr>
          <w:rFonts w:ascii="Times New Roman" w:eastAsia="SimSun" w:hAnsi="Times New Roman" w:cs="Times New Roman"/>
          <w:snapToGrid w:val="0"/>
          <w:vertAlign w:val="superscript"/>
          <w:lang w:eastAsia="zh-CN"/>
        </w:rPr>
        <w:t>2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, hányás, szájszárazság</w:t>
      </w:r>
      <w:r w:rsidRPr="008A0B3A">
        <w:rPr>
          <w:rFonts w:ascii="Times New Roman" w:eastAsia="SimSun" w:hAnsi="Times New Roman" w:cs="Times New Roman"/>
          <w:snapToGrid w:val="0"/>
          <w:vertAlign w:val="superscript"/>
          <w:lang w:eastAsia="zh-CN"/>
        </w:rPr>
        <w:t>2</w:t>
      </w:r>
    </w:p>
    <w:p w14:paraId="59982EBB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Nem gyakori: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  <w:t>haspuffadás</w:t>
      </w:r>
    </w:p>
    <w:p w14:paraId="3BA8D139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566F5883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i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b/>
          <w:i/>
          <w:snapToGrid w:val="0"/>
          <w:lang w:eastAsia="zh-CN"/>
        </w:rPr>
        <w:t>Általános tünetek, az alkalmazás helyén fellépő reakciók</w:t>
      </w:r>
    </w:p>
    <w:p w14:paraId="08A38D82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Gyakori: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  <w:t xml:space="preserve">megvonási szindróma, hyperthermia </w:t>
      </w:r>
    </w:p>
    <w:p w14:paraId="057867A2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Nem gyakori: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ab/>
        <w:t>a gyógyszer hatástalansága, szomjúság</w:t>
      </w:r>
    </w:p>
    <w:p w14:paraId="772C5630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7AF3734F" w14:textId="14F7D93A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8A0B3A">
        <w:rPr>
          <w:rFonts w:ascii="Times New Roman" w:eastAsia="SimSun" w:hAnsi="Times New Roman" w:cs="Times New Roman"/>
          <w:snapToGrid w:val="0"/>
          <w:vertAlign w:val="superscript"/>
          <w:lang w:eastAsia="zh-CN"/>
        </w:rPr>
        <w:t>1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Lásd </w:t>
      </w:r>
      <w:r w:rsidR="00D837C8">
        <w:rPr>
          <w:rFonts w:ascii="Times New Roman" w:eastAsia="SimSun" w:hAnsi="Times New Roman" w:cs="Times New Roman"/>
          <w:snapToGrid w:val="0"/>
          <w:lang w:eastAsia="zh-CN"/>
        </w:rPr>
        <w:t xml:space="preserve">az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„</w:t>
      </w:r>
      <w:r w:rsidR="00D837C8">
        <w:rPr>
          <w:rFonts w:ascii="Times New Roman" w:eastAsia="SimSun" w:hAnsi="Times New Roman" w:cs="Times New Roman"/>
          <w:snapToGrid w:val="0"/>
          <w:lang w:eastAsia="zh-CN"/>
        </w:rPr>
        <w:t>E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gyes kiválasztott mellékhatások leírása” részt. </w:t>
      </w:r>
    </w:p>
    <w:p w14:paraId="689B91E9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vertAlign w:val="superscript"/>
          <w:lang w:eastAsia="zh-CN"/>
        </w:rPr>
        <w:t>2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Műtéti szedációra vonatkozó vizsgálatokban is megfigyelt mellékhatás.</w:t>
      </w:r>
    </w:p>
    <w:p w14:paraId="33398D5C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vertAlign w:val="superscript"/>
          <w:lang w:eastAsia="zh-CN"/>
        </w:rPr>
        <w:t>3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„Gyakori” előfordulás az intenzív osztályokon végzett szedációs vizsgálatokban.</w:t>
      </w:r>
    </w:p>
    <w:p w14:paraId="41F0C39C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4C8D128F" w14:textId="035554D3" w:rsidR="003F4E45" w:rsidRPr="003F4E45" w:rsidRDefault="00D837C8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u w:val="single"/>
          <w:lang w:eastAsia="zh-CN"/>
        </w:rPr>
      </w:pPr>
      <w:r>
        <w:rPr>
          <w:rFonts w:ascii="Times New Roman" w:eastAsia="SimSun" w:hAnsi="Times New Roman" w:cs="Times New Roman"/>
          <w:snapToGrid w:val="0"/>
          <w:u w:val="single"/>
          <w:lang w:eastAsia="zh-CN"/>
        </w:rPr>
        <w:t>E</w:t>
      </w:r>
      <w:r w:rsidR="003F4E45"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gyes kiválasztott mellékhatások leírása</w:t>
      </w:r>
    </w:p>
    <w:p w14:paraId="5B0DDE73" w14:textId="7BA3D274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klinikailag jelentős hypot</w:t>
      </w:r>
      <w:r w:rsidR="000A48DF">
        <w:rPr>
          <w:rFonts w:ascii="Times New Roman" w:eastAsia="SimSun" w:hAnsi="Times New Roman" w:cs="Times New Roman"/>
          <w:snapToGrid w:val="0"/>
          <w:lang w:eastAsia="zh-CN"/>
        </w:rPr>
        <w:t>ensió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t vagy bradycardiát a 4.4 pontban ismertetett módon kell kezelni.</w:t>
      </w:r>
    </w:p>
    <w:p w14:paraId="3E1BCE33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4BC24DFF" w14:textId="6AF5F590" w:rsidR="003F4E45" w:rsidRPr="003F4E45" w:rsidRDefault="003F4E45" w:rsidP="008A0B3A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Viszonylag egészséges, nem intenzív ellátásban részesülő, dexmedetomidinnel kezelt személyeknél a bradycardia esetenként szinuszleálláshoz vagy -szünethez vezetett. A tünetek a láb felemelésére és antikolinerg szerek, például atropin vagy glikopirrolát adására reagáltak. Kivételes esetekben a bradycardia a már korábban bradycardiás betegeknél aszisztolés időszakokba progrediált.</w:t>
      </w:r>
      <w:r w:rsidR="008A0B3A">
        <w:rPr>
          <w:rFonts w:ascii="Times New Roman" w:eastAsia="SimSun" w:hAnsi="Times New Roman" w:cs="Times New Roman"/>
          <w:snapToGrid w:val="0"/>
          <w:lang w:eastAsia="zh-CN"/>
        </w:rPr>
        <w:t xml:space="preserve"> </w:t>
      </w:r>
      <w:r w:rsidR="008A0B3A" w:rsidRPr="008A0B3A">
        <w:rPr>
          <w:rFonts w:ascii="Times New Roman" w:eastAsia="SimSun" w:hAnsi="Times New Roman" w:cs="Times New Roman"/>
          <w:snapToGrid w:val="0"/>
          <w:lang w:eastAsia="zh-CN"/>
        </w:rPr>
        <w:t>Emellett jelentették szívmegállás eseteit, amelyet gyakran előzött</w:t>
      </w:r>
      <w:r w:rsidR="008A0B3A">
        <w:rPr>
          <w:rFonts w:ascii="Times New Roman" w:eastAsia="SimSun" w:hAnsi="Times New Roman" w:cs="Times New Roman"/>
          <w:snapToGrid w:val="0"/>
          <w:lang w:eastAsia="zh-CN"/>
        </w:rPr>
        <w:t xml:space="preserve"> </w:t>
      </w:r>
      <w:r w:rsidR="008A0B3A" w:rsidRPr="008A0B3A">
        <w:rPr>
          <w:rFonts w:ascii="Times New Roman" w:eastAsia="SimSun" w:hAnsi="Times New Roman" w:cs="Times New Roman"/>
          <w:snapToGrid w:val="0"/>
          <w:lang w:eastAsia="zh-CN"/>
        </w:rPr>
        <w:t>meg brad</w:t>
      </w:r>
      <w:r w:rsidR="00F211F7">
        <w:rPr>
          <w:rFonts w:ascii="Times New Roman" w:eastAsia="SimSun" w:hAnsi="Times New Roman" w:cs="Times New Roman"/>
          <w:snapToGrid w:val="0"/>
          <w:lang w:eastAsia="zh-CN"/>
        </w:rPr>
        <w:t>yc</w:t>
      </w:r>
      <w:r w:rsidR="008A0B3A" w:rsidRPr="008A0B3A">
        <w:rPr>
          <w:rFonts w:ascii="Times New Roman" w:eastAsia="SimSun" w:hAnsi="Times New Roman" w:cs="Times New Roman"/>
          <w:snapToGrid w:val="0"/>
          <w:lang w:eastAsia="zh-CN"/>
        </w:rPr>
        <w:t>ardia vagy atrioventri</w:t>
      </w:r>
      <w:r w:rsidR="00F211F7">
        <w:rPr>
          <w:rFonts w:ascii="Times New Roman" w:eastAsia="SimSun" w:hAnsi="Times New Roman" w:cs="Times New Roman"/>
          <w:snapToGrid w:val="0"/>
          <w:lang w:eastAsia="zh-CN"/>
        </w:rPr>
        <w:t>c</w:t>
      </w:r>
      <w:r w:rsidR="008A0B3A" w:rsidRPr="008A0B3A">
        <w:rPr>
          <w:rFonts w:ascii="Times New Roman" w:eastAsia="SimSun" w:hAnsi="Times New Roman" w:cs="Times New Roman"/>
          <w:snapToGrid w:val="0"/>
          <w:lang w:eastAsia="zh-CN"/>
        </w:rPr>
        <w:t>ul</w:t>
      </w:r>
      <w:r w:rsidR="00F211F7">
        <w:rPr>
          <w:rFonts w:ascii="Times New Roman" w:eastAsia="SimSun" w:hAnsi="Times New Roman" w:cs="Times New Roman"/>
          <w:snapToGrid w:val="0"/>
          <w:lang w:eastAsia="zh-CN"/>
        </w:rPr>
        <w:t>a</w:t>
      </w:r>
      <w:r w:rsidR="008A0B3A" w:rsidRPr="008A0B3A">
        <w:rPr>
          <w:rFonts w:ascii="Times New Roman" w:eastAsia="SimSun" w:hAnsi="Times New Roman" w:cs="Times New Roman"/>
          <w:snapToGrid w:val="0"/>
          <w:lang w:eastAsia="zh-CN"/>
        </w:rPr>
        <w:t>ris blokk.</w:t>
      </w:r>
    </w:p>
    <w:p w14:paraId="783716CF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747307F8" w14:textId="2AB2DC25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hypert</w:t>
      </w:r>
      <w:r w:rsidR="000A48DF">
        <w:rPr>
          <w:rFonts w:ascii="Times New Roman" w:eastAsia="SimSun" w:hAnsi="Times New Roman" w:cs="Times New Roman"/>
          <w:snapToGrid w:val="0"/>
          <w:lang w:eastAsia="zh-CN"/>
        </w:rPr>
        <w:t>ensió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t a telítő dózis alkalmazásával hozták összefüggésbe, ezt a reakciót a telítő dózis mellőzése, az infúziós sebesség csökkentése vagy a telítő dózis csökkentése révén lehet mérsékelni.</w:t>
      </w:r>
    </w:p>
    <w:p w14:paraId="7C05B033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01457F28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Gyermekek és serdülők</w:t>
      </w:r>
    </w:p>
    <w:p w14:paraId="622BC0ED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1 hónaposnál idősebb, döntően műtéten átesett gyermekeknél értékelték a legfeljebb 24 órás, intenzív osztályon végzett kezelést, és a felnőttekéhez hasonló biztonságossági profilt állapítottak meg. Az újszülöttekre (28–44 gesztációs hét) vonatkozó adatok nagyon korlátozottak, és csak </w:t>
      </w:r>
      <w:r w:rsidRPr="003F4E45">
        <w:rPr>
          <w:rFonts w:ascii="Times New Roman" w:eastAsia="SimSun" w:hAnsi="Times New Roman" w:cs="Times New Roman"/>
          <w:snapToGrid w:val="0"/>
          <w:lang w:val="en-GB" w:eastAsia="zh-CN"/>
        </w:rPr>
        <w:sym w:font="Symbol" w:char="F0A3"/>
      </w:r>
      <w:r w:rsidRPr="008A0B3A">
        <w:rPr>
          <w:rFonts w:ascii="Times New Roman" w:eastAsia="SimSun" w:hAnsi="Times New Roman" w:cs="Times New Roman"/>
          <w:snapToGrid w:val="0"/>
          <w:lang w:eastAsia="zh-CN"/>
        </w:rPr>
        <w:t> 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0,2 mikrogramm/ttkg/óra fenntartó dózisra korlátozódnak. Az irodalomban egyetlen olyan esetről számoltak be, amikor egy újszülöttnél hypothermiás bradycardia lépett fel.</w:t>
      </w:r>
    </w:p>
    <w:p w14:paraId="4395220F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4B487636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u w:val="single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Feltételezett mellékhatások bejelentése</w:t>
      </w:r>
    </w:p>
    <w:p w14:paraId="35EBCA83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31C4D5B6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Az egészségügyi szakembereket kérjük, hogy jelentsék be a feltételezett mellékhatásokat a hatóság részére az </w:t>
      </w:r>
      <w:hyperlink r:id="rId7" w:history="1">
        <w:r w:rsidRPr="003F4E45">
          <w:rPr>
            <w:rFonts w:ascii="Times New Roman" w:eastAsia="SimSun" w:hAnsi="Times New Roman" w:cs="Times New Roman"/>
            <w:snapToGrid w:val="0"/>
            <w:color w:val="0000FF"/>
            <w:highlight w:val="lightGray"/>
            <w:u w:val="single"/>
            <w:lang w:eastAsia="zh-CN"/>
          </w:rPr>
          <w:t>V. függelékben</w:t>
        </w:r>
      </w:hyperlink>
      <w:r w:rsidRPr="003F4E45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 xml:space="preserve"> található elérhetőségek valamelyikén keresztül</w:t>
      </w:r>
      <w:r w:rsidRPr="003F4E45">
        <w:rPr>
          <w:rFonts w:ascii="Times New Roman" w:eastAsia="SimSun" w:hAnsi="Times New Roman" w:cs="Times New Roman"/>
          <w:snapToGrid w:val="0"/>
          <w:color w:val="008000"/>
          <w:lang w:eastAsia="zh-CN"/>
        </w:rPr>
        <w:t>.</w:t>
      </w:r>
    </w:p>
    <w:p w14:paraId="674783F4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3D9E0381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</w:rPr>
      </w:pPr>
      <w:r w:rsidRPr="003F4E45">
        <w:rPr>
          <w:rFonts w:ascii="Times New Roman" w:eastAsia="Times New Roman" w:hAnsi="Times New Roman" w:cs="Times New Roman"/>
          <w:b/>
          <w:noProof/>
        </w:rPr>
        <w:t>4.9</w:t>
      </w:r>
      <w:r w:rsidRPr="003F4E45">
        <w:rPr>
          <w:rFonts w:ascii="Times New Roman" w:eastAsia="Times New Roman" w:hAnsi="Times New Roman" w:cs="Times New Roman"/>
          <w:b/>
          <w:noProof/>
        </w:rPr>
        <w:tab/>
        <w:t>Túladagolás</w:t>
      </w:r>
    </w:p>
    <w:p w14:paraId="71F939DC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012DB080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Tünetek</w:t>
      </w:r>
    </w:p>
    <w:p w14:paraId="50D8D07A" w14:textId="628529FE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Számos, dexmedetomidin túladagolással járó esetről számoltak be a klinikai vizsgálatok során és a forgalomba hozatalt követően szerzett adatok alapján. Ezekben az esetekben a jelentések szerint a dexmedetomidin legnagyobb infúziós sebessége egy 20 hónapos gyermeknél 36 percen át 60 mikrogramm/ttkg/óra, illetve egy felnőttnél 15 percen át 30 mikrogramm/ttkg/óra volt. A túladagolással kapcsolatosan a leggyakoribb mellékhatás a bradycardia, a hypot</w:t>
      </w:r>
      <w:r w:rsidR="00953D92">
        <w:rPr>
          <w:rFonts w:ascii="Times New Roman" w:eastAsia="SimSun" w:hAnsi="Times New Roman" w:cs="Times New Roman"/>
          <w:snapToGrid w:val="0"/>
          <w:lang w:eastAsia="zh-CN"/>
        </w:rPr>
        <w:t>ensio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, hypert</w:t>
      </w:r>
      <w:r w:rsidR="00953D92">
        <w:rPr>
          <w:rFonts w:ascii="Times New Roman" w:eastAsia="SimSun" w:hAnsi="Times New Roman" w:cs="Times New Roman"/>
          <w:snapToGrid w:val="0"/>
          <w:lang w:eastAsia="zh-CN"/>
        </w:rPr>
        <w:t>ensio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, a túlzott szedáció, a légzésdepresszió és a szívleállás volt.</w:t>
      </w:r>
    </w:p>
    <w:p w14:paraId="28C2B815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511CC1D0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Kezelés</w:t>
      </w:r>
    </w:p>
    <w:p w14:paraId="57442DA4" w14:textId="4BDC402E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Klinikai tünetekkel járó túladagolás esetén a dexmedetomidin infúzió dózisát csökkenteni kell vagy le kell állítani az alkalmazását. A várható hatások elsősorban cardiovascularis jellegűek és a klinikailag ajánlott módon kell őket kezelni (lásd 4.4 pont). Nagy koncentráció mellett a hypert</w:t>
      </w:r>
      <w:r w:rsidR="00953D92">
        <w:rPr>
          <w:rFonts w:ascii="Times New Roman" w:eastAsia="SimSun" w:hAnsi="Times New Roman" w:cs="Times New Roman"/>
          <w:snapToGrid w:val="0"/>
          <w:lang w:eastAsia="zh-CN"/>
        </w:rPr>
        <w:t>ensio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kifejezettebb lehet, mint a hypot</w:t>
      </w:r>
      <w:r w:rsidR="00953D92">
        <w:rPr>
          <w:rFonts w:ascii="Times New Roman" w:eastAsia="SimSun" w:hAnsi="Times New Roman" w:cs="Times New Roman"/>
          <w:snapToGrid w:val="0"/>
          <w:lang w:eastAsia="zh-CN"/>
        </w:rPr>
        <w:t>ensio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. A klinikai vizsgálatok során a szinuszleállással járó esetek spontán rendeződtek vagy reagáltak az atropin- és glikopirrolát-kezelésre. Kivételes, szívleálláshoz vezető súlyos esetekben újraélesztésre volt szükség.</w:t>
      </w:r>
    </w:p>
    <w:p w14:paraId="6D97C7B0" w14:textId="77777777" w:rsidR="003F4E45" w:rsidRPr="003F4E45" w:rsidRDefault="003F4E45" w:rsidP="003F4E45">
      <w:pPr>
        <w:tabs>
          <w:tab w:val="left" w:pos="567"/>
        </w:tabs>
        <w:spacing w:after="0" w:line="240" w:lineRule="auto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</w:p>
    <w:p w14:paraId="72D4A657" w14:textId="77777777" w:rsidR="003F4E45" w:rsidRPr="003F4E45" w:rsidRDefault="003F4E45" w:rsidP="003F4E45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</w:p>
    <w:p w14:paraId="62FE5E1A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3F4E45">
        <w:rPr>
          <w:rFonts w:ascii="Times New Roman" w:eastAsia="Times New Roman" w:hAnsi="Times New Roman" w:cs="Times New Roman"/>
          <w:b/>
        </w:rPr>
        <w:t>5.</w:t>
      </w:r>
      <w:r w:rsidRPr="003F4E45">
        <w:rPr>
          <w:rFonts w:ascii="Times New Roman" w:eastAsia="Times New Roman" w:hAnsi="Times New Roman" w:cs="Times New Roman"/>
          <w:b/>
        </w:rPr>
        <w:tab/>
        <w:t>FARMAKOLÓGIAI TULAJDONSÁGOK</w:t>
      </w:r>
    </w:p>
    <w:p w14:paraId="536CE715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</w:rPr>
      </w:pPr>
    </w:p>
    <w:p w14:paraId="13E9F017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3F4E45">
        <w:rPr>
          <w:rFonts w:ascii="Times New Roman" w:eastAsia="Times New Roman" w:hAnsi="Times New Roman" w:cs="Times New Roman"/>
          <w:b/>
        </w:rPr>
        <w:t>5.1</w:t>
      </w:r>
      <w:r w:rsidRPr="003F4E45">
        <w:rPr>
          <w:rFonts w:ascii="Times New Roman" w:eastAsia="Times New Roman" w:hAnsi="Times New Roman" w:cs="Times New Roman"/>
          <w:b/>
        </w:rPr>
        <w:tab/>
        <w:t>Farmakodinámiás tulajdonságok</w:t>
      </w:r>
    </w:p>
    <w:p w14:paraId="10AC6592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0C142E5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>Farmakoterápiás csoport: pszicholeptikumok, egyéb hipnotikumok és szedatívumok, ATC kód: N05CM18</w:t>
      </w:r>
    </w:p>
    <w:p w14:paraId="51300F27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BC21B58" w14:textId="2026B6E4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>A dexmedetomidin változatos farmakológiai tulajdonságokkal rendelkező szelektív alfa</w:t>
      </w:r>
      <w:r w:rsidR="00D837C8">
        <w:rPr>
          <w:rFonts w:ascii="Times New Roman" w:eastAsia="Times New Roman" w:hAnsi="Times New Roman" w:cs="Times New Roman"/>
        </w:rPr>
        <w:t>-</w:t>
      </w:r>
      <w:r w:rsidRPr="003F4E45">
        <w:rPr>
          <w:rFonts w:ascii="Times New Roman" w:eastAsia="Times New Roman" w:hAnsi="Times New Roman" w:cs="Times New Roman"/>
        </w:rPr>
        <w:t>2</w:t>
      </w:r>
      <w:r w:rsidR="00D837C8">
        <w:rPr>
          <w:rFonts w:ascii="Times New Roman" w:eastAsia="Times New Roman" w:hAnsi="Times New Roman" w:cs="Times New Roman"/>
        </w:rPr>
        <w:t>-</w:t>
      </w:r>
      <w:r w:rsidRPr="003F4E45">
        <w:rPr>
          <w:rFonts w:ascii="Times New Roman" w:eastAsia="Times New Roman" w:hAnsi="Times New Roman" w:cs="Times New Roman"/>
        </w:rPr>
        <w:t>receptor</w:t>
      </w:r>
      <w:r w:rsidR="00D837C8">
        <w:rPr>
          <w:rFonts w:ascii="Times New Roman" w:eastAsia="Times New Roman" w:hAnsi="Times New Roman" w:cs="Times New Roman"/>
        </w:rPr>
        <w:t>-</w:t>
      </w:r>
      <w:r w:rsidRPr="003F4E45">
        <w:rPr>
          <w:rFonts w:ascii="Times New Roman" w:eastAsia="Times New Roman" w:hAnsi="Times New Roman" w:cs="Times New Roman"/>
        </w:rPr>
        <w:t>agonista. A szimpatikus idegvégződéseken a noradrenalin felszabadulás csökkentése révén szimpatolitikus hatása van. A szedatív hatás a döntően noradrenerg agytörzsi magban, a locus coeruleusban a kisülések csökkentésének köszönhető. A dexmedetomidinnek fájdalomcsillapító és anesztetikus/fájalomcsillapító-megtakarító hatásai vannak. A cardiovascularis hatások a dózistól függenek; alacsonyabb infúziós sebesség mellett a centrális hatások dominálnak, ami a szívfrekvencia és a vérnyomás csökkenéséhez vezet. Nagyobb dózisok esetén a perifériás érszűkítő hatások dominálnak, ami a szisztémás érellenállás és a vérnyomás emelkedéséhez vezet, miközben a bradikardizáló hatás továbbra is kifejezett. A dexmedetomidin viszonylag mentes a légzésdepressziós hatásoktól, ha monoterápiában, egészséges alanyoknak adják.</w:t>
      </w:r>
    </w:p>
    <w:p w14:paraId="209FC015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B98B98D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3F4E45">
        <w:rPr>
          <w:rFonts w:ascii="Times New Roman" w:eastAsia="SimSun" w:hAnsi="Times New Roman" w:cs="Times New Roman"/>
          <w:snapToGrid w:val="0"/>
          <w:szCs w:val="20"/>
          <w:u w:val="single"/>
          <w:lang w:eastAsia="zh-CN"/>
        </w:rPr>
        <w:t>Intenzív osztályon kezelt felnőtt betegek szedációja</w:t>
      </w:r>
    </w:p>
    <w:p w14:paraId="1D131A7C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0EBCCBC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>Azokban a placebokontrollos vizsgálatokban, amelyekben korábban intubált és midazolámmal vagy propofollal szedált, posztoperatív intenzív ellátásban részesülő betegek vettek részt, a dexmedetomidin szignifikánsan csökkentette mindkét kiegészítő szedatívum (midazolám vagy propofol) és az opioidok legfeljebb 24 órán belüli sürgősségi alkalmazásának szükségességét. A legtöbb dexmedetomidinnel kezelt beteg nem igényelt kiegészítő szedatív kezelést. A betegeket sikeresen lehetett extubálni a dexmedetomidin infúzió adásának abbahagyása nélkül. Az intenzív ellátáson kívüli vizsgálatok megerősítették, hogy a dexmedetomidint biztonsággal lehet adni azoknak a betegeknek is, akiket endotrachealisan nem intubáltak, feltéve, hogy megfelelően ellenőrzik őket.</w:t>
      </w:r>
    </w:p>
    <w:p w14:paraId="7119F8EC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</w:rPr>
      </w:pPr>
    </w:p>
    <w:p w14:paraId="0C6F7185" w14:textId="38C44EE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>Egy olyan, döntően belgyógyászati betegcsoport esetében, ahol prolongált, enyhe vagy közepes mértékű (RASS 0 </w:t>
      </w:r>
      <w:r w:rsidR="00D837C8">
        <w:rPr>
          <w:rFonts w:ascii="Times New Roman" w:eastAsia="Times New Roman" w:hAnsi="Times New Roman" w:cs="Times New Roman"/>
        </w:rPr>
        <w:t>–</w:t>
      </w:r>
      <w:r w:rsidRPr="003F4E45">
        <w:rPr>
          <w:rFonts w:ascii="Times New Roman" w:eastAsia="Times New Roman" w:hAnsi="Times New Roman" w:cs="Times New Roman"/>
        </w:rPr>
        <w:t> </w:t>
      </w:r>
      <w:r w:rsidR="00D837C8">
        <w:rPr>
          <w:rFonts w:ascii="Times New Roman" w:eastAsia="Times New Roman" w:hAnsi="Times New Roman" w:cs="Times New Roman"/>
        </w:rPr>
        <w:t>[–</w:t>
      </w:r>
      <w:r w:rsidRPr="003F4E45">
        <w:rPr>
          <w:rFonts w:ascii="Times New Roman" w:eastAsia="Times New Roman" w:hAnsi="Times New Roman" w:cs="Times New Roman"/>
        </w:rPr>
        <w:t>3</w:t>
      </w:r>
      <w:r w:rsidR="00D837C8">
        <w:rPr>
          <w:rFonts w:ascii="Times New Roman" w:eastAsia="Times New Roman" w:hAnsi="Times New Roman" w:cs="Times New Roman"/>
        </w:rPr>
        <w:t>]</w:t>
      </w:r>
      <w:r w:rsidRPr="003F4E45">
        <w:rPr>
          <w:rFonts w:ascii="Times New Roman" w:eastAsia="Times New Roman" w:hAnsi="Times New Roman" w:cs="Times New Roman"/>
        </w:rPr>
        <w:t>) szedációra volt szükség az intenzív osztályon legfeljebb 14 napon át, a dexmedetomidin hatása a célként megjelölt szedációs időtartomány tekintetében hasonló volt a midazoláméhoz (arány: 1,07; 95%-os CI 0,971; 1,176) és a propofoléhoz (arány: 1,00; 95%-os CI 0,922; 1,075), a midazolámhoz képest csökkentette a gépi lélegeztetés időtartamát, illetve a midazolámhoz és a propofolhoz képest csökkentette az extubációig eltelt idő hosszát. Mind a propofollal, mind a midazolámmal összehasonlítva a betegek könnyebben ébredtek, jobban kooperáltak és könnyebben tudtak kommunikálni, függetlenül attól, hogy volt-e fájdalmuk vagy sem. A dexmedetomidinnel kezelt betegeknél alacsony vérnyomás és bradycardia gyakrabban, de tahycardia ritkábban fordult elő a midazolámmal kezelt betegekhez képest, továbbá a dexmedetomidinnel kezelt betegeknél gyakoribb volt a tahycardia, de hasonlóan gyakori volt a hypot</w:t>
      </w:r>
      <w:r w:rsidR="00953D92">
        <w:rPr>
          <w:rFonts w:ascii="Times New Roman" w:eastAsia="Times New Roman" w:hAnsi="Times New Roman" w:cs="Times New Roman"/>
        </w:rPr>
        <w:t>ensio</w:t>
      </w:r>
      <w:r w:rsidRPr="003F4E45">
        <w:rPr>
          <w:rFonts w:ascii="Times New Roman" w:eastAsia="Times New Roman" w:hAnsi="Times New Roman" w:cs="Times New Roman"/>
        </w:rPr>
        <w:t>, mint a propofollal kezelt betegeknél. A dexmedetomidin alkalmazása mellett a CAM-ICU-skála (Confusion Assessment Method for the Intensive Care Unit) alapján mért delírium mértéke egy vizsgálat során a midazolámhoz képest csökkent, a delíriummal kapcsolatos mellékhatások pedig ritkábbak voltak a propofolhoz képest. A vizsgálatot a nem kielégítő szedáció miatt idő előtt abbahagyó betegeket propofolra vagy midazolámra állították át. A nem kielégítő szedáció kockázata azoknál a betegeknél nőtt, akiket közvetlenül a gyógyszerváltás előtt a szokásos ellátással nehezen lehetett szedálni.</w:t>
      </w:r>
    </w:p>
    <w:p w14:paraId="2A62BD08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8FA9AD9" w14:textId="5E13C59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8A7548">
        <w:rPr>
          <w:rFonts w:ascii="Times New Roman" w:eastAsia="Times New Roman" w:hAnsi="Times New Roman" w:cs="Times New Roman"/>
        </w:rPr>
        <w:t>Gyermekeknél és serdülőknél a hatásosságot</w:t>
      </w:r>
      <w:r w:rsidRPr="003F4E45">
        <w:rPr>
          <w:rFonts w:ascii="Times New Roman" w:eastAsia="Times New Roman" w:hAnsi="Times New Roman" w:cs="Times New Roman"/>
        </w:rPr>
        <w:t xml:space="preserve"> egy dóziskontrollált, intenzív osztályos vizsgálatban mutatták ki, nagyrészt műtéten átesett, 1 hónapos és ≤ 17 éves </w:t>
      </w:r>
      <w:r w:rsidR="00D837C8">
        <w:rPr>
          <w:rFonts w:ascii="Times New Roman" w:eastAsia="Times New Roman" w:hAnsi="Times New Roman" w:cs="Times New Roman"/>
        </w:rPr>
        <w:t xml:space="preserve">kor </w:t>
      </w:r>
      <w:r w:rsidRPr="003F4E45">
        <w:rPr>
          <w:rFonts w:ascii="Times New Roman" w:eastAsia="Times New Roman" w:hAnsi="Times New Roman" w:cs="Times New Roman"/>
        </w:rPr>
        <w:t>közötti betegcsoporton. A dexmedetomidinnel kezelt betegek körülbelül 50%-ánál nem volt szükség midazolám kiegészítő alkalmazására a 20,3 órás medián időtartamú, de 24 órát meg nem haladó kezelési idő alatt. 24 óránál hosszabb kezelésre vonatkozó adatok nem állnak rendelkezésre. Az újszülöttekre (28</w:t>
      </w:r>
      <w:r w:rsidR="00D837C8">
        <w:rPr>
          <w:rFonts w:ascii="Times New Roman" w:eastAsia="Times New Roman" w:hAnsi="Times New Roman" w:cs="Times New Roman"/>
        </w:rPr>
        <w:t>–</w:t>
      </w:r>
      <w:r w:rsidRPr="003F4E45">
        <w:rPr>
          <w:rFonts w:ascii="Times New Roman" w:eastAsia="Times New Roman" w:hAnsi="Times New Roman" w:cs="Times New Roman"/>
        </w:rPr>
        <w:t>44 gesztációs hét) vonatkozó adatok nagyon korlátozottak és csak alacsony dózisokra (≤ 0,2 mikrogramm/ttkg/óra) korlátozódnak (lásd 5.2 és 4.4 pont). Az újszülöttek különösen érzékenyek lehetnek dexmedetomidin bradikardizáló hatásaira hypothermia, valamint a szívfrekvencia-függő, szívteljesítményt érintő zavarok esetén.</w:t>
      </w:r>
    </w:p>
    <w:p w14:paraId="3113407D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</w:rPr>
      </w:pPr>
    </w:p>
    <w:p w14:paraId="4A9DC417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>A kettős vak, komparátorkontrollos, intenzív ellátásban végzett vizsgálatok során a dexmedetomidinnel kezelt betegeknél (n = 778) a kortizolszupresszió előfordulási gyakorisága 0,5% volt, szemben a midazolámmal (n = 338) vagy a propofollal (n = 275) kezelt betegeknél észlelt 0%</w:t>
      </w:r>
      <w:r w:rsidRPr="003F4E45">
        <w:rPr>
          <w:rFonts w:ascii="Times New Roman" w:eastAsia="Times New Roman" w:hAnsi="Times New Roman" w:cs="Times New Roman"/>
        </w:rPr>
        <w:noBreakHyphen/>
        <w:t>kal. Ezt az eseményt 1 esetben enyhe, 3 esetben közepesen súlyos fokúként jelentették.</w:t>
      </w:r>
    </w:p>
    <w:p w14:paraId="2178878A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zCs w:val="20"/>
        </w:rPr>
      </w:pPr>
    </w:p>
    <w:p w14:paraId="27F4832A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zCs w:val="20"/>
          <w:u w:val="single"/>
        </w:rPr>
      </w:pPr>
      <w:r w:rsidRPr="003F4E45">
        <w:rPr>
          <w:rFonts w:ascii="Times New Roman" w:eastAsia="SimSun" w:hAnsi="Times New Roman" w:cs="Times New Roman"/>
          <w:noProof/>
          <w:szCs w:val="20"/>
          <w:u w:val="single"/>
        </w:rPr>
        <w:t>Műtéti/éber szedáció</w:t>
      </w:r>
    </w:p>
    <w:p w14:paraId="6A58A76A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zCs w:val="20"/>
          <w:u w:val="single"/>
        </w:rPr>
      </w:pPr>
    </w:p>
    <w:p w14:paraId="661B8072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zCs w:val="20"/>
        </w:rPr>
      </w:pPr>
      <w:r w:rsidRPr="003F4E45">
        <w:rPr>
          <w:rFonts w:ascii="Times New Roman" w:eastAsia="SimSun" w:hAnsi="Times New Roman" w:cs="Times New Roman"/>
          <w:noProof/>
          <w:szCs w:val="20"/>
        </w:rPr>
        <w:t>A dexmedetomidin biztonságosságát és hatásosságát nem intubált betegek műtéti és diagnosztikai beavatkozás előtt és/vagy közben történő szedációja során két randomizált, kettős vak, palcebokontrollos, multicenteres klinikai vizsgálatban értékelték.</w:t>
      </w:r>
    </w:p>
    <w:p w14:paraId="481B87AE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zCs w:val="20"/>
        </w:rPr>
      </w:pPr>
    </w:p>
    <w:p w14:paraId="6330F820" w14:textId="145264B9" w:rsidR="003F4E45" w:rsidRPr="003F4E45" w:rsidRDefault="003F4E45" w:rsidP="003F4E45">
      <w:pPr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szCs w:val="24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Az 1. vizsgálatban a monitorozott anesztézia alatt és lokális/regionális anesztéziában végzett, tervezett sebészeti beavatkozásban/eljárásban részesült</w:t>
      </w:r>
      <w:r w:rsidRPr="003F4E45">
        <w:rPr>
          <w:rFonts w:ascii="Times New Roman" w:eastAsia="SimSun" w:hAnsi="Times New Roman" w:cs="Times New Roman"/>
          <w:snapToGrid w:val="0"/>
          <w:szCs w:val="24"/>
          <w:lang w:eastAsia="zh-CN"/>
        </w:rPr>
        <w:t xml:space="preserve"> betegeket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</w:t>
      </w:r>
      <w:r w:rsidRPr="003F4E45">
        <w:rPr>
          <w:rFonts w:ascii="Times New Roman" w:eastAsia="SimSun" w:hAnsi="Times New Roman" w:cs="Times New Roman"/>
          <w:snapToGrid w:val="0"/>
          <w:szCs w:val="24"/>
          <w:lang w:eastAsia="zh-CN"/>
        </w:rPr>
        <w:t>randomizálták vagy 1 mikrogramm/ttkg (n</w:t>
      </w:r>
      <w:r w:rsidRPr="00A25CA8">
        <w:rPr>
          <w:rFonts w:ascii="Times New Roman" w:eastAsia="SimSun" w:hAnsi="Times New Roman" w:cs="Times New Roman"/>
          <w:snapToGrid w:val="0"/>
          <w:szCs w:val="20"/>
          <w:lang w:eastAsia="zh-CN"/>
        </w:rPr>
        <w:t> </w:t>
      </w:r>
      <w:r w:rsidRPr="003F4E45">
        <w:rPr>
          <w:rFonts w:ascii="Times New Roman" w:eastAsia="SimSun" w:hAnsi="Times New Roman" w:cs="Times New Roman"/>
          <w:snapToGrid w:val="0"/>
          <w:szCs w:val="24"/>
          <w:lang w:eastAsia="zh-CN"/>
        </w:rPr>
        <w:t>= 129), vagy 0,5 mikrogramm/ttkg (n = 134) dexmedetomidin telítő infúzióra vagy placebóra (fiziológiás sóoldat; n = 63), amit 10 percen keresztül kaptak, és amelyet 0,6 mikrogramm/ttkg/óra kezdő dózisú fenntartó infúzió követett. A vizsgálati gyógyszer fenntartó infúzióját a 0,2 mikrogramm/ttkg/óra–1 mikrogramm/ttkg/óra tartományban lehetett titrálni. Azoknak a betegeknek az aránya, akik kiegészítő (rescue) midazolám nélkül érték el a tervezett szedációs szintet (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Observer’s Assessment of Alertness/Sedation Scale</w:t>
      </w:r>
      <w:r w:rsidR="000D6DD2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– </w:t>
      </w:r>
      <w:r w:rsidRPr="003F4E45">
        <w:rPr>
          <w:rFonts w:ascii="Times New Roman" w:eastAsia="SimSun" w:hAnsi="Times New Roman" w:cs="Times New Roman"/>
          <w:snapToGrid w:val="0"/>
          <w:szCs w:val="24"/>
          <w:lang w:eastAsia="zh-CN"/>
        </w:rPr>
        <w:t xml:space="preserve">OAAS-skála ≤ 4), 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54% volt az 1 mikrogramm/ttkg dexmedetomidint kapó betegek körében, 40% azoknál, akik 0,5 mikrogramm/ttkg dexmedetomidint kaptak</w:t>
      </w:r>
      <w:r w:rsidR="000D6DD2">
        <w:rPr>
          <w:rFonts w:ascii="Times New Roman" w:eastAsia="SimSun" w:hAnsi="Times New Roman" w:cs="Times New Roman"/>
          <w:snapToGrid w:val="0"/>
          <w:szCs w:val="20"/>
          <w:lang w:eastAsia="zh-CN"/>
        </w:rPr>
        <w:t>,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és 3% a placebóval kezelt betegeknél. A kiegészítő midazolámot nem igénylő, 1 mikrogramm/ttkg dexmedetomidinre, illetve 0,5 mikrogramm/ttkg dexmedetomidinre randomizált betegeknél a kockázatkülönbség aránya 48% (95%-os CI: 37%</w:t>
      </w:r>
      <w:r w:rsidR="000D6DD2">
        <w:rPr>
          <w:rFonts w:ascii="Times New Roman" w:eastAsia="SimSun" w:hAnsi="Times New Roman" w:cs="Times New Roman"/>
          <w:snapToGrid w:val="0"/>
          <w:szCs w:val="20"/>
          <w:lang w:eastAsia="zh-CN"/>
        </w:rPr>
        <w:t>–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57%) és 40% (95% CI: 28%</w:t>
      </w:r>
      <w:r w:rsidR="000D6DD2">
        <w:rPr>
          <w:rFonts w:ascii="Times New Roman" w:eastAsia="SimSun" w:hAnsi="Times New Roman" w:cs="Times New Roman"/>
          <w:snapToGrid w:val="0"/>
          <w:szCs w:val="20"/>
          <w:lang w:eastAsia="zh-CN"/>
        </w:rPr>
        <w:t>–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48%) volt a placebóval összehasonlítva. A midazolám kiegészítő dózis medián értéke (tartomány) 1,5 mg (0,5</w:t>
      </w:r>
      <w:r w:rsidR="000D6DD2">
        <w:rPr>
          <w:rFonts w:ascii="Times New Roman" w:eastAsia="SimSun" w:hAnsi="Times New Roman" w:cs="Times New Roman"/>
          <w:snapToGrid w:val="0"/>
          <w:szCs w:val="20"/>
          <w:lang w:eastAsia="zh-CN"/>
        </w:rPr>
        <w:t>–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7,0) volt az 1,0 mikrogramm/ttkg dexmedetomidinnel kezelt csoportban, 2,0 mg (0,5</w:t>
      </w:r>
      <w:r w:rsidR="000D6DD2">
        <w:rPr>
          <w:rFonts w:ascii="Times New Roman" w:eastAsia="SimSun" w:hAnsi="Times New Roman" w:cs="Times New Roman"/>
          <w:snapToGrid w:val="0"/>
          <w:szCs w:val="20"/>
          <w:lang w:eastAsia="zh-CN"/>
        </w:rPr>
        <w:t>–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8,0) a 0,5 mikrogramm/ttkg dexmedetomidinnel kezelt csoportban</w:t>
      </w:r>
      <w:r w:rsidR="000D6DD2">
        <w:rPr>
          <w:rFonts w:ascii="Times New Roman" w:eastAsia="SimSun" w:hAnsi="Times New Roman" w:cs="Times New Roman"/>
          <w:snapToGrid w:val="0"/>
          <w:szCs w:val="20"/>
          <w:lang w:eastAsia="zh-CN"/>
        </w:rPr>
        <w:t>,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és 4,0 mg (0,5</w:t>
      </w:r>
      <w:r w:rsidR="000D6DD2">
        <w:rPr>
          <w:rFonts w:ascii="Times New Roman" w:eastAsia="SimSun" w:hAnsi="Times New Roman" w:cs="Times New Roman"/>
          <w:snapToGrid w:val="0"/>
          <w:szCs w:val="20"/>
          <w:lang w:eastAsia="zh-CN"/>
        </w:rPr>
        <w:t>–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14,0) azoknál, akik placebót kaptak. A midazolám kiegészítő dózis középértékének különbsége az 1 mikrogramm/ttkg dexmedetomidinnel kezelt csoport és a placebocsoport között </w:t>
      </w:r>
      <w:r w:rsidR="000D6DD2">
        <w:rPr>
          <w:rFonts w:ascii="Times New Roman" w:eastAsia="SimSun" w:hAnsi="Times New Roman" w:cs="Times New Roman"/>
          <w:snapToGrid w:val="0"/>
          <w:szCs w:val="20"/>
          <w:lang w:eastAsia="zh-CN"/>
        </w:rPr>
        <w:t>–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3,1 mg (95%-os CI: </w:t>
      </w:r>
      <w:r w:rsidR="000D6DD2">
        <w:rPr>
          <w:rFonts w:ascii="Times New Roman" w:eastAsia="SimSun" w:hAnsi="Times New Roman" w:cs="Times New Roman"/>
          <w:snapToGrid w:val="0"/>
          <w:szCs w:val="20"/>
          <w:lang w:eastAsia="zh-CN"/>
        </w:rPr>
        <w:t>[–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3,8</w:t>
      </w:r>
      <w:r w:rsidR="000D6DD2">
        <w:rPr>
          <w:rFonts w:ascii="Times New Roman" w:eastAsia="SimSun" w:hAnsi="Times New Roman" w:cs="Times New Roman"/>
          <w:snapToGrid w:val="0"/>
          <w:szCs w:val="20"/>
          <w:lang w:eastAsia="zh-CN"/>
        </w:rPr>
        <w:t>]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–</w:t>
      </w:r>
      <w:r w:rsidR="000D6DD2">
        <w:rPr>
          <w:rFonts w:ascii="Times New Roman" w:eastAsia="SimSun" w:hAnsi="Times New Roman" w:cs="Times New Roman"/>
          <w:snapToGrid w:val="0"/>
          <w:szCs w:val="20"/>
          <w:lang w:eastAsia="zh-CN"/>
        </w:rPr>
        <w:t>[–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2,5</w:t>
      </w:r>
      <w:r w:rsidR="000D6DD2">
        <w:rPr>
          <w:rFonts w:ascii="Times New Roman" w:eastAsia="SimSun" w:hAnsi="Times New Roman" w:cs="Times New Roman"/>
          <w:snapToGrid w:val="0"/>
          <w:szCs w:val="20"/>
          <w:lang w:eastAsia="zh-CN"/>
        </w:rPr>
        <w:t>]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), míg a 0,5 mikrogramm/ttkg dexmedetomidint kapó csoport és a placebóval kezelt csoport között </w:t>
      </w:r>
      <w:r w:rsidR="000D6DD2">
        <w:rPr>
          <w:rFonts w:ascii="Times New Roman" w:eastAsia="SimSun" w:hAnsi="Times New Roman" w:cs="Times New Roman"/>
          <w:snapToGrid w:val="0"/>
          <w:szCs w:val="20"/>
          <w:lang w:eastAsia="zh-CN"/>
        </w:rPr>
        <w:t>–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2,7 mg (95%-os CI: </w:t>
      </w:r>
      <w:r w:rsidR="000D6DD2">
        <w:rPr>
          <w:rFonts w:ascii="Times New Roman" w:eastAsia="SimSun" w:hAnsi="Times New Roman" w:cs="Times New Roman"/>
          <w:snapToGrid w:val="0"/>
          <w:szCs w:val="20"/>
          <w:lang w:eastAsia="zh-CN"/>
        </w:rPr>
        <w:t>[–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3,3</w:t>
      </w:r>
      <w:r w:rsidR="000D6DD2">
        <w:rPr>
          <w:rFonts w:ascii="Times New Roman" w:eastAsia="SimSun" w:hAnsi="Times New Roman" w:cs="Times New Roman"/>
          <w:snapToGrid w:val="0"/>
          <w:szCs w:val="20"/>
          <w:lang w:eastAsia="zh-CN"/>
        </w:rPr>
        <w:t>]–[–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2,1</w:t>
      </w:r>
      <w:r w:rsidR="000D6DD2">
        <w:rPr>
          <w:rFonts w:ascii="Times New Roman" w:eastAsia="SimSun" w:hAnsi="Times New Roman" w:cs="Times New Roman"/>
          <w:snapToGrid w:val="0"/>
          <w:szCs w:val="20"/>
          <w:lang w:eastAsia="zh-CN"/>
        </w:rPr>
        <w:t>]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) volt a dexmedetomidin javára. Az első kiegészítő dózis alkalmazásáig eltelt időtartam középértéke 114 perc volt az 1 mikrogramm/ttkg dexmedetomidinnel kezelt csoportban, 40 perc a 0,5 mikrogramm/ttkg dexmedetomidinnel kezelt csoportban</w:t>
      </w:r>
      <w:r w:rsidR="000D6DD2">
        <w:rPr>
          <w:rFonts w:ascii="Times New Roman" w:eastAsia="SimSun" w:hAnsi="Times New Roman" w:cs="Times New Roman"/>
          <w:snapToGrid w:val="0"/>
          <w:szCs w:val="20"/>
          <w:lang w:eastAsia="zh-CN"/>
        </w:rPr>
        <w:t>,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és 20 perc azoknál, akik placebót kaptak.</w:t>
      </w:r>
    </w:p>
    <w:p w14:paraId="68ABBC43" w14:textId="77777777" w:rsidR="003F4E45" w:rsidRPr="003F4E45" w:rsidRDefault="003F4E45" w:rsidP="003F4E45">
      <w:pPr>
        <w:tabs>
          <w:tab w:val="left" w:pos="567"/>
        </w:tabs>
        <w:spacing w:after="0" w:line="240" w:lineRule="auto"/>
        <w:ind w:left="567"/>
        <w:rPr>
          <w:rFonts w:ascii="Times New Roman" w:eastAsia="SimSun" w:hAnsi="Times New Roman" w:cs="Times New Roman"/>
          <w:snapToGrid w:val="0"/>
          <w:szCs w:val="24"/>
          <w:lang w:eastAsia="zh-CN"/>
        </w:rPr>
      </w:pPr>
    </w:p>
    <w:p w14:paraId="1F6251F9" w14:textId="5D1DCE59" w:rsidR="003F4E45" w:rsidRPr="003F4E45" w:rsidRDefault="003F4E45" w:rsidP="003F4E45">
      <w:pPr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A 2. vizsgálatban a lokális anesztéziával éber fiberoszkópos intubációban részesülő betegeket randomizálták </w:t>
      </w:r>
      <w:r w:rsidRPr="003F4E45">
        <w:rPr>
          <w:rFonts w:ascii="Times New Roman" w:eastAsia="SimSun" w:hAnsi="Times New Roman" w:cs="Times New Roman"/>
          <w:snapToGrid w:val="0"/>
          <w:szCs w:val="24"/>
          <w:lang w:eastAsia="zh-CN"/>
        </w:rPr>
        <w:t>1 mikrogramm/ttkg (n = 55) dexmedetomidin telítő infúzióra vagy placebóra (fiziológiás sóoldat) (n = 50), amit 10 percen keresztül kaptak, és amelyet 0,7 mikrogramm/ttkg/óra fix dózisú fenntartó infúzió követett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.</w:t>
      </w:r>
      <w:r w:rsidRPr="003F4E45">
        <w:rPr>
          <w:rFonts w:ascii="Times New Roman" w:eastAsia="SimSun" w:hAnsi="Times New Roman" w:cs="Times New Roman"/>
          <w:snapToGrid w:val="0"/>
          <w:szCs w:val="24"/>
          <w:lang w:eastAsia="zh-CN"/>
        </w:rPr>
        <w:t xml:space="preserve"> A Ramsey szedációs skála (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Ramsay Sedation Scale) szerinti</w:t>
      </w:r>
      <w:r w:rsidR="000A48DF">
        <w:rPr>
          <w:rFonts w:ascii="Times New Roman" w:eastAsia="SimSun" w:hAnsi="Times New Roman" w:cs="Times New Roman"/>
          <w:snapToGrid w:val="0"/>
          <w:szCs w:val="20"/>
          <w:lang w:eastAsia="zh-CN"/>
        </w:rPr>
        <w:t xml:space="preserve"> ≥</w:t>
      </w: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 2 érték eléréséhez és/vagy fenntartásához szükség esetén a betegeknek kiegészítésként midazolám adható volt.</w:t>
      </w:r>
    </w:p>
    <w:p w14:paraId="19EF8C0F" w14:textId="77777777" w:rsidR="003F4E45" w:rsidRPr="003F4E45" w:rsidRDefault="003F4E45" w:rsidP="003F4E45">
      <w:pPr>
        <w:tabs>
          <w:tab w:val="left" w:pos="567"/>
        </w:tabs>
        <w:spacing w:after="0" w:line="240" w:lineRule="auto"/>
        <w:ind w:left="567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szCs w:val="20"/>
          <w:lang w:eastAsia="zh-CN"/>
        </w:rPr>
        <w:t>A hatásossági eredmények szerint a dexmedetomidin a nem intubált betegek szedációja során hatásosabb volt, mint a placebo. A dexmedetomidinnel kezelt betegek 53%-ának nem volt szüksége midazolám kiegészítésre, szemben a placebót kapó betegek 14%-ával.</w:t>
      </w:r>
    </w:p>
    <w:p w14:paraId="15DCE3AF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</w:rPr>
      </w:pPr>
    </w:p>
    <w:p w14:paraId="561767F2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b/>
          <w:snapToGrid w:val="0"/>
          <w:lang w:eastAsia="zh-CN"/>
        </w:rPr>
        <w:t>5.2</w:t>
      </w:r>
      <w:r w:rsidRPr="003F4E45">
        <w:rPr>
          <w:rFonts w:ascii="Times New Roman" w:eastAsia="SimSun" w:hAnsi="Times New Roman" w:cs="Times New Roman"/>
          <w:b/>
          <w:snapToGrid w:val="0"/>
          <w:lang w:eastAsia="zh-CN"/>
        </w:rPr>
        <w:tab/>
        <w:t>Farmakokinetikai tulajdonságok</w:t>
      </w:r>
    </w:p>
    <w:p w14:paraId="5AFB91AB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</w:p>
    <w:p w14:paraId="00103666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>A dexmedetomidin farmakokinetikáját egészséges önkénteseknél rövid ideig tartó intravénás alkalmazást, illetve intenzív osztályos ellátásban részesülő betegeknél hosszan tartó infúziós kezelést követően értékelték.</w:t>
      </w:r>
    </w:p>
    <w:p w14:paraId="0903A267" w14:textId="77777777" w:rsidR="003F4E45" w:rsidRPr="003F4E45" w:rsidRDefault="003F4E45" w:rsidP="003F4E45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lang w:eastAsia="zh-CN"/>
        </w:rPr>
      </w:pPr>
    </w:p>
    <w:p w14:paraId="6B79F77F" w14:textId="77777777" w:rsidR="003F4E45" w:rsidRPr="003F4E45" w:rsidRDefault="003F4E45" w:rsidP="003F4E45">
      <w:pPr>
        <w:keepNext/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Eloszlás</w:t>
      </w:r>
    </w:p>
    <w:p w14:paraId="4118C5D5" w14:textId="23AB05A1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>A dexmedetomidin kétkompartmentes eloszlási modellt mutat. Egészséges önkénteseknél gyors eloszlási fázist mutat, az eloszlási felezési idő (t</w:t>
      </w:r>
      <w:r w:rsidRPr="003F4E45">
        <w:rPr>
          <w:rFonts w:ascii="Times New Roman" w:eastAsia="Times New Roman" w:hAnsi="Times New Roman" w:cs="Times New Roman"/>
          <w:vertAlign w:val="subscript"/>
        </w:rPr>
        <w:t>1/2α</w:t>
      </w:r>
      <w:r w:rsidRPr="003F4E45">
        <w:rPr>
          <w:rFonts w:ascii="Times New Roman" w:eastAsia="Times New Roman" w:hAnsi="Times New Roman" w:cs="Times New Roman"/>
        </w:rPr>
        <w:t>) a becslések szerint körülbelül 6 perc. A terminális felezési idő (t</w:t>
      </w:r>
      <w:r w:rsidRPr="003F4E45">
        <w:rPr>
          <w:rFonts w:ascii="Times New Roman" w:eastAsia="Times New Roman" w:hAnsi="Times New Roman" w:cs="Times New Roman"/>
          <w:vertAlign w:val="subscript"/>
        </w:rPr>
        <w:t>1/2</w:t>
      </w:r>
      <w:r w:rsidRPr="003F4E45">
        <w:rPr>
          <w:rFonts w:ascii="Times New Roman" w:eastAsia="Times New Roman" w:hAnsi="Times New Roman" w:cs="Times New Roman"/>
        </w:rPr>
        <w:t>) átlagos becsült értéke körülbelül 9</w:t>
      </w:r>
      <w:r w:rsidR="004710C5">
        <w:rPr>
          <w:rFonts w:ascii="Times New Roman" w:eastAsia="Times New Roman" w:hAnsi="Times New Roman" w:cs="Times New Roman"/>
        </w:rPr>
        <w:t>–</w:t>
      </w:r>
      <w:r w:rsidRPr="003F4E45">
        <w:rPr>
          <w:rFonts w:ascii="Times New Roman" w:eastAsia="Times New Roman" w:hAnsi="Times New Roman" w:cs="Times New Roman"/>
        </w:rPr>
        <w:t>2,5 óra (minimum 1,35, maximum 3,68 óra), dinamikus egyensúlyi állapotban az eloszlási térfogat (Vss) átlagos becsült értéke pedig körülbelül 1,16</w:t>
      </w:r>
      <w:r w:rsidR="004710C5">
        <w:rPr>
          <w:rFonts w:ascii="Times New Roman" w:eastAsia="Times New Roman" w:hAnsi="Times New Roman" w:cs="Times New Roman"/>
        </w:rPr>
        <w:t>–</w:t>
      </w:r>
      <w:r w:rsidRPr="003F4E45">
        <w:rPr>
          <w:rFonts w:ascii="Times New Roman" w:eastAsia="Times New Roman" w:hAnsi="Times New Roman" w:cs="Times New Roman"/>
        </w:rPr>
        <w:t>2,16 l/</w:t>
      </w:r>
      <w:r w:rsidR="004710C5">
        <w:rPr>
          <w:rFonts w:ascii="Times New Roman" w:eastAsia="Times New Roman" w:hAnsi="Times New Roman" w:cs="Times New Roman"/>
        </w:rPr>
        <w:t>tt</w:t>
      </w:r>
      <w:r w:rsidRPr="003F4E45">
        <w:rPr>
          <w:rFonts w:ascii="Times New Roman" w:eastAsia="Times New Roman" w:hAnsi="Times New Roman" w:cs="Times New Roman"/>
        </w:rPr>
        <w:t>kg (90</w:t>
      </w:r>
      <w:r w:rsidR="004710C5">
        <w:rPr>
          <w:rFonts w:ascii="Times New Roman" w:eastAsia="Times New Roman" w:hAnsi="Times New Roman" w:cs="Times New Roman"/>
        </w:rPr>
        <w:t>–</w:t>
      </w:r>
      <w:r w:rsidRPr="003F4E45">
        <w:rPr>
          <w:rFonts w:ascii="Times New Roman" w:eastAsia="Times New Roman" w:hAnsi="Times New Roman" w:cs="Times New Roman"/>
        </w:rPr>
        <w:t>151 liter). A plazma clearance (Cl) átlagos becsült értéke körülbelül 0,46</w:t>
      </w:r>
      <w:r w:rsidRPr="003F4E45">
        <w:rPr>
          <w:rFonts w:ascii="Times New Roman" w:eastAsia="Times New Roman" w:hAnsi="Times New Roman" w:cs="Times New Roman"/>
        </w:rPr>
        <w:noBreakHyphen/>
        <w:t>0,73 l/óra/</w:t>
      </w:r>
      <w:r w:rsidR="004710C5">
        <w:rPr>
          <w:rFonts w:ascii="Times New Roman" w:eastAsia="Times New Roman" w:hAnsi="Times New Roman" w:cs="Times New Roman"/>
        </w:rPr>
        <w:t>tt</w:t>
      </w:r>
      <w:r w:rsidRPr="003F4E45">
        <w:rPr>
          <w:rFonts w:ascii="Times New Roman" w:eastAsia="Times New Roman" w:hAnsi="Times New Roman" w:cs="Times New Roman"/>
        </w:rPr>
        <w:t>kg (35,7</w:t>
      </w:r>
      <w:r w:rsidR="004710C5">
        <w:rPr>
          <w:rFonts w:ascii="Times New Roman" w:eastAsia="Times New Roman" w:hAnsi="Times New Roman" w:cs="Times New Roman"/>
        </w:rPr>
        <w:t>–</w:t>
      </w:r>
      <w:r w:rsidRPr="003F4E45">
        <w:rPr>
          <w:rFonts w:ascii="Times New Roman" w:eastAsia="Times New Roman" w:hAnsi="Times New Roman" w:cs="Times New Roman"/>
        </w:rPr>
        <w:t>51,1 l/óra). Ezen Vss és Cl becsült értékek mellett az átlagos testtömeg 69 kg volt. A dexmedetomidin plazma farmakokinetikai értékei 24 óra után ezekhez hasonlóak voltak az intenzív osztályon kezelt populációban. A farmakokinetikai paraméterek becsült értékei: a t</w:t>
      </w:r>
      <w:r w:rsidRPr="003F4E45">
        <w:rPr>
          <w:rFonts w:ascii="Times New Roman" w:eastAsia="Times New Roman" w:hAnsi="Times New Roman" w:cs="Times New Roman"/>
          <w:vertAlign w:val="subscript"/>
        </w:rPr>
        <w:t>1/2</w:t>
      </w:r>
      <w:r w:rsidRPr="003F4E45">
        <w:rPr>
          <w:rFonts w:ascii="Times New Roman" w:eastAsia="Times New Roman" w:hAnsi="Times New Roman" w:cs="Times New Roman"/>
        </w:rPr>
        <w:t xml:space="preserve"> körülbelül 1,5 óra , a Vss körülbelül 93 liter és a Cl körülbelül 43 l/óra. A dexmedetomidin farmakokinetikája a 0,2 és 1,4 mikrogramm/ttkg/óra dózistartományban lineáris és a legfeljebb 14 napig tartó kezelés során nem akkumulálódik. A dexmedetomidin 94%-a plazmafehérjékhez kötődik. A plazmafehérjékhez való kötődés a 0,85</w:t>
      </w:r>
      <w:r w:rsidR="004710C5">
        <w:rPr>
          <w:rFonts w:ascii="Times New Roman" w:eastAsia="Times New Roman" w:hAnsi="Times New Roman" w:cs="Times New Roman"/>
        </w:rPr>
        <w:t>–</w:t>
      </w:r>
      <w:r w:rsidRPr="003F4E45">
        <w:rPr>
          <w:rFonts w:ascii="Times New Roman" w:eastAsia="Times New Roman" w:hAnsi="Times New Roman" w:cs="Times New Roman"/>
        </w:rPr>
        <w:t>85 ng/ml koncentráció-tartományban állandó. A dexmedetomidin egyaránt kötődik a humán szérum albuminhoz és az alfa-1-savas glikoproteinhez; a plazmában a dexmedetomidint elsődlegesen kötő fehérje a szérum albumin.</w:t>
      </w:r>
    </w:p>
    <w:p w14:paraId="6E6A4608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E0D8FF2" w14:textId="77777777" w:rsidR="003F4E45" w:rsidRPr="003F4E45" w:rsidRDefault="003F4E45" w:rsidP="003F4E45">
      <w:pPr>
        <w:keepNext/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Biotranszformáció és elimináció</w:t>
      </w:r>
    </w:p>
    <w:p w14:paraId="69583E9B" w14:textId="72E70F55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>A dexmedetomidin a májban intenzív metabolizmus révén eliminálódik. A kezdeti metabolikus reakcióknak három típusa van: közvetlen N-glükuronidáció, közvetlen N-metiláció és citokróm P450</w:t>
      </w:r>
      <w:r w:rsidR="004710C5">
        <w:rPr>
          <w:rFonts w:ascii="Times New Roman" w:eastAsia="Times New Roman" w:hAnsi="Times New Roman" w:cs="Times New Roman"/>
        </w:rPr>
        <w:t>-</w:t>
      </w:r>
      <w:r w:rsidRPr="003F4E45">
        <w:rPr>
          <w:rFonts w:ascii="Times New Roman" w:eastAsia="Times New Roman" w:hAnsi="Times New Roman" w:cs="Times New Roman"/>
        </w:rPr>
        <w:t>katalizált oxidáció. A legnagyobb mennyiségben keringő dexmedetomidin metabolit a két N</w:t>
      </w:r>
      <w:r w:rsidR="004710C5">
        <w:rPr>
          <w:rFonts w:ascii="Times New Roman" w:eastAsia="Times New Roman" w:hAnsi="Times New Roman" w:cs="Times New Roman"/>
        </w:rPr>
        <w:noBreakHyphen/>
      </w:r>
      <w:r w:rsidRPr="003F4E45">
        <w:rPr>
          <w:rFonts w:ascii="Times New Roman" w:eastAsia="Times New Roman" w:hAnsi="Times New Roman" w:cs="Times New Roman"/>
        </w:rPr>
        <w:t>glükuronid-izomer. A H-1, N-metil 3-hidroximetil dexmedetomidin O-glukuronid metabolit szintén a dexmedetomidin biotranszformáció egyik keringő terméke. A citokróm P-450 két kisebb mennyiségben keringő metabolit, a dexmedetomidin 3-metil csoport hidroxilációjával képződő 3</w:t>
      </w:r>
      <w:r w:rsidRPr="003F4E45">
        <w:rPr>
          <w:rFonts w:ascii="Times New Roman" w:eastAsia="Times New Roman" w:hAnsi="Times New Roman" w:cs="Times New Roman"/>
        </w:rPr>
        <w:noBreakHyphen/>
        <w:t>hidroximetil-dexmedetomidin és az imidazol gyűrű oxidációjával képződő H-3 metabolit kialakulását katalizálja. A rendelkezése álló adatok alapján az oxidált metabolitok képződését több CYP izoforma (CYP2A6, CYP1A2, CYP2E1, CYP2D6 és CYP2C19) végzi. Ezeknek a metabolitoknak elhanyagolható a farmakológiai hatása.</w:t>
      </w:r>
    </w:p>
    <w:p w14:paraId="7966BEB6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5AF365D" w14:textId="4290F76A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>Az izotóppal jelzett dexmedetomidin intravénás adását követő 9 nap után a beadott radioaktivitás 95%-a a vizeletben, 4%-a a székletben jelent meg. A vizeletben kimutatott fő metabolit a két N</w:t>
      </w:r>
      <w:r w:rsidRPr="003F4E45">
        <w:rPr>
          <w:rFonts w:ascii="Times New Roman" w:eastAsia="Times New Roman" w:hAnsi="Times New Roman" w:cs="Times New Roman"/>
        </w:rPr>
        <w:noBreakHyphen/>
        <w:t>glukuronid izomer volt; ezek együttesen a dózis körülbelül 34%-át tették ki, míg az N-metil 3</w:t>
      </w:r>
      <w:r w:rsidRPr="003F4E45">
        <w:rPr>
          <w:rFonts w:ascii="Times New Roman" w:eastAsia="Times New Roman" w:hAnsi="Times New Roman" w:cs="Times New Roman"/>
        </w:rPr>
        <w:noBreakHyphen/>
        <w:t>hidroximetil dexmedetomidin O-glükuronid a dózis 14,51%-át tette ki. Kisebb arányban jelen lévő dexmedetomidin-metabolit volt a karboxilsav, a 3-hidroximetil</w:t>
      </w:r>
      <w:r w:rsidR="004710C5">
        <w:rPr>
          <w:rFonts w:ascii="Times New Roman" w:eastAsia="Times New Roman" w:hAnsi="Times New Roman" w:cs="Times New Roman"/>
        </w:rPr>
        <w:t>-</w:t>
      </w:r>
      <w:r w:rsidRPr="003F4E45">
        <w:rPr>
          <w:rFonts w:ascii="Times New Roman" w:eastAsia="Times New Roman" w:hAnsi="Times New Roman" w:cs="Times New Roman"/>
        </w:rPr>
        <w:t>dexmedetomidin és annak O</w:t>
      </w:r>
      <w:r w:rsidRPr="003F4E45">
        <w:rPr>
          <w:rFonts w:ascii="Times New Roman" w:eastAsia="Times New Roman" w:hAnsi="Times New Roman" w:cs="Times New Roman"/>
        </w:rPr>
        <w:noBreakHyphen/>
        <w:t>glukuronid származéka, melyek egyenként a dózis 1,11–7,66%-át tették ki. Az anyavegyület kevesebb mint 1%-át mutatták ki a vizeletben. A vizeletben a metabolitok körülbelül 28%-a nem azonosított minor metabolit.</w:t>
      </w:r>
    </w:p>
    <w:p w14:paraId="5DC57D80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C6C911B" w14:textId="77777777" w:rsidR="003F4E45" w:rsidRPr="003F4E45" w:rsidRDefault="003F4E45" w:rsidP="003F4E45">
      <w:pPr>
        <w:keepNext/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u w:val="single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Különleges betegcsoportok</w:t>
      </w:r>
    </w:p>
    <w:p w14:paraId="6C07B171" w14:textId="77777777" w:rsidR="003F4E45" w:rsidRPr="003F4E45" w:rsidRDefault="003F4E45" w:rsidP="003F4E45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Jelentős farmakokinetikai különbségeket a nem vagy az életkor alapján nem figyeltek meg.</w:t>
      </w:r>
    </w:p>
    <w:p w14:paraId="7E2F26F8" w14:textId="77777777" w:rsidR="003F4E45" w:rsidRPr="003F4E45" w:rsidRDefault="003F4E45" w:rsidP="003F4E45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lang w:eastAsia="zh-CN"/>
        </w:rPr>
      </w:pPr>
    </w:p>
    <w:p w14:paraId="71F70016" w14:textId="48B124C2" w:rsidR="003F4E45" w:rsidRPr="003F4E45" w:rsidRDefault="003F4E45" w:rsidP="003F4E45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dexmedetomidin plazmafehérjékhez történő kötődése májkárosodásban szenvedő alanyoknál csökkent az egészséges alanyokéhoz képest. A plazmában a nem kötött dexmedetomidin átlagos százalékos aránya az egészséges alanyoknál mért 8,5%-tól a súlyos májkárosodásban szenvedő betegeknél mért 17,9%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noBreakHyphen/>
        <w:t>ig terjed. A különböző mértékű (Child-Pugh-szerinti A, B vagy C besorolású) májkárosodásban szenvedőknél a dexmedetomidin máj clearence</w:t>
      </w:r>
      <w:r w:rsidR="004710C5">
        <w:rPr>
          <w:rFonts w:ascii="Times New Roman" w:eastAsia="SimSun" w:hAnsi="Times New Roman" w:cs="Times New Roman"/>
          <w:snapToGrid w:val="0"/>
          <w:lang w:eastAsia="zh-CN"/>
        </w:rPr>
        <w:t>-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értéke csökkent, a plazma eliminációs felezési idő megnyúlt. A nem kötött dexmedetomidin plazma clearance</w:t>
      </w:r>
      <w:r w:rsidR="004710C5">
        <w:rPr>
          <w:rFonts w:ascii="Times New Roman" w:eastAsia="SimSun" w:hAnsi="Times New Roman" w:cs="Times New Roman"/>
          <w:snapToGrid w:val="0"/>
          <w:lang w:eastAsia="zh-CN"/>
        </w:rPr>
        <w:t>-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értékek az enyhe, közepesen súlyos, illetve súlyos fokú májkárosodásban szenvedőknél az egészséges egyénknél megfigyelt értékek 59%, 51% és 32%-a volt. Az átlagos felezési idő az enyhe, közepesen súlyos, illetve súlyos fokú májkárosodásban szenvedőknél 3,9; 5,4 és 7,4 órára nőtt. Ha a dexmedetomidint a hatásnak megfelelően adják is, a májkárosodásban szenvedő betegeknél a májkárosodás mértékétől és a reakciótól függően szükség lehet a kezdeti/fenntartó dózis csökkentésének mérlegelésére.</w:t>
      </w:r>
    </w:p>
    <w:p w14:paraId="2BCB3FE8" w14:textId="77777777" w:rsidR="003F4E45" w:rsidRPr="003F4E45" w:rsidRDefault="003F4E45" w:rsidP="003F4E45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lang w:eastAsia="zh-CN"/>
        </w:rPr>
      </w:pPr>
    </w:p>
    <w:p w14:paraId="2F5F811F" w14:textId="77777777" w:rsidR="003F4E45" w:rsidRPr="003F4E45" w:rsidRDefault="003F4E45" w:rsidP="003F4E45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dexmedetomidin farmakokinetikája súlyos vesekárosodásban (kreatinin clearance &lt; 30 ml/perc) szenvedő betegeknél nem változik az egészséges alanyokhoz képest.</w:t>
      </w:r>
    </w:p>
    <w:p w14:paraId="7DE953EE" w14:textId="77777777" w:rsidR="003F4E45" w:rsidRPr="003F4E45" w:rsidRDefault="003F4E45" w:rsidP="003F4E45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lang w:eastAsia="zh-CN"/>
        </w:rPr>
      </w:pPr>
    </w:p>
    <w:p w14:paraId="7B45D136" w14:textId="17CEFA0E" w:rsidR="003F4E45" w:rsidRPr="003F4E45" w:rsidRDefault="003F4E45" w:rsidP="003F4E45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Az újszülött csecsemők (28</w:t>
      </w:r>
      <w:r w:rsidR="004710C5">
        <w:rPr>
          <w:rFonts w:ascii="Times New Roman" w:eastAsia="SimSun" w:hAnsi="Times New Roman" w:cs="Times New Roman"/>
          <w:snapToGrid w:val="0"/>
          <w:lang w:eastAsia="zh-CN"/>
        </w:rPr>
        <w:t>–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44 gesztációs hét) és a 17 éves kor közötti gyermekekre és serdülőkre vonatkozó adatok korlátozottak. A dexmedetomidin felezési ideje gyermekeknél és serdülőknél (1 hónapos–17 éves kor között) hasonlónak tűnik a felnőtteknél tapasztalthoz, de magasabbnak tűnik az újszülötteknél (1 hónaposnál fiatalabbak). Az 1 hónapos–6 éves korcsoportokban a testtömegre korrigált plazma-clearance</w:t>
      </w:r>
      <w:r w:rsidR="004710C5">
        <w:rPr>
          <w:rFonts w:ascii="Times New Roman" w:eastAsia="SimSun" w:hAnsi="Times New Roman" w:cs="Times New Roman"/>
          <w:snapToGrid w:val="0"/>
          <w:lang w:eastAsia="zh-CN"/>
        </w:rPr>
        <w:t>-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érték nagyobbnak tűnt, ugyanakkor idősebb gyermekeknél csökkent. A testtömegre korrigált plazma-clearance</w:t>
      </w:r>
      <w:r w:rsidR="002A0185">
        <w:rPr>
          <w:rFonts w:ascii="Times New Roman" w:eastAsia="SimSun" w:hAnsi="Times New Roman" w:cs="Times New Roman"/>
          <w:snapToGrid w:val="0"/>
          <w:lang w:eastAsia="zh-CN"/>
        </w:rPr>
        <w:t>-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érték újszülötteknél (1 hónaposnál fiatalabbak) az éretlenség miatt alacsonyabbnak tűnt (0,9 l/óra/</w:t>
      </w:r>
      <w:r w:rsidR="002A0185">
        <w:rPr>
          <w:rFonts w:ascii="Times New Roman" w:eastAsia="SimSun" w:hAnsi="Times New Roman" w:cs="Times New Roman"/>
          <w:snapToGrid w:val="0"/>
          <w:lang w:eastAsia="zh-CN"/>
        </w:rPr>
        <w:t>tt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kg) az idősebb csoporthoz képest. A rendelkezésre álló adatokat a következő táblázat foglalja össze:</w:t>
      </w:r>
    </w:p>
    <w:p w14:paraId="4077F948" w14:textId="77777777" w:rsidR="003F4E45" w:rsidRPr="003F4E45" w:rsidRDefault="003F4E45" w:rsidP="003F4E45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lang w:eastAsia="zh-CN"/>
        </w:rPr>
      </w:pPr>
    </w:p>
    <w:tbl>
      <w:tblPr>
        <w:tblW w:w="765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851"/>
        <w:gridCol w:w="1984"/>
        <w:gridCol w:w="1843"/>
      </w:tblGrid>
      <w:tr w:rsidR="003F4E45" w:rsidRPr="003F4E45" w14:paraId="460B7D98" w14:textId="77777777" w:rsidTr="00E42230">
        <w:trPr>
          <w:trHeight w:hRule="exact" w:val="264"/>
        </w:trPr>
        <w:tc>
          <w:tcPr>
            <w:tcW w:w="2977" w:type="dxa"/>
          </w:tcPr>
          <w:p w14:paraId="55A311F3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</w:p>
        </w:tc>
        <w:tc>
          <w:tcPr>
            <w:tcW w:w="851" w:type="dxa"/>
          </w:tcPr>
          <w:p w14:paraId="6BF48C76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</w:p>
        </w:tc>
        <w:tc>
          <w:tcPr>
            <w:tcW w:w="3827" w:type="dxa"/>
            <w:gridSpan w:val="2"/>
          </w:tcPr>
          <w:p w14:paraId="1FBD8E5E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Átlag (95%-os CI)</w:t>
            </w:r>
          </w:p>
        </w:tc>
      </w:tr>
      <w:tr w:rsidR="003F4E45" w:rsidRPr="003F4E45" w14:paraId="4EA59235" w14:textId="77777777" w:rsidTr="003716AD">
        <w:trPr>
          <w:trHeight w:hRule="exact" w:val="517"/>
        </w:trPr>
        <w:tc>
          <w:tcPr>
            <w:tcW w:w="2977" w:type="dxa"/>
          </w:tcPr>
          <w:p w14:paraId="41DE1B11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Életkor</w:t>
            </w:r>
          </w:p>
        </w:tc>
        <w:tc>
          <w:tcPr>
            <w:tcW w:w="851" w:type="dxa"/>
          </w:tcPr>
          <w:p w14:paraId="00C135C5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N</w:t>
            </w:r>
          </w:p>
        </w:tc>
        <w:tc>
          <w:tcPr>
            <w:tcW w:w="1984" w:type="dxa"/>
          </w:tcPr>
          <w:p w14:paraId="0F386AD6" w14:textId="4D628553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Clearance (l/óra/</w:t>
            </w:r>
            <w:r w:rsidR="002A0185">
              <w:rPr>
                <w:rFonts w:ascii="Times New Roman" w:eastAsia="SimSun" w:hAnsi="Times New Roman" w:cs="Times New Roman"/>
                <w:snapToGrid w:val="0"/>
                <w:lang w:eastAsia="zh-CN"/>
              </w:rPr>
              <w:t>tt</w:t>
            </w: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kg)</w:t>
            </w:r>
          </w:p>
        </w:tc>
        <w:tc>
          <w:tcPr>
            <w:tcW w:w="1843" w:type="dxa"/>
          </w:tcPr>
          <w:p w14:paraId="026743ED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iCs/>
                <w:snapToGrid w:val="0"/>
                <w:lang w:eastAsia="zh-CN"/>
              </w:rPr>
              <w:t>t</w:t>
            </w:r>
            <w:r w:rsidRPr="003F4E45">
              <w:rPr>
                <w:rFonts w:ascii="Times New Roman" w:eastAsia="SimSun" w:hAnsi="Times New Roman" w:cs="Times New Roman"/>
                <w:iCs/>
                <w:snapToGrid w:val="0"/>
                <w:vertAlign w:val="subscript"/>
                <w:lang w:eastAsia="zh-CN"/>
              </w:rPr>
              <w:t xml:space="preserve">1/2 </w:t>
            </w: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(óra)</w:t>
            </w:r>
          </w:p>
        </w:tc>
      </w:tr>
      <w:tr w:rsidR="003F4E45" w:rsidRPr="003F4E45" w14:paraId="64F12672" w14:textId="77777777" w:rsidTr="00E42230">
        <w:trPr>
          <w:trHeight w:hRule="exact" w:val="516"/>
        </w:trPr>
        <w:tc>
          <w:tcPr>
            <w:tcW w:w="2977" w:type="dxa"/>
          </w:tcPr>
          <w:p w14:paraId="40E6D8CE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 hónaposnál fiatalabb</w:t>
            </w:r>
          </w:p>
        </w:tc>
        <w:tc>
          <w:tcPr>
            <w:tcW w:w="851" w:type="dxa"/>
          </w:tcPr>
          <w:p w14:paraId="73182BF4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28</w:t>
            </w:r>
          </w:p>
        </w:tc>
        <w:tc>
          <w:tcPr>
            <w:tcW w:w="1984" w:type="dxa"/>
          </w:tcPr>
          <w:p w14:paraId="015B16AC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0,93</w:t>
            </w:r>
          </w:p>
          <w:p w14:paraId="1E816EAC" w14:textId="4FA9BF6E" w:rsidR="003F4E45" w:rsidRPr="003F4E45" w:rsidRDefault="003F4E45" w:rsidP="006577A4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(0,76</w:t>
            </w:r>
            <w:r w:rsidR="006577A4">
              <w:rPr>
                <w:rFonts w:ascii="Times New Roman" w:eastAsia="SimSun" w:hAnsi="Times New Roman" w:cs="Times New Roman"/>
                <w:snapToGrid w:val="0"/>
                <w:lang w:eastAsia="zh-CN"/>
              </w:rPr>
              <w:t>–</w:t>
            </w: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1,14)</w:t>
            </w:r>
          </w:p>
        </w:tc>
        <w:tc>
          <w:tcPr>
            <w:tcW w:w="1843" w:type="dxa"/>
          </w:tcPr>
          <w:p w14:paraId="667F7A13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4,47</w:t>
            </w:r>
          </w:p>
          <w:p w14:paraId="437B1C15" w14:textId="3E21C131" w:rsidR="003F4E45" w:rsidRPr="003F4E45" w:rsidRDefault="003F4E45" w:rsidP="006577A4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(3,81</w:t>
            </w:r>
            <w:r w:rsidR="006577A4">
              <w:rPr>
                <w:rFonts w:ascii="Times New Roman" w:eastAsia="SimSun" w:hAnsi="Times New Roman" w:cs="Times New Roman"/>
                <w:snapToGrid w:val="0"/>
                <w:lang w:eastAsia="zh-CN"/>
              </w:rPr>
              <w:t>–</w:t>
            </w: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5,25)</w:t>
            </w:r>
          </w:p>
        </w:tc>
      </w:tr>
      <w:tr w:rsidR="003F4E45" w:rsidRPr="003F4E45" w14:paraId="5D08848D" w14:textId="77777777" w:rsidTr="00E42230">
        <w:trPr>
          <w:trHeight w:hRule="exact" w:val="516"/>
        </w:trPr>
        <w:tc>
          <w:tcPr>
            <w:tcW w:w="2977" w:type="dxa"/>
          </w:tcPr>
          <w:p w14:paraId="125CD4EF" w14:textId="7A5B97D1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1 </w:t>
            </w:r>
            <w:r w:rsidR="002A0185">
              <w:rPr>
                <w:rFonts w:ascii="Times New Roman" w:eastAsia="SimSun" w:hAnsi="Times New Roman" w:cs="Times New Roman"/>
                <w:snapToGrid w:val="0"/>
                <w:lang w:eastAsia="zh-CN"/>
              </w:rPr>
              <w:t>–</w:t>
            </w: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 </w:t>
            </w:r>
            <w:r w:rsidRPr="003F4E45">
              <w:rPr>
                <w:rFonts w:ascii="Times New Roman" w:eastAsia="SimSun" w:hAnsi="Times New Roman" w:cs="Times New Roman"/>
                <w:iCs/>
                <w:snapToGrid w:val="0"/>
                <w:lang w:eastAsia="zh-CN"/>
              </w:rPr>
              <w:t>&lt; </w:t>
            </w: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6 hónapos</w:t>
            </w:r>
          </w:p>
        </w:tc>
        <w:tc>
          <w:tcPr>
            <w:tcW w:w="851" w:type="dxa"/>
          </w:tcPr>
          <w:p w14:paraId="0E618F6C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14</w:t>
            </w:r>
          </w:p>
        </w:tc>
        <w:tc>
          <w:tcPr>
            <w:tcW w:w="1984" w:type="dxa"/>
          </w:tcPr>
          <w:p w14:paraId="4FC7D75C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1,21</w:t>
            </w:r>
          </w:p>
          <w:p w14:paraId="409DB5F2" w14:textId="2FFD53A9" w:rsidR="003F4E45" w:rsidRPr="003F4E45" w:rsidRDefault="003F4E45" w:rsidP="006577A4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(0,99</w:t>
            </w:r>
            <w:r w:rsidR="006577A4">
              <w:rPr>
                <w:rFonts w:ascii="Times New Roman" w:eastAsia="SimSun" w:hAnsi="Times New Roman" w:cs="Times New Roman"/>
                <w:snapToGrid w:val="0"/>
                <w:lang w:eastAsia="zh-CN"/>
              </w:rPr>
              <w:t>–</w:t>
            </w: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1,48)</w:t>
            </w:r>
          </w:p>
        </w:tc>
        <w:tc>
          <w:tcPr>
            <w:tcW w:w="1843" w:type="dxa"/>
          </w:tcPr>
          <w:p w14:paraId="7D59D05D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2,05</w:t>
            </w:r>
          </w:p>
          <w:p w14:paraId="799B7C9D" w14:textId="247F5296" w:rsidR="003F4E45" w:rsidRPr="003F4E45" w:rsidRDefault="003F4E45" w:rsidP="006577A4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(1,59</w:t>
            </w:r>
            <w:r w:rsidR="006577A4">
              <w:rPr>
                <w:rFonts w:ascii="Times New Roman" w:eastAsia="SimSun" w:hAnsi="Times New Roman" w:cs="Times New Roman"/>
                <w:snapToGrid w:val="0"/>
                <w:lang w:eastAsia="zh-CN"/>
              </w:rPr>
              <w:t>–</w:t>
            </w: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2,65)</w:t>
            </w:r>
          </w:p>
        </w:tc>
      </w:tr>
      <w:tr w:rsidR="003F4E45" w:rsidRPr="003F4E45" w14:paraId="07A86FCA" w14:textId="77777777" w:rsidTr="00E42230">
        <w:trPr>
          <w:trHeight w:hRule="exact" w:val="516"/>
        </w:trPr>
        <w:tc>
          <w:tcPr>
            <w:tcW w:w="2977" w:type="dxa"/>
          </w:tcPr>
          <w:p w14:paraId="2AD1F642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6 hónapos – </w:t>
            </w:r>
            <w:r w:rsidRPr="003F4E45">
              <w:rPr>
                <w:rFonts w:ascii="Times New Roman" w:eastAsia="SimSun" w:hAnsi="Times New Roman" w:cs="Times New Roman"/>
                <w:iCs/>
                <w:snapToGrid w:val="0"/>
                <w:lang w:eastAsia="zh-CN"/>
              </w:rPr>
              <w:t>&lt; 1</w:t>
            </w: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2 hónapos</w:t>
            </w:r>
          </w:p>
        </w:tc>
        <w:tc>
          <w:tcPr>
            <w:tcW w:w="851" w:type="dxa"/>
          </w:tcPr>
          <w:p w14:paraId="53E0FE11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15</w:t>
            </w:r>
          </w:p>
        </w:tc>
        <w:tc>
          <w:tcPr>
            <w:tcW w:w="1984" w:type="dxa"/>
          </w:tcPr>
          <w:p w14:paraId="797FC5F0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1,11</w:t>
            </w:r>
          </w:p>
          <w:p w14:paraId="35D97A61" w14:textId="43901650" w:rsidR="003F4E45" w:rsidRPr="003F4E45" w:rsidRDefault="003F4E45" w:rsidP="006577A4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(0,94</w:t>
            </w:r>
            <w:r w:rsidR="006577A4">
              <w:rPr>
                <w:rFonts w:ascii="Times New Roman" w:eastAsia="SimSun" w:hAnsi="Times New Roman" w:cs="Times New Roman"/>
                <w:snapToGrid w:val="0"/>
                <w:lang w:eastAsia="zh-CN"/>
              </w:rPr>
              <w:t>–</w:t>
            </w: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1,31)</w:t>
            </w:r>
          </w:p>
        </w:tc>
        <w:tc>
          <w:tcPr>
            <w:tcW w:w="1843" w:type="dxa"/>
          </w:tcPr>
          <w:p w14:paraId="7338AE2E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2,01</w:t>
            </w:r>
          </w:p>
          <w:p w14:paraId="607F1DD5" w14:textId="09B4E264" w:rsidR="003F4E45" w:rsidRPr="003F4E45" w:rsidRDefault="003F4E45" w:rsidP="006577A4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(1,81</w:t>
            </w:r>
            <w:r w:rsidR="006577A4">
              <w:rPr>
                <w:rFonts w:ascii="Times New Roman" w:eastAsia="SimSun" w:hAnsi="Times New Roman" w:cs="Times New Roman"/>
                <w:snapToGrid w:val="0"/>
                <w:lang w:eastAsia="zh-CN"/>
              </w:rPr>
              <w:t>–</w:t>
            </w: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2,22)</w:t>
            </w:r>
          </w:p>
        </w:tc>
      </w:tr>
      <w:tr w:rsidR="003F4E45" w:rsidRPr="003F4E45" w14:paraId="5A507D8C" w14:textId="77777777" w:rsidTr="00E42230">
        <w:trPr>
          <w:trHeight w:hRule="exact" w:val="516"/>
        </w:trPr>
        <w:tc>
          <w:tcPr>
            <w:tcW w:w="2977" w:type="dxa"/>
          </w:tcPr>
          <w:p w14:paraId="63D55213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12 hónapos – </w:t>
            </w:r>
            <w:r w:rsidRPr="003F4E45">
              <w:rPr>
                <w:rFonts w:ascii="Times New Roman" w:eastAsia="SimSun" w:hAnsi="Times New Roman" w:cs="Times New Roman"/>
                <w:iCs/>
                <w:snapToGrid w:val="0"/>
                <w:lang w:eastAsia="zh-CN"/>
              </w:rPr>
              <w:t>&lt; </w:t>
            </w: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24 hónapos</w:t>
            </w:r>
          </w:p>
        </w:tc>
        <w:tc>
          <w:tcPr>
            <w:tcW w:w="851" w:type="dxa"/>
          </w:tcPr>
          <w:p w14:paraId="09BA9DDD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13</w:t>
            </w:r>
          </w:p>
        </w:tc>
        <w:tc>
          <w:tcPr>
            <w:tcW w:w="1984" w:type="dxa"/>
          </w:tcPr>
          <w:p w14:paraId="5746DD88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1,06</w:t>
            </w:r>
          </w:p>
          <w:p w14:paraId="54AD97BA" w14:textId="7B5DDC4F" w:rsidR="003F4E45" w:rsidRPr="003F4E45" w:rsidRDefault="003F4E45" w:rsidP="006577A4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(0,87</w:t>
            </w:r>
            <w:r w:rsidR="006577A4">
              <w:rPr>
                <w:rFonts w:ascii="Times New Roman" w:eastAsia="SimSun" w:hAnsi="Times New Roman" w:cs="Times New Roman"/>
                <w:snapToGrid w:val="0"/>
                <w:lang w:eastAsia="zh-CN"/>
              </w:rPr>
              <w:t>–</w:t>
            </w: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1,29)</w:t>
            </w:r>
          </w:p>
        </w:tc>
        <w:tc>
          <w:tcPr>
            <w:tcW w:w="1843" w:type="dxa"/>
          </w:tcPr>
          <w:p w14:paraId="22A294F0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1,97</w:t>
            </w:r>
          </w:p>
          <w:p w14:paraId="523870E9" w14:textId="5AD9B590" w:rsidR="003F4E45" w:rsidRPr="003F4E45" w:rsidRDefault="003F4E45" w:rsidP="006577A4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(1,62</w:t>
            </w:r>
            <w:r w:rsidR="006577A4">
              <w:rPr>
                <w:rFonts w:ascii="Times New Roman" w:eastAsia="SimSun" w:hAnsi="Times New Roman" w:cs="Times New Roman"/>
                <w:snapToGrid w:val="0"/>
                <w:lang w:eastAsia="zh-CN"/>
              </w:rPr>
              <w:t>–</w:t>
            </w: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2,39)</w:t>
            </w:r>
          </w:p>
        </w:tc>
      </w:tr>
      <w:tr w:rsidR="003F4E45" w:rsidRPr="003F4E45" w14:paraId="2AE4BB6D" w14:textId="77777777" w:rsidTr="00E42230">
        <w:trPr>
          <w:trHeight w:hRule="exact" w:val="516"/>
        </w:trPr>
        <w:tc>
          <w:tcPr>
            <w:tcW w:w="2977" w:type="dxa"/>
          </w:tcPr>
          <w:p w14:paraId="5CED5B12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2 éves – </w:t>
            </w:r>
            <w:r w:rsidRPr="003F4E45">
              <w:rPr>
                <w:rFonts w:ascii="Times New Roman" w:eastAsia="SimSun" w:hAnsi="Times New Roman" w:cs="Times New Roman"/>
                <w:iCs/>
                <w:snapToGrid w:val="0"/>
                <w:lang w:eastAsia="zh-CN"/>
              </w:rPr>
              <w:t>&lt; </w:t>
            </w: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6 éves</w:t>
            </w:r>
          </w:p>
        </w:tc>
        <w:tc>
          <w:tcPr>
            <w:tcW w:w="851" w:type="dxa"/>
          </w:tcPr>
          <w:p w14:paraId="18CB9B02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26</w:t>
            </w:r>
          </w:p>
        </w:tc>
        <w:tc>
          <w:tcPr>
            <w:tcW w:w="1984" w:type="dxa"/>
          </w:tcPr>
          <w:p w14:paraId="56064A8E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1,11</w:t>
            </w:r>
          </w:p>
          <w:p w14:paraId="4A671795" w14:textId="6D1740AF" w:rsidR="003F4E45" w:rsidRPr="003F4E45" w:rsidRDefault="003F4E45" w:rsidP="006577A4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(1,00</w:t>
            </w:r>
            <w:r w:rsidR="006577A4">
              <w:rPr>
                <w:rFonts w:ascii="Times New Roman" w:eastAsia="SimSun" w:hAnsi="Times New Roman" w:cs="Times New Roman"/>
                <w:snapToGrid w:val="0"/>
                <w:lang w:eastAsia="zh-CN"/>
              </w:rPr>
              <w:t>–</w:t>
            </w: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1,23)</w:t>
            </w:r>
          </w:p>
        </w:tc>
        <w:tc>
          <w:tcPr>
            <w:tcW w:w="1843" w:type="dxa"/>
          </w:tcPr>
          <w:p w14:paraId="70007B7A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1,75</w:t>
            </w:r>
          </w:p>
          <w:p w14:paraId="5D8DFB0B" w14:textId="30195E94" w:rsidR="003F4E45" w:rsidRPr="003F4E45" w:rsidRDefault="003F4E45" w:rsidP="006577A4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(1,57</w:t>
            </w:r>
            <w:r w:rsidR="006577A4">
              <w:rPr>
                <w:rFonts w:ascii="Times New Roman" w:eastAsia="SimSun" w:hAnsi="Times New Roman" w:cs="Times New Roman"/>
                <w:snapToGrid w:val="0"/>
                <w:lang w:eastAsia="zh-CN"/>
              </w:rPr>
              <w:t>–</w:t>
            </w: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1,96)</w:t>
            </w:r>
          </w:p>
        </w:tc>
      </w:tr>
      <w:tr w:rsidR="003F4E45" w:rsidRPr="003F4E45" w14:paraId="63F00A0A" w14:textId="77777777" w:rsidTr="00E42230">
        <w:trPr>
          <w:trHeight w:hRule="exact" w:val="516"/>
        </w:trPr>
        <w:tc>
          <w:tcPr>
            <w:tcW w:w="2977" w:type="dxa"/>
          </w:tcPr>
          <w:p w14:paraId="23F703B0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6 éves – </w:t>
            </w:r>
            <w:r w:rsidRPr="003F4E45">
              <w:rPr>
                <w:rFonts w:ascii="Times New Roman" w:eastAsia="SimSun" w:hAnsi="Times New Roman" w:cs="Times New Roman"/>
                <w:iCs/>
                <w:snapToGrid w:val="0"/>
                <w:lang w:eastAsia="zh-CN"/>
              </w:rPr>
              <w:t>&lt; </w:t>
            </w: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17 éves</w:t>
            </w:r>
          </w:p>
        </w:tc>
        <w:tc>
          <w:tcPr>
            <w:tcW w:w="851" w:type="dxa"/>
          </w:tcPr>
          <w:p w14:paraId="56554E87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28</w:t>
            </w:r>
          </w:p>
        </w:tc>
        <w:tc>
          <w:tcPr>
            <w:tcW w:w="1984" w:type="dxa"/>
          </w:tcPr>
          <w:p w14:paraId="21B277D9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0,80</w:t>
            </w:r>
          </w:p>
          <w:p w14:paraId="56AC7B66" w14:textId="584E27E9" w:rsidR="003F4E45" w:rsidRPr="003F4E45" w:rsidRDefault="003F4E45" w:rsidP="006577A4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(0,69</w:t>
            </w:r>
            <w:r w:rsidR="006577A4">
              <w:rPr>
                <w:rFonts w:ascii="Times New Roman" w:eastAsia="SimSun" w:hAnsi="Times New Roman" w:cs="Times New Roman"/>
                <w:snapToGrid w:val="0"/>
                <w:lang w:eastAsia="zh-CN"/>
              </w:rPr>
              <w:t>–</w:t>
            </w: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0,92)</w:t>
            </w:r>
          </w:p>
        </w:tc>
        <w:tc>
          <w:tcPr>
            <w:tcW w:w="1843" w:type="dxa"/>
          </w:tcPr>
          <w:p w14:paraId="3206E168" w14:textId="77777777" w:rsidR="003F4E45" w:rsidRPr="003F4E45" w:rsidRDefault="003F4E45" w:rsidP="003F4E45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2,03</w:t>
            </w:r>
          </w:p>
          <w:p w14:paraId="4D021518" w14:textId="495DEECF" w:rsidR="003F4E45" w:rsidRPr="003F4E45" w:rsidRDefault="003F4E45" w:rsidP="006577A4">
            <w:pPr>
              <w:numPr>
                <w:ilvl w:val="12"/>
                <w:numId w:val="0"/>
              </w:numPr>
              <w:tabs>
                <w:tab w:val="left" w:pos="567"/>
              </w:tabs>
              <w:spacing w:after="0" w:line="240" w:lineRule="auto"/>
              <w:ind w:right="-2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(1,78</w:t>
            </w:r>
            <w:r w:rsidR="006577A4">
              <w:rPr>
                <w:rFonts w:ascii="Times New Roman" w:eastAsia="SimSun" w:hAnsi="Times New Roman" w:cs="Times New Roman"/>
                <w:snapToGrid w:val="0"/>
                <w:lang w:eastAsia="zh-CN"/>
              </w:rPr>
              <w:t>–</w:t>
            </w: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2,31)</w:t>
            </w:r>
          </w:p>
        </w:tc>
      </w:tr>
    </w:tbl>
    <w:p w14:paraId="0ABE170D" w14:textId="77777777" w:rsidR="003F4E45" w:rsidRPr="003F4E45" w:rsidRDefault="003F4E45" w:rsidP="003F4E45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lang w:eastAsia="zh-CN"/>
        </w:rPr>
      </w:pPr>
    </w:p>
    <w:p w14:paraId="3986F30A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3F4E45">
        <w:rPr>
          <w:rFonts w:ascii="Times New Roman" w:eastAsia="Times New Roman" w:hAnsi="Times New Roman" w:cs="Times New Roman"/>
          <w:b/>
        </w:rPr>
        <w:t>5.3</w:t>
      </w:r>
      <w:r w:rsidRPr="003F4E45">
        <w:rPr>
          <w:rFonts w:ascii="Times New Roman" w:eastAsia="Times New Roman" w:hAnsi="Times New Roman" w:cs="Times New Roman"/>
          <w:b/>
        </w:rPr>
        <w:tab/>
        <w:t>A preklinikai biztonságossági vizsgálatok eredményei</w:t>
      </w:r>
    </w:p>
    <w:p w14:paraId="09268BA5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</w:p>
    <w:p w14:paraId="26C7F795" w14:textId="77777777" w:rsidR="003F4E45" w:rsidRPr="003F4E45" w:rsidRDefault="003F4E45" w:rsidP="003F4E45">
      <w:pPr>
        <w:keepNext/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 hagyományos – farmakológiai biztonságossági, egyszeri és ismételt adagolású dózistoxicitási és genotoxicitási – vizsgálatokból származó nem klinikai jellegű adatok azt igazolták, hogy a készítmény alkalmazásakor humán vonatkozásban különleges kockázat nem várható.</w:t>
      </w:r>
    </w:p>
    <w:p w14:paraId="6071E346" w14:textId="77777777" w:rsidR="003F4E45" w:rsidRPr="003F4E45" w:rsidRDefault="003F4E45" w:rsidP="003F4E45">
      <w:pPr>
        <w:numPr>
          <w:ilvl w:val="12"/>
          <w:numId w:val="0"/>
        </w:num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lang w:eastAsia="zh-CN"/>
        </w:rPr>
      </w:pPr>
    </w:p>
    <w:p w14:paraId="0C28CD99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>A reprodukcióra kifejtett toxicitási vizsgálatok során a dexmedetomidinnek patkányoknál nem volt hatása a hím vagy nőstény állatok termékenységére, illetve patkányoknál vagy a nyulaknál nem figyeltek meg teratogén hatásokat. A nyulakkal végzett vizsgálat során adott legnagyobb iv. dózis 96 mikrogramm/ttkg/nap volt, ez a klinikai expozícióhoz hasonló expozíciót biztosított. A patkányokkal végzett vizsgálat során alkalmazott legnagyobb dózis szubkután adott 200 mikrogramm/ttkg/nap volt, ami nagyobb embrionális/magzati halálozást és csökkent magzati testtömeget okozott. Ezek a hatások egyértelmű anyai toxicitás mellett álltak fenn. Csökkent magzati testtömeget észleltek a 18 mikrogramm/ttkg/nap dózissal végzett patkány fertilitási vizsgálat során is, illetve 54 mikrogramm/ttkg/nap dózis esetén a csökkent magzati testtömeg mellett a csontosodás is késett. A patkányoknál észlelt expozíciós szintek a klinikai expozíciós tartomány alatt voltak.</w:t>
      </w:r>
    </w:p>
    <w:p w14:paraId="14641FE8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6028B908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154F5920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3F4E45">
        <w:rPr>
          <w:rFonts w:ascii="Times New Roman" w:eastAsia="Times New Roman" w:hAnsi="Times New Roman" w:cs="Times New Roman"/>
          <w:b/>
        </w:rPr>
        <w:t>6.</w:t>
      </w:r>
      <w:r w:rsidRPr="003F4E45">
        <w:rPr>
          <w:rFonts w:ascii="Times New Roman" w:eastAsia="Times New Roman" w:hAnsi="Times New Roman" w:cs="Times New Roman"/>
          <w:b/>
        </w:rPr>
        <w:tab/>
        <w:t>GYÓGYSZERÉSZETI JELLEMZŐK</w:t>
      </w:r>
    </w:p>
    <w:p w14:paraId="201AE5B6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</w:p>
    <w:p w14:paraId="42EB3CBA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3F4E45">
        <w:rPr>
          <w:rFonts w:ascii="Times New Roman" w:eastAsia="Times New Roman" w:hAnsi="Times New Roman" w:cs="Times New Roman"/>
          <w:b/>
        </w:rPr>
        <w:t>6.1</w:t>
      </w:r>
      <w:r w:rsidRPr="003F4E45">
        <w:rPr>
          <w:rFonts w:ascii="Times New Roman" w:eastAsia="Times New Roman" w:hAnsi="Times New Roman" w:cs="Times New Roman"/>
          <w:b/>
        </w:rPr>
        <w:tab/>
        <w:t>Segédanyagok felsorolása</w:t>
      </w:r>
    </w:p>
    <w:p w14:paraId="55857B98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CE34FC1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>nátrium-klorid</w:t>
      </w:r>
    </w:p>
    <w:p w14:paraId="3777A1A4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 xml:space="preserve">injekcióhoz való víz </w:t>
      </w:r>
    </w:p>
    <w:p w14:paraId="0380D43E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05B02D4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3F4E45">
        <w:rPr>
          <w:rFonts w:ascii="Times New Roman" w:eastAsia="Times New Roman" w:hAnsi="Times New Roman" w:cs="Times New Roman"/>
          <w:b/>
        </w:rPr>
        <w:t>6.2</w:t>
      </w:r>
      <w:r w:rsidRPr="003F4E45">
        <w:rPr>
          <w:rFonts w:ascii="Times New Roman" w:eastAsia="Times New Roman" w:hAnsi="Times New Roman" w:cs="Times New Roman"/>
          <w:b/>
        </w:rPr>
        <w:tab/>
        <w:t>Inkompatibilitások</w:t>
      </w:r>
    </w:p>
    <w:p w14:paraId="3E882A40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8C9ABAD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>Ez a gyógyszer kizárólag a 6.6 pontban felsorolt gyógyszerekkel keverhető.</w:t>
      </w:r>
    </w:p>
    <w:p w14:paraId="3BCBC638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38018EE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bookmarkStart w:id="10" w:name="_Hlk517807631"/>
      <w:r w:rsidRPr="003F4E45">
        <w:rPr>
          <w:rFonts w:ascii="Times New Roman" w:eastAsia="Times New Roman" w:hAnsi="Times New Roman" w:cs="Times New Roman"/>
        </w:rPr>
        <w:t>A dexmedetomidin potenciálisan adszorbeálódik bizonyos természetes eredetű gumikhoz. A dexmedetomidint hatásának megfelelő adagoláskor is tanácsos olyan eszközöket használni a beadáshoz, amelyek esetében a tömítők szintetikus gumiból vagy bevont felületű természetes gumiból készültek.</w:t>
      </w:r>
    </w:p>
    <w:bookmarkEnd w:id="10"/>
    <w:p w14:paraId="344919FC" w14:textId="77777777" w:rsidR="003F4E45" w:rsidRPr="003F4E45" w:rsidRDefault="003F4E45" w:rsidP="003F4E45">
      <w:pPr>
        <w:tabs>
          <w:tab w:val="left" w:pos="2280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7376A2DF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3F4E45">
        <w:rPr>
          <w:rFonts w:ascii="Times New Roman" w:eastAsia="Times New Roman" w:hAnsi="Times New Roman" w:cs="Times New Roman"/>
          <w:b/>
        </w:rPr>
        <w:t>6.3</w:t>
      </w:r>
      <w:r w:rsidRPr="003F4E45">
        <w:rPr>
          <w:rFonts w:ascii="Times New Roman" w:eastAsia="Times New Roman" w:hAnsi="Times New Roman" w:cs="Times New Roman"/>
          <w:b/>
        </w:rPr>
        <w:tab/>
        <w:t>Felhasználhatósági időtartam</w:t>
      </w:r>
    </w:p>
    <w:p w14:paraId="29534C69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51659836" w14:textId="58F0E720" w:rsidR="0024013D" w:rsidRPr="0024013D" w:rsidRDefault="0024013D" w:rsidP="0024013D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24013D">
        <w:rPr>
          <w:rFonts w:ascii="Times New Roman" w:eastAsia="Times New Roman" w:hAnsi="Times New Roman" w:cs="Times New Roman"/>
        </w:rPr>
        <w:t>Bontatlan ampull</w:t>
      </w:r>
      <w:r w:rsidR="007234B3">
        <w:rPr>
          <w:rFonts w:ascii="Times New Roman" w:eastAsia="Times New Roman" w:hAnsi="Times New Roman" w:cs="Times New Roman"/>
        </w:rPr>
        <w:t>a</w:t>
      </w:r>
      <w:r w:rsidRPr="0024013D">
        <w:rPr>
          <w:rFonts w:ascii="Times New Roman" w:eastAsia="Times New Roman" w:hAnsi="Times New Roman" w:cs="Times New Roman"/>
        </w:rPr>
        <w:t xml:space="preserve">: </w:t>
      </w:r>
      <w:r w:rsidR="007C031D">
        <w:rPr>
          <w:rFonts w:ascii="Times New Roman" w:eastAsia="Times New Roman" w:hAnsi="Times New Roman" w:cs="Times New Roman"/>
        </w:rPr>
        <w:t>5</w:t>
      </w:r>
      <w:r w:rsidR="007234B3">
        <w:rPr>
          <w:rFonts w:ascii="Times New Roman" w:eastAsia="Times New Roman" w:hAnsi="Times New Roman" w:cs="Times New Roman"/>
        </w:rPr>
        <w:t> </w:t>
      </w:r>
      <w:r w:rsidRPr="0024013D">
        <w:rPr>
          <w:rFonts w:ascii="Times New Roman" w:eastAsia="Times New Roman" w:hAnsi="Times New Roman" w:cs="Times New Roman"/>
        </w:rPr>
        <w:t>év</w:t>
      </w:r>
    </w:p>
    <w:p w14:paraId="7BA7144F" w14:textId="66B7DA94" w:rsidR="003F4E45" w:rsidRPr="003F4E45" w:rsidRDefault="0024013D" w:rsidP="0024013D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24013D">
        <w:rPr>
          <w:rFonts w:ascii="Times New Roman" w:eastAsia="Times New Roman" w:hAnsi="Times New Roman" w:cs="Times New Roman"/>
        </w:rPr>
        <w:t xml:space="preserve">Bontatlan </w:t>
      </w:r>
      <w:r w:rsidR="007234B3">
        <w:rPr>
          <w:rFonts w:ascii="Times New Roman" w:eastAsia="Times New Roman" w:hAnsi="Times New Roman" w:cs="Times New Roman"/>
        </w:rPr>
        <w:t xml:space="preserve">injekciós </w:t>
      </w:r>
      <w:r w:rsidRPr="0024013D">
        <w:rPr>
          <w:rFonts w:ascii="Times New Roman" w:eastAsia="Times New Roman" w:hAnsi="Times New Roman" w:cs="Times New Roman"/>
        </w:rPr>
        <w:t xml:space="preserve">üveg: </w:t>
      </w:r>
      <w:r w:rsidR="00710A9F">
        <w:rPr>
          <w:rFonts w:ascii="Times New Roman" w:eastAsia="Times New Roman" w:hAnsi="Times New Roman" w:cs="Times New Roman"/>
        </w:rPr>
        <w:t>3</w:t>
      </w:r>
      <w:r w:rsidR="007234B3">
        <w:rPr>
          <w:rFonts w:ascii="Times New Roman" w:eastAsia="Times New Roman" w:hAnsi="Times New Roman" w:cs="Times New Roman"/>
        </w:rPr>
        <w:t> </w:t>
      </w:r>
      <w:r w:rsidRPr="0024013D">
        <w:rPr>
          <w:rFonts w:ascii="Times New Roman" w:eastAsia="Times New Roman" w:hAnsi="Times New Roman" w:cs="Times New Roman"/>
        </w:rPr>
        <w:t>év</w:t>
      </w:r>
    </w:p>
    <w:p w14:paraId="53C3156E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E1A0B2D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/>
        </w:rPr>
      </w:pPr>
      <w:bookmarkStart w:id="11" w:name="_Hlk536081952"/>
      <w:bookmarkStart w:id="12" w:name="_Hlk536081741"/>
      <w:r w:rsidRPr="003F4E45">
        <w:rPr>
          <w:rFonts w:ascii="Times New Roman" w:eastAsia="Times New Roman" w:hAnsi="Times New Roman" w:cs="Times New Roman"/>
          <w:i/>
        </w:rPr>
        <w:t>Hígítást követően</w:t>
      </w:r>
    </w:p>
    <w:p w14:paraId="482BC4F8" w14:textId="77777777" w:rsidR="003F4E45" w:rsidRPr="00C70FF1" w:rsidRDefault="003F4E45" w:rsidP="003F4E45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snapToGrid w:val="0"/>
          <w:szCs w:val="20"/>
          <w:lang w:eastAsia="hu-HU"/>
        </w:rPr>
      </w:pPr>
      <w:r w:rsidRPr="00C70FF1">
        <w:rPr>
          <w:rFonts w:ascii="Times New Roman" w:eastAsia="Times New Roman" w:hAnsi="Times New Roman" w:cs="Times New Roman"/>
          <w:iCs/>
          <w:snapToGrid w:val="0"/>
          <w:szCs w:val="20"/>
          <w:lang w:eastAsia="hu-HU"/>
        </w:rPr>
        <w:t>A hígított infúziós oldat kémiai és fizikai stabilitása 2 °C–8 °C-on és 25 °C-on 36 órán át igazolt.</w:t>
      </w:r>
    </w:p>
    <w:p w14:paraId="52302F3E" w14:textId="77777777" w:rsidR="003F4E45" w:rsidRPr="00011F8A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D912C80" w14:textId="15F49F40" w:rsidR="003F4E45" w:rsidRPr="00011F8A" w:rsidRDefault="00FE6A3B" w:rsidP="003F4E45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C70FF1">
        <w:rPr>
          <w:rFonts w:ascii="Times New Roman" w:hAnsi="Times New Roman"/>
          <w:szCs w:val="24"/>
        </w:rPr>
        <w:t>Mikrobiológiai szempontból a készítményt azonnal fel kell használni. Amennyiben nem használják fel azonnal, a felhasználásig az eltartási idő és a tárolási körülmények a felhasználó felelőssége, amely általános esetben 2</w:t>
      </w:r>
      <w:r w:rsidR="00011F8A">
        <w:rPr>
          <w:rFonts w:ascii="Times New Roman" w:hAnsi="Times New Roman"/>
          <w:szCs w:val="24"/>
        </w:rPr>
        <w:t> </w:t>
      </w:r>
      <w:r w:rsidRPr="00C70FF1">
        <w:rPr>
          <w:rFonts w:ascii="Times New Roman" w:hAnsi="Times New Roman"/>
          <w:szCs w:val="24"/>
        </w:rPr>
        <w:t>°C–8</w:t>
      </w:r>
      <w:r w:rsidR="00011F8A">
        <w:rPr>
          <w:rFonts w:ascii="Times New Roman" w:hAnsi="Times New Roman"/>
          <w:szCs w:val="24"/>
        </w:rPr>
        <w:t> </w:t>
      </w:r>
      <w:r w:rsidRPr="00C70FF1">
        <w:rPr>
          <w:rFonts w:ascii="Times New Roman" w:hAnsi="Times New Roman"/>
          <w:szCs w:val="24"/>
        </w:rPr>
        <w:t>°C közötti hőmérsékleten tárolva nem haladhatja meg a 24</w:t>
      </w:r>
      <w:r w:rsidR="00011F8A">
        <w:rPr>
          <w:rFonts w:ascii="Times New Roman" w:hAnsi="Times New Roman"/>
          <w:szCs w:val="24"/>
        </w:rPr>
        <w:t> </w:t>
      </w:r>
      <w:r w:rsidRPr="00C70FF1">
        <w:rPr>
          <w:rFonts w:ascii="Times New Roman" w:hAnsi="Times New Roman"/>
          <w:szCs w:val="24"/>
        </w:rPr>
        <w:t>órát, kivéve, ha a hígítás ellenőrzött és validált aszeptikus körülmények között történt</w:t>
      </w:r>
      <w:r w:rsidR="00490F79" w:rsidRPr="00C70FF1">
        <w:rPr>
          <w:rFonts w:ascii="Times New Roman" w:hAnsi="Times New Roman"/>
          <w:szCs w:val="24"/>
        </w:rPr>
        <w:t>.</w:t>
      </w:r>
    </w:p>
    <w:bookmarkEnd w:id="11"/>
    <w:p w14:paraId="6564EF35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bookmarkEnd w:id="12"/>
    <w:p w14:paraId="6C39B3BF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3F4E45">
        <w:rPr>
          <w:rFonts w:ascii="Times New Roman" w:eastAsia="Times New Roman" w:hAnsi="Times New Roman" w:cs="Times New Roman"/>
          <w:b/>
        </w:rPr>
        <w:t>6.4</w:t>
      </w:r>
      <w:r w:rsidRPr="003F4E45">
        <w:rPr>
          <w:rFonts w:ascii="Times New Roman" w:eastAsia="Times New Roman" w:hAnsi="Times New Roman" w:cs="Times New Roman"/>
          <w:b/>
        </w:rPr>
        <w:tab/>
        <w:t>Különleges tárolási előírások</w:t>
      </w:r>
    </w:p>
    <w:p w14:paraId="7CB18B03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22EF032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 xml:space="preserve">Ez a gyógyszer nem igényel különleges tárolást. </w:t>
      </w:r>
    </w:p>
    <w:p w14:paraId="1DC17C9E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2D673B2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>A gyógyszer hígítás utáni tárolására vonatkozó előírásokat lásd a 6.3 pontban.</w:t>
      </w:r>
    </w:p>
    <w:p w14:paraId="18213348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CB90CCC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3F4E45">
        <w:rPr>
          <w:rFonts w:ascii="Times New Roman" w:eastAsia="Times New Roman" w:hAnsi="Times New Roman" w:cs="Times New Roman"/>
          <w:b/>
        </w:rPr>
        <w:t>6.5</w:t>
      </w:r>
      <w:r w:rsidRPr="003F4E45">
        <w:rPr>
          <w:rFonts w:ascii="Times New Roman" w:eastAsia="Times New Roman" w:hAnsi="Times New Roman" w:cs="Times New Roman"/>
          <w:b/>
        </w:rPr>
        <w:tab/>
        <w:t xml:space="preserve">Csomagolás típusa és kiszerelése </w:t>
      </w:r>
    </w:p>
    <w:p w14:paraId="722CDE6D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E5DE027" w14:textId="3F06ED3B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DF73CF">
        <w:rPr>
          <w:rFonts w:ascii="Times New Roman" w:eastAsia="Times New Roman" w:hAnsi="Times New Roman" w:cs="Times New Roman"/>
        </w:rPr>
        <w:t>5 db vagy 25 db</w:t>
      </w:r>
      <w:r w:rsidRPr="003F4E45">
        <w:rPr>
          <w:rFonts w:ascii="Times New Roman" w:eastAsia="Times New Roman" w:hAnsi="Times New Roman" w:cs="Times New Roman"/>
        </w:rPr>
        <w:t xml:space="preserve"> 2 ml-es, I</w:t>
      </w:r>
      <w:r w:rsidR="00D51ACA">
        <w:rPr>
          <w:rFonts w:ascii="Times New Roman" w:eastAsia="Times New Roman" w:hAnsi="Times New Roman" w:cs="Times New Roman"/>
        </w:rPr>
        <w:t>-es</w:t>
      </w:r>
      <w:r w:rsidRPr="003F4E45">
        <w:rPr>
          <w:rFonts w:ascii="Times New Roman" w:eastAsia="Times New Roman" w:hAnsi="Times New Roman" w:cs="Times New Roman"/>
        </w:rPr>
        <w:t xml:space="preserve"> típusú</w:t>
      </w:r>
      <w:r w:rsidR="007234B3">
        <w:rPr>
          <w:rFonts w:ascii="Times New Roman" w:eastAsia="Times New Roman" w:hAnsi="Times New Roman" w:cs="Times New Roman"/>
        </w:rPr>
        <w:t>,</w:t>
      </w:r>
      <w:r w:rsidR="006C729D">
        <w:rPr>
          <w:rFonts w:ascii="Times New Roman" w:eastAsia="Times New Roman" w:hAnsi="Times New Roman" w:cs="Times New Roman"/>
        </w:rPr>
        <w:t xml:space="preserve"> sz</w:t>
      </w:r>
      <w:r w:rsidR="00490F79">
        <w:rPr>
          <w:rFonts w:ascii="Times New Roman" w:eastAsia="Times New Roman" w:hAnsi="Times New Roman" w:cs="Times New Roman"/>
        </w:rPr>
        <w:t>í</w:t>
      </w:r>
      <w:r w:rsidR="006C729D">
        <w:rPr>
          <w:rFonts w:ascii="Times New Roman" w:eastAsia="Times New Roman" w:hAnsi="Times New Roman" w:cs="Times New Roman"/>
        </w:rPr>
        <w:t>ntelen</w:t>
      </w:r>
      <w:r w:rsidR="007234B3">
        <w:rPr>
          <w:rFonts w:ascii="Times New Roman" w:eastAsia="Times New Roman" w:hAnsi="Times New Roman" w:cs="Times New Roman"/>
        </w:rPr>
        <w:t>, törőponttal ellátott</w:t>
      </w:r>
      <w:r w:rsidRPr="003F4E45">
        <w:rPr>
          <w:rFonts w:ascii="Times New Roman" w:eastAsia="Times New Roman" w:hAnsi="Times New Roman" w:cs="Times New Roman"/>
        </w:rPr>
        <w:t xml:space="preserve"> üvegampulla</w:t>
      </w:r>
      <w:r w:rsidR="00B94E21">
        <w:rPr>
          <w:rFonts w:ascii="Times New Roman" w:eastAsia="Times New Roman" w:hAnsi="Times New Roman" w:cs="Times New Roman"/>
        </w:rPr>
        <w:t>.</w:t>
      </w:r>
    </w:p>
    <w:p w14:paraId="76748D24" w14:textId="346017B8" w:rsidR="00B42ECA" w:rsidRPr="006D0CDF" w:rsidRDefault="00DF73CF" w:rsidP="009D5D8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>
        <w:rPr>
          <w:rFonts w:ascii="Times New Roman" w:eastAsia="Times New Roman" w:hAnsi="Times New Roman" w:cs="Times New Roman"/>
        </w:rPr>
        <w:t xml:space="preserve">1 db vagy 4 db </w:t>
      </w:r>
      <w:r w:rsidR="007234B3">
        <w:rPr>
          <w:rFonts w:ascii="Times New Roman" w:eastAsia="Times New Roman" w:hAnsi="Times New Roman" w:cs="Times New Roman"/>
        </w:rPr>
        <w:t xml:space="preserve">4 ml-es, </w:t>
      </w:r>
      <w:r w:rsidR="003322D8" w:rsidRPr="003322D8">
        <w:rPr>
          <w:rFonts w:ascii="Times New Roman" w:eastAsia="SimSun" w:hAnsi="Times New Roman" w:cs="Times New Roman"/>
          <w:snapToGrid w:val="0"/>
          <w:lang w:eastAsia="zh-CN"/>
        </w:rPr>
        <w:t>I</w:t>
      </w:r>
      <w:r w:rsidR="00D51ACA">
        <w:rPr>
          <w:rFonts w:ascii="Times New Roman" w:eastAsia="SimSun" w:hAnsi="Times New Roman" w:cs="Times New Roman"/>
          <w:snapToGrid w:val="0"/>
          <w:lang w:eastAsia="zh-CN"/>
        </w:rPr>
        <w:t>-es</w:t>
      </w:r>
      <w:r w:rsidR="003322D8" w:rsidRPr="003322D8">
        <w:rPr>
          <w:rFonts w:ascii="Times New Roman" w:eastAsia="SimSun" w:hAnsi="Times New Roman" w:cs="Times New Roman"/>
          <w:snapToGrid w:val="0"/>
          <w:lang w:eastAsia="zh-CN"/>
        </w:rPr>
        <w:t xml:space="preserve"> típusú</w:t>
      </w:r>
      <w:r w:rsidR="007234B3">
        <w:rPr>
          <w:rFonts w:ascii="Times New Roman" w:eastAsia="SimSun" w:hAnsi="Times New Roman" w:cs="Times New Roman"/>
          <w:snapToGrid w:val="0"/>
          <w:lang w:eastAsia="zh-CN"/>
        </w:rPr>
        <w:t>,</w:t>
      </w:r>
      <w:r w:rsidR="003322D8" w:rsidRPr="003322D8">
        <w:rPr>
          <w:rFonts w:ascii="Times New Roman" w:eastAsia="SimSun" w:hAnsi="Times New Roman" w:cs="Times New Roman"/>
          <w:snapToGrid w:val="0"/>
          <w:lang w:eastAsia="zh-CN"/>
        </w:rPr>
        <w:t xml:space="preserve"> színtelen üv</w:t>
      </w:r>
      <w:r w:rsidR="009B211E">
        <w:rPr>
          <w:rFonts w:ascii="Times New Roman" w:eastAsia="SimSun" w:hAnsi="Times New Roman" w:cs="Times New Roman"/>
          <w:snapToGrid w:val="0"/>
          <w:lang w:eastAsia="zh-CN"/>
        </w:rPr>
        <w:t xml:space="preserve">egből készült injekciós üveg </w:t>
      </w:r>
      <w:r w:rsidR="003322D8" w:rsidRPr="003322D8">
        <w:rPr>
          <w:rFonts w:ascii="Times New Roman" w:eastAsia="SimSun" w:hAnsi="Times New Roman" w:cs="Times New Roman"/>
          <w:snapToGrid w:val="0"/>
          <w:lang w:eastAsia="zh-CN"/>
        </w:rPr>
        <w:t>brómbutil</w:t>
      </w:r>
      <w:r w:rsidR="00E42230">
        <w:rPr>
          <w:rFonts w:ascii="Times New Roman" w:eastAsia="SimSun" w:hAnsi="Times New Roman" w:cs="Times New Roman"/>
          <w:snapToGrid w:val="0"/>
          <w:lang w:eastAsia="zh-CN"/>
        </w:rPr>
        <w:t xml:space="preserve"> </w:t>
      </w:r>
      <w:r w:rsidR="003322D8" w:rsidRPr="003322D8">
        <w:rPr>
          <w:rFonts w:ascii="Times New Roman" w:eastAsia="SimSun" w:hAnsi="Times New Roman" w:cs="Times New Roman"/>
          <w:snapToGrid w:val="0"/>
          <w:lang w:eastAsia="zh-CN"/>
        </w:rPr>
        <w:t>gumidugó</w:t>
      </w:r>
      <w:r w:rsidR="00E42230">
        <w:rPr>
          <w:rFonts w:ascii="Times New Roman" w:eastAsia="SimSun" w:hAnsi="Times New Roman" w:cs="Times New Roman"/>
          <w:snapToGrid w:val="0"/>
          <w:lang w:eastAsia="zh-CN"/>
        </w:rPr>
        <w:t xml:space="preserve">val és </w:t>
      </w:r>
      <w:r w:rsidR="00E42230" w:rsidRPr="003322D8">
        <w:rPr>
          <w:rFonts w:ascii="Times New Roman" w:eastAsia="SimSun" w:hAnsi="Times New Roman" w:cs="Times New Roman"/>
          <w:snapToGrid w:val="0"/>
          <w:lang w:eastAsia="zh-CN"/>
        </w:rPr>
        <w:t xml:space="preserve">lepattintható alumínium </w:t>
      </w:r>
      <w:r w:rsidR="00E42230">
        <w:rPr>
          <w:rFonts w:ascii="Times New Roman" w:eastAsia="SimSun" w:hAnsi="Times New Roman" w:cs="Times New Roman"/>
          <w:snapToGrid w:val="0"/>
          <w:lang w:eastAsia="zh-CN"/>
        </w:rPr>
        <w:t>kupakkal</w:t>
      </w:r>
      <w:r w:rsidR="003322D8" w:rsidRPr="003322D8">
        <w:rPr>
          <w:rFonts w:ascii="Times New Roman" w:eastAsia="SimSun" w:hAnsi="Times New Roman" w:cs="Times New Roman"/>
          <w:snapToGrid w:val="0"/>
          <w:lang w:eastAsia="zh-CN"/>
        </w:rPr>
        <w:t xml:space="preserve"> lezárva.</w:t>
      </w:r>
    </w:p>
    <w:p w14:paraId="1B8C1FA5" w14:textId="422AEF95" w:rsidR="001E7910" w:rsidRDefault="00DF73CF" w:rsidP="001E7910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>
        <w:rPr>
          <w:rFonts w:ascii="Times New Roman" w:eastAsia="Times New Roman" w:hAnsi="Times New Roman" w:cs="Times New Roman"/>
        </w:rPr>
        <w:t xml:space="preserve">1 db vagy 4 db </w:t>
      </w:r>
      <w:r w:rsidR="001E7910">
        <w:rPr>
          <w:rFonts w:ascii="Times New Roman" w:eastAsia="Times New Roman" w:hAnsi="Times New Roman" w:cs="Times New Roman"/>
        </w:rPr>
        <w:t xml:space="preserve">10 ml-es, </w:t>
      </w:r>
      <w:r w:rsidR="001E7910" w:rsidRPr="003322D8">
        <w:rPr>
          <w:rFonts w:ascii="Times New Roman" w:eastAsia="SimSun" w:hAnsi="Times New Roman" w:cs="Times New Roman"/>
          <w:snapToGrid w:val="0"/>
          <w:lang w:eastAsia="zh-CN"/>
        </w:rPr>
        <w:t>I</w:t>
      </w:r>
      <w:r w:rsidR="00D51ACA">
        <w:rPr>
          <w:rFonts w:ascii="Times New Roman" w:eastAsia="SimSun" w:hAnsi="Times New Roman" w:cs="Times New Roman"/>
          <w:snapToGrid w:val="0"/>
          <w:lang w:eastAsia="zh-CN"/>
        </w:rPr>
        <w:t>-es</w:t>
      </w:r>
      <w:r w:rsidR="001E7910" w:rsidRPr="003322D8">
        <w:rPr>
          <w:rFonts w:ascii="Times New Roman" w:eastAsia="SimSun" w:hAnsi="Times New Roman" w:cs="Times New Roman"/>
          <w:snapToGrid w:val="0"/>
          <w:lang w:eastAsia="zh-CN"/>
        </w:rPr>
        <w:t xml:space="preserve"> típusú</w:t>
      </w:r>
      <w:r w:rsidR="001E7910">
        <w:rPr>
          <w:rFonts w:ascii="Times New Roman" w:eastAsia="SimSun" w:hAnsi="Times New Roman" w:cs="Times New Roman"/>
          <w:snapToGrid w:val="0"/>
          <w:lang w:eastAsia="zh-CN"/>
        </w:rPr>
        <w:t>,</w:t>
      </w:r>
      <w:r w:rsidR="001E7910" w:rsidRPr="003322D8">
        <w:rPr>
          <w:rFonts w:ascii="Times New Roman" w:eastAsia="SimSun" w:hAnsi="Times New Roman" w:cs="Times New Roman"/>
          <w:snapToGrid w:val="0"/>
          <w:lang w:eastAsia="zh-CN"/>
        </w:rPr>
        <w:t xml:space="preserve"> színtelen üv</w:t>
      </w:r>
      <w:r w:rsidR="001E7910">
        <w:rPr>
          <w:rFonts w:ascii="Times New Roman" w:eastAsia="SimSun" w:hAnsi="Times New Roman" w:cs="Times New Roman"/>
          <w:snapToGrid w:val="0"/>
          <w:lang w:eastAsia="zh-CN"/>
        </w:rPr>
        <w:t xml:space="preserve">egből készült injekciós üveg </w:t>
      </w:r>
      <w:r w:rsidR="001E7910" w:rsidRPr="003322D8">
        <w:rPr>
          <w:rFonts w:ascii="Times New Roman" w:eastAsia="SimSun" w:hAnsi="Times New Roman" w:cs="Times New Roman"/>
          <w:snapToGrid w:val="0"/>
          <w:lang w:eastAsia="zh-CN"/>
        </w:rPr>
        <w:t>brómbutil</w:t>
      </w:r>
      <w:r w:rsidR="001E7910">
        <w:rPr>
          <w:rFonts w:ascii="Times New Roman" w:eastAsia="SimSun" w:hAnsi="Times New Roman" w:cs="Times New Roman"/>
          <w:snapToGrid w:val="0"/>
          <w:lang w:eastAsia="zh-CN"/>
        </w:rPr>
        <w:t xml:space="preserve"> </w:t>
      </w:r>
      <w:r w:rsidR="001E7910" w:rsidRPr="003322D8">
        <w:rPr>
          <w:rFonts w:ascii="Times New Roman" w:eastAsia="SimSun" w:hAnsi="Times New Roman" w:cs="Times New Roman"/>
          <w:snapToGrid w:val="0"/>
          <w:lang w:eastAsia="zh-CN"/>
        </w:rPr>
        <w:t>gumidugó</w:t>
      </w:r>
      <w:r w:rsidR="001E7910">
        <w:rPr>
          <w:rFonts w:ascii="Times New Roman" w:eastAsia="SimSun" w:hAnsi="Times New Roman" w:cs="Times New Roman"/>
          <w:snapToGrid w:val="0"/>
          <w:lang w:eastAsia="zh-CN"/>
        </w:rPr>
        <w:t xml:space="preserve">val és </w:t>
      </w:r>
      <w:r w:rsidR="001E7910" w:rsidRPr="003322D8">
        <w:rPr>
          <w:rFonts w:ascii="Times New Roman" w:eastAsia="SimSun" w:hAnsi="Times New Roman" w:cs="Times New Roman"/>
          <w:snapToGrid w:val="0"/>
          <w:lang w:eastAsia="zh-CN"/>
        </w:rPr>
        <w:t xml:space="preserve">lepattintható alumínium </w:t>
      </w:r>
      <w:r w:rsidR="001E7910">
        <w:rPr>
          <w:rFonts w:ascii="Times New Roman" w:eastAsia="SimSun" w:hAnsi="Times New Roman" w:cs="Times New Roman"/>
          <w:snapToGrid w:val="0"/>
          <w:lang w:eastAsia="zh-CN"/>
        </w:rPr>
        <w:t>kupakkal</w:t>
      </w:r>
      <w:r w:rsidR="001E7910" w:rsidRPr="003322D8">
        <w:rPr>
          <w:rFonts w:ascii="Times New Roman" w:eastAsia="SimSun" w:hAnsi="Times New Roman" w:cs="Times New Roman"/>
          <w:snapToGrid w:val="0"/>
          <w:lang w:eastAsia="zh-CN"/>
        </w:rPr>
        <w:t xml:space="preserve"> lezárva.</w:t>
      </w:r>
    </w:p>
    <w:p w14:paraId="06D3C57C" w14:textId="6FB29BD9" w:rsidR="003322D8" w:rsidRDefault="003322D8" w:rsidP="003322D8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BFFB7EC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>Nem feltétlenül mindegyik kiszerelés kerül kereskedelmi forgalomba.</w:t>
      </w:r>
    </w:p>
    <w:p w14:paraId="3C3F8791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6C408D4E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3F4E45">
        <w:rPr>
          <w:rFonts w:ascii="Times New Roman" w:eastAsia="Times New Roman" w:hAnsi="Times New Roman" w:cs="Times New Roman"/>
          <w:b/>
        </w:rPr>
        <w:t>6.6</w:t>
      </w:r>
      <w:r w:rsidRPr="003F4E45">
        <w:rPr>
          <w:rFonts w:ascii="Times New Roman" w:eastAsia="Times New Roman" w:hAnsi="Times New Roman" w:cs="Times New Roman"/>
          <w:b/>
        </w:rPr>
        <w:tab/>
        <w:t>A megsemmisítésre vonatkozó különleges óvintézkedések és egyéb, a készítmény kezelésével kapcsolatos információk</w:t>
      </w:r>
    </w:p>
    <w:p w14:paraId="0379DC0E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</w:rPr>
      </w:pPr>
    </w:p>
    <w:p w14:paraId="74FBBC28" w14:textId="04360C96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Az ampullák </w:t>
      </w:r>
      <w:r w:rsidR="00692582" w:rsidRPr="00692582">
        <w:rPr>
          <w:rFonts w:ascii="Times New Roman" w:eastAsia="SimSun" w:hAnsi="Times New Roman" w:cs="Times New Roman"/>
          <w:snapToGrid w:val="0"/>
          <w:lang w:eastAsia="zh-CN"/>
        </w:rPr>
        <w:t xml:space="preserve">és </w:t>
      </w:r>
      <w:r w:rsidR="00791D9A">
        <w:rPr>
          <w:rFonts w:ascii="Times New Roman" w:eastAsia="SimSun" w:hAnsi="Times New Roman" w:cs="Times New Roman"/>
          <w:snapToGrid w:val="0"/>
          <w:lang w:eastAsia="zh-CN"/>
        </w:rPr>
        <w:t>injekciós üvegek</w:t>
      </w:r>
      <w:r w:rsidR="00692582">
        <w:rPr>
          <w:rFonts w:ascii="Times New Roman" w:eastAsia="SimSun" w:hAnsi="Times New Roman" w:cs="Times New Roman"/>
          <w:snapToGrid w:val="0"/>
          <w:lang w:eastAsia="zh-CN"/>
        </w:rPr>
        <w:t xml:space="preserve">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kizárólag egyetlen betegnél használhatók fel.</w:t>
      </w:r>
    </w:p>
    <w:p w14:paraId="786E37C6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375EA0D7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i/>
          <w:snapToGrid w:val="0"/>
          <w:lang w:eastAsia="zh-CN"/>
        </w:rPr>
        <w:t>Az oldat elkészítése</w:t>
      </w:r>
    </w:p>
    <w:p w14:paraId="444D1FF6" w14:textId="7353B6D8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Annak érdekében, hogy az alkalmazás előtt a szükséges 4 mikrogramm/ml vagy 8 mikrogramm/ml töménységet elérjék, a készítményt a következő oldatos injekciókkal lehet hígítani: 50 mg/ml</w:t>
      </w:r>
      <w:r w:rsidR="002A0185">
        <w:rPr>
          <w:rFonts w:ascii="Times New Roman" w:eastAsia="SimSun" w:hAnsi="Times New Roman" w:cs="Times New Roman"/>
          <w:snapToGrid w:val="0"/>
          <w:lang w:eastAsia="zh-CN"/>
        </w:rPr>
        <w:t>-es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(5%</w:t>
      </w:r>
      <w:r w:rsidR="002A0185">
        <w:rPr>
          <w:rFonts w:ascii="Times New Roman" w:eastAsia="SimSun" w:hAnsi="Times New Roman" w:cs="Times New Roman"/>
          <w:snapToGrid w:val="0"/>
          <w:lang w:eastAsia="zh-CN"/>
        </w:rPr>
        <w:noBreakHyphen/>
        <w:t>os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) glükóz, Ringer, Ringer-laktát, mannit vagy 9 mg/ml</w:t>
      </w:r>
      <w:r w:rsidR="002A0185">
        <w:rPr>
          <w:rFonts w:ascii="Times New Roman" w:eastAsia="SimSun" w:hAnsi="Times New Roman" w:cs="Times New Roman"/>
          <w:snapToGrid w:val="0"/>
          <w:lang w:eastAsia="zh-CN"/>
        </w:rPr>
        <w:t>-es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 (0,9%</w:t>
      </w:r>
      <w:r w:rsidR="002A0185">
        <w:rPr>
          <w:rFonts w:ascii="Times New Roman" w:eastAsia="SimSun" w:hAnsi="Times New Roman" w:cs="Times New Roman"/>
          <w:snapToGrid w:val="0"/>
          <w:lang w:eastAsia="zh-CN"/>
        </w:rPr>
        <w:t>-os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) nátrium-klorid. Az infúzió elkészítéséhez szükséges térfogatokat táblázatos formában lásd alább.</w:t>
      </w:r>
    </w:p>
    <w:p w14:paraId="5DD0019F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0FDB2820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u w:val="thick"/>
          <w:lang w:eastAsia="zh-CN"/>
        </w:rPr>
      </w:pPr>
      <w:bookmarkStart w:id="13" w:name="_Hlk517781747"/>
      <w:r w:rsidRPr="003F4E45">
        <w:rPr>
          <w:rFonts w:ascii="Times New Roman" w:eastAsia="SimSun" w:hAnsi="Times New Roman" w:cs="Times New Roman"/>
          <w:b/>
          <w:snapToGrid w:val="0"/>
          <w:u w:val="thick"/>
          <w:lang w:eastAsia="zh-CN"/>
        </w:rPr>
        <w:t>Abban az esetben, ha a szükséges koncentráció 4 mikrogramm/ml</w:t>
      </w:r>
    </w:p>
    <w:bookmarkEnd w:id="13"/>
    <w:p w14:paraId="659F14A9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u w:val="thick"/>
          <w:lang w:eastAsia="zh-CN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3119"/>
        <w:gridCol w:w="2693"/>
      </w:tblGrid>
      <w:tr w:rsidR="003F4E45" w:rsidRPr="003F4E45" w14:paraId="22FCD6B7" w14:textId="77777777" w:rsidTr="00E42230">
        <w:trPr>
          <w:trHeight w:hRule="exact" w:val="260"/>
          <w:jc w:val="center"/>
        </w:trPr>
        <w:tc>
          <w:tcPr>
            <w:tcW w:w="3119" w:type="dxa"/>
            <w:tcBorders>
              <w:bottom w:val="nil"/>
            </w:tcBorders>
          </w:tcPr>
          <w:p w14:paraId="22E88AB6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>A Dexmedetomidine Kalceks</w:t>
            </w:r>
          </w:p>
        </w:tc>
        <w:tc>
          <w:tcPr>
            <w:tcW w:w="3119" w:type="dxa"/>
            <w:tcBorders>
              <w:bottom w:val="nil"/>
            </w:tcBorders>
          </w:tcPr>
          <w:p w14:paraId="4E1E307F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</w:p>
        </w:tc>
        <w:tc>
          <w:tcPr>
            <w:tcW w:w="2693" w:type="dxa"/>
            <w:tcBorders>
              <w:bottom w:val="nil"/>
            </w:tcBorders>
          </w:tcPr>
          <w:p w14:paraId="773763CE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</w:p>
        </w:tc>
      </w:tr>
      <w:tr w:rsidR="003F4E45" w:rsidRPr="003F4E45" w14:paraId="5CC4A52E" w14:textId="77777777" w:rsidTr="00E42230">
        <w:trPr>
          <w:trHeight w:hRule="exact" w:val="506"/>
          <w:jc w:val="center"/>
        </w:trPr>
        <w:tc>
          <w:tcPr>
            <w:tcW w:w="3119" w:type="dxa"/>
            <w:tcBorders>
              <w:top w:val="nil"/>
              <w:bottom w:val="nil"/>
            </w:tcBorders>
          </w:tcPr>
          <w:p w14:paraId="58C5EE24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>100 mikrogramm/ml koncentrátum oldatos</w:t>
            </w:r>
          </w:p>
        </w:tc>
        <w:tc>
          <w:tcPr>
            <w:tcW w:w="3119" w:type="dxa"/>
            <w:tcBorders>
              <w:top w:val="nil"/>
              <w:bottom w:val="nil"/>
            </w:tcBorders>
          </w:tcPr>
          <w:p w14:paraId="3C4DB5BE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>Hígításra használt oldat térfogata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0C420BA0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>Infúzió teljes térfogata</w:t>
            </w:r>
          </w:p>
        </w:tc>
      </w:tr>
      <w:tr w:rsidR="003F4E45" w:rsidRPr="003F4E45" w14:paraId="3E69A4A3" w14:textId="77777777" w:rsidTr="00E42230">
        <w:trPr>
          <w:trHeight w:hRule="exact" w:val="253"/>
          <w:jc w:val="center"/>
        </w:trPr>
        <w:tc>
          <w:tcPr>
            <w:tcW w:w="3119" w:type="dxa"/>
            <w:tcBorders>
              <w:top w:val="nil"/>
            </w:tcBorders>
          </w:tcPr>
          <w:p w14:paraId="7F01CE6B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b/>
                <w:snapToGrid w:val="0"/>
                <w:szCs w:val="24"/>
                <w:lang w:val="en-GB" w:eastAsia="zh-CN"/>
              </w:rPr>
              <w:t>infúzióhoz</w:t>
            </w:r>
            <w:r w:rsidRPr="003F4E45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 xml:space="preserve"> térfogata</w:t>
            </w:r>
          </w:p>
        </w:tc>
        <w:tc>
          <w:tcPr>
            <w:tcW w:w="3119" w:type="dxa"/>
            <w:tcBorders>
              <w:top w:val="nil"/>
            </w:tcBorders>
          </w:tcPr>
          <w:p w14:paraId="0358D09E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</w:p>
        </w:tc>
        <w:tc>
          <w:tcPr>
            <w:tcW w:w="2693" w:type="dxa"/>
            <w:tcBorders>
              <w:top w:val="nil"/>
            </w:tcBorders>
          </w:tcPr>
          <w:p w14:paraId="0147E6B0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</w:p>
        </w:tc>
      </w:tr>
      <w:tr w:rsidR="003F4E45" w:rsidRPr="003F4E45" w14:paraId="6BDF123E" w14:textId="77777777" w:rsidTr="00E42230">
        <w:trPr>
          <w:trHeight w:hRule="exact" w:val="308"/>
          <w:jc w:val="center"/>
        </w:trPr>
        <w:tc>
          <w:tcPr>
            <w:tcW w:w="3119" w:type="dxa"/>
            <w:vAlign w:val="center"/>
          </w:tcPr>
          <w:p w14:paraId="75DDCB9E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2 ml</w:t>
            </w:r>
          </w:p>
        </w:tc>
        <w:tc>
          <w:tcPr>
            <w:tcW w:w="3119" w:type="dxa"/>
            <w:vAlign w:val="center"/>
          </w:tcPr>
          <w:p w14:paraId="58D95FDD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48 ml</w:t>
            </w:r>
          </w:p>
        </w:tc>
        <w:tc>
          <w:tcPr>
            <w:tcW w:w="2693" w:type="dxa"/>
            <w:vAlign w:val="center"/>
          </w:tcPr>
          <w:p w14:paraId="263F77AE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50 ml</w:t>
            </w:r>
          </w:p>
        </w:tc>
      </w:tr>
      <w:tr w:rsidR="003F4E45" w:rsidRPr="003F4E45" w14:paraId="2032D5D4" w14:textId="77777777" w:rsidTr="00E42230">
        <w:trPr>
          <w:trHeight w:hRule="exact" w:val="305"/>
          <w:jc w:val="center"/>
        </w:trPr>
        <w:tc>
          <w:tcPr>
            <w:tcW w:w="3119" w:type="dxa"/>
            <w:vAlign w:val="center"/>
          </w:tcPr>
          <w:p w14:paraId="67CBD207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4 ml</w:t>
            </w:r>
          </w:p>
        </w:tc>
        <w:tc>
          <w:tcPr>
            <w:tcW w:w="3119" w:type="dxa"/>
            <w:vAlign w:val="center"/>
          </w:tcPr>
          <w:p w14:paraId="114539FA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96 ml</w:t>
            </w:r>
          </w:p>
        </w:tc>
        <w:tc>
          <w:tcPr>
            <w:tcW w:w="2693" w:type="dxa"/>
            <w:vAlign w:val="center"/>
          </w:tcPr>
          <w:p w14:paraId="27CDE0B9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100 ml</w:t>
            </w:r>
          </w:p>
        </w:tc>
      </w:tr>
      <w:tr w:rsidR="003F4E45" w:rsidRPr="003F4E45" w14:paraId="582E7596" w14:textId="77777777" w:rsidTr="00E42230">
        <w:trPr>
          <w:trHeight w:hRule="exact" w:val="282"/>
          <w:jc w:val="center"/>
        </w:trPr>
        <w:tc>
          <w:tcPr>
            <w:tcW w:w="3119" w:type="dxa"/>
            <w:vAlign w:val="center"/>
          </w:tcPr>
          <w:p w14:paraId="5941D778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10 ml</w:t>
            </w:r>
          </w:p>
        </w:tc>
        <w:tc>
          <w:tcPr>
            <w:tcW w:w="3119" w:type="dxa"/>
            <w:vAlign w:val="center"/>
          </w:tcPr>
          <w:p w14:paraId="4DF3EBF0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240 ml</w:t>
            </w:r>
          </w:p>
        </w:tc>
        <w:tc>
          <w:tcPr>
            <w:tcW w:w="2693" w:type="dxa"/>
            <w:vAlign w:val="center"/>
          </w:tcPr>
          <w:p w14:paraId="21AF2BC2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250 ml</w:t>
            </w:r>
          </w:p>
        </w:tc>
      </w:tr>
      <w:tr w:rsidR="003F4E45" w:rsidRPr="003F4E45" w14:paraId="00CDA9D2" w14:textId="77777777" w:rsidTr="00E42230">
        <w:trPr>
          <w:trHeight w:hRule="exact" w:val="327"/>
          <w:jc w:val="center"/>
        </w:trPr>
        <w:tc>
          <w:tcPr>
            <w:tcW w:w="3119" w:type="dxa"/>
            <w:vAlign w:val="center"/>
          </w:tcPr>
          <w:p w14:paraId="0961D99B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20 ml</w:t>
            </w:r>
          </w:p>
        </w:tc>
        <w:tc>
          <w:tcPr>
            <w:tcW w:w="3119" w:type="dxa"/>
            <w:vAlign w:val="center"/>
          </w:tcPr>
          <w:p w14:paraId="09E5C82F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480 ml</w:t>
            </w:r>
          </w:p>
        </w:tc>
        <w:tc>
          <w:tcPr>
            <w:tcW w:w="2693" w:type="dxa"/>
            <w:vAlign w:val="center"/>
          </w:tcPr>
          <w:p w14:paraId="4F3D6161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500 ml</w:t>
            </w:r>
          </w:p>
        </w:tc>
      </w:tr>
    </w:tbl>
    <w:p w14:paraId="6CF8A01F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1923C65E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u w:val="thick"/>
          <w:lang w:eastAsia="zh-CN"/>
        </w:rPr>
      </w:pPr>
      <w:r w:rsidRPr="003F4E45">
        <w:rPr>
          <w:rFonts w:ascii="Times New Roman" w:eastAsia="SimSun" w:hAnsi="Times New Roman" w:cs="Times New Roman"/>
          <w:b/>
          <w:snapToGrid w:val="0"/>
          <w:u w:val="thick"/>
          <w:lang w:eastAsia="zh-CN"/>
        </w:rPr>
        <w:t>Abban az esetben, ha a szükséges koncentráció 8 mikrogramm/ml</w:t>
      </w:r>
    </w:p>
    <w:p w14:paraId="0C7DC1F8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tbl>
      <w:tblPr>
        <w:tblW w:w="8931" w:type="dxa"/>
        <w:tblInd w:w="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90"/>
        <w:gridCol w:w="3119"/>
        <w:gridCol w:w="2722"/>
      </w:tblGrid>
      <w:tr w:rsidR="003F4E45" w:rsidRPr="003F4E45" w14:paraId="3E8CB13F" w14:textId="77777777" w:rsidTr="00E42230">
        <w:trPr>
          <w:trHeight w:hRule="exact" w:val="262"/>
        </w:trPr>
        <w:tc>
          <w:tcPr>
            <w:tcW w:w="3090" w:type="dxa"/>
            <w:tcBorders>
              <w:bottom w:val="nil"/>
            </w:tcBorders>
          </w:tcPr>
          <w:p w14:paraId="4F86F4F3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>A Dexmedetomidine Kalceks HCl Teva</w:t>
            </w:r>
          </w:p>
        </w:tc>
        <w:tc>
          <w:tcPr>
            <w:tcW w:w="3119" w:type="dxa"/>
            <w:tcBorders>
              <w:bottom w:val="nil"/>
            </w:tcBorders>
          </w:tcPr>
          <w:p w14:paraId="076FEE6A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</w:p>
        </w:tc>
        <w:tc>
          <w:tcPr>
            <w:tcW w:w="2722" w:type="dxa"/>
            <w:tcBorders>
              <w:bottom w:val="nil"/>
            </w:tcBorders>
          </w:tcPr>
          <w:p w14:paraId="6C1A0DB4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</w:p>
        </w:tc>
      </w:tr>
      <w:tr w:rsidR="003F4E45" w:rsidRPr="003F4E45" w14:paraId="380A705A" w14:textId="77777777" w:rsidTr="00E42230">
        <w:trPr>
          <w:trHeight w:hRule="exact" w:val="505"/>
        </w:trPr>
        <w:tc>
          <w:tcPr>
            <w:tcW w:w="3090" w:type="dxa"/>
            <w:tcBorders>
              <w:top w:val="nil"/>
              <w:bottom w:val="nil"/>
            </w:tcBorders>
          </w:tcPr>
          <w:p w14:paraId="3678854B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>100 mikrogramm/ml koncentrátum oldatos</w:t>
            </w:r>
          </w:p>
        </w:tc>
        <w:tc>
          <w:tcPr>
            <w:tcW w:w="3119" w:type="dxa"/>
            <w:tcBorders>
              <w:top w:val="nil"/>
              <w:bottom w:val="nil"/>
            </w:tcBorders>
          </w:tcPr>
          <w:p w14:paraId="489E6C0E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>Hígításra használt oldat térfogata</w:t>
            </w:r>
          </w:p>
        </w:tc>
        <w:tc>
          <w:tcPr>
            <w:tcW w:w="2722" w:type="dxa"/>
            <w:tcBorders>
              <w:top w:val="nil"/>
              <w:bottom w:val="nil"/>
            </w:tcBorders>
          </w:tcPr>
          <w:p w14:paraId="00A43ED0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>Infúzió teljes térfogata</w:t>
            </w:r>
          </w:p>
        </w:tc>
      </w:tr>
      <w:tr w:rsidR="003F4E45" w:rsidRPr="003F4E45" w14:paraId="76AC23D9" w14:textId="77777777" w:rsidTr="00E42230">
        <w:trPr>
          <w:trHeight w:hRule="exact" w:val="256"/>
        </w:trPr>
        <w:tc>
          <w:tcPr>
            <w:tcW w:w="3090" w:type="dxa"/>
            <w:tcBorders>
              <w:top w:val="nil"/>
            </w:tcBorders>
          </w:tcPr>
          <w:p w14:paraId="03850EC8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b/>
                <w:snapToGrid w:val="0"/>
                <w:szCs w:val="24"/>
                <w:lang w:val="en-GB" w:eastAsia="zh-CN"/>
              </w:rPr>
              <w:t>infúzióhoz</w:t>
            </w:r>
            <w:r w:rsidRPr="003F4E45">
              <w:rPr>
                <w:rFonts w:ascii="Times New Roman" w:eastAsia="SimSun" w:hAnsi="Times New Roman" w:cs="Times New Roman"/>
                <w:b/>
                <w:snapToGrid w:val="0"/>
                <w:lang w:eastAsia="zh-CN"/>
              </w:rPr>
              <w:t xml:space="preserve"> térfogata</w:t>
            </w:r>
          </w:p>
        </w:tc>
        <w:tc>
          <w:tcPr>
            <w:tcW w:w="3119" w:type="dxa"/>
            <w:tcBorders>
              <w:top w:val="nil"/>
            </w:tcBorders>
          </w:tcPr>
          <w:p w14:paraId="2294C4AF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</w:p>
        </w:tc>
        <w:tc>
          <w:tcPr>
            <w:tcW w:w="2722" w:type="dxa"/>
            <w:tcBorders>
              <w:top w:val="nil"/>
            </w:tcBorders>
          </w:tcPr>
          <w:p w14:paraId="404A1FA0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</w:p>
        </w:tc>
      </w:tr>
      <w:tr w:rsidR="003F4E45" w:rsidRPr="003F4E45" w14:paraId="130DF69A" w14:textId="77777777" w:rsidTr="00E42230">
        <w:trPr>
          <w:trHeight w:hRule="exact" w:val="364"/>
        </w:trPr>
        <w:tc>
          <w:tcPr>
            <w:tcW w:w="3090" w:type="dxa"/>
            <w:vAlign w:val="center"/>
          </w:tcPr>
          <w:p w14:paraId="44E83D29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4 ml</w:t>
            </w:r>
          </w:p>
        </w:tc>
        <w:tc>
          <w:tcPr>
            <w:tcW w:w="3119" w:type="dxa"/>
            <w:vAlign w:val="center"/>
          </w:tcPr>
          <w:p w14:paraId="1C7F1527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46 ml</w:t>
            </w:r>
          </w:p>
        </w:tc>
        <w:tc>
          <w:tcPr>
            <w:tcW w:w="2722" w:type="dxa"/>
            <w:vAlign w:val="center"/>
          </w:tcPr>
          <w:p w14:paraId="525B490A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50 ml</w:t>
            </w:r>
          </w:p>
        </w:tc>
      </w:tr>
      <w:tr w:rsidR="003F4E45" w:rsidRPr="003F4E45" w14:paraId="7D18834C" w14:textId="77777777" w:rsidTr="00E42230">
        <w:trPr>
          <w:trHeight w:hRule="exact" w:val="334"/>
        </w:trPr>
        <w:tc>
          <w:tcPr>
            <w:tcW w:w="3090" w:type="dxa"/>
            <w:vAlign w:val="center"/>
          </w:tcPr>
          <w:p w14:paraId="19BA2FFD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8 ml</w:t>
            </w:r>
          </w:p>
        </w:tc>
        <w:tc>
          <w:tcPr>
            <w:tcW w:w="3119" w:type="dxa"/>
            <w:vAlign w:val="center"/>
          </w:tcPr>
          <w:p w14:paraId="16CFBFAD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92 ml</w:t>
            </w:r>
          </w:p>
        </w:tc>
        <w:tc>
          <w:tcPr>
            <w:tcW w:w="2722" w:type="dxa"/>
            <w:vAlign w:val="center"/>
          </w:tcPr>
          <w:p w14:paraId="3AF8FD41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100 ml</w:t>
            </w:r>
          </w:p>
        </w:tc>
      </w:tr>
      <w:tr w:rsidR="003F4E45" w:rsidRPr="003F4E45" w14:paraId="4163D16C" w14:textId="77777777" w:rsidTr="00E42230">
        <w:trPr>
          <w:trHeight w:hRule="exact" w:val="325"/>
        </w:trPr>
        <w:tc>
          <w:tcPr>
            <w:tcW w:w="3090" w:type="dxa"/>
            <w:vAlign w:val="center"/>
          </w:tcPr>
          <w:p w14:paraId="3071EEE6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20 ml</w:t>
            </w:r>
          </w:p>
        </w:tc>
        <w:tc>
          <w:tcPr>
            <w:tcW w:w="3119" w:type="dxa"/>
            <w:vAlign w:val="center"/>
          </w:tcPr>
          <w:p w14:paraId="1DE6C3CD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230 ml</w:t>
            </w:r>
          </w:p>
        </w:tc>
        <w:tc>
          <w:tcPr>
            <w:tcW w:w="2722" w:type="dxa"/>
            <w:vAlign w:val="center"/>
          </w:tcPr>
          <w:p w14:paraId="38F24592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250 ml</w:t>
            </w:r>
          </w:p>
        </w:tc>
      </w:tr>
      <w:tr w:rsidR="003F4E45" w:rsidRPr="003F4E45" w14:paraId="18F389B3" w14:textId="77777777" w:rsidTr="00E42230">
        <w:trPr>
          <w:trHeight w:hRule="exact" w:val="331"/>
        </w:trPr>
        <w:tc>
          <w:tcPr>
            <w:tcW w:w="3090" w:type="dxa"/>
            <w:vAlign w:val="center"/>
          </w:tcPr>
          <w:p w14:paraId="2D65FED7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40 ml</w:t>
            </w:r>
          </w:p>
        </w:tc>
        <w:tc>
          <w:tcPr>
            <w:tcW w:w="3119" w:type="dxa"/>
            <w:vAlign w:val="center"/>
          </w:tcPr>
          <w:p w14:paraId="3CEE5972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460 ml</w:t>
            </w:r>
          </w:p>
        </w:tc>
        <w:tc>
          <w:tcPr>
            <w:tcW w:w="2722" w:type="dxa"/>
            <w:vAlign w:val="center"/>
          </w:tcPr>
          <w:p w14:paraId="1EEA2E00" w14:textId="77777777" w:rsidR="003F4E45" w:rsidRPr="003F4E45" w:rsidRDefault="003F4E45" w:rsidP="003F4E45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snapToGrid w:val="0"/>
                <w:lang w:eastAsia="zh-CN"/>
              </w:rPr>
            </w:pPr>
            <w:r w:rsidRPr="003F4E45">
              <w:rPr>
                <w:rFonts w:ascii="Times New Roman" w:eastAsia="SimSun" w:hAnsi="Times New Roman" w:cs="Times New Roman"/>
                <w:snapToGrid w:val="0"/>
                <w:lang w:eastAsia="zh-CN"/>
              </w:rPr>
              <w:t>500 ml</w:t>
            </w:r>
          </w:p>
        </w:tc>
      </w:tr>
    </w:tbl>
    <w:p w14:paraId="51F64762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701D4CA5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Az oldatot finoman össze kell rázni, hogy jól elkeveredjen.</w:t>
      </w:r>
    </w:p>
    <w:p w14:paraId="2F12522D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6CE7421D" w14:textId="648321C6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A gyógyszert alkalmazás előtt szabad szemmel </w:t>
      </w:r>
      <w:r w:rsidR="002A0185" w:rsidRPr="003F4E45">
        <w:rPr>
          <w:rFonts w:ascii="Times New Roman" w:eastAsia="SimSun" w:hAnsi="Times New Roman" w:cs="Times New Roman"/>
          <w:snapToGrid w:val="0"/>
          <w:lang w:eastAsia="zh-CN"/>
        </w:rPr>
        <w:t>meg</w:t>
      </w:r>
      <w:r w:rsidR="002A0185">
        <w:rPr>
          <w:rFonts w:ascii="Times New Roman" w:eastAsia="SimSun" w:hAnsi="Times New Roman" w:cs="Times New Roman"/>
          <w:snapToGrid w:val="0"/>
          <w:lang w:eastAsia="zh-CN"/>
        </w:rPr>
        <w:t xml:space="preserve"> </w:t>
      </w:r>
      <w:r w:rsidR="009966AD" w:rsidRPr="003F4E45">
        <w:rPr>
          <w:rFonts w:ascii="Times New Roman" w:eastAsia="SimSun" w:hAnsi="Times New Roman" w:cs="Times New Roman"/>
          <w:snapToGrid w:val="0"/>
          <w:lang w:eastAsia="zh-CN"/>
        </w:rPr>
        <w:t xml:space="preserve">kell 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vizsgálni, hogy nincsenek</w:t>
      </w:r>
      <w:r w:rsidR="002A0185">
        <w:rPr>
          <w:rFonts w:ascii="Times New Roman" w:eastAsia="SimSun" w:hAnsi="Times New Roman" w:cs="Times New Roman"/>
          <w:snapToGrid w:val="0"/>
          <w:lang w:eastAsia="zh-CN"/>
        </w:rPr>
        <w:t>-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e benne részecskék vagy nem látható-e benne elszíneződés.</w:t>
      </w:r>
    </w:p>
    <w:p w14:paraId="7EE05475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7F150B81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u w:val="single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u w:val="single"/>
          <w:lang w:eastAsia="zh-CN"/>
        </w:rPr>
        <w:t>A Dexmedetomidine Kalceks kompatibilitását az alábbi intravénás folyadékokkal és gyógyszerekkel történő együttes alkalmazás esetén igazolták:</w:t>
      </w:r>
    </w:p>
    <w:p w14:paraId="65674F91" w14:textId="7EB1E1E0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Ringer-laktát, 5%-os glükóz oldat, 9 mg/ml koncentrációjú (0,9%-os) nátrium-klorid oldatos injekció, 200 mg/ml</w:t>
      </w:r>
      <w:r w:rsidR="002A0185">
        <w:rPr>
          <w:rFonts w:ascii="Times New Roman" w:eastAsia="SimSun" w:hAnsi="Times New Roman" w:cs="Times New Roman"/>
          <w:snapToGrid w:val="0"/>
          <w:lang w:eastAsia="zh-CN"/>
        </w:rPr>
        <w:t>-es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 (20%</w:t>
      </w:r>
      <w:r w:rsidR="002A0185">
        <w:rPr>
          <w:rFonts w:ascii="Times New Roman" w:eastAsia="SimSun" w:hAnsi="Times New Roman" w:cs="Times New Roman"/>
          <w:snapToGrid w:val="0"/>
          <w:lang w:eastAsia="zh-CN"/>
        </w:rPr>
        <w:t>-os</w:t>
      </w:r>
      <w:r w:rsidRPr="003F4E45">
        <w:rPr>
          <w:rFonts w:ascii="Times New Roman" w:eastAsia="SimSun" w:hAnsi="Times New Roman" w:cs="Times New Roman"/>
          <w:snapToGrid w:val="0"/>
          <w:lang w:eastAsia="zh-CN"/>
        </w:rPr>
        <w:t>) mannit, tiopentál-nátrium, etomidát, vekurónium-bromid, pankurónium-bromid, szukcinilkolin, atrakurium-bezilát, mivakurium-klorid, rokurónium-bromid, glikopirrolát-bromid, fenilefrin-HCl, atropin-szulfát, dopamin, noradrenalin, dobutamin, midazolám, morfin-szulfát, fentanil-citrát és plazmahelyettesítő.</w:t>
      </w:r>
    </w:p>
    <w:p w14:paraId="476469AF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723729A6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3F4E45">
        <w:rPr>
          <w:rFonts w:ascii="Times New Roman" w:eastAsia="SimSun" w:hAnsi="Times New Roman" w:cs="Times New Roman"/>
          <w:snapToGrid w:val="0"/>
          <w:lang w:eastAsia="zh-CN"/>
        </w:rPr>
        <w:t>Bármilyen fel nem használt gyógyszer, illetve hulladékanyag megsemmisítését a gyógyszerekre vonatkozó előírások szerint kell végrehajtani.</w:t>
      </w:r>
    </w:p>
    <w:p w14:paraId="4945C5A8" w14:textId="77777777" w:rsid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41C4E587" w14:textId="77777777" w:rsidR="00FD19CE" w:rsidRPr="00C70FF1" w:rsidRDefault="00FD19CE" w:rsidP="00C70FF1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snapToGrid w:val="0"/>
        </w:rPr>
      </w:pPr>
      <w:r w:rsidRPr="00C70FF1">
        <w:rPr>
          <w:rFonts w:ascii="Times New Roman" w:eastAsia="SimSun" w:hAnsi="Times New Roman" w:cs="Times New Roman"/>
          <w:b/>
          <w:snapToGrid w:val="0"/>
          <w:lang w:eastAsia="zh-CN"/>
        </w:rPr>
        <w:t>Megjegyzés:</w:t>
      </w:r>
      <w:r w:rsidRPr="00C70FF1">
        <w:rPr>
          <w:rFonts w:ascii="Times New Roman" w:eastAsia="SimSun" w:hAnsi="Times New Roman" w:cs="Times New Roman"/>
          <w:snapToGrid w:val="0"/>
          <w:lang w:eastAsia="zh-CN"/>
        </w:rPr>
        <w:t xml:space="preserve"> </w:t>
      </w:r>
      <w:r w:rsidRPr="00C70FF1">
        <w:rPr>
          <w:rFonts w:ascii="Times New Roman" w:eastAsia="SimSun" w:hAnsi="Times New Roman" w:cs="Times New Roman"/>
          <w:snapToGrid w:val="0"/>
          <w:lang w:eastAsia="zh-CN"/>
        </w:rPr>
        <w:sym w:font="Wingdings" w:char="F058"/>
      </w:r>
      <w:r w:rsidRPr="00C70FF1">
        <w:rPr>
          <w:rFonts w:ascii="Times New Roman" w:eastAsia="SimSun" w:hAnsi="Times New Roman" w:cs="Times New Roman"/>
          <w:snapToGrid w:val="0"/>
          <w:lang w:eastAsia="zh-CN"/>
        </w:rPr>
        <w:t xml:space="preserve"> (egy kereszt)</w:t>
      </w:r>
    </w:p>
    <w:p w14:paraId="626FA60D" w14:textId="78DA8986" w:rsidR="00FD19CE" w:rsidRPr="002647A4" w:rsidRDefault="00FD19CE" w:rsidP="00C70FF1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/>
          <w:b/>
          <w:i/>
          <w:snapToGrid w:val="0"/>
          <w:lang w:eastAsia="zh-CN"/>
        </w:rPr>
      </w:pPr>
      <w:r w:rsidRPr="00C70FF1">
        <w:rPr>
          <w:rFonts w:ascii="Times New Roman" w:eastAsia="SimSun" w:hAnsi="Times New Roman" w:cs="Times New Roman"/>
          <w:snapToGrid w:val="0"/>
          <w:lang w:eastAsia="zh-CN"/>
        </w:rPr>
        <w:t xml:space="preserve">Osztályozás: </w:t>
      </w:r>
      <w:r w:rsidRPr="002647A4">
        <w:rPr>
          <w:rFonts w:ascii="Times New Roman" w:eastAsia="SimSun" w:hAnsi="Times New Roman" w:cs="Times New Roman"/>
          <w:b/>
          <w:snapToGrid w:val="0"/>
          <w:lang w:eastAsia="zh-CN"/>
        </w:rPr>
        <w:t>II./3 csoport</w:t>
      </w:r>
    </w:p>
    <w:p w14:paraId="704238AE" w14:textId="28E98F5C" w:rsidR="00FD19CE" w:rsidRPr="00C70FF1" w:rsidRDefault="00FD19CE" w:rsidP="00C70FF1">
      <w:pPr>
        <w:pStyle w:val="Cmsor2"/>
        <w:keepNext w:val="0"/>
        <w:numPr>
          <w:ilvl w:val="0"/>
          <w:numId w:val="0"/>
        </w:numPr>
        <w:spacing w:before="0" w:after="0" w:line="240" w:lineRule="auto"/>
        <w:rPr>
          <w:rFonts w:ascii="Times New Roman" w:eastAsia="SimSun" w:hAnsi="Times New Roman"/>
          <w:b w:val="0"/>
          <w:i w:val="0"/>
          <w:snapToGrid w:val="0"/>
          <w:sz w:val="22"/>
          <w:szCs w:val="22"/>
        </w:rPr>
      </w:pPr>
      <w:r w:rsidRPr="00C70FF1">
        <w:rPr>
          <w:rFonts w:ascii="Times New Roman" w:eastAsia="SimSun" w:hAnsi="Times New Roman"/>
          <w:b w:val="0"/>
          <w:i w:val="0"/>
          <w:snapToGrid w:val="0"/>
          <w:sz w:val="22"/>
          <w:szCs w:val="22"/>
        </w:rPr>
        <w:t>Korlátozott érvényű orvosi rendelvényhez kötött, az egészségügyről s</w:t>
      </w:r>
      <w:r w:rsidRPr="00FD19CE">
        <w:rPr>
          <w:rFonts w:ascii="Times New Roman" w:eastAsia="SimSun" w:hAnsi="Times New Roman"/>
          <w:b w:val="0"/>
          <w:i w:val="0"/>
          <w:snapToGrid w:val="0"/>
          <w:sz w:val="22"/>
          <w:szCs w:val="22"/>
        </w:rPr>
        <w:t>zóló 1997. évi CLIV. Törvény 3.</w:t>
      </w:r>
      <w:r>
        <w:rPr>
          <w:rFonts w:ascii="Times New Roman" w:eastAsia="SimSun" w:hAnsi="Times New Roman"/>
          <w:b w:val="0"/>
          <w:i w:val="0"/>
          <w:snapToGrid w:val="0"/>
          <w:sz w:val="22"/>
          <w:szCs w:val="22"/>
        </w:rPr>
        <w:t> </w:t>
      </w:r>
      <w:r w:rsidRPr="00C70FF1">
        <w:rPr>
          <w:rFonts w:ascii="Times New Roman" w:eastAsia="SimSun" w:hAnsi="Times New Roman"/>
          <w:b w:val="0"/>
          <w:i w:val="0"/>
          <w:snapToGrid w:val="0"/>
          <w:sz w:val="22"/>
          <w:szCs w:val="22"/>
        </w:rPr>
        <w:t>§-ának ga) pontja szerinti rendelőintézeti járóbeteg-szakellátást vagy fekvőbeteg-szakellátást nyújtó szolgáltatók által biztosított körülmények között alkalmazható gyógyszer (I).</w:t>
      </w:r>
    </w:p>
    <w:p w14:paraId="6AFFE49C" w14:textId="77777777" w:rsidR="00FD19CE" w:rsidRPr="003F4E45" w:rsidRDefault="00FD19CE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14BC9DB8" w14:textId="77777777" w:rsidR="003F4E45" w:rsidRPr="003F4E45" w:rsidRDefault="003F4E45" w:rsidP="003F4E45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</w:p>
    <w:p w14:paraId="22FB4D99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3F4E45">
        <w:rPr>
          <w:rFonts w:ascii="Times New Roman" w:eastAsia="Times New Roman" w:hAnsi="Times New Roman" w:cs="Times New Roman"/>
          <w:b/>
        </w:rPr>
        <w:t>7.</w:t>
      </w:r>
      <w:r w:rsidRPr="003F4E45">
        <w:rPr>
          <w:rFonts w:ascii="Times New Roman" w:eastAsia="Times New Roman" w:hAnsi="Times New Roman" w:cs="Times New Roman"/>
          <w:b/>
        </w:rPr>
        <w:tab/>
        <w:t>A FORGALOMBA HOZATALI ENGEDÉLY JOGOSULTJA</w:t>
      </w:r>
    </w:p>
    <w:p w14:paraId="1DDCB170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</w:p>
    <w:p w14:paraId="368FDAC6" w14:textId="77777777" w:rsidR="003F4E45" w:rsidRPr="00A25CA8" w:rsidRDefault="003F4E45" w:rsidP="003F4E45">
      <w:pPr>
        <w:keepNext/>
        <w:tabs>
          <w:tab w:val="left" w:pos="567"/>
        </w:tabs>
        <w:spacing w:after="0" w:line="260" w:lineRule="exact"/>
        <w:jc w:val="both"/>
        <w:rPr>
          <w:rFonts w:ascii="Times New Roman" w:eastAsia="SimSun" w:hAnsi="Times New Roman" w:cs="Times New Roman"/>
          <w:snapToGrid w:val="0"/>
          <w:lang w:val="pt-PT" w:eastAsia="zh-CN"/>
        </w:rPr>
      </w:pPr>
      <w:bookmarkStart w:id="14" w:name="_Hlk536082236"/>
      <w:r w:rsidRPr="00A25CA8">
        <w:rPr>
          <w:rFonts w:ascii="Times New Roman" w:eastAsia="SimSun" w:hAnsi="Times New Roman" w:cs="Times New Roman"/>
          <w:snapToGrid w:val="0"/>
          <w:lang w:val="pt-PT" w:eastAsia="zh-CN"/>
        </w:rPr>
        <w:t>AS KALCEKS</w:t>
      </w:r>
    </w:p>
    <w:p w14:paraId="47C8A38A" w14:textId="15B3A22B" w:rsidR="003F4E45" w:rsidRPr="00A25CA8" w:rsidRDefault="003F4E45" w:rsidP="003F4E45">
      <w:pPr>
        <w:keepNext/>
        <w:tabs>
          <w:tab w:val="left" w:pos="567"/>
        </w:tabs>
        <w:spacing w:after="0" w:line="260" w:lineRule="exact"/>
        <w:jc w:val="both"/>
        <w:rPr>
          <w:rFonts w:ascii="Times New Roman" w:eastAsia="SimSun" w:hAnsi="Times New Roman" w:cs="Times New Roman"/>
          <w:snapToGrid w:val="0"/>
          <w:lang w:val="pt-PT" w:eastAsia="zh-CN"/>
        </w:rPr>
      </w:pPr>
      <w:r w:rsidRPr="00A25CA8">
        <w:rPr>
          <w:rFonts w:ascii="Times New Roman" w:eastAsia="SimSun" w:hAnsi="Times New Roman" w:cs="Times New Roman"/>
          <w:snapToGrid w:val="0"/>
          <w:lang w:val="pt-PT" w:eastAsia="zh-CN"/>
        </w:rPr>
        <w:t xml:space="preserve">Krustpils iela </w:t>
      </w:r>
      <w:r w:rsidR="00DE298D">
        <w:rPr>
          <w:rFonts w:ascii="Times New Roman" w:eastAsia="SimSun" w:hAnsi="Times New Roman" w:cs="Times New Roman"/>
          <w:snapToGrid w:val="0"/>
          <w:lang w:val="pt-PT" w:eastAsia="zh-CN"/>
        </w:rPr>
        <w:t>71E</w:t>
      </w:r>
      <w:r w:rsidRPr="00A25CA8">
        <w:rPr>
          <w:rFonts w:ascii="Times New Roman" w:eastAsia="SimSun" w:hAnsi="Times New Roman" w:cs="Times New Roman"/>
          <w:snapToGrid w:val="0"/>
          <w:lang w:val="pt-PT" w:eastAsia="zh-CN"/>
        </w:rPr>
        <w:t>, Rīga, LV-1057</w:t>
      </w:r>
    </w:p>
    <w:p w14:paraId="7736B527" w14:textId="77777777" w:rsidR="003F4E45" w:rsidRPr="00844021" w:rsidRDefault="003F4E45" w:rsidP="003F4E45">
      <w:pPr>
        <w:keepNext/>
        <w:tabs>
          <w:tab w:val="left" w:pos="567"/>
        </w:tabs>
        <w:spacing w:after="0" w:line="260" w:lineRule="exact"/>
        <w:jc w:val="both"/>
        <w:rPr>
          <w:rFonts w:ascii="Times New Roman" w:eastAsia="SimSun" w:hAnsi="Times New Roman" w:cs="Times New Roman"/>
          <w:snapToGrid w:val="0"/>
          <w:lang w:val="pt-PT" w:eastAsia="zh-CN"/>
        </w:rPr>
      </w:pPr>
      <w:r w:rsidRPr="00844021">
        <w:rPr>
          <w:rFonts w:ascii="Times New Roman" w:eastAsia="SimSun" w:hAnsi="Times New Roman" w:cs="Times New Roman"/>
          <w:snapToGrid w:val="0"/>
          <w:lang w:val="pt-PT" w:eastAsia="zh-CN"/>
        </w:rPr>
        <w:t>Lettország</w:t>
      </w:r>
    </w:p>
    <w:p w14:paraId="08D09913" w14:textId="77777777" w:rsidR="003F4E45" w:rsidRPr="00844021" w:rsidRDefault="003F4E45" w:rsidP="003F4E45">
      <w:pPr>
        <w:keepNext/>
        <w:tabs>
          <w:tab w:val="left" w:pos="567"/>
        </w:tabs>
        <w:spacing w:after="0" w:line="260" w:lineRule="exact"/>
        <w:jc w:val="both"/>
        <w:rPr>
          <w:rFonts w:ascii="Times New Roman" w:eastAsia="SimSun" w:hAnsi="Times New Roman" w:cs="Times New Roman"/>
          <w:snapToGrid w:val="0"/>
          <w:lang w:val="pt-PT" w:eastAsia="zh-CN"/>
        </w:rPr>
      </w:pPr>
      <w:r w:rsidRPr="00844021">
        <w:rPr>
          <w:rFonts w:ascii="Times New Roman" w:eastAsia="SimSun" w:hAnsi="Times New Roman" w:cs="Times New Roman"/>
          <w:snapToGrid w:val="0"/>
          <w:lang w:val="pt-PT" w:eastAsia="zh-CN"/>
        </w:rPr>
        <w:t>Tel.: +371 67083320</w:t>
      </w:r>
    </w:p>
    <w:p w14:paraId="458D23C7" w14:textId="77777777" w:rsidR="003F4E45" w:rsidRPr="005E6A9A" w:rsidRDefault="003F4E45" w:rsidP="003F4E45">
      <w:pPr>
        <w:tabs>
          <w:tab w:val="left" w:pos="567"/>
        </w:tabs>
        <w:spacing w:after="0" w:line="260" w:lineRule="exact"/>
        <w:jc w:val="both"/>
        <w:rPr>
          <w:rFonts w:ascii="Times New Roman" w:eastAsia="SimSun" w:hAnsi="Times New Roman" w:cs="Times New Roman"/>
          <w:snapToGrid w:val="0"/>
          <w:lang w:val="it-IT" w:eastAsia="zh-CN"/>
        </w:rPr>
      </w:pPr>
      <w:r w:rsidRPr="005E6A9A">
        <w:rPr>
          <w:rFonts w:ascii="Times New Roman" w:eastAsia="SimSun" w:hAnsi="Times New Roman" w:cs="Times New Roman"/>
          <w:snapToGrid w:val="0"/>
          <w:lang w:val="it-IT" w:eastAsia="zh-CN"/>
        </w:rPr>
        <w:t>E-mail: kalceks@kalceks.lv</w:t>
      </w:r>
    </w:p>
    <w:bookmarkEnd w:id="14"/>
    <w:p w14:paraId="52A253C5" w14:textId="698ACDDA" w:rsid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0D080DC6" w14:textId="02856BEC" w:rsidR="00F44DFA" w:rsidRDefault="00F44DFA" w:rsidP="003F4E45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</w:p>
    <w:p w14:paraId="6C7FB0FB" w14:textId="77777777" w:rsidR="003F4E45" w:rsidRPr="003F4E45" w:rsidRDefault="003F4E45" w:rsidP="002647A4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</w:rPr>
      </w:pPr>
      <w:r w:rsidRPr="003F4E45">
        <w:rPr>
          <w:rFonts w:ascii="Times New Roman" w:eastAsia="Times New Roman" w:hAnsi="Times New Roman" w:cs="Times New Roman"/>
          <w:b/>
        </w:rPr>
        <w:t>8.</w:t>
      </w:r>
      <w:r w:rsidRPr="003F4E45">
        <w:rPr>
          <w:rFonts w:ascii="Times New Roman" w:eastAsia="Times New Roman" w:hAnsi="Times New Roman" w:cs="Times New Roman"/>
          <w:b/>
        </w:rPr>
        <w:tab/>
        <w:t>A FORGALOMBA HOZATALI ENGEDÉLY SZÁMA(I)</w:t>
      </w:r>
    </w:p>
    <w:p w14:paraId="79B581B2" w14:textId="68623148" w:rsidR="003F4E45" w:rsidRDefault="003F4E45" w:rsidP="003F4E45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</w:p>
    <w:p w14:paraId="5A99F4C1" w14:textId="07998FE0" w:rsidR="00F44DFA" w:rsidRPr="002647A4" w:rsidRDefault="00F44DFA" w:rsidP="00F44DFA">
      <w:pPr>
        <w:pStyle w:val="NormlWeb"/>
        <w:rPr>
          <w:sz w:val="22"/>
          <w:szCs w:val="22"/>
          <w:lang w:eastAsia="en-GB"/>
        </w:rPr>
      </w:pPr>
      <w:r w:rsidRPr="002647A4">
        <w:rPr>
          <w:sz w:val="22"/>
          <w:szCs w:val="22"/>
        </w:rPr>
        <w:t>OGYI-T-23604/01</w:t>
      </w:r>
      <w:r w:rsidR="00636E61">
        <w:rPr>
          <w:sz w:val="22"/>
          <w:szCs w:val="22"/>
        </w:rPr>
        <w:tab/>
      </w:r>
      <w:r w:rsidRPr="002647A4">
        <w:rPr>
          <w:sz w:val="22"/>
          <w:szCs w:val="22"/>
        </w:rPr>
        <w:t>5</w:t>
      </w:r>
      <w:r w:rsidR="00F211F7">
        <w:rPr>
          <w:sz w:val="22"/>
          <w:szCs w:val="22"/>
        </w:rPr>
        <w:t> × </w:t>
      </w:r>
      <w:r w:rsidRPr="002647A4">
        <w:rPr>
          <w:sz w:val="22"/>
          <w:szCs w:val="22"/>
        </w:rPr>
        <w:t>2</w:t>
      </w:r>
      <w:r w:rsidR="00F211F7">
        <w:rPr>
          <w:sz w:val="22"/>
          <w:szCs w:val="22"/>
        </w:rPr>
        <w:t> </w:t>
      </w:r>
      <w:r w:rsidRPr="002647A4">
        <w:rPr>
          <w:sz w:val="22"/>
          <w:szCs w:val="22"/>
        </w:rPr>
        <w:t>ml</w:t>
      </w:r>
      <w:r w:rsidR="00636E61">
        <w:rPr>
          <w:sz w:val="22"/>
          <w:szCs w:val="22"/>
        </w:rPr>
        <w:tab/>
        <w:t>(2 ml-es, I</w:t>
      </w:r>
      <w:r w:rsidR="00D51ACA">
        <w:rPr>
          <w:sz w:val="22"/>
          <w:szCs w:val="22"/>
        </w:rPr>
        <w:t>-es</w:t>
      </w:r>
      <w:r w:rsidR="00636E61">
        <w:rPr>
          <w:sz w:val="22"/>
          <w:szCs w:val="22"/>
        </w:rPr>
        <w:t xml:space="preserve"> típusú, színtelen üvegampullában)</w:t>
      </w:r>
    </w:p>
    <w:p w14:paraId="5F4F89B8" w14:textId="628B7D18" w:rsidR="00F44DFA" w:rsidRPr="002647A4" w:rsidRDefault="00F44DFA" w:rsidP="00F44DFA">
      <w:pPr>
        <w:pStyle w:val="NormlWeb"/>
        <w:rPr>
          <w:sz w:val="22"/>
          <w:szCs w:val="22"/>
        </w:rPr>
      </w:pPr>
      <w:r w:rsidRPr="002647A4">
        <w:rPr>
          <w:sz w:val="22"/>
          <w:szCs w:val="22"/>
        </w:rPr>
        <w:t>OGYI-T-23604/02</w:t>
      </w:r>
      <w:r w:rsidR="00636E61">
        <w:rPr>
          <w:sz w:val="22"/>
          <w:szCs w:val="22"/>
        </w:rPr>
        <w:tab/>
      </w:r>
      <w:r w:rsidRPr="002647A4">
        <w:rPr>
          <w:sz w:val="22"/>
          <w:szCs w:val="22"/>
        </w:rPr>
        <w:t>25</w:t>
      </w:r>
      <w:r w:rsidR="00F211F7">
        <w:rPr>
          <w:sz w:val="22"/>
          <w:szCs w:val="22"/>
        </w:rPr>
        <w:t> × </w:t>
      </w:r>
      <w:r w:rsidRPr="002647A4">
        <w:rPr>
          <w:sz w:val="22"/>
          <w:szCs w:val="22"/>
        </w:rPr>
        <w:t>2</w:t>
      </w:r>
      <w:r w:rsidR="00F211F7">
        <w:rPr>
          <w:sz w:val="22"/>
          <w:szCs w:val="22"/>
        </w:rPr>
        <w:t> </w:t>
      </w:r>
      <w:r w:rsidRPr="002647A4">
        <w:rPr>
          <w:sz w:val="22"/>
          <w:szCs w:val="22"/>
        </w:rPr>
        <w:t>ml</w:t>
      </w:r>
      <w:r w:rsidR="00636E61">
        <w:rPr>
          <w:sz w:val="22"/>
          <w:szCs w:val="22"/>
        </w:rPr>
        <w:tab/>
        <w:t>(2 ml-es, I</w:t>
      </w:r>
      <w:r w:rsidR="001A7D84">
        <w:rPr>
          <w:sz w:val="22"/>
          <w:szCs w:val="22"/>
        </w:rPr>
        <w:t>-es</w:t>
      </w:r>
      <w:r w:rsidR="00636E61">
        <w:rPr>
          <w:sz w:val="22"/>
          <w:szCs w:val="22"/>
        </w:rPr>
        <w:t xml:space="preserve"> típusú, színtelen üvegampullában)</w:t>
      </w:r>
    </w:p>
    <w:p w14:paraId="08DAC5B0" w14:textId="1C4AF868" w:rsidR="00636E61" w:rsidRPr="004E5E00" w:rsidRDefault="00636E61" w:rsidP="00636E61">
      <w:pPr>
        <w:pStyle w:val="NormlWeb"/>
        <w:rPr>
          <w:sz w:val="22"/>
          <w:szCs w:val="22"/>
        </w:rPr>
      </w:pPr>
      <w:r>
        <w:rPr>
          <w:sz w:val="22"/>
          <w:szCs w:val="22"/>
        </w:rPr>
        <w:t>OGYI-T-23604/03</w:t>
      </w:r>
      <w:r>
        <w:rPr>
          <w:sz w:val="22"/>
          <w:szCs w:val="22"/>
        </w:rPr>
        <w:tab/>
        <w:t>1 × 4 </w:t>
      </w:r>
      <w:r w:rsidRPr="004E5E00">
        <w:rPr>
          <w:sz w:val="22"/>
          <w:szCs w:val="22"/>
        </w:rPr>
        <w:t>ml</w:t>
      </w:r>
      <w:r>
        <w:rPr>
          <w:sz w:val="22"/>
          <w:szCs w:val="22"/>
        </w:rPr>
        <w:tab/>
        <w:t>(4 ml-es, I</w:t>
      </w:r>
      <w:r w:rsidR="001A7D84">
        <w:rPr>
          <w:sz w:val="22"/>
          <w:szCs w:val="22"/>
        </w:rPr>
        <w:t>-es</w:t>
      </w:r>
      <w:r>
        <w:rPr>
          <w:sz w:val="22"/>
          <w:szCs w:val="22"/>
        </w:rPr>
        <w:t xml:space="preserve"> típusú, színtelen injekciós üvegben)</w:t>
      </w:r>
    </w:p>
    <w:p w14:paraId="4BDE9940" w14:textId="03287CD6" w:rsidR="00636E61" w:rsidRPr="004E5E00" w:rsidRDefault="00636E61" w:rsidP="00636E61">
      <w:pPr>
        <w:pStyle w:val="NormlWeb"/>
        <w:rPr>
          <w:sz w:val="22"/>
          <w:szCs w:val="22"/>
        </w:rPr>
      </w:pPr>
      <w:r>
        <w:rPr>
          <w:sz w:val="22"/>
          <w:szCs w:val="22"/>
        </w:rPr>
        <w:t>OGYI-T-23604/04</w:t>
      </w:r>
      <w:r>
        <w:rPr>
          <w:sz w:val="22"/>
          <w:szCs w:val="22"/>
        </w:rPr>
        <w:tab/>
        <w:t>4 × 4 </w:t>
      </w:r>
      <w:r w:rsidRPr="004E5E00">
        <w:rPr>
          <w:sz w:val="22"/>
          <w:szCs w:val="22"/>
        </w:rPr>
        <w:t>ml</w:t>
      </w:r>
      <w:r>
        <w:rPr>
          <w:sz w:val="22"/>
          <w:szCs w:val="22"/>
        </w:rPr>
        <w:tab/>
        <w:t>(4 ml-es, I</w:t>
      </w:r>
      <w:r w:rsidR="001A7D84">
        <w:rPr>
          <w:sz w:val="22"/>
          <w:szCs w:val="22"/>
        </w:rPr>
        <w:t>-es</w:t>
      </w:r>
      <w:r>
        <w:rPr>
          <w:sz w:val="22"/>
          <w:szCs w:val="22"/>
        </w:rPr>
        <w:t xml:space="preserve"> típusú, színtelen injekciós üvegben)</w:t>
      </w:r>
    </w:p>
    <w:p w14:paraId="35A9FB73" w14:textId="4349C30E" w:rsidR="00636E61" w:rsidRPr="004E5E00" w:rsidRDefault="00636E61" w:rsidP="00636E61">
      <w:pPr>
        <w:pStyle w:val="NormlWeb"/>
        <w:rPr>
          <w:sz w:val="22"/>
          <w:szCs w:val="22"/>
        </w:rPr>
      </w:pPr>
      <w:r>
        <w:rPr>
          <w:sz w:val="22"/>
          <w:szCs w:val="22"/>
        </w:rPr>
        <w:t>OGYI-T-23604/05</w:t>
      </w:r>
      <w:r>
        <w:rPr>
          <w:sz w:val="22"/>
          <w:szCs w:val="22"/>
        </w:rPr>
        <w:tab/>
        <w:t>1 × 10 </w:t>
      </w:r>
      <w:r w:rsidRPr="004E5E00">
        <w:rPr>
          <w:sz w:val="22"/>
          <w:szCs w:val="22"/>
        </w:rPr>
        <w:t>ml</w:t>
      </w:r>
      <w:r>
        <w:rPr>
          <w:sz w:val="22"/>
          <w:szCs w:val="22"/>
        </w:rPr>
        <w:tab/>
        <w:t>(10 ml-es, I</w:t>
      </w:r>
      <w:r w:rsidR="001A7D84">
        <w:rPr>
          <w:sz w:val="22"/>
          <w:szCs w:val="22"/>
        </w:rPr>
        <w:t>-es</w:t>
      </w:r>
      <w:r>
        <w:rPr>
          <w:sz w:val="22"/>
          <w:szCs w:val="22"/>
        </w:rPr>
        <w:t xml:space="preserve"> típusú, színtelen injekciós üvegben)</w:t>
      </w:r>
    </w:p>
    <w:p w14:paraId="3EE1DA49" w14:textId="7FCCDB75" w:rsidR="00F44DFA" w:rsidRDefault="00636E61" w:rsidP="00636E61">
      <w:pPr>
        <w:pStyle w:val="NormlWeb"/>
        <w:rPr>
          <w:sz w:val="22"/>
          <w:szCs w:val="22"/>
        </w:rPr>
      </w:pPr>
      <w:r>
        <w:rPr>
          <w:sz w:val="22"/>
          <w:szCs w:val="22"/>
        </w:rPr>
        <w:t>OGYI-T-23604/06</w:t>
      </w:r>
      <w:r>
        <w:rPr>
          <w:sz w:val="22"/>
          <w:szCs w:val="22"/>
        </w:rPr>
        <w:tab/>
        <w:t>4 × 10 </w:t>
      </w:r>
      <w:r w:rsidRPr="004E5E00">
        <w:rPr>
          <w:sz w:val="22"/>
          <w:szCs w:val="22"/>
        </w:rPr>
        <w:t>ml</w:t>
      </w:r>
      <w:r>
        <w:rPr>
          <w:sz w:val="22"/>
          <w:szCs w:val="22"/>
        </w:rPr>
        <w:tab/>
        <w:t>(10 ml-es, I</w:t>
      </w:r>
      <w:r w:rsidR="001A7D84">
        <w:rPr>
          <w:sz w:val="22"/>
          <w:szCs w:val="22"/>
        </w:rPr>
        <w:t>-es</w:t>
      </w:r>
      <w:r>
        <w:rPr>
          <w:sz w:val="22"/>
          <w:szCs w:val="22"/>
        </w:rPr>
        <w:t xml:space="preserve"> típusú, színtelen injekciós üvegben)</w:t>
      </w:r>
    </w:p>
    <w:p w14:paraId="1A098E72" w14:textId="77777777" w:rsidR="00F44DFA" w:rsidRPr="003F4E45" w:rsidRDefault="00F44DFA" w:rsidP="003F4E45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</w:p>
    <w:p w14:paraId="433D74E3" w14:textId="77777777" w:rsidR="003F4E45" w:rsidRPr="003F4E45" w:rsidRDefault="003F4E45" w:rsidP="003F4E45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snapToGrid w:val="0"/>
          <w:lang w:eastAsia="zh-CN"/>
        </w:rPr>
      </w:pPr>
    </w:p>
    <w:p w14:paraId="27B9FF9C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lang w:eastAsia="zh-CN"/>
        </w:rPr>
      </w:pPr>
      <w:r w:rsidRPr="003F4E45">
        <w:rPr>
          <w:rFonts w:ascii="Times New Roman" w:eastAsia="Times New Roman" w:hAnsi="Times New Roman" w:cs="Times New Roman"/>
          <w:b/>
        </w:rPr>
        <w:t>9.</w:t>
      </w:r>
      <w:r w:rsidRPr="003F4E45">
        <w:rPr>
          <w:rFonts w:ascii="Times New Roman" w:eastAsia="Times New Roman" w:hAnsi="Times New Roman" w:cs="Times New Roman"/>
          <w:b/>
        </w:rPr>
        <w:tab/>
        <w:t>A FORGALOMBA HOZATALI ENGEDÉLY ELSŐ KIADÁSÁNAK/ MEGÚJÍTÁSÁNAK</w:t>
      </w:r>
      <w:r w:rsidRPr="003F4E45">
        <w:rPr>
          <w:rFonts w:ascii="Times New Roman" w:eastAsia="SimSun" w:hAnsi="Times New Roman" w:cs="Times New Roman"/>
          <w:b/>
          <w:snapToGrid w:val="0"/>
          <w:lang w:eastAsia="zh-CN"/>
        </w:rPr>
        <w:t xml:space="preserve"> DÁTUMA</w:t>
      </w:r>
    </w:p>
    <w:p w14:paraId="258FC0AA" w14:textId="77777777" w:rsidR="003F4E45" w:rsidRPr="003F4E45" w:rsidRDefault="003F4E45" w:rsidP="003F4E45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C76CCA6" w14:textId="4D3FBD8E" w:rsidR="00C57505" w:rsidRPr="00CF6690" w:rsidRDefault="003F4E45" w:rsidP="00C57505">
      <w:pPr>
        <w:tabs>
          <w:tab w:val="left" w:pos="567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3F4E45">
        <w:rPr>
          <w:rFonts w:ascii="Times New Roman" w:eastAsia="Times New Roman" w:hAnsi="Times New Roman" w:cs="Times New Roman"/>
        </w:rPr>
        <w:t xml:space="preserve">A forgalomba hozatali engedély első kiadásának dátuma: </w:t>
      </w:r>
      <w:r w:rsidR="00C57505" w:rsidRPr="00C57505">
        <w:rPr>
          <w:rFonts w:ascii="Times New Roman" w:hAnsi="Times New Roman" w:cs="Times New Roman"/>
        </w:rPr>
        <w:t>2019.10.24.</w:t>
      </w:r>
      <w:r w:rsidR="00C57505" w:rsidRPr="00C57505">
        <w:rPr>
          <w:rFonts w:ascii="Times New Roman" w:hAnsi="Times New Roman" w:cs="Times New Roman"/>
        </w:rPr>
        <w:fldChar w:fldCharType="begin"/>
      </w:r>
      <w:r w:rsidR="00C57505" w:rsidRPr="00C57505">
        <w:rPr>
          <w:rFonts w:ascii="Times New Roman" w:hAnsi="Times New Roman" w:cs="Times New Roman"/>
        </w:rPr>
        <w:instrText xml:space="preserve"> EQ </w:instrText>
      </w:r>
      <w:r w:rsidR="00C57505" w:rsidRPr="00C57505">
        <w:rPr>
          <w:rFonts w:ascii="Times New Roman" w:hAnsi="Times New Roman" w:cs="Times New Roman"/>
        </w:rPr>
        <w:fldChar w:fldCharType="end"/>
      </w:r>
    </w:p>
    <w:p w14:paraId="062AEFD4" w14:textId="7F82DE37" w:rsidR="003F4E45" w:rsidRDefault="00710A9F" w:rsidP="00710A9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710A9F">
        <w:rPr>
          <w:rFonts w:ascii="Times New Roman" w:eastAsia="Times New Roman" w:hAnsi="Times New Roman" w:cs="Times New Roman"/>
        </w:rPr>
        <w:t>A forgalomba hozatali engedély legutóbbi megújításának dátuma:</w:t>
      </w:r>
      <w:r>
        <w:rPr>
          <w:rFonts w:ascii="Times New Roman" w:eastAsia="Times New Roman" w:hAnsi="Times New Roman" w:cs="Times New Roman"/>
        </w:rPr>
        <w:t xml:space="preserve"> 2024.09.10.</w:t>
      </w:r>
    </w:p>
    <w:p w14:paraId="013C7F70" w14:textId="77777777" w:rsidR="00710A9F" w:rsidRPr="003F4E45" w:rsidRDefault="00710A9F" w:rsidP="00710A9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83F4918" w14:textId="77777777" w:rsidR="003F4E45" w:rsidRPr="003F4E45" w:rsidRDefault="003F4E45" w:rsidP="003F4E45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6EE3F695" w14:textId="77777777" w:rsidR="003F4E45" w:rsidRPr="003F4E45" w:rsidRDefault="003F4E45" w:rsidP="003F4E45">
      <w:pP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lang w:eastAsia="zh-CN"/>
        </w:rPr>
      </w:pPr>
      <w:r w:rsidRPr="003F4E45">
        <w:rPr>
          <w:rFonts w:ascii="Times New Roman" w:eastAsia="Times New Roman" w:hAnsi="Times New Roman" w:cs="Times New Roman"/>
          <w:b/>
        </w:rPr>
        <w:t>10.</w:t>
      </w:r>
      <w:r w:rsidRPr="003F4E45">
        <w:rPr>
          <w:rFonts w:ascii="Times New Roman" w:eastAsia="Times New Roman" w:hAnsi="Times New Roman" w:cs="Times New Roman"/>
          <w:b/>
        </w:rPr>
        <w:tab/>
        <w:t>A SZÖVEG ELLENŐRZÉSÉNEK DÁTUMA</w:t>
      </w:r>
    </w:p>
    <w:p w14:paraId="3A779C4E" w14:textId="77777777" w:rsidR="003F4E45" w:rsidRPr="00CF6690" w:rsidRDefault="003F4E45" w:rsidP="003F4E45">
      <w:pP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</w:rPr>
      </w:pPr>
    </w:p>
    <w:p w14:paraId="2E0896A1" w14:textId="34250A9C" w:rsidR="0071372F" w:rsidRPr="006D0CDF" w:rsidRDefault="001E25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2026. május 30.</w:t>
      </w:r>
    </w:p>
    <w:sectPr w:rsidR="0071372F" w:rsidRPr="006D0CDF" w:rsidSect="003F26B6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C25ABB" w14:textId="77777777" w:rsidR="00D2322C" w:rsidRDefault="00D2322C">
      <w:pPr>
        <w:spacing w:after="0" w:line="240" w:lineRule="auto"/>
      </w:pPr>
      <w:r>
        <w:separator/>
      </w:r>
    </w:p>
  </w:endnote>
  <w:endnote w:type="continuationSeparator" w:id="0">
    <w:p w14:paraId="06C4BFB4" w14:textId="77777777" w:rsidR="00D2322C" w:rsidRDefault="00D232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14D9D6" w14:textId="3E54729B" w:rsidR="00E42230" w:rsidRPr="009803F7" w:rsidRDefault="00E42230" w:rsidP="00E42230">
    <w:pPr>
      <w:pStyle w:val="llb"/>
      <w:tabs>
        <w:tab w:val="right" w:pos="8931"/>
      </w:tabs>
      <w:ind w:right="96"/>
      <w:jc w:val="center"/>
      <w:rPr>
        <w:rFonts w:ascii="Times New Roman" w:hAnsi="Times New Roman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4B0885" w14:textId="0C14C5A9" w:rsidR="007C031D" w:rsidRPr="006D0CDF" w:rsidRDefault="00F57013" w:rsidP="006D0CDF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F57013">
      <w:rPr>
        <w:rFonts w:ascii="Times New Roman" w:hAnsi="Times New Roman"/>
        <w:sz w:val="18"/>
        <w:szCs w:val="18"/>
      </w:rPr>
      <w:t>NNGYK/ETGY/8024/2026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F9C6A0" w14:textId="77777777" w:rsidR="00D2322C" w:rsidRDefault="00D2322C">
      <w:pPr>
        <w:spacing w:after="0" w:line="240" w:lineRule="auto"/>
      </w:pPr>
      <w:r>
        <w:separator/>
      </w:r>
    </w:p>
  </w:footnote>
  <w:footnote w:type="continuationSeparator" w:id="0">
    <w:p w14:paraId="36CF3D32" w14:textId="77777777" w:rsidR="00D2322C" w:rsidRDefault="00D232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335F5" w14:textId="60F795FA" w:rsidR="00E42230" w:rsidRPr="002647A4" w:rsidRDefault="00E42230" w:rsidP="00E42230">
    <w:pPr>
      <w:pStyle w:val="lfej"/>
      <w:jc w:val="center"/>
      <w:rPr>
        <w:sz w:val="18"/>
        <w:szCs w:val="18"/>
      </w:rPr>
    </w:pPr>
    <w:r w:rsidRPr="002647A4">
      <w:rPr>
        <w:sz w:val="18"/>
        <w:szCs w:val="18"/>
      </w:rPr>
      <w:fldChar w:fldCharType="begin"/>
    </w:r>
    <w:r w:rsidRPr="002647A4">
      <w:rPr>
        <w:sz w:val="18"/>
        <w:szCs w:val="18"/>
      </w:rPr>
      <w:instrText>PAGE   \* MERGEFORMAT</w:instrText>
    </w:r>
    <w:r w:rsidRPr="002647A4">
      <w:rPr>
        <w:sz w:val="18"/>
        <w:szCs w:val="18"/>
      </w:rPr>
      <w:fldChar w:fldCharType="separate"/>
    </w:r>
    <w:r w:rsidR="002B672C" w:rsidRPr="002B672C">
      <w:rPr>
        <w:noProof/>
        <w:sz w:val="18"/>
        <w:szCs w:val="18"/>
        <w:lang w:val="hu-HU"/>
      </w:rPr>
      <w:t>14</w:t>
    </w:r>
    <w:r w:rsidRPr="002647A4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03F28CE"/>
    <w:multiLevelType w:val="hybridMultilevel"/>
    <w:tmpl w:val="22624A9A"/>
    <w:lvl w:ilvl="0" w:tplc="D94252D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CE71BD"/>
    <w:multiLevelType w:val="hybridMultilevel"/>
    <w:tmpl w:val="53AA08A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4D6C1C"/>
    <w:multiLevelType w:val="hybridMultilevel"/>
    <w:tmpl w:val="5CDA77B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6C5AE7"/>
    <w:multiLevelType w:val="hybridMultilevel"/>
    <w:tmpl w:val="55308B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7A1EBE"/>
    <w:multiLevelType w:val="hybridMultilevel"/>
    <w:tmpl w:val="3A900FD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005489"/>
    <w:multiLevelType w:val="hybridMultilevel"/>
    <w:tmpl w:val="D9A09220"/>
    <w:lvl w:ilvl="0" w:tplc="D94252D8">
      <w:start w:val="1"/>
      <w:numFmt w:val="bullet"/>
      <w:lvlText w:val="-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E45"/>
    <w:rsid w:val="00011F8A"/>
    <w:rsid w:val="00056CBD"/>
    <w:rsid w:val="00081370"/>
    <w:rsid w:val="00083929"/>
    <w:rsid w:val="000872EE"/>
    <w:rsid w:val="000A48DF"/>
    <w:rsid w:val="000B56E5"/>
    <w:rsid w:val="000D6DD2"/>
    <w:rsid w:val="000E6789"/>
    <w:rsid w:val="000F2534"/>
    <w:rsid w:val="00153136"/>
    <w:rsid w:val="001A7D84"/>
    <w:rsid w:val="001E25AD"/>
    <w:rsid w:val="001E59E8"/>
    <w:rsid w:val="001E7910"/>
    <w:rsid w:val="0024013D"/>
    <w:rsid w:val="002647A4"/>
    <w:rsid w:val="00274139"/>
    <w:rsid w:val="002A0185"/>
    <w:rsid w:val="002B672C"/>
    <w:rsid w:val="002D2A37"/>
    <w:rsid w:val="003322D8"/>
    <w:rsid w:val="003410F5"/>
    <w:rsid w:val="00353F64"/>
    <w:rsid w:val="003716AD"/>
    <w:rsid w:val="003B123C"/>
    <w:rsid w:val="003F26B6"/>
    <w:rsid w:val="003F4E45"/>
    <w:rsid w:val="004240B4"/>
    <w:rsid w:val="004710C5"/>
    <w:rsid w:val="00490F79"/>
    <w:rsid w:val="004979E9"/>
    <w:rsid w:val="004D11F1"/>
    <w:rsid w:val="004D2668"/>
    <w:rsid w:val="005064C0"/>
    <w:rsid w:val="0054480E"/>
    <w:rsid w:val="005E6A9A"/>
    <w:rsid w:val="005F0C5F"/>
    <w:rsid w:val="0060401D"/>
    <w:rsid w:val="00616C61"/>
    <w:rsid w:val="00636E61"/>
    <w:rsid w:val="006577A4"/>
    <w:rsid w:val="00670652"/>
    <w:rsid w:val="00692582"/>
    <w:rsid w:val="006B0823"/>
    <w:rsid w:val="006C729D"/>
    <w:rsid w:val="006D0CDF"/>
    <w:rsid w:val="006E04A8"/>
    <w:rsid w:val="006E08A6"/>
    <w:rsid w:val="00710A9F"/>
    <w:rsid w:val="0071372F"/>
    <w:rsid w:val="007234B3"/>
    <w:rsid w:val="00733E02"/>
    <w:rsid w:val="00752A88"/>
    <w:rsid w:val="00791D9A"/>
    <w:rsid w:val="007C031D"/>
    <w:rsid w:val="0083163C"/>
    <w:rsid w:val="0084167A"/>
    <w:rsid w:val="00844021"/>
    <w:rsid w:val="00846CF3"/>
    <w:rsid w:val="008A0B3A"/>
    <w:rsid w:val="008A7548"/>
    <w:rsid w:val="008B33B1"/>
    <w:rsid w:val="008E7442"/>
    <w:rsid w:val="009327DA"/>
    <w:rsid w:val="00953386"/>
    <w:rsid w:val="00953D92"/>
    <w:rsid w:val="0099188E"/>
    <w:rsid w:val="0099577F"/>
    <w:rsid w:val="00995C37"/>
    <w:rsid w:val="009966AD"/>
    <w:rsid w:val="009B211E"/>
    <w:rsid w:val="009D5D86"/>
    <w:rsid w:val="00A25CA8"/>
    <w:rsid w:val="00AA156F"/>
    <w:rsid w:val="00AE125E"/>
    <w:rsid w:val="00B1233B"/>
    <w:rsid w:val="00B349B7"/>
    <w:rsid w:val="00B42ECA"/>
    <w:rsid w:val="00B6389B"/>
    <w:rsid w:val="00B83A62"/>
    <w:rsid w:val="00B840AF"/>
    <w:rsid w:val="00B92C8C"/>
    <w:rsid w:val="00B94E21"/>
    <w:rsid w:val="00BA71F9"/>
    <w:rsid w:val="00C17B11"/>
    <w:rsid w:val="00C52349"/>
    <w:rsid w:val="00C57505"/>
    <w:rsid w:val="00C627E4"/>
    <w:rsid w:val="00C70003"/>
    <w:rsid w:val="00C70FF1"/>
    <w:rsid w:val="00C93938"/>
    <w:rsid w:val="00CF6690"/>
    <w:rsid w:val="00D2322C"/>
    <w:rsid w:val="00D40086"/>
    <w:rsid w:val="00D4444B"/>
    <w:rsid w:val="00D51ACA"/>
    <w:rsid w:val="00D837C8"/>
    <w:rsid w:val="00DE298D"/>
    <w:rsid w:val="00DF73CF"/>
    <w:rsid w:val="00E42230"/>
    <w:rsid w:val="00E74B9E"/>
    <w:rsid w:val="00E96B82"/>
    <w:rsid w:val="00EA50EA"/>
    <w:rsid w:val="00F00DB9"/>
    <w:rsid w:val="00F13C75"/>
    <w:rsid w:val="00F211F7"/>
    <w:rsid w:val="00F44DFA"/>
    <w:rsid w:val="00F57013"/>
    <w:rsid w:val="00FC19C8"/>
    <w:rsid w:val="00FD19CE"/>
    <w:rsid w:val="00FE6A3B"/>
    <w:rsid w:val="00FF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21C4F1C"/>
  <w15:docId w15:val="{F1343B8E-BCFC-45C5-BB7F-AD5B38690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qFormat/>
    <w:rsid w:val="003F4E45"/>
    <w:pPr>
      <w:numPr>
        <w:numId w:val="1"/>
      </w:numPr>
      <w:suppressAutoHyphens/>
      <w:spacing w:before="240" w:after="120" w:line="260" w:lineRule="exact"/>
      <w:outlineLvl w:val="0"/>
    </w:pPr>
    <w:rPr>
      <w:rFonts w:ascii="Times New Roman" w:eastAsia="Times New Roman" w:hAnsi="Times New Roman" w:cs="Times New Roman"/>
      <w:b/>
      <w:caps/>
      <w:sz w:val="26"/>
      <w:szCs w:val="20"/>
      <w:lang w:val="en-US" w:eastAsia="zh-CN"/>
    </w:rPr>
  </w:style>
  <w:style w:type="paragraph" w:styleId="Cmsor2">
    <w:name w:val="heading 2"/>
    <w:basedOn w:val="Norml"/>
    <w:next w:val="Norml"/>
    <w:link w:val="Cmsor2Char"/>
    <w:qFormat/>
    <w:rsid w:val="003F4E45"/>
    <w:pPr>
      <w:keepNext/>
      <w:numPr>
        <w:ilvl w:val="1"/>
        <w:numId w:val="1"/>
      </w:numPr>
      <w:suppressAutoHyphens/>
      <w:spacing w:before="240" w:after="60" w:line="260" w:lineRule="exact"/>
      <w:outlineLvl w:val="1"/>
    </w:pPr>
    <w:rPr>
      <w:rFonts w:ascii="Helvetica" w:eastAsia="Times New Roman" w:hAnsi="Helvetica" w:cs="Times New Roman"/>
      <w:b/>
      <w:i/>
      <w:sz w:val="24"/>
      <w:szCs w:val="20"/>
      <w:lang w:eastAsia="zh-CN"/>
    </w:rPr>
  </w:style>
  <w:style w:type="paragraph" w:styleId="Cmsor3">
    <w:name w:val="heading 3"/>
    <w:basedOn w:val="Norml"/>
    <w:next w:val="Norml"/>
    <w:link w:val="Cmsor3Char"/>
    <w:qFormat/>
    <w:rsid w:val="003F4E45"/>
    <w:pPr>
      <w:keepNext/>
      <w:keepLines/>
      <w:numPr>
        <w:ilvl w:val="2"/>
        <w:numId w:val="1"/>
      </w:numPr>
      <w:suppressAutoHyphens/>
      <w:spacing w:before="120" w:after="80" w:line="260" w:lineRule="exact"/>
      <w:outlineLvl w:val="2"/>
    </w:pPr>
    <w:rPr>
      <w:rFonts w:ascii="Times New Roman" w:eastAsia="Times New Roman" w:hAnsi="Times New Roman" w:cs="Times New Roman"/>
      <w:b/>
      <w:kern w:val="1"/>
      <w:sz w:val="24"/>
      <w:szCs w:val="20"/>
      <w:lang w:val="en-US" w:eastAsia="zh-CN"/>
    </w:rPr>
  </w:style>
  <w:style w:type="paragraph" w:styleId="Cmsor4">
    <w:name w:val="heading 4"/>
    <w:basedOn w:val="Norml"/>
    <w:next w:val="Norml"/>
    <w:link w:val="Cmsor4Char"/>
    <w:qFormat/>
    <w:rsid w:val="003F4E45"/>
    <w:pPr>
      <w:keepNext/>
      <w:numPr>
        <w:ilvl w:val="3"/>
        <w:numId w:val="1"/>
      </w:numPr>
      <w:suppressAutoHyphens/>
      <w:spacing w:after="0" w:line="260" w:lineRule="exact"/>
      <w:jc w:val="both"/>
      <w:outlineLvl w:val="3"/>
    </w:pPr>
    <w:rPr>
      <w:rFonts w:ascii="Times New Roman" w:eastAsia="Times New Roman" w:hAnsi="Times New Roman" w:cs="Times New Roman"/>
      <w:b/>
      <w:szCs w:val="20"/>
      <w:lang w:val="en-GB" w:eastAsia="zh-CN"/>
    </w:rPr>
  </w:style>
  <w:style w:type="paragraph" w:styleId="Cmsor5">
    <w:name w:val="heading 5"/>
    <w:basedOn w:val="Norml"/>
    <w:next w:val="Norml"/>
    <w:link w:val="Cmsor5Char"/>
    <w:qFormat/>
    <w:rsid w:val="003F4E45"/>
    <w:pPr>
      <w:keepNext/>
      <w:numPr>
        <w:ilvl w:val="4"/>
        <w:numId w:val="1"/>
      </w:numPr>
      <w:suppressAutoHyphens/>
      <w:spacing w:after="0" w:line="260" w:lineRule="exact"/>
      <w:jc w:val="both"/>
      <w:outlineLvl w:val="4"/>
    </w:pPr>
    <w:rPr>
      <w:rFonts w:ascii="Times New Roman" w:eastAsia="Times New Roman" w:hAnsi="Times New Roman" w:cs="Times New Roman"/>
      <w:szCs w:val="20"/>
      <w:lang w:val="en-GB" w:eastAsia="zh-CN"/>
    </w:rPr>
  </w:style>
  <w:style w:type="paragraph" w:styleId="Cmsor6">
    <w:name w:val="heading 6"/>
    <w:basedOn w:val="Norml"/>
    <w:next w:val="Norml"/>
    <w:link w:val="Cmsor6Char"/>
    <w:qFormat/>
    <w:rsid w:val="003F4E45"/>
    <w:pPr>
      <w:keepNext/>
      <w:numPr>
        <w:ilvl w:val="5"/>
        <w:numId w:val="1"/>
      </w:numPr>
      <w:tabs>
        <w:tab w:val="left" w:pos="567"/>
        <w:tab w:val="left" w:pos="4536"/>
      </w:tabs>
      <w:suppressAutoHyphens/>
      <w:spacing w:after="0" w:line="260" w:lineRule="exact"/>
      <w:outlineLvl w:val="5"/>
    </w:pPr>
    <w:rPr>
      <w:rFonts w:ascii="Times New Roman" w:eastAsia="Times New Roman" w:hAnsi="Times New Roman" w:cs="Times New Roman"/>
      <w:i/>
      <w:szCs w:val="20"/>
      <w:lang w:eastAsia="zh-CN"/>
    </w:rPr>
  </w:style>
  <w:style w:type="paragraph" w:styleId="Cmsor7">
    <w:name w:val="heading 7"/>
    <w:basedOn w:val="Norml"/>
    <w:next w:val="Norml"/>
    <w:link w:val="Cmsor7Char"/>
    <w:qFormat/>
    <w:rsid w:val="003F4E45"/>
    <w:pPr>
      <w:keepNext/>
      <w:numPr>
        <w:ilvl w:val="6"/>
        <w:numId w:val="1"/>
      </w:numPr>
      <w:tabs>
        <w:tab w:val="left" w:pos="567"/>
        <w:tab w:val="left" w:pos="4536"/>
      </w:tabs>
      <w:suppressAutoHyphens/>
      <w:spacing w:after="0" w:line="260" w:lineRule="exact"/>
      <w:jc w:val="both"/>
      <w:outlineLvl w:val="6"/>
    </w:pPr>
    <w:rPr>
      <w:rFonts w:ascii="Times New Roman" w:eastAsia="Times New Roman" w:hAnsi="Times New Roman" w:cs="Times New Roman"/>
      <w:i/>
      <w:szCs w:val="20"/>
      <w:lang w:eastAsia="zh-CN"/>
    </w:rPr>
  </w:style>
  <w:style w:type="paragraph" w:styleId="Cmsor8">
    <w:name w:val="heading 8"/>
    <w:basedOn w:val="Norml"/>
    <w:next w:val="Norml"/>
    <w:link w:val="Cmsor8Char"/>
    <w:qFormat/>
    <w:rsid w:val="003F4E45"/>
    <w:pPr>
      <w:keepNext/>
      <w:numPr>
        <w:ilvl w:val="7"/>
        <w:numId w:val="1"/>
      </w:numPr>
      <w:suppressAutoHyphens/>
      <w:spacing w:after="0" w:line="260" w:lineRule="exact"/>
      <w:jc w:val="both"/>
      <w:outlineLvl w:val="7"/>
    </w:pPr>
    <w:rPr>
      <w:rFonts w:ascii="Times New Roman" w:eastAsia="Times New Roman" w:hAnsi="Times New Roman" w:cs="Times New Roman"/>
      <w:b/>
      <w:i/>
      <w:szCs w:val="20"/>
      <w:lang w:eastAsia="zh-CN"/>
    </w:rPr>
  </w:style>
  <w:style w:type="paragraph" w:styleId="Cmsor9">
    <w:name w:val="heading 9"/>
    <w:basedOn w:val="Norml"/>
    <w:next w:val="Norml"/>
    <w:link w:val="Cmsor9Char"/>
    <w:qFormat/>
    <w:rsid w:val="003F4E45"/>
    <w:pPr>
      <w:keepNext/>
      <w:numPr>
        <w:ilvl w:val="8"/>
        <w:numId w:val="1"/>
      </w:numPr>
      <w:suppressAutoHyphens/>
      <w:spacing w:after="0" w:line="260" w:lineRule="exact"/>
      <w:jc w:val="both"/>
      <w:outlineLvl w:val="8"/>
    </w:pPr>
    <w:rPr>
      <w:rFonts w:ascii="Times New Roman" w:eastAsia="Times New Roman" w:hAnsi="Times New Roman" w:cs="Times New Roman"/>
      <w:b/>
      <w:i/>
      <w:szCs w:val="20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3F4E45"/>
    <w:rPr>
      <w:rFonts w:ascii="Times New Roman" w:eastAsia="Times New Roman" w:hAnsi="Times New Roman" w:cs="Times New Roman"/>
      <w:b/>
      <w:caps/>
      <w:sz w:val="26"/>
      <w:szCs w:val="20"/>
      <w:lang w:val="en-US" w:eastAsia="zh-CN"/>
    </w:rPr>
  </w:style>
  <w:style w:type="character" w:customStyle="1" w:styleId="Cmsor2Char">
    <w:name w:val="Címsor 2 Char"/>
    <w:basedOn w:val="Bekezdsalapbettpusa"/>
    <w:link w:val="Cmsor2"/>
    <w:rsid w:val="003F4E45"/>
    <w:rPr>
      <w:rFonts w:ascii="Helvetica" w:eastAsia="Times New Roman" w:hAnsi="Helvetica" w:cs="Times New Roman"/>
      <w:b/>
      <w:i/>
      <w:sz w:val="24"/>
      <w:szCs w:val="20"/>
      <w:lang w:eastAsia="zh-CN"/>
    </w:rPr>
  </w:style>
  <w:style w:type="character" w:customStyle="1" w:styleId="Cmsor3Char">
    <w:name w:val="Címsor 3 Char"/>
    <w:basedOn w:val="Bekezdsalapbettpusa"/>
    <w:link w:val="Cmsor3"/>
    <w:rsid w:val="003F4E45"/>
    <w:rPr>
      <w:rFonts w:ascii="Times New Roman" w:eastAsia="Times New Roman" w:hAnsi="Times New Roman" w:cs="Times New Roman"/>
      <w:b/>
      <w:kern w:val="1"/>
      <w:sz w:val="24"/>
      <w:szCs w:val="20"/>
      <w:lang w:val="en-US" w:eastAsia="zh-CN"/>
    </w:rPr>
  </w:style>
  <w:style w:type="character" w:customStyle="1" w:styleId="Cmsor4Char">
    <w:name w:val="Címsor 4 Char"/>
    <w:basedOn w:val="Bekezdsalapbettpusa"/>
    <w:link w:val="Cmsor4"/>
    <w:rsid w:val="003F4E45"/>
    <w:rPr>
      <w:rFonts w:ascii="Times New Roman" w:eastAsia="Times New Roman" w:hAnsi="Times New Roman" w:cs="Times New Roman"/>
      <w:b/>
      <w:szCs w:val="20"/>
      <w:lang w:val="en-GB" w:eastAsia="zh-CN"/>
    </w:rPr>
  </w:style>
  <w:style w:type="character" w:customStyle="1" w:styleId="Cmsor5Char">
    <w:name w:val="Címsor 5 Char"/>
    <w:basedOn w:val="Bekezdsalapbettpusa"/>
    <w:link w:val="Cmsor5"/>
    <w:rsid w:val="003F4E45"/>
    <w:rPr>
      <w:rFonts w:ascii="Times New Roman" w:eastAsia="Times New Roman" w:hAnsi="Times New Roman" w:cs="Times New Roman"/>
      <w:szCs w:val="20"/>
      <w:lang w:val="en-GB" w:eastAsia="zh-CN"/>
    </w:rPr>
  </w:style>
  <w:style w:type="character" w:customStyle="1" w:styleId="Cmsor6Char">
    <w:name w:val="Címsor 6 Char"/>
    <w:basedOn w:val="Bekezdsalapbettpusa"/>
    <w:link w:val="Cmsor6"/>
    <w:rsid w:val="003F4E45"/>
    <w:rPr>
      <w:rFonts w:ascii="Times New Roman" w:eastAsia="Times New Roman" w:hAnsi="Times New Roman" w:cs="Times New Roman"/>
      <w:i/>
      <w:szCs w:val="20"/>
      <w:lang w:eastAsia="zh-CN"/>
    </w:rPr>
  </w:style>
  <w:style w:type="character" w:customStyle="1" w:styleId="Cmsor7Char">
    <w:name w:val="Címsor 7 Char"/>
    <w:basedOn w:val="Bekezdsalapbettpusa"/>
    <w:link w:val="Cmsor7"/>
    <w:rsid w:val="003F4E45"/>
    <w:rPr>
      <w:rFonts w:ascii="Times New Roman" w:eastAsia="Times New Roman" w:hAnsi="Times New Roman" w:cs="Times New Roman"/>
      <w:i/>
      <w:szCs w:val="20"/>
      <w:lang w:eastAsia="zh-CN"/>
    </w:rPr>
  </w:style>
  <w:style w:type="character" w:customStyle="1" w:styleId="Cmsor8Char">
    <w:name w:val="Címsor 8 Char"/>
    <w:basedOn w:val="Bekezdsalapbettpusa"/>
    <w:link w:val="Cmsor8"/>
    <w:rsid w:val="003F4E45"/>
    <w:rPr>
      <w:rFonts w:ascii="Times New Roman" w:eastAsia="Times New Roman" w:hAnsi="Times New Roman" w:cs="Times New Roman"/>
      <w:b/>
      <w:i/>
      <w:szCs w:val="20"/>
      <w:lang w:eastAsia="zh-CN"/>
    </w:rPr>
  </w:style>
  <w:style w:type="character" w:customStyle="1" w:styleId="Cmsor9Char">
    <w:name w:val="Címsor 9 Char"/>
    <w:basedOn w:val="Bekezdsalapbettpusa"/>
    <w:link w:val="Cmsor9"/>
    <w:rsid w:val="003F4E45"/>
    <w:rPr>
      <w:rFonts w:ascii="Times New Roman" w:eastAsia="Times New Roman" w:hAnsi="Times New Roman" w:cs="Times New Roman"/>
      <w:b/>
      <w:i/>
      <w:szCs w:val="20"/>
      <w:lang w:eastAsia="zh-CN"/>
    </w:rPr>
  </w:style>
  <w:style w:type="numbering" w:customStyle="1" w:styleId="Nemlista1">
    <w:name w:val="Nem lista1"/>
    <w:next w:val="Nemlista"/>
    <w:uiPriority w:val="99"/>
    <w:semiHidden/>
    <w:unhideWhenUsed/>
    <w:rsid w:val="003F4E45"/>
  </w:style>
  <w:style w:type="paragraph" w:styleId="llb">
    <w:name w:val="footer"/>
    <w:basedOn w:val="Norml"/>
    <w:link w:val="llbChar"/>
    <w:rsid w:val="003F4E45"/>
    <w:pPr>
      <w:tabs>
        <w:tab w:val="left" w:pos="567"/>
        <w:tab w:val="center" w:pos="4536"/>
        <w:tab w:val="right" w:pos="8306"/>
      </w:tabs>
      <w:spacing w:after="0" w:line="260" w:lineRule="exact"/>
    </w:pPr>
    <w:rPr>
      <w:rFonts w:ascii="Arial" w:eastAsia="SimSun" w:hAnsi="Arial" w:cs="Times New Roman"/>
      <w:noProof/>
      <w:snapToGrid w:val="0"/>
      <w:sz w:val="16"/>
      <w:szCs w:val="20"/>
      <w:lang w:val="en-US" w:eastAsia="zh-CN"/>
    </w:rPr>
  </w:style>
  <w:style w:type="character" w:customStyle="1" w:styleId="llbChar">
    <w:name w:val="Élőláb Char"/>
    <w:basedOn w:val="Bekezdsalapbettpusa"/>
    <w:link w:val="llb"/>
    <w:rsid w:val="003F4E45"/>
    <w:rPr>
      <w:rFonts w:ascii="Arial" w:eastAsia="SimSun" w:hAnsi="Arial" w:cs="Times New Roman"/>
      <w:noProof/>
      <w:snapToGrid w:val="0"/>
      <w:sz w:val="16"/>
      <w:szCs w:val="20"/>
      <w:lang w:val="en-US" w:eastAsia="zh-CN"/>
    </w:rPr>
  </w:style>
  <w:style w:type="character" w:styleId="Oldalszm">
    <w:name w:val="page number"/>
    <w:rsid w:val="003F4E45"/>
    <w:rPr>
      <w:rFonts w:cs="Times New Roman"/>
    </w:rPr>
  </w:style>
  <w:style w:type="character" w:styleId="Hiperhivatkozs">
    <w:name w:val="Hyperlink"/>
    <w:rsid w:val="003F4E45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sid w:val="003F4E45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sid w:val="003F4E45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3F4E45"/>
    <w:rPr>
      <w:color w:val="0000FF"/>
    </w:rPr>
  </w:style>
  <w:style w:type="character" w:customStyle="1" w:styleId="tw4winPopup">
    <w:name w:val="tw4winPopup"/>
    <w:uiPriority w:val="99"/>
    <w:rsid w:val="003F4E45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3F4E45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3F4E45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3F4E45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3F4E45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3F4E45"/>
    <w:pPr>
      <w:tabs>
        <w:tab w:val="left" w:pos="567"/>
      </w:tabs>
      <w:spacing w:after="0" w:line="240" w:lineRule="auto"/>
    </w:pPr>
    <w:rPr>
      <w:rFonts w:ascii="Tahoma" w:eastAsia="SimSun" w:hAnsi="Tahoma" w:cs="Tahoma"/>
      <w:snapToGrid w:val="0"/>
      <w:sz w:val="16"/>
      <w:szCs w:val="16"/>
      <w:lang w:val="en-GB" w:eastAsia="zh-CN"/>
    </w:rPr>
  </w:style>
  <w:style w:type="character" w:customStyle="1" w:styleId="BuborkszvegChar">
    <w:name w:val="Buborékszöveg Char"/>
    <w:basedOn w:val="Bekezdsalapbettpusa"/>
    <w:link w:val="Buborkszveg"/>
    <w:rsid w:val="003F4E45"/>
    <w:rPr>
      <w:rFonts w:ascii="Tahoma" w:eastAsia="SimSun" w:hAnsi="Tahoma" w:cs="Tahoma"/>
      <w:snapToGrid w:val="0"/>
      <w:sz w:val="16"/>
      <w:szCs w:val="16"/>
      <w:lang w:val="en-GB" w:eastAsia="zh-CN"/>
    </w:rPr>
  </w:style>
  <w:style w:type="paragraph" w:styleId="lfej">
    <w:name w:val="header"/>
    <w:basedOn w:val="Norml"/>
    <w:link w:val="lfejChar"/>
    <w:uiPriority w:val="99"/>
    <w:rsid w:val="003F4E45"/>
    <w:pPr>
      <w:tabs>
        <w:tab w:val="center" w:pos="4320"/>
        <w:tab w:val="right" w:pos="8640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customStyle="1" w:styleId="lfejChar">
    <w:name w:val="Élőfej Char"/>
    <w:basedOn w:val="Bekezdsalapbettpusa"/>
    <w:link w:val="lfej"/>
    <w:uiPriority w:val="99"/>
    <w:rsid w:val="003F4E45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styleId="Jegyzethivatkozs">
    <w:name w:val="annotation reference"/>
    <w:uiPriority w:val="99"/>
    <w:semiHidden/>
    <w:rsid w:val="003F4E4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3F4E45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 w:val="20"/>
      <w:szCs w:val="20"/>
      <w:lang w:val="en-GB" w:eastAsia="zh-CN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3F4E45"/>
    <w:rPr>
      <w:rFonts w:ascii="Times New Roman" w:eastAsia="SimSun" w:hAnsi="Times New Roman" w:cs="Times New Roman"/>
      <w:snapToGrid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3F4E4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3F4E45"/>
    <w:rPr>
      <w:rFonts w:ascii="Times New Roman" w:eastAsia="SimSun" w:hAnsi="Times New Roman" w:cs="Times New Roman"/>
      <w:b/>
      <w:bCs/>
      <w:snapToGrid w:val="0"/>
      <w:sz w:val="20"/>
      <w:szCs w:val="20"/>
      <w:lang w:val="en-GB" w:eastAsia="zh-CN"/>
    </w:rPr>
  </w:style>
  <w:style w:type="paragraph" w:customStyle="1" w:styleId="EMEAEnBodyText">
    <w:name w:val="EMEA En Body Text"/>
    <w:basedOn w:val="Norml"/>
    <w:rsid w:val="003F4E45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character" w:styleId="Mrltotthiperhivatkozs">
    <w:name w:val="FollowedHyperlink"/>
    <w:rsid w:val="003F4E45"/>
    <w:rPr>
      <w:color w:val="800080"/>
      <w:u w:val="single"/>
    </w:rPr>
  </w:style>
  <w:style w:type="paragraph" w:styleId="Szvegtrzs">
    <w:name w:val="Body Text"/>
    <w:basedOn w:val="Norml"/>
    <w:link w:val="SzvegtrzsChar"/>
    <w:rsid w:val="003F4E45"/>
    <w:pPr>
      <w:suppressAutoHyphens/>
      <w:spacing w:after="0" w:line="260" w:lineRule="exact"/>
    </w:pPr>
    <w:rPr>
      <w:rFonts w:ascii="Times New Roman" w:eastAsia="Times New Roman" w:hAnsi="Times New Roman" w:cs="Times New Roman"/>
      <w:b/>
      <w:i/>
      <w:szCs w:val="20"/>
      <w:lang w:eastAsia="zh-CN"/>
    </w:rPr>
  </w:style>
  <w:style w:type="character" w:customStyle="1" w:styleId="SzvegtrzsChar">
    <w:name w:val="Szövegtörzs Char"/>
    <w:basedOn w:val="Bekezdsalapbettpusa"/>
    <w:link w:val="Szvegtrzs"/>
    <w:rsid w:val="003F4E45"/>
    <w:rPr>
      <w:rFonts w:ascii="Times New Roman" w:eastAsia="Times New Roman" w:hAnsi="Times New Roman" w:cs="Times New Roman"/>
      <w:b/>
      <w:i/>
      <w:szCs w:val="20"/>
      <w:lang w:eastAsia="zh-CN"/>
    </w:rPr>
  </w:style>
  <w:style w:type="paragraph" w:styleId="Lista">
    <w:name w:val="List"/>
    <w:basedOn w:val="Szvegtrzs"/>
    <w:rsid w:val="003F4E45"/>
    <w:rPr>
      <w:rFonts w:cs="Tahoma"/>
    </w:rPr>
  </w:style>
  <w:style w:type="paragraph" w:styleId="Szvegtrzsbehzssal">
    <w:name w:val="Body Text Indent"/>
    <w:basedOn w:val="Norml"/>
    <w:link w:val="SzvegtrzsbehzssalChar"/>
    <w:rsid w:val="003F4E45"/>
    <w:pPr>
      <w:suppressAutoHyphens/>
      <w:spacing w:after="0" w:line="260" w:lineRule="atLeast"/>
      <w:ind w:left="567" w:hanging="567"/>
    </w:pPr>
    <w:rPr>
      <w:rFonts w:ascii="Times New Roman" w:eastAsia="Times New Roman" w:hAnsi="Times New Roman" w:cs="Times New Roman"/>
      <w:b/>
      <w:color w:val="808080"/>
      <w:szCs w:val="20"/>
      <w:lang w:eastAsia="zh-CN"/>
    </w:rPr>
  </w:style>
  <w:style w:type="character" w:customStyle="1" w:styleId="SzvegtrzsbehzssalChar">
    <w:name w:val="Szövegtörzs behúzással Char"/>
    <w:basedOn w:val="Bekezdsalapbettpusa"/>
    <w:link w:val="Szvegtrzsbehzssal"/>
    <w:rsid w:val="003F4E45"/>
    <w:rPr>
      <w:rFonts w:ascii="Times New Roman" w:eastAsia="Times New Roman" w:hAnsi="Times New Roman" w:cs="Times New Roman"/>
      <w:b/>
      <w:color w:val="808080"/>
      <w:szCs w:val="20"/>
      <w:lang w:eastAsia="zh-CN"/>
    </w:rPr>
  </w:style>
  <w:style w:type="paragraph" w:styleId="Bortkcm">
    <w:name w:val="envelope address"/>
    <w:basedOn w:val="Norml"/>
    <w:next w:val="Szvegtrzs"/>
    <w:rsid w:val="003F4E45"/>
    <w:pPr>
      <w:keepNext/>
      <w:suppressAutoHyphens/>
      <w:spacing w:before="240" w:after="120" w:line="260" w:lineRule="exact"/>
    </w:pPr>
    <w:rPr>
      <w:rFonts w:ascii="Albany" w:eastAsia="HG Mincho Light J" w:hAnsi="Albany" w:cs="Times New Roman"/>
      <w:sz w:val="28"/>
      <w:szCs w:val="20"/>
      <w:lang w:eastAsia="zh-CN"/>
    </w:rPr>
  </w:style>
  <w:style w:type="paragraph" w:styleId="Lbjegyzetszveg">
    <w:name w:val="footnote text"/>
    <w:basedOn w:val="Norml"/>
    <w:link w:val="LbjegyzetszvegChar"/>
    <w:rsid w:val="003F4E45"/>
    <w:pPr>
      <w:suppressAutoHyphens/>
      <w:spacing w:after="0" w:line="260" w:lineRule="exac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LbjegyzetszvegChar">
    <w:name w:val="Lábjegyzetszöveg Char"/>
    <w:basedOn w:val="Bekezdsalapbettpusa"/>
    <w:link w:val="Lbjegyzetszveg"/>
    <w:rsid w:val="003F4E4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Vgjegyzetszvege">
    <w:name w:val="endnote text"/>
    <w:basedOn w:val="Norml"/>
    <w:next w:val="Norml"/>
    <w:link w:val="VgjegyzetszvegeChar"/>
    <w:rsid w:val="003F4E45"/>
    <w:pPr>
      <w:suppressAutoHyphens/>
      <w:spacing w:after="0" w:line="260" w:lineRule="atLeast"/>
    </w:pPr>
    <w:rPr>
      <w:rFonts w:ascii="Times New Roman" w:eastAsia="Times New Roman" w:hAnsi="Times New Roman" w:cs="Times New Roman"/>
      <w:szCs w:val="20"/>
      <w:lang w:eastAsia="zh-CN"/>
    </w:rPr>
  </w:style>
  <w:style w:type="character" w:customStyle="1" w:styleId="VgjegyzetszvegeChar">
    <w:name w:val="Végjegyzet szövege Char"/>
    <w:basedOn w:val="Bekezdsalapbettpusa"/>
    <w:link w:val="Vgjegyzetszvege"/>
    <w:rsid w:val="003F4E45"/>
    <w:rPr>
      <w:rFonts w:ascii="Times New Roman" w:eastAsia="Times New Roman" w:hAnsi="Times New Roman" w:cs="Times New Roman"/>
      <w:szCs w:val="20"/>
      <w:lang w:eastAsia="zh-CN"/>
    </w:rPr>
  </w:style>
  <w:style w:type="paragraph" w:styleId="Szvegblokk">
    <w:name w:val="Block Text"/>
    <w:basedOn w:val="Norml"/>
    <w:rsid w:val="003F4E45"/>
    <w:pPr>
      <w:suppressAutoHyphens/>
      <w:spacing w:after="0" w:line="260" w:lineRule="atLeast"/>
      <w:ind w:left="567" w:right="-2" w:hanging="567"/>
    </w:pPr>
    <w:rPr>
      <w:rFonts w:ascii="Times New Roman" w:eastAsia="Times New Roman" w:hAnsi="Times New Roman" w:cs="Times New Roman"/>
      <w:b/>
      <w:szCs w:val="20"/>
      <w:lang w:eastAsia="zh-CN"/>
    </w:rPr>
  </w:style>
  <w:style w:type="paragraph" w:customStyle="1" w:styleId="Buborkszveg1">
    <w:name w:val="Buborékszöveg1"/>
    <w:basedOn w:val="Norml"/>
    <w:semiHidden/>
    <w:rsid w:val="003F4E45"/>
    <w:pPr>
      <w:suppressAutoHyphens/>
      <w:spacing w:after="0" w:line="260" w:lineRule="exact"/>
    </w:pPr>
    <w:rPr>
      <w:rFonts w:ascii="Tahoma" w:eastAsia="Times New Roman" w:hAnsi="Tahoma" w:cs="Tahoma"/>
      <w:sz w:val="16"/>
      <w:szCs w:val="16"/>
      <w:lang w:eastAsia="zh-CN"/>
    </w:rPr>
  </w:style>
  <w:style w:type="paragraph" w:styleId="Listaszerbekezds">
    <w:name w:val="List Paragraph"/>
    <w:basedOn w:val="Norml"/>
    <w:uiPriority w:val="34"/>
    <w:qFormat/>
    <w:rsid w:val="003F4E45"/>
    <w:pPr>
      <w:ind w:left="720"/>
      <w:contextualSpacing/>
    </w:pPr>
    <w:rPr>
      <w:rFonts w:ascii="Calibri" w:eastAsia="Calibri" w:hAnsi="Calibri" w:cs="Times New Roman"/>
      <w:lang w:val="en-GB"/>
    </w:rPr>
  </w:style>
  <w:style w:type="paragraph" w:styleId="Nincstrkz">
    <w:name w:val="No Spacing"/>
    <w:uiPriority w:val="1"/>
    <w:qFormat/>
    <w:rsid w:val="003F4E45"/>
    <w:pPr>
      <w:tabs>
        <w:tab w:val="left" w:pos="567"/>
      </w:tabs>
      <w:spacing w:after="0" w:line="240" w:lineRule="auto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Vltozat">
    <w:name w:val="Revision"/>
    <w:hidden/>
    <w:uiPriority w:val="99"/>
    <w:semiHidden/>
    <w:rsid w:val="001E59E8"/>
    <w:pPr>
      <w:spacing w:after="0" w:line="240" w:lineRule="auto"/>
    </w:pPr>
  </w:style>
  <w:style w:type="paragraph" w:styleId="NormlWeb">
    <w:name w:val="Normal (Web)"/>
    <w:basedOn w:val="Norml"/>
    <w:uiPriority w:val="99"/>
    <w:semiHidden/>
    <w:unhideWhenUsed/>
    <w:rsid w:val="00F44DFA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styleId="Helyrzszveg">
    <w:name w:val="Placeholder Text"/>
    <w:basedOn w:val="Bekezdsalapbettpusa"/>
    <w:uiPriority w:val="99"/>
    <w:semiHidden/>
    <w:rsid w:val="00F211F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58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25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62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76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57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437988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602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21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59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44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236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5381</Words>
  <Characters>37136</Characters>
  <Application>Microsoft Office Word</Application>
  <DocSecurity>0</DocSecurity>
  <Lines>309</Lines>
  <Paragraphs>84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Vanda Városi 2</dc:creator>
  <cp:lastModifiedBy>HU_OGYI_50.1</cp:lastModifiedBy>
  <cp:revision>2</cp:revision>
  <dcterms:created xsi:type="dcterms:W3CDTF">2026-06-12T07:28:00Z</dcterms:created>
  <dcterms:modified xsi:type="dcterms:W3CDTF">2026-06-12T07:28:00Z</dcterms:modified>
</cp:coreProperties>
</file>