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752A4" w14:textId="38861CF7" w:rsidR="00B62AE4" w:rsidRPr="00F61E47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bookmarkStart w:id="0" w:name="_GoBack"/>
      <w:bookmarkEnd w:id="0"/>
      <w:r w:rsidRPr="000149DA">
        <w:rPr>
          <w:rFonts w:cs="Times New Roman"/>
          <w:b/>
          <w:bCs/>
          <w:w w:val="105"/>
        </w:rPr>
        <w:t>1,</w:t>
      </w:r>
      <w:r w:rsidRPr="000149DA">
        <w:rPr>
          <w:rFonts w:cs="Times New Roman"/>
          <w:b/>
          <w:bCs/>
          <w:w w:val="105"/>
        </w:rPr>
        <w:tab/>
      </w:r>
      <w:r w:rsidR="00B62AE4" w:rsidRPr="00F61E47">
        <w:rPr>
          <w:rFonts w:cs="Times New Roman"/>
          <w:b/>
          <w:bCs/>
          <w:w w:val="105"/>
        </w:rPr>
        <w:t>A GYÓGYSZER</w:t>
      </w:r>
      <w:r w:rsidR="00B62AE4" w:rsidRPr="00F61E47">
        <w:rPr>
          <w:rFonts w:cs="Times New Roman"/>
          <w:b/>
          <w:bCs/>
          <w:spacing w:val="-2"/>
          <w:w w:val="105"/>
        </w:rPr>
        <w:t xml:space="preserve"> </w:t>
      </w:r>
      <w:r w:rsidR="00B62AE4" w:rsidRPr="00F61E47">
        <w:rPr>
          <w:rFonts w:cs="Times New Roman"/>
          <w:b/>
          <w:bCs/>
          <w:w w:val="105"/>
        </w:rPr>
        <w:t>NEVE</w:t>
      </w:r>
    </w:p>
    <w:p w14:paraId="2DDA12B4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220C54EA" w14:textId="04003780" w:rsidR="00B62AE4" w:rsidRPr="00F61E47" w:rsidRDefault="009F74AD" w:rsidP="00B62AE4">
      <w:pPr>
        <w:pStyle w:val="Nincstrkz"/>
        <w:rPr>
          <w:rFonts w:cs="Times New Roman"/>
        </w:rPr>
      </w:pPr>
      <w:r>
        <w:rPr>
          <w:rFonts w:cs="Times New Roman"/>
          <w:w w:val="105"/>
        </w:rPr>
        <w:t>Apixaban Tev</w:t>
      </w:r>
      <w:r w:rsidR="007332A2" w:rsidRPr="00F61E47">
        <w:rPr>
          <w:rFonts w:cs="Times New Roman"/>
          <w:w w:val="105"/>
        </w:rPr>
        <w:t>a</w:t>
      </w:r>
      <w:r w:rsidR="004C106B" w:rsidRPr="00F61E47">
        <w:rPr>
          <w:rFonts w:cs="Times New Roman"/>
          <w:w w:val="105"/>
        </w:rPr>
        <w:t xml:space="preserve"> 5 mg </w:t>
      </w:r>
      <w:r w:rsidR="00B62AE4" w:rsidRPr="00F61E47">
        <w:rPr>
          <w:rFonts w:cs="Times New Roman"/>
          <w:w w:val="105"/>
        </w:rPr>
        <w:t>filmtabletta</w:t>
      </w:r>
    </w:p>
    <w:p w14:paraId="4E226076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17DB6556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56CB5F3F" w14:textId="741D3C33" w:rsidR="00B62AE4" w:rsidRPr="00F61E47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F61E47">
        <w:rPr>
          <w:rFonts w:cs="Times New Roman"/>
          <w:b/>
          <w:bCs/>
          <w:w w:val="105"/>
        </w:rPr>
        <w:t>2.</w:t>
      </w:r>
      <w:r w:rsidRPr="00F61E47">
        <w:rPr>
          <w:rFonts w:cs="Times New Roman"/>
          <w:b/>
          <w:bCs/>
          <w:w w:val="105"/>
        </w:rPr>
        <w:tab/>
      </w:r>
      <w:r w:rsidR="00B62AE4" w:rsidRPr="00F61E47">
        <w:rPr>
          <w:rFonts w:cs="Times New Roman"/>
          <w:b/>
          <w:bCs/>
          <w:w w:val="105"/>
        </w:rPr>
        <w:t>MINŐSÉGI ÉS MENNYISÉGI</w:t>
      </w:r>
      <w:r w:rsidR="00B62AE4" w:rsidRPr="00F61E47">
        <w:rPr>
          <w:rFonts w:cs="Times New Roman"/>
          <w:b/>
          <w:bCs/>
          <w:spacing w:val="-6"/>
          <w:w w:val="105"/>
        </w:rPr>
        <w:t xml:space="preserve"> </w:t>
      </w:r>
      <w:r w:rsidR="00B62AE4" w:rsidRPr="00F61E47">
        <w:rPr>
          <w:rFonts w:cs="Times New Roman"/>
          <w:b/>
          <w:bCs/>
          <w:w w:val="105"/>
        </w:rPr>
        <w:t>ÖSSZETÉTEL</w:t>
      </w:r>
    </w:p>
    <w:p w14:paraId="0651C6E9" w14:textId="77777777" w:rsidR="004C106B" w:rsidRPr="00F61E47" w:rsidRDefault="004C106B" w:rsidP="00B62AE4">
      <w:pPr>
        <w:pStyle w:val="Nincstrkz"/>
        <w:rPr>
          <w:rFonts w:cs="Times New Roman"/>
          <w:w w:val="105"/>
        </w:rPr>
      </w:pPr>
    </w:p>
    <w:p w14:paraId="1979D25D" w14:textId="43272334" w:rsidR="004C106B" w:rsidRPr="000149DA" w:rsidRDefault="00B62AE4" w:rsidP="00B62AE4">
      <w:pPr>
        <w:pStyle w:val="Nincstrkz"/>
        <w:rPr>
          <w:rFonts w:cs="Times New Roman"/>
          <w:w w:val="105"/>
        </w:rPr>
      </w:pPr>
      <w:r w:rsidRPr="00F61E47">
        <w:rPr>
          <w:rFonts w:cs="Times New Roman"/>
          <w:w w:val="105"/>
        </w:rPr>
        <w:t>5</w:t>
      </w:r>
      <w:r w:rsidR="004C106B" w:rsidRPr="00F61E47">
        <w:rPr>
          <w:rFonts w:cs="Times New Roman"/>
          <w:w w:val="105"/>
        </w:rPr>
        <w:t> mg</w:t>
      </w:r>
      <w:r w:rsidRPr="00F61E47">
        <w:rPr>
          <w:rFonts w:cs="Times New Roman"/>
          <w:w w:val="105"/>
        </w:rPr>
        <w:t xml:space="preserve"> </w:t>
      </w:r>
      <w:r w:rsidR="00D6140D" w:rsidRPr="00F61E47">
        <w:rPr>
          <w:rFonts w:cs="Times New Roman"/>
          <w:w w:val="105"/>
        </w:rPr>
        <w:t>apixabán</w:t>
      </w:r>
      <w:r w:rsidR="000F0C2C" w:rsidRPr="00F61E47">
        <w:rPr>
          <w:rFonts w:cs="Times New Roman"/>
          <w:w w:val="105"/>
        </w:rPr>
        <w:t>t tartalmaz</w:t>
      </w:r>
      <w:r w:rsidRPr="00B50EA7">
        <w:rPr>
          <w:rFonts w:cs="Times New Roman"/>
          <w:w w:val="105"/>
        </w:rPr>
        <w:t xml:space="preserve"> filmtablettánként. </w:t>
      </w:r>
    </w:p>
    <w:p w14:paraId="072D0EF0" w14:textId="77777777" w:rsidR="004C106B" w:rsidRPr="000149DA" w:rsidRDefault="004C106B" w:rsidP="00B62AE4">
      <w:pPr>
        <w:pStyle w:val="Nincstrkz"/>
        <w:rPr>
          <w:rFonts w:cs="Times New Roman"/>
          <w:w w:val="105"/>
        </w:rPr>
      </w:pPr>
    </w:p>
    <w:p w14:paraId="5311C6E8" w14:textId="7187F0C8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  <w:u w:val="single"/>
        </w:rPr>
        <w:t>Ismert hatású segédanyagok</w:t>
      </w:r>
    </w:p>
    <w:p w14:paraId="6C089602" w14:textId="183C0328" w:rsidR="00B62AE4" w:rsidRPr="000149DA" w:rsidRDefault="00DE3480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102</w:t>
      </w:r>
      <w:r w:rsidR="004C106B" w:rsidRPr="000149DA">
        <w:rPr>
          <w:rFonts w:cs="Times New Roman"/>
          <w:w w:val="105"/>
        </w:rPr>
        <w:t> mg</w:t>
      </w:r>
      <w:r w:rsidR="00B62AE4" w:rsidRPr="000149DA">
        <w:rPr>
          <w:rFonts w:cs="Times New Roman"/>
          <w:w w:val="105"/>
        </w:rPr>
        <w:t xml:space="preserve"> laktóz</w:t>
      </w:r>
      <w:r w:rsidR="000F0C2C" w:rsidRPr="000149DA">
        <w:rPr>
          <w:rFonts w:cs="Times New Roman"/>
          <w:w w:val="105"/>
        </w:rPr>
        <w:t>t tartalmaz</w:t>
      </w:r>
      <w:r w:rsidR="00B62AE4" w:rsidRPr="000149DA">
        <w:rPr>
          <w:rFonts w:cs="Times New Roman"/>
          <w:w w:val="105"/>
        </w:rPr>
        <w:t xml:space="preserve"> 5</w:t>
      </w:r>
      <w:r w:rsidR="004C106B" w:rsidRPr="000149DA">
        <w:rPr>
          <w:rFonts w:cs="Times New Roman"/>
          <w:w w:val="105"/>
        </w:rPr>
        <w:t> mg</w:t>
      </w:r>
      <w:r w:rsidR="004C106B"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>os filmtablettánként</w:t>
      </w:r>
      <w:r w:rsidR="00094100" w:rsidRPr="000149DA">
        <w:rPr>
          <w:rFonts w:cs="Times New Roman"/>
          <w:w w:val="105"/>
        </w:rPr>
        <w:t xml:space="preserve"> (lásd 4.4 pont)</w:t>
      </w:r>
      <w:r w:rsidR="004C106B" w:rsidRPr="000149DA">
        <w:rPr>
          <w:rFonts w:cs="Times New Roman"/>
          <w:w w:val="105"/>
        </w:rPr>
        <w:t>.</w:t>
      </w:r>
    </w:p>
    <w:p w14:paraId="206FC1D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A6D0DEE" w14:textId="06E68CB8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 segédanyagok teljes listáját lásd a 6.1</w:t>
      </w:r>
      <w:r w:rsidR="004C106B" w:rsidRPr="000149DA">
        <w:rPr>
          <w:rFonts w:cs="Times New Roman"/>
          <w:w w:val="105"/>
        </w:rPr>
        <w:t> pont</w:t>
      </w:r>
      <w:r w:rsidRPr="000149DA">
        <w:rPr>
          <w:rFonts w:cs="Times New Roman"/>
          <w:w w:val="105"/>
        </w:rPr>
        <w:t>ban.</w:t>
      </w:r>
    </w:p>
    <w:p w14:paraId="44BC4AB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68B0DA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F975181" w14:textId="1E39EBE8" w:rsidR="00B62AE4" w:rsidRPr="000149DA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3.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GYÓGYSZERFORMA</w:t>
      </w:r>
    </w:p>
    <w:p w14:paraId="0B1E7E2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BDB8D05" w14:textId="1728EB3F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Filmtabletta</w:t>
      </w:r>
    </w:p>
    <w:p w14:paraId="1CFC9F9B" w14:textId="17D59ABE" w:rsidR="005A0CDA" w:rsidRPr="00D15884" w:rsidRDefault="00542CE1" w:rsidP="00D15884">
      <w:pPr>
        <w:pStyle w:val="Szvegtrzs"/>
        <w:rPr>
          <w:sz w:val="22"/>
          <w:szCs w:val="22"/>
        </w:rPr>
      </w:pPr>
      <w:r w:rsidRPr="00D15884">
        <w:rPr>
          <w:w w:val="105"/>
          <w:sz w:val="22"/>
          <w:szCs w:val="22"/>
        </w:rPr>
        <w:t xml:space="preserve">Halvány </w:t>
      </w:r>
      <w:r w:rsidR="00DE3480" w:rsidRPr="00D15884">
        <w:rPr>
          <w:w w:val="105"/>
          <w:sz w:val="22"/>
          <w:szCs w:val="22"/>
        </w:rPr>
        <w:t>rózsaszínű</w:t>
      </w:r>
      <w:r w:rsidR="00B62AE4" w:rsidRPr="00D15884">
        <w:rPr>
          <w:w w:val="105"/>
          <w:sz w:val="22"/>
          <w:szCs w:val="22"/>
        </w:rPr>
        <w:t xml:space="preserve">, </w:t>
      </w:r>
      <w:r w:rsidR="00DE3480" w:rsidRPr="00D15884">
        <w:rPr>
          <w:w w:val="105"/>
          <w:sz w:val="22"/>
          <w:szCs w:val="22"/>
        </w:rPr>
        <w:t>módosított ovális alakú</w:t>
      </w:r>
      <w:r w:rsidR="00B62AE4" w:rsidRPr="00D15884">
        <w:rPr>
          <w:w w:val="105"/>
          <w:sz w:val="22"/>
          <w:szCs w:val="22"/>
        </w:rPr>
        <w:t>, egyik oldalán „</w:t>
      </w:r>
      <w:r w:rsidR="004C106B" w:rsidRPr="00D15884">
        <w:rPr>
          <w:w w:val="105"/>
          <w:sz w:val="22"/>
          <w:szCs w:val="22"/>
        </w:rPr>
        <w:t>TV</w:t>
      </w:r>
      <w:r w:rsidR="00B62AE4" w:rsidRPr="00D15884">
        <w:rPr>
          <w:w w:val="105"/>
          <w:sz w:val="22"/>
          <w:szCs w:val="22"/>
        </w:rPr>
        <w:t>”, másik oldalán „</w:t>
      </w:r>
      <w:r w:rsidR="004C106B" w:rsidRPr="00D15884">
        <w:rPr>
          <w:w w:val="105"/>
          <w:sz w:val="22"/>
          <w:szCs w:val="22"/>
        </w:rPr>
        <w:t>G</w:t>
      </w:r>
      <w:r w:rsidR="00DE3480" w:rsidRPr="00D15884">
        <w:rPr>
          <w:w w:val="105"/>
          <w:sz w:val="22"/>
          <w:szCs w:val="22"/>
        </w:rPr>
        <w:t>2</w:t>
      </w:r>
      <w:r w:rsidR="00B62AE4" w:rsidRPr="00D15884">
        <w:rPr>
          <w:w w:val="105"/>
          <w:sz w:val="22"/>
          <w:szCs w:val="22"/>
        </w:rPr>
        <w:t>” jel</w:t>
      </w:r>
      <w:r w:rsidRPr="00D15884">
        <w:rPr>
          <w:w w:val="105"/>
          <w:sz w:val="22"/>
          <w:szCs w:val="22"/>
        </w:rPr>
        <w:t>ölé</w:t>
      </w:r>
      <w:r w:rsidR="00B62AE4" w:rsidRPr="00D15884">
        <w:rPr>
          <w:w w:val="105"/>
          <w:sz w:val="22"/>
          <w:szCs w:val="22"/>
        </w:rPr>
        <w:t xml:space="preserve">ssel ellátott </w:t>
      </w:r>
      <w:r w:rsidRPr="00D15884">
        <w:rPr>
          <w:w w:val="105"/>
          <w:sz w:val="22"/>
          <w:szCs w:val="22"/>
        </w:rPr>
        <w:t>film</w:t>
      </w:r>
      <w:r w:rsidR="00B62AE4" w:rsidRPr="00D15884">
        <w:rPr>
          <w:w w:val="105"/>
          <w:sz w:val="22"/>
          <w:szCs w:val="22"/>
        </w:rPr>
        <w:t>tabletta.</w:t>
      </w:r>
      <w:r w:rsidR="004C106B" w:rsidRPr="00D15884">
        <w:rPr>
          <w:w w:val="105"/>
          <w:sz w:val="22"/>
          <w:szCs w:val="22"/>
        </w:rPr>
        <w:t xml:space="preserve"> </w:t>
      </w:r>
      <w:r w:rsidR="005A0CDA" w:rsidRPr="00D15884">
        <w:rPr>
          <w:sz w:val="22"/>
          <w:szCs w:val="22"/>
        </w:rPr>
        <w:t>Hosszúság: 9,9-10,5 mm, szélesség: 5,0-5,6 mm, magasság: 4,2-4,8</w:t>
      </w:r>
      <w:r w:rsidR="001840F8" w:rsidRPr="00D15884">
        <w:rPr>
          <w:sz w:val="22"/>
          <w:szCs w:val="22"/>
        </w:rPr>
        <w:t> .</w:t>
      </w:r>
      <w:r w:rsidR="005A0CDA" w:rsidRPr="00D15884">
        <w:rPr>
          <w:sz w:val="22"/>
          <w:szCs w:val="22"/>
        </w:rPr>
        <w:t>mm.</w:t>
      </w:r>
    </w:p>
    <w:p w14:paraId="20BDB848" w14:textId="0E99D323" w:rsidR="00B62AE4" w:rsidRPr="000149DA" w:rsidRDefault="00B62AE4" w:rsidP="00B62AE4">
      <w:pPr>
        <w:pStyle w:val="Nincstrkz"/>
        <w:rPr>
          <w:rFonts w:cs="Times New Roman"/>
        </w:rPr>
      </w:pPr>
    </w:p>
    <w:p w14:paraId="01EB6145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DFF5182" w14:textId="7CEF0C3C" w:rsidR="00B62AE4" w:rsidRPr="000149DA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KLINIKAI</w:t>
      </w:r>
      <w:r w:rsidR="00B62AE4" w:rsidRPr="000149DA">
        <w:rPr>
          <w:rFonts w:cs="Times New Roman"/>
          <w:b/>
          <w:bCs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JELLEMZŐK</w:t>
      </w:r>
    </w:p>
    <w:p w14:paraId="06E6BFF9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D5F7278" w14:textId="0010D78D" w:rsidR="00B62AE4" w:rsidRPr="000149DA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4.1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Terápiás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javallatok</w:t>
      </w:r>
    </w:p>
    <w:p w14:paraId="31B75C95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4CF3251E" w14:textId="77777777" w:rsidR="00DF6160" w:rsidRPr="00304D8C" w:rsidRDefault="00DF6160" w:rsidP="00E9620D">
      <w:pPr>
        <w:pStyle w:val="Nincstrkz"/>
        <w:rPr>
          <w:rFonts w:cs="Times New Roman"/>
          <w:u w:val="single"/>
        </w:rPr>
      </w:pPr>
      <w:r w:rsidRPr="00304D8C">
        <w:rPr>
          <w:rFonts w:cs="Times New Roman"/>
          <w:u w:val="single"/>
        </w:rPr>
        <w:t>Felnőttek</w:t>
      </w:r>
    </w:p>
    <w:p w14:paraId="77C30FA4" w14:textId="5F25EC9D" w:rsidR="00B62AE4" w:rsidRPr="000149DA" w:rsidRDefault="004B45F8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S</w:t>
      </w:r>
      <w:r w:rsidR="00B62AE4" w:rsidRPr="000149DA">
        <w:rPr>
          <w:rFonts w:cs="Times New Roman"/>
        </w:rPr>
        <w:t xml:space="preserve">troke és a szisztémás embolizáció megelőzése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(NVPF) szenvedő, </w:t>
      </w:r>
      <w:r w:rsidR="00023B78" w:rsidRPr="000149DA">
        <w:rPr>
          <w:rFonts w:cs="Times New Roman"/>
        </w:rPr>
        <w:t xml:space="preserve">olyan </w:t>
      </w:r>
      <w:r w:rsidRPr="000149DA">
        <w:rPr>
          <w:rFonts w:cs="Times New Roman"/>
        </w:rPr>
        <w:t>felnőtt</w:t>
      </w:r>
      <w:r w:rsidR="008E164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eknél, akiknél </w:t>
      </w:r>
      <w:r w:rsidR="00B62AE4" w:rsidRPr="000149DA">
        <w:rPr>
          <w:rFonts w:cs="Times New Roman"/>
        </w:rPr>
        <w:t>egy vagy több kockázati tényező</w:t>
      </w:r>
      <w:r w:rsidRPr="000149DA">
        <w:rPr>
          <w:rFonts w:cs="Times New Roman"/>
        </w:rPr>
        <w:t xml:space="preserve"> áll fenn</w:t>
      </w:r>
      <w:r w:rsidR="00B62AE4" w:rsidRPr="000149DA">
        <w:rPr>
          <w:rFonts w:cs="Times New Roman"/>
        </w:rPr>
        <w:t>, például korábbi stroke vagy transiens ischaemiás attak (TIA), 75</w:t>
      </w:r>
      <w:r w:rsidR="00045408" w:rsidRPr="000149DA">
        <w:rPr>
          <w:rFonts w:cs="Times New Roman"/>
        </w:rPr>
        <w:t> év</w:t>
      </w:r>
      <w:r w:rsidR="00023B78" w:rsidRPr="000149DA">
        <w:rPr>
          <w:rFonts w:cs="Times New Roman"/>
        </w:rPr>
        <w:t>es</w:t>
      </w:r>
      <w:r w:rsidR="00B62AE4" w:rsidRPr="000149DA">
        <w:rPr>
          <w:rFonts w:cs="Times New Roman"/>
        </w:rPr>
        <w:t xml:space="preserve"> vagy a</w:t>
      </w:r>
      <w:r w:rsidR="00542CE1" w:rsidRPr="000149DA">
        <w:rPr>
          <w:rFonts w:cs="Times New Roman"/>
        </w:rPr>
        <w:t>nnál idősebb</w:t>
      </w:r>
      <w:r w:rsidR="00B62AE4" w:rsidRPr="000149DA">
        <w:rPr>
          <w:rFonts w:cs="Times New Roman"/>
        </w:rPr>
        <w:t>, hypertonia, diabetes mellitus, valamint tünetekkel járó szívelégtelenség (NYHA stádium ≥</w:t>
      </w:r>
      <w:r w:rsidR="00023B78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II).</w:t>
      </w:r>
    </w:p>
    <w:p w14:paraId="113C03DD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5975662B" w14:textId="771216AD" w:rsidR="00B62AE4" w:rsidRPr="000149DA" w:rsidRDefault="00822B30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>élyvénás thrombosis (MVT) és a pulmonalis embolia (PE) kezelése, valamint az MVT és a PE kiújulásának megelőzése felnőtteknél (a hemodinamikailag instabil tüdőembóliás</w:t>
      </w:r>
      <w:r w:rsidR="008E1640" w:rsidRPr="000149DA">
        <w:rPr>
          <w:rFonts w:cs="Times New Roman"/>
        </w:rPr>
        <w:t xml:space="preserve"> betegeket</w:t>
      </w:r>
      <w:r w:rsidR="00B62AE4" w:rsidRPr="000149DA">
        <w:rPr>
          <w:rFonts w:cs="Times New Roman"/>
        </w:rPr>
        <w:t xml:space="preserve"> lásd a</w:t>
      </w:r>
      <w:r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4.4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ban).</w:t>
      </w:r>
    </w:p>
    <w:p w14:paraId="69DBD75A" w14:textId="77777777" w:rsidR="00DF6160" w:rsidRDefault="00DF6160" w:rsidP="00DF6160">
      <w:pPr>
        <w:pStyle w:val="Nincstrkz"/>
        <w:rPr>
          <w:rFonts w:cs="Times New Roman"/>
        </w:rPr>
      </w:pPr>
    </w:p>
    <w:p w14:paraId="31E17582" w14:textId="77777777" w:rsidR="00DF6160" w:rsidRPr="00C62760" w:rsidRDefault="00DF6160" w:rsidP="00DF6160">
      <w:pPr>
        <w:pStyle w:val="Nincstrkz"/>
        <w:rPr>
          <w:u w:val="single"/>
        </w:rPr>
      </w:pPr>
      <w:r w:rsidRPr="00C62760">
        <w:rPr>
          <w:u w:val="single"/>
        </w:rPr>
        <w:t xml:space="preserve">Gyermekek </w:t>
      </w:r>
      <w:r w:rsidRPr="00C62760">
        <w:rPr>
          <w:rFonts w:hint="eastAsia"/>
          <w:u w:val="single"/>
        </w:rPr>
        <w:t>é</w:t>
      </w:r>
      <w:r w:rsidRPr="00C62760">
        <w:rPr>
          <w:u w:val="single"/>
        </w:rPr>
        <w:t>s serd</w:t>
      </w:r>
      <w:r w:rsidRPr="00C62760">
        <w:rPr>
          <w:rFonts w:hint="eastAsia"/>
          <w:u w:val="single"/>
        </w:rPr>
        <w:t>ü</w:t>
      </w:r>
      <w:r w:rsidRPr="00C62760">
        <w:rPr>
          <w:u w:val="single"/>
        </w:rPr>
        <w:t>l</w:t>
      </w:r>
      <w:r w:rsidRPr="00C62760">
        <w:rPr>
          <w:rFonts w:hint="eastAsia"/>
          <w:u w:val="single"/>
        </w:rPr>
        <w:t>ő</w:t>
      </w:r>
      <w:r w:rsidRPr="00C62760">
        <w:rPr>
          <w:u w:val="single"/>
        </w:rPr>
        <w:t>k</w:t>
      </w:r>
    </w:p>
    <w:p w14:paraId="3165BF97" w14:textId="77777777" w:rsidR="00DF6160" w:rsidRPr="00C968C6" w:rsidRDefault="00DF6160" w:rsidP="00DF6160">
      <w:pPr>
        <w:pStyle w:val="Nincstrkz"/>
        <w:rPr>
          <w:rFonts w:cs="Times New Roman"/>
        </w:rPr>
      </w:pPr>
      <w:r w:rsidRPr="005E3F84">
        <w:t>V</w:t>
      </w:r>
      <w:r w:rsidRPr="005E3F84">
        <w:rPr>
          <w:rFonts w:hint="eastAsia"/>
        </w:rPr>
        <w:t>é</w:t>
      </w:r>
      <w:r w:rsidRPr="005E3F84">
        <w:t>n</w:t>
      </w:r>
      <w:r w:rsidRPr="005E3F84">
        <w:rPr>
          <w:rFonts w:hint="eastAsia"/>
        </w:rPr>
        <w:t>á</w:t>
      </w:r>
      <w:r w:rsidRPr="005E3F84">
        <w:t>s thromboembolia (VTE) kezel</w:t>
      </w:r>
      <w:r w:rsidRPr="005E3F84">
        <w:rPr>
          <w:rFonts w:hint="eastAsia"/>
        </w:rPr>
        <w:t>é</w:t>
      </w:r>
      <w:r w:rsidRPr="005E3F84">
        <w:t xml:space="preserve">se </w:t>
      </w:r>
      <w:r w:rsidRPr="005E3F84">
        <w:rPr>
          <w:rFonts w:hint="eastAsia"/>
        </w:rPr>
        <w:t>é</w:t>
      </w:r>
      <w:r w:rsidRPr="005E3F84">
        <w:t>s a VTE ki</w:t>
      </w:r>
      <w:r w:rsidRPr="005E3F84">
        <w:rPr>
          <w:rFonts w:hint="eastAsia"/>
        </w:rPr>
        <w:t>ú</w:t>
      </w:r>
      <w:r w:rsidRPr="005E3F84">
        <w:t>jul</w:t>
      </w:r>
      <w:r w:rsidRPr="005E3F84">
        <w:rPr>
          <w:rFonts w:hint="eastAsia"/>
        </w:rPr>
        <w:t>á</w:t>
      </w:r>
      <w:r w:rsidRPr="005E3F84">
        <w:t>s</w:t>
      </w:r>
      <w:r w:rsidRPr="005E3F84">
        <w:rPr>
          <w:rFonts w:hint="eastAsia"/>
        </w:rPr>
        <w:t>á</w:t>
      </w:r>
      <w:r w:rsidRPr="005E3F84">
        <w:t>nak megel</w:t>
      </w:r>
      <w:r w:rsidRPr="005E3F84">
        <w:rPr>
          <w:rFonts w:hint="eastAsia"/>
        </w:rPr>
        <w:t>ő</w:t>
      </w:r>
      <w:r w:rsidRPr="005E3F84">
        <w:t>z</w:t>
      </w:r>
      <w:r w:rsidRPr="005E3F84">
        <w:rPr>
          <w:rFonts w:hint="eastAsia"/>
        </w:rPr>
        <w:t>é</w:t>
      </w:r>
      <w:r w:rsidRPr="005E3F84">
        <w:t>se gyermekekn</w:t>
      </w:r>
      <w:r w:rsidRPr="005E3F84">
        <w:rPr>
          <w:rFonts w:hint="eastAsia"/>
        </w:rPr>
        <w:t>é</w:t>
      </w:r>
      <w:r w:rsidRPr="005E3F84">
        <w:t xml:space="preserve">l </w:t>
      </w:r>
      <w:r w:rsidRPr="005E3F84">
        <w:rPr>
          <w:rFonts w:hint="eastAsia"/>
        </w:rPr>
        <w:t>é</w:t>
      </w:r>
      <w:r w:rsidRPr="005E3F84">
        <w:t>s</w:t>
      </w:r>
      <w:r>
        <w:t xml:space="preserve"> </w:t>
      </w:r>
      <w:r w:rsidRPr="005E3F84">
        <w:rPr>
          <w:rFonts w:cs="Times New Roman"/>
          <w:lang w:bidi="hu-HU"/>
        </w:rPr>
        <w:t>serd</w:t>
      </w:r>
      <w:r w:rsidRPr="005E3F84">
        <w:rPr>
          <w:rFonts w:cs="Times New Roman" w:hint="eastAsia"/>
          <w:lang w:bidi="hu-HU"/>
        </w:rPr>
        <w:t>ü</w:t>
      </w:r>
      <w:r w:rsidRPr="005E3F84">
        <w:rPr>
          <w:rFonts w:cs="Times New Roman"/>
          <w:lang w:bidi="hu-HU"/>
        </w:rPr>
        <w:t>l</w:t>
      </w:r>
      <w:r w:rsidRPr="005E3F84">
        <w:rPr>
          <w:rFonts w:cs="Times New Roman" w:hint="eastAsia"/>
          <w:lang w:bidi="hu-HU"/>
        </w:rPr>
        <w:t>ő</w:t>
      </w:r>
      <w:r w:rsidRPr="005E3F84">
        <w:rPr>
          <w:rFonts w:cs="Times New Roman"/>
          <w:lang w:bidi="hu-HU"/>
        </w:rPr>
        <w:t>kn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 28 napos kort</w:t>
      </w:r>
      <w:r w:rsidRPr="005E3F84">
        <w:rPr>
          <w:rFonts w:cs="Times New Roman" w:hint="eastAsia"/>
          <w:lang w:bidi="hu-HU"/>
        </w:rPr>
        <w:t>ó</w:t>
      </w:r>
      <w:r w:rsidRPr="005E3F84">
        <w:rPr>
          <w:rFonts w:cs="Times New Roman"/>
          <w:lang w:bidi="hu-HU"/>
        </w:rPr>
        <w:t>l bet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>lt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 xml:space="preserve">tt 18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 xml:space="preserve">ves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letkorig.</w:t>
      </w:r>
    </w:p>
    <w:p w14:paraId="07DD659A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38F8096" w14:textId="77777777" w:rsidR="00B62AE4" w:rsidRPr="000149DA" w:rsidRDefault="00B62AE4" w:rsidP="004C63AE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4.2</w:t>
      </w:r>
      <w:r w:rsidRPr="000149DA">
        <w:rPr>
          <w:rFonts w:cs="Times New Roman"/>
          <w:b/>
          <w:bCs/>
          <w:w w:val="105"/>
        </w:rPr>
        <w:tab/>
        <w:t>Adagolás és</w:t>
      </w:r>
      <w:r w:rsidRPr="000149DA">
        <w:rPr>
          <w:rFonts w:cs="Times New Roman"/>
          <w:b/>
          <w:bCs/>
          <w:spacing w:val="-3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alkalmazás</w:t>
      </w:r>
    </w:p>
    <w:p w14:paraId="4344EAC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5F0EBC1" w14:textId="77777777" w:rsidR="00B62AE4" w:rsidRPr="000149DA" w:rsidRDefault="00B62AE4" w:rsidP="00E9620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w w:val="105"/>
          <w:u w:val="single"/>
        </w:rPr>
        <w:t>Adagolás</w:t>
      </w:r>
    </w:p>
    <w:p w14:paraId="46911BD0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4A3588EE" w14:textId="1C38C956" w:rsidR="00B62AE4" w:rsidRPr="000149DA" w:rsidRDefault="0071156E" w:rsidP="00E9620D">
      <w:pPr>
        <w:pStyle w:val="Nincstrkz"/>
        <w:rPr>
          <w:rFonts w:cs="Times New Roman"/>
          <w:i/>
          <w:u w:val="single"/>
        </w:rPr>
      </w:pPr>
      <w:r w:rsidRPr="000149DA">
        <w:rPr>
          <w:rFonts w:cs="Times New Roman"/>
          <w:i/>
          <w:w w:val="105"/>
          <w:u w:val="single"/>
        </w:rPr>
        <w:t>S</w:t>
      </w:r>
      <w:r w:rsidR="00B62AE4" w:rsidRPr="000149DA">
        <w:rPr>
          <w:rFonts w:cs="Times New Roman"/>
          <w:i/>
          <w:w w:val="105"/>
          <w:u w:val="single"/>
        </w:rPr>
        <w:t xml:space="preserve">troke és szisztémás embolizáció megelőzése nem </w:t>
      </w:r>
      <w:r w:rsidR="00956D6F" w:rsidRPr="000149DA">
        <w:rPr>
          <w:rFonts w:cs="Times New Roman"/>
          <w:i/>
          <w:w w:val="105"/>
          <w:u w:val="single"/>
        </w:rPr>
        <w:t>valvuláris</w:t>
      </w:r>
      <w:r w:rsidR="00B62AE4" w:rsidRPr="000149DA">
        <w:rPr>
          <w:rFonts w:cs="Times New Roman"/>
          <w:i/>
          <w:w w:val="105"/>
          <w:u w:val="single"/>
        </w:rPr>
        <w:t xml:space="preserve"> pitvarfibrillációban (NVPF) szenvedő</w:t>
      </w:r>
      <w:r w:rsidR="00DF6160">
        <w:rPr>
          <w:rFonts w:cs="Times New Roman"/>
          <w:i/>
          <w:w w:val="105"/>
          <w:u w:val="single"/>
        </w:rPr>
        <w:t xml:space="preserve"> felnőtt</w:t>
      </w:r>
      <w:r w:rsidR="008E1640" w:rsidRPr="000149DA">
        <w:rPr>
          <w:rFonts w:cs="Times New Roman"/>
          <w:i/>
          <w:w w:val="105"/>
          <w:u w:val="single"/>
        </w:rPr>
        <w:t xml:space="preserve"> </w:t>
      </w:r>
      <w:r w:rsidR="00A1416D" w:rsidRPr="000149DA">
        <w:rPr>
          <w:rFonts w:cs="Times New Roman"/>
          <w:i/>
          <w:w w:val="105"/>
          <w:u w:val="single"/>
        </w:rPr>
        <w:t>beteg</w:t>
      </w:r>
      <w:r w:rsidR="00B62AE4" w:rsidRPr="000149DA">
        <w:rPr>
          <w:rFonts w:cs="Times New Roman"/>
          <w:i/>
          <w:w w:val="105"/>
          <w:u w:val="single"/>
        </w:rPr>
        <w:t>eknél</w:t>
      </w:r>
    </w:p>
    <w:p w14:paraId="02D2EDCD" w14:textId="34E164BD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 xml:space="preserve">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javasolt adagja</w:t>
      </w:r>
      <w:r w:rsidR="001F3291" w:rsidRPr="000149DA">
        <w:rPr>
          <w:rFonts w:cs="Times New Roman"/>
          <w:w w:val="105"/>
        </w:rPr>
        <w:t xml:space="preserve"> </w:t>
      </w:r>
      <w:r w:rsidR="003B67D5" w:rsidRPr="000149DA">
        <w:rPr>
          <w:rFonts w:cs="Times New Roman"/>
          <w:w w:val="105"/>
        </w:rPr>
        <w:t>nap</w:t>
      </w:r>
      <w:r w:rsidRPr="000149DA">
        <w:rPr>
          <w:rFonts w:cs="Times New Roman"/>
          <w:w w:val="105"/>
        </w:rPr>
        <w:t>onta kétszer 5</w:t>
      </w:r>
      <w:r w:rsidR="004C106B" w:rsidRPr="000149DA">
        <w:rPr>
          <w:rFonts w:cs="Times New Roman"/>
          <w:w w:val="105"/>
        </w:rPr>
        <w:t> mg</w:t>
      </w:r>
      <w:r w:rsidRPr="000149DA">
        <w:rPr>
          <w:rFonts w:cs="Times New Roman"/>
          <w:w w:val="105"/>
        </w:rPr>
        <w:t xml:space="preserve">, szájon át </w:t>
      </w:r>
      <w:r w:rsidR="006B1187" w:rsidRPr="000149DA">
        <w:rPr>
          <w:rFonts w:cs="Times New Roman"/>
          <w:w w:val="105"/>
        </w:rPr>
        <w:t>alkalmazva</w:t>
      </w:r>
      <w:r w:rsidRPr="000149DA">
        <w:rPr>
          <w:rFonts w:cs="Times New Roman"/>
          <w:w w:val="105"/>
        </w:rPr>
        <w:t>.</w:t>
      </w:r>
    </w:p>
    <w:p w14:paraId="70F9950E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31D83426" w14:textId="5A61D71D" w:rsidR="00B62AE4" w:rsidRPr="000149DA" w:rsidRDefault="00B62AE4" w:rsidP="00E9620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  <w:w w:val="105"/>
        </w:rPr>
        <w:t>Dóziscsökkentés</w:t>
      </w:r>
      <w:r w:rsidR="004D3967" w:rsidRPr="000149DA">
        <w:rPr>
          <w:rFonts w:cs="Times New Roman"/>
          <w:i/>
          <w:iCs/>
          <w:w w:val="105"/>
        </w:rPr>
        <w:t xml:space="preserve"> </w:t>
      </w:r>
    </w:p>
    <w:p w14:paraId="4E555C29" w14:textId="1B7176CE" w:rsidR="00B62AE4" w:rsidRPr="000149DA" w:rsidRDefault="00847342" w:rsidP="00E9620D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0"/>
          <w:w w:val="105"/>
        </w:rPr>
        <w:t xml:space="preserve">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javasolt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 xml:space="preserve">adagja </w:t>
      </w:r>
      <w:r w:rsidRPr="000149DA">
        <w:rPr>
          <w:rFonts w:cs="Times New Roman"/>
          <w:spacing w:val="-8"/>
          <w:w w:val="105"/>
        </w:rPr>
        <w:t>nap</w:t>
      </w:r>
      <w:r w:rsidRPr="000149DA">
        <w:rPr>
          <w:rFonts w:cs="Times New Roman"/>
          <w:w w:val="105"/>
        </w:rPr>
        <w:t>onta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kétszer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2,5</w:t>
      </w:r>
      <w:r w:rsidRPr="000149DA">
        <w:rPr>
          <w:rFonts w:cs="Times New Roman"/>
          <w:spacing w:val="-9"/>
          <w:w w:val="105"/>
        </w:rPr>
        <w:t> mg</w:t>
      </w:r>
      <w:r w:rsidRPr="000149DA">
        <w:rPr>
          <w:rFonts w:cs="Times New Roman"/>
          <w:w w:val="105"/>
        </w:rPr>
        <w:t>,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szájon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át</w:t>
      </w:r>
      <w:r w:rsidRPr="000149DA">
        <w:rPr>
          <w:rFonts w:cs="Times New Roman"/>
          <w:spacing w:val="-10"/>
          <w:w w:val="105"/>
        </w:rPr>
        <w:t xml:space="preserve"> </w:t>
      </w:r>
      <w:r w:rsidR="006B1187" w:rsidRPr="000149DA">
        <w:rPr>
          <w:rFonts w:cs="Times New Roman"/>
          <w:w w:val="105"/>
        </w:rPr>
        <w:t xml:space="preserve">alkalmazva </w:t>
      </w:r>
      <w:r w:rsidRPr="000149DA">
        <w:rPr>
          <w:rFonts w:cs="Times New Roman"/>
          <w:w w:val="105"/>
        </w:rPr>
        <w:t>azoknál a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nem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1F3291" w:rsidRPr="000149DA">
        <w:rPr>
          <w:rFonts w:cs="Times New Roman"/>
          <w:w w:val="105"/>
        </w:rPr>
        <w:t>valvuláris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pitvarfibrillációban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szenvedő</w:t>
      </w:r>
      <w:r w:rsidR="00D27252" w:rsidRPr="000149DA">
        <w:rPr>
          <w:rFonts w:cs="Times New Roman"/>
          <w:w w:val="105"/>
        </w:rPr>
        <w:t xml:space="preserve"> betegeknél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akiknél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az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alábbi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jellemzők közül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legalább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 xml:space="preserve">kettő </w:t>
      </w:r>
      <w:r w:rsidR="00B62AE4" w:rsidRPr="000149DA">
        <w:rPr>
          <w:rFonts w:cs="Times New Roman"/>
          <w:w w:val="105"/>
        </w:rPr>
        <w:t>megtalálható: életkor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≥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80</w:t>
      </w:r>
      <w:r w:rsidR="00045408" w:rsidRPr="000149DA">
        <w:rPr>
          <w:rFonts w:cs="Times New Roman"/>
          <w:spacing w:val="-5"/>
          <w:w w:val="105"/>
        </w:rPr>
        <w:t> év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testtömeg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≤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60</w:t>
      </w:r>
      <w:r w:rsidR="00B75CD6" w:rsidRPr="000149DA">
        <w:rPr>
          <w:rFonts w:cs="Times New Roman"/>
          <w:spacing w:val="-5"/>
          <w:w w:val="105"/>
        </w:rPr>
        <w:t> kg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vagy</w:t>
      </w:r>
      <w:r w:rsidR="00B62AE4" w:rsidRPr="000149DA">
        <w:rPr>
          <w:rFonts w:cs="Times New Roman"/>
          <w:spacing w:val="-4"/>
          <w:w w:val="105"/>
        </w:rPr>
        <w:t xml:space="preserve"> </w:t>
      </w:r>
      <w:r w:rsidR="00B62AE4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szérum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kreatininszint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≥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1,5</w:t>
      </w:r>
      <w:r w:rsidR="004C106B" w:rsidRPr="000149DA">
        <w:rPr>
          <w:rFonts w:cs="Times New Roman"/>
          <w:spacing w:val="-5"/>
          <w:w w:val="105"/>
        </w:rPr>
        <w:t> mg</w:t>
      </w:r>
      <w:r w:rsidR="00B62AE4" w:rsidRPr="000149DA">
        <w:rPr>
          <w:rFonts w:cs="Times New Roman"/>
          <w:w w:val="105"/>
        </w:rPr>
        <w:t>/dl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(133</w:t>
      </w:r>
      <w:r w:rsidR="001706DF" w:rsidRPr="000149DA">
        <w:rPr>
          <w:rFonts w:cs="Times New Roman"/>
          <w:spacing w:val="-5"/>
          <w:w w:val="105"/>
        </w:rPr>
        <w:t> </w:t>
      </w:r>
      <w:r w:rsidR="00B62AE4" w:rsidRPr="000149DA">
        <w:rPr>
          <w:rFonts w:cs="Times New Roman"/>
          <w:w w:val="105"/>
        </w:rPr>
        <w:t>mikromol/l).</w:t>
      </w:r>
    </w:p>
    <w:p w14:paraId="3BBD803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6FED7AD9" w14:textId="77777777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 kezelést hosszú időn keresztül kell folytatni.</w:t>
      </w:r>
    </w:p>
    <w:p w14:paraId="048EDD1C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77C51B77" w14:textId="41F4FFD2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lastRenderedPageBreak/>
        <w:t>MVT kezelése, PE kezelése és az MVT</w:t>
      </w:r>
      <w:r w:rsidR="002E16CA" w:rsidRPr="000149DA">
        <w:rPr>
          <w:rFonts w:cs="Times New Roman"/>
          <w:i/>
          <w:iCs/>
          <w:u w:val="single"/>
        </w:rPr>
        <w:t>, valamint a</w:t>
      </w:r>
      <w:r w:rsidRPr="000149DA">
        <w:rPr>
          <w:rFonts w:cs="Times New Roman"/>
          <w:i/>
          <w:iCs/>
          <w:u w:val="single"/>
        </w:rPr>
        <w:t xml:space="preserve"> PE kiújulásának megelőzése (együtt: VTE</w:t>
      </w:r>
      <w:r w:rsidR="002E16CA" w:rsidRPr="000149DA">
        <w:rPr>
          <w:rFonts w:cs="Times New Roman"/>
          <w:i/>
          <w:iCs/>
          <w:u w:val="single"/>
        </w:rPr>
        <w:noBreakHyphen/>
      </w:r>
      <w:r w:rsidR="00D27252" w:rsidRPr="000149DA">
        <w:rPr>
          <w:rFonts w:cs="Times New Roman"/>
          <w:i/>
          <w:iCs/>
          <w:u w:val="single"/>
        </w:rPr>
        <w:t>terápia</w:t>
      </w:r>
      <w:r w:rsidR="002E16CA" w:rsidRPr="000149DA">
        <w:rPr>
          <w:rFonts w:cs="Times New Roman"/>
          <w:i/>
          <w:iCs/>
          <w:u w:val="single"/>
        </w:rPr>
        <w:t>, VTE</w:t>
      </w:r>
      <w:r w:rsidR="00D27252" w:rsidRPr="000149DA">
        <w:rPr>
          <w:rFonts w:cs="Times New Roman"/>
          <w:i/>
          <w:iCs/>
          <w:u w:val="single"/>
        </w:rPr>
        <w:t>t</w:t>
      </w:r>
      <w:r w:rsidRPr="000149DA">
        <w:rPr>
          <w:rFonts w:cs="Times New Roman"/>
          <w:i/>
          <w:iCs/>
          <w:u w:val="single"/>
        </w:rPr>
        <w:t>)</w:t>
      </w:r>
      <w:r w:rsidR="00DF6160">
        <w:rPr>
          <w:rFonts w:cs="Times New Roman"/>
          <w:i/>
          <w:iCs/>
          <w:u w:val="single"/>
        </w:rPr>
        <w:t xml:space="preserve"> felnőtteknél</w:t>
      </w:r>
    </w:p>
    <w:p w14:paraId="3886D75A" w14:textId="5052EA9E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javasolt adagja akut mélyvénás thrombosis </w:t>
      </w:r>
      <w:r w:rsidR="00205DB7" w:rsidRPr="000149DA">
        <w:rPr>
          <w:rFonts w:cs="Times New Roman"/>
        </w:rPr>
        <w:t xml:space="preserve">(MVT) </w:t>
      </w:r>
      <w:r w:rsidRPr="000149DA">
        <w:rPr>
          <w:rFonts w:cs="Times New Roman"/>
        </w:rPr>
        <w:t xml:space="preserve">és pulmonalis embolia </w:t>
      </w:r>
      <w:r w:rsidR="00205DB7" w:rsidRPr="000149DA">
        <w:rPr>
          <w:rFonts w:cs="Times New Roman"/>
        </w:rPr>
        <w:t xml:space="preserve">(PE) </w:t>
      </w:r>
      <w:r w:rsidRPr="000149DA">
        <w:rPr>
          <w:rFonts w:cs="Times New Roman"/>
        </w:rPr>
        <w:t xml:space="preserve">kezelésére </w:t>
      </w:r>
      <w:r w:rsidR="00205DB7" w:rsidRPr="000149DA">
        <w:rPr>
          <w:rFonts w:cs="Times New Roman"/>
        </w:rPr>
        <w:t xml:space="preserve">naponta kétszer 10 mg szájon át </w:t>
      </w:r>
      <w:r w:rsidR="006B1187" w:rsidRPr="000149DA">
        <w:rPr>
          <w:rFonts w:cs="Times New Roman"/>
        </w:rPr>
        <w:t xml:space="preserve">alkalmazva </w:t>
      </w:r>
      <w:r w:rsidRPr="000149DA">
        <w:rPr>
          <w:rFonts w:cs="Times New Roman"/>
        </w:rPr>
        <w:t>az első 7</w:t>
      </w:r>
      <w:r w:rsidR="00451F5E" w:rsidRPr="000149DA">
        <w:rPr>
          <w:rFonts w:cs="Times New Roman"/>
        </w:rPr>
        <w:t> napon</w:t>
      </w:r>
      <w:r w:rsidRPr="000149DA">
        <w:rPr>
          <w:rFonts w:cs="Times New Roman"/>
        </w:rPr>
        <w:t>, majd azt követően</w:t>
      </w:r>
      <w:r w:rsidR="0099526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 xml:space="preserve">onta kétszer </w:t>
      </w:r>
      <w:r w:rsidR="00995269" w:rsidRPr="000149DA">
        <w:rPr>
          <w:rFonts w:cs="Times New Roman"/>
          <w:i/>
          <w:iCs/>
        </w:rPr>
        <w:t>per os</w:t>
      </w:r>
      <w:r w:rsidR="009952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. A rendelkezésre álló orvosi </w:t>
      </w:r>
      <w:r w:rsidR="00205DB7" w:rsidRPr="000149DA">
        <w:rPr>
          <w:rFonts w:cs="Times New Roman"/>
        </w:rPr>
        <w:t>ajánlások</w:t>
      </w:r>
      <w:r w:rsidRPr="000149DA">
        <w:rPr>
          <w:rFonts w:cs="Times New Roman"/>
        </w:rPr>
        <w:t xml:space="preserve"> szerint a rövid időtartamú (legalább</w:t>
      </w:r>
      <w:r w:rsidR="00205DB7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3</w:t>
      </w:r>
      <w:r w:rsidR="00205DB7" w:rsidRPr="000149DA">
        <w:rPr>
          <w:rFonts w:cs="Times New Roman"/>
        </w:rPr>
        <w:t> </w:t>
      </w:r>
      <w:r w:rsidRPr="000149DA">
        <w:rPr>
          <w:rFonts w:cs="Times New Roman"/>
        </w:rPr>
        <w:t>hónap</w:t>
      </w:r>
      <w:r w:rsidR="00205DB7" w:rsidRPr="000149DA">
        <w:rPr>
          <w:rFonts w:cs="Times New Roman"/>
        </w:rPr>
        <w:t>os</w:t>
      </w:r>
      <w:r w:rsidRPr="000149DA">
        <w:rPr>
          <w:rFonts w:cs="Times New Roman"/>
        </w:rPr>
        <w:t xml:space="preserve">) </w:t>
      </w:r>
      <w:r w:rsidR="00205DB7" w:rsidRPr="000149DA">
        <w:rPr>
          <w:rFonts w:cs="Times New Roman"/>
        </w:rPr>
        <w:t xml:space="preserve">terápiának </w:t>
      </w:r>
      <w:r w:rsidRPr="000149DA">
        <w:rPr>
          <w:rFonts w:cs="Times New Roman"/>
        </w:rPr>
        <w:t xml:space="preserve">az átmeneti kockázati tényezőkön (pl. nemrégiben lezajlott műtét, trauma, </w:t>
      </w:r>
      <w:r w:rsidR="00205DB7" w:rsidRPr="000149DA">
        <w:rPr>
          <w:rFonts w:cs="Times New Roman"/>
        </w:rPr>
        <w:t>i</w:t>
      </w:r>
      <w:r w:rsidRPr="000149DA">
        <w:rPr>
          <w:rFonts w:cs="Times New Roman"/>
        </w:rPr>
        <w:t>mmobilizáció) kell alapulnia.</w:t>
      </w:r>
    </w:p>
    <w:p w14:paraId="280060AD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0853C50B" w14:textId="14F0A39C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MVT és PE </w:t>
      </w:r>
      <w:r w:rsidR="00451F5E" w:rsidRPr="000149DA">
        <w:rPr>
          <w:rFonts w:cs="Times New Roman"/>
        </w:rPr>
        <w:t xml:space="preserve">kiújulásának </w:t>
      </w:r>
      <w:r w:rsidRPr="000149DA">
        <w:rPr>
          <w:rFonts w:cs="Times New Roman"/>
        </w:rPr>
        <w:t>megelőzés</w:t>
      </w:r>
      <w:r w:rsidR="00205DB7" w:rsidRPr="000149DA">
        <w:rPr>
          <w:rFonts w:cs="Times New Roman"/>
        </w:rPr>
        <w:t xml:space="preserve">ére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javasolt adagja</w:t>
      </w:r>
      <w:r w:rsidR="00205DB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, szájon át </w:t>
      </w:r>
      <w:r w:rsidR="006B1187" w:rsidRPr="000149DA">
        <w:rPr>
          <w:rFonts w:cs="Times New Roman"/>
        </w:rPr>
        <w:t>alkalmazva</w:t>
      </w:r>
      <w:r w:rsidRPr="000149DA">
        <w:rPr>
          <w:rFonts w:cs="Times New Roman"/>
        </w:rPr>
        <w:t>.</w:t>
      </w:r>
      <w:r w:rsidR="00451F5E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MVT és PE kiújulásának megelőz</w:t>
      </w:r>
      <w:r w:rsidR="003D56B9" w:rsidRPr="000149DA">
        <w:rPr>
          <w:rFonts w:cs="Times New Roman"/>
        </w:rPr>
        <w:t xml:space="preserve">ése javallatban </w:t>
      </w:r>
      <w:r w:rsidRPr="000149DA">
        <w:rPr>
          <w:rFonts w:cs="Times New Roman"/>
        </w:rPr>
        <w:t>a</w:t>
      </w:r>
      <w:r w:rsidR="003D56B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="003D56B9" w:rsidRPr="000149DA">
        <w:rPr>
          <w:rFonts w:cs="Times New Roman"/>
        </w:rPr>
        <w:noBreakHyphen/>
      </w:r>
      <w:r w:rsidRPr="000149DA">
        <w:rPr>
          <w:rFonts w:cs="Times New Roman"/>
        </w:rPr>
        <w:t>os dózist a 6</w:t>
      </w:r>
      <w:r w:rsidR="003D56B9" w:rsidRPr="000149DA">
        <w:rPr>
          <w:rFonts w:cs="Times New Roman"/>
        </w:rPr>
        <w:t> </w:t>
      </w:r>
      <w:r w:rsidRPr="000149DA">
        <w:rPr>
          <w:rFonts w:cs="Times New Roman"/>
        </w:rPr>
        <w:t>hónapig tartó,</w:t>
      </w:r>
      <w:r w:rsidR="003D56B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vagy más antikoagulánssal végzett kezelés befejezése után kell elkezdeni, amint azt az alábbi, 1. táblázat mutatja (lásd még</w:t>
      </w:r>
      <w:r w:rsidR="003D56B9" w:rsidRPr="000149DA">
        <w:rPr>
          <w:rFonts w:cs="Times New Roman"/>
        </w:rPr>
        <w:t xml:space="preserve"> 5.1 </w:t>
      </w:r>
      <w:r w:rsidRPr="000149DA">
        <w:rPr>
          <w:rFonts w:cs="Times New Roman"/>
        </w:rPr>
        <w:t>pont).</w:t>
      </w:r>
    </w:p>
    <w:p w14:paraId="10BAFDA8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70A1D485" w14:textId="5D837953" w:rsidR="00B62AE4" w:rsidRPr="000149DA" w:rsidRDefault="00B62AE4" w:rsidP="001706DF">
      <w:pPr>
        <w:pStyle w:val="Nincstrkz"/>
        <w:numPr>
          <w:ilvl w:val="0"/>
          <w:numId w:val="6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</w:t>
      </w:r>
      <w:r w:rsidR="00FA262B" w:rsidRPr="000149DA">
        <w:rPr>
          <w:rFonts w:cs="Times New Roman"/>
          <w:w w:val="105"/>
        </w:rPr>
        <w:t xml:space="preserve"> Ajánlott adagolás (VTEt)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387"/>
        <w:gridCol w:w="2447"/>
      </w:tblGrid>
      <w:tr w:rsidR="00B62AE4" w:rsidRPr="000149DA" w14:paraId="0A5F34F8" w14:textId="77777777" w:rsidTr="00451F5E">
        <w:trPr>
          <w:trHeight w:val="387"/>
        </w:trPr>
        <w:tc>
          <w:tcPr>
            <w:tcW w:w="3238" w:type="dxa"/>
          </w:tcPr>
          <w:p w14:paraId="0B62DEE4" w14:textId="77777777" w:rsidR="00B62AE4" w:rsidRPr="000149DA" w:rsidRDefault="00B62AE4" w:rsidP="003B67D5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6B0D8BF2" w14:textId="77777777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Adagolási rend</w:t>
            </w:r>
          </w:p>
        </w:tc>
        <w:tc>
          <w:tcPr>
            <w:tcW w:w="2447" w:type="dxa"/>
            <w:vAlign w:val="center"/>
          </w:tcPr>
          <w:p w14:paraId="01BEA8D2" w14:textId="0598C46A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Maximális</w:t>
            </w:r>
            <w:r w:rsidR="00155D20" w:rsidRPr="000149DA">
              <w:rPr>
                <w:rFonts w:cs="Times New Roman"/>
                <w:w w:val="105"/>
              </w:rPr>
              <w:t xml:space="preserve"> </w:t>
            </w:r>
            <w:r w:rsidR="003B67D5" w:rsidRPr="000149DA">
              <w:rPr>
                <w:rFonts w:cs="Times New Roman"/>
                <w:w w:val="105"/>
              </w:rPr>
              <w:t>nap</w:t>
            </w:r>
            <w:r w:rsidRPr="000149DA">
              <w:rPr>
                <w:rFonts w:cs="Times New Roman"/>
                <w:w w:val="105"/>
              </w:rPr>
              <w:t>i adag</w:t>
            </w:r>
          </w:p>
        </w:tc>
      </w:tr>
      <w:tr w:rsidR="00B62AE4" w:rsidRPr="000149DA" w14:paraId="3B171E53" w14:textId="77777777" w:rsidTr="00451F5E">
        <w:trPr>
          <w:trHeight w:val="388"/>
        </w:trPr>
        <w:tc>
          <w:tcPr>
            <w:tcW w:w="3238" w:type="dxa"/>
            <w:vMerge w:val="restart"/>
          </w:tcPr>
          <w:p w14:paraId="017FB5D0" w14:textId="77777777" w:rsidR="00B62AE4" w:rsidRPr="000149DA" w:rsidRDefault="00B62AE4" w:rsidP="002A2AFA">
            <w:pPr>
              <w:pStyle w:val="Nincstrkz"/>
              <w:ind w:left="142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MVT vagy PE kezelése</w:t>
            </w:r>
          </w:p>
        </w:tc>
        <w:tc>
          <w:tcPr>
            <w:tcW w:w="3387" w:type="dxa"/>
            <w:vAlign w:val="center"/>
          </w:tcPr>
          <w:p w14:paraId="1B6E9B03" w14:textId="5064B069" w:rsidR="00B62AE4" w:rsidRPr="000149DA" w:rsidRDefault="00B62AE4" w:rsidP="00451F5E">
            <w:pPr>
              <w:ind w:left="21"/>
              <w:rPr>
                <w:lang w:val="hu-HU"/>
              </w:rPr>
            </w:pPr>
            <w:r w:rsidRPr="000149DA">
              <w:rPr>
                <w:w w:val="105"/>
              </w:rPr>
              <w:t>naponta 2</w:t>
            </w:r>
            <w:r w:rsidR="003D56B9" w:rsidRPr="000149DA">
              <w:t> </w:t>
            </w:r>
            <w:bookmarkStart w:id="1" w:name="_Hlk41995704"/>
            <w:r w:rsidR="003D56B9" w:rsidRPr="000149DA">
              <w:t>×</w:t>
            </w:r>
            <w:bookmarkEnd w:id="1"/>
            <w:r w:rsidR="003D56B9" w:rsidRPr="000149DA">
              <w:t> </w:t>
            </w:r>
            <w:r w:rsidRPr="000149DA">
              <w:rPr>
                <w:w w:val="105"/>
              </w:rPr>
              <w:t>10</w:t>
            </w:r>
            <w:r w:rsidR="004C106B" w:rsidRPr="000149DA">
              <w:rPr>
                <w:w w:val="105"/>
              </w:rPr>
              <w:t> mg</w:t>
            </w:r>
            <w:r w:rsidRPr="000149DA">
              <w:rPr>
                <w:w w:val="105"/>
              </w:rPr>
              <w:t xml:space="preserve"> az első 7</w:t>
            </w:r>
            <w:r w:rsidR="003B67D5" w:rsidRPr="000149DA">
              <w:rPr>
                <w:w w:val="105"/>
              </w:rPr>
              <w:t> nap</w:t>
            </w:r>
            <w:r w:rsidR="003D56B9" w:rsidRPr="000149DA">
              <w:rPr>
                <w:w w:val="105"/>
              </w:rPr>
              <w:t>on</w:t>
            </w:r>
          </w:p>
        </w:tc>
        <w:tc>
          <w:tcPr>
            <w:tcW w:w="2447" w:type="dxa"/>
            <w:vAlign w:val="center"/>
          </w:tcPr>
          <w:p w14:paraId="7D3D7DFC" w14:textId="259B86DD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20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  <w:tr w:rsidR="00B62AE4" w:rsidRPr="000149DA" w14:paraId="7241A8B8" w14:textId="77777777" w:rsidTr="00451F5E">
        <w:trPr>
          <w:trHeight w:val="404"/>
        </w:trPr>
        <w:tc>
          <w:tcPr>
            <w:tcW w:w="3238" w:type="dxa"/>
            <w:vMerge/>
            <w:tcBorders>
              <w:top w:val="nil"/>
            </w:tcBorders>
          </w:tcPr>
          <w:p w14:paraId="00F33C6F" w14:textId="77777777" w:rsidR="00B62AE4" w:rsidRPr="000149DA" w:rsidRDefault="00B62AE4" w:rsidP="002A2AFA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0E621F7B" w14:textId="41D08708" w:rsidR="00B62AE4" w:rsidRPr="000149DA" w:rsidRDefault="003D56B9" w:rsidP="00451F5E">
            <w:pPr>
              <w:ind w:left="21"/>
              <w:rPr>
                <w:lang w:val="hu-HU"/>
              </w:rPr>
            </w:pPr>
            <w:r w:rsidRPr="000149DA">
              <w:rPr>
                <w:w w:val="105"/>
              </w:rPr>
              <w:t xml:space="preserve">ezt követően </w:t>
            </w:r>
            <w:r w:rsidR="003B67D5" w:rsidRPr="000149DA">
              <w:rPr>
                <w:w w:val="105"/>
              </w:rPr>
              <w:t>nap</w:t>
            </w:r>
            <w:r w:rsidR="00B62AE4" w:rsidRPr="000149DA">
              <w:rPr>
                <w:w w:val="105"/>
              </w:rPr>
              <w:t>onta 2</w:t>
            </w:r>
            <w:r w:rsidRPr="000149DA">
              <w:t> × </w:t>
            </w:r>
            <w:r w:rsidR="00B62AE4"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</w:p>
        </w:tc>
        <w:tc>
          <w:tcPr>
            <w:tcW w:w="2447" w:type="dxa"/>
            <w:vAlign w:val="center"/>
          </w:tcPr>
          <w:p w14:paraId="655E6B27" w14:textId="5A91860E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10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  <w:tr w:rsidR="00B62AE4" w:rsidRPr="000149DA" w14:paraId="0AA79B85" w14:textId="77777777" w:rsidTr="00451F5E">
        <w:trPr>
          <w:trHeight w:val="917"/>
        </w:trPr>
        <w:tc>
          <w:tcPr>
            <w:tcW w:w="3238" w:type="dxa"/>
          </w:tcPr>
          <w:p w14:paraId="5BF2926E" w14:textId="48D31F56" w:rsidR="00B62AE4" w:rsidRPr="000149DA" w:rsidRDefault="00B62AE4" w:rsidP="002A2AFA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 xml:space="preserve">MVT és/vagy PE </w:t>
            </w:r>
            <w:r w:rsidR="00451F5E" w:rsidRPr="000149DA">
              <w:rPr>
                <w:rFonts w:cs="Times New Roman"/>
                <w:w w:val="105"/>
              </w:rPr>
              <w:t xml:space="preserve">kiújulásának </w:t>
            </w:r>
            <w:r w:rsidRPr="000149DA">
              <w:rPr>
                <w:rFonts w:cs="Times New Roman"/>
                <w:w w:val="105"/>
              </w:rPr>
              <w:t>megelőzése</w:t>
            </w:r>
            <w:r w:rsidR="00451F5E" w:rsidRPr="000149DA">
              <w:rPr>
                <w:rFonts w:cs="Times New Roman"/>
                <w:w w:val="105"/>
              </w:rPr>
              <w:t>,</w:t>
            </w:r>
            <w:r w:rsidRPr="000149DA">
              <w:rPr>
                <w:rFonts w:cs="Times New Roman"/>
                <w:w w:val="105"/>
              </w:rPr>
              <w:t xml:space="preserve"> az MVT vagy a PE 6</w:t>
            </w:r>
            <w:r w:rsidR="00E149FF" w:rsidRPr="000149DA">
              <w:rPr>
                <w:rFonts w:cs="Times New Roman"/>
                <w:w w:val="105"/>
              </w:rPr>
              <w:t> </w:t>
            </w:r>
            <w:r w:rsidRPr="000149DA">
              <w:rPr>
                <w:rFonts w:cs="Times New Roman"/>
                <w:w w:val="105"/>
              </w:rPr>
              <w:t>hónapig tartó kezelésének befejezése után</w:t>
            </w:r>
          </w:p>
        </w:tc>
        <w:tc>
          <w:tcPr>
            <w:tcW w:w="3387" w:type="dxa"/>
            <w:vAlign w:val="center"/>
          </w:tcPr>
          <w:p w14:paraId="03E85BE8" w14:textId="77D92468" w:rsidR="00B62AE4" w:rsidRPr="000149DA" w:rsidRDefault="00B62AE4" w:rsidP="00451F5E">
            <w:pPr>
              <w:ind w:left="21"/>
              <w:rPr>
                <w:lang w:val="hu-HU"/>
              </w:rPr>
            </w:pPr>
            <w:r w:rsidRPr="000149DA">
              <w:rPr>
                <w:w w:val="105"/>
              </w:rPr>
              <w:t>naponta 2</w:t>
            </w:r>
            <w:r w:rsidR="003D56B9" w:rsidRPr="000149DA">
              <w:t> × </w:t>
            </w: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</w:p>
        </w:tc>
        <w:tc>
          <w:tcPr>
            <w:tcW w:w="2447" w:type="dxa"/>
            <w:vAlign w:val="center"/>
          </w:tcPr>
          <w:p w14:paraId="041A93E0" w14:textId="1BD0A2A7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5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</w:tbl>
    <w:p w14:paraId="5B05F80F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0F0A40E0" w14:textId="38518685" w:rsidR="00B62AE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kezelés teljes időtartamát a kezelés előnyének és a vérzés kockázatának gondos mérlegelését követően </w:t>
      </w:r>
      <w:r w:rsidR="00155D20" w:rsidRPr="000149DA">
        <w:rPr>
          <w:rFonts w:cs="Times New Roman"/>
        </w:rPr>
        <w:t>egyénenként</w:t>
      </w:r>
      <w:r w:rsidRPr="000149DA">
        <w:rPr>
          <w:rFonts w:cs="Times New Roman"/>
        </w:rPr>
        <w:t xml:space="preserve"> kell meghatározni (lásd 4.4</w:t>
      </w:r>
      <w:r w:rsidR="00155D20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4D82FA51" w14:textId="77777777" w:rsidR="00DF6160" w:rsidRPr="000149DA" w:rsidRDefault="00DF6160" w:rsidP="00E9620D">
      <w:pPr>
        <w:pStyle w:val="Nincstrkz"/>
        <w:rPr>
          <w:rFonts w:cs="Times New Roman"/>
        </w:rPr>
      </w:pPr>
    </w:p>
    <w:p w14:paraId="735B36A9" w14:textId="77777777" w:rsidR="00DF6160" w:rsidRPr="00304D8C" w:rsidRDefault="00DF6160" w:rsidP="00DF6160">
      <w:pPr>
        <w:pStyle w:val="Nincstrkz"/>
        <w:rPr>
          <w:i/>
          <w:iCs/>
          <w:u w:val="single"/>
        </w:rPr>
      </w:pPr>
      <w:r w:rsidRPr="00304D8C">
        <w:rPr>
          <w:i/>
          <w:iCs/>
          <w:u w:val="single"/>
        </w:rPr>
        <w:t>A VTE kezelése és a VTE kiújulásának megelőzése gyermekeknél és serdülőknél</w:t>
      </w:r>
    </w:p>
    <w:p w14:paraId="5AF196EF" w14:textId="4F7FBF85" w:rsidR="00DF6160" w:rsidRPr="00DF6160" w:rsidRDefault="00DF6160" w:rsidP="00DF6160">
      <w:pPr>
        <w:pStyle w:val="Nincstrkz"/>
      </w:pPr>
      <w:r w:rsidRPr="00DF6160">
        <w:t>Az apixab</w:t>
      </w:r>
      <w:r w:rsidRPr="00DF6160">
        <w:rPr>
          <w:rFonts w:hint="eastAsia"/>
        </w:rPr>
        <w:t>á</w:t>
      </w:r>
      <w:r w:rsidRPr="00DF6160">
        <w:t>n-kezel</w:t>
      </w:r>
      <w:r w:rsidRPr="00DF6160">
        <w:rPr>
          <w:rFonts w:hint="eastAsia"/>
        </w:rPr>
        <w:t>é</w:t>
      </w:r>
      <w:r w:rsidRPr="00DF6160">
        <w:t>st gyermekekn</w:t>
      </w:r>
      <w:r w:rsidRPr="00DF6160">
        <w:rPr>
          <w:rFonts w:hint="eastAsia"/>
        </w:rPr>
        <w:t>é</w:t>
      </w:r>
      <w:r w:rsidRPr="00DF6160">
        <w:t xml:space="preserve">l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kn</w:t>
      </w:r>
      <w:r w:rsidRPr="00DF6160">
        <w:rPr>
          <w:rFonts w:hint="eastAsia"/>
        </w:rPr>
        <w:t>é</w:t>
      </w:r>
      <w:r w:rsidRPr="00DF6160">
        <w:t>l 28 napost</w:t>
      </w:r>
      <w:r w:rsidRPr="00DF6160">
        <w:rPr>
          <w:rFonts w:hint="eastAsia"/>
        </w:rPr>
        <w:t>ó</w:t>
      </w:r>
      <w:r w:rsidRPr="00DF6160">
        <w:t xml:space="preserve">l 18 </w:t>
      </w:r>
      <w:r w:rsidRPr="00DF6160">
        <w:rPr>
          <w:rFonts w:hint="eastAsia"/>
        </w:rPr>
        <w:t>é</w:t>
      </w:r>
      <w:r w:rsidRPr="00DF6160">
        <w:t xml:space="preserve">v alatti </w:t>
      </w:r>
      <w:r w:rsidRPr="00DF6160">
        <w:rPr>
          <w:rFonts w:hint="eastAsia"/>
        </w:rPr>
        <w:t>é</w:t>
      </w:r>
      <w:r w:rsidRPr="00DF6160">
        <w:t>letkorig legal</w:t>
      </w:r>
      <w:r w:rsidRPr="00DF6160">
        <w:rPr>
          <w:rFonts w:hint="eastAsia"/>
        </w:rPr>
        <w:t>á</w:t>
      </w:r>
      <w:r w:rsidRPr="00DF6160">
        <w:t>bb 5 napos</w:t>
      </w:r>
      <w:r>
        <w:t xml:space="preserve"> </w:t>
      </w:r>
      <w:r w:rsidRPr="00DF6160">
        <w:t>kezdeti parenter</w:t>
      </w:r>
      <w:r w:rsidRPr="00DF6160">
        <w:rPr>
          <w:rFonts w:hint="eastAsia"/>
        </w:rPr>
        <w:t>á</w:t>
      </w:r>
      <w:r w:rsidRPr="00DF6160">
        <w:t>lis v</w:t>
      </w:r>
      <w:r w:rsidRPr="00DF6160">
        <w:rPr>
          <w:rFonts w:hint="eastAsia"/>
        </w:rPr>
        <w:t>é</w:t>
      </w:r>
      <w:r w:rsidRPr="00DF6160">
        <w:t>ralvad</w:t>
      </w:r>
      <w:r w:rsidRPr="00DF6160">
        <w:rPr>
          <w:rFonts w:hint="eastAsia"/>
        </w:rPr>
        <w:t>á</w:t>
      </w:r>
      <w:r w:rsidRPr="00DF6160">
        <w:t>sg</w:t>
      </w:r>
      <w:r w:rsidRPr="00DF6160">
        <w:rPr>
          <w:rFonts w:hint="eastAsia"/>
        </w:rPr>
        <w:t>á</w:t>
      </w:r>
      <w:r w:rsidRPr="00DF6160">
        <w:t>tl</w:t>
      </w:r>
      <w:r w:rsidRPr="00DF6160">
        <w:rPr>
          <w:rFonts w:hint="eastAsia"/>
        </w:rPr>
        <w:t>ó</w:t>
      </w:r>
      <w:r w:rsidRPr="00DF6160">
        <w:t>-kezel</w:t>
      </w:r>
      <w:r w:rsidRPr="00DF6160">
        <w:rPr>
          <w:rFonts w:hint="eastAsia"/>
        </w:rPr>
        <w:t>é</w:t>
      </w:r>
      <w:r w:rsidRPr="00DF6160">
        <w:t>s ut</w:t>
      </w:r>
      <w:r w:rsidRPr="00DF6160">
        <w:rPr>
          <w:rFonts w:hint="eastAsia"/>
        </w:rPr>
        <w:t>á</w:t>
      </w:r>
      <w:r w:rsidRPr="00DF6160">
        <w:t>n szabad megkezdeni (l</w:t>
      </w:r>
      <w:r w:rsidRPr="00DF6160">
        <w:rPr>
          <w:rFonts w:hint="eastAsia"/>
        </w:rPr>
        <w:t>á</w:t>
      </w:r>
      <w:r w:rsidRPr="00DF6160">
        <w:t>sd 5.1 pont).</w:t>
      </w:r>
    </w:p>
    <w:p w14:paraId="625D34DA" w14:textId="2A63F532" w:rsidR="00DF6160" w:rsidRDefault="00DF6160" w:rsidP="00DF6160">
      <w:pPr>
        <w:pStyle w:val="Nincstrkz"/>
      </w:pPr>
      <w:r w:rsidRPr="00DF6160">
        <w:t>Az apixab</w:t>
      </w:r>
      <w:r w:rsidRPr="00DF6160">
        <w:rPr>
          <w:rFonts w:hint="eastAsia"/>
        </w:rPr>
        <w:t>á</w:t>
      </w:r>
      <w:r w:rsidRPr="00DF6160">
        <w:t>n-kezel</w:t>
      </w:r>
      <w:r w:rsidRPr="00DF6160">
        <w:rPr>
          <w:rFonts w:hint="eastAsia"/>
        </w:rPr>
        <w:t>é</w:t>
      </w:r>
      <w:r w:rsidRPr="00DF6160">
        <w:t>st gyermekekn</w:t>
      </w:r>
      <w:r w:rsidRPr="00DF6160">
        <w:rPr>
          <w:rFonts w:hint="eastAsia"/>
        </w:rPr>
        <w:t>é</w:t>
      </w:r>
      <w:r w:rsidRPr="00DF6160">
        <w:t xml:space="preserve">l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kn</w:t>
      </w:r>
      <w:r w:rsidRPr="00DF6160">
        <w:rPr>
          <w:rFonts w:hint="eastAsia"/>
        </w:rPr>
        <w:t>é</w:t>
      </w:r>
      <w:r w:rsidRPr="00DF6160">
        <w:t>l a testt</w:t>
      </w:r>
      <w:r w:rsidRPr="00DF6160">
        <w:rPr>
          <w:rFonts w:hint="eastAsia"/>
        </w:rPr>
        <w:t>ö</w:t>
      </w:r>
      <w:r w:rsidRPr="00DF6160">
        <w:t>meghez kell igaz</w:t>
      </w:r>
      <w:r w:rsidRPr="00DF6160">
        <w:rPr>
          <w:rFonts w:hint="eastAsia"/>
        </w:rPr>
        <w:t>í</w:t>
      </w:r>
      <w:r w:rsidRPr="00DF6160">
        <w:t>tani. Az apixab</w:t>
      </w:r>
      <w:r w:rsidRPr="00DF6160">
        <w:rPr>
          <w:rFonts w:hint="eastAsia"/>
        </w:rPr>
        <w:t>á</w:t>
      </w:r>
      <w:r w:rsidRPr="00DF6160">
        <w:t>n javasolt</w:t>
      </w:r>
      <w:r>
        <w:t xml:space="preserve"> </w:t>
      </w:r>
      <w:r w:rsidRPr="00DF6160">
        <w:t>adagj</w:t>
      </w:r>
      <w:r w:rsidRPr="00DF6160">
        <w:rPr>
          <w:rFonts w:hint="eastAsia"/>
        </w:rPr>
        <w:t>á</w:t>
      </w:r>
      <w:r w:rsidRPr="00DF6160">
        <w:t xml:space="preserve">t </w:t>
      </w:r>
      <w:r w:rsidR="000F3B95" w:rsidRPr="0096382E">
        <w:rPr>
          <w:b/>
          <w:bCs/>
        </w:rPr>
        <w:t>≥</w:t>
      </w:r>
      <w:r w:rsidRPr="00DF6160">
        <w:t xml:space="preserve"> 35 kg-os gyermekekre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kre vonatkoz</w:t>
      </w:r>
      <w:r w:rsidRPr="00DF6160">
        <w:rPr>
          <w:rFonts w:hint="eastAsia"/>
        </w:rPr>
        <w:t>ó</w:t>
      </w:r>
      <w:r w:rsidRPr="00DF6160">
        <w:t>an a 2. t</w:t>
      </w:r>
      <w:r w:rsidRPr="00DF6160">
        <w:rPr>
          <w:rFonts w:hint="eastAsia"/>
        </w:rPr>
        <w:t>á</w:t>
      </w:r>
      <w:r w:rsidRPr="00DF6160">
        <w:t>bl</w:t>
      </w:r>
      <w:r w:rsidRPr="00DF6160">
        <w:rPr>
          <w:rFonts w:hint="eastAsia"/>
        </w:rPr>
        <w:t>á</w:t>
      </w:r>
      <w:r w:rsidRPr="00DF6160">
        <w:t>zat mutatja be.</w:t>
      </w:r>
    </w:p>
    <w:p w14:paraId="6CC3BEC1" w14:textId="77777777" w:rsidR="00DF6160" w:rsidRPr="00DF6160" w:rsidRDefault="00DF6160" w:rsidP="00DF6160">
      <w:pPr>
        <w:pStyle w:val="Nincstrkz"/>
      </w:pPr>
    </w:p>
    <w:p w14:paraId="2CC16F8E" w14:textId="77777777" w:rsidR="00DF6160" w:rsidRPr="00DF6160" w:rsidRDefault="00DF6160" w:rsidP="00DF6160">
      <w:pPr>
        <w:pStyle w:val="Nincstrkz"/>
        <w:rPr>
          <w:b/>
          <w:bCs/>
        </w:rPr>
      </w:pPr>
      <w:r w:rsidRPr="00DF6160">
        <w:rPr>
          <w:b/>
          <w:bCs/>
        </w:rPr>
        <w:t>2. táblázat: Ajánlott adagolás VTE kezelésére és VTE kiújulásának megelőzésére ≥ 35 kg-os</w:t>
      </w:r>
    </w:p>
    <w:p w14:paraId="13E17028" w14:textId="77777777" w:rsidR="00DF6160" w:rsidRDefault="00DF6160" w:rsidP="00DF6160">
      <w:pPr>
        <w:pStyle w:val="Nincstrkz"/>
        <w:rPr>
          <w:b/>
          <w:bCs/>
        </w:rPr>
      </w:pPr>
      <w:r w:rsidRPr="00DF6160">
        <w:rPr>
          <w:b/>
          <w:bCs/>
        </w:rPr>
        <w:t>gyermekeknél és serdülőknél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2"/>
        <w:gridCol w:w="1812"/>
      </w:tblGrid>
      <w:tr w:rsidR="00DF6160" w14:paraId="72CBDA5C" w14:textId="77777777" w:rsidTr="00C62760">
        <w:trPr>
          <w:jc w:val="center"/>
        </w:trPr>
        <w:tc>
          <w:tcPr>
            <w:tcW w:w="1812" w:type="dxa"/>
            <w:vAlign w:val="center"/>
          </w:tcPr>
          <w:p w14:paraId="2F326C0F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</w:p>
        </w:tc>
        <w:tc>
          <w:tcPr>
            <w:tcW w:w="3624" w:type="dxa"/>
            <w:gridSpan w:val="2"/>
            <w:vAlign w:val="center"/>
          </w:tcPr>
          <w:p w14:paraId="3C684E2C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1</w:t>
            </w:r>
            <w:r w:rsidRPr="0096382E">
              <w:rPr>
                <w:rFonts w:hint="eastAsia"/>
              </w:rPr>
              <w:t>–</w:t>
            </w:r>
            <w:r w:rsidRPr="0096382E">
              <w:t>7. nap</w:t>
            </w:r>
          </w:p>
        </w:tc>
        <w:tc>
          <w:tcPr>
            <w:tcW w:w="3624" w:type="dxa"/>
            <w:gridSpan w:val="2"/>
            <w:vAlign w:val="center"/>
          </w:tcPr>
          <w:p w14:paraId="088BB5D8" w14:textId="77777777" w:rsidR="00DF6160" w:rsidRPr="00C62760" w:rsidRDefault="00DF6160" w:rsidP="00C62760">
            <w:pPr>
              <w:pStyle w:val="Nincstrkz"/>
              <w:jc w:val="center"/>
            </w:pPr>
            <w:r w:rsidRPr="0096382E">
              <w:t xml:space="preserve">8. napon </w:t>
            </w:r>
            <w:r w:rsidRPr="0096382E">
              <w:rPr>
                <w:rFonts w:hint="eastAsia"/>
              </w:rPr>
              <w:t>é</w:t>
            </w:r>
            <w:r w:rsidRPr="0096382E">
              <w:t>s azut</w:t>
            </w:r>
            <w:r w:rsidRPr="0096382E">
              <w:rPr>
                <w:rFonts w:hint="eastAsia"/>
              </w:rPr>
              <w:t>á</w:t>
            </w:r>
            <w:r w:rsidRPr="0096382E">
              <w:t>n</w:t>
            </w:r>
          </w:p>
        </w:tc>
      </w:tr>
      <w:tr w:rsidR="00DF6160" w14:paraId="255A3CC3" w14:textId="77777777" w:rsidTr="00304D8C">
        <w:trPr>
          <w:jc w:val="center"/>
        </w:trPr>
        <w:tc>
          <w:tcPr>
            <w:tcW w:w="1812" w:type="dxa"/>
            <w:vAlign w:val="center"/>
          </w:tcPr>
          <w:p w14:paraId="1184F2C9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Testt</w:t>
            </w:r>
            <w:r w:rsidRPr="0096382E">
              <w:rPr>
                <w:rFonts w:hint="eastAsia"/>
              </w:rPr>
              <w:t>ö</w:t>
            </w:r>
            <w:r w:rsidRPr="0096382E">
              <w:t>meg (kg)</w:t>
            </w:r>
          </w:p>
        </w:tc>
        <w:tc>
          <w:tcPr>
            <w:tcW w:w="2011" w:type="dxa"/>
            <w:vAlign w:val="center"/>
          </w:tcPr>
          <w:p w14:paraId="3462CA22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613" w:type="dxa"/>
            <w:vAlign w:val="center"/>
          </w:tcPr>
          <w:p w14:paraId="605497B0" w14:textId="092A0ADA" w:rsidR="00DF6160" w:rsidRPr="00304D8C" w:rsidRDefault="00DF6160" w:rsidP="00DF6160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  <w:tc>
          <w:tcPr>
            <w:tcW w:w="1812" w:type="dxa"/>
            <w:vAlign w:val="center"/>
          </w:tcPr>
          <w:p w14:paraId="284C26FC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812" w:type="dxa"/>
            <w:vAlign w:val="center"/>
          </w:tcPr>
          <w:p w14:paraId="35374B8D" w14:textId="6AE91537" w:rsidR="00DF6160" w:rsidRPr="00304D8C" w:rsidRDefault="00DF6160" w:rsidP="00DF6160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</w:tr>
      <w:tr w:rsidR="00DF6160" w14:paraId="687631F3" w14:textId="77777777" w:rsidTr="00304D8C">
        <w:trPr>
          <w:jc w:val="center"/>
        </w:trPr>
        <w:tc>
          <w:tcPr>
            <w:tcW w:w="1812" w:type="dxa"/>
            <w:vAlign w:val="center"/>
          </w:tcPr>
          <w:p w14:paraId="11D9C4D5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rFonts w:hint="eastAsia"/>
              </w:rPr>
              <w:t>≥</w:t>
            </w:r>
            <w:r w:rsidRPr="0096382E">
              <w:t xml:space="preserve"> 35</w:t>
            </w:r>
          </w:p>
        </w:tc>
        <w:tc>
          <w:tcPr>
            <w:tcW w:w="2011" w:type="dxa"/>
            <w:vAlign w:val="center"/>
          </w:tcPr>
          <w:p w14:paraId="6A60D77F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naponta</w:t>
            </w:r>
            <w:r>
              <w:t xml:space="preserve"> </w:t>
            </w:r>
            <w:r w:rsidRPr="0096382E">
              <w:t xml:space="preserve">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10 mg</w:t>
            </w:r>
          </w:p>
        </w:tc>
        <w:tc>
          <w:tcPr>
            <w:tcW w:w="1613" w:type="dxa"/>
            <w:vAlign w:val="center"/>
          </w:tcPr>
          <w:p w14:paraId="20382537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>20 mg</w:t>
            </w:r>
          </w:p>
        </w:tc>
        <w:tc>
          <w:tcPr>
            <w:tcW w:w="1812" w:type="dxa"/>
            <w:vAlign w:val="center"/>
          </w:tcPr>
          <w:p w14:paraId="24F86F0C" w14:textId="77777777" w:rsidR="00DF6160" w:rsidRDefault="00DF6160" w:rsidP="00C62760">
            <w:pPr>
              <w:pStyle w:val="Nincstrkz"/>
              <w:jc w:val="center"/>
              <w:rPr>
                <w:b/>
                <w:bCs/>
              </w:rPr>
            </w:pPr>
            <w:r w:rsidRPr="0096382E">
              <w:t xml:space="preserve">naponta 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5 mg</w:t>
            </w:r>
          </w:p>
        </w:tc>
        <w:tc>
          <w:tcPr>
            <w:tcW w:w="1812" w:type="dxa"/>
            <w:vAlign w:val="center"/>
          </w:tcPr>
          <w:p w14:paraId="5A0AB95E" w14:textId="6DC888A4" w:rsidR="00DF6160" w:rsidRPr="00304D8C" w:rsidRDefault="00DF6160" w:rsidP="00DF6160">
            <w:pPr>
              <w:pStyle w:val="Nincstrkz"/>
              <w:jc w:val="center"/>
            </w:pPr>
            <w:r w:rsidRPr="0096382E">
              <w:t>10 mg</w:t>
            </w:r>
          </w:p>
        </w:tc>
      </w:tr>
    </w:tbl>
    <w:p w14:paraId="255C90AD" w14:textId="77777777" w:rsidR="00DF6160" w:rsidRPr="00DF6160" w:rsidRDefault="00DF6160" w:rsidP="00DF6160">
      <w:pPr>
        <w:pStyle w:val="Nincstrkz"/>
        <w:rPr>
          <w:b/>
          <w:bCs/>
        </w:rPr>
      </w:pPr>
    </w:p>
    <w:p w14:paraId="567E343D" w14:textId="175DD736" w:rsidR="00DF6160" w:rsidRDefault="00DF6160" w:rsidP="00DF6160">
      <w:pPr>
        <w:pStyle w:val="Nincstrkz"/>
      </w:pPr>
      <w:r>
        <w:t xml:space="preserve">Az </w:t>
      </w:r>
      <w:r w:rsidR="009F74AD">
        <w:t>Apixaban Tev</w:t>
      </w:r>
      <w:r>
        <w:t xml:space="preserve">a </w:t>
      </w:r>
      <w:r w:rsidR="000F3B95">
        <w:t xml:space="preserve">filmtabletta </w:t>
      </w:r>
      <w:r>
        <w:t>nem alkalmazható 35 kg alatti te</w:t>
      </w:r>
      <w:r w:rsidR="002C150B">
        <w:t>s</w:t>
      </w:r>
      <w:r>
        <w:t>ttömegű gyermekeknél. Kérjük, ezen betegek esetében t</w:t>
      </w:r>
      <w:r w:rsidRPr="00DF6160">
        <w:t xml:space="preserve">ekintse meg az </w:t>
      </w:r>
      <w:r>
        <w:t>a</w:t>
      </w:r>
      <w:r w:rsidRPr="00DF6160">
        <w:t>pixab</w:t>
      </w:r>
      <w:r w:rsidR="000F3B95">
        <w:t>á</w:t>
      </w:r>
      <w:r w:rsidRPr="00DF6160">
        <w:t xml:space="preserve">n </w:t>
      </w:r>
      <w:r>
        <w:t>granulátum felnyitásra szánt kapszulában és apixab</w:t>
      </w:r>
      <w:r w:rsidR="000F3B95">
        <w:t>á</w:t>
      </w:r>
      <w:r>
        <w:t>n bevont granulátum tasakban</w:t>
      </w:r>
      <w:r w:rsidRPr="00DF6160">
        <w:t xml:space="preserve"> alkalmazási előírását.</w:t>
      </w:r>
    </w:p>
    <w:p w14:paraId="3826F1AD" w14:textId="77777777" w:rsidR="00DF6160" w:rsidRDefault="00DF6160" w:rsidP="00DF6160">
      <w:pPr>
        <w:pStyle w:val="Nincstrkz"/>
      </w:pPr>
    </w:p>
    <w:p w14:paraId="37E29305" w14:textId="1DF5EE94" w:rsidR="00DF6160" w:rsidRDefault="00DF6160" w:rsidP="00DF6160">
      <w:pPr>
        <w:pStyle w:val="Nincstrkz"/>
      </w:pPr>
      <w:r w:rsidRPr="00DF6160">
        <w:t>A VTE kezel</w:t>
      </w:r>
      <w:r w:rsidRPr="00DF6160">
        <w:rPr>
          <w:rFonts w:hint="eastAsia"/>
        </w:rPr>
        <w:t>é</w:t>
      </w:r>
      <w:r w:rsidRPr="00DF6160">
        <w:t>s</w:t>
      </w:r>
      <w:r w:rsidRPr="00DF6160">
        <w:rPr>
          <w:rFonts w:hint="eastAsia"/>
        </w:rPr>
        <w:t>é</w:t>
      </w:r>
      <w:r w:rsidRPr="00DF6160">
        <w:t xml:space="preserve">nek gyermekekre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kre vonatkoz</w:t>
      </w:r>
      <w:r w:rsidRPr="00DF6160">
        <w:rPr>
          <w:rFonts w:hint="eastAsia"/>
        </w:rPr>
        <w:t>ó</w:t>
      </w:r>
      <w:r w:rsidRPr="00DF6160">
        <w:t xml:space="preserve"> ir</w:t>
      </w:r>
      <w:r w:rsidRPr="00DF6160">
        <w:rPr>
          <w:rFonts w:hint="eastAsia"/>
        </w:rPr>
        <w:t>á</w:t>
      </w:r>
      <w:r w:rsidRPr="00DF6160">
        <w:t>nyelvei alapj</w:t>
      </w:r>
      <w:r w:rsidRPr="00DF6160">
        <w:rPr>
          <w:rFonts w:hint="eastAsia"/>
        </w:rPr>
        <w:t>á</w:t>
      </w:r>
      <w:r w:rsidRPr="00DF6160">
        <w:t>n a kezel</w:t>
      </w:r>
      <w:r w:rsidRPr="00DF6160">
        <w:rPr>
          <w:rFonts w:hint="eastAsia"/>
        </w:rPr>
        <w:t>é</w:t>
      </w:r>
      <w:r w:rsidRPr="00DF6160">
        <w:t>s teljes</w:t>
      </w:r>
      <w:r>
        <w:t xml:space="preserve"> </w:t>
      </w:r>
      <w:r w:rsidRPr="00DF6160">
        <w:t>id</w:t>
      </w:r>
      <w:r w:rsidRPr="00DF6160">
        <w:rPr>
          <w:rFonts w:hint="eastAsia"/>
        </w:rPr>
        <w:t>ő</w:t>
      </w:r>
      <w:r w:rsidRPr="00DF6160">
        <w:t>tartam</w:t>
      </w:r>
      <w:r w:rsidRPr="00DF6160">
        <w:rPr>
          <w:rFonts w:hint="eastAsia"/>
        </w:rPr>
        <w:t>á</w:t>
      </w:r>
      <w:r w:rsidRPr="00DF6160">
        <w:t>t a kezel</w:t>
      </w:r>
      <w:r w:rsidRPr="00DF6160">
        <w:rPr>
          <w:rFonts w:hint="eastAsia"/>
        </w:rPr>
        <w:t>é</w:t>
      </w:r>
      <w:r w:rsidRPr="00DF6160">
        <w:t>s el</w:t>
      </w:r>
      <w:r w:rsidRPr="00DF6160">
        <w:rPr>
          <w:rFonts w:hint="eastAsia"/>
        </w:rPr>
        <w:t>ő</w:t>
      </w:r>
      <w:r w:rsidRPr="00DF6160">
        <w:t>ny</w:t>
      </w:r>
      <w:r w:rsidRPr="00DF6160">
        <w:rPr>
          <w:rFonts w:hint="eastAsia"/>
        </w:rPr>
        <w:t>é</w:t>
      </w:r>
      <w:r w:rsidRPr="00DF6160">
        <w:t xml:space="preserve">nek </w:t>
      </w:r>
      <w:r w:rsidRPr="00DF6160">
        <w:rPr>
          <w:rFonts w:hint="eastAsia"/>
        </w:rPr>
        <w:t>é</w:t>
      </w:r>
      <w:r w:rsidRPr="00DF6160">
        <w:t>s a v</w:t>
      </w:r>
      <w:r w:rsidRPr="00DF6160">
        <w:rPr>
          <w:rFonts w:hint="eastAsia"/>
        </w:rPr>
        <w:t>é</w:t>
      </w:r>
      <w:r w:rsidRPr="00DF6160">
        <w:t>rz</w:t>
      </w:r>
      <w:r w:rsidRPr="00DF6160">
        <w:rPr>
          <w:rFonts w:hint="eastAsia"/>
        </w:rPr>
        <w:t>é</w:t>
      </w:r>
      <w:r w:rsidRPr="00DF6160">
        <w:t>s kock</w:t>
      </w:r>
      <w:r w:rsidRPr="00DF6160">
        <w:rPr>
          <w:rFonts w:hint="eastAsia"/>
        </w:rPr>
        <w:t>á</w:t>
      </w:r>
      <w:r w:rsidRPr="00DF6160">
        <w:t>zat</w:t>
      </w:r>
      <w:r w:rsidRPr="00DF6160">
        <w:rPr>
          <w:rFonts w:hint="eastAsia"/>
        </w:rPr>
        <w:t>á</w:t>
      </w:r>
      <w:r w:rsidRPr="00DF6160">
        <w:t>nak egym</w:t>
      </w:r>
      <w:r w:rsidRPr="00DF6160">
        <w:rPr>
          <w:rFonts w:hint="eastAsia"/>
        </w:rPr>
        <w:t>á</w:t>
      </w:r>
      <w:r w:rsidRPr="00DF6160">
        <w:t>ssal szembeni, gondos m</w:t>
      </w:r>
      <w:r w:rsidRPr="00DF6160">
        <w:rPr>
          <w:rFonts w:hint="eastAsia"/>
        </w:rPr>
        <w:t>é</w:t>
      </w:r>
      <w:r w:rsidRPr="00DF6160">
        <w:t>rlegel</w:t>
      </w:r>
      <w:r w:rsidRPr="00DF6160">
        <w:rPr>
          <w:rFonts w:hint="eastAsia"/>
        </w:rPr>
        <w:t>é</w:t>
      </w:r>
      <w:r w:rsidRPr="00DF6160">
        <w:t>s</w:t>
      </w:r>
      <w:r w:rsidRPr="00DF6160">
        <w:rPr>
          <w:rFonts w:hint="eastAsia"/>
        </w:rPr>
        <w:t>é</w:t>
      </w:r>
      <w:r w:rsidRPr="00DF6160">
        <w:t>t</w:t>
      </w:r>
      <w:r>
        <w:t xml:space="preserve"> </w:t>
      </w:r>
      <w:r w:rsidRPr="00DF6160">
        <w:t>k</w:t>
      </w:r>
      <w:r w:rsidRPr="00DF6160">
        <w:rPr>
          <w:rFonts w:hint="eastAsia"/>
        </w:rPr>
        <w:t>ö</w:t>
      </w:r>
      <w:r w:rsidRPr="00DF6160">
        <w:t>vet</w:t>
      </w:r>
      <w:r w:rsidRPr="00DF6160">
        <w:rPr>
          <w:rFonts w:hint="eastAsia"/>
        </w:rPr>
        <w:t>ő</w:t>
      </w:r>
      <w:r w:rsidRPr="00DF6160">
        <w:t>en egy</w:t>
      </w:r>
      <w:r w:rsidRPr="00DF6160">
        <w:rPr>
          <w:rFonts w:hint="eastAsia"/>
        </w:rPr>
        <w:t>é</w:t>
      </w:r>
      <w:r w:rsidRPr="00DF6160">
        <w:t>nileg kell meghat</w:t>
      </w:r>
      <w:r w:rsidRPr="00DF6160">
        <w:rPr>
          <w:rFonts w:hint="eastAsia"/>
        </w:rPr>
        <w:t>á</w:t>
      </w:r>
      <w:r w:rsidRPr="00DF6160">
        <w:t>rozni (l</w:t>
      </w:r>
      <w:r w:rsidRPr="00DF6160">
        <w:rPr>
          <w:rFonts w:hint="eastAsia"/>
        </w:rPr>
        <w:t>á</w:t>
      </w:r>
      <w:r w:rsidRPr="00DF6160">
        <w:t>sd 4.4 pont).</w:t>
      </w:r>
    </w:p>
    <w:p w14:paraId="196DB963" w14:textId="77777777" w:rsidR="00DF6160" w:rsidRPr="00DF6160" w:rsidRDefault="00DF6160" w:rsidP="00DF6160">
      <w:pPr>
        <w:pStyle w:val="Nincstrkz"/>
      </w:pPr>
    </w:p>
    <w:p w14:paraId="0A2F0814" w14:textId="77777777" w:rsidR="00DF6160" w:rsidRPr="00304D8C" w:rsidRDefault="00DF6160" w:rsidP="00DF6160">
      <w:pPr>
        <w:pStyle w:val="Nincstrkz"/>
        <w:rPr>
          <w:i/>
          <w:iCs/>
          <w:u w:val="single"/>
        </w:rPr>
      </w:pPr>
      <w:r w:rsidRPr="00304D8C">
        <w:rPr>
          <w:i/>
          <w:iCs/>
          <w:u w:val="single"/>
        </w:rPr>
        <w:t>Kihagyott adag felnőtteknél, valamint gyermekeknél és serdülőknél</w:t>
      </w:r>
    </w:p>
    <w:p w14:paraId="17679AA8" w14:textId="4218D51B" w:rsidR="00B62AE4" w:rsidRDefault="00DF6160" w:rsidP="00DF6160">
      <w:pPr>
        <w:pStyle w:val="Nincstrkz"/>
        <w:rPr>
          <w:rFonts w:cs="Times New Roman"/>
        </w:rPr>
      </w:pPr>
      <w:r w:rsidRPr="00DF6160">
        <w:t xml:space="preserve">A kihagyott reggeli adagot azonnal be kell venni, amint </w:t>
      </w:r>
      <w:r w:rsidRPr="00DF6160">
        <w:rPr>
          <w:rFonts w:hint="eastAsia"/>
        </w:rPr>
        <w:t>é</w:t>
      </w:r>
      <w:r w:rsidRPr="00DF6160">
        <w:t xml:space="preserve">szreveszik, </w:t>
      </w:r>
      <w:r w:rsidRPr="00DF6160">
        <w:rPr>
          <w:rFonts w:hint="eastAsia"/>
        </w:rPr>
        <w:t>é</w:t>
      </w:r>
      <w:r w:rsidRPr="00DF6160">
        <w:t>s bevehet</w:t>
      </w:r>
      <w:r w:rsidRPr="00DF6160">
        <w:rPr>
          <w:rFonts w:hint="eastAsia"/>
        </w:rPr>
        <w:t>ő</w:t>
      </w:r>
      <w:r w:rsidRPr="00DF6160">
        <w:t xml:space="preserve"> az esti adaggal egy</w:t>
      </w:r>
      <w:r w:rsidRPr="00DF6160">
        <w:rPr>
          <w:rFonts w:hint="eastAsia"/>
        </w:rPr>
        <w:t>ü</w:t>
      </w:r>
      <w:r w:rsidRPr="00DF6160">
        <w:t>tt</w:t>
      </w:r>
      <w:r>
        <w:t xml:space="preserve"> </w:t>
      </w:r>
      <w:r w:rsidRPr="00DF6160">
        <w:t>is. A kihagyott esti adagot csak azonos est</w:t>
      </w:r>
      <w:r w:rsidRPr="00DF6160">
        <w:rPr>
          <w:rFonts w:hint="eastAsia"/>
        </w:rPr>
        <w:t>é</w:t>
      </w:r>
      <w:r w:rsidRPr="00DF6160">
        <w:t>n szabad bevenni, a beteg nem vehet be k</w:t>
      </w:r>
      <w:r w:rsidRPr="00DF6160">
        <w:rPr>
          <w:rFonts w:hint="eastAsia"/>
        </w:rPr>
        <w:t>é</w:t>
      </w:r>
      <w:r w:rsidRPr="00DF6160">
        <w:t>t adagot a</w:t>
      </w:r>
      <w:r>
        <w:t xml:space="preserve"> </w:t>
      </w:r>
      <w:r w:rsidRPr="00DF6160">
        <w:t>k</w:t>
      </w:r>
      <w:r w:rsidRPr="00DF6160">
        <w:rPr>
          <w:rFonts w:hint="eastAsia"/>
        </w:rPr>
        <w:t>ö</w:t>
      </w:r>
      <w:r w:rsidRPr="00DF6160">
        <w:t>vetkez</w:t>
      </w:r>
      <w:r w:rsidRPr="00DF6160">
        <w:rPr>
          <w:rFonts w:hint="eastAsia"/>
        </w:rPr>
        <w:t>ő</w:t>
      </w:r>
      <w:r w:rsidRPr="00DF6160">
        <w:t xml:space="preserve"> reggel. A betegnek a k</w:t>
      </w:r>
      <w:r w:rsidRPr="00DF6160">
        <w:rPr>
          <w:rFonts w:hint="eastAsia"/>
        </w:rPr>
        <w:t>ö</w:t>
      </w:r>
      <w:r w:rsidRPr="00DF6160">
        <w:t>vetkez</w:t>
      </w:r>
      <w:r w:rsidRPr="00DF6160">
        <w:rPr>
          <w:rFonts w:hint="eastAsia"/>
        </w:rPr>
        <w:t>ő</w:t>
      </w:r>
      <w:r w:rsidRPr="00DF6160">
        <w:t xml:space="preserve"> napon a szok</w:t>
      </w:r>
      <w:r w:rsidRPr="00DF6160">
        <w:rPr>
          <w:rFonts w:hint="eastAsia"/>
        </w:rPr>
        <w:t>á</w:t>
      </w:r>
      <w:r w:rsidRPr="00DF6160">
        <w:t>sos, napi k</w:t>
      </w:r>
      <w:r w:rsidRPr="00DF6160">
        <w:rPr>
          <w:rFonts w:hint="eastAsia"/>
        </w:rPr>
        <w:t>é</w:t>
      </w:r>
      <w:r w:rsidRPr="00DF6160">
        <w:t>tszeri adagol</w:t>
      </w:r>
      <w:r w:rsidRPr="00DF6160">
        <w:rPr>
          <w:rFonts w:hint="eastAsia"/>
        </w:rPr>
        <w:t>á</w:t>
      </w:r>
      <w:r w:rsidRPr="00DF6160">
        <w:t>ssal kell folytatnia a</w:t>
      </w:r>
      <w:r>
        <w:t xml:space="preserve"> </w:t>
      </w:r>
      <w:r w:rsidRPr="00DF6160">
        <w:rPr>
          <w:rFonts w:cs="Times New Roman"/>
          <w:lang w:bidi="hu-HU"/>
        </w:rPr>
        <w:t>kezel</w:t>
      </w:r>
      <w:r w:rsidRPr="00DF6160">
        <w:rPr>
          <w:rFonts w:cs="Times New Roman" w:hint="eastAsia"/>
          <w:lang w:bidi="hu-HU"/>
        </w:rPr>
        <w:t>é</w:t>
      </w:r>
      <w:r w:rsidRPr="00DF6160">
        <w:rPr>
          <w:rFonts w:cs="Times New Roman"/>
          <w:lang w:bidi="hu-HU"/>
        </w:rPr>
        <w:t>st.</w:t>
      </w:r>
    </w:p>
    <w:p w14:paraId="2160ED98" w14:textId="77777777" w:rsidR="00DF6160" w:rsidRPr="000149DA" w:rsidRDefault="00DF6160" w:rsidP="00E9620D">
      <w:pPr>
        <w:pStyle w:val="Nincstrkz"/>
        <w:rPr>
          <w:rFonts w:cs="Times New Roman"/>
        </w:rPr>
      </w:pPr>
    </w:p>
    <w:p w14:paraId="63604B0D" w14:textId="7777777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Átállítás </w:t>
      </w:r>
    </w:p>
    <w:p w14:paraId="002C189A" w14:textId="52B300CE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lastRenderedPageBreak/>
        <w:t xml:space="preserve">A kezelés parenterális antikoagulánsokról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965147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965147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(és fordítva) </w:t>
      </w:r>
      <w:r w:rsidR="00965147" w:rsidRPr="000149DA">
        <w:rPr>
          <w:rFonts w:cs="Times New Roman"/>
        </w:rPr>
        <w:t xml:space="preserve">történő átállítását </w:t>
      </w:r>
      <w:r w:rsidRPr="000149DA">
        <w:rPr>
          <w:rFonts w:cs="Times New Roman"/>
        </w:rPr>
        <w:t xml:space="preserve">a következő előírt adag </w:t>
      </w:r>
      <w:r w:rsidR="00965147" w:rsidRPr="000149DA">
        <w:rPr>
          <w:rFonts w:cs="Times New Roman"/>
        </w:rPr>
        <w:t xml:space="preserve">beadásának </w:t>
      </w:r>
      <w:r w:rsidRPr="000149DA">
        <w:rPr>
          <w:rFonts w:cs="Times New Roman"/>
        </w:rPr>
        <w:t xml:space="preserve">időpontjában </w:t>
      </w:r>
      <w:r w:rsidR="00965147" w:rsidRPr="000149DA">
        <w:rPr>
          <w:rFonts w:cs="Times New Roman"/>
        </w:rPr>
        <w:t xml:space="preserve">lehet elvégezni </w:t>
      </w:r>
      <w:r w:rsidRPr="000149DA">
        <w:rPr>
          <w:rFonts w:cs="Times New Roman"/>
        </w:rPr>
        <w:t>(lásd 4.5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Ezeket a gyógyszereket nem szabad egyidejűleg alkalmazni.</w:t>
      </w:r>
    </w:p>
    <w:p w14:paraId="36B88E7C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613EE9E9" w14:textId="3BAEFBB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Átállítás K</w:t>
      </w:r>
      <w:r w:rsidR="0096514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vitamin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antagonista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 xml:space="preserve">kezelésről </w:t>
      </w:r>
      <w:r w:rsidR="009F74AD">
        <w:rPr>
          <w:rFonts w:cs="Times New Roman"/>
          <w:i/>
          <w:iCs/>
          <w:u w:val="single"/>
        </w:rPr>
        <w:t>Apixaban Tev</w:t>
      </w:r>
      <w:r w:rsidR="00B75CD6" w:rsidRPr="000149DA">
        <w:rPr>
          <w:rFonts w:cs="Times New Roman"/>
          <w:i/>
          <w:iCs/>
          <w:u w:val="single"/>
        </w:rPr>
        <w:t>a</w:t>
      </w:r>
      <w:r w:rsidR="00357495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r</w:t>
      </w:r>
      <w:r w:rsidR="00965147" w:rsidRPr="000149DA">
        <w:rPr>
          <w:rFonts w:cs="Times New Roman"/>
          <w:i/>
          <w:iCs/>
          <w:u w:val="single"/>
        </w:rPr>
        <w:t>a</w:t>
      </w:r>
      <w:r w:rsidRPr="000149DA">
        <w:rPr>
          <w:rFonts w:cs="Times New Roman"/>
          <w:i/>
          <w:iCs/>
          <w:u w:val="single"/>
        </w:rPr>
        <w:t xml:space="preserve"> </w:t>
      </w:r>
    </w:p>
    <w:p w14:paraId="45A08715" w14:textId="62ABB37D" w:rsidR="00B62AE4" w:rsidRPr="007B65B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E70E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</w:t>
      </w:r>
      <w:r w:rsidR="00965147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</w:t>
      </w:r>
      <w:r w:rsidR="00357495" w:rsidRPr="000149DA">
        <w:rPr>
          <w:rFonts w:cs="Times New Roman"/>
        </w:rPr>
        <w:t>áról</w:t>
      </w:r>
      <w:r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357495" w:rsidRPr="000149DA">
        <w:rPr>
          <w:rFonts w:cs="Times New Roman"/>
        </w:rPr>
        <w:t>a</w:t>
      </w:r>
      <w:r w:rsidR="00262327" w:rsidRPr="000149DA">
        <w:rPr>
          <w:rFonts w:cs="Times New Roman"/>
        </w:rPr>
        <w:t xml:space="preserve"> átállí</w:t>
      </w:r>
      <w:r w:rsidRPr="000149DA">
        <w:rPr>
          <w:rFonts w:cs="Times New Roman"/>
        </w:rPr>
        <w:t>t</w:t>
      </w:r>
      <w:r w:rsidR="00262327" w:rsidRPr="000149DA">
        <w:rPr>
          <w:rFonts w:cs="Times New Roman"/>
        </w:rPr>
        <w:t>ásakor</w:t>
      </w:r>
      <w:r w:rsidRPr="000149DA">
        <w:rPr>
          <w:rFonts w:cs="Times New Roman"/>
        </w:rPr>
        <w:t xml:space="preserve"> abba kell hagyni a warfarin</w:t>
      </w:r>
      <w:r w:rsidR="00357495" w:rsidRPr="000149DA">
        <w:rPr>
          <w:rFonts w:cs="Times New Roman"/>
        </w:rPr>
        <w:noBreakHyphen/>
        <w:t>,</w:t>
      </w:r>
      <w:r w:rsidRPr="000149DA">
        <w:rPr>
          <w:rFonts w:cs="Times New Roman"/>
        </w:rPr>
        <w:t xml:space="preserve"> vagy más K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antagonista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kezelést, és </w:t>
      </w:r>
      <w:r w:rsidR="002A2AFA" w:rsidRPr="000149DA">
        <w:rPr>
          <w:rFonts w:cs="Times New Roman"/>
        </w:rPr>
        <w:t xml:space="preserve">akkor kell </w:t>
      </w:r>
      <w:r w:rsidR="00357495" w:rsidRPr="000149DA">
        <w:rPr>
          <w:rFonts w:cs="Times New Roman"/>
        </w:rPr>
        <w:t xml:space="preserve">elkezdeni </w:t>
      </w: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357495" w:rsidRPr="000149DA">
        <w:rPr>
          <w:rFonts w:cs="Times New Roman"/>
        </w:rPr>
        <w:noBreakHyphen/>
      </w:r>
      <w:r w:rsidR="00490277">
        <w:rPr>
          <w:rFonts w:cs="Times New Roman"/>
        </w:rPr>
        <w:t>kezelés</w:t>
      </w:r>
      <w:r w:rsidRPr="00490277">
        <w:rPr>
          <w:rFonts w:cs="Times New Roman"/>
        </w:rPr>
        <w:t xml:space="preserve">t, </w:t>
      </w:r>
      <w:r w:rsidR="00262327" w:rsidRPr="00490277">
        <w:rPr>
          <w:rFonts w:cs="Times New Roman"/>
        </w:rPr>
        <w:t>ha</w:t>
      </w:r>
      <w:r w:rsidRPr="00490277">
        <w:rPr>
          <w:rFonts w:cs="Times New Roman"/>
        </w:rPr>
        <w:t xml:space="preserve"> a nemzetközi normalizált arány (INR) &lt;</w:t>
      </w:r>
      <w:r w:rsidR="00357495" w:rsidRPr="00490277">
        <w:rPr>
          <w:rFonts w:cs="Times New Roman"/>
        </w:rPr>
        <w:t> </w:t>
      </w:r>
      <w:r w:rsidRPr="007B65B4">
        <w:rPr>
          <w:rFonts w:cs="Times New Roman"/>
        </w:rPr>
        <w:t>2.</w:t>
      </w:r>
    </w:p>
    <w:p w14:paraId="3A6AF8A3" w14:textId="77777777" w:rsidR="00B62AE4" w:rsidRPr="00B50EA7" w:rsidRDefault="00B62AE4" w:rsidP="00B62AE4">
      <w:pPr>
        <w:pStyle w:val="Nincstrkz"/>
        <w:rPr>
          <w:rFonts w:cs="Times New Roman"/>
        </w:rPr>
      </w:pPr>
    </w:p>
    <w:p w14:paraId="34D14E0C" w14:textId="3817DA6F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Átállítás </w:t>
      </w:r>
      <w:r w:rsidR="009F74AD">
        <w:rPr>
          <w:rFonts w:cs="Times New Roman"/>
          <w:i/>
          <w:iCs/>
          <w:u w:val="single"/>
        </w:rPr>
        <w:t>Apixaban Tev</w:t>
      </w:r>
      <w:r w:rsidR="00B75CD6" w:rsidRPr="000149DA">
        <w:rPr>
          <w:rFonts w:cs="Times New Roman"/>
          <w:i/>
          <w:iCs/>
          <w:u w:val="single"/>
        </w:rPr>
        <w:t>a</w:t>
      </w:r>
      <w:r w:rsidR="007332A2" w:rsidRPr="000149DA">
        <w:rPr>
          <w:rFonts w:cs="Times New Roman"/>
          <w:i/>
          <w:iCs/>
          <w:u w:val="single"/>
        </w:rPr>
        <w:t>-</w:t>
      </w:r>
      <w:r w:rsidR="00262327" w:rsidRPr="000149DA">
        <w:rPr>
          <w:rFonts w:cs="Times New Roman"/>
          <w:i/>
          <w:iCs/>
          <w:u w:val="single"/>
        </w:rPr>
        <w:t>ró</w:t>
      </w:r>
      <w:r w:rsidRPr="000149DA">
        <w:rPr>
          <w:rFonts w:cs="Times New Roman"/>
          <w:i/>
          <w:iCs/>
          <w:u w:val="single"/>
        </w:rPr>
        <w:t>l K</w:t>
      </w:r>
      <w:r w:rsidR="0026232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vitamin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antagonista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kezelésre</w:t>
      </w:r>
    </w:p>
    <w:p w14:paraId="5CABEB1D" w14:textId="4046A4C7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2A2AFA" w:rsidRPr="000149DA">
        <w:rPr>
          <w:rFonts w:cs="Times New Roman"/>
        </w:rPr>
        <w:t>mikor a</w:t>
      </w:r>
      <w:r w:rsidR="00E70E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</w:t>
      </w:r>
      <w:r w:rsidR="002A2AFA" w:rsidRPr="000149DA">
        <w:rPr>
          <w:rFonts w:cs="Times New Roman"/>
        </w:rPr>
        <w:t>et</w:t>
      </w:r>
      <w:r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262327" w:rsidRPr="000149DA">
        <w:rPr>
          <w:rFonts w:cs="Times New Roman"/>
        </w:rPr>
        <w:t>ó</w:t>
      </w:r>
      <w:r w:rsidRPr="000149DA">
        <w:rPr>
          <w:rFonts w:cs="Times New Roman"/>
        </w:rPr>
        <w:t>l K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891125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E70E17" w:rsidRPr="000149DA">
        <w:rPr>
          <w:rFonts w:cs="Times New Roman"/>
        </w:rPr>
        <w:noBreakHyphen/>
      </w:r>
      <w:r w:rsidRPr="000149DA">
        <w:rPr>
          <w:rFonts w:cs="Times New Roman"/>
        </w:rPr>
        <w:t>kezelésre állít</w:t>
      </w:r>
      <w:r w:rsidR="002A2AFA" w:rsidRPr="000149DA">
        <w:rPr>
          <w:rFonts w:cs="Times New Roman"/>
        </w:rPr>
        <w:t xml:space="preserve">ják át, </w:t>
      </w:r>
      <w:r w:rsidRPr="000149DA">
        <w:rPr>
          <w:rFonts w:cs="Times New Roman"/>
        </w:rPr>
        <w:t>a</w:t>
      </w:r>
      <w:r w:rsidR="00F61E47">
        <w:rPr>
          <w:rFonts w:cs="Times New Roman"/>
        </w:rPr>
        <w:t>kkor a</w:t>
      </w:r>
      <w:r w:rsidRPr="00F61E47">
        <w:rPr>
          <w:rFonts w:cs="Times New Roman"/>
        </w:rPr>
        <w:t xml:space="preserve"> K</w:t>
      </w:r>
      <w:r w:rsidR="003B556C" w:rsidRPr="00490277">
        <w:rPr>
          <w:rFonts w:cs="Times New Roman"/>
        </w:rPr>
        <w:noBreakHyphen/>
      </w:r>
      <w:r w:rsidRPr="007B65B4">
        <w:rPr>
          <w:rFonts w:cs="Times New Roman"/>
        </w:rPr>
        <w:t>vitamin</w:t>
      </w:r>
      <w:r w:rsidR="00E70E17" w:rsidRPr="007B65B4">
        <w:rPr>
          <w:rFonts w:cs="Times New Roman"/>
        </w:rPr>
        <w:noBreakHyphen/>
      </w:r>
      <w:r w:rsidRPr="007B65B4">
        <w:rPr>
          <w:rFonts w:cs="Times New Roman"/>
        </w:rPr>
        <w:t>antagonista</w:t>
      </w:r>
      <w:r w:rsidR="003B556C" w:rsidRPr="007B65B4">
        <w:rPr>
          <w:rFonts w:cs="Times New Roman"/>
        </w:rPr>
        <w:noBreakHyphen/>
      </w:r>
      <w:r w:rsidRPr="007B65B4">
        <w:rPr>
          <w:rFonts w:cs="Times New Roman"/>
        </w:rPr>
        <w:t>kezelés elkezdése után</w:t>
      </w:r>
      <w:r w:rsidR="00897B1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legalább 2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 xml:space="preserve">ig folytatni kell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adását.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és a K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E70E17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F61E47">
        <w:rPr>
          <w:rFonts w:cs="Times New Roman"/>
        </w:rPr>
        <w:t xml:space="preserve"> </w:t>
      </w:r>
      <w:r w:rsidRPr="000149DA">
        <w:rPr>
          <w:rFonts w:cs="Times New Roman"/>
        </w:rPr>
        <w:t>kezelés 2</w:t>
      </w:r>
      <w:r w:rsidR="003B67D5" w:rsidRPr="000149DA">
        <w:rPr>
          <w:rFonts w:cs="Times New Roman"/>
        </w:rPr>
        <w:t> nap</w:t>
      </w:r>
      <w:r w:rsidR="003B556C" w:rsidRPr="000149DA">
        <w:rPr>
          <w:rFonts w:cs="Times New Roman"/>
        </w:rPr>
        <w:t xml:space="preserve">ig történő </w:t>
      </w:r>
      <w:r w:rsidRPr="000149DA">
        <w:rPr>
          <w:rFonts w:cs="Times New Roman"/>
        </w:rPr>
        <w:t xml:space="preserve">egyidejű alkalmazása után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következő, tervezett dózisa előtt meg kell mérni az INR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értéket.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és K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antagonista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>kezelés egyidejű alkalmazását addig kell folytatni, amíg a</w:t>
      </w:r>
      <w:r w:rsidR="003B556C" w:rsidRPr="000149DA">
        <w:rPr>
          <w:rFonts w:cs="Times New Roman"/>
        </w:rPr>
        <w:t xml:space="preserve"> nemzetközi normalizált arány (</w:t>
      </w:r>
      <w:r w:rsidRPr="000149DA">
        <w:rPr>
          <w:rFonts w:cs="Times New Roman"/>
        </w:rPr>
        <w:t>INR</w:t>
      </w:r>
      <w:r w:rsidR="003B556C" w:rsidRPr="000149DA">
        <w:rPr>
          <w:rFonts w:cs="Times New Roman"/>
        </w:rPr>
        <w:t>)</w:t>
      </w:r>
      <w:r w:rsidR="00741DD5" w:rsidRPr="000149DA">
        <w:rPr>
          <w:rFonts w:cs="Times New Roman"/>
        </w:rPr>
        <w:t> </w:t>
      </w:r>
      <w:r w:rsidRPr="000149DA">
        <w:rPr>
          <w:rFonts w:cs="Times New Roman"/>
        </w:rPr>
        <w:t>≥</w:t>
      </w:r>
      <w:r w:rsidR="001706DF" w:rsidRPr="000149DA">
        <w:rPr>
          <w:rFonts w:cs="Times New Roman"/>
        </w:rPr>
        <w:t> </w:t>
      </w:r>
      <w:r w:rsidRPr="000149DA">
        <w:rPr>
          <w:rFonts w:cs="Times New Roman"/>
        </w:rPr>
        <w:t>2</w:t>
      </w:r>
      <w:r w:rsidR="00F74813" w:rsidRPr="000149DA">
        <w:rPr>
          <w:rFonts w:cs="Times New Roman"/>
        </w:rPr>
        <w:t xml:space="preserve"> lesz</w:t>
      </w:r>
      <w:r w:rsidRPr="000149DA">
        <w:rPr>
          <w:rFonts w:cs="Times New Roman"/>
        </w:rPr>
        <w:t>.</w:t>
      </w:r>
    </w:p>
    <w:p w14:paraId="5053545C" w14:textId="77777777" w:rsidR="00702E57" w:rsidRPr="000149DA" w:rsidRDefault="00702E57" w:rsidP="00E9620D">
      <w:pPr>
        <w:pStyle w:val="Nincstrkz"/>
        <w:rPr>
          <w:rFonts w:cs="Times New Roman"/>
        </w:rPr>
      </w:pPr>
    </w:p>
    <w:p w14:paraId="663303D2" w14:textId="77777777" w:rsidR="00702E57" w:rsidRPr="000149DA" w:rsidRDefault="00702E57" w:rsidP="00702E57">
      <w:pPr>
        <w:pStyle w:val="Nincstrkz"/>
        <w:rPr>
          <w:rFonts w:cs="Times New Roman"/>
          <w:i/>
          <w:u w:val="single"/>
        </w:rPr>
      </w:pPr>
      <w:r w:rsidRPr="000149DA">
        <w:rPr>
          <w:rFonts w:cs="Times New Roman"/>
          <w:i/>
          <w:u w:val="single"/>
        </w:rPr>
        <w:t>Idősek</w:t>
      </w:r>
    </w:p>
    <w:p w14:paraId="4E26714B" w14:textId="77777777" w:rsidR="00702E57" w:rsidRPr="000149DA" w:rsidRDefault="00702E57" w:rsidP="00702E57">
      <w:pPr>
        <w:pStyle w:val="Nincstrkz"/>
        <w:rPr>
          <w:rFonts w:cs="Times New Roman"/>
        </w:rPr>
      </w:pPr>
      <w:r w:rsidRPr="000149DA">
        <w:rPr>
          <w:rFonts w:cs="Times New Roman"/>
        </w:rPr>
        <w:t>VTEp és VTEt – A dózis módosítása nem szükséges (lásd 4.4 és 5.2 pont).</w:t>
      </w:r>
    </w:p>
    <w:p w14:paraId="33D53A91" w14:textId="77777777" w:rsidR="00702E57" w:rsidRPr="000149DA" w:rsidRDefault="00702E57" w:rsidP="00702E57">
      <w:pPr>
        <w:pStyle w:val="Nincstrkz"/>
        <w:rPr>
          <w:rFonts w:cs="Times New Roman"/>
        </w:rPr>
      </w:pPr>
    </w:p>
    <w:p w14:paraId="78C03758" w14:textId="522CE2AD" w:rsidR="00702E57" w:rsidRPr="000149DA" w:rsidRDefault="00702E57" w:rsidP="00702E57">
      <w:pPr>
        <w:pStyle w:val="Nincstrkz"/>
        <w:rPr>
          <w:rFonts w:cs="Times New Roman"/>
        </w:rPr>
      </w:pPr>
      <w:r w:rsidRPr="000149DA">
        <w:rPr>
          <w:rFonts w:cs="Times New Roman"/>
        </w:rPr>
        <w:t>Nem billentyű eredetű pitvarfibrilláció – A dózis módosítása nem szükséges, kivéve, ha a dózis</w:t>
      </w:r>
      <w:r w:rsidR="0009126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csökkentésének kritériumai teljesülnek (lásd Dóziscsökkentés a 4.2 pont elején).</w:t>
      </w:r>
    </w:p>
    <w:p w14:paraId="4A679FAF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0465E8D9" w14:textId="7777777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Vesekárosodás</w:t>
      </w:r>
    </w:p>
    <w:p w14:paraId="2546D6A6" w14:textId="6EB76538" w:rsidR="00DF6160" w:rsidRPr="00304D8C" w:rsidRDefault="00DF6160" w:rsidP="00E9620D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Felnőttek</w:t>
      </w:r>
    </w:p>
    <w:p w14:paraId="54A2925D" w14:textId="520BA49B" w:rsidR="00B62AE4" w:rsidRPr="000149DA" w:rsidRDefault="00E70E17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Az e</w:t>
      </w:r>
      <w:r w:rsidR="00B62AE4" w:rsidRPr="000149DA">
        <w:rPr>
          <w:rFonts w:cs="Times New Roman"/>
        </w:rPr>
        <w:t>nyhe, illetve közepes fokú vesekárosodásban szenvedő</w:t>
      </w:r>
      <w:r w:rsidR="00DF6160">
        <w:rPr>
          <w:rFonts w:cs="Times New Roman"/>
        </w:rPr>
        <w:t xml:space="preserve"> felnőtt</w:t>
      </w:r>
      <w:r w:rsidR="007E58EC" w:rsidRPr="000149DA">
        <w:rPr>
          <w:rFonts w:cs="Times New Roman"/>
        </w:rPr>
        <w:t xml:space="preserve"> betegekre</w:t>
      </w:r>
      <w:r w:rsidR="00B62AE4" w:rsidRPr="000149DA">
        <w:rPr>
          <w:rFonts w:cs="Times New Roman"/>
        </w:rPr>
        <w:t xml:space="preserve"> az alábbi ajánlások vonatkoznak:</w:t>
      </w:r>
    </w:p>
    <w:p w14:paraId="7BD5E933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58604D8D" w14:textId="3E95BA78" w:rsidR="00B62AE4" w:rsidRPr="000149DA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MVT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kezeléséhez,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PE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kezeléséhez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MVT</w:t>
      </w:r>
      <w:r w:rsidR="00190E11" w:rsidRPr="000149DA">
        <w:rPr>
          <w:rFonts w:cs="Times New Roman"/>
          <w:w w:val="105"/>
        </w:rPr>
        <w:t xml:space="preserve">, valamint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8"/>
          <w:w w:val="105"/>
        </w:rPr>
        <w:t xml:space="preserve"> </w:t>
      </w:r>
      <w:r w:rsidRPr="000149DA">
        <w:rPr>
          <w:rFonts w:cs="Times New Roman"/>
          <w:w w:val="105"/>
        </w:rPr>
        <w:t>PE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kiújulásának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megelőzéséhez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(VTEt)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nincs szükség az adagolás módosítására (lásd 5.2</w:t>
      </w:r>
      <w:r w:rsidR="004C106B" w:rsidRPr="000149DA">
        <w:rPr>
          <w:rFonts w:cs="Times New Roman"/>
          <w:spacing w:val="-12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018BF62A" w14:textId="77777777" w:rsidR="00B62AE4" w:rsidRPr="000149DA" w:rsidRDefault="00B62AE4" w:rsidP="007E03AF">
      <w:pPr>
        <w:pStyle w:val="Nincstrkz"/>
        <w:ind w:left="567" w:hanging="567"/>
        <w:rPr>
          <w:rFonts w:cs="Times New Roman"/>
        </w:rPr>
      </w:pPr>
    </w:p>
    <w:p w14:paraId="578A9260" w14:textId="41F758E8" w:rsidR="00B62AE4" w:rsidRPr="000149DA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stroke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szisztémás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embolizáció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prevenciójára</w:t>
      </w:r>
      <w:r w:rsidR="003746CF" w:rsidRPr="000149DA">
        <w:rPr>
          <w:rFonts w:cs="Times New Roman"/>
          <w:w w:val="105"/>
        </w:rPr>
        <w:t xml:space="preserve"> alkalmazva</w:t>
      </w:r>
      <w:r w:rsidR="002F1A68" w:rsidRPr="000149DA">
        <w:rPr>
          <w:rFonts w:cs="Times New Roman"/>
          <w:spacing w:val="-12"/>
          <w:w w:val="105"/>
        </w:rPr>
        <w:t xml:space="preserve"> </w:t>
      </w:r>
      <w:r w:rsidR="003746CF" w:rsidRPr="000149DA">
        <w:rPr>
          <w:rFonts w:cs="Times New Roman"/>
          <w:w w:val="105"/>
        </w:rPr>
        <w:t>a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fentiekben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leírtaknak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megfelelő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 xml:space="preserve">adagcsökkentésre van szükség a </w:t>
      </w:r>
      <w:r w:rsidR="002F1A68" w:rsidRPr="000149DA">
        <w:rPr>
          <w:rFonts w:cs="Times New Roman"/>
          <w:w w:val="105"/>
        </w:rPr>
        <w:t>nem</w:t>
      </w:r>
      <w:r w:rsidR="002F1A68" w:rsidRPr="000149DA">
        <w:rPr>
          <w:rFonts w:cs="Times New Roman"/>
          <w:spacing w:val="-12"/>
          <w:w w:val="105"/>
        </w:rPr>
        <w:t xml:space="preserve"> valvuláris </w:t>
      </w:r>
      <w:r w:rsidR="002F1A68" w:rsidRPr="000149DA">
        <w:rPr>
          <w:rFonts w:cs="Times New Roman"/>
          <w:w w:val="105"/>
        </w:rPr>
        <w:t>pitvarfibrillációban</w:t>
      </w:r>
      <w:r w:rsidR="002F1A68" w:rsidRPr="000149DA">
        <w:rPr>
          <w:rFonts w:cs="Times New Roman"/>
          <w:spacing w:val="-12"/>
          <w:w w:val="105"/>
        </w:rPr>
        <w:t xml:space="preserve"> </w:t>
      </w:r>
      <w:r w:rsidR="002F1A68" w:rsidRPr="000149DA">
        <w:rPr>
          <w:rFonts w:cs="Times New Roman"/>
          <w:w w:val="105"/>
        </w:rPr>
        <w:t>szenvedő</w:t>
      </w:r>
      <w:r w:rsidR="00891125" w:rsidRPr="000149DA">
        <w:rPr>
          <w:rFonts w:cs="Times New Roman"/>
          <w:w w:val="105"/>
        </w:rPr>
        <w:t xml:space="preserve"> </w:t>
      </w:r>
      <w:bookmarkStart w:id="2" w:name="_Hlk55148655"/>
      <w:r w:rsidR="00891125" w:rsidRPr="000149DA">
        <w:rPr>
          <w:rFonts w:cs="Times New Roman"/>
          <w:w w:val="105"/>
        </w:rPr>
        <w:t>olyan betegeknél</w:t>
      </w:r>
      <w:bookmarkEnd w:id="2"/>
      <w:r w:rsidRPr="000149DA">
        <w:rPr>
          <w:rFonts w:cs="Times New Roman"/>
          <w:w w:val="105"/>
        </w:rPr>
        <w:t>,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akik</w:t>
      </w:r>
      <w:r w:rsidR="002F1A68" w:rsidRPr="000149DA">
        <w:rPr>
          <w:rFonts w:cs="Times New Roman"/>
          <w:w w:val="105"/>
        </w:rPr>
        <w:t>nek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szérum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kreatininszintj</w:t>
      </w:r>
      <w:r w:rsidR="002F1A68" w:rsidRPr="000149DA">
        <w:rPr>
          <w:rFonts w:cs="Times New Roman"/>
          <w:w w:val="105"/>
        </w:rPr>
        <w:t>e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≥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1,5</w:t>
      </w:r>
      <w:r w:rsidR="004C106B" w:rsidRPr="000149DA">
        <w:rPr>
          <w:rFonts w:cs="Times New Roman"/>
          <w:spacing w:val="-10"/>
          <w:w w:val="105"/>
        </w:rPr>
        <w:t> mg</w:t>
      </w:r>
      <w:r w:rsidRPr="000149DA">
        <w:rPr>
          <w:rFonts w:cs="Times New Roman"/>
          <w:w w:val="105"/>
        </w:rPr>
        <w:t>/dl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(133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mikromol/l),</w:t>
      </w:r>
      <w:r w:rsidRPr="000149DA">
        <w:rPr>
          <w:rFonts w:cs="Times New Roman"/>
          <w:spacing w:val="-9"/>
          <w:w w:val="105"/>
        </w:rPr>
        <w:t xml:space="preserve"> </w:t>
      </w:r>
      <w:r w:rsidR="002F1A68" w:rsidRPr="000149DA">
        <w:rPr>
          <w:rFonts w:cs="Times New Roman"/>
          <w:w w:val="105"/>
        </w:rPr>
        <w:t xml:space="preserve">életkoruk </w:t>
      </w:r>
      <w:r w:rsidRPr="000149DA">
        <w:rPr>
          <w:rFonts w:cs="Times New Roman"/>
          <w:w w:val="105"/>
        </w:rPr>
        <w:t>≥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80</w:t>
      </w:r>
      <w:r w:rsidR="00045408" w:rsidRPr="000149DA">
        <w:rPr>
          <w:rFonts w:cs="Times New Roman"/>
          <w:w w:val="105"/>
        </w:rPr>
        <w:t> év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vagy</w:t>
      </w:r>
      <w:r w:rsidRPr="000149DA">
        <w:rPr>
          <w:rFonts w:cs="Times New Roman"/>
          <w:spacing w:val="-7"/>
          <w:w w:val="105"/>
        </w:rPr>
        <w:t xml:space="preserve"> </w:t>
      </w:r>
      <w:r w:rsidR="002F1A68" w:rsidRPr="000149DA">
        <w:rPr>
          <w:rFonts w:cs="Times New Roman"/>
          <w:w w:val="105"/>
        </w:rPr>
        <w:t>testtömegük</w:t>
      </w:r>
      <w:r w:rsidR="002F1A68"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≤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60</w:t>
      </w:r>
      <w:r w:rsidR="00B75CD6" w:rsidRPr="000149DA">
        <w:rPr>
          <w:rFonts w:cs="Times New Roman"/>
          <w:spacing w:val="-10"/>
          <w:w w:val="105"/>
        </w:rPr>
        <w:t> kg</w:t>
      </w:r>
      <w:r w:rsidR="00D31D0F">
        <w:rPr>
          <w:rFonts w:cs="Times New Roman"/>
          <w:spacing w:val="-10"/>
          <w:w w:val="105"/>
        </w:rPr>
        <w:t xml:space="preserve"> (</w:t>
      </w:r>
      <w:r w:rsidR="00D31D0F" w:rsidRPr="00D31D0F">
        <w:rPr>
          <w:rFonts w:cs="Times New Roman"/>
          <w:spacing w:val="-10"/>
          <w:w w:val="105"/>
        </w:rPr>
        <w:t>lásd fentebb a Dóziscsökkentés alcímnél</w:t>
      </w:r>
      <w:r w:rsidR="00D31D0F">
        <w:rPr>
          <w:rFonts w:cs="Times New Roman"/>
          <w:spacing w:val="-10"/>
          <w:w w:val="105"/>
        </w:rPr>
        <w:t>)</w:t>
      </w:r>
      <w:r w:rsidRPr="000149DA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="004C106B" w:rsidRPr="000149DA">
        <w:rPr>
          <w:rFonts w:cs="Times New Roman"/>
          <w:spacing w:val="-15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7A1E5133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81E1A0B" w14:textId="4A8EF8F5" w:rsidR="00B62AE4" w:rsidRPr="000149DA" w:rsidRDefault="00A6130C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vesekárosodásban (kreatinin</w:t>
      </w:r>
      <w:r w:rsidRPr="000149DA">
        <w:rPr>
          <w:rFonts w:cs="Times New Roman"/>
        </w:rPr>
        <w:noBreakHyphen/>
        <w:t>clearance 15</w:t>
      </w:r>
      <w:r w:rsidR="004B5E4F" w:rsidRPr="000149DA">
        <w:rPr>
          <w:rFonts w:cs="Times New Roman"/>
        </w:rPr>
        <w:noBreakHyphen/>
      </w:r>
      <w:r w:rsidRPr="000149DA">
        <w:rPr>
          <w:rFonts w:cs="Times New Roman"/>
        </w:rPr>
        <w:t>29 ml/</w:t>
      </w:r>
      <w:r w:rsidR="00AF1601" w:rsidRPr="000149DA">
        <w:rPr>
          <w:rFonts w:cs="Times New Roman"/>
        </w:rPr>
        <w:t>perc</w:t>
      </w:r>
      <w:r w:rsidRPr="000149DA">
        <w:rPr>
          <w:rFonts w:cs="Times New Roman"/>
        </w:rPr>
        <w:t>) szenvedő</w:t>
      </w:r>
      <w:r w:rsidR="004B5E4F" w:rsidRPr="000149DA">
        <w:rPr>
          <w:rFonts w:cs="Times New Roman"/>
        </w:rPr>
        <w:t xml:space="preserve"> </w:t>
      </w:r>
      <w:r w:rsidR="00D31D0F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ekre az alábbi ajánlások vonatkoznak (lásd 4.4 és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):</w:t>
      </w:r>
    </w:p>
    <w:p w14:paraId="35DA1667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A9A3162" w14:textId="6EC15290" w:rsidR="00B62AE4" w:rsidRPr="000149DA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MVT kezelésére, PE kezelésére és MVT</w:t>
      </w:r>
      <w:r w:rsidR="00A52167" w:rsidRPr="000149DA">
        <w:rPr>
          <w:rFonts w:cs="Times New Roman"/>
          <w:w w:val="105"/>
        </w:rPr>
        <w:t>, illetve</w:t>
      </w:r>
      <w:r w:rsidRPr="000149DA">
        <w:rPr>
          <w:rFonts w:cs="Times New Roman"/>
          <w:w w:val="105"/>
        </w:rPr>
        <w:t xml:space="preserve"> PE kiújulásának megelőzésére (VTEt) 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t </w:t>
      </w:r>
      <w:r w:rsidR="00A52167" w:rsidRPr="000149DA">
        <w:rPr>
          <w:rFonts w:cs="Times New Roman"/>
          <w:w w:val="105"/>
        </w:rPr>
        <w:t>kellő elővigyázatossággal</w:t>
      </w:r>
      <w:r w:rsidRPr="000149DA">
        <w:rPr>
          <w:rFonts w:cs="Times New Roman"/>
          <w:w w:val="105"/>
        </w:rPr>
        <w:t xml:space="preserve"> kell</w:t>
      </w:r>
      <w:r w:rsidRPr="000149DA">
        <w:rPr>
          <w:rFonts w:cs="Times New Roman"/>
          <w:spacing w:val="-4"/>
          <w:w w:val="105"/>
        </w:rPr>
        <w:t xml:space="preserve"> </w:t>
      </w:r>
      <w:r w:rsidRPr="000149DA">
        <w:rPr>
          <w:rFonts w:cs="Times New Roman"/>
          <w:w w:val="105"/>
        </w:rPr>
        <w:t>alkalmazni;</w:t>
      </w:r>
    </w:p>
    <w:p w14:paraId="58652669" w14:textId="77777777" w:rsidR="00B62AE4" w:rsidRPr="000149DA" w:rsidRDefault="00B62AE4" w:rsidP="00A6130C">
      <w:pPr>
        <w:pStyle w:val="Nincstrkz"/>
        <w:ind w:left="567" w:hanging="567"/>
        <w:rPr>
          <w:rFonts w:cs="Times New Roman"/>
        </w:rPr>
      </w:pPr>
    </w:p>
    <w:p w14:paraId="3B7F719F" w14:textId="098955AD" w:rsidR="00B62AE4" w:rsidRPr="000149DA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stroke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szisztémás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embolizáció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prevenciója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esetén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="00A52167" w:rsidRPr="000149DA">
        <w:rPr>
          <w:rFonts w:cs="Times New Roman"/>
          <w:w w:val="105"/>
        </w:rPr>
        <w:t>valvuláris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pitvarfibrillációban szenvedő</w:t>
      </w:r>
      <w:r w:rsidR="00910D0F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Pr="000149DA">
        <w:rPr>
          <w:rFonts w:cs="Times New Roman"/>
          <w:w w:val="105"/>
        </w:rPr>
        <w:t>ek</w:t>
      </w:r>
      <w:r w:rsidR="00910D0F" w:rsidRPr="000149DA">
        <w:rPr>
          <w:rFonts w:cs="Times New Roman"/>
          <w:w w:val="105"/>
        </w:rPr>
        <w:t>nek</w:t>
      </w:r>
      <w:r w:rsidRPr="000149DA">
        <w:rPr>
          <w:rFonts w:cs="Times New Roman"/>
          <w:w w:val="105"/>
        </w:rPr>
        <w:t xml:space="preserve"> alacsonyabb,</w:t>
      </w:r>
      <w:r w:rsidR="00A52167" w:rsidRPr="000149DA">
        <w:rPr>
          <w:rFonts w:cs="Times New Roman"/>
          <w:w w:val="105"/>
        </w:rPr>
        <w:t xml:space="preserve"> </w:t>
      </w:r>
      <w:r w:rsidR="003B67D5" w:rsidRPr="000149DA">
        <w:rPr>
          <w:rFonts w:cs="Times New Roman"/>
          <w:w w:val="105"/>
        </w:rPr>
        <w:t>nap</w:t>
      </w:r>
      <w:r w:rsidRPr="000149DA">
        <w:rPr>
          <w:rFonts w:cs="Times New Roman"/>
          <w:w w:val="105"/>
        </w:rPr>
        <w:t>onta kétszer 2,5</w:t>
      </w:r>
      <w:r w:rsidR="004C106B" w:rsidRPr="000149DA">
        <w:rPr>
          <w:rFonts w:cs="Times New Roman"/>
          <w:w w:val="105"/>
        </w:rPr>
        <w:t> mg</w:t>
      </w:r>
      <w:r w:rsidR="00A52167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 xml:space="preserve">os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dózist kell kapniuk.</w:t>
      </w:r>
    </w:p>
    <w:p w14:paraId="2336B4A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4BE61D6" w14:textId="74A88EF5" w:rsidR="00B62AE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Nincs</w:t>
      </w:r>
      <w:r w:rsidR="00A52167" w:rsidRPr="000149DA">
        <w:rPr>
          <w:rFonts w:cs="Times New Roman"/>
        </w:rPr>
        <w:t xml:space="preserve">enek </w:t>
      </w:r>
      <w:r w:rsidR="00FA2868" w:rsidRPr="000149DA">
        <w:rPr>
          <w:rFonts w:cs="Times New Roman"/>
        </w:rPr>
        <w:t xml:space="preserve">klinikai tapasztalatok </w:t>
      </w:r>
      <w:r w:rsidR="00A52167" w:rsidRPr="000149DA">
        <w:rPr>
          <w:rFonts w:cs="Times New Roman"/>
        </w:rPr>
        <w:t>olyan</w:t>
      </w:r>
      <w:r w:rsidR="00A1416D" w:rsidRPr="000149DA">
        <w:rPr>
          <w:rFonts w:cs="Times New Roman"/>
        </w:rPr>
        <w:t> beteg</w:t>
      </w:r>
      <w:r w:rsidR="00A52167" w:rsidRPr="000149DA">
        <w:rPr>
          <w:rFonts w:cs="Times New Roman"/>
        </w:rPr>
        <w:t>ekre vonatkozó</w:t>
      </w:r>
      <w:r w:rsidR="00FA2868" w:rsidRPr="000149DA">
        <w:rPr>
          <w:rFonts w:cs="Times New Roman"/>
        </w:rPr>
        <w:t>an</w:t>
      </w:r>
      <w:r w:rsidRPr="000149DA">
        <w:rPr>
          <w:rFonts w:cs="Times New Roman"/>
        </w:rPr>
        <w:t>, akiknek kreatinin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>clearence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>e &lt;</w:t>
      </w:r>
      <w:r w:rsidR="00FA2868" w:rsidRPr="000149DA">
        <w:rPr>
          <w:rFonts w:cs="Times New Roman"/>
        </w:rPr>
        <w:t> </w:t>
      </w:r>
      <w:r w:rsidRPr="000149DA">
        <w:rPr>
          <w:rFonts w:cs="Times New Roman"/>
        </w:rPr>
        <w:t>15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, vagy dialízis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alatt állnak, ezért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ezeknél a</w:t>
      </w:r>
      <w:r w:rsidR="00910D0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javasolt (lásd 4.4 és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00F13E1" w14:textId="77777777" w:rsidR="00D31D0F" w:rsidRPr="000149DA" w:rsidRDefault="00D31D0F" w:rsidP="00E9620D">
      <w:pPr>
        <w:pStyle w:val="Nincstrkz"/>
        <w:rPr>
          <w:rFonts w:cs="Times New Roman"/>
        </w:rPr>
      </w:pPr>
    </w:p>
    <w:p w14:paraId="01BF718C" w14:textId="77777777" w:rsidR="00D31D0F" w:rsidRPr="00304D8C" w:rsidRDefault="00D31D0F" w:rsidP="00D31D0F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Gyermekek és serdülők</w:t>
      </w:r>
    </w:p>
    <w:p w14:paraId="16BC146E" w14:textId="58DA2602" w:rsidR="00B62AE4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A felnőttekre vonatkozó adatok és a gyermekekre és serdülőkre vonatkozó korlátozott mennyiségű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adatok (lásd 5.2 pont) alapján nincs szükség dózismódosításra a gyermekeknél és serdülőknél enyhe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vagy közepesen súlyos vesekárosodásban szenvedő betegeknél. Az apixabán alkalmazása nem javasolt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súlyos vesekárosodásban szenvedő gyermekeknél és serdülőknél (lásd 4.4 pont).</w:t>
      </w:r>
    </w:p>
    <w:p w14:paraId="43A3F63E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48687097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Májkárosodás</w:t>
      </w:r>
    </w:p>
    <w:p w14:paraId="69B42646" w14:textId="5944759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ellenjavallt véralvadási zavarral és klinikailag jelentős vérzési kockázattal járó májbetegségben szenvedő</w:t>
      </w:r>
      <w:r w:rsidR="00D31D0F">
        <w:rPr>
          <w:rFonts w:cs="Times New Roman"/>
        </w:rPr>
        <w:t xml:space="preserve"> felnőtt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4.3</w:t>
      </w:r>
      <w:r w:rsidR="00522CA0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3F2D27F7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42631515" w14:textId="6432846D" w:rsidR="00B62AE4" w:rsidRPr="000149DA" w:rsidRDefault="00F11A29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Nem ajánlott s</w:t>
      </w:r>
      <w:r w:rsidR="00B62AE4" w:rsidRPr="000149DA">
        <w:rPr>
          <w:rFonts w:cs="Times New Roman"/>
        </w:rPr>
        <w:t>úlyos májkárosodásban szenvedő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ek</w:t>
      </w:r>
      <w:r w:rsidRPr="000149DA">
        <w:rPr>
          <w:rFonts w:cs="Times New Roman"/>
        </w:rPr>
        <w:t xml:space="preserve"> számára</w:t>
      </w:r>
      <w:r w:rsidR="00B62AE4" w:rsidRPr="000149DA">
        <w:rPr>
          <w:rFonts w:cs="Times New Roman"/>
        </w:rPr>
        <w:t xml:space="preserve"> (lásd 4.4 és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6E2CA51C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41C7253F" w14:textId="73FE38FF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Enyhe vagy közepes </w:t>
      </w:r>
      <w:r w:rsidR="00BB583F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 xml:space="preserve">Pugh A vagy B stádium) </w:t>
      </w:r>
      <w:r w:rsidR="00F11A29" w:rsidRPr="000149DA">
        <w:rPr>
          <w:rFonts w:cs="Times New Roman"/>
        </w:rPr>
        <w:t>szenvedő</w:t>
      </w:r>
      <w:r w:rsidR="00910D0F" w:rsidRPr="000149DA">
        <w:rPr>
          <w:rFonts w:cs="Times New Roman"/>
        </w:rPr>
        <w:t xml:space="preserve"> betegeknél</w:t>
      </w:r>
      <w:r w:rsidR="00F11A29" w:rsidRPr="000149DA">
        <w:rPr>
          <w:rFonts w:cs="Times New Roman"/>
        </w:rPr>
        <w:t xml:space="preserve"> elővigyázatosan</w:t>
      </w:r>
      <w:r w:rsidRPr="000149DA">
        <w:rPr>
          <w:rFonts w:cs="Times New Roman"/>
        </w:rPr>
        <w:t xml:space="preserve"> kell alkalmazni. Enyhe vagy közepes</w:t>
      </w:r>
      <w:r w:rsidR="00680CAA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májkárosodásban szenvedő</w:t>
      </w:r>
      <w:r w:rsidR="00910D0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</w:t>
      </w:r>
      <w:r w:rsidR="00F11A29" w:rsidRPr="000149DA">
        <w:rPr>
          <w:rFonts w:cs="Times New Roman"/>
        </w:rPr>
        <w:t xml:space="preserve">nem szükséges </w:t>
      </w:r>
      <w:r w:rsidRPr="000149DA">
        <w:rPr>
          <w:rFonts w:cs="Times New Roman"/>
        </w:rPr>
        <w:t>a dózis módosítása (lásd 4.4 és 5.2</w:t>
      </w:r>
      <w:r w:rsidR="00F11A29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FECC851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2D47C18C" w14:textId="79B53B9B" w:rsidR="00B62AE4" w:rsidRPr="007B65B4" w:rsidRDefault="006163CF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Kizárták a klinikai vizsgálatokból a</w:t>
      </w:r>
      <w:r w:rsidR="00B62AE4" w:rsidRPr="000149DA">
        <w:rPr>
          <w:rFonts w:cs="Times New Roman"/>
        </w:rPr>
        <w:t>zokat a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eket, akiknél </w:t>
      </w:r>
      <w:r w:rsidR="00C944A7" w:rsidRPr="000149DA">
        <w:rPr>
          <w:rFonts w:cs="Times New Roman"/>
        </w:rPr>
        <w:t>a glutamát</w:t>
      </w:r>
      <w:r w:rsidR="00C944A7" w:rsidRPr="000149DA">
        <w:rPr>
          <w:rFonts w:cs="Times New Roman"/>
        </w:rPr>
        <w:noBreakHyphen/>
        <w:t>piruvát</w:t>
      </w:r>
      <w:r w:rsidR="00C944A7" w:rsidRPr="000149DA">
        <w:rPr>
          <w:rFonts w:cs="Times New Roman"/>
        </w:rPr>
        <w:noBreakHyphen/>
        <w:t>transzamináz (GPT)/glutamát</w:t>
      </w:r>
      <w:r w:rsidR="00C944A7" w:rsidRPr="000149DA">
        <w:rPr>
          <w:rFonts w:cs="Times New Roman"/>
        </w:rPr>
        <w:noBreakHyphen/>
        <w:t>oxálacetát</w:t>
      </w:r>
      <w:r w:rsidR="00C944A7" w:rsidRPr="000149DA">
        <w:rPr>
          <w:rFonts w:cs="Times New Roman"/>
        </w:rPr>
        <w:noBreakHyphen/>
        <w:t xml:space="preserve">aminotranszferáz (GOT) </w:t>
      </w:r>
      <w:r w:rsidR="00B62AE4" w:rsidRPr="000149DA">
        <w:rPr>
          <w:rFonts w:cs="Times New Roman"/>
        </w:rPr>
        <w:t>májenzim</w:t>
      </w:r>
      <w:r w:rsidRPr="000149DA">
        <w:rPr>
          <w:rFonts w:cs="Times New Roman"/>
        </w:rPr>
        <w:t xml:space="preserve">ek </w:t>
      </w:r>
      <w:r w:rsidR="00B62AE4" w:rsidRPr="000149DA">
        <w:rPr>
          <w:rFonts w:cs="Times New Roman"/>
        </w:rPr>
        <w:t>szint</w:t>
      </w:r>
      <w:r w:rsidRPr="000149DA">
        <w:rPr>
          <w:rFonts w:cs="Times New Roman"/>
        </w:rPr>
        <w:t>jének</w:t>
      </w:r>
      <w:r w:rsidR="00B62AE4" w:rsidRPr="000149DA">
        <w:rPr>
          <w:rFonts w:cs="Times New Roman"/>
        </w:rPr>
        <w:t xml:space="preserve"> emelked</w:t>
      </w:r>
      <w:r w:rsidR="00C944A7" w:rsidRPr="000149DA">
        <w:rPr>
          <w:rFonts w:cs="Times New Roman"/>
        </w:rPr>
        <w:t xml:space="preserve">ése meghaladta a normálérték felső határának </w:t>
      </w:r>
      <w:r w:rsidR="00B62AE4" w:rsidRPr="000149DA">
        <w:rPr>
          <w:rFonts w:cs="Times New Roman"/>
        </w:rPr>
        <w:t>2</w:t>
      </w:r>
      <w:r w:rsidR="00C944A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</w:t>
      </w:r>
      <w:r w:rsidR="00C944A7" w:rsidRPr="000149DA">
        <w:rPr>
          <w:rFonts w:cs="Times New Roman"/>
        </w:rPr>
        <w:t>esét</w:t>
      </w:r>
      <w:r w:rsidR="00B62AE4" w:rsidRPr="000149DA">
        <w:rPr>
          <w:rFonts w:cs="Times New Roman"/>
        </w:rPr>
        <w:t>, vagy az összbilirubin szintje ≥</w:t>
      </w:r>
      <w:r w:rsidR="00F11A29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1,5</w:t>
      </w:r>
      <w:r w:rsidR="00C944A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 magasabb volt, mint a normálérték felső határa. Ezért a</w:t>
      </w:r>
      <w:r w:rsidR="004A7AD2" w:rsidRPr="000149DA">
        <w:rPr>
          <w:rFonts w:cs="Times New Roman"/>
        </w:rPr>
        <w:t>z</w:t>
      </w:r>
      <w:r w:rsidR="00B62AE4"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F11A29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t ebben a</w:t>
      </w:r>
      <w:r w:rsidR="003807B5"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="00B62AE4" w:rsidRPr="000149DA">
        <w:rPr>
          <w:rFonts w:cs="Times New Roman"/>
        </w:rPr>
        <w:t xml:space="preserve">csoportban </w:t>
      </w:r>
      <w:r w:rsidR="00F11A29" w:rsidRPr="000149DA">
        <w:rPr>
          <w:rFonts w:cs="Times New Roman"/>
        </w:rPr>
        <w:t>elővigyázatosan</w:t>
      </w:r>
      <w:r w:rsidR="00B62AE4" w:rsidRPr="000149DA">
        <w:rPr>
          <w:rFonts w:cs="Times New Roman"/>
        </w:rPr>
        <w:t xml:space="preserve"> kell alkalmazni (lásd 4.4 és</w:t>
      </w:r>
      <w:r w:rsidR="00F11A29" w:rsidRPr="000149DA">
        <w:rPr>
          <w:rFonts w:cs="Times New Roman"/>
        </w:rPr>
        <w:t xml:space="preserve"> 5.</w:t>
      </w:r>
      <w:r w:rsidRPr="000149DA">
        <w:rPr>
          <w:rFonts w:cs="Times New Roman"/>
        </w:rPr>
        <w:t>2</w:t>
      </w:r>
      <w:r w:rsidR="00F11A29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pont). Az </w:t>
      </w:r>
      <w:r w:rsidR="008058E5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</w:t>
      </w:r>
      <w:r w:rsidR="007B65B4">
        <w:rPr>
          <w:rFonts w:cs="Times New Roman"/>
        </w:rPr>
        <w:t xml:space="preserve">kezelés </w:t>
      </w:r>
      <w:r w:rsidR="00B62AE4" w:rsidRPr="007B65B4">
        <w:rPr>
          <w:rFonts w:cs="Times New Roman"/>
        </w:rPr>
        <w:t>elkezdése előtt májfunkciós vizsgálatot kell végezni.</w:t>
      </w:r>
    </w:p>
    <w:p w14:paraId="34D8D84C" w14:textId="77777777" w:rsidR="00B62AE4" w:rsidRDefault="00B62AE4" w:rsidP="00B62AE4">
      <w:pPr>
        <w:pStyle w:val="Nincstrkz"/>
        <w:rPr>
          <w:rFonts w:cs="Times New Roman"/>
        </w:rPr>
      </w:pPr>
    </w:p>
    <w:p w14:paraId="41EB6FF1" w14:textId="2E900922" w:rsidR="00D31D0F" w:rsidRDefault="00D31D0F" w:rsidP="00B62AE4">
      <w:pPr>
        <w:pStyle w:val="Nincstrkz"/>
        <w:rPr>
          <w:rFonts w:cs="Times New Roman"/>
        </w:rPr>
      </w:pPr>
      <w:r w:rsidRPr="00D31D0F">
        <w:rPr>
          <w:rFonts w:cs="Times New Roman"/>
        </w:rPr>
        <w:t>Az apixabánt nem vizsgálták májkárosodásban szenvedő gyermekeknél és serdülőknél.</w:t>
      </w:r>
    </w:p>
    <w:p w14:paraId="5F272044" w14:textId="77777777" w:rsidR="00D31D0F" w:rsidRPr="00B50EA7" w:rsidRDefault="00D31D0F" w:rsidP="00B62AE4">
      <w:pPr>
        <w:pStyle w:val="Nincstrkz"/>
        <w:rPr>
          <w:rFonts w:cs="Times New Roman"/>
        </w:rPr>
      </w:pPr>
    </w:p>
    <w:p w14:paraId="7DEEBD8A" w14:textId="77777777" w:rsidR="00B62AE4" w:rsidRPr="000149DA" w:rsidRDefault="00B62AE4" w:rsidP="00B62AE4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  <w:w w:val="105"/>
          <w:u w:val="single"/>
        </w:rPr>
        <w:t>Testtömeg</w:t>
      </w:r>
    </w:p>
    <w:p w14:paraId="4AEA407B" w14:textId="558E804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VTEt - A dózis módosítása nem szükséges </w:t>
      </w:r>
      <w:r w:rsidR="00D31D0F">
        <w:rPr>
          <w:rFonts w:cs="Times New Roman"/>
        </w:rPr>
        <w:t xml:space="preserve">felnőteknél </w:t>
      </w:r>
      <w:r w:rsidRPr="000149DA">
        <w:rPr>
          <w:rFonts w:cs="Times New Roman"/>
        </w:rPr>
        <w:t>(lásd 4.4 és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F99347D" w14:textId="7B4DC14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</w:t>
      </w:r>
      <w:r w:rsidR="006163CF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 </w:t>
      </w:r>
      <w:r w:rsidR="006163CF" w:rsidRPr="000149DA">
        <w:rPr>
          <w:rFonts w:cs="Times New Roman"/>
        </w:rPr>
        <w:t xml:space="preserve">(NVPF) </w:t>
      </w:r>
      <w:r w:rsidRPr="000149DA">
        <w:rPr>
          <w:rFonts w:cs="Times New Roman"/>
        </w:rPr>
        <w:t xml:space="preserve">– A dózis módosítása nem szükséges, kivéve, ha a dózis csökkentésének kritériumai teljesülnek (lásd </w:t>
      </w:r>
      <w:r w:rsidR="00156430" w:rsidRPr="000149DA">
        <w:rPr>
          <w:rFonts w:cs="Times New Roman"/>
        </w:rPr>
        <w:t>„</w:t>
      </w:r>
      <w:r w:rsidRPr="000149DA">
        <w:rPr>
          <w:rFonts w:cs="Times New Roman"/>
        </w:rPr>
        <w:t>Dóziscsökkentés</w:t>
      </w:r>
      <w:r w:rsidR="00156430" w:rsidRPr="000149DA">
        <w:rPr>
          <w:rFonts w:cs="Times New Roman"/>
        </w:rPr>
        <w:t>”</w:t>
      </w:r>
      <w:r w:rsidRPr="000149DA">
        <w:rPr>
          <w:rFonts w:cs="Times New Roman"/>
        </w:rPr>
        <w:t xml:space="preserve"> a 4.2</w:t>
      </w:r>
      <w:r w:rsidR="004C106B" w:rsidRPr="000149DA">
        <w:rPr>
          <w:rFonts w:cs="Times New Roman"/>
        </w:rPr>
        <w:t> </w:t>
      </w:r>
      <w:r w:rsidR="0005010D" w:rsidRPr="000149DA">
        <w:rPr>
          <w:rFonts w:cs="Times New Roman"/>
        </w:rPr>
        <w:t>pont elején)</w:t>
      </w:r>
      <w:r w:rsidRPr="000149DA">
        <w:rPr>
          <w:rFonts w:cs="Times New Roman"/>
        </w:rPr>
        <w:t>.</w:t>
      </w:r>
    </w:p>
    <w:p w14:paraId="537F6637" w14:textId="77777777" w:rsidR="00B62AE4" w:rsidRDefault="00B62AE4" w:rsidP="00156430">
      <w:pPr>
        <w:pStyle w:val="Nincstrkz"/>
        <w:rPr>
          <w:rFonts w:cs="Times New Roman"/>
        </w:rPr>
      </w:pPr>
    </w:p>
    <w:p w14:paraId="4B8D1512" w14:textId="77777777" w:rsidR="00D31D0F" w:rsidRPr="00D31D0F" w:rsidRDefault="00D31D0F" w:rsidP="00D31D0F">
      <w:pPr>
        <w:pStyle w:val="Nincstrkz"/>
      </w:pPr>
      <w:r w:rsidRPr="00D31D0F">
        <w:t>Az apixab</w:t>
      </w:r>
      <w:r w:rsidRPr="00D31D0F">
        <w:rPr>
          <w:rFonts w:hint="eastAsia"/>
        </w:rPr>
        <w:t>á</w:t>
      </w:r>
      <w:r w:rsidRPr="00D31D0F">
        <w:t>n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t</w:t>
      </w:r>
      <w:r w:rsidRPr="00D31D0F">
        <w:rPr>
          <w:rFonts w:hint="eastAsia"/>
        </w:rPr>
        <w:t>ö</w:t>
      </w:r>
      <w:r w:rsidRPr="00D31D0F">
        <w:t>rt</w:t>
      </w:r>
      <w:r w:rsidRPr="00D31D0F">
        <w:rPr>
          <w:rFonts w:hint="eastAsia"/>
        </w:rPr>
        <w:t>é</w:t>
      </w:r>
      <w:r w:rsidRPr="00D31D0F">
        <w:t>n</w:t>
      </w:r>
      <w:r w:rsidRPr="00D31D0F">
        <w:rPr>
          <w:rFonts w:hint="eastAsia"/>
        </w:rPr>
        <w:t>ő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>sa a testt</w:t>
      </w:r>
      <w:r w:rsidRPr="00D31D0F">
        <w:rPr>
          <w:rFonts w:hint="eastAsia"/>
        </w:rPr>
        <w:t>ö</w:t>
      </w:r>
      <w:r w:rsidRPr="00D31D0F">
        <w:t>meg szerinti, r</w:t>
      </w:r>
      <w:r w:rsidRPr="00D31D0F">
        <w:rPr>
          <w:rFonts w:hint="eastAsia"/>
        </w:rPr>
        <w:t>ö</w:t>
      </w:r>
      <w:r w:rsidRPr="00D31D0F">
        <w:t>gz</w:t>
      </w:r>
      <w:r w:rsidRPr="00D31D0F">
        <w:rPr>
          <w:rFonts w:hint="eastAsia"/>
        </w:rPr>
        <w:t>í</w:t>
      </w:r>
      <w:r w:rsidRPr="00D31D0F">
        <w:t>tett adagol</w:t>
      </w:r>
      <w:r w:rsidRPr="00D31D0F">
        <w:rPr>
          <w:rFonts w:hint="eastAsia"/>
        </w:rPr>
        <w:t>á</w:t>
      </w:r>
      <w:r w:rsidRPr="00D31D0F">
        <w:t>si</w:t>
      </w:r>
    </w:p>
    <w:p w14:paraId="1A4C0F87" w14:textId="7E6E2954" w:rsidR="00D31D0F" w:rsidRDefault="00D31D0F" w:rsidP="00D31D0F">
      <w:pPr>
        <w:pStyle w:val="Nincstrkz"/>
        <w:rPr>
          <w:rFonts w:cs="Times New Roman"/>
          <w:lang w:bidi="hu-HU"/>
        </w:rPr>
      </w:pPr>
      <w:r w:rsidRPr="00D31D0F">
        <w:rPr>
          <w:rFonts w:cs="Times New Roman"/>
          <w:lang w:bidi="hu-HU"/>
        </w:rPr>
        <w:t>renden alapul (l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sd 4.2 pont).</w:t>
      </w:r>
    </w:p>
    <w:p w14:paraId="70924C0B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59813EC5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Nemek</w:t>
      </w:r>
    </w:p>
    <w:p w14:paraId="4E51EFE5" w14:textId="13EAD338" w:rsidR="00B62AE4" w:rsidRPr="000149DA" w:rsidRDefault="006163CF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N</w:t>
      </w:r>
      <w:r w:rsidR="00910D0F" w:rsidRPr="000149DA">
        <w:rPr>
          <w:rFonts w:cs="Times New Roman"/>
        </w:rPr>
        <w:t xml:space="preserve">incs szükség </w:t>
      </w:r>
      <w:r w:rsidR="00B62AE4" w:rsidRPr="000149DA">
        <w:rPr>
          <w:rFonts w:cs="Times New Roman"/>
        </w:rPr>
        <w:t>dózismódosítás</w:t>
      </w:r>
      <w:r w:rsidR="00910D0F" w:rsidRPr="000149DA">
        <w:rPr>
          <w:rFonts w:cs="Times New Roman"/>
        </w:rPr>
        <w:t>ra</w:t>
      </w:r>
      <w:r w:rsidR="00B62AE4" w:rsidRPr="000149DA">
        <w:rPr>
          <w:rFonts w:cs="Times New Roman"/>
        </w:rPr>
        <w:t xml:space="preserve"> (lásd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3A980507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505A83E" w14:textId="162A9F21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Katéteres abl</w:t>
      </w:r>
      <w:r w:rsidR="004A7AD2" w:rsidRPr="000149DA">
        <w:rPr>
          <w:rFonts w:cs="Times New Roman"/>
          <w:i/>
          <w:iCs/>
          <w:u w:val="single"/>
        </w:rPr>
        <w:t>ác</w:t>
      </w:r>
      <w:r w:rsidR="00E65EE3" w:rsidRPr="000149DA">
        <w:rPr>
          <w:rFonts w:cs="Times New Roman"/>
          <w:i/>
          <w:iCs/>
          <w:u w:val="single"/>
        </w:rPr>
        <w:t>i</w:t>
      </w:r>
      <w:r w:rsidR="004A7AD2" w:rsidRPr="000149DA">
        <w:rPr>
          <w:rFonts w:cs="Times New Roman"/>
          <w:i/>
          <w:iCs/>
          <w:u w:val="single"/>
        </w:rPr>
        <w:t>ó</w:t>
      </w:r>
      <w:r w:rsidRPr="000149DA">
        <w:rPr>
          <w:rFonts w:cs="Times New Roman"/>
          <w:i/>
          <w:iCs/>
          <w:u w:val="single"/>
        </w:rPr>
        <w:t>ban részesülő</w:t>
      </w:r>
      <w:r w:rsidR="000E4128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 (NV</w:t>
      </w:r>
      <w:r w:rsidR="00E65EE3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F)</w:t>
      </w:r>
    </w:p>
    <w:p w14:paraId="75145665" w14:textId="252EAE1F" w:rsidR="00B62AE4" w:rsidRPr="00BB583F" w:rsidRDefault="00B62AE4" w:rsidP="0065470C">
      <w:pPr>
        <w:pStyle w:val="Nincstrkz"/>
        <w:rPr>
          <w:rFonts w:cs="Times New Roman"/>
        </w:rPr>
      </w:pPr>
      <w:r w:rsidRPr="00053B8E">
        <w:rPr>
          <w:rFonts w:cs="Times New Roman"/>
        </w:rPr>
        <w:t xml:space="preserve">A </w:t>
      </w:r>
      <w:r w:rsidR="009B5E6F" w:rsidRPr="00053B8E">
        <w:rPr>
          <w:rFonts w:cs="Times New Roman"/>
        </w:rPr>
        <w:t xml:space="preserve">katéteres ablációban részesülő </w:t>
      </w:r>
      <w:r w:rsidR="00D31D0F">
        <w:rPr>
          <w:rFonts w:cs="Times New Roman"/>
        </w:rPr>
        <w:t xml:space="preserve">felnőtt </w:t>
      </w:r>
      <w:r w:rsidR="009B5E6F" w:rsidRPr="00053B8E">
        <w:rPr>
          <w:rFonts w:cs="Times New Roman"/>
        </w:rPr>
        <w:t xml:space="preserve">betegek folytathatják az </w:t>
      </w:r>
      <w:r w:rsidR="00D6140D" w:rsidRPr="00053B8E">
        <w:rPr>
          <w:rFonts w:cs="Times New Roman"/>
        </w:rPr>
        <w:t>apixabán</w:t>
      </w:r>
      <w:r w:rsidR="00E65EE3" w:rsidRPr="00053B8E">
        <w:rPr>
          <w:rFonts w:cs="Times New Roman"/>
        </w:rPr>
        <w:t xml:space="preserve"> alkalmazás</w:t>
      </w:r>
      <w:r w:rsidR="009B5E6F" w:rsidRPr="00535848">
        <w:rPr>
          <w:rFonts w:cs="Times New Roman"/>
        </w:rPr>
        <w:t>át</w:t>
      </w:r>
      <w:r w:rsidRPr="00535848">
        <w:rPr>
          <w:rFonts w:cs="Times New Roman"/>
        </w:rPr>
        <w:t xml:space="preserve"> (lásd 4.3, 4.4 és 4.5</w:t>
      </w:r>
      <w:r w:rsidR="004C106B" w:rsidRPr="00BB583F">
        <w:rPr>
          <w:rFonts w:cs="Times New Roman"/>
        </w:rPr>
        <w:t> pont</w:t>
      </w:r>
      <w:r w:rsidRPr="00BB583F">
        <w:rPr>
          <w:rFonts w:cs="Times New Roman"/>
        </w:rPr>
        <w:t>).</w:t>
      </w:r>
    </w:p>
    <w:p w14:paraId="284354E8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3A1D17A2" w14:textId="34071EAA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Kardioverzió</w:t>
      </w:r>
      <w:r w:rsidR="00E65EE3" w:rsidRPr="000149DA">
        <w:rPr>
          <w:rFonts w:cs="Times New Roman"/>
          <w:i/>
          <w:iCs/>
          <w:u w:val="single"/>
        </w:rPr>
        <w:t>n áteső</w:t>
      </w:r>
      <w:r w:rsidR="000E4128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</w:t>
      </w:r>
    </w:p>
    <w:p w14:paraId="0920630B" w14:textId="102A0008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E65EE3" w:rsidRPr="000149DA">
        <w:rPr>
          <w:rFonts w:cs="Times New Roman"/>
        </w:rPr>
        <w:noBreakHyphen/>
      </w:r>
      <w:r w:rsidRPr="000149DA">
        <w:rPr>
          <w:rFonts w:cs="Times New Roman"/>
        </w:rPr>
        <w:t>kezelés</w:t>
      </w:r>
      <w:r w:rsidR="00E65EE3" w:rsidRPr="000149DA">
        <w:rPr>
          <w:rFonts w:cs="Times New Roman"/>
        </w:rPr>
        <w:t xml:space="preserve"> elkezdhető</w:t>
      </w:r>
      <w:r w:rsidRPr="000149DA">
        <w:rPr>
          <w:rFonts w:cs="Times New Roman"/>
        </w:rPr>
        <w:t xml:space="preserve"> vagy folytatható azoknál</w:t>
      </w:r>
      <w:r w:rsidR="00E65EE3" w:rsidRPr="000149DA">
        <w:rPr>
          <w:rFonts w:cs="Times New Roman"/>
        </w:rPr>
        <w:t xml:space="preserve"> a nem valvuláris pitvarfibrillációban szenvedő</w:t>
      </w:r>
      <w:r w:rsidR="000E412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akiknél 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lehet szükség.</w:t>
      </w:r>
    </w:p>
    <w:p w14:paraId="3A84518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013841D3" w14:textId="4D7BEF61" w:rsidR="00B62AE4" w:rsidRPr="005145C2" w:rsidRDefault="00B62AE4" w:rsidP="00156430">
      <w:pPr>
        <w:pStyle w:val="Nincstrkz"/>
        <w:rPr>
          <w:rFonts w:cs="Times New Roman"/>
        </w:rPr>
      </w:pPr>
      <w:r w:rsidRPr="00B81555">
        <w:rPr>
          <w:rFonts w:cs="Times New Roman"/>
        </w:rPr>
        <w:t>A korábban antikoagulánsokkal nem kezelt</w:t>
      </w:r>
      <w:r w:rsidR="000E4128" w:rsidRPr="00B81555">
        <w:rPr>
          <w:rFonts w:cs="Times New Roman"/>
        </w:rPr>
        <w:t xml:space="preserve"> betegeknél</w:t>
      </w:r>
      <w:r w:rsidRPr="00B81555">
        <w:rPr>
          <w:rFonts w:cs="Times New Roman"/>
        </w:rPr>
        <w:t xml:space="preserve"> </w:t>
      </w:r>
      <w:r w:rsidR="005145C2" w:rsidRPr="00B81555">
        <w:rPr>
          <w:rFonts w:cs="Times New Roman"/>
        </w:rPr>
        <w:t xml:space="preserve">– </w:t>
      </w:r>
      <w:r w:rsidR="005145C2" w:rsidRPr="00B81555">
        <w:t xml:space="preserve">kivéve a bal pitvari thrombussal rendelkező betegeknél – </w:t>
      </w:r>
      <w:r w:rsidR="00626CAD" w:rsidRPr="00B81555">
        <w:rPr>
          <w:rFonts w:cs="Times New Roman"/>
        </w:rPr>
        <w:t xml:space="preserve">kardioverzió előtt </w:t>
      </w:r>
      <w:r w:rsidRPr="00B81555">
        <w:rPr>
          <w:rFonts w:cs="Times New Roman"/>
        </w:rPr>
        <w:t xml:space="preserve">meg kell fontolni egy képalkotó </w:t>
      </w:r>
      <w:r w:rsidR="00626CAD" w:rsidRPr="00B81555">
        <w:rPr>
          <w:rFonts w:cs="Times New Roman"/>
        </w:rPr>
        <w:t>eljárás</w:t>
      </w:r>
      <w:r w:rsidR="000E4128" w:rsidRPr="00B81555">
        <w:rPr>
          <w:rFonts w:cs="Times New Roman"/>
        </w:rPr>
        <w:t xml:space="preserve">sal végzett </w:t>
      </w:r>
      <w:r w:rsidR="002600EB" w:rsidRPr="00B81555">
        <w:rPr>
          <w:rFonts w:cs="Times New Roman"/>
        </w:rPr>
        <w:t xml:space="preserve">vizsgálat </w:t>
      </w:r>
      <w:r w:rsidRPr="00B81555">
        <w:rPr>
          <w:rFonts w:cs="Times New Roman"/>
        </w:rPr>
        <w:t xml:space="preserve">(pl. transoesophagealis echokardiográfia </w:t>
      </w:r>
      <w:r w:rsidR="000E4128" w:rsidRPr="00B81555">
        <w:rPr>
          <w:rFonts w:cs="Times New Roman"/>
        </w:rPr>
        <w:t>[</w:t>
      </w:r>
      <w:r w:rsidRPr="00B81555">
        <w:rPr>
          <w:rFonts w:cs="Times New Roman"/>
        </w:rPr>
        <w:t>TEE</w:t>
      </w:r>
      <w:r w:rsidR="000E4128" w:rsidRPr="00B81555">
        <w:rPr>
          <w:rFonts w:cs="Times New Roman"/>
        </w:rPr>
        <w:t>]</w:t>
      </w:r>
      <w:r w:rsidRPr="00B81555">
        <w:rPr>
          <w:rFonts w:cs="Times New Roman"/>
        </w:rPr>
        <w:t xml:space="preserve"> vagy komputertomográfi</w:t>
      </w:r>
      <w:r w:rsidR="00626CAD" w:rsidRPr="00B81555">
        <w:rPr>
          <w:rFonts w:cs="Times New Roman"/>
        </w:rPr>
        <w:t xml:space="preserve">a </w:t>
      </w:r>
      <w:r w:rsidR="000E4128" w:rsidRPr="00B81555">
        <w:rPr>
          <w:rFonts w:cs="Times New Roman"/>
        </w:rPr>
        <w:t>[</w:t>
      </w:r>
      <w:r w:rsidRPr="00B81555">
        <w:rPr>
          <w:rFonts w:cs="Times New Roman"/>
        </w:rPr>
        <w:t>CT</w:t>
      </w:r>
      <w:r w:rsidR="000E4128" w:rsidRPr="00B81555">
        <w:rPr>
          <w:rFonts w:cs="Times New Roman"/>
        </w:rPr>
        <w:t>])</w:t>
      </w:r>
      <w:r w:rsidRPr="00B81555">
        <w:rPr>
          <w:rFonts w:cs="Times New Roman"/>
        </w:rPr>
        <w:t xml:space="preserve"> </w:t>
      </w:r>
      <w:r w:rsidR="002600EB" w:rsidRPr="00B81555">
        <w:rPr>
          <w:rFonts w:cs="Times New Roman"/>
        </w:rPr>
        <w:t>elvégzését</w:t>
      </w:r>
      <w:r w:rsidRPr="00B81555">
        <w:rPr>
          <w:rFonts w:cs="Times New Roman"/>
        </w:rPr>
        <w:t xml:space="preserve"> a megalapozott egészségügyi irányelvekkel</w:t>
      </w:r>
      <w:r w:rsidR="00626CAD" w:rsidRPr="00B81555">
        <w:rPr>
          <w:rFonts w:cs="Times New Roman"/>
        </w:rPr>
        <w:t xml:space="preserve"> összhangban</w:t>
      </w:r>
      <w:r w:rsidRPr="00B81555">
        <w:rPr>
          <w:rFonts w:cs="Times New Roman"/>
        </w:rPr>
        <w:t>.</w:t>
      </w:r>
    </w:p>
    <w:p w14:paraId="6641DB58" w14:textId="77777777" w:rsidR="00B62AE4" w:rsidRPr="00B50EA7" w:rsidRDefault="00B62AE4" w:rsidP="00156430">
      <w:pPr>
        <w:pStyle w:val="Nincstrkz"/>
        <w:rPr>
          <w:rFonts w:cs="Times New Roman"/>
        </w:rPr>
      </w:pPr>
    </w:p>
    <w:p w14:paraId="0788B8CF" w14:textId="35EF251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Az</w:t>
      </w:r>
      <w:r w:rsidR="002600EB" w:rsidRPr="000149DA">
        <w:rPr>
          <w:rFonts w:cs="Times New Roman"/>
        </w:rPr>
        <w:t>oknak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2600EB" w:rsidRPr="000149DA">
        <w:rPr>
          <w:rFonts w:cs="Times New Roman"/>
        </w:rPr>
        <w:t>ekn</w:t>
      </w:r>
      <w:r w:rsidR="001307B4" w:rsidRPr="000149DA">
        <w:rPr>
          <w:rFonts w:cs="Times New Roman"/>
        </w:rPr>
        <w:t>ek</w:t>
      </w:r>
      <w:r w:rsidR="002600EB" w:rsidRPr="000149DA">
        <w:rPr>
          <w:rFonts w:cs="Times New Roman"/>
        </w:rPr>
        <w:t xml:space="preserve">, akik a kezelést </w:t>
      </w:r>
      <w:r w:rsidR="00D6140D" w:rsidRPr="000149DA">
        <w:rPr>
          <w:rFonts w:cs="Times New Roman"/>
        </w:rPr>
        <w:t>apixabán</w:t>
      </w:r>
      <w:r w:rsidR="002600EB" w:rsidRPr="000149DA">
        <w:rPr>
          <w:rFonts w:cs="Times New Roman"/>
        </w:rPr>
        <w:t>nal</w:t>
      </w:r>
      <w:r w:rsidRPr="000149DA">
        <w:rPr>
          <w:rFonts w:cs="Times New Roman"/>
        </w:rPr>
        <w:t xml:space="preserve"> kezd</w:t>
      </w:r>
      <w:r w:rsidR="002600EB" w:rsidRPr="000149DA">
        <w:rPr>
          <w:rFonts w:cs="Times New Roman"/>
        </w:rPr>
        <w:t xml:space="preserve">ik, </w:t>
      </w:r>
      <w:r w:rsidR="001307B4" w:rsidRPr="000149DA">
        <w:rPr>
          <w:rFonts w:cs="Times New Roman"/>
        </w:rPr>
        <w:t xml:space="preserve">a megfelelő mértékű antikoagulálás biztosítása érdekében legalább két és fél napon keresztül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="002600EB" w:rsidRPr="000149DA">
        <w:rPr>
          <w:rFonts w:cs="Times New Roman"/>
        </w:rPr>
        <w:noBreakHyphen/>
      </w:r>
      <w:r w:rsidRPr="000149DA">
        <w:rPr>
          <w:rFonts w:cs="Times New Roman"/>
        </w:rPr>
        <w:t>ot kell adni (5</w:t>
      </w:r>
      <w:r w:rsidR="002600EB" w:rsidRPr="000149DA">
        <w:rPr>
          <w:rFonts w:cs="Times New Roman"/>
        </w:rPr>
        <w:t> </w:t>
      </w:r>
      <w:r w:rsidRPr="000149DA">
        <w:rPr>
          <w:rFonts w:cs="Times New Roman"/>
        </w:rPr>
        <w:t>egyszeri adag) a kardioverzió előtt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Az adagolást</w:t>
      </w:r>
      <w:r w:rsidR="001307B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i kétszeri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ra kell csökkenteni és azt legalább</w:t>
      </w:r>
      <w:r w:rsidR="00584814" w:rsidRPr="000149DA">
        <w:rPr>
          <w:rFonts w:cs="Times New Roman"/>
        </w:rPr>
        <w:t xml:space="preserve"> két és fél napon</w:t>
      </w:r>
      <w:r w:rsidRPr="000149DA">
        <w:rPr>
          <w:rFonts w:cs="Times New Roman"/>
        </w:rPr>
        <w:t xml:space="preserve"> keresztül (5</w:t>
      </w:r>
      <w:r w:rsidR="001307B4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egyszeri adag) kell alkalmazni, ha </w:t>
      </w:r>
      <w:r w:rsidR="009B5E6F" w:rsidRPr="000149DA">
        <w:rPr>
          <w:rFonts w:cs="Times New Roman"/>
        </w:rPr>
        <w:t xml:space="preserve">a betegnél fennálnak a </w:t>
      </w:r>
      <w:r w:rsidRPr="000149DA">
        <w:rPr>
          <w:rFonts w:cs="Times New Roman"/>
        </w:rPr>
        <w:t xml:space="preserve">dóziscsökkentés feltételei (lásd a fenti </w:t>
      </w:r>
      <w:r w:rsidR="001307B4" w:rsidRPr="000149DA">
        <w:rPr>
          <w:rFonts w:cs="Times New Roman"/>
          <w:i/>
          <w:iCs/>
        </w:rPr>
        <w:t>„</w:t>
      </w:r>
      <w:r w:rsidRPr="000149DA">
        <w:rPr>
          <w:rFonts w:cs="Times New Roman"/>
          <w:i/>
          <w:iCs/>
        </w:rPr>
        <w:t>Dóziscsökkentés</w:t>
      </w:r>
      <w:r w:rsidR="001307B4" w:rsidRPr="000149DA">
        <w:rPr>
          <w:rFonts w:cs="Times New Roman"/>
          <w:i/>
          <w:iCs/>
        </w:rPr>
        <w:t>”</w:t>
      </w:r>
      <w:r w:rsidRPr="000149DA">
        <w:rPr>
          <w:rFonts w:cs="Times New Roman"/>
        </w:rPr>
        <w:t xml:space="preserve"> és </w:t>
      </w:r>
      <w:r w:rsidR="001307B4" w:rsidRPr="000149DA">
        <w:rPr>
          <w:rFonts w:cs="Times New Roman"/>
          <w:i/>
          <w:iCs/>
        </w:rPr>
        <w:t>„</w:t>
      </w:r>
      <w:r w:rsidRPr="000149DA">
        <w:rPr>
          <w:rFonts w:cs="Times New Roman"/>
          <w:i/>
          <w:iCs/>
        </w:rPr>
        <w:t>Vesekárosodás</w:t>
      </w:r>
      <w:r w:rsidR="001307B4" w:rsidRPr="000149DA">
        <w:rPr>
          <w:rFonts w:cs="Times New Roman"/>
          <w:i/>
          <w:iCs/>
        </w:rPr>
        <w:t>”</w:t>
      </w:r>
      <w:r w:rsidRPr="000149DA">
        <w:rPr>
          <w:rFonts w:cs="Times New Roman"/>
        </w:rPr>
        <w:t xml:space="preserve"> </w:t>
      </w:r>
      <w:r w:rsidR="00584814" w:rsidRPr="000149DA">
        <w:rPr>
          <w:rFonts w:cs="Times New Roman"/>
        </w:rPr>
        <w:t>pontokat</w:t>
      </w:r>
      <w:r w:rsidRPr="000149DA">
        <w:rPr>
          <w:rFonts w:cs="Times New Roman"/>
        </w:rPr>
        <w:t>).</w:t>
      </w:r>
    </w:p>
    <w:p w14:paraId="2326831D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1780C5EE" w14:textId="326FA22D" w:rsidR="00B62AE4" w:rsidRPr="000149DA" w:rsidRDefault="001307B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Amennyiben </w:t>
      </w:r>
      <w:r w:rsidR="00D60484" w:rsidRPr="000149DA">
        <w:rPr>
          <w:rFonts w:cs="Times New Roman"/>
        </w:rPr>
        <w:t>azelőtt van szükség kardioverzi</w:t>
      </w:r>
      <w:r w:rsidR="0071046D" w:rsidRPr="000149DA">
        <w:rPr>
          <w:rFonts w:cs="Times New Roman"/>
        </w:rPr>
        <w:t>ór</w:t>
      </w:r>
      <w:r w:rsidR="00D60484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, </w:t>
      </w:r>
      <w:r w:rsidR="00D60484" w:rsidRPr="000149DA">
        <w:rPr>
          <w:rFonts w:cs="Times New Roman"/>
        </w:rPr>
        <w:t xml:space="preserve">mielőtt </w:t>
      </w:r>
      <w:r w:rsidR="00B62AE4" w:rsidRPr="000149DA">
        <w:rPr>
          <w:rFonts w:cs="Times New Roman"/>
        </w:rPr>
        <w:t>a</w:t>
      </w:r>
      <w:r w:rsidR="00584814" w:rsidRPr="000149DA">
        <w:rPr>
          <w:rFonts w:cs="Times New Roman"/>
        </w:rPr>
        <w:t xml:space="preserve"> beteg megkaphatta </w:t>
      </w:r>
      <w:r w:rsidR="00D60484" w:rsidRPr="000149DA">
        <w:rPr>
          <w:rFonts w:cs="Times New Roman"/>
        </w:rPr>
        <w:t xml:space="preserve">volna az </w:t>
      </w:r>
      <w:r w:rsidR="00B62AE4" w:rsidRPr="000149DA">
        <w:rPr>
          <w:rFonts w:cs="Times New Roman"/>
        </w:rPr>
        <w:t>5</w:t>
      </w:r>
      <w:r w:rsidR="00D60484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adag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t, </w:t>
      </w:r>
      <w:r w:rsidR="00D60484" w:rsidRPr="000149DA">
        <w:rPr>
          <w:rFonts w:cs="Times New Roman"/>
        </w:rPr>
        <w:t>a</w:t>
      </w:r>
      <w:r w:rsidR="00584814" w:rsidRPr="000149DA">
        <w:rPr>
          <w:rFonts w:cs="Times New Roman"/>
        </w:rPr>
        <w:t xml:space="preserve"> betegnek</w:t>
      </w:r>
      <w:r w:rsidR="00D60484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 xml:space="preserve"> feltöltő dózist kell </w:t>
      </w:r>
      <w:r w:rsidR="00D60484" w:rsidRPr="000149DA">
        <w:rPr>
          <w:rFonts w:cs="Times New Roman"/>
        </w:rPr>
        <w:t>adni</w:t>
      </w:r>
      <w:r w:rsidR="00B62AE4" w:rsidRPr="000149DA">
        <w:rPr>
          <w:rFonts w:cs="Times New Roman"/>
        </w:rPr>
        <w:t>, majd</w:t>
      </w:r>
      <w:r w:rsidR="00D60484" w:rsidRPr="000149DA">
        <w:rPr>
          <w:rFonts w:cs="Times New Roman"/>
        </w:rPr>
        <w:t xml:space="preserve"> ezt követően </w:t>
      </w:r>
      <w:r w:rsidR="003B67D5" w:rsidRPr="000149DA">
        <w:rPr>
          <w:rFonts w:cs="Times New Roman"/>
        </w:rPr>
        <w:t>nap</w:t>
      </w:r>
      <w:r w:rsidR="00B62AE4"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="00D60484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ot. Az adagolást </w:t>
      </w:r>
      <w:r w:rsidR="00D60484" w:rsidRPr="000149DA">
        <w:rPr>
          <w:rFonts w:cs="Times New Roman"/>
        </w:rPr>
        <w:t xml:space="preserve">5 mg feltöltő dózisra </w:t>
      </w:r>
      <w:r w:rsidR="00B62AE4" w:rsidRPr="000149DA">
        <w:rPr>
          <w:rFonts w:cs="Times New Roman"/>
        </w:rPr>
        <w:t>kell csökkenteni, majd</w:t>
      </w:r>
      <w:r w:rsidR="006771F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="00B62AE4"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="006771F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ra, ha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 megfelel a dóziscsökkentés feltételeinek (lásd a fenti </w:t>
      </w:r>
      <w:r w:rsidR="006771F7" w:rsidRPr="000149DA">
        <w:rPr>
          <w:rFonts w:cs="Times New Roman"/>
        </w:rPr>
        <w:t>„</w:t>
      </w:r>
      <w:r w:rsidR="00B62AE4" w:rsidRPr="000149DA">
        <w:rPr>
          <w:rFonts w:cs="Times New Roman"/>
        </w:rPr>
        <w:t>Dóziscsökkentés</w:t>
      </w:r>
      <w:r w:rsidR="006771F7" w:rsidRPr="000149DA">
        <w:rPr>
          <w:rFonts w:cs="Times New Roman"/>
        </w:rPr>
        <w:t>”</w:t>
      </w:r>
      <w:r w:rsidR="00B62AE4" w:rsidRPr="000149DA">
        <w:rPr>
          <w:rFonts w:cs="Times New Roman"/>
        </w:rPr>
        <w:t xml:space="preserve"> és </w:t>
      </w:r>
      <w:r w:rsidR="006771F7" w:rsidRPr="000149DA">
        <w:rPr>
          <w:rFonts w:cs="Times New Roman"/>
        </w:rPr>
        <w:t>„</w:t>
      </w:r>
      <w:r w:rsidR="00B62AE4" w:rsidRPr="000149DA">
        <w:rPr>
          <w:rFonts w:cs="Times New Roman"/>
        </w:rPr>
        <w:t>Vesekárosodás</w:t>
      </w:r>
      <w:r w:rsidR="006771F7" w:rsidRPr="000149DA">
        <w:rPr>
          <w:rFonts w:cs="Times New Roman"/>
        </w:rPr>
        <w:t>”</w:t>
      </w:r>
      <w:r w:rsidR="00B62AE4" w:rsidRPr="000149DA">
        <w:rPr>
          <w:rFonts w:cs="Times New Roman"/>
        </w:rPr>
        <w:t xml:space="preserve"> </w:t>
      </w:r>
      <w:r w:rsidR="00584814" w:rsidRPr="000149DA">
        <w:rPr>
          <w:rFonts w:cs="Times New Roman"/>
        </w:rPr>
        <w:t>pont</w:t>
      </w:r>
      <w:r w:rsidR="00B62AE4" w:rsidRPr="000149DA">
        <w:rPr>
          <w:rFonts w:cs="Times New Roman"/>
        </w:rPr>
        <w:t>). A feltöltő dózist legalább 2</w:t>
      </w:r>
      <w:r w:rsidR="0071046D" w:rsidRPr="000149DA">
        <w:rPr>
          <w:rFonts w:cs="Times New Roman"/>
        </w:rPr>
        <w:t> ór</w:t>
      </w:r>
      <w:r w:rsidR="00B62AE4" w:rsidRPr="000149DA">
        <w:rPr>
          <w:rFonts w:cs="Times New Roman"/>
        </w:rPr>
        <w:t>ával a kardioverzió előtt kell beadni (lásd 5.1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4235FF7F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2C978248" w14:textId="7FAD6D9D" w:rsidR="00B62AE4" w:rsidRPr="000149DA" w:rsidRDefault="00F3552E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Minden </w:t>
      </w:r>
      <w:r w:rsidR="00B62AE4" w:rsidRPr="000149DA">
        <w:rPr>
          <w:rFonts w:cs="Times New Roman"/>
        </w:rPr>
        <w:t>kardioverzióban részesülő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nél a kardioverzió előtt meg kell győződni arról, hogy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 a felírtak szerint bevette az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t. A kezelés megkezdésére és a kezelés </w:t>
      </w:r>
      <w:r w:rsidRPr="000149DA">
        <w:rPr>
          <w:rFonts w:cs="Times New Roman"/>
        </w:rPr>
        <w:t>időtartamára</w:t>
      </w:r>
      <w:r w:rsidR="00B62AE4" w:rsidRPr="000149DA">
        <w:rPr>
          <w:rFonts w:cs="Times New Roman"/>
        </w:rPr>
        <w:t xml:space="preserve"> vonatkozó döntésnél figyelembe kell venni a kardioverzión áteső</w:t>
      </w:r>
      <w:r w:rsidR="00584814" w:rsidRPr="000149DA">
        <w:rPr>
          <w:rFonts w:cs="Times New Roman"/>
        </w:rPr>
        <w:t xml:space="preserve"> betegekre</w:t>
      </w:r>
      <w:r w:rsidRPr="000149DA">
        <w:rPr>
          <w:rFonts w:cs="Times New Roman"/>
        </w:rPr>
        <w:t xml:space="preserve"> vonatkozó</w:t>
      </w:r>
      <w:r w:rsidR="00B62AE4" w:rsidRPr="000149DA">
        <w:rPr>
          <w:rFonts w:cs="Times New Roman"/>
        </w:rPr>
        <w:t xml:space="preserve"> antikoagulációs kezelés </w:t>
      </w:r>
      <w:r w:rsidR="00FA6282" w:rsidRPr="000149DA">
        <w:rPr>
          <w:rFonts w:cs="Times New Roman"/>
        </w:rPr>
        <w:t>érvényben lévő</w:t>
      </w:r>
      <w:r w:rsidR="00B62AE4" w:rsidRPr="000149DA">
        <w:rPr>
          <w:rFonts w:cs="Times New Roman"/>
        </w:rPr>
        <w:t xml:space="preserve"> irányelveinek java</w:t>
      </w:r>
      <w:r w:rsidR="00FA6282" w:rsidRPr="000149DA">
        <w:rPr>
          <w:rFonts w:cs="Times New Roman"/>
        </w:rPr>
        <w:t>s</w:t>
      </w:r>
      <w:r w:rsidR="00B62AE4" w:rsidRPr="000149DA">
        <w:rPr>
          <w:rFonts w:cs="Times New Roman"/>
        </w:rPr>
        <w:t>latait.</w:t>
      </w:r>
    </w:p>
    <w:p w14:paraId="4B6DC12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60A6CE4" w14:textId="4E73A8E5" w:rsidR="00F3552E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N</w:t>
      </w:r>
      <w:r w:rsidR="00F3552E" w:rsidRPr="000149DA">
        <w:rPr>
          <w:rFonts w:cs="Times New Roman"/>
          <w:i/>
          <w:iCs/>
          <w:u w:val="single"/>
        </w:rPr>
        <w:t>em valvuláris pitvarfibrillációban (N</w:t>
      </w:r>
      <w:r w:rsidRPr="000149DA">
        <w:rPr>
          <w:rFonts w:cs="Times New Roman"/>
          <w:i/>
          <w:iCs/>
          <w:u w:val="single"/>
        </w:rPr>
        <w:t>V</w:t>
      </w:r>
      <w:r w:rsidR="00F3552E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</w:t>
      </w:r>
      <w:r w:rsidR="00F3552E" w:rsidRPr="000149DA">
        <w:rPr>
          <w:rFonts w:cs="Times New Roman"/>
          <w:i/>
          <w:iCs/>
          <w:u w:val="single"/>
        </w:rPr>
        <w:t xml:space="preserve">) és </w:t>
      </w:r>
      <w:r w:rsidRPr="000149DA">
        <w:rPr>
          <w:rFonts w:cs="Times New Roman"/>
          <w:i/>
          <w:iCs/>
          <w:u w:val="single"/>
        </w:rPr>
        <w:t>akut coronaria szindrómá</w:t>
      </w:r>
      <w:r w:rsidR="00F3552E" w:rsidRPr="000149DA">
        <w:rPr>
          <w:rFonts w:cs="Times New Roman"/>
          <w:i/>
          <w:iCs/>
          <w:u w:val="single"/>
        </w:rPr>
        <w:t xml:space="preserve">ban </w:t>
      </w:r>
      <w:r w:rsidRPr="000149DA">
        <w:rPr>
          <w:rFonts w:cs="Times New Roman"/>
          <w:i/>
          <w:iCs/>
          <w:u w:val="single"/>
        </w:rPr>
        <w:t xml:space="preserve">(ACS) </w:t>
      </w:r>
      <w:r w:rsidR="006D1177" w:rsidRPr="000149DA">
        <w:rPr>
          <w:rFonts w:cs="Times New Roman"/>
          <w:i/>
          <w:iCs/>
          <w:u w:val="single"/>
        </w:rPr>
        <w:t xml:space="preserve">szenvedő </w:t>
      </w:r>
      <w:r w:rsidRPr="000149DA">
        <w:rPr>
          <w:rFonts w:cs="Times New Roman"/>
          <w:i/>
          <w:iCs/>
          <w:u w:val="single"/>
        </w:rPr>
        <w:t xml:space="preserve">és/vagy </w:t>
      </w:r>
      <w:r w:rsidR="00AD265A" w:rsidRPr="000149DA">
        <w:rPr>
          <w:rFonts w:cs="Times New Roman"/>
          <w:i/>
          <w:iCs/>
          <w:u w:val="single"/>
        </w:rPr>
        <w:t>percutan</w:t>
      </w:r>
      <w:r w:rsidRPr="000149DA">
        <w:rPr>
          <w:rFonts w:cs="Times New Roman"/>
          <w:i/>
          <w:iCs/>
          <w:u w:val="single"/>
        </w:rPr>
        <w:t xml:space="preserve"> coronaria intervenció</w:t>
      </w:r>
      <w:r w:rsidR="00F3552E" w:rsidRPr="000149DA">
        <w:rPr>
          <w:rFonts w:cs="Times New Roman"/>
          <w:i/>
          <w:iCs/>
          <w:u w:val="single"/>
        </w:rPr>
        <w:t>ban</w:t>
      </w:r>
      <w:r w:rsidRPr="000149DA">
        <w:rPr>
          <w:rFonts w:cs="Times New Roman"/>
          <w:i/>
          <w:iCs/>
          <w:u w:val="single"/>
        </w:rPr>
        <w:t xml:space="preserve"> (PCI)</w:t>
      </w:r>
      <w:r w:rsidR="00F3552E" w:rsidRPr="000149DA">
        <w:rPr>
          <w:rFonts w:cs="Times New Roman"/>
          <w:i/>
          <w:iCs/>
          <w:u w:val="single"/>
        </w:rPr>
        <w:t xml:space="preserve"> </w:t>
      </w:r>
      <w:r w:rsidR="006D1177" w:rsidRPr="000149DA">
        <w:rPr>
          <w:rFonts w:cs="Times New Roman"/>
          <w:i/>
          <w:iCs/>
          <w:u w:val="single"/>
        </w:rPr>
        <w:t xml:space="preserve">részesülő </w:t>
      </w:r>
      <w:r w:rsidR="00A1416D" w:rsidRPr="000149DA">
        <w:rPr>
          <w:rFonts w:cs="Times New Roman"/>
          <w:i/>
          <w:iCs/>
          <w:u w:val="single"/>
        </w:rPr>
        <w:t>beteg</w:t>
      </w:r>
      <w:r w:rsidR="00F3552E" w:rsidRPr="000149DA">
        <w:rPr>
          <w:rFonts w:cs="Times New Roman"/>
          <w:i/>
          <w:iCs/>
          <w:u w:val="single"/>
        </w:rPr>
        <w:t>ek</w:t>
      </w:r>
      <w:r w:rsidRPr="000149DA">
        <w:rPr>
          <w:rFonts w:cs="Times New Roman"/>
          <w:i/>
          <w:iCs/>
          <w:u w:val="single"/>
        </w:rPr>
        <w:t xml:space="preserve"> </w:t>
      </w:r>
    </w:p>
    <w:p w14:paraId="7058DD2E" w14:textId="3B531500" w:rsidR="00B62AE4" w:rsidRPr="000149DA" w:rsidRDefault="00D6697A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ajánlott dózisával végzett kezeléssel kapcsolatosan NVPF</w:t>
      </w:r>
      <w:r w:rsidR="00B22E28" w:rsidRPr="000149DA">
        <w:rPr>
          <w:rFonts w:cs="Times New Roman"/>
        </w:rPr>
        <w:noBreakHyphen/>
      </w:r>
      <w:r w:rsidRPr="000149DA">
        <w:rPr>
          <w:rFonts w:cs="Times New Roman"/>
        </w:rPr>
        <w:t>ben szenvedő</w:t>
      </w:r>
      <w:r w:rsidR="006D117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ekre vonatkozóan k</w:t>
      </w:r>
      <w:r w:rsidR="00B62AE4" w:rsidRPr="000149DA">
        <w:rPr>
          <w:rFonts w:cs="Times New Roman"/>
        </w:rPr>
        <w:t>orlátozotta</w:t>
      </w:r>
      <w:r w:rsidRPr="000149DA">
        <w:rPr>
          <w:rFonts w:cs="Times New Roman"/>
        </w:rPr>
        <w:t>n áll</w:t>
      </w:r>
      <w:r w:rsidR="00B22E28" w:rsidRPr="000149DA">
        <w:rPr>
          <w:rFonts w:cs="Times New Roman"/>
        </w:rPr>
        <w:t>n</w:t>
      </w:r>
      <w:r w:rsidRPr="000149DA">
        <w:rPr>
          <w:rFonts w:cs="Times New Roman"/>
        </w:rPr>
        <w:t>ak</w:t>
      </w:r>
      <w:r w:rsidR="00B62AE4" w:rsidRPr="000149DA">
        <w:rPr>
          <w:rFonts w:cs="Times New Roman"/>
        </w:rPr>
        <w:t xml:space="preserve"> rendelkezésre tapasztalatok olyan eset</w:t>
      </w:r>
      <w:r w:rsidR="00B22E28" w:rsidRPr="000149DA">
        <w:rPr>
          <w:rFonts w:cs="Times New Roman"/>
        </w:rPr>
        <w:t>ek</w:t>
      </w:r>
      <w:r w:rsidR="00B62AE4" w:rsidRPr="000149DA">
        <w:rPr>
          <w:rFonts w:cs="Times New Roman"/>
        </w:rPr>
        <w:t xml:space="preserve">ben, amikor </w:t>
      </w:r>
      <w:r w:rsidRPr="000149DA">
        <w:rPr>
          <w:rFonts w:cs="Times New Roman"/>
        </w:rPr>
        <w:t xml:space="preserve">a gyógyszert </w:t>
      </w:r>
      <w:r w:rsidR="00B62AE4" w:rsidRPr="000149DA">
        <w:rPr>
          <w:rFonts w:cs="Times New Roman"/>
        </w:rPr>
        <w:t>thrombocyta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gátló szerekkel együttesen alkalmazzák </w:t>
      </w:r>
      <w:r w:rsidR="00B22E28" w:rsidRPr="000149DA">
        <w:rPr>
          <w:rFonts w:cs="Times New Roman"/>
        </w:rPr>
        <w:t xml:space="preserve">az </w:t>
      </w:r>
      <w:r w:rsidR="00B62AE4" w:rsidRPr="000149DA">
        <w:rPr>
          <w:rFonts w:cs="Times New Roman"/>
        </w:rPr>
        <w:t>ACS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ben szenvedő és/vagy PCI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n átesett</w:t>
      </w:r>
      <w:r w:rsidR="006D1177"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 xml:space="preserve"> a haemostasis helyreállása után (lásd</w:t>
      </w:r>
      <w:r w:rsidR="00F3552E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4.4 és 5.1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1C2A2B85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18D43FE5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Gyermekek és serdülők</w:t>
      </w:r>
    </w:p>
    <w:p w14:paraId="3BADA8F7" w14:textId="3A0A698A" w:rsidR="00D31D0F" w:rsidRDefault="00D31D0F" w:rsidP="00D31D0F">
      <w:pPr>
        <w:pStyle w:val="Nincstrkz"/>
        <w:rPr>
          <w:rFonts w:cs="Times New Roman"/>
        </w:rPr>
      </w:pPr>
      <w:r w:rsidRPr="00D31D0F">
        <w:t xml:space="preserve">Az </w:t>
      </w:r>
      <w:r w:rsidR="009F74AD">
        <w:rPr>
          <w:rFonts w:cs="Times New Roman"/>
        </w:rPr>
        <w:t>Apixaban Tev</w:t>
      </w:r>
      <w:r w:rsidRPr="000149DA">
        <w:rPr>
          <w:rFonts w:cs="Times New Roman"/>
        </w:rPr>
        <w:t xml:space="preserve">a </w:t>
      </w:r>
      <w:r w:rsidRPr="00D31D0F">
        <w:t>biztons</w:t>
      </w:r>
      <w:r w:rsidRPr="00D31D0F">
        <w:rPr>
          <w:rFonts w:hint="eastAsia"/>
        </w:rPr>
        <w:t>á</w:t>
      </w:r>
      <w:r w:rsidRPr="00D31D0F">
        <w:t>goss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 xml:space="preserve">t </w:t>
      </w:r>
      <w:r w:rsidRPr="00D31D0F">
        <w:rPr>
          <w:rFonts w:hint="eastAsia"/>
        </w:rPr>
        <w:t>é</w:t>
      </w:r>
      <w:r w:rsidRPr="00D31D0F">
        <w:t>s hat</w:t>
      </w:r>
      <w:r w:rsidRPr="00D31D0F">
        <w:rPr>
          <w:rFonts w:hint="eastAsia"/>
        </w:rPr>
        <w:t>á</w:t>
      </w:r>
      <w:r w:rsidRPr="00D31D0F">
        <w:t>soss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>t 28 napos kort</w:t>
      </w:r>
      <w:r w:rsidRPr="00D31D0F">
        <w:rPr>
          <w:rFonts w:hint="eastAsia"/>
        </w:rPr>
        <w:t>ó</w:t>
      </w:r>
      <w:r w:rsidRPr="00D31D0F">
        <w:t xml:space="preserve">l, 18 </w:t>
      </w:r>
      <w:r w:rsidRPr="00D31D0F">
        <w:rPr>
          <w:rFonts w:hint="eastAsia"/>
        </w:rPr>
        <w:t>é</w:t>
      </w:r>
      <w:r w:rsidRPr="00D31D0F">
        <w:t>vesn</w:t>
      </w:r>
      <w:r w:rsidRPr="00D31D0F">
        <w:rPr>
          <w:rFonts w:hint="eastAsia"/>
        </w:rPr>
        <w:t>é</w:t>
      </w:r>
      <w:r w:rsidRPr="00D31D0F">
        <w:t xml:space="preserve">l fiatalabb gyermekek 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t>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 eset</w:t>
      </w:r>
      <w:r w:rsidRPr="00D31D0F">
        <w:rPr>
          <w:rFonts w:hint="eastAsia"/>
        </w:rPr>
        <w:t>é</w:t>
      </w:r>
      <w:r w:rsidRPr="00D31D0F">
        <w:t>ben kiz</w:t>
      </w:r>
      <w:r w:rsidRPr="00D31D0F">
        <w:rPr>
          <w:rFonts w:hint="eastAsia"/>
        </w:rPr>
        <w:t>á</w:t>
      </w:r>
      <w:r w:rsidRPr="00D31D0F">
        <w:t>r</w:t>
      </w:r>
      <w:r w:rsidRPr="00D31D0F">
        <w:rPr>
          <w:rFonts w:hint="eastAsia"/>
        </w:rPr>
        <w:t>ó</w:t>
      </w:r>
      <w:r w:rsidRPr="00D31D0F">
        <w:t>lag v</w:t>
      </w:r>
      <w:r w:rsidRPr="00D31D0F">
        <w:rPr>
          <w:rFonts w:hint="eastAsia"/>
        </w:rPr>
        <w:t>é</w:t>
      </w:r>
      <w:r w:rsidRPr="00D31D0F">
        <w:t>n</w:t>
      </w:r>
      <w:r w:rsidRPr="00D31D0F">
        <w:rPr>
          <w:rFonts w:hint="eastAsia"/>
        </w:rPr>
        <w:t>á</w:t>
      </w:r>
      <w:r w:rsidRPr="00D31D0F">
        <w:t>s thromboembolia (VTE) kezel</w:t>
      </w:r>
      <w:r w:rsidRPr="00D31D0F">
        <w:rPr>
          <w:rFonts w:hint="eastAsia"/>
        </w:rPr>
        <w:t>é</w:t>
      </w:r>
      <w:r w:rsidRPr="00D31D0F">
        <w:t xml:space="preserve">se </w:t>
      </w:r>
      <w:r w:rsidRPr="00D31D0F">
        <w:rPr>
          <w:rFonts w:hint="eastAsia"/>
        </w:rPr>
        <w:t>é</w:t>
      </w:r>
      <w:r w:rsidRPr="00D31D0F">
        <w:t>s a ki</w:t>
      </w:r>
      <w:r w:rsidRPr="00D31D0F">
        <w:rPr>
          <w:rFonts w:hint="eastAsia"/>
        </w:rPr>
        <w:t>ú</w:t>
      </w:r>
      <w:r w:rsidRPr="00D31D0F">
        <w:t>jul</w:t>
      </w:r>
      <w:r w:rsidRPr="00D31D0F">
        <w:rPr>
          <w:rFonts w:hint="eastAsia"/>
        </w:rPr>
        <w:t>ó</w:t>
      </w:r>
      <w:r w:rsidRPr="00D31D0F">
        <w:t xml:space="preserve"> VTE megel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é</w:t>
      </w:r>
      <w:r w:rsidRPr="00D31D0F">
        <w:t>se</w:t>
      </w:r>
      <w:r>
        <w:t xml:space="preserve"> </w:t>
      </w:r>
      <w:r w:rsidRPr="00D31D0F">
        <w:t>indik</w:t>
      </w:r>
      <w:r w:rsidRPr="00D31D0F">
        <w:rPr>
          <w:rFonts w:hint="eastAsia"/>
        </w:rPr>
        <w:t>á</w:t>
      </w:r>
      <w:r w:rsidRPr="00D31D0F">
        <w:t>ci</w:t>
      </w:r>
      <w:r w:rsidRPr="00D31D0F">
        <w:rPr>
          <w:rFonts w:hint="eastAsia"/>
        </w:rPr>
        <w:t>ó</w:t>
      </w:r>
      <w:r w:rsidRPr="00D31D0F">
        <w:t>ban igazolt</w:t>
      </w:r>
      <w:r w:rsidRPr="00D31D0F">
        <w:rPr>
          <w:rFonts w:hint="eastAsia"/>
        </w:rPr>
        <w:t>á</w:t>
      </w:r>
      <w:r w:rsidRPr="00D31D0F">
        <w:t>k. Nincsenek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ó</w:t>
      </w:r>
      <w:r w:rsidRPr="00D31D0F">
        <w:t xml:space="preserve"> adatok </w:t>
      </w:r>
      <w:r w:rsidRPr="00D31D0F">
        <w:rPr>
          <w:rFonts w:hint="eastAsia"/>
        </w:rPr>
        <w:t>ú</w:t>
      </w:r>
      <w:r w:rsidRPr="00D31D0F">
        <w:t>jsz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 xml:space="preserve">ttekre </w:t>
      </w:r>
      <w:r w:rsidRPr="00D31D0F">
        <w:rPr>
          <w:rFonts w:hint="eastAsia"/>
        </w:rPr>
        <w:t>é</w:t>
      </w:r>
      <w:r w:rsidRPr="00D31D0F">
        <w:t>s egy</w:t>
      </w:r>
      <w:r w:rsidRPr="00D31D0F">
        <w:rPr>
          <w:rFonts w:hint="eastAsia"/>
        </w:rPr>
        <w:t>é</w:t>
      </w:r>
      <w:r w:rsidRPr="00D31D0F">
        <w:t>b javallatokra</w:t>
      </w:r>
      <w:r>
        <w:t xml:space="preserve"> </w:t>
      </w:r>
      <w:r w:rsidRPr="00D31D0F">
        <w:t>vonatkoz</w:t>
      </w:r>
      <w:r w:rsidRPr="00D31D0F">
        <w:rPr>
          <w:rFonts w:hint="eastAsia"/>
        </w:rPr>
        <w:t>ó</w:t>
      </w:r>
      <w:r w:rsidRPr="00D31D0F">
        <w:t>an (l</w:t>
      </w:r>
      <w:r w:rsidRPr="00D31D0F">
        <w:rPr>
          <w:rFonts w:hint="eastAsia"/>
        </w:rPr>
        <w:t>á</w:t>
      </w:r>
      <w:r w:rsidRPr="00D31D0F">
        <w:t>sd m</w:t>
      </w:r>
      <w:r w:rsidRPr="00D31D0F">
        <w:rPr>
          <w:rFonts w:hint="eastAsia"/>
        </w:rPr>
        <w:t>é</w:t>
      </w:r>
      <w:r w:rsidRPr="00D31D0F">
        <w:t>g 5.1 pont). Ez</w:t>
      </w:r>
      <w:r w:rsidRPr="00D31D0F">
        <w:rPr>
          <w:rFonts w:hint="eastAsia"/>
        </w:rPr>
        <w:t>é</w:t>
      </w:r>
      <w:r w:rsidRPr="00D31D0F">
        <w:t xml:space="preserve">rt az </w:t>
      </w:r>
      <w:r w:rsidR="009F74AD">
        <w:t>Apixaban Tev</w:t>
      </w:r>
      <w:r w:rsidR="00E21A85">
        <w:t>a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 xml:space="preserve">sa nem javasolt </w:t>
      </w:r>
      <w:r w:rsidRPr="00D31D0F">
        <w:rPr>
          <w:rFonts w:hint="eastAsia"/>
        </w:rPr>
        <w:t>ú</w:t>
      </w:r>
      <w:r w:rsidRPr="00D31D0F">
        <w:t>jsz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>ttekn</w:t>
      </w:r>
      <w:r w:rsidRPr="00D31D0F">
        <w:rPr>
          <w:rFonts w:hint="eastAsia"/>
        </w:rPr>
        <w:t>é</w:t>
      </w:r>
      <w:r w:rsidRPr="00D31D0F">
        <w:t>l, valamint</w:t>
      </w:r>
      <w:r>
        <w:t xml:space="preserve"> </w:t>
      </w:r>
      <w:r w:rsidRPr="00D31D0F">
        <w:t>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28 napos kort</w:t>
      </w:r>
      <w:r w:rsidRPr="00D31D0F">
        <w:rPr>
          <w:rFonts w:hint="eastAsia"/>
        </w:rPr>
        <w:t>ó</w:t>
      </w:r>
      <w:r w:rsidRPr="00D31D0F">
        <w:t xml:space="preserve">l, 18 </w:t>
      </w:r>
      <w:r w:rsidRPr="00D31D0F">
        <w:rPr>
          <w:rFonts w:hint="eastAsia"/>
        </w:rPr>
        <w:t>é</w:t>
      </w:r>
      <w:r w:rsidRPr="00D31D0F">
        <w:t>ves kor alattig, a VTE kezel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t</w:t>
      </w:r>
      <w:r w:rsidRPr="00D31D0F">
        <w:rPr>
          <w:rFonts w:hint="eastAsia"/>
        </w:rPr>
        <w:t>ő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a VTE</w:t>
      </w:r>
      <w:r>
        <w:t xml:space="preserve"> </w:t>
      </w:r>
      <w:r w:rsidRPr="00D31D0F">
        <w:rPr>
          <w:rFonts w:cs="Times New Roman"/>
          <w:lang w:bidi="hu-HU"/>
        </w:rPr>
        <w:t>ki</w:t>
      </w:r>
      <w:r w:rsidRPr="00D31D0F">
        <w:rPr>
          <w:rFonts w:cs="Times New Roman" w:hint="eastAsia"/>
          <w:lang w:bidi="hu-HU"/>
        </w:rPr>
        <w:t>ú</w:t>
      </w:r>
      <w:r w:rsidRPr="00D31D0F">
        <w:rPr>
          <w:rFonts w:cs="Times New Roman"/>
          <w:lang w:bidi="hu-HU"/>
        </w:rPr>
        <w:t>jul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nak megel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z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t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l elt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r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 xml:space="preserve"> indik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ci</w:t>
      </w:r>
      <w:r w:rsidRPr="00D31D0F">
        <w:rPr>
          <w:rFonts w:cs="Times New Roman" w:hint="eastAsia"/>
          <w:lang w:bidi="hu-HU"/>
        </w:rPr>
        <w:t>ó</w:t>
      </w:r>
      <w:r w:rsidRPr="00D31D0F">
        <w:rPr>
          <w:rFonts w:cs="Times New Roman"/>
          <w:lang w:bidi="hu-HU"/>
        </w:rPr>
        <w:t>ban.</w:t>
      </w:r>
    </w:p>
    <w:p w14:paraId="21A3FEF9" w14:textId="1547C77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biztonságosságát és hatásosságát gyermekek és 18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esnél fiatalabb serdülők esetében </w:t>
      </w:r>
      <w:r w:rsidR="00D31D0F" w:rsidRPr="00D31D0F">
        <w:rPr>
          <w:rFonts w:cs="Times New Roman"/>
        </w:rPr>
        <w:t xml:space="preserve">thromboembolia megelőzése indikációban </w:t>
      </w:r>
      <w:r w:rsidRPr="000149DA">
        <w:rPr>
          <w:rFonts w:cs="Times New Roman"/>
        </w:rPr>
        <w:t xml:space="preserve">nem igazolták. </w:t>
      </w:r>
      <w:r w:rsidR="008058E5" w:rsidRPr="008058E5">
        <w:rPr>
          <w:rFonts w:cs="Times New Roman"/>
        </w:rPr>
        <w:t>A thromboembolia megelőzésével kapcsolatos jelenleg rendelkezésre álló adatok leírása az 5.1 pontban található, de az adagolásra vonatkozóan nem adható ajánlás.</w:t>
      </w:r>
    </w:p>
    <w:p w14:paraId="2B795493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68AE5521" w14:textId="43F6E901" w:rsidR="00B62AE4" w:rsidRPr="000149DA" w:rsidRDefault="00B62AE4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Az alkalmazás módja</w:t>
      </w:r>
      <w:r w:rsidR="00D31D0F" w:rsidRPr="00D31D0F">
        <w:t xml:space="preserve"> </w:t>
      </w:r>
      <w:r w:rsidR="00D31D0F" w:rsidRPr="00D31D0F">
        <w:rPr>
          <w:rFonts w:cs="Times New Roman"/>
          <w:u w:val="single"/>
        </w:rPr>
        <w:t>felnőtteknél, valamint gyermekeknél és serdülőknél</w:t>
      </w:r>
    </w:p>
    <w:p w14:paraId="0304C901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699FE20F" w14:textId="1E84AC6E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Szájon át történő alkalmazás</w:t>
      </w:r>
      <w:r w:rsidR="00F4787E" w:rsidRPr="000149DA">
        <w:rPr>
          <w:rFonts w:cs="Times New Roman"/>
        </w:rPr>
        <w:t>ra</w:t>
      </w:r>
      <w:r w:rsidRPr="000149DA">
        <w:rPr>
          <w:rFonts w:cs="Times New Roman"/>
        </w:rPr>
        <w:t>.</w:t>
      </w:r>
    </w:p>
    <w:p w14:paraId="35B04A38" w14:textId="246DB0C5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22E28" w:rsidRPr="000149DA">
        <w:rPr>
          <w:rFonts w:cs="Times New Roman"/>
        </w:rPr>
        <w:noBreakHyphen/>
      </w:r>
      <w:r w:rsidRPr="000149DA">
        <w:rPr>
          <w:rFonts w:cs="Times New Roman"/>
        </w:rPr>
        <w:t>t étkezés közben vagy attól függetlenül, vízzel kell bevenni.</w:t>
      </w:r>
    </w:p>
    <w:p w14:paraId="471C1EF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856E686" w14:textId="6F526DF0" w:rsidR="00B62AE4" w:rsidRPr="000149DA" w:rsidRDefault="00B22E28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O</w:t>
      </w:r>
      <w:r w:rsidR="00B62AE4" w:rsidRPr="000149DA">
        <w:rPr>
          <w:rFonts w:cs="Times New Roman"/>
          <w:w w:val="105"/>
        </w:rPr>
        <w:t>lyan</w:t>
      </w:r>
      <w:r w:rsidR="006D1177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="00B62AE4" w:rsidRPr="000149DA">
        <w:rPr>
          <w:rFonts w:cs="Times New Roman"/>
          <w:w w:val="105"/>
        </w:rPr>
        <w:t xml:space="preserve">ek számára, akik nem képesek lenyelni </w:t>
      </w:r>
      <w:r w:rsidRPr="000149DA">
        <w:rPr>
          <w:rFonts w:cs="Times New Roman"/>
          <w:w w:val="105"/>
        </w:rPr>
        <w:t>egy egész</w:t>
      </w:r>
      <w:r w:rsidR="00B62AE4" w:rsidRPr="000149DA">
        <w:rPr>
          <w:rFonts w:cs="Times New Roman"/>
          <w:w w:val="105"/>
        </w:rPr>
        <w:t xml:space="preserve"> tablettá</w:t>
      </w:r>
      <w:r w:rsidRPr="000149DA">
        <w:rPr>
          <w:rFonts w:cs="Times New Roman"/>
          <w:w w:val="105"/>
        </w:rPr>
        <w:t>t</w:t>
      </w:r>
      <w:r w:rsidR="00B62AE4" w:rsidRPr="000149DA">
        <w:rPr>
          <w:rFonts w:cs="Times New Roman"/>
          <w:w w:val="105"/>
        </w:rPr>
        <w:t xml:space="preserve">, az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w w:val="105"/>
        </w:rPr>
        <w:t xml:space="preserve"> tablettákat porrá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lehet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törni,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és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vízben,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F4787E" w:rsidRPr="000149DA">
        <w:rPr>
          <w:rFonts w:cs="Times New Roman"/>
          <w:w w:val="105"/>
        </w:rPr>
        <w:t>glükóz</w:t>
      </w:r>
      <w:r w:rsidR="00F4787E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5%</w:t>
      </w:r>
      <w:r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>os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vizes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oldatában,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almalében</w:t>
      </w:r>
      <w:r w:rsidR="006D1177" w:rsidRPr="000149DA">
        <w:rPr>
          <w:rFonts w:cs="Times New Roman"/>
          <w:w w:val="105"/>
        </w:rPr>
        <w:t xml:space="preserve"> lehet szuszpendálni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vagy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 xml:space="preserve">hozzá lehet keverni almapüréhez, </w:t>
      </w:r>
      <w:r w:rsidR="0005010D" w:rsidRPr="000149DA">
        <w:rPr>
          <w:rFonts w:cs="Times New Roman"/>
          <w:w w:val="105"/>
        </w:rPr>
        <w:t>amit</w:t>
      </w:r>
      <w:r w:rsidR="00B62AE4" w:rsidRPr="000149DA">
        <w:rPr>
          <w:rFonts w:cs="Times New Roman"/>
          <w:w w:val="105"/>
        </w:rPr>
        <w:t xml:space="preserve"> azonnal be kell adni szájon át (lásd 5.2</w:t>
      </w:r>
      <w:r w:rsidR="004C106B" w:rsidRPr="000149DA">
        <w:rPr>
          <w:rFonts w:cs="Times New Roman"/>
          <w:w w:val="105"/>
        </w:rPr>
        <w:t> pont</w:t>
      </w:r>
      <w:r w:rsidR="00B62AE4" w:rsidRPr="000149DA">
        <w:rPr>
          <w:rFonts w:cs="Times New Roman"/>
          <w:w w:val="105"/>
        </w:rPr>
        <w:t xml:space="preserve">). Másik megoldásként az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w w:val="105"/>
        </w:rPr>
        <w:t xml:space="preserve"> tablettákat porrá lehet törni és </w:t>
      </w:r>
      <w:r w:rsidR="006D1177" w:rsidRPr="000149DA">
        <w:rPr>
          <w:rFonts w:cs="Times New Roman"/>
          <w:w w:val="105"/>
        </w:rPr>
        <w:t>60 ml vízben vagy 5%</w:t>
      </w:r>
      <w:r w:rsidR="0005010D" w:rsidRPr="000149DA">
        <w:rPr>
          <w:rFonts w:cs="Times New Roman"/>
          <w:w w:val="105"/>
        </w:rPr>
        <w:noBreakHyphen/>
      </w:r>
      <w:r w:rsidR="006D1177" w:rsidRPr="000149DA">
        <w:rPr>
          <w:rFonts w:cs="Times New Roman"/>
          <w:w w:val="105"/>
        </w:rPr>
        <w:t xml:space="preserve">os </w:t>
      </w:r>
      <w:r w:rsidR="00EE4084" w:rsidRPr="000149DA">
        <w:rPr>
          <w:rFonts w:cs="Times New Roman"/>
          <w:w w:val="105"/>
        </w:rPr>
        <w:t>glükóz</w:t>
      </w:r>
      <w:r w:rsidR="006D1177" w:rsidRPr="000149DA">
        <w:rPr>
          <w:rFonts w:cs="Times New Roman"/>
          <w:w w:val="105"/>
        </w:rPr>
        <w:t xml:space="preserve">oldatban lehet </w:t>
      </w:r>
      <w:r w:rsidR="00B62AE4" w:rsidRPr="000149DA">
        <w:rPr>
          <w:rFonts w:cs="Times New Roman"/>
          <w:w w:val="105"/>
        </w:rPr>
        <w:t xml:space="preserve">szuszpendálni, majd </w:t>
      </w:r>
      <w:r w:rsidR="00E3204F" w:rsidRPr="000149DA">
        <w:rPr>
          <w:rFonts w:cs="Times New Roman"/>
          <w:w w:val="105"/>
        </w:rPr>
        <w:t>azonnal</w:t>
      </w:r>
      <w:r w:rsidR="00E3204F" w:rsidRPr="000149DA">
        <w:rPr>
          <w:rFonts w:cs="Times New Roman"/>
          <w:spacing w:val="-6"/>
          <w:w w:val="105"/>
        </w:rPr>
        <w:t xml:space="preserve"> </w:t>
      </w:r>
      <w:r w:rsidR="00E3204F" w:rsidRPr="000149DA">
        <w:rPr>
          <w:rFonts w:cs="Times New Roman"/>
          <w:w w:val="105"/>
        </w:rPr>
        <w:t>be</w:t>
      </w:r>
      <w:r w:rsidR="00E3204F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kell</w:t>
      </w:r>
      <w:r w:rsidR="00E3204F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adni</w:t>
      </w:r>
      <w:r w:rsidR="00E3204F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nasogastricus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szondán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keresztül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(lásd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5.2</w:t>
      </w:r>
      <w:r w:rsidR="004C106B" w:rsidRPr="000149DA">
        <w:rPr>
          <w:rFonts w:cs="Times New Roman"/>
          <w:spacing w:val="-8"/>
          <w:w w:val="105"/>
        </w:rPr>
        <w:t> pont</w:t>
      </w:r>
      <w:r w:rsidR="00B62AE4" w:rsidRPr="000149DA">
        <w:rPr>
          <w:rFonts w:cs="Times New Roman"/>
          <w:w w:val="105"/>
        </w:rPr>
        <w:t>).</w:t>
      </w:r>
      <w:r w:rsidR="00B62AE4" w:rsidRPr="000149DA">
        <w:rPr>
          <w:rFonts w:cs="Times New Roman"/>
          <w:spacing w:val="-7"/>
          <w:w w:val="105"/>
        </w:rPr>
        <w:t xml:space="preserve"> </w:t>
      </w:r>
      <w:r w:rsidR="00B62AE4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porrá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tört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tablett</w:t>
      </w:r>
      <w:r w:rsidR="00E3204F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7"/>
          <w:w w:val="105"/>
        </w:rPr>
        <w:t xml:space="preserve"> </w:t>
      </w:r>
      <w:r w:rsidR="00B62AE4" w:rsidRPr="000149DA">
        <w:rPr>
          <w:rFonts w:cs="Times New Roman"/>
          <w:w w:val="105"/>
        </w:rPr>
        <w:t>vízben,</w:t>
      </w:r>
      <w:r w:rsidR="00E3204F" w:rsidRPr="000149DA">
        <w:rPr>
          <w:rFonts w:cs="Times New Roman"/>
          <w:w w:val="105"/>
        </w:rPr>
        <w:t xml:space="preserve"> </w:t>
      </w:r>
      <w:r w:rsidR="00B62AE4" w:rsidRPr="000149DA">
        <w:rPr>
          <w:rFonts w:cs="Times New Roman"/>
          <w:w w:val="105"/>
        </w:rPr>
        <w:t>5%</w:t>
      </w:r>
      <w:r w:rsidR="00E3204F"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 xml:space="preserve">os </w:t>
      </w:r>
      <w:r w:rsidR="00C3225F">
        <w:rPr>
          <w:rFonts w:cs="Times New Roman"/>
          <w:w w:val="105"/>
        </w:rPr>
        <w:t>glükóz</w:t>
      </w:r>
      <w:r w:rsidR="00B62AE4" w:rsidRPr="000149DA">
        <w:rPr>
          <w:rFonts w:cs="Times New Roman"/>
          <w:w w:val="105"/>
        </w:rPr>
        <w:t>oldatban, almalében és almapürében legfeljebb 4</w:t>
      </w:r>
      <w:r w:rsidR="0071046D" w:rsidRPr="000149DA">
        <w:rPr>
          <w:rFonts w:cs="Times New Roman"/>
          <w:w w:val="105"/>
        </w:rPr>
        <w:t> ór</w:t>
      </w:r>
      <w:r w:rsidR="00B62AE4" w:rsidRPr="000149DA">
        <w:rPr>
          <w:rFonts w:cs="Times New Roman"/>
          <w:w w:val="105"/>
        </w:rPr>
        <w:t xml:space="preserve">án keresztül </w:t>
      </w:r>
      <w:r w:rsidR="00E3204F" w:rsidRPr="000149DA">
        <w:rPr>
          <w:rFonts w:cs="Times New Roman"/>
          <w:w w:val="105"/>
        </w:rPr>
        <w:t xml:space="preserve">marad </w:t>
      </w:r>
      <w:r w:rsidR="00B62AE4" w:rsidRPr="000149DA">
        <w:rPr>
          <w:rFonts w:cs="Times New Roman"/>
          <w:w w:val="105"/>
        </w:rPr>
        <w:t>stabil.</w:t>
      </w:r>
    </w:p>
    <w:p w14:paraId="38D6914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A90082B" w14:textId="37F9CE9F" w:rsidR="00B62AE4" w:rsidRPr="000149DA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Ellenjavallatok</w:t>
      </w:r>
    </w:p>
    <w:p w14:paraId="22961604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72D75A5C" w14:textId="4C172563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A készítmény hatóanyagával vagy a 6.1</w:t>
      </w:r>
      <w:r w:rsidR="006D1177" w:rsidRPr="000149DA">
        <w:rPr>
          <w:rFonts w:cs="Times New Roman"/>
        </w:rPr>
        <w:t> pontban</w:t>
      </w:r>
      <w:r w:rsidRPr="000149DA">
        <w:rPr>
          <w:rFonts w:cs="Times New Roman"/>
        </w:rPr>
        <w:t xml:space="preserve"> felsorolt bármely segédanyagával szembeni túlérzékenység.</w:t>
      </w:r>
    </w:p>
    <w:p w14:paraId="4AB2837E" w14:textId="77777777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Aktív, klinikailag jelentős vérzés.</w:t>
      </w:r>
    </w:p>
    <w:p w14:paraId="3D6B4D38" w14:textId="0E10FB79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Véralvadási zavarral és klinikailag jelentős vérzési kockázattal járó májbetegség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587E2C04" w14:textId="347E63B6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Léziók vagy </w:t>
      </w:r>
      <w:r w:rsidR="00F60CDB" w:rsidRPr="000149DA">
        <w:rPr>
          <w:rFonts w:cs="Times New Roman"/>
        </w:rPr>
        <w:t>bizonyos</w:t>
      </w:r>
      <w:r w:rsidR="00666BD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állapotok, </w:t>
      </w:r>
      <w:r w:rsidR="00666BD9" w:rsidRPr="000149DA">
        <w:rPr>
          <w:rFonts w:cs="Times New Roman"/>
        </w:rPr>
        <w:t>ha ezek</w:t>
      </w:r>
      <w:r w:rsidRPr="000149DA">
        <w:rPr>
          <w:rFonts w:cs="Times New Roman"/>
        </w:rPr>
        <w:t xml:space="preserve"> a nagyfokú vérzés jelentős rizikófaktorának tekinthetők. Ide tartozhat az aktuálisan fennálló vagy nemrégiben lezajlott gastrointestinalis fekély, a vérzés magasabb kockázatával járó malignus daganatok </w:t>
      </w:r>
      <w:r w:rsidR="000767AE" w:rsidRPr="000149DA">
        <w:rPr>
          <w:rFonts w:cs="Times New Roman"/>
        </w:rPr>
        <w:t>jelenléte</w:t>
      </w:r>
      <w:r w:rsidRPr="000149DA">
        <w:rPr>
          <w:rFonts w:cs="Times New Roman"/>
        </w:rPr>
        <w:t>, friss agy</w:t>
      </w:r>
      <w:r w:rsidR="008D758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gerincsérülés, nemrégiben lezajlott agy</w:t>
      </w:r>
      <w:r w:rsidR="000767AE" w:rsidRPr="000149DA">
        <w:rPr>
          <w:rFonts w:cs="Times New Roman"/>
        </w:rPr>
        <w:noBreakHyphen/>
      </w:r>
      <w:r w:rsidRPr="000149DA">
        <w:rPr>
          <w:rFonts w:cs="Times New Roman"/>
        </w:rPr>
        <w:t>, gerinc</w:t>
      </w:r>
      <w:r w:rsidR="000767A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szemműtét, nemrégiben lezajlott intracranialis vérzés,</w:t>
      </w:r>
      <w:r w:rsidR="000767AE" w:rsidRPr="000149DA">
        <w:rPr>
          <w:rFonts w:cs="Times New Roman"/>
        </w:rPr>
        <w:t xml:space="preserve"> ismert vagy feltételezett oesophagealis varix, arteriovenosus malformációk, vascularis aneurysmák vagy jelentős intraspinalis, illetve intracerebralis vascularis rendellenességek.</w:t>
      </w:r>
    </w:p>
    <w:p w14:paraId="7013594E" w14:textId="75AA1858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Bármilyen más antikoaguláns szerrel, pl. nem frakcionált heparinnal (</w:t>
      </w:r>
      <w:r w:rsidR="008D7580" w:rsidRPr="000149DA">
        <w:rPr>
          <w:rFonts w:cs="Times New Roman"/>
        </w:rPr>
        <w:t>NFH</w:t>
      </w:r>
      <w:r w:rsidRPr="000149DA">
        <w:rPr>
          <w:rFonts w:cs="Times New Roman"/>
        </w:rPr>
        <w:t>), kis molekulatömegű heparinokkal (enoxaparin, dalteparin, stb.), heparinszármazékokkal (fondaparinux, stb.), oralis antikoagulánsokkal (warfarin, rivaroxabán, dabigatrán</w:t>
      </w:r>
      <w:r w:rsidR="00D31D0F" w:rsidRPr="00D31D0F">
        <w:t xml:space="preserve"> </w:t>
      </w:r>
      <w:r w:rsidR="00D31D0F" w:rsidRPr="00D31D0F">
        <w:rPr>
          <w:rFonts w:cs="Times New Roman"/>
        </w:rPr>
        <w:t>-etexilát</w:t>
      </w:r>
      <w:r w:rsidRPr="000149DA">
        <w:rPr>
          <w:rFonts w:cs="Times New Roman"/>
        </w:rPr>
        <w:t>, stb.) történő egyidejű kezelés, kivéve azokat a specifikus körülményeket, amikor a</w:t>
      </w:r>
      <w:r w:rsidR="008D758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az egyik antikoaguláns kezelésről egy másikra állítják át (lásd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), amikor a nem frakcionált heparint a centrális vénás vagy artériás kanül átjárhatóságának fenntartásához szükséges dózisokban adják vagy amikor nem frakcionált heparint adnak pitvarfibrilláció miatti katéteres abláció alatt (lásd 4.4 és 4.5</w:t>
      </w:r>
      <w:r w:rsidR="00052B39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3155EB17" w14:textId="77777777" w:rsidR="00B62AE4" w:rsidRPr="000149DA" w:rsidRDefault="00B62AE4" w:rsidP="00E3204F">
      <w:pPr>
        <w:pStyle w:val="Nincstrkz"/>
        <w:ind w:left="567" w:hanging="567"/>
        <w:rPr>
          <w:rFonts w:cs="Times New Roman"/>
        </w:rPr>
      </w:pPr>
    </w:p>
    <w:p w14:paraId="48289E9B" w14:textId="2389AC36" w:rsidR="00B62AE4" w:rsidRPr="000149DA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Különleges figyelmeztetések és az alkalmazással kapcsolatos</w:t>
      </w:r>
      <w:r w:rsidR="00B62AE4" w:rsidRPr="000149DA">
        <w:rPr>
          <w:rFonts w:cs="Times New Roman"/>
          <w:b/>
          <w:bCs/>
          <w:spacing w:val="-25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óvintézkedések</w:t>
      </w:r>
    </w:p>
    <w:p w14:paraId="59598490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5A3F6380" w14:textId="664B998C" w:rsidR="00B62AE4" w:rsidRPr="000149DA" w:rsidRDefault="009E7B2D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Haemorrhagia kockázata</w:t>
      </w:r>
    </w:p>
    <w:p w14:paraId="4CD90183" w14:textId="281032E9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Más antikoagulánsokhoz hasonlóan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>t szedő</w:t>
      </w:r>
      <w:r w:rsidR="00052B3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 </w:t>
      </w:r>
      <w:r w:rsidR="00052B39" w:rsidRPr="000149DA">
        <w:rPr>
          <w:rFonts w:cs="Times New Roman"/>
        </w:rPr>
        <w:t xml:space="preserve">is </w:t>
      </w:r>
      <w:r w:rsidRPr="000149DA">
        <w:rPr>
          <w:rFonts w:cs="Times New Roman"/>
        </w:rPr>
        <w:t xml:space="preserve">gondosan figyelni kell a vérzésre utaló jeleket. </w:t>
      </w:r>
      <w:r w:rsidR="00621D02" w:rsidRPr="000149DA">
        <w:rPr>
          <w:rFonts w:cs="Times New Roman"/>
        </w:rPr>
        <w:t xml:space="preserve">Elővigyázatosan ajánlott </w:t>
      </w:r>
      <w:r w:rsidRPr="000149DA">
        <w:rPr>
          <w:rFonts w:cs="Times New Roman"/>
        </w:rPr>
        <w:t>alkalmaz</w:t>
      </w:r>
      <w:r w:rsidR="00621D02" w:rsidRPr="000149DA">
        <w:rPr>
          <w:rFonts w:cs="Times New Roman"/>
        </w:rPr>
        <w:t>ni a</w:t>
      </w:r>
      <w:r w:rsidRPr="000149DA">
        <w:rPr>
          <w:rFonts w:cs="Times New Roman"/>
        </w:rPr>
        <w:t xml:space="preserve"> fokozott vérzésveszéllyel járó állapotokban. Súlyos vérzés jelentkezésekor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alkalmazását </w:t>
      </w:r>
      <w:r w:rsidR="00621D02" w:rsidRPr="000149DA">
        <w:rPr>
          <w:rFonts w:cs="Times New Roman"/>
        </w:rPr>
        <w:t>le</w:t>
      </w:r>
      <w:r w:rsidRPr="000149DA">
        <w:rPr>
          <w:rFonts w:cs="Times New Roman"/>
        </w:rPr>
        <w:t xml:space="preserve"> kell </w:t>
      </w:r>
      <w:r w:rsidR="00621D02" w:rsidRPr="000149DA">
        <w:rPr>
          <w:rFonts w:cs="Times New Roman"/>
        </w:rPr>
        <w:t>állítani</w:t>
      </w:r>
      <w:r w:rsidRPr="000149DA">
        <w:rPr>
          <w:rFonts w:cs="Times New Roman"/>
        </w:rPr>
        <w:t xml:space="preserve"> (lásd 4.8 és 4.9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C7D3445" w14:textId="77777777" w:rsidR="009F3201" w:rsidRPr="000149DA" w:rsidRDefault="009F3201" w:rsidP="00156430">
      <w:pPr>
        <w:pStyle w:val="Nincstrkz"/>
        <w:rPr>
          <w:rFonts w:cs="Times New Roman"/>
        </w:rPr>
      </w:pPr>
    </w:p>
    <w:p w14:paraId="139B4204" w14:textId="56293CE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Bár az </w:t>
      </w:r>
      <w:r w:rsidR="00D6140D" w:rsidRPr="000149DA">
        <w:rPr>
          <w:rFonts w:cs="Times New Roman"/>
        </w:rPr>
        <w:t>apixabán</w:t>
      </w:r>
      <w:r w:rsidR="00621D02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nem teszi szükségessé az expozíció rutinszerű monitorozását, </w:t>
      </w:r>
      <w:r w:rsidR="00621D02" w:rsidRPr="000149DA">
        <w:rPr>
          <w:rFonts w:cs="Times New Roman"/>
        </w:rPr>
        <w:t>egy kalibrált, mennyiségi meghatározásra alkalmas anti</w:t>
      </w:r>
      <w:r w:rsidR="00621D02" w:rsidRPr="000149DA">
        <w:rPr>
          <w:rFonts w:cs="Times New Roman"/>
        </w:rPr>
        <w:noBreakHyphen/>
        <w:t xml:space="preserve">Xa faktor assay hasznos lehet </w:t>
      </w:r>
      <w:r w:rsidRPr="000149DA">
        <w:rPr>
          <w:rFonts w:cs="Times New Roman"/>
        </w:rPr>
        <w:t xml:space="preserve">azokban a kivételes helyzetekben, amikor az </w:t>
      </w:r>
      <w:r w:rsidR="00D6140D" w:rsidRPr="000149DA">
        <w:rPr>
          <w:rFonts w:cs="Times New Roman"/>
        </w:rPr>
        <w:t>apixabán</w:t>
      </w:r>
      <w:r w:rsidR="00621D02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expozíció ismerete </w:t>
      </w:r>
      <w:r w:rsidR="00621D02" w:rsidRPr="000149DA">
        <w:rPr>
          <w:rFonts w:cs="Times New Roman"/>
        </w:rPr>
        <w:t xml:space="preserve">klinikai döntéshez </w:t>
      </w:r>
      <w:r w:rsidR="0069068F" w:rsidRPr="000149DA">
        <w:rPr>
          <w:rFonts w:cs="Times New Roman"/>
        </w:rPr>
        <w:t xml:space="preserve">szükséges </w:t>
      </w:r>
      <w:r w:rsidRPr="000149DA">
        <w:rPr>
          <w:rFonts w:cs="Times New Roman"/>
        </w:rPr>
        <w:t>információ</w:t>
      </w:r>
      <w:r w:rsidR="00052B39" w:rsidRPr="000149DA">
        <w:rPr>
          <w:rFonts w:cs="Times New Roman"/>
        </w:rPr>
        <w:t>kkal szolgálhat</w:t>
      </w:r>
      <w:r w:rsidR="0069068F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például túladagolás és sürgős műtét </w:t>
      </w:r>
      <w:r w:rsidR="008D7580" w:rsidRPr="000149DA">
        <w:rPr>
          <w:rFonts w:cs="Times New Roman"/>
        </w:rPr>
        <w:t xml:space="preserve">esetében </w:t>
      </w:r>
      <w:r w:rsidRPr="000149DA">
        <w:rPr>
          <w:rFonts w:cs="Times New Roman"/>
        </w:rPr>
        <w:t>(lásd 5.1</w:t>
      </w:r>
      <w:r w:rsidR="00621D02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9490286" w14:textId="77777777" w:rsidR="00621D02" w:rsidRPr="000149DA" w:rsidRDefault="00621D02" w:rsidP="00156430">
      <w:pPr>
        <w:pStyle w:val="Nincstrkz"/>
        <w:rPr>
          <w:rFonts w:cs="Times New Roman"/>
        </w:rPr>
      </w:pPr>
    </w:p>
    <w:p w14:paraId="694F787F" w14:textId="1C68EA77" w:rsidR="00621D02" w:rsidRDefault="00D31D0F" w:rsidP="00D31D0F">
      <w:pPr>
        <w:pStyle w:val="Nincstrkz"/>
        <w:rPr>
          <w:rFonts w:cs="Times New Roman"/>
          <w:lang w:bidi="hu-HU"/>
        </w:rPr>
      </w:pPr>
      <w:r w:rsidRPr="00D31D0F">
        <w:t>Feln</w:t>
      </w:r>
      <w:r w:rsidRPr="00D31D0F">
        <w:rPr>
          <w:rFonts w:hint="eastAsia"/>
        </w:rPr>
        <w:t>ő</w:t>
      </w:r>
      <w:r w:rsidRPr="00D31D0F">
        <w:t>ttek sz</w:t>
      </w:r>
      <w:r w:rsidRPr="00D31D0F">
        <w:rPr>
          <w:rFonts w:hint="eastAsia"/>
        </w:rPr>
        <w:t>á</w:t>
      </w:r>
      <w:r w:rsidRPr="00D31D0F">
        <w:t>m</w:t>
      </w:r>
      <w:r w:rsidRPr="00D31D0F">
        <w:rPr>
          <w:rFonts w:hint="eastAsia"/>
        </w:rPr>
        <w:t>á</w:t>
      </w:r>
      <w:r w:rsidRPr="00D31D0F">
        <w:t>ra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 egy specifikus szer (andexanet-alfa), ami antagoniz</w:t>
      </w:r>
      <w:r w:rsidRPr="00D31D0F">
        <w:rPr>
          <w:rFonts w:hint="eastAsia"/>
        </w:rPr>
        <w:t>á</w:t>
      </w:r>
      <w:r w:rsidRPr="00D31D0F">
        <w:t>lja az</w:t>
      </w:r>
      <w:r>
        <w:t xml:space="preserve"> </w:t>
      </w:r>
      <w:r w:rsidRPr="00D31D0F">
        <w:t>apixab</w:t>
      </w:r>
      <w:r w:rsidRPr="00D31D0F">
        <w:rPr>
          <w:rFonts w:hint="eastAsia"/>
        </w:rPr>
        <w:t>á</w:t>
      </w:r>
      <w:r w:rsidRPr="00D31D0F">
        <w:t>n farmakodin</w:t>
      </w:r>
      <w:r w:rsidRPr="00D31D0F">
        <w:rPr>
          <w:rFonts w:hint="eastAsia"/>
        </w:rPr>
        <w:t>á</w:t>
      </w:r>
      <w:r w:rsidRPr="00D31D0F">
        <w:t>mi</w:t>
      </w:r>
      <w:r w:rsidRPr="00D31D0F">
        <w:rPr>
          <w:rFonts w:hint="eastAsia"/>
        </w:rPr>
        <w:t>á</w:t>
      </w:r>
      <w:r w:rsidRPr="00D31D0F">
        <w:t>s hat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t. Azonban annak biztons</w:t>
      </w:r>
      <w:r w:rsidRPr="00D31D0F">
        <w:rPr>
          <w:rFonts w:hint="eastAsia"/>
        </w:rPr>
        <w:t>á</w:t>
      </w:r>
      <w:r w:rsidRPr="00D31D0F">
        <w:t>goss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 xml:space="preserve">t </w:t>
      </w:r>
      <w:r w:rsidRPr="00D31D0F">
        <w:rPr>
          <w:rFonts w:hint="eastAsia"/>
        </w:rPr>
        <w:t>é</w:t>
      </w:r>
      <w:r w:rsidRPr="00D31D0F">
        <w:t>s hat</w:t>
      </w:r>
      <w:r w:rsidRPr="00D31D0F">
        <w:rPr>
          <w:rFonts w:hint="eastAsia"/>
        </w:rPr>
        <w:t>á</w:t>
      </w:r>
      <w:r w:rsidRPr="00D31D0F">
        <w:t>soss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>t nem hat</w:t>
      </w:r>
      <w:r w:rsidRPr="00D31D0F">
        <w:rPr>
          <w:rFonts w:hint="eastAsia"/>
        </w:rPr>
        <w:t>á</w:t>
      </w:r>
      <w:r w:rsidRPr="00D31D0F">
        <w:t>rozt</w:t>
      </w:r>
      <w:r w:rsidRPr="00D31D0F">
        <w:rPr>
          <w:rFonts w:hint="eastAsia"/>
        </w:rPr>
        <w:t>á</w:t>
      </w:r>
      <w:r w:rsidRPr="00D31D0F">
        <w:t>k</w:t>
      </w:r>
      <w:r>
        <w:t xml:space="preserve"> </w:t>
      </w:r>
      <w:r w:rsidRPr="00D31D0F">
        <w:t>meg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(l</w:t>
      </w:r>
      <w:r w:rsidRPr="00D31D0F">
        <w:rPr>
          <w:rFonts w:hint="eastAsia"/>
        </w:rPr>
        <w:t>á</w:t>
      </w:r>
      <w:r w:rsidRPr="00D31D0F">
        <w:t>sd az andexanet-alfa alkalmaz</w:t>
      </w:r>
      <w:r w:rsidRPr="00D31D0F">
        <w:rPr>
          <w:rFonts w:hint="eastAsia"/>
        </w:rPr>
        <w:t>á</w:t>
      </w:r>
      <w:r w:rsidRPr="00D31D0F">
        <w:t>si el</w:t>
      </w:r>
      <w:r w:rsidRPr="00D31D0F">
        <w:rPr>
          <w:rFonts w:hint="eastAsia"/>
        </w:rPr>
        <w:t>őí</w:t>
      </w:r>
      <w:r w:rsidRPr="00D31D0F">
        <w:t>r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t). Friss fagyasztott</w:t>
      </w:r>
      <w:r>
        <w:t xml:space="preserve"> </w:t>
      </w:r>
      <w:r w:rsidRPr="00D31D0F">
        <w:t>plazma transzf</w:t>
      </w:r>
      <w:r w:rsidRPr="00D31D0F">
        <w:rPr>
          <w:rFonts w:hint="eastAsia"/>
        </w:rPr>
        <w:t>ú</w:t>
      </w:r>
      <w:r w:rsidRPr="00D31D0F">
        <w:t>zi</w:t>
      </w:r>
      <w:r w:rsidRPr="00D31D0F">
        <w:rPr>
          <w:rFonts w:hint="eastAsia"/>
        </w:rPr>
        <w:t>ó</w:t>
      </w:r>
      <w:r w:rsidRPr="00D31D0F">
        <w:t>ja, prothrombin komplex koncentr</w:t>
      </w:r>
      <w:r w:rsidRPr="00D31D0F">
        <w:rPr>
          <w:rFonts w:hint="eastAsia"/>
        </w:rPr>
        <w:t>á</w:t>
      </w:r>
      <w:r w:rsidRPr="00D31D0F">
        <w:t>tumok (PCC) alkalmaz</w:t>
      </w:r>
      <w:r w:rsidRPr="00D31D0F">
        <w:rPr>
          <w:rFonts w:hint="eastAsia"/>
        </w:rPr>
        <w:t>á</w:t>
      </w:r>
      <w:r w:rsidRPr="00D31D0F">
        <w:t>sa vagy rekombin</w:t>
      </w:r>
      <w:r w:rsidRPr="00D31D0F">
        <w:rPr>
          <w:rFonts w:hint="eastAsia"/>
        </w:rPr>
        <w:t>á</w:t>
      </w:r>
      <w:r w:rsidRPr="00D31D0F">
        <w:t>ns</w:t>
      </w:r>
      <w:r>
        <w:t xml:space="preserve"> </w:t>
      </w:r>
      <w:r w:rsidRPr="00D31D0F">
        <w:t>VIIa faktor alkalmaz</w:t>
      </w:r>
      <w:r w:rsidRPr="00D31D0F">
        <w:rPr>
          <w:rFonts w:hint="eastAsia"/>
        </w:rPr>
        <w:t>á</w:t>
      </w:r>
      <w:r w:rsidRPr="00D31D0F">
        <w:t>sa is m</w:t>
      </w:r>
      <w:r w:rsidRPr="00D31D0F">
        <w:rPr>
          <w:rFonts w:hint="eastAsia"/>
        </w:rPr>
        <w:t>é</w:t>
      </w:r>
      <w:r w:rsidRPr="00D31D0F">
        <w:t>rlegelhet</w:t>
      </w:r>
      <w:r w:rsidRPr="00D31D0F">
        <w:rPr>
          <w:rFonts w:hint="eastAsia"/>
        </w:rPr>
        <w:t>ő</w:t>
      </w:r>
      <w:r w:rsidRPr="00D31D0F">
        <w:t>. Azonban nincs klinikai tapasztalat a 4 faktor</w:t>
      </w:r>
      <w:r w:rsidRPr="00D31D0F">
        <w:rPr>
          <w:rFonts w:hint="eastAsia"/>
        </w:rPr>
        <w:t>ú</w:t>
      </w:r>
      <w:r w:rsidRPr="00D31D0F">
        <w:t xml:space="preserve"> PCC</w:t>
      </w:r>
      <w:r w:rsidR="000F3B95">
        <w:t>-</w:t>
      </w:r>
      <w:r w:rsidRPr="00D31D0F">
        <w:t>k</w:t>
      </w:r>
      <w:r w:rsidRPr="00D31D0F">
        <w:rPr>
          <w:rFonts w:hint="eastAsia"/>
        </w:rPr>
        <w:t>é</w:t>
      </w:r>
      <w:r w:rsidRPr="00D31D0F">
        <w:t>sz</w:t>
      </w:r>
      <w:r w:rsidRPr="00D31D0F">
        <w:rPr>
          <w:rFonts w:hint="eastAsia"/>
        </w:rPr>
        <w:t>í</w:t>
      </w:r>
      <w:r w:rsidRPr="00D31D0F">
        <w:t>tm</w:t>
      </w:r>
      <w:r w:rsidRPr="00D31D0F">
        <w:rPr>
          <w:rFonts w:hint="eastAsia"/>
        </w:rPr>
        <w:t>é</w:t>
      </w:r>
      <w:r w:rsidRPr="00D31D0F">
        <w:t>nyek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a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 visszaford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ra vonatkoz</w:t>
      </w:r>
      <w:r w:rsidRPr="00D31D0F">
        <w:rPr>
          <w:rFonts w:hint="eastAsia"/>
        </w:rPr>
        <w:t>ó</w:t>
      </w:r>
      <w:r w:rsidRPr="00D31D0F">
        <w:t>an apixab</w:t>
      </w:r>
      <w:r w:rsidRPr="00D31D0F">
        <w:rPr>
          <w:rFonts w:hint="eastAsia"/>
        </w:rPr>
        <w:t>á</w:t>
      </w:r>
      <w:r w:rsidRPr="00D31D0F">
        <w:t>nt kap</w:t>
      </w:r>
      <w:r w:rsidRPr="00D31D0F">
        <w:rPr>
          <w:rFonts w:hint="eastAsia"/>
        </w:rPr>
        <w:t>ó</w:t>
      </w:r>
      <w:r w:rsidRPr="00D31D0F">
        <w:t xml:space="preserve">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rPr>
          <w:rFonts w:cs="Times New Roman"/>
          <w:lang w:bidi="hu-HU"/>
        </w:rPr>
        <w:t>serd</w:t>
      </w:r>
      <w:r w:rsidRPr="00D31D0F">
        <w:rPr>
          <w:rFonts w:cs="Times New Roman" w:hint="eastAsia"/>
          <w:lang w:bidi="hu-HU"/>
        </w:rPr>
        <w:t>ü</w:t>
      </w:r>
      <w:r w:rsidRPr="00D31D0F">
        <w:rPr>
          <w:rFonts w:cs="Times New Roman"/>
          <w:lang w:bidi="hu-HU"/>
        </w:rPr>
        <w:t>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l, valamint feln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ttekn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l.</w:t>
      </w:r>
    </w:p>
    <w:p w14:paraId="13A01B08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4640462E" w14:textId="441F90A1" w:rsidR="00B62AE4" w:rsidRPr="000149DA" w:rsidRDefault="00523F8D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h</w:t>
      </w:r>
      <w:r w:rsidR="004400C9" w:rsidRPr="000149DA">
        <w:rPr>
          <w:rFonts w:cs="Times New Roman"/>
          <w:u w:val="single"/>
        </w:rPr>
        <w:t>aemostasist befolyásoló egyéb gyógyszerekkel létrejövő k</w:t>
      </w:r>
      <w:r w:rsidR="00B62AE4" w:rsidRPr="000149DA">
        <w:rPr>
          <w:rFonts w:cs="Times New Roman"/>
          <w:u w:val="single"/>
        </w:rPr>
        <w:t>ölcsönhatás</w:t>
      </w:r>
    </w:p>
    <w:p w14:paraId="357BD0D6" w14:textId="33A347CC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A vérzés fokozott kockázata miatt bármilyen más antikoagulánssal végzett egyidejű kezelés</w:t>
      </w:r>
      <w:r w:rsidR="004400C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ellenjavallt (lásd 4.3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076C38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39CF8F50" w14:textId="077DA8A4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thrombocyta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gátló szerek egyidejű alkalmazása növeli a vérzés kockázatát (lásd 4.5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B9CA4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491D3F1" w14:textId="280BFAAE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Elővigyázatosság szükséges, ha a</w:t>
      </w:r>
      <w:r w:rsidR="00463B31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egyidejűleg szelektív szerotonin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visszavételt gátló szerekkel (SSRI-k) vagy szerotonin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noradrenalin</w:t>
      </w:r>
      <w:r w:rsidR="00523F8D" w:rsidRPr="000149DA">
        <w:rPr>
          <w:rFonts w:cs="Times New Roman"/>
        </w:rPr>
        <w:noBreakHyphen/>
      </w:r>
      <w:r w:rsidRPr="000149DA">
        <w:rPr>
          <w:rFonts w:cs="Times New Roman"/>
        </w:rPr>
        <w:t>visszavételt gátló szerekkel (SNRI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k) vagy nem</w:t>
      </w:r>
      <w:r w:rsidR="00EE4084" w:rsidRPr="000149DA">
        <w:rPr>
          <w:rFonts w:cs="Times New Roman"/>
        </w:rPr>
        <w:t>-</w:t>
      </w:r>
      <w:r w:rsidRPr="000149DA">
        <w:rPr>
          <w:rFonts w:cs="Times New Roman"/>
        </w:rPr>
        <w:t xml:space="preserve">szteroid gyulladáscsökkentő </w:t>
      </w:r>
      <w:r w:rsidR="009F3201" w:rsidRPr="000149DA">
        <w:rPr>
          <w:rFonts w:cs="Times New Roman"/>
        </w:rPr>
        <w:t>gyógy</w:t>
      </w:r>
      <w:r w:rsidRPr="000149DA">
        <w:rPr>
          <w:rFonts w:cs="Times New Roman"/>
        </w:rPr>
        <w:t xml:space="preserve">szerekkel </w:t>
      </w:r>
      <w:r w:rsidR="004400C9" w:rsidRPr="000149DA">
        <w:rPr>
          <w:rFonts w:cs="Times New Roman"/>
        </w:rPr>
        <w:t>(NSAD</w:t>
      </w:r>
      <w:r w:rsidR="004400C9" w:rsidRPr="000149DA">
        <w:rPr>
          <w:rFonts w:cs="Times New Roman"/>
        </w:rPr>
        <w:noBreakHyphen/>
        <w:t xml:space="preserve">ok) </w:t>
      </w:r>
      <w:r w:rsidRPr="000149DA">
        <w:rPr>
          <w:rFonts w:cs="Times New Roman"/>
        </w:rPr>
        <w:t>kezelik, beleértve az acetilszalicilsavat is.</w:t>
      </w:r>
    </w:p>
    <w:p w14:paraId="197CAFB3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5F6D3646" w14:textId="51365215" w:rsidR="00B62AE4" w:rsidRPr="000149DA" w:rsidRDefault="00745F22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 xml:space="preserve">űtét után </w:t>
      </w: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</w:t>
      </w:r>
      <w:r w:rsidR="00B62AE4" w:rsidRPr="000149DA">
        <w:rPr>
          <w:rFonts w:cs="Times New Roman"/>
        </w:rPr>
        <w:t>más thrombocyta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gátlók egyidejű alkalmazása nem javasolt (lásd 4.5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7BC809D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442FA62C" w14:textId="37482F00" w:rsidR="00B62AE4" w:rsidRPr="000149DA" w:rsidRDefault="0052789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P</w:t>
      </w:r>
      <w:r w:rsidR="00B62AE4" w:rsidRPr="000149DA">
        <w:rPr>
          <w:rFonts w:cs="Times New Roman"/>
        </w:rPr>
        <w:t>itvarfibrillációban</w:t>
      </w:r>
      <w:r w:rsidR="00463B31" w:rsidRPr="000149DA">
        <w:rPr>
          <w:rFonts w:cs="Times New Roman"/>
        </w:rPr>
        <w:t>, valamint</w:t>
      </w:r>
      <w:r w:rsidR="00B62AE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olyan állapotokban szenvedő betegeknél, akiknél </w:t>
      </w:r>
      <w:r w:rsidR="00463B31" w:rsidRPr="000149DA">
        <w:rPr>
          <w:rFonts w:cs="Times New Roman"/>
        </w:rPr>
        <w:t>egy vagy két szerből kombinált thrombocyta</w:t>
      </w:r>
      <w:r w:rsidR="00463B31" w:rsidRPr="000149DA">
        <w:rPr>
          <w:rFonts w:cs="Times New Roman"/>
        </w:rPr>
        <w:noBreakHyphen/>
        <w:t>aggregáció</w:t>
      </w:r>
      <w:r w:rsidR="00463B31" w:rsidRPr="000149DA">
        <w:rPr>
          <w:rFonts w:cs="Times New Roman"/>
        </w:rPr>
        <w:noBreakHyphen/>
        <w:t>gátló</w:t>
      </w:r>
      <w:r w:rsidR="00523F8D" w:rsidRPr="000149DA">
        <w:rPr>
          <w:rFonts w:cs="Times New Roman"/>
        </w:rPr>
        <w:t xml:space="preserve">val végzett </w:t>
      </w:r>
      <w:r w:rsidR="00463B31" w:rsidRPr="000149DA">
        <w:rPr>
          <w:rFonts w:cs="Times New Roman"/>
        </w:rPr>
        <w:t>kezelés</w:t>
      </w:r>
      <w:r w:rsidRPr="000149DA">
        <w:rPr>
          <w:rFonts w:cs="Times New Roman"/>
        </w:rPr>
        <w:t xml:space="preserve"> válik indokolttá</w:t>
      </w:r>
      <w:r w:rsidR="00B62AE4" w:rsidRPr="000149DA">
        <w:rPr>
          <w:rFonts w:cs="Times New Roman"/>
        </w:rPr>
        <w:t xml:space="preserve">, </w:t>
      </w: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apixabánnal</w:t>
      </w:r>
      <w:r w:rsidRPr="000149DA">
        <w:rPr>
          <w:rFonts w:cs="Times New Roman"/>
        </w:rPr>
        <w:t xml:space="preserve"> kombinált alkalmazás előtt az ilyen </w:t>
      </w:r>
      <w:r w:rsidR="00B62AE4" w:rsidRPr="000149DA">
        <w:rPr>
          <w:rFonts w:cs="Times New Roman"/>
        </w:rPr>
        <w:t xml:space="preserve">kezelés </w:t>
      </w:r>
      <w:r w:rsidRPr="000149DA">
        <w:rPr>
          <w:rFonts w:cs="Times New Roman"/>
        </w:rPr>
        <w:t>lehetséges</w:t>
      </w:r>
      <w:r w:rsidR="00B62AE4" w:rsidRPr="000149DA">
        <w:rPr>
          <w:rFonts w:cs="Times New Roman"/>
        </w:rPr>
        <w:t xml:space="preserve"> előnyeit gondosan mérlegelni kell a potenciális kockázatokkal szemben</w:t>
      </w:r>
      <w:r w:rsidRPr="000149DA">
        <w:rPr>
          <w:rFonts w:cs="Times New Roman"/>
        </w:rPr>
        <w:t>.</w:t>
      </w:r>
    </w:p>
    <w:p w14:paraId="7306D10E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78EF594" w14:textId="60FC82C6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pitvarfibrillációban szenvedő</w:t>
      </w:r>
      <w:r w:rsidR="00752FD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ekkel végzett klinikai vizsgálatban acetilszalicilsav egyidejű alkalmazása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D126EC" w:rsidRPr="000149DA">
        <w:rPr>
          <w:rFonts w:cs="Times New Roman"/>
        </w:rPr>
        <w:t xml:space="preserve"> </w:t>
      </w:r>
      <w:r w:rsidR="00D31D0F">
        <w:rPr>
          <w:rFonts w:cs="Times New Roman"/>
        </w:rPr>
        <w:t xml:space="preserve">felnőtt </w:t>
      </w:r>
      <w:r w:rsidR="00D126EC" w:rsidRPr="000149DA">
        <w:rPr>
          <w:rFonts w:cs="Times New Roman"/>
        </w:rPr>
        <w:t xml:space="preserve">betegeknél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enkénti 1,8%</w:t>
      </w:r>
      <w:r w:rsidR="00403F49" w:rsidRPr="000149DA">
        <w:rPr>
          <w:rFonts w:cs="Times New Roman"/>
        </w:rPr>
        <w:noBreakHyphen/>
      </w:r>
      <w:r w:rsidRPr="000149DA">
        <w:rPr>
          <w:rFonts w:cs="Times New Roman"/>
        </w:rPr>
        <w:t>ról</w:t>
      </w:r>
      <w:r w:rsidR="00D126EC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 3,4%</w:t>
      </w:r>
      <w:r w:rsidR="00403F49" w:rsidRPr="000149DA">
        <w:rPr>
          <w:rFonts w:cs="Times New Roman"/>
        </w:rPr>
        <w:noBreakHyphen/>
      </w:r>
      <w:r w:rsidRPr="000149DA">
        <w:rPr>
          <w:rFonts w:cs="Times New Roman"/>
        </w:rPr>
        <w:t>ra növelte a nagyfokú vérzés kockázatát, a warfarint kapó</w:t>
      </w:r>
      <w:r w:rsidR="00D126EC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D126EC" w:rsidRPr="000149DA">
        <w:rPr>
          <w:rFonts w:cs="Times New Roman"/>
        </w:rPr>
        <w:t xml:space="preserve"> pedig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enkénti 2,7%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>ról</w:t>
      </w:r>
      <w:r w:rsidR="00D126EC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 4,6%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ra növelte a vérzés kockázatát. Ebben a klinikai vizsgálatban az egyidejűleg </w:t>
      </w:r>
      <w:r w:rsidR="00D126EC" w:rsidRPr="000149DA">
        <w:rPr>
          <w:rFonts w:cs="Times New Roman"/>
        </w:rPr>
        <w:t>adott</w:t>
      </w:r>
      <w:r w:rsidRPr="000149DA">
        <w:rPr>
          <w:rFonts w:cs="Times New Roman"/>
        </w:rPr>
        <w:t xml:space="preserve"> kettős thrombocyta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D126EC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D126EC" w:rsidRPr="000149DA">
        <w:rPr>
          <w:rFonts w:cs="Times New Roman"/>
        </w:rPr>
        <w:noBreakHyphen/>
      </w:r>
      <w:r w:rsidR="001D499A" w:rsidRPr="000149DA">
        <w:rPr>
          <w:rFonts w:cs="Times New Roman"/>
        </w:rPr>
        <w:t xml:space="preserve">terápiát korlátozottan (2,1%) </w:t>
      </w:r>
      <w:r w:rsidRPr="000149DA">
        <w:rPr>
          <w:rFonts w:cs="Times New Roman"/>
        </w:rPr>
        <w:t>alkalmaz</w:t>
      </w:r>
      <w:r w:rsidR="001D499A" w:rsidRPr="000149DA">
        <w:rPr>
          <w:rFonts w:cs="Times New Roman"/>
        </w:rPr>
        <w:t>ták</w:t>
      </w:r>
      <w:r w:rsidRPr="000149DA">
        <w:rPr>
          <w:rFonts w:cs="Times New Roman"/>
        </w:rPr>
        <w:t xml:space="preserve">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2701364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0664DFA" w14:textId="7D8F376A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klinikai vizsgálatba olyan pitvarfibrillációban szenvedő</w:t>
      </w:r>
      <w:r w:rsidR="00522CA0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vontak be, akiknek akut coronaria szindrómájuk volt és/vagy</w:t>
      </w:r>
      <w:r w:rsidR="007015D3" w:rsidRPr="000149DA">
        <w:rPr>
          <w:rFonts w:cs="Times New Roman"/>
        </w:rPr>
        <w:t xml:space="preserve"> percutan coronaria intervención (</w:t>
      </w:r>
      <w:r w:rsidRPr="000149DA">
        <w:rPr>
          <w:rFonts w:cs="Times New Roman"/>
        </w:rPr>
        <w:t>PCI</w:t>
      </w:r>
      <w:r w:rsidR="007015D3" w:rsidRPr="000149DA">
        <w:rPr>
          <w:rFonts w:cs="Times New Roman"/>
        </w:rPr>
        <w:t>)</w:t>
      </w:r>
      <w:r w:rsidRPr="000149DA">
        <w:rPr>
          <w:rFonts w:cs="Times New Roman"/>
        </w:rPr>
        <w:t xml:space="preserve"> estek át, és </w:t>
      </w:r>
      <w:r w:rsidR="00E72F27" w:rsidRPr="000149DA">
        <w:rPr>
          <w:rFonts w:cs="Times New Roman"/>
        </w:rPr>
        <w:t xml:space="preserve">6 hónapig </w:t>
      </w:r>
      <w:r w:rsidRPr="000149DA">
        <w:rPr>
          <w:rFonts w:cs="Times New Roman"/>
        </w:rPr>
        <w:t>tervezetten P2Y12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1D499A" w:rsidRPr="000149DA">
        <w:rPr>
          <w:rFonts w:cs="Times New Roman"/>
        </w:rPr>
        <w:noBreakHyphen/>
      </w:r>
      <w:r w:rsidRPr="000149DA">
        <w:rPr>
          <w:rFonts w:cs="Times New Roman"/>
        </w:rPr>
        <w:t>kezelést kaptak acetilszalicilsavval együtt vagy anélkül, valamint orális antikoagulánst (</w:t>
      </w:r>
      <w:r w:rsidR="00D6140D" w:rsidRPr="000149DA">
        <w:rPr>
          <w:rFonts w:cs="Times New Roman"/>
        </w:rPr>
        <w:t>apixabán</w:t>
      </w:r>
      <w:r w:rsidR="001D499A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 vagy</w:t>
      </w:r>
      <w:r w:rsidR="007015D3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K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antagonist</w:t>
      </w:r>
      <w:r w:rsidR="001D499A" w:rsidRPr="000149DA">
        <w:rPr>
          <w:rFonts w:cs="Times New Roman"/>
        </w:rPr>
        <w:t>át</w:t>
      </w:r>
      <w:r w:rsidRPr="000149DA">
        <w:rPr>
          <w:rFonts w:cs="Times New Roman"/>
        </w:rPr>
        <w:t>). Az acetilszalicilsav együttes alkalmazása</w:t>
      </w:r>
      <w:r w:rsidR="001D499A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ente 16,4%-ról</w:t>
      </w:r>
      <w:r w:rsidR="001D499A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ente 33,1%</w:t>
      </w:r>
      <w:r w:rsidR="001222C3" w:rsidRPr="000149DA">
        <w:rPr>
          <w:rFonts w:cs="Times New Roman"/>
        </w:rPr>
        <w:noBreakHyphen/>
      </w:r>
      <w:r w:rsidRPr="000149DA">
        <w:rPr>
          <w:rFonts w:cs="Times New Roman"/>
        </w:rPr>
        <w:t>ra növelte a</w:t>
      </w:r>
      <w:r w:rsidR="00A6523A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 </w:t>
      </w:r>
      <w:r w:rsidR="00A6523A" w:rsidRPr="000149DA">
        <w:rPr>
          <w:rFonts w:cs="Times New Roman"/>
        </w:rPr>
        <w:t xml:space="preserve">ISTH </w:t>
      </w:r>
      <w:r w:rsidRPr="000149DA">
        <w:rPr>
          <w:rFonts w:cs="Times New Roman"/>
        </w:rPr>
        <w:t>(</w:t>
      </w:r>
      <w:r w:rsidR="00A6523A" w:rsidRPr="000149DA">
        <w:rPr>
          <w:rFonts w:cs="Times New Roman"/>
        </w:rPr>
        <w:t>International Society on Thrombosis and Hemostasis</w:t>
      </w:r>
      <w:r w:rsidR="00AB7F26" w:rsidRPr="000149DA">
        <w:rPr>
          <w:rFonts w:cs="Times New Roman"/>
        </w:rPr>
        <w:t>,</w:t>
      </w:r>
      <w:r w:rsidR="00A6523A" w:rsidRPr="000149DA">
        <w:rPr>
          <w:rFonts w:cs="Times New Roman"/>
        </w:rPr>
        <w:t xml:space="preserve"> Nemzetközi Thrombosis és Haemostasis Társaság</w:t>
      </w:r>
      <w:r w:rsidRPr="000149DA">
        <w:rPr>
          <w:rFonts w:cs="Times New Roman"/>
        </w:rPr>
        <w:t xml:space="preserve">) definíciója szerinti nagyfokú vagy </w:t>
      </w:r>
      <w:r w:rsidR="00A6523A" w:rsidRPr="000149DA">
        <w:rPr>
          <w:rFonts w:cs="Times New Roman"/>
        </w:rPr>
        <w:t xml:space="preserve">klinikailag releváns, nem nagyfokú </w:t>
      </w:r>
      <w:r w:rsidRPr="000149DA">
        <w:rPr>
          <w:rFonts w:cs="Times New Roman"/>
        </w:rPr>
        <w:t>(</w:t>
      </w:r>
      <w:r w:rsidR="00AB7F26" w:rsidRPr="000149DA">
        <w:rPr>
          <w:rFonts w:cs="Times New Roman"/>
        </w:rPr>
        <w:t xml:space="preserve">CRNM, </w:t>
      </w:r>
      <w:r w:rsidR="00A6523A" w:rsidRPr="000149DA">
        <w:rPr>
          <w:rFonts w:cs="Times New Roman"/>
        </w:rPr>
        <w:t>Clinically Relevant Non-Major</w:t>
      </w:r>
      <w:r w:rsidRPr="000149DA">
        <w:rPr>
          <w:rFonts w:cs="Times New Roman"/>
        </w:rPr>
        <w:t xml:space="preserve">) vérzés kockázatát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1222C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4FCA5B91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127AB29" w14:textId="15CCBD0F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nagy kockázatú poszt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akut coronaria szindrómás, pitvarfibrillációban nem szenvedő</w:t>
      </w:r>
      <w:r w:rsidR="007015D3" w:rsidRPr="000149DA">
        <w:rPr>
          <w:rFonts w:cs="Times New Roman"/>
        </w:rPr>
        <w:t xml:space="preserve"> betegekkel</w:t>
      </w:r>
      <w:r w:rsidRPr="000149DA">
        <w:rPr>
          <w:rFonts w:cs="Times New Roman"/>
        </w:rPr>
        <w:t xml:space="preserve"> végzett klinikai vizsgálatban, ahol a</w:t>
      </w:r>
      <w:r w:rsidR="007015D3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többszörös cardialis és nem cardialis kísérőbetegségek jellemezték, és acetilszalicilsavat vagy acetilszalicilsav és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l kombinációt kaptak, az ISTH definíciója szerinti nagyfokú vérzés kockázatának jelentős emelkedéséről számoltak be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eseté</w:t>
      </w:r>
      <w:r w:rsidR="00AB7F26" w:rsidRPr="000149DA">
        <w:rPr>
          <w:rFonts w:cs="Times New Roman"/>
        </w:rPr>
        <w:t>be</w:t>
      </w:r>
      <w:r w:rsidRPr="000149DA">
        <w:rPr>
          <w:rFonts w:cs="Times New Roman"/>
        </w:rPr>
        <w:t>n (5,13%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ente) a placebóhoz képest (2,04%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ente).</w:t>
      </w:r>
    </w:p>
    <w:p w14:paraId="09DE0370" w14:textId="77777777" w:rsidR="00B62AE4" w:rsidRDefault="00B62AE4" w:rsidP="00B62AE4">
      <w:pPr>
        <w:pStyle w:val="Nincstrkz"/>
        <w:rPr>
          <w:rFonts w:cs="Times New Roman"/>
        </w:rPr>
      </w:pPr>
    </w:p>
    <w:p w14:paraId="276B0504" w14:textId="7FF7A321" w:rsidR="00D31D0F" w:rsidRDefault="00D31D0F" w:rsidP="00D31D0F">
      <w:pPr>
        <w:pStyle w:val="Nincstrkz"/>
        <w:rPr>
          <w:rFonts w:cs="Times New Roman"/>
        </w:rPr>
      </w:pPr>
      <w:r w:rsidRPr="00D31D0F">
        <w:t>A CV185325 vizsg</w:t>
      </w:r>
      <w:r w:rsidRPr="00D31D0F">
        <w:rPr>
          <w:rFonts w:hint="eastAsia"/>
        </w:rPr>
        <w:t>á</w:t>
      </w:r>
      <w:r w:rsidRPr="00D31D0F">
        <w:t>latban nem jelentettek klinikailag jelent</w:t>
      </w:r>
      <w:r w:rsidRPr="00D31D0F">
        <w:rPr>
          <w:rFonts w:hint="eastAsia"/>
        </w:rPr>
        <w:t>ő</w:t>
      </w:r>
      <w:r w:rsidRPr="00D31D0F">
        <w:t>s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ses esem</w:t>
      </w:r>
      <w:r w:rsidRPr="00D31D0F">
        <w:rPr>
          <w:rFonts w:hint="eastAsia"/>
        </w:rPr>
        <w:t>é</w:t>
      </w:r>
      <w:r w:rsidRPr="00D31D0F">
        <w:t>nyt a</w:t>
      </w:r>
      <w:r>
        <w:t xml:space="preserve"> </w:t>
      </w:r>
      <w:r w:rsidRPr="00D31D0F">
        <w:t>12 gyermekgy</w:t>
      </w:r>
      <w:r w:rsidRPr="00D31D0F">
        <w:rPr>
          <w:rFonts w:hint="eastAsia"/>
        </w:rPr>
        <w:t>ó</w:t>
      </w:r>
      <w:r w:rsidRPr="00D31D0F">
        <w:t>gy</w:t>
      </w:r>
      <w:r w:rsidRPr="00D31D0F">
        <w:rPr>
          <w:rFonts w:hint="eastAsia"/>
        </w:rPr>
        <w:t>á</w:t>
      </w:r>
      <w:r w:rsidRPr="00D31D0F">
        <w:t>szati betegn</w:t>
      </w:r>
      <w:r w:rsidRPr="00D31D0F">
        <w:rPr>
          <w:rFonts w:hint="eastAsia"/>
        </w:rPr>
        <w:t>é</w:t>
      </w:r>
      <w:r w:rsidRPr="00D31D0F">
        <w:t>l, akiket egy</w:t>
      </w:r>
      <w:r w:rsidRPr="00D31D0F">
        <w:rPr>
          <w:rFonts w:hint="eastAsia"/>
        </w:rPr>
        <w:t>ü</w:t>
      </w:r>
      <w:r w:rsidRPr="00D31D0F">
        <w:t>ttesen kezeltek apixab</w:t>
      </w:r>
      <w:r w:rsidRPr="00D31D0F">
        <w:rPr>
          <w:rFonts w:hint="eastAsia"/>
        </w:rPr>
        <w:t>á</w:t>
      </w:r>
      <w:r w:rsidRPr="00D31D0F">
        <w:t xml:space="preserve">nnal </w:t>
      </w:r>
      <w:r w:rsidRPr="00D31D0F">
        <w:rPr>
          <w:rFonts w:hint="eastAsia"/>
        </w:rPr>
        <w:t>é</w:t>
      </w:r>
      <w:r w:rsidRPr="00D31D0F">
        <w:t xml:space="preserve">s </w:t>
      </w:r>
      <w:r w:rsidR="000F3B95" w:rsidRPr="00CE275A">
        <w:rPr>
          <w:noProof/>
          <w:lang w:val="en-US"/>
        </w:rPr>
        <w:t>≤</w:t>
      </w:r>
      <w:r w:rsidRPr="00D31D0F">
        <w:t xml:space="preserve"> 165 mg/napi d</w:t>
      </w:r>
      <w:r w:rsidRPr="00D31D0F">
        <w:rPr>
          <w:rFonts w:hint="eastAsia"/>
        </w:rPr>
        <w:t>ó</w:t>
      </w:r>
      <w:r w:rsidRPr="00D31D0F">
        <w:t>zis</w:t>
      </w:r>
      <w:r w:rsidRPr="00D31D0F">
        <w:rPr>
          <w:rFonts w:hint="eastAsia"/>
        </w:rPr>
        <w:t>ú</w:t>
      </w:r>
      <w:r>
        <w:t xml:space="preserve"> </w:t>
      </w:r>
      <w:r w:rsidRPr="00D31D0F">
        <w:rPr>
          <w:rFonts w:cs="Times New Roman"/>
          <w:lang w:bidi="hu-HU"/>
        </w:rPr>
        <w:t>acetilszalicilsavval.</w:t>
      </w:r>
    </w:p>
    <w:p w14:paraId="27274A1F" w14:textId="77777777" w:rsidR="00D31D0F" w:rsidRPr="000149DA" w:rsidRDefault="00D31D0F" w:rsidP="00B62AE4">
      <w:pPr>
        <w:pStyle w:val="Nincstrkz"/>
        <w:rPr>
          <w:rFonts w:cs="Times New Roman"/>
        </w:rPr>
      </w:pPr>
    </w:p>
    <w:p w14:paraId="2536945D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Thrombolyticus szerek alkalmazása az akut ischaemiás stroke kezelésére</w:t>
      </w:r>
    </w:p>
    <w:p w14:paraId="39E681DC" w14:textId="6A7DB28D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AB7F2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akut ischaemiás stroke kezelés</w:t>
      </w:r>
      <w:r w:rsidR="00AB7F26" w:rsidRPr="000149DA">
        <w:rPr>
          <w:rFonts w:cs="Times New Roman"/>
        </w:rPr>
        <w:t>ében</w:t>
      </w:r>
      <w:r w:rsidRPr="000149DA">
        <w:rPr>
          <w:rFonts w:cs="Times New Roman"/>
        </w:rPr>
        <w:t xml:space="preserve"> nagyon korlátozott a </w:t>
      </w:r>
      <w:r w:rsidR="00AB7F26" w:rsidRPr="000149DA">
        <w:rPr>
          <w:rFonts w:cs="Times New Roman"/>
        </w:rPr>
        <w:t xml:space="preserve">thrombolyticus szerek alkalmazására vonatkozó </w:t>
      </w:r>
      <w:r w:rsidRPr="000149DA">
        <w:rPr>
          <w:rFonts w:cs="Times New Roman"/>
        </w:rPr>
        <w:t>tapasztalat (lásd 4.5</w:t>
      </w:r>
      <w:r w:rsidR="00B44192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5B10B91A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B99EEAB" w14:textId="09D45BE5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Billentyűprotézises</w:t>
      </w:r>
      <w:r w:rsidR="00AB7F26" w:rsidRPr="000149DA">
        <w:rPr>
          <w:rFonts w:cs="Times New Roman"/>
          <w:u w:val="single"/>
        </w:rPr>
        <w:t xml:space="preserve"> betegek</w:t>
      </w:r>
    </w:p>
    <w:p w14:paraId="4B65CFE4" w14:textId="5208A8CE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biztonságosságát és hatásosságát billentyűprotézises, pitvarfibrilláló vagy nem pitvarfibrilláló</w:t>
      </w:r>
      <w:r w:rsidR="00677AC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vizsgálták. Ezért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alkalmazása ebben az esetben nem javasolt.</w:t>
      </w:r>
    </w:p>
    <w:p w14:paraId="63899201" w14:textId="77777777" w:rsidR="00D31D0F" w:rsidRDefault="00D31D0F" w:rsidP="00771FF4">
      <w:pPr>
        <w:pStyle w:val="Nincstrkz"/>
        <w:rPr>
          <w:rFonts w:cs="Times New Roman"/>
        </w:rPr>
      </w:pPr>
    </w:p>
    <w:p w14:paraId="4FEA9603" w14:textId="476D6865" w:rsidR="00D31D0F" w:rsidRPr="000149DA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Az apixabánt nem vizsgálták billentyű-protézissel rendelkező gyermekeknél és serdülőknél, ezért az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apixabán alkalmazása náluk nem javasolt.</w:t>
      </w:r>
    </w:p>
    <w:p w14:paraId="1BE53965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43D789D2" w14:textId="0A2BD5B8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Antifoszfolipid szindrómában szenvedő</w:t>
      </w:r>
      <w:r w:rsidR="00677AC6" w:rsidRPr="000149DA">
        <w:rPr>
          <w:rFonts w:cs="Times New Roman"/>
          <w:u w:val="single"/>
        </w:rPr>
        <w:t xml:space="preserve"> betegek</w:t>
      </w:r>
    </w:p>
    <w:p w14:paraId="3ECF049F" w14:textId="59A38575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direkt hatású orális antikoagulánsok (DOAC</w:t>
      </w:r>
      <w:r w:rsidR="00677AC6" w:rsidRPr="000149DA">
        <w:rPr>
          <w:rFonts w:cs="Times New Roman"/>
        </w:rPr>
        <w:t>, Direct acting Oral Anticoagulants</w:t>
      </w:r>
      <w:r w:rsidRPr="000149DA">
        <w:rPr>
          <w:rFonts w:cs="Times New Roman"/>
        </w:rPr>
        <w:t xml:space="preserve">), köztük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, nem javasoltak olyan, korábban thrombosison átesett</w:t>
      </w:r>
      <w:r w:rsidR="00677AC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akiknél antifoszfolipid szindrómát diagnosztizáltak. Különösen tripla pozitív</w:t>
      </w:r>
      <w:r w:rsidR="00677AC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(lupusz antikoaguláns, antikardiolipin antitestek és anti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béta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2</w:t>
      </w:r>
      <w:r w:rsidR="00677AC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glikoprotein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I antitestek) </w:t>
      </w:r>
      <w:r w:rsidR="00677AC6" w:rsidRPr="000149DA">
        <w:rPr>
          <w:rFonts w:cs="Times New Roman"/>
        </w:rPr>
        <w:t xml:space="preserve">betegeknél </w:t>
      </w:r>
      <w:r w:rsidRPr="000149DA">
        <w:rPr>
          <w:rFonts w:cs="Times New Roman"/>
        </w:rPr>
        <w:t>a DOAC</w:t>
      </w:r>
      <w:r w:rsidR="00677AC6" w:rsidRPr="000149DA">
        <w:rPr>
          <w:rFonts w:cs="Times New Roman"/>
        </w:rPr>
        <w:noBreakHyphen/>
      </w:r>
      <w:r w:rsidRPr="000149DA">
        <w:rPr>
          <w:rFonts w:cs="Times New Roman"/>
        </w:rPr>
        <w:t>kezelés visszatérő thromboticus események magasabb gyakoriságával társulhat a K-vitamin</w:t>
      </w:r>
      <w:r w:rsidR="00A707BE">
        <w:rPr>
          <w:rFonts w:cs="Times New Roman"/>
        </w:rPr>
        <w:t>-</w:t>
      </w:r>
      <w:r w:rsidRPr="000149DA">
        <w:rPr>
          <w:rFonts w:cs="Times New Roman"/>
        </w:rPr>
        <w:t>antagonistákhoz képest.</w:t>
      </w:r>
    </w:p>
    <w:p w14:paraId="26F11E9B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0B2FE7CB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Műtét és invazív beavatkozások</w:t>
      </w:r>
    </w:p>
    <w:p w14:paraId="47DC1529" w14:textId="3DA93EB6" w:rsidR="00B62AE4" w:rsidRPr="000149DA" w:rsidRDefault="00677AC6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="004D219C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 legalább 48 órával az e</w:t>
      </w:r>
      <w:r w:rsidR="00B62AE4" w:rsidRPr="000149DA">
        <w:rPr>
          <w:rFonts w:cs="Times New Roman"/>
        </w:rPr>
        <w:t xml:space="preserve">lektív műtét vagy invazív beavatkozások előtt </w:t>
      </w:r>
      <w:r w:rsidR="004D219C" w:rsidRPr="000149DA">
        <w:rPr>
          <w:rFonts w:cs="Times New Roman"/>
        </w:rPr>
        <w:t>le kell állítani</w:t>
      </w:r>
      <w:r w:rsidR="00B62AE4" w:rsidRPr="000149DA">
        <w:rPr>
          <w:rFonts w:cs="Times New Roman"/>
        </w:rPr>
        <w:t>. Ezek közé olyan beavatkozások tartoznak, amelyeknél a klinikailag jelentős vérzés kockázata nem zárható ki, vagy amelyeknél a vérzés kockázata elfogadhatatlan lehet.</w:t>
      </w:r>
    </w:p>
    <w:p w14:paraId="6124AB7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6D40CAA" w14:textId="20D7ACDA" w:rsidR="00B62AE4" w:rsidRPr="000149DA" w:rsidRDefault="004D219C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>t legalább 24 órával az a</w:t>
      </w:r>
      <w:r w:rsidR="00B62AE4" w:rsidRPr="000149DA">
        <w:rPr>
          <w:rFonts w:cs="Times New Roman"/>
        </w:rPr>
        <w:t xml:space="preserve">lacsony vérzési kockázattal járó elektív műtét vagy invazív beavatkozások előtt </w:t>
      </w:r>
      <w:r w:rsidRPr="000149DA">
        <w:rPr>
          <w:rFonts w:cs="Times New Roman"/>
        </w:rPr>
        <w:t>le kell állítani</w:t>
      </w:r>
      <w:r w:rsidR="00B62AE4" w:rsidRPr="000149DA">
        <w:rPr>
          <w:rFonts w:cs="Times New Roman"/>
        </w:rPr>
        <w:t>. Ezek közé olyan beavatkozások tartoznak, amelyeknél bármilyen előforduló vérzés várhatóan minimális, nem kritikus, és könnyen kontrollálható.</w:t>
      </w:r>
    </w:p>
    <w:p w14:paraId="1FF6B452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6706A1B" w14:textId="77777777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Ha a műtét vagy az invazív beavatkozások nem halaszthatók, megfelelő elővigyázatosság szükséges, és a vérzés fokozott kockázatát tekintetbe kell venni. A vérzés kockázatát mérlegelni kell a beavatkozás sürgősségével szemben.</w:t>
      </w:r>
    </w:p>
    <w:p w14:paraId="31A3701E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610EE5C" w14:textId="0D0EEDC8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="004D219C" w:rsidRPr="000149DA">
        <w:rPr>
          <w:rFonts w:cs="Times New Roman"/>
        </w:rPr>
        <w:t xml:space="preserve">t az </w:t>
      </w:r>
      <w:r w:rsidRPr="000149DA">
        <w:rPr>
          <w:rFonts w:cs="Times New Roman"/>
        </w:rPr>
        <w:t>invazív beavatkozás vagy sebészi beavatkozás után</w:t>
      </w:r>
      <w:r w:rsidR="004D219C" w:rsidRPr="000149DA">
        <w:rPr>
          <w:rFonts w:cs="Times New Roman"/>
        </w:rPr>
        <w:t xml:space="preserve"> a lehető leghamarabb újra el kell kezdeni</w:t>
      </w:r>
      <w:r w:rsidRPr="000149DA">
        <w:rPr>
          <w:rFonts w:cs="Times New Roman"/>
        </w:rPr>
        <w:t xml:space="preserve">, </w:t>
      </w:r>
      <w:r w:rsidR="004D219C" w:rsidRPr="000149DA">
        <w:rPr>
          <w:rFonts w:cs="Times New Roman"/>
        </w:rPr>
        <w:t>felté</w:t>
      </w:r>
      <w:r w:rsidR="00FE3006" w:rsidRPr="000149DA">
        <w:rPr>
          <w:rFonts w:cs="Times New Roman"/>
        </w:rPr>
        <w:t>ve</w:t>
      </w:r>
      <w:r w:rsidR="004D219C" w:rsidRPr="000149DA">
        <w:rPr>
          <w:rFonts w:cs="Times New Roman"/>
        </w:rPr>
        <w:t xml:space="preserve">, hogy </w:t>
      </w:r>
      <w:r w:rsidR="00FE3006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zt a klinikai szituáció lehetővé teszi, és </w:t>
      </w:r>
      <w:r w:rsidR="00FE3006" w:rsidRPr="000149DA">
        <w:rPr>
          <w:rFonts w:cs="Times New Roman"/>
        </w:rPr>
        <w:t xml:space="preserve">biztosított </w:t>
      </w:r>
      <w:r w:rsidRPr="000149DA">
        <w:rPr>
          <w:rFonts w:cs="Times New Roman"/>
        </w:rPr>
        <w:t>az adekvát haemostasis (kardioverzi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vonatkozóan lásd a 4.2</w:t>
      </w:r>
      <w:r w:rsidR="004D219C" w:rsidRPr="000149DA">
        <w:rPr>
          <w:rFonts w:cs="Times New Roman"/>
        </w:rPr>
        <w:t> pontot</w:t>
      </w:r>
      <w:r w:rsidRPr="000149DA">
        <w:rPr>
          <w:rFonts w:cs="Times New Roman"/>
        </w:rPr>
        <w:t>).</w:t>
      </w:r>
    </w:p>
    <w:p w14:paraId="329539DB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1D958C2" w14:textId="4715C4AA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Pitvarfibrilláció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miatt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katéteres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ablációban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részesülő</w:t>
      </w:r>
      <w:r w:rsidR="00FE3006" w:rsidRPr="000149DA">
        <w:rPr>
          <w:rFonts w:cs="Times New Roman"/>
          <w:w w:val="105"/>
        </w:rPr>
        <w:t xml:space="preserve"> betegeknél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nincs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szükség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7"/>
          <w:w w:val="105"/>
        </w:rPr>
        <w:t xml:space="preserve"> </w:t>
      </w:r>
      <w:r w:rsidR="009F3201" w:rsidRPr="000149DA">
        <w:rPr>
          <w:rFonts w:cs="Times New Roman"/>
          <w:w w:val="105"/>
        </w:rPr>
        <w:t>apixabán</w:t>
      </w:r>
      <w:r w:rsidR="00FE3006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>kezelés megszakítására (lásd 4.2, 4.3 és 4.5</w:t>
      </w:r>
      <w:r w:rsidR="00FE3006" w:rsidRPr="000149DA">
        <w:rPr>
          <w:rFonts w:cs="Times New Roman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2A2EC7EB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FB85A1C" w14:textId="153A170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kezelés átmeneti felfüggesztése</w:t>
      </w:r>
    </w:p>
    <w:p w14:paraId="3E65D8E9" w14:textId="48F98A6E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</w:t>
      </w:r>
      <w:r w:rsidR="00A55457" w:rsidRPr="000149DA">
        <w:rPr>
          <w:rFonts w:cs="Times New Roman"/>
        </w:rPr>
        <w:t xml:space="preserve"> </w:t>
      </w:r>
      <w:r w:rsidR="00FE3006" w:rsidRPr="000149DA">
        <w:rPr>
          <w:rFonts w:cs="Times New Roman"/>
        </w:rPr>
        <w:t xml:space="preserve">aktív vérzés, elektív műtét vagy invazív beavatkozások végzésekor adott </w:t>
      </w:r>
      <w:r w:rsidRPr="000149DA">
        <w:rPr>
          <w:rFonts w:cs="Times New Roman"/>
        </w:rPr>
        <w:t>antikoagulánsok, köztük az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8A41E6" w:rsidRPr="000149DA">
        <w:rPr>
          <w:rFonts w:cs="Times New Roman"/>
        </w:rPr>
        <w:t>leállítása a beteget a thrombosis fokozott kockázatának teszi ki. El kell kerülni</w:t>
      </w:r>
      <w:r w:rsidR="006462CC" w:rsidRPr="000149DA">
        <w:rPr>
          <w:rFonts w:cs="Times New Roman"/>
        </w:rPr>
        <w:t>, hogy ezeket a terápiákat a tervezettnél később végezzék el</w:t>
      </w:r>
      <w:r w:rsidRPr="000149DA">
        <w:rPr>
          <w:rFonts w:cs="Times New Roman"/>
        </w:rPr>
        <w:t xml:space="preserve">, és ha az </w:t>
      </w:r>
      <w:r w:rsidR="009F3201" w:rsidRPr="000149DA">
        <w:rPr>
          <w:rFonts w:cs="Times New Roman"/>
        </w:rPr>
        <w:t>apixabánnal</w:t>
      </w:r>
      <w:r w:rsidRPr="000149DA">
        <w:rPr>
          <w:rFonts w:cs="Times New Roman"/>
        </w:rPr>
        <w:t xml:space="preserve"> végzett antikoagulálást bármilyen okból átmenetileg </w:t>
      </w:r>
      <w:r w:rsidR="006462CC" w:rsidRPr="000149DA">
        <w:rPr>
          <w:rFonts w:cs="Times New Roman"/>
        </w:rPr>
        <w:t>le kell állítani</w:t>
      </w:r>
      <w:r w:rsidRPr="000149DA">
        <w:rPr>
          <w:rFonts w:cs="Times New Roman"/>
        </w:rPr>
        <w:t>, a kezelést amilyen hamar csak lehet, újra el kell kezdeni.</w:t>
      </w:r>
    </w:p>
    <w:p w14:paraId="73BCF28F" w14:textId="77777777" w:rsidR="00D31D0F" w:rsidRPr="000149DA" w:rsidRDefault="00D31D0F" w:rsidP="00771FF4">
      <w:pPr>
        <w:pStyle w:val="Nincstrkz"/>
        <w:rPr>
          <w:rFonts w:cs="Times New Roman"/>
        </w:rPr>
      </w:pPr>
    </w:p>
    <w:p w14:paraId="161ED204" w14:textId="37B6D471" w:rsidR="00D31D0F" w:rsidRPr="00304D8C" w:rsidRDefault="00D31D0F" w:rsidP="00D31D0F">
      <w:pPr>
        <w:pStyle w:val="Nincstrkz"/>
        <w:rPr>
          <w:u w:val="single"/>
        </w:rPr>
      </w:pPr>
      <w:r w:rsidRPr="00304D8C">
        <w:rPr>
          <w:u w:val="single"/>
        </w:rPr>
        <w:t>Spinal</w:t>
      </w:r>
      <w:r w:rsidR="00E247F1">
        <w:rPr>
          <w:u w:val="single"/>
        </w:rPr>
        <w:t>is</w:t>
      </w:r>
      <w:r w:rsidRPr="00304D8C">
        <w:rPr>
          <w:u w:val="single"/>
        </w:rPr>
        <w:t>/epiduralis anaesthesia vagy punctio</w:t>
      </w:r>
    </w:p>
    <w:p w14:paraId="57C95F0F" w14:textId="178A6057" w:rsidR="00D31D0F" w:rsidRPr="00D31D0F" w:rsidRDefault="00D31D0F" w:rsidP="00D31D0F">
      <w:pPr>
        <w:pStyle w:val="Nincstrkz"/>
      </w:pPr>
      <w:r w:rsidRPr="00D31D0F">
        <w:t>Neuraxialis anaesthesia (spinal/epiduralis anaesthesia) vagy lumbal/epiduralis punctio eset</w:t>
      </w:r>
      <w:r w:rsidRPr="00D31D0F">
        <w:rPr>
          <w:rFonts w:hint="eastAsia"/>
        </w:rPr>
        <w:t>é</w:t>
      </w:r>
      <w:r w:rsidRPr="00D31D0F">
        <w:t>n a</w:t>
      </w:r>
      <w:r>
        <w:t xml:space="preserve"> </w:t>
      </w:r>
      <w:r w:rsidRPr="00D31D0F">
        <w:t>thromboemboli</w:t>
      </w:r>
      <w:r w:rsidRPr="00D31D0F">
        <w:rPr>
          <w:rFonts w:hint="eastAsia"/>
        </w:rPr>
        <w:t>á</w:t>
      </w:r>
      <w:r w:rsidRPr="00D31D0F">
        <w:t>s sz</w:t>
      </w:r>
      <w:r w:rsidRPr="00D31D0F">
        <w:rPr>
          <w:rFonts w:hint="eastAsia"/>
        </w:rPr>
        <w:t>ö</w:t>
      </w:r>
      <w:r w:rsidRPr="00D31D0F">
        <w:t>v</w:t>
      </w:r>
      <w:r w:rsidRPr="00D31D0F">
        <w:rPr>
          <w:rFonts w:hint="eastAsia"/>
        </w:rPr>
        <w:t>ő</w:t>
      </w:r>
      <w:r w:rsidRPr="00D31D0F">
        <w:t>dm</w:t>
      </w:r>
      <w:r w:rsidRPr="00D31D0F">
        <w:rPr>
          <w:rFonts w:hint="eastAsia"/>
        </w:rPr>
        <w:t>é</w:t>
      </w:r>
      <w:r w:rsidRPr="00D31D0F">
        <w:t>nyek megel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é</w:t>
      </w:r>
      <w:r w:rsidRPr="00D31D0F">
        <w:t xml:space="preserve">se </w:t>
      </w:r>
      <w:r w:rsidRPr="00D31D0F">
        <w:rPr>
          <w:rFonts w:hint="eastAsia"/>
        </w:rPr>
        <w:t>é</w:t>
      </w:r>
      <w:r w:rsidRPr="00D31D0F">
        <w:t>rdek</w:t>
      </w:r>
      <w:r w:rsidRPr="00D31D0F">
        <w:rPr>
          <w:rFonts w:hint="eastAsia"/>
        </w:rPr>
        <w:t>é</w:t>
      </w:r>
      <w:r w:rsidRPr="00D31D0F">
        <w:t>ben antithromboticus szerekkel kezelt betegekn</w:t>
      </w:r>
      <w:r w:rsidRPr="00D31D0F">
        <w:rPr>
          <w:rFonts w:hint="eastAsia"/>
        </w:rPr>
        <w:t>é</w:t>
      </w:r>
      <w:r w:rsidRPr="00D31D0F">
        <w:t>l</w:t>
      </w:r>
      <w:r>
        <w:t xml:space="preserve"> </w:t>
      </w:r>
      <w:r w:rsidRPr="00D31D0F">
        <w:t>fenn</w:t>
      </w:r>
      <w:r w:rsidRPr="00D31D0F">
        <w:rPr>
          <w:rFonts w:hint="eastAsia"/>
        </w:rPr>
        <w:t>á</w:t>
      </w:r>
      <w:r w:rsidRPr="00D31D0F">
        <w:t>ll az epiduralis vagy spinalis haematoma kialakul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nak kock</w:t>
      </w:r>
      <w:r w:rsidRPr="00D31D0F">
        <w:rPr>
          <w:rFonts w:hint="eastAsia"/>
        </w:rPr>
        <w:t>á</w:t>
      </w:r>
      <w:r w:rsidRPr="00D31D0F">
        <w:t>zata, amely hosszan tart</w:t>
      </w:r>
      <w:r w:rsidRPr="00D31D0F">
        <w:rPr>
          <w:rFonts w:hint="eastAsia"/>
        </w:rPr>
        <w:t>ó</w:t>
      </w:r>
      <w:r w:rsidRPr="00D31D0F">
        <w:t xml:space="preserve"> vagy</w:t>
      </w:r>
      <w:r>
        <w:t xml:space="preserve"> </w:t>
      </w:r>
      <w:r w:rsidRPr="00D31D0F">
        <w:t>v</w:t>
      </w:r>
      <w:r w:rsidRPr="00D31D0F">
        <w:rPr>
          <w:rFonts w:hint="eastAsia"/>
        </w:rPr>
        <w:t>é</w:t>
      </w:r>
      <w:r w:rsidRPr="00D31D0F">
        <w:t>gleges paralysist eredm</w:t>
      </w:r>
      <w:r w:rsidRPr="00D31D0F">
        <w:rPr>
          <w:rFonts w:hint="eastAsia"/>
        </w:rPr>
        <w:t>é</w:t>
      </w:r>
      <w:r w:rsidRPr="00D31D0F">
        <w:t>nyezhet. Ezeknek az esem</w:t>
      </w:r>
      <w:r w:rsidRPr="00D31D0F">
        <w:rPr>
          <w:rFonts w:hint="eastAsia"/>
        </w:rPr>
        <w:t>é</w:t>
      </w:r>
      <w:r w:rsidRPr="00D31D0F">
        <w:t>nyeknek a kock</w:t>
      </w:r>
      <w:r w:rsidRPr="00D31D0F">
        <w:rPr>
          <w:rFonts w:hint="eastAsia"/>
        </w:rPr>
        <w:t>á</w:t>
      </w:r>
      <w:r w:rsidRPr="00D31D0F">
        <w:t>zata a tart</w:t>
      </w:r>
      <w:r w:rsidRPr="00D31D0F">
        <w:rPr>
          <w:rFonts w:hint="eastAsia"/>
        </w:rPr>
        <w:t>ó</w:t>
      </w:r>
      <w:r w:rsidRPr="00D31D0F">
        <w:t>s epiduralis kan</w:t>
      </w:r>
      <w:r w:rsidRPr="00D31D0F">
        <w:rPr>
          <w:rFonts w:hint="eastAsia"/>
        </w:rPr>
        <w:t>ü</w:t>
      </w:r>
      <w:r w:rsidRPr="00D31D0F">
        <w:t>l</w:t>
      </w:r>
      <w:r>
        <w:t xml:space="preserve"> </w:t>
      </w:r>
      <w:r w:rsidRPr="00D31D0F">
        <w:t>posztoperat</w:t>
      </w:r>
      <w:r w:rsidRPr="00D31D0F">
        <w:rPr>
          <w:rFonts w:hint="eastAsia"/>
        </w:rPr>
        <w:t>í</w:t>
      </w:r>
      <w:r w:rsidRPr="00D31D0F">
        <w:t>v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vagy a haemostasist befoly</w:t>
      </w:r>
      <w:r w:rsidRPr="00D31D0F">
        <w:rPr>
          <w:rFonts w:hint="eastAsia"/>
        </w:rPr>
        <w:t>á</w:t>
      </w:r>
      <w:r w:rsidRPr="00D31D0F">
        <w:t>sol</w:t>
      </w:r>
      <w:r w:rsidRPr="00D31D0F">
        <w:rPr>
          <w:rFonts w:hint="eastAsia"/>
        </w:rPr>
        <w:t>ó</w:t>
      </w:r>
      <w:r w:rsidRPr="00D31D0F">
        <w:t xml:space="preserve"> gy</w:t>
      </w:r>
      <w:r w:rsidRPr="00D31D0F">
        <w:rPr>
          <w:rFonts w:hint="eastAsia"/>
        </w:rPr>
        <w:t>ó</w:t>
      </w:r>
      <w:r w:rsidRPr="00D31D0F">
        <w:t>gyszerek egyidej</w:t>
      </w:r>
      <w:r w:rsidRPr="00D31D0F">
        <w:rPr>
          <w:rFonts w:hint="eastAsia"/>
        </w:rPr>
        <w:t>ű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</w:t>
      </w:r>
      <w:r>
        <w:t xml:space="preserve"> </w:t>
      </w:r>
      <w:r w:rsidRPr="00D31D0F">
        <w:t>n</w:t>
      </w:r>
      <w:r w:rsidRPr="00D31D0F">
        <w:rPr>
          <w:rFonts w:hint="eastAsia"/>
        </w:rPr>
        <w:t>ö</w:t>
      </w:r>
      <w:r w:rsidRPr="00D31D0F">
        <w:t>vekedhet. A tart</w:t>
      </w:r>
      <w:r w:rsidRPr="00D31D0F">
        <w:rPr>
          <w:rFonts w:hint="eastAsia"/>
        </w:rPr>
        <w:t>ó</w:t>
      </w:r>
      <w:r w:rsidRPr="00D31D0F">
        <w:t>s epiduralis vagy intrathecalis kan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>ket az apixab</w:t>
      </w:r>
      <w:r w:rsidRPr="00D31D0F">
        <w:rPr>
          <w:rFonts w:hint="eastAsia"/>
        </w:rPr>
        <w:t>á</w:t>
      </w:r>
      <w:r w:rsidRPr="00D31D0F">
        <w:t>n els</w:t>
      </w:r>
      <w:r w:rsidRPr="00D31D0F">
        <w:rPr>
          <w:rFonts w:hint="eastAsia"/>
        </w:rPr>
        <w:t>ő</w:t>
      </w:r>
      <w:r w:rsidRPr="00D31D0F">
        <w:t xml:space="preserve"> adagja el</w:t>
      </w:r>
      <w:r w:rsidRPr="00D31D0F">
        <w:rPr>
          <w:rFonts w:hint="eastAsia"/>
        </w:rPr>
        <w:t>ő</w:t>
      </w:r>
      <w:r w:rsidRPr="00D31D0F">
        <w:t>tt legal</w:t>
      </w:r>
      <w:r w:rsidRPr="00D31D0F">
        <w:rPr>
          <w:rFonts w:hint="eastAsia"/>
        </w:rPr>
        <w:t>á</w:t>
      </w:r>
      <w:r w:rsidRPr="00D31D0F">
        <w:t>bb</w:t>
      </w:r>
      <w:r>
        <w:t xml:space="preserve"> </w:t>
      </w:r>
      <w:r w:rsidRPr="00D31D0F">
        <w:t xml:space="preserve">5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val kor</w:t>
      </w:r>
      <w:r w:rsidRPr="00D31D0F">
        <w:rPr>
          <w:rFonts w:hint="eastAsia"/>
        </w:rPr>
        <w:t>á</w:t>
      </w:r>
      <w:r w:rsidRPr="00D31D0F">
        <w:t>bban el kell 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tani. A traum</w:t>
      </w:r>
      <w:r w:rsidRPr="00D31D0F">
        <w:rPr>
          <w:rFonts w:hint="eastAsia"/>
        </w:rPr>
        <w:t>á</w:t>
      </w:r>
      <w:r w:rsidRPr="00D31D0F">
        <w:t>s vagy ism</w:t>
      </w:r>
      <w:r w:rsidRPr="00D31D0F">
        <w:rPr>
          <w:rFonts w:hint="eastAsia"/>
        </w:rPr>
        <w:t>é</w:t>
      </w:r>
      <w:r w:rsidRPr="00D31D0F">
        <w:t>telt epiduralis vagy lumbal punctio szint</w:t>
      </w:r>
      <w:r w:rsidRPr="00D31D0F">
        <w:rPr>
          <w:rFonts w:hint="eastAsia"/>
        </w:rPr>
        <w:t>é</w:t>
      </w:r>
      <w:r w:rsidRPr="00D31D0F">
        <w:t>n</w:t>
      </w:r>
      <w:r>
        <w:t xml:space="preserve"> </w:t>
      </w:r>
      <w:r w:rsidRPr="00D31D0F">
        <w:t>n</w:t>
      </w:r>
      <w:r w:rsidRPr="00D31D0F">
        <w:rPr>
          <w:rFonts w:hint="eastAsia"/>
        </w:rPr>
        <w:t>ö</w:t>
      </w:r>
      <w:r w:rsidRPr="00D31D0F">
        <w:t>velheti a kock</w:t>
      </w:r>
      <w:r w:rsidRPr="00D31D0F">
        <w:rPr>
          <w:rFonts w:hint="eastAsia"/>
        </w:rPr>
        <w:t>á</w:t>
      </w:r>
      <w:r w:rsidRPr="00D31D0F">
        <w:t>zatot. A betegekn</w:t>
      </w:r>
      <w:r w:rsidRPr="00D31D0F">
        <w:rPr>
          <w:rFonts w:hint="eastAsia"/>
        </w:rPr>
        <w:t>é</w:t>
      </w:r>
      <w:r w:rsidRPr="00D31D0F">
        <w:t>l gyakran kell monitorozni a neurol</w:t>
      </w:r>
      <w:r w:rsidRPr="00D31D0F">
        <w:rPr>
          <w:rFonts w:hint="eastAsia"/>
        </w:rPr>
        <w:t>ó</w:t>
      </w:r>
      <w:r w:rsidRPr="00D31D0F">
        <w:t>giai 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sra utal</w:t>
      </w:r>
      <w:r w:rsidRPr="00D31D0F">
        <w:rPr>
          <w:rFonts w:hint="eastAsia"/>
        </w:rPr>
        <w:t>ó</w:t>
      </w:r>
      <w:r>
        <w:t xml:space="preserve"> </w:t>
      </w:r>
      <w:r w:rsidRPr="00D31D0F">
        <w:t xml:space="preserve">panaszokat </w:t>
      </w:r>
      <w:r w:rsidRPr="00D31D0F">
        <w:rPr>
          <w:rFonts w:hint="eastAsia"/>
        </w:rPr>
        <w:t>é</w:t>
      </w:r>
      <w:r w:rsidRPr="00D31D0F">
        <w:t>s t</w:t>
      </w:r>
      <w:r w:rsidRPr="00D31D0F">
        <w:rPr>
          <w:rFonts w:hint="eastAsia"/>
        </w:rPr>
        <w:t>ü</w:t>
      </w:r>
      <w:r w:rsidRPr="00D31D0F">
        <w:t>neteket (pl. az als</w:t>
      </w:r>
      <w:r w:rsidRPr="00D31D0F">
        <w:rPr>
          <w:rFonts w:hint="eastAsia"/>
        </w:rPr>
        <w:t>ó</w:t>
      </w:r>
      <w:r w:rsidRPr="00D31D0F">
        <w:t xml:space="preserve"> v</w:t>
      </w:r>
      <w:r w:rsidRPr="00D31D0F">
        <w:rPr>
          <w:rFonts w:hint="eastAsia"/>
        </w:rPr>
        <w:t>é</w:t>
      </w:r>
      <w:r w:rsidRPr="00D31D0F">
        <w:t>gtagok zsibbad</w:t>
      </w:r>
      <w:r w:rsidRPr="00D31D0F">
        <w:rPr>
          <w:rFonts w:hint="eastAsia"/>
        </w:rPr>
        <w:t>á</w:t>
      </w:r>
      <w:r w:rsidRPr="00D31D0F">
        <w:t>sa vagy gyenges</w:t>
      </w:r>
      <w:r w:rsidRPr="00D31D0F">
        <w:rPr>
          <w:rFonts w:hint="eastAsia"/>
        </w:rPr>
        <w:t>é</w:t>
      </w:r>
      <w:r w:rsidRPr="00D31D0F">
        <w:t>ge, v</w:t>
      </w:r>
      <w:r w:rsidRPr="00D31D0F">
        <w:rPr>
          <w:rFonts w:hint="eastAsia"/>
        </w:rPr>
        <w:t>é</w:t>
      </w:r>
      <w:r w:rsidRPr="00D31D0F">
        <w:t>gb</w:t>
      </w:r>
      <w:r w:rsidRPr="00D31D0F">
        <w:rPr>
          <w:rFonts w:hint="eastAsia"/>
        </w:rPr>
        <w:t>é</w:t>
      </w:r>
      <w:r w:rsidRPr="00D31D0F">
        <w:t>l- vagy h</w:t>
      </w:r>
      <w:r w:rsidRPr="00D31D0F">
        <w:rPr>
          <w:rFonts w:hint="eastAsia"/>
        </w:rPr>
        <w:t>ú</w:t>
      </w:r>
      <w:r w:rsidRPr="00D31D0F">
        <w:t>gyh</w:t>
      </w:r>
      <w:r w:rsidRPr="00D31D0F">
        <w:rPr>
          <w:rFonts w:hint="eastAsia"/>
        </w:rPr>
        <w:t>ó</w:t>
      </w:r>
      <w:r w:rsidRPr="00D31D0F">
        <w:t>lyag</w:t>
      </w:r>
      <w:r>
        <w:t xml:space="preserve"> </w:t>
      </w:r>
      <w:r w:rsidRPr="00D31D0F">
        <w:t>dysfunctio). Neurol</w:t>
      </w:r>
      <w:r w:rsidRPr="00D31D0F">
        <w:rPr>
          <w:rFonts w:hint="eastAsia"/>
        </w:rPr>
        <w:t>ó</w:t>
      </w:r>
      <w:r w:rsidRPr="00D31D0F">
        <w:t>giai 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 detekt</w:t>
      </w:r>
      <w:r w:rsidRPr="00D31D0F">
        <w:rPr>
          <w:rFonts w:hint="eastAsia"/>
        </w:rPr>
        <w:t>á</w:t>
      </w:r>
      <w:r w:rsidRPr="00D31D0F">
        <w:t>l</w:t>
      </w:r>
      <w:r w:rsidRPr="00D31D0F">
        <w:rPr>
          <w:rFonts w:hint="eastAsia"/>
        </w:rPr>
        <w:t>á</w:t>
      </w:r>
      <w:r w:rsidRPr="00D31D0F">
        <w:t>sa eset</w:t>
      </w:r>
      <w:r w:rsidRPr="00D31D0F">
        <w:rPr>
          <w:rFonts w:hint="eastAsia"/>
        </w:rPr>
        <w:t>é</w:t>
      </w:r>
      <w:r w:rsidRPr="00D31D0F">
        <w:t>n a diagn</w:t>
      </w:r>
      <w:r w:rsidRPr="00D31D0F">
        <w:rPr>
          <w:rFonts w:hint="eastAsia"/>
        </w:rPr>
        <w:t>ó</w:t>
      </w:r>
      <w:r w:rsidRPr="00D31D0F">
        <w:t>zis s</w:t>
      </w:r>
      <w:r w:rsidRPr="00D31D0F">
        <w:rPr>
          <w:rFonts w:hint="eastAsia"/>
        </w:rPr>
        <w:t>ü</w:t>
      </w:r>
      <w:r w:rsidRPr="00D31D0F">
        <w:t>rg</w:t>
      </w:r>
      <w:r w:rsidRPr="00D31D0F">
        <w:rPr>
          <w:rFonts w:hint="eastAsia"/>
        </w:rPr>
        <w:t>ő</w:t>
      </w:r>
      <w:r w:rsidRPr="00D31D0F">
        <w:t>s fel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 xml:space="preserve">sa </w:t>
      </w:r>
      <w:r w:rsidRPr="00D31D0F">
        <w:rPr>
          <w:rFonts w:hint="eastAsia"/>
        </w:rPr>
        <w:t>é</w:t>
      </w:r>
      <w:r w:rsidRPr="00D31D0F">
        <w:t>s kezel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t>sz</w:t>
      </w:r>
      <w:r w:rsidRPr="00D31D0F">
        <w:rPr>
          <w:rFonts w:hint="eastAsia"/>
        </w:rPr>
        <w:t>ü</w:t>
      </w:r>
      <w:r w:rsidRPr="00D31D0F">
        <w:t>ks</w:t>
      </w:r>
      <w:r w:rsidRPr="00D31D0F">
        <w:rPr>
          <w:rFonts w:hint="eastAsia"/>
        </w:rPr>
        <w:t>é</w:t>
      </w:r>
      <w:r w:rsidRPr="00D31D0F">
        <w:t>ges. Neuroaxialis beavatkoz</w:t>
      </w:r>
      <w:r w:rsidRPr="00D31D0F">
        <w:rPr>
          <w:rFonts w:hint="eastAsia"/>
        </w:rPr>
        <w:t>á</w:t>
      </w:r>
      <w:r w:rsidRPr="00D31D0F">
        <w:t>s el</w:t>
      </w:r>
      <w:r w:rsidRPr="00D31D0F">
        <w:rPr>
          <w:rFonts w:hint="eastAsia"/>
        </w:rPr>
        <w:t>ő</w:t>
      </w:r>
      <w:r w:rsidRPr="00D31D0F">
        <w:t>tt az antikoagul</w:t>
      </w:r>
      <w:r w:rsidRPr="00D31D0F">
        <w:rPr>
          <w:rFonts w:hint="eastAsia"/>
        </w:rPr>
        <w:t>á</w:t>
      </w:r>
      <w:r w:rsidRPr="00D31D0F">
        <w:t>lt betegekn</w:t>
      </w:r>
      <w:r w:rsidRPr="00D31D0F">
        <w:rPr>
          <w:rFonts w:hint="eastAsia"/>
        </w:rPr>
        <w:t>é</w:t>
      </w:r>
      <w:r w:rsidRPr="00D31D0F">
        <w:t>l vagy a thromboprophylaxis</w:t>
      </w:r>
      <w:r>
        <w:t xml:space="preserve"> </w:t>
      </w:r>
      <w:r w:rsidRPr="00D31D0F">
        <w:t>c</w:t>
      </w:r>
      <w:r w:rsidRPr="00D31D0F">
        <w:rPr>
          <w:rFonts w:hint="eastAsia"/>
        </w:rPr>
        <w:t>é</w:t>
      </w:r>
      <w:r w:rsidRPr="00D31D0F">
        <w:t>lj</w:t>
      </w:r>
      <w:r w:rsidRPr="00D31D0F">
        <w:rPr>
          <w:rFonts w:hint="eastAsia"/>
        </w:rPr>
        <w:t>á</w:t>
      </w:r>
      <w:r w:rsidRPr="00D31D0F">
        <w:t>b</w:t>
      </w:r>
      <w:r w:rsidRPr="00D31D0F">
        <w:rPr>
          <w:rFonts w:hint="eastAsia"/>
        </w:rPr>
        <w:t>ó</w:t>
      </w:r>
      <w:r w:rsidRPr="00D31D0F">
        <w:t>l antikoagul</w:t>
      </w:r>
      <w:r w:rsidRPr="00D31D0F">
        <w:rPr>
          <w:rFonts w:hint="eastAsia"/>
        </w:rPr>
        <w:t>á</w:t>
      </w:r>
      <w:r w:rsidRPr="00D31D0F">
        <w:t>land</w:t>
      </w:r>
      <w:r w:rsidRPr="00D31D0F">
        <w:rPr>
          <w:rFonts w:hint="eastAsia"/>
        </w:rPr>
        <w:t>ó</w:t>
      </w:r>
      <w:r w:rsidRPr="00D31D0F">
        <w:t xml:space="preserve"> betegekn</w:t>
      </w:r>
      <w:r w:rsidRPr="00D31D0F">
        <w:rPr>
          <w:rFonts w:hint="eastAsia"/>
        </w:rPr>
        <w:t>é</w:t>
      </w:r>
      <w:r w:rsidRPr="00D31D0F">
        <w:t>l az orvosnak m</w:t>
      </w:r>
      <w:r w:rsidRPr="00D31D0F">
        <w:rPr>
          <w:rFonts w:hint="eastAsia"/>
        </w:rPr>
        <w:t>é</w:t>
      </w:r>
      <w:r w:rsidRPr="00D31D0F">
        <w:t>rlegelnie kell a potenci</w:t>
      </w:r>
      <w:r w:rsidRPr="00D31D0F">
        <w:rPr>
          <w:rFonts w:hint="eastAsia"/>
        </w:rPr>
        <w:t>á</w:t>
      </w:r>
      <w:r w:rsidRPr="00D31D0F">
        <w:t>lis el</w:t>
      </w:r>
      <w:r w:rsidRPr="00D31D0F">
        <w:rPr>
          <w:rFonts w:hint="eastAsia"/>
        </w:rPr>
        <w:t>ő</w:t>
      </w:r>
      <w:r w:rsidRPr="00D31D0F">
        <w:t>ny</w:t>
      </w:r>
      <w:r w:rsidRPr="00D31D0F">
        <w:rPr>
          <w:rFonts w:hint="eastAsia"/>
        </w:rPr>
        <w:t>ö</w:t>
      </w:r>
      <w:r w:rsidRPr="00D31D0F">
        <w:t>ket a</w:t>
      </w:r>
      <w:r>
        <w:t xml:space="preserve"> </w:t>
      </w:r>
      <w:r w:rsidRPr="00D31D0F">
        <w:t>kock</w:t>
      </w:r>
      <w:r w:rsidRPr="00D31D0F">
        <w:rPr>
          <w:rFonts w:hint="eastAsia"/>
        </w:rPr>
        <w:t>á</w:t>
      </w:r>
      <w:r w:rsidRPr="00D31D0F">
        <w:t>zatokkal szemben.</w:t>
      </w:r>
    </w:p>
    <w:p w14:paraId="70F1AB03" w14:textId="5ED98521" w:rsidR="00D31D0F" w:rsidRPr="00D31D0F" w:rsidRDefault="00D31D0F" w:rsidP="00D31D0F">
      <w:pPr>
        <w:pStyle w:val="Nincstrkz"/>
      </w:pPr>
      <w:r w:rsidRPr="00D31D0F">
        <w:t>Nincs az apixab</w:t>
      </w:r>
      <w:r w:rsidRPr="00D31D0F">
        <w:rPr>
          <w:rFonts w:hint="eastAsia"/>
        </w:rPr>
        <w:t>á</w:t>
      </w:r>
      <w:r w:rsidRPr="00D31D0F">
        <w:t>n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a tart</w:t>
      </w:r>
      <w:r w:rsidRPr="00D31D0F">
        <w:rPr>
          <w:rFonts w:hint="eastAsia"/>
        </w:rPr>
        <w:t>ó</w:t>
      </w:r>
      <w:r w:rsidRPr="00D31D0F">
        <w:t>s intrathecalis vagy epiduralis kat</w:t>
      </w:r>
      <w:r w:rsidRPr="00D31D0F">
        <w:rPr>
          <w:rFonts w:hint="eastAsia"/>
        </w:rPr>
        <w:t>é</w:t>
      </w:r>
      <w:r w:rsidRPr="00D31D0F">
        <w:t>tert visel</w:t>
      </w:r>
      <w:r w:rsidRPr="00D31D0F">
        <w:rPr>
          <w:rFonts w:hint="eastAsia"/>
        </w:rPr>
        <w:t>ő</w:t>
      </w:r>
      <w:r w:rsidRPr="00D31D0F">
        <w:t xml:space="preserve"> betegekkel</w:t>
      </w:r>
      <w:r>
        <w:t xml:space="preserve"> </w:t>
      </w:r>
      <w:r w:rsidRPr="00D31D0F">
        <w:t>szerzett klinikai tapasztalat. Abban az esetben, ha ilyenre van sz</w:t>
      </w:r>
      <w:r w:rsidRPr="00D31D0F">
        <w:rPr>
          <w:rFonts w:hint="eastAsia"/>
        </w:rPr>
        <w:t>ü</w:t>
      </w:r>
      <w:r w:rsidRPr="00D31D0F">
        <w:t>ks</w:t>
      </w:r>
      <w:r w:rsidRPr="00D31D0F">
        <w:rPr>
          <w:rFonts w:hint="eastAsia"/>
        </w:rPr>
        <w:t>é</w:t>
      </w:r>
      <w:r w:rsidRPr="00D31D0F">
        <w:t>g, akkor az apixab</w:t>
      </w:r>
      <w:r w:rsidRPr="00D31D0F">
        <w:rPr>
          <w:rFonts w:hint="eastAsia"/>
        </w:rPr>
        <w:t>á</w:t>
      </w:r>
      <w:r w:rsidRPr="00D31D0F">
        <w:t xml:space="preserve">n </w:t>
      </w:r>
      <w:r w:rsidRPr="00D31D0F">
        <w:rPr>
          <w:rFonts w:hint="eastAsia"/>
        </w:rPr>
        <w:t>á</w:t>
      </w:r>
      <w:r w:rsidRPr="00D31D0F">
        <w:t>ltal</w:t>
      </w:r>
      <w:r w:rsidRPr="00D31D0F">
        <w:rPr>
          <w:rFonts w:hint="eastAsia"/>
        </w:rPr>
        <w:t>á</w:t>
      </w:r>
      <w:r w:rsidRPr="00D31D0F">
        <w:t>nos</w:t>
      </w:r>
      <w:r>
        <w:t xml:space="preserve"> </w:t>
      </w:r>
      <w:r w:rsidRPr="00D31D0F">
        <w:t>farmakokinetikai jellemz</w:t>
      </w:r>
      <w:r w:rsidRPr="00D31D0F">
        <w:rPr>
          <w:rFonts w:hint="eastAsia"/>
        </w:rPr>
        <w:t>ő</w:t>
      </w:r>
      <w:r w:rsidRPr="00D31D0F">
        <w:t>i alapj</w:t>
      </w:r>
      <w:r w:rsidRPr="00D31D0F">
        <w:rPr>
          <w:rFonts w:hint="eastAsia"/>
        </w:rPr>
        <w:t>á</w:t>
      </w:r>
      <w:r w:rsidRPr="00D31D0F">
        <w:t xml:space="preserve">n egy 20-30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s id</w:t>
      </w:r>
      <w:r w:rsidRPr="00D31D0F">
        <w:rPr>
          <w:rFonts w:hint="eastAsia"/>
        </w:rPr>
        <w:t>ő</w:t>
      </w:r>
      <w:r w:rsidRPr="00D31D0F">
        <w:t>tartamnak (azaz a felez</w:t>
      </w:r>
      <w:r w:rsidRPr="00D31D0F">
        <w:rPr>
          <w:rFonts w:hint="eastAsia"/>
        </w:rPr>
        <w:t>é</w:t>
      </w:r>
      <w:r w:rsidRPr="00D31D0F">
        <w:t>si id</w:t>
      </w:r>
      <w:r w:rsidRPr="00D31D0F">
        <w:rPr>
          <w:rFonts w:hint="eastAsia"/>
        </w:rPr>
        <w:t>ő</w:t>
      </w:r>
      <w:r w:rsidRPr="00D31D0F">
        <w:t xml:space="preserve"> k</w:t>
      </w:r>
      <w:r w:rsidRPr="00D31D0F">
        <w:rPr>
          <w:rFonts w:hint="eastAsia"/>
        </w:rPr>
        <w:t>é</w:t>
      </w:r>
      <w:r w:rsidRPr="00D31D0F">
        <w:t>tszeres</w:t>
      </w:r>
      <w:r w:rsidRPr="00D31D0F">
        <w:rPr>
          <w:rFonts w:hint="eastAsia"/>
        </w:rPr>
        <w:t>é</w:t>
      </w:r>
      <w:r w:rsidRPr="00D31D0F">
        <w:t>nek) el</w:t>
      </w:r>
      <w:r>
        <w:t xml:space="preserve"> </w:t>
      </w:r>
      <w:r w:rsidRPr="00D31D0F">
        <w:t>kell telnie az apixab</w:t>
      </w:r>
      <w:r w:rsidRPr="00D31D0F">
        <w:rPr>
          <w:rFonts w:hint="eastAsia"/>
        </w:rPr>
        <w:t>á</w:t>
      </w:r>
      <w:r w:rsidRPr="00D31D0F">
        <w:t>n utols</w:t>
      </w:r>
      <w:r w:rsidRPr="00D31D0F">
        <w:rPr>
          <w:rFonts w:hint="eastAsia"/>
        </w:rPr>
        <w:t>ó</w:t>
      </w:r>
      <w:r w:rsidRPr="00D31D0F">
        <w:t xml:space="preserve"> d</w:t>
      </w:r>
      <w:r w:rsidRPr="00D31D0F">
        <w:rPr>
          <w:rFonts w:hint="eastAsia"/>
        </w:rPr>
        <w:t>ó</w:t>
      </w:r>
      <w:r w:rsidRPr="00D31D0F">
        <w:t xml:space="preserve">zisa, </w:t>
      </w:r>
      <w:r w:rsidRPr="00D31D0F">
        <w:rPr>
          <w:rFonts w:hint="eastAsia"/>
        </w:rPr>
        <w:t>é</w:t>
      </w:r>
      <w:r w:rsidRPr="00D31D0F">
        <w:t>s a kat</w:t>
      </w:r>
      <w:r w:rsidRPr="00D31D0F">
        <w:rPr>
          <w:rFonts w:hint="eastAsia"/>
        </w:rPr>
        <w:t>é</w:t>
      </w:r>
      <w:r w:rsidRPr="00D31D0F">
        <w:t>ter kih</w:t>
      </w:r>
      <w:r w:rsidRPr="00D31D0F">
        <w:rPr>
          <w:rFonts w:hint="eastAsia"/>
        </w:rPr>
        <w:t>ú</w:t>
      </w:r>
      <w:r w:rsidRPr="00D31D0F">
        <w:t>z</w:t>
      </w:r>
      <w:r w:rsidRPr="00D31D0F">
        <w:rPr>
          <w:rFonts w:hint="eastAsia"/>
        </w:rPr>
        <w:t>á</w:t>
      </w:r>
      <w:r w:rsidRPr="00D31D0F">
        <w:t>sa k</w:t>
      </w:r>
      <w:r w:rsidRPr="00D31D0F">
        <w:rPr>
          <w:rFonts w:hint="eastAsia"/>
        </w:rPr>
        <w:t>ö</w:t>
      </w:r>
      <w:r w:rsidRPr="00D31D0F">
        <w:t>z</w:t>
      </w:r>
      <w:r w:rsidRPr="00D31D0F">
        <w:rPr>
          <w:rFonts w:hint="eastAsia"/>
        </w:rPr>
        <w:t>ö</w:t>
      </w:r>
      <w:r w:rsidRPr="00D31D0F">
        <w:t xml:space="preserve">tt, </w:t>
      </w:r>
      <w:r w:rsidRPr="00D31D0F">
        <w:rPr>
          <w:rFonts w:hint="eastAsia"/>
        </w:rPr>
        <w:t>é</w:t>
      </w:r>
      <w:r w:rsidRPr="00D31D0F">
        <w:t>s legal</w:t>
      </w:r>
      <w:r w:rsidRPr="00D31D0F">
        <w:rPr>
          <w:rFonts w:hint="eastAsia"/>
        </w:rPr>
        <w:t>á</w:t>
      </w:r>
      <w:r w:rsidRPr="00D31D0F">
        <w:t>bb egy adagot ki kell</w:t>
      </w:r>
      <w:r>
        <w:t xml:space="preserve"> </w:t>
      </w:r>
      <w:r w:rsidRPr="00D31D0F">
        <w:t>hagyni a kat</w:t>
      </w:r>
      <w:r w:rsidRPr="00D31D0F">
        <w:rPr>
          <w:rFonts w:hint="eastAsia"/>
        </w:rPr>
        <w:t>é</w:t>
      </w:r>
      <w:r w:rsidRPr="00D31D0F">
        <w:t>ter kih</w:t>
      </w:r>
      <w:r w:rsidRPr="00D31D0F">
        <w:rPr>
          <w:rFonts w:hint="eastAsia"/>
        </w:rPr>
        <w:t>ú</w:t>
      </w:r>
      <w:r w:rsidRPr="00D31D0F">
        <w:t>z</w:t>
      </w:r>
      <w:r w:rsidRPr="00D31D0F">
        <w:rPr>
          <w:rFonts w:hint="eastAsia"/>
        </w:rPr>
        <w:t>á</w:t>
      </w:r>
      <w:r w:rsidRPr="00D31D0F">
        <w:t>sa el</w:t>
      </w:r>
      <w:r w:rsidRPr="00D31D0F">
        <w:rPr>
          <w:rFonts w:hint="eastAsia"/>
        </w:rPr>
        <w:t>ő</w:t>
      </w:r>
      <w:r w:rsidRPr="00D31D0F">
        <w:t>tt. Az apixab</w:t>
      </w:r>
      <w:r w:rsidRPr="00D31D0F">
        <w:rPr>
          <w:rFonts w:hint="eastAsia"/>
        </w:rPr>
        <w:t>á</w:t>
      </w:r>
      <w:r w:rsidRPr="00D31D0F">
        <w:t>n k</w:t>
      </w:r>
      <w:r w:rsidRPr="00D31D0F">
        <w:rPr>
          <w:rFonts w:hint="eastAsia"/>
        </w:rPr>
        <w:t>ö</w:t>
      </w:r>
      <w:r w:rsidRPr="00D31D0F">
        <w:t>vetkez</w:t>
      </w:r>
      <w:r w:rsidRPr="00D31D0F">
        <w:rPr>
          <w:rFonts w:hint="eastAsia"/>
        </w:rPr>
        <w:t>ő</w:t>
      </w:r>
      <w:r w:rsidRPr="00D31D0F">
        <w:t xml:space="preserve"> adagj</w:t>
      </w:r>
      <w:r w:rsidRPr="00D31D0F">
        <w:rPr>
          <w:rFonts w:hint="eastAsia"/>
        </w:rPr>
        <w:t>á</w:t>
      </w:r>
      <w:r w:rsidRPr="00D31D0F">
        <w:t>t legkor</w:t>
      </w:r>
      <w:r w:rsidRPr="00D31D0F">
        <w:rPr>
          <w:rFonts w:hint="eastAsia"/>
        </w:rPr>
        <w:t>á</w:t>
      </w:r>
      <w:r w:rsidRPr="00D31D0F">
        <w:t xml:space="preserve">bban 5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val a kat</w:t>
      </w:r>
      <w:r w:rsidRPr="00D31D0F">
        <w:rPr>
          <w:rFonts w:hint="eastAsia"/>
        </w:rPr>
        <w:t>é</w:t>
      </w:r>
      <w:r w:rsidRPr="00D31D0F">
        <w:t>ter</w:t>
      </w:r>
      <w:r>
        <w:t xml:space="preserve"> </w:t>
      </w:r>
      <w:r w:rsidRPr="00D31D0F">
        <w:t>elt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sa ut</w:t>
      </w:r>
      <w:r w:rsidRPr="00D31D0F">
        <w:rPr>
          <w:rFonts w:hint="eastAsia"/>
        </w:rPr>
        <w:t>á</w:t>
      </w:r>
      <w:r w:rsidRPr="00D31D0F">
        <w:t xml:space="preserve">n lehet adni. Mint minden </w:t>
      </w:r>
      <w:r w:rsidRPr="00D31D0F">
        <w:rPr>
          <w:rFonts w:hint="eastAsia"/>
        </w:rPr>
        <w:t>ú</w:t>
      </w:r>
      <w:r w:rsidRPr="00D31D0F">
        <w:t>j antikoagul</w:t>
      </w:r>
      <w:r w:rsidRPr="00D31D0F">
        <w:rPr>
          <w:rFonts w:hint="eastAsia"/>
        </w:rPr>
        <w:t>á</w:t>
      </w:r>
      <w:r w:rsidRPr="00D31D0F">
        <w:t>ns gy</w:t>
      </w:r>
      <w:r w:rsidRPr="00D31D0F">
        <w:rPr>
          <w:rFonts w:hint="eastAsia"/>
        </w:rPr>
        <w:t>ó</w:t>
      </w:r>
      <w:r w:rsidRPr="00D31D0F">
        <w:t>gyszer eset</w:t>
      </w:r>
      <w:r w:rsidRPr="00D31D0F">
        <w:rPr>
          <w:rFonts w:hint="eastAsia"/>
        </w:rPr>
        <w:t>é</w:t>
      </w:r>
      <w:r w:rsidRPr="00D31D0F">
        <w:t>n, a neuroaxi</w:t>
      </w:r>
      <w:r w:rsidRPr="00D31D0F">
        <w:rPr>
          <w:rFonts w:hint="eastAsia"/>
        </w:rPr>
        <w:t>á</w:t>
      </w:r>
      <w:r w:rsidRPr="00D31D0F">
        <w:t>lis blok</w:t>
      </w:r>
      <w:r w:rsidRPr="00D31D0F">
        <w:rPr>
          <w:rFonts w:hint="eastAsia"/>
        </w:rPr>
        <w:t>á</w:t>
      </w:r>
      <w:r w:rsidRPr="00D31D0F">
        <w:t>ddal</w:t>
      </w:r>
      <w:r>
        <w:t xml:space="preserve"> </w:t>
      </w:r>
      <w:r w:rsidRPr="00D31D0F">
        <w:t>szerzett tapasztalat korl</w:t>
      </w:r>
      <w:r w:rsidRPr="00D31D0F">
        <w:rPr>
          <w:rFonts w:hint="eastAsia"/>
        </w:rPr>
        <w:t>á</w:t>
      </w:r>
      <w:r w:rsidRPr="00D31D0F">
        <w:t xml:space="preserve">tozott, </w:t>
      </w:r>
      <w:r w:rsidRPr="00D31D0F">
        <w:rPr>
          <w:rFonts w:hint="eastAsia"/>
        </w:rPr>
        <w:t>é</w:t>
      </w:r>
      <w:r w:rsidRPr="00D31D0F">
        <w:t>s ez</w:t>
      </w:r>
      <w:r w:rsidRPr="00D31D0F">
        <w:rPr>
          <w:rFonts w:hint="eastAsia"/>
        </w:rPr>
        <w:t>é</w:t>
      </w:r>
      <w:r w:rsidRPr="00D31D0F">
        <w:t>rt rendk</w:t>
      </w:r>
      <w:r w:rsidRPr="00D31D0F">
        <w:rPr>
          <w:rFonts w:hint="eastAsia"/>
        </w:rPr>
        <w:t>í</w:t>
      </w:r>
      <w:r w:rsidRPr="00D31D0F">
        <w:t>v</w:t>
      </w:r>
      <w:r w:rsidRPr="00D31D0F">
        <w:rPr>
          <w:rFonts w:hint="eastAsia"/>
        </w:rPr>
        <w:t>ü</w:t>
      </w:r>
      <w:r w:rsidRPr="00D31D0F">
        <w:t>li el</w:t>
      </w:r>
      <w:r w:rsidRPr="00D31D0F">
        <w:rPr>
          <w:rFonts w:hint="eastAsia"/>
        </w:rPr>
        <w:t>ő</w:t>
      </w:r>
      <w:r w:rsidRPr="00D31D0F">
        <w:t>vigy</w:t>
      </w:r>
      <w:r w:rsidRPr="00D31D0F">
        <w:rPr>
          <w:rFonts w:hint="eastAsia"/>
        </w:rPr>
        <w:t>á</w:t>
      </w:r>
      <w:r w:rsidRPr="00D31D0F">
        <w:t>zatoss</w:t>
      </w:r>
      <w:r w:rsidRPr="00D31D0F">
        <w:rPr>
          <w:rFonts w:hint="eastAsia"/>
        </w:rPr>
        <w:t>á</w:t>
      </w:r>
      <w:r w:rsidRPr="00D31D0F">
        <w:t>g javasolt, ha az apixab</w:t>
      </w:r>
      <w:r w:rsidRPr="00D31D0F">
        <w:rPr>
          <w:rFonts w:hint="eastAsia"/>
        </w:rPr>
        <w:t>á</w:t>
      </w:r>
      <w:r w:rsidRPr="00D31D0F">
        <w:t>nt</w:t>
      </w:r>
      <w:r>
        <w:t xml:space="preserve"> </w:t>
      </w:r>
      <w:r w:rsidRPr="00D31D0F">
        <w:t>neuroaxi</w:t>
      </w:r>
      <w:r w:rsidRPr="00D31D0F">
        <w:rPr>
          <w:rFonts w:hint="eastAsia"/>
        </w:rPr>
        <w:t>á</w:t>
      </w:r>
      <w:r w:rsidRPr="00D31D0F">
        <w:t>lis blok</w:t>
      </w:r>
      <w:r w:rsidRPr="00D31D0F">
        <w:rPr>
          <w:rFonts w:hint="eastAsia"/>
        </w:rPr>
        <w:t>á</w:t>
      </w:r>
      <w:r w:rsidRPr="00D31D0F">
        <w:t>d jelenl</w:t>
      </w:r>
      <w:r w:rsidRPr="00D31D0F">
        <w:rPr>
          <w:rFonts w:hint="eastAsia"/>
        </w:rPr>
        <w:t>é</w:t>
      </w:r>
      <w:r w:rsidRPr="00D31D0F">
        <w:t>t</w:t>
      </w:r>
      <w:r w:rsidRPr="00D31D0F">
        <w:rPr>
          <w:rFonts w:hint="eastAsia"/>
        </w:rPr>
        <w:t>é</w:t>
      </w:r>
      <w:r w:rsidRPr="00D31D0F">
        <w:t>ben alkalmazz</w:t>
      </w:r>
      <w:r w:rsidRPr="00D31D0F">
        <w:rPr>
          <w:rFonts w:hint="eastAsia"/>
        </w:rPr>
        <w:t>á</w:t>
      </w:r>
      <w:r w:rsidRPr="00D31D0F">
        <w:t>k.</w:t>
      </w:r>
    </w:p>
    <w:p w14:paraId="643F3C55" w14:textId="07D99F35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Nincsenek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ó</w:t>
      </w:r>
      <w:r w:rsidRPr="00D31D0F">
        <w:t xml:space="preserve"> adatok a neuroaxi</w:t>
      </w:r>
      <w:r w:rsidRPr="00D31D0F">
        <w:rPr>
          <w:rFonts w:hint="eastAsia"/>
        </w:rPr>
        <w:t>á</w:t>
      </w:r>
      <w:r w:rsidRPr="00D31D0F">
        <w:t>lis kat</w:t>
      </w:r>
      <w:r w:rsidRPr="00D31D0F">
        <w:rPr>
          <w:rFonts w:hint="eastAsia"/>
        </w:rPr>
        <w:t>é</w:t>
      </w:r>
      <w:r w:rsidRPr="00D31D0F">
        <w:t>ter behelyez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nek vagy elt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nak</w:t>
      </w:r>
      <w:r>
        <w:t xml:space="preserve"> </w:t>
      </w:r>
      <w:r w:rsidRPr="00D31D0F">
        <w:t>id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vel kapcsolatban apixab</w:t>
      </w:r>
      <w:r w:rsidRPr="00D31D0F">
        <w:rPr>
          <w:rFonts w:hint="eastAsia"/>
        </w:rPr>
        <w:t>á</w:t>
      </w:r>
      <w:r w:rsidRPr="00D31D0F">
        <w:t>nt kap</w:t>
      </w:r>
      <w:r w:rsidRPr="00D31D0F">
        <w:rPr>
          <w:rFonts w:hint="eastAsia"/>
        </w:rPr>
        <w:t>ó</w:t>
      </w:r>
      <w:r w:rsidRPr="00D31D0F">
        <w:t xml:space="preserve"> gyermekekre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kre vonatkoz</w:t>
      </w:r>
      <w:r w:rsidRPr="00D31D0F">
        <w:rPr>
          <w:rFonts w:hint="eastAsia"/>
        </w:rPr>
        <w:t>ó</w:t>
      </w:r>
      <w:r w:rsidRPr="00D31D0F">
        <w:t>an. Ilyen esetben meg</w:t>
      </w:r>
      <w:r>
        <w:t xml:space="preserve"> </w:t>
      </w:r>
      <w:r w:rsidRPr="00D31D0F">
        <w:t>kell szak</w:t>
      </w:r>
      <w:r w:rsidRPr="00D31D0F">
        <w:rPr>
          <w:rFonts w:hint="eastAsia"/>
        </w:rPr>
        <w:t>í</w:t>
      </w:r>
      <w:r w:rsidRPr="00D31D0F">
        <w:t>tani az apixab</w:t>
      </w:r>
      <w:r w:rsidRPr="00D31D0F">
        <w:rPr>
          <w:rFonts w:hint="eastAsia"/>
        </w:rPr>
        <w:t>á</w:t>
      </w:r>
      <w:r w:rsidRPr="00D31D0F">
        <w:t>n-kezel</w:t>
      </w:r>
      <w:r w:rsidRPr="00D31D0F">
        <w:rPr>
          <w:rFonts w:hint="eastAsia"/>
        </w:rPr>
        <w:t>é</w:t>
      </w:r>
      <w:r w:rsidRPr="00D31D0F">
        <w:t xml:space="preserve">st, </w:t>
      </w:r>
      <w:r w:rsidRPr="00D31D0F">
        <w:rPr>
          <w:rFonts w:hint="eastAsia"/>
        </w:rPr>
        <w:t>é</w:t>
      </w:r>
      <w:r w:rsidRPr="00D31D0F">
        <w:t>s meg kell fontolni r</w:t>
      </w:r>
      <w:r w:rsidRPr="00D31D0F">
        <w:rPr>
          <w:rFonts w:hint="eastAsia"/>
        </w:rPr>
        <w:t>ö</w:t>
      </w:r>
      <w:r w:rsidRPr="00D31D0F">
        <w:t>vid hat</w:t>
      </w:r>
      <w:r w:rsidRPr="00D31D0F">
        <w:rPr>
          <w:rFonts w:hint="eastAsia"/>
        </w:rPr>
        <w:t>á</w:t>
      </w:r>
      <w:r w:rsidRPr="00D31D0F">
        <w:t>startam</w:t>
      </w:r>
      <w:r w:rsidRPr="00D31D0F">
        <w:rPr>
          <w:rFonts w:hint="eastAsia"/>
        </w:rPr>
        <w:t>ú</w:t>
      </w:r>
      <w:r w:rsidRPr="00D31D0F">
        <w:t xml:space="preserve"> parenter</w:t>
      </w:r>
      <w:r w:rsidRPr="00D31D0F">
        <w:rPr>
          <w:rFonts w:hint="eastAsia"/>
        </w:rPr>
        <w:t>á</w:t>
      </w:r>
      <w:r w:rsidRPr="00D31D0F">
        <w:t>lis antikoagul</w:t>
      </w:r>
      <w:r w:rsidRPr="00D31D0F">
        <w:rPr>
          <w:rFonts w:hint="eastAsia"/>
        </w:rPr>
        <w:t>á</w:t>
      </w:r>
      <w:r w:rsidRPr="00D31D0F">
        <w:t>ns</w:t>
      </w:r>
      <w:r>
        <w:t xml:space="preserve"> </w:t>
      </w:r>
      <w:r w:rsidRPr="00D31D0F">
        <w:rPr>
          <w:rFonts w:cs="Times New Roman"/>
          <w:lang w:bidi="hu-HU"/>
        </w:rPr>
        <w:t>alkalmaz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t.</w:t>
      </w:r>
    </w:p>
    <w:p w14:paraId="1F1D3AD4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08516A17" w14:textId="0F014969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 xml:space="preserve">Hemodinamikailag instabil tüdőembóliás, </w:t>
      </w:r>
      <w:r w:rsidR="00B44192" w:rsidRPr="000149DA">
        <w:rPr>
          <w:rFonts w:cs="Times New Roman"/>
          <w:u w:val="single"/>
        </w:rPr>
        <w:t>illetve</w:t>
      </w:r>
      <w:r w:rsidRPr="000149DA">
        <w:rPr>
          <w:rFonts w:cs="Times New Roman"/>
          <w:u w:val="single"/>
        </w:rPr>
        <w:t xml:space="preserve"> thrombolysist vagy pulmonalis embolectomiát igénylő</w:t>
      </w:r>
      <w:r w:rsidR="001754BC" w:rsidRPr="000149DA">
        <w:rPr>
          <w:rFonts w:cs="Times New Roman"/>
          <w:u w:val="single"/>
        </w:rPr>
        <w:t xml:space="preserve"> betegek</w:t>
      </w:r>
    </w:p>
    <w:p w14:paraId="365F9BFE" w14:textId="20BBF534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hemodinamikailag instabil tüdőembóliás</w:t>
      </w:r>
      <w:r w:rsidR="001754BC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vagy a várhatóan thrombolysissel vagy pulmonalis embolectomiával kezelendő</w:t>
      </w:r>
      <w:r w:rsidR="001754BC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nem javasolt a nem frakcionált heparin alternatívájaként, mivel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biztonságosságát és hatásosságát ezekben a klinikai helyzetekben nem igazolták.</w:t>
      </w:r>
    </w:p>
    <w:p w14:paraId="0CF03C7D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774D3962" w14:textId="750BB448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Aktív tumor</w:t>
      </w:r>
      <w:r w:rsidR="001754BC" w:rsidRPr="000149DA">
        <w:rPr>
          <w:rFonts w:cs="Times New Roman"/>
          <w:u w:val="single"/>
        </w:rPr>
        <w:t>ban szenvedő betegek</w:t>
      </w:r>
    </w:p>
    <w:p w14:paraId="780A4B0B" w14:textId="77777777" w:rsidR="008058E5" w:rsidRPr="008058E5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Aktív tumoros betegek esetében magas lehet mind a vénás thromboembólia, mind a vérzéses</w:t>
      </w:r>
    </w:p>
    <w:p w14:paraId="3DEDDA42" w14:textId="77777777" w:rsidR="008058E5" w:rsidRPr="008058E5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események kockázata. Ha az MVT vagy a PE kezelésére apixabán alkalmazását tervezik tumoros</w:t>
      </w:r>
    </w:p>
    <w:p w14:paraId="7AFF09C0" w14:textId="2A829E30" w:rsidR="008058E5" w:rsidRPr="000149DA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betegeknél, az előnyöket és kockázatokat körültekintően kell mérlegelni (lásd 4.3 pont).</w:t>
      </w:r>
    </w:p>
    <w:p w14:paraId="46CE1A71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6BD935B8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Vesekárosodás</w:t>
      </w:r>
    </w:p>
    <w:p w14:paraId="3434D823" w14:textId="21AA9095" w:rsidR="00D31D0F" w:rsidRPr="00304D8C" w:rsidRDefault="00D31D0F" w:rsidP="00771FF4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Felnőttek</w:t>
      </w:r>
    </w:p>
    <w:p w14:paraId="06EEB76D" w14:textId="78A4A1CC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korlátozott mennyiségű klinikai adat</w:t>
      </w:r>
      <w:r w:rsidR="007F3244" w:rsidRPr="000149DA">
        <w:rPr>
          <w:rFonts w:cs="Times New Roman"/>
        </w:rPr>
        <w:t>ok</w:t>
      </w:r>
      <w:r w:rsidRPr="000149DA">
        <w:rPr>
          <w:rFonts w:cs="Times New Roman"/>
        </w:rPr>
        <w:t xml:space="preserve"> azt mutatj</w:t>
      </w:r>
      <w:r w:rsidR="007F3244" w:rsidRPr="000149DA">
        <w:rPr>
          <w:rFonts w:cs="Times New Roman"/>
        </w:rPr>
        <w:t>ák</w:t>
      </w:r>
      <w:r w:rsidRPr="000149DA">
        <w:rPr>
          <w:rFonts w:cs="Times New Roman"/>
        </w:rPr>
        <w:t xml:space="preserve">, hogy </w:t>
      </w:r>
      <w:r w:rsidR="007F3244" w:rsidRPr="000149DA">
        <w:rPr>
          <w:rFonts w:cs="Times New Roman"/>
        </w:rPr>
        <w:t xml:space="preserve">súlyos vesekárosodásban szenvedő </w:t>
      </w:r>
      <w:r w:rsidR="00D31D0F">
        <w:rPr>
          <w:rFonts w:cs="Times New Roman"/>
        </w:rPr>
        <w:t>felnőt</w:t>
      </w:r>
      <w:r w:rsidR="00CC55AF">
        <w:rPr>
          <w:rFonts w:cs="Times New Roman"/>
        </w:rPr>
        <w:t>t</w:t>
      </w:r>
      <w:r w:rsidR="00D31D0F">
        <w:rPr>
          <w:rFonts w:cs="Times New Roman"/>
        </w:rPr>
        <w:t xml:space="preserve"> </w:t>
      </w:r>
      <w:r w:rsidR="007F3244" w:rsidRPr="000149DA">
        <w:rPr>
          <w:rFonts w:cs="Times New Roman"/>
        </w:rPr>
        <w:t>betegeknél (kreatinin</w:t>
      </w:r>
      <w:r w:rsidR="007F3244" w:rsidRPr="000149DA">
        <w:rPr>
          <w:rFonts w:cs="Times New Roman"/>
        </w:rPr>
        <w:noBreakHyphen/>
        <w:t>clearance 15</w:t>
      </w:r>
      <w:r w:rsidR="007F3244" w:rsidRPr="000149DA">
        <w:rPr>
          <w:rFonts w:cs="Times New Roman"/>
        </w:rPr>
        <w:noBreakHyphen/>
        <w:t xml:space="preserve">29 ml/ perc) megemelkedik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plazmakoncentrációja, ami megnövekedett vérzési kockázathoz vezethet. </w:t>
      </w:r>
      <w:r w:rsidR="007F3244" w:rsidRPr="000149DA">
        <w:rPr>
          <w:rFonts w:cs="Times New Roman"/>
        </w:rPr>
        <w:t xml:space="preserve">MVT kezelésére, PE kezelésére és MVT, </w:t>
      </w:r>
      <w:r w:rsidR="009D73DD" w:rsidRPr="000149DA">
        <w:rPr>
          <w:rFonts w:cs="Times New Roman"/>
        </w:rPr>
        <w:t>illetve</w:t>
      </w:r>
      <w:r w:rsidR="007F3244" w:rsidRPr="000149DA">
        <w:rPr>
          <w:rFonts w:cs="Times New Roman"/>
        </w:rPr>
        <w:t xml:space="preserve"> PE kiújulásának megelőzésére (VTEt) az </w:t>
      </w:r>
      <w:r w:rsidR="00D6140D" w:rsidRPr="000149DA">
        <w:rPr>
          <w:rFonts w:cs="Times New Roman"/>
        </w:rPr>
        <w:t>apixabán</w:t>
      </w:r>
      <w:r w:rsidR="007F3244" w:rsidRPr="000149DA">
        <w:rPr>
          <w:rFonts w:cs="Times New Roman"/>
        </w:rPr>
        <w:t xml:space="preserve">t elővigyázatosan kell alkalmazni </w:t>
      </w:r>
      <w:r w:rsidR="009D73DD" w:rsidRPr="000149DA">
        <w:rPr>
          <w:rFonts w:cs="Times New Roman"/>
        </w:rPr>
        <w:t>a s</w:t>
      </w:r>
      <w:r w:rsidRPr="000149DA">
        <w:rPr>
          <w:rFonts w:cs="Times New Roman"/>
        </w:rPr>
        <w:t>úlyos</w:t>
      </w:r>
      <w:r w:rsidR="007F3244" w:rsidRPr="000149DA">
        <w:rPr>
          <w:rFonts w:cs="Times New Roman"/>
        </w:rPr>
        <w:t xml:space="preserve"> vese</w:t>
      </w:r>
      <w:r w:rsidR="00172644" w:rsidRPr="000149DA">
        <w:rPr>
          <w:rFonts w:cs="Times New Roman"/>
        </w:rPr>
        <w:t>károsod</w:t>
      </w:r>
      <w:r w:rsidR="007F3244" w:rsidRPr="000149DA">
        <w:rPr>
          <w:rFonts w:cs="Times New Roman"/>
        </w:rPr>
        <w:t>ásban szenvedő betegeknél</w:t>
      </w:r>
      <w:r w:rsidRPr="000149DA">
        <w:rPr>
          <w:rFonts w:cs="Times New Roman"/>
        </w:rPr>
        <w:t xml:space="preserve"> (kreatinin</w:t>
      </w:r>
      <w:r w:rsidR="009D73DD" w:rsidRPr="000149DA">
        <w:rPr>
          <w:rFonts w:cs="Times New Roman"/>
        </w:rPr>
        <w:noBreakHyphen/>
      </w:r>
      <w:r w:rsidRPr="000149DA">
        <w:rPr>
          <w:rFonts w:cs="Times New Roman"/>
        </w:rPr>
        <w:t>clearance 15</w:t>
      </w:r>
      <w:r w:rsidR="009D73DD" w:rsidRPr="000149DA">
        <w:rPr>
          <w:rFonts w:cs="Times New Roman"/>
        </w:rPr>
        <w:noBreakHyphen/>
      </w:r>
      <w:r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perc</w:t>
      </w:r>
      <w:r w:rsidRPr="000149DA">
        <w:rPr>
          <w:rFonts w:cs="Times New Roman"/>
        </w:rPr>
        <w:t>) a (lásd 4.2 és 5.2</w:t>
      </w:r>
      <w:r w:rsidR="009D73DD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EFF9383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76B31D1" w14:textId="74572720" w:rsidR="00B62AE4" w:rsidRPr="000149DA" w:rsidRDefault="009D73DD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S</w:t>
      </w:r>
      <w:r w:rsidR="00B62AE4" w:rsidRPr="000149DA">
        <w:rPr>
          <w:rFonts w:cs="Times New Roman"/>
        </w:rPr>
        <w:t>troke és szisztémás embolizáció prevenciój</w:t>
      </w:r>
      <w:r w:rsidR="00E55F3F" w:rsidRPr="000149DA">
        <w:rPr>
          <w:rFonts w:cs="Times New Roman"/>
        </w:rPr>
        <w:t>ában</w:t>
      </w:r>
      <w:r w:rsidR="00B62AE4" w:rsidRPr="000149DA">
        <w:rPr>
          <w:rFonts w:cs="Times New Roman"/>
        </w:rPr>
        <w:t xml:space="preserve"> </w:t>
      </w:r>
      <w:r w:rsidR="00E55F3F" w:rsidRPr="000149DA">
        <w:rPr>
          <w:rFonts w:cs="Times New Roman"/>
        </w:rPr>
        <w:t xml:space="preserve">kisebb, naponta kétszer 2,5 mg </w:t>
      </w:r>
      <w:r w:rsidR="00D6140D" w:rsidRPr="000149DA">
        <w:rPr>
          <w:rFonts w:cs="Times New Roman"/>
        </w:rPr>
        <w:t>apixabán</w:t>
      </w:r>
      <w:r w:rsidR="00E55F3F" w:rsidRPr="000149DA">
        <w:rPr>
          <w:rFonts w:cs="Times New Roman"/>
        </w:rPr>
        <w:t xml:space="preserve"> dózist kell kapniuk </w:t>
      </w:r>
      <w:r w:rsidR="00B62AE4" w:rsidRPr="000149DA">
        <w:rPr>
          <w:rFonts w:cs="Times New Roman"/>
        </w:rPr>
        <w:t xml:space="preserve">a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szenvedő</w:t>
      </w:r>
      <w:r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="00B62AE4" w:rsidRPr="000149DA">
        <w:rPr>
          <w:rFonts w:cs="Times New Roman"/>
        </w:rPr>
        <w:t>eknek, a súlyos</w:t>
      </w:r>
      <w:r w:rsidRPr="000149DA">
        <w:rPr>
          <w:rFonts w:cs="Times New Roman"/>
        </w:rPr>
        <w:t xml:space="preserve"> vesekárosodásban (</w:t>
      </w:r>
      <w:r w:rsidR="00B62AE4" w:rsidRPr="000149DA">
        <w:rPr>
          <w:rFonts w:cs="Times New Roman"/>
        </w:rPr>
        <w:t>kreatinin-clearance</w:t>
      </w:r>
      <w:r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15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="00B62AE4"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="00B62AE4" w:rsidRPr="000149DA">
        <w:rPr>
          <w:rFonts w:cs="Times New Roman"/>
        </w:rPr>
        <w:t xml:space="preserve">) </w:t>
      </w:r>
      <w:r w:rsidRPr="000149DA">
        <w:rPr>
          <w:rFonts w:cs="Times New Roman"/>
        </w:rPr>
        <w:t xml:space="preserve">szenvedőknek </w:t>
      </w:r>
      <w:r w:rsidR="00B62AE4" w:rsidRPr="000149DA">
        <w:rPr>
          <w:rFonts w:cs="Times New Roman"/>
        </w:rPr>
        <w:t>és azoknak a</w:t>
      </w:r>
      <w:r w:rsidRPr="000149DA">
        <w:rPr>
          <w:rFonts w:cs="Times New Roman"/>
        </w:rPr>
        <w:t xml:space="preserve"> betegeknek</w:t>
      </w:r>
      <w:r w:rsidR="00B62AE4" w:rsidRPr="000149DA">
        <w:rPr>
          <w:rFonts w:cs="Times New Roman"/>
        </w:rPr>
        <w:t>, akiknek a szérum kreatininszintje ≥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1,5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>/dl</w:t>
      </w:r>
      <w:r w:rsidR="00AA465D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(133</w:t>
      </w:r>
      <w:r w:rsidR="00AA465D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mikromol/l) </w:t>
      </w:r>
      <w:r w:rsidR="00E55F3F" w:rsidRPr="000149DA">
        <w:rPr>
          <w:rFonts w:cs="Times New Roman"/>
        </w:rPr>
        <w:t>továbbá</w:t>
      </w:r>
      <w:r w:rsidR="00B62AE4" w:rsidRPr="000149DA">
        <w:rPr>
          <w:rFonts w:cs="Times New Roman"/>
        </w:rPr>
        <w:t xml:space="preserve"> a</w:t>
      </w:r>
      <w:r w:rsidR="00E55F3F" w:rsidRPr="000149DA">
        <w:rPr>
          <w:rFonts w:cs="Times New Roman"/>
        </w:rPr>
        <w:t xml:space="preserve">zoknak, akiknek életkora </w:t>
      </w:r>
      <w:r w:rsidR="00B62AE4" w:rsidRPr="000149DA">
        <w:rPr>
          <w:rFonts w:cs="Times New Roman"/>
        </w:rPr>
        <w:t>≥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80</w:t>
      </w:r>
      <w:r w:rsidR="00045408" w:rsidRPr="000149DA">
        <w:rPr>
          <w:rFonts w:cs="Times New Roman"/>
        </w:rPr>
        <w:t> év</w:t>
      </w:r>
      <w:r w:rsidR="00B62AE4" w:rsidRPr="000149DA">
        <w:rPr>
          <w:rFonts w:cs="Times New Roman"/>
        </w:rPr>
        <w:t xml:space="preserve"> vagy </w:t>
      </w:r>
      <w:r w:rsidR="00E55F3F" w:rsidRPr="000149DA">
        <w:rPr>
          <w:rFonts w:cs="Times New Roman"/>
        </w:rPr>
        <w:t xml:space="preserve">testtömege </w:t>
      </w:r>
      <w:r w:rsidR="00B62AE4" w:rsidRPr="000149DA">
        <w:rPr>
          <w:rFonts w:cs="Times New Roman"/>
        </w:rPr>
        <w:t>≤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60</w:t>
      </w:r>
      <w:r w:rsidR="00B75CD6" w:rsidRPr="000149DA">
        <w:rPr>
          <w:rFonts w:cs="Times New Roman"/>
        </w:rPr>
        <w:t> kg</w:t>
      </w:r>
      <w:r w:rsidR="00B62AE4" w:rsidRPr="000149DA">
        <w:rPr>
          <w:rFonts w:cs="Times New Roman"/>
        </w:rPr>
        <w:t xml:space="preserve"> (lásd 4.2</w:t>
      </w:r>
      <w:r w:rsidR="00AA465D" w:rsidRPr="000149DA">
        <w:rPr>
          <w:rFonts w:cs="Times New Roman"/>
        </w:rPr>
        <w:t> pont)</w:t>
      </w:r>
      <w:r w:rsidR="00B62AE4" w:rsidRPr="000149DA">
        <w:rPr>
          <w:rFonts w:cs="Times New Roman"/>
        </w:rPr>
        <w:t>.</w:t>
      </w:r>
    </w:p>
    <w:p w14:paraId="5662F518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D616F37" w14:textId="4E84E2D2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Nincs klinikai tapasztalat az olyan</w:t>
      </w:r>
      <w:r w:rsidR="00E55F3F"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Pr="000149DA">
        <w:rPr>
          <w:rFonts w:cs="Times New Roman"/>
        </w:rPr>
        <w:t>ekkel, akiknek kreatinin-clearence</w:t>
      </w:r>
      <w:r w:rsidR="00E55F3F" w:rsidRPr="000149DA">
        <w:rPr>
          <w:rFonts w:cs="Times New Roman"/>
        </w:rPr>
        <w:noBreakHyphen/>
      </w:r>
      <w:r w:rsidRPr="000149DA">
        <w:rPr>
          <w:rFonts w:cs="Times New Roman"/>
        </w:rPr>
        <w:t>e &lt;</w:t>
      </w:r>
      <w:r w:rsidR="00AA465D" w:rsidRPr="000149DA">
        <w:rPr>
          <w:rFonts w:cs="Times New Roman"/>
        </w:rPr>
        <w:t> </w:t>
      </w:r>
      <w:r w:rsidRPr="000149DA">
        <w:rPr>
          <w:rFonts w:cs="Times New Roman"/>
        </w:rPr>
        <w:t>15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, vagy dialízis</w:t>
      </w:r>
      <w:r w:rsidR="00E55F3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alatt állnak, ezért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ezeknél a</w:t>
      </w:r>
      <w:r w:rsidR="00E55F3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javasolt (lásd 4.2 és 5.2</w:t>
      </w:r>
      <w:r w:rsidR="00D13102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69932FA" w14:textId="77777777" w:rsidR="00D31D0F" w:rsidRPr="000149DA" w:rsidRDefault="00D31D0F" w:rsidP="00771FF4">
      <w:pPr>
        <w:pStyle w:val="Nincstrkz"/>
        <w:rPr>
          <w:rFonts w:cs="Times New Roman"/>
        </w:rPr>
      </w:pPr>
    </w:p>
    <w:p w14:paraId="00E6AC40" w14:textId="77777777" w:rsidR="00D31D0F" w:rsidRPr="00D31D0F" w:rsidRDefault="00D31D0F" w:rsidP="00D31D0F">
      <w:pPr>
        <w:pStyle w:val="Nincstrkz"/>
        <w:rPr>
          <w:i/>
          <w:iCs/>
        </w:rPr>
      </w:pPr>
      <w:r w:rsidRPr="00D31D0F">
        <w:rPr>
          <w:i/>
          <w:iCs/>
        </w:rPr>
        <w:t>Gyermekek és serdülők</w:t>
      </w:r>
    </w:p>
    <w:p w14:paraId="0DF44E20" w14:textId="31C5A6B9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Az apixab</w:t>
      </w:r>
      <w:r w:rsidRPr="00D31D0F">
        <w:rPr>
          <w:rFonts w:hint="eastAsia"/>
        </w:rPr>
        <w:t>á</w:t>
      </w:r>
      <w:r w:rsidRPr="00D31D0F">
        <w:t>nt nem vizsg</w:t>
      </w:r>
      <w:r w:rsidRPr="00D31D0F">
        <w:rPr>
          <w:rFonts w:hint="eastAsia"/>
        </w:rPr>
        <w:t>á</w:t>
      </w:r>
      <w:r w:rsidRPr="00D31D0F">
        <w:t>lt</w:t>
      </w:r>
      <w:r w:rsidRPr="00D31D0F">
        <w:rPr>
          <w:rFonts w:hint="eastAsia"/>
        </w:rPr>
        <w:t>á</w:t>
      </w:r>
      <w:r w:rsidRPr="00D31D0F">
        <w:t>k s</w:t>
      </w:r>
      <w:r w:rsidRPr="00D31D0F">
        <w:rPr>
          <w:rFonts w:hint="eastAsia"/>
        </w:rPr>
        <w:t>ú</w:t>
      </w:r>
      <w:r w:rsidRPr="00D31D0F">
        <w:t>lyos vesek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sban szenved</w:t>
      </w:r>
      <w:r w:rsidRPr="00D31D0F">
        <w:rPr>
          <w:rFonts w:hint="eastAsia"/>
        </w:rPr>
        <w:t>ő</w:t>
      </w:r>
      <w:r w:rsidRPr="00D31D0F">
        <w:t xml:space="preserve">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l, ez</w:t>
      </w:r>
      <w:r w:rsidRPr="00D31D0F">
        <w:rPr>
          <w:rFonts w:hint="eastAsia"/>
        </w:rPr>
        <w:t>é</w:t>
      </w:r>
      <w:r w:rsidRPr="00D31D0F">
        <w:t>rt</w:t>
      </w:r>
      <w:r>
        <w:t xml:space="preserve"> </w:t>
      </w:r>
      <w:r w:rsidRPr="00D31D0F">
        <w:rPr>
          <w:rFonts w:cs="Times New Roman"/>
          <w:lang w:bidi="hu-HU"/>
        </w:rPr>
        <w:t>ezek a betegek nem kaphatnak apixab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nt (l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 xml:space="preserve">sd 4.2 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 5.2 pont).</w:t>
      </w:r>
    </w:p>
    <w:p w14:paraId="7084733F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7065DD7D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Idősek</w:t>
      </w:r>
    </w:p>
    <w:p w14:paraId="0EEF09A3" w14:textId="4C3BB439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 életkor előrehaladásával a vérzési kockázat fokozódhat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3516432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47D8B8F" w14:textId="4B38510B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Ezen kívül a potenciálisan magasabb vérzési kockázat miatt idős</w:t>
      </w:r>
      <w:r w:rsidR="00D13102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acetilszalicilsav kombinációt óvatosan kell alkalmazni.</w:t>
      </w:r>
    </w:p>
    <w:p w14:paraId="3F5FCC09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235301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Testtömeg</w:t>
      </w:r>
    </w:p>
    <w:p w14:paraId="3B34301F" w14:textId="18C5EA0B" w:rsidR="00B62AE4" w:rsidRPr="000149DA" w:rsidRDefault="00D31D0F" w:rsidP="00771FF4">
      <w:pPr>
        <w:pStyle w:val="Nincstrkz"/>
        <w:rPr>
          <w:rFonts w:cs="Times New Roman"/>
        </w:rPr>
      </w:pPr>
      <w:r w:rsidRPr="00D31D0F">
        <w:rPr>
          <w:rFonts w:cs="Times New Roman"/>
        </w:rPr>
        <w:t xml:space="preserve">Felnőtteknél </w:t>
      </w:r>
      <w:r>
        <w:rPr>
          <w:rFonts w:cs="Times New Roman"/>
        </w:rPr>
        <w:t>a</w:t>
      </w:r>
      <w:r w:rsidR="00D13102" w:rsidRPr="000149DA">
        <w:rPr>
          <w:rFonts w:cs="Times New Roman"/>
        </w:rPr>
        <w:t xml:space="preserve"> </w:t>
      </w:r>
      <w:r w:rsidR="00DF3BFE">
        <w:rPr>
          <w:rFonts w:cs="Times New Roman"/>
        </w:rPr>
        <w:t>kis</w:t>
      </w:r>
      <w:r w:rsidR="00B62AE4" w:rsidRPr="000149DA">
        <w:rPr>
          <w:rFonts w:cs="Times New Roman"/>
        </w:rPr>
        <w:t xml:space="preserve"> testtömeg (&lt;</w:t>
      </w:r>
      <w:r w:rsidR="00AA465D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60</w:t>
      </w:r>
      <w:r w:rsidR="00B75CD6" w:rsidRPr="000149DA">
        <w:rPr>
          <w:rFonts w:cs="Times New Roman"/>
        </w:rPr>
        <w:t> kg</w:t>
      </w:r>
      <w:r w:rsidR="00B62AE4" w:rsidRPr="000149DA">
        <w:rPr>
          <w:rFonts w:cs="Times New Roman"/>
        </w:rPr>
        <w:t>) növelheti a vérzés kockázat</w:t>
      </w:r>
      <w:r w:rsidR="00D13102" w:rsidRPr="000149DA">
        <w:rPr>
          <w:rFonts w:cs="Times New Roman"/>
        </w:rPr>
        <w:t>á</w:t>
      </w:r>
      <w:r w:rsidR="00B62AE4" w:rsidRPr="000149DA">
        <w:rPr>
          <w:rFonts w:cs="Times New Roman"/>
        </w:rPr>
        <w:t>t (lásd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5C26D82C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3FF1B1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Májkárosodás</w:t>
      </w:r>
    </w:p>
    <w:p w14:paraId="0527E7C0" w14:textId="2791E7F4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ellenjavallt véralvadási zavarral és klinikailag jelentős vérzési kockázattal járó májbetegségben szenvedő</w:t>
      </w:r>
      <w:r w:rsidR="00D1310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4.3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6F2590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7A4F8A02" w14:textId="4824F5A0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májkárosodásban szenvedő</w:t>
      </w:r>
      <w:r w:rsidR="00D1310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nem ajánlott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586E6EB4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1F99D286" w14:textId="23ED525A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Enyhe vagy közepes </w:t>
      </w:r>
      <w:r w:rsidR="00C20E59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szenvedő</w:t>
      </w:r>
      <w:r w:rsidR="00D13102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 xml:space="preserve">Pugh A vagy B stádium) </w:t>
      </w:r>
      <w:r w:rsidR="00D13102" w:rsidRPr="000149DA">
        <w:rPr>
          <w:rFonts w:cs="Times New Roman"/>
        </w:rPr>
        <w:t>kellő elővigyázatosság mellett</w:t>
      </w:r>
      <w:r w:rsidRPr="000149DA">
        <w:rPr>
          <w:rFonts w:cs="Times New Roman"/>
        </w:rPr>
        <w:t xml:space="preserve"> alka</w:t>
      </w:r>
      <w:r w:rsidR="00AA465D" w:rsidRPr="000149DA">
        <w:rPr>
          <w:rFonts w:cs="Times New Roman"/>
        </w:rPr>
        <w:t>l</w:t>
      </w:r>
      <w:r w:rsidRPr="000149DA">
        <w:rPr>
          <w:rFonts w:cs="Times New Roman"/>
        </w:rPr>
        <w:t>maz</w:t>
      </w:r>
      <w:r w:rsidR="00D13102" w:rsidRPr="000149DA">
        <w:rPr>
          <w:rFonts w:cs="Times New Roman"/>
        </w:rPr>
        <w:t>andó</w:t>
      </w:r>
      <w:r w:rsidRPr="000149DA">
        <w:rPr>
          <w:rFonts w:cs="Times New Roman"/>
        </w:rPr>
        <w:t xml:space="preserve"> (lásd 4.2 és 5.2</w:t>
      </w:r>
      <w:r w:rsidR="00AA465D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B2E1E11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34465A3" w14:textId="3130D43C" w:rsidR="00B62AE4" w:rsidRDefault="00F553B3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Kizárták a klinikai vizsgálatokból a</w:t>
      </w:r>
      <w:r w:rsidR="00B62AE4" w:rsidRPr="000149DA">
        <w:rPr>
          <w:rFonts w:cs="Times New Roman"/>
        </w:rPr>
        <w:t>zokat a</w:t>
      </w:r>
      <w:r w:rsidR="00D13102" w:rsidRPr="000149DA">
        <w:rPr>
          <w:rFonts w:cs="Times New Roman"/>
        </w:rPr>
        <w:t xml:space="preserve"> betegeket</w:t>
      </w:r>
      <w:r w:rsidR="00B62AE4" w:rsidRPr="000149DA">
        <w:rPr>
          <w:rFonts w:cs="Times New Roman"/>
        </w:rPr>
        <w:t>, akiknél a májenzim</w:t>
      </w:r>
      <w:r w:rsidRPr="000149DA">
        <w:rPr>
          <w:rFonts w:cs="Times New Roman"/>
        </w:rPr>
        <w:t xml:space="preserve">ek, GPT/GOT </w:t>
      </w:r>
      <w:r w:rsidR="00B62AE4" w:rsidRPr="000149DA">
        <w:rPr>
          <w:rFonts w:cs="Times New Roman"/>
        </w:rPr>
        <w:t>szintj</w:t>
      </w:r>
      <w:r w:rsidRPr="000149DA">
        <w:rPr>
          <w:rFonts w:cs="Times New Roman"/>
        </w:rPr>
        <w:t xml:space="preserve">ének </w:t>
      </w:r>
      <w:r w:rsidR="00B62AE4" w:rsidRPr="000149DA">
        <w:rPr>
          <w:rFonts w:cs="Times New Roman"/>
        </w:rPr>
        <w:t>emelked</w:t>
      </w:r>
      <w:r w:rsidRPr="000149DA">
        <w:rPr>
          <w:rFonts w:cs="Times New Roman"/>
        </w:rPr>
        <w:t xml:space="preserve">ése meghaladta </w:t>
      </w:r>
      <w:r w:rsidR="00D13102" w:rsidRPr="000149DA">
        <w:rPr>
          <w:rFonts w:cs="Times New Roman"/>
        </w:rPr>
        <w:t>a normálérték felső határának kétszeres</w:t>
      </w:r>
      <w:r w:rsidRPr="000149DA">
        <w:rPr>
          <w:rFonts w:cs="Times New Roman"/>
        </w:rPr>
        <w:t>ét</w:t>
      </w:r>
      <w:r w:rsidR="00B62AE4" w:rsidRPr="000149DA">
        <w:rPr>
          <w:rFonts w:cs="Times New Roman"/>
        </w:rPr>
        <w:t xml:space="preserve">, vagy az összbilirubin szintje </w:t>
      </w:r>
      <w:r w:rsidR="00D13102" w:rsidRPr="000149DA">
        <w:rPr>
          <w:rFonts w:cs="Times New Roman"/>
        </w:rPr>
        <w:t xml:space="preserve">a normálérték felső határának </w:t>
      </w:r>
      <w:r w:rsidRPr="000149DA">
        <w:rPr>
          <w:rFonts w:cs="Times New Roman"/>
        </w:rPr>
        <w:t>≥ </w:t>
      </w:r>
      <w:r w:rsidR="00B62AE4" w:rsidRPr="000149DA">
        <w:rPr>
          <w:rFonts w:cs="Times New Roman"/>
        </w:rPr>
        <w:t>1,5</w:t>
      </w:r>
      <w:r w:rsidR="00D131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</w:t>
      </w:r>
      <w:r w:rsidRPr="000149DA">
        <w:rPr>
          <w:rFonts w:cs="Times New Roman"/>
        </w:rPr>
        <w:t>ese</w:t>
      </w:r>
      <w:r w:rsidR="00B62AE4" w:rsidRPr="000149DA">
        <w:rPr>
          <w:rFonts w:cs="Times New Roman"/>
        </w:rPr>
        <w:t xml:space="preserve"> volt. Ezért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 ebben a</w:t>
      </w:r>
      <w:r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csoportban </w:t>
      </w:r>
      <w:r w:rsidRPr="000149DA">
        <w:rPr>
          <w:rFonts w:cs="Times New Roman"/>
        </w:rPr>
        <w:t>kellő elővigyázatossággal alkalmazandó</w:t>
      </w:r>
      <w:r w:rsidR="00B62AE4" w:rsidRPr="000149DA">
        <w:rPr>
          <w:rFonts w:cs="Times New Roman"/>
        </w:rPr>
        <w:t xml:space="preserve"> (lásd 5.2</w:t>
      </w:r>
      <w:r w:rsidR="005716D0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 xml:space="preserve">).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 </w:t>
      </w:r>
      <w:r w:rsidR="00EB7D13">
        <w:rPr>
          <w:rFonts w:cs="Times New Roman"/>
        </w:rPr>
        <w:t xml:space="preserve">kezelés </w:t>
      </w:r>
      <w:r w:rsidR="00B62AE4" w:rsidRPr="00EB7D13">
        <w:rPr>
          <w:rFonts w:cs="Times New Roman"/>
        </w:rPr>
        <w:t>elkezdése előtt májfunkciós vizsgálatot kell végezni.</w:t>
      </w:r>
    </w:p>
    <w:p w14:paraId="2A43968E" w14:textId="77777777" w:rsidR="00D31D0F" w:rsidRPr="00EB7D13" w:rsidRDefault="00D31D0F" w:rsidP="00771FF4">
      <w:pPr>
        <w:pStyle w:val="Nincstrkz"/>
        <w:rPr>
          <w:rFonts w:cs="Times New Roman"/>
        </w:rPr>
      </w:pPr>
    </w:p>
    <w:p w14:paraId="51FC1AF8" w14:textId="0DD984A3" w:rsidR="00B62AE4" w:rsidRDefault="00D31D0F" w:rsidP="00771FF4">
      <w:pPr>
        <w:pStyle w:val="Nincstrkz"/>
        <w:rPr>
          <w:rFonts w:cs="Times New Roman"/>
          <w:lang w:bidi="hu-HU"/>
        </w:rPr>
      </w:pPr>
      <w:r w:rsidRPr="00D31D0F">
        <w:rPr>
          <w:rFonts w:cs="Times New Roman"/>
          <w:lang w:bidi="hu-HU"/>
        </w:rPr>
        <w:t>Az apixab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nt nem vizsg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lt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k m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jk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rosod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sban szenved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 xml:space="preserve"> gyermekekn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 xml:space="preserve">l 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 serd</w:t>
      </w:r>
      <w:r w:rsidRPr="00D31D0F">
        <w:rPr>
          <w:rFonts w:cs="Times New Roman" w:hint="eastAsia"/>
          <w:lang w:bidi="hu-HU"/>
        </w:rPr>
        <w:t>ü</w:t>
      </w:r>
      <w:r w:rsidRPr="00D31D0F">
        <w:rPr>
          <w:rFonts w:cs="Times New Roman"/>
          <w:lang w:bidi="hu-HU"/>
        </w:rPr>
        <w:t>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l.</w:t>
      </w:r>
    </w:p>
    <w:p w14:paraId="1DDFB5BE" w14:textId="77777777" w:rsidR="00D31D0F" w:rsidRPr="00326982" w:rsidRDefault="00D31D0F" w:rsidP="00771FF4">
      <w:pPr>
        <w:pStyle w:val="Nincstrkz"/>
        <w:rPr>
          <w:rFonts w:cs="Times New Roman"/>
        </w:rPr>
      </w:pPr>
    </w:p>
    <w:p w14:paraId="4FA3867E" w14:textId="3D805DD3" w:rsidR="00B62AE4" w:rsidRPr="00326982" w:rsidRDefault="00B62AE4" w:rsidP="00771FF4">
      <w:pPr>
        <w:pStyle w:val="Nincstrkz"/>
        <w:rPr>
          <w:rFonts w:cs="Times New Roman"/>
          <w:u w:val="single"/>
        </w:rPr>
      </w:pPr>
      <w:r w:rsidRPr="00326982">
        <w:rPr>
          <w:rFonts w:cs="Times New Roman"/>
          <w:u w:val="single"/>
        </w:rPr>
        <w:t>Kölcsönhatás a citokróm P450 3A4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>et (CYP3A4) és a P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>glikoproteint (P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 xml:space="preserve">gp) egyaránt gátló </w:t>
      </w:r>
      <w:r w:rsidR="005716D0" w:rsidRPr="00326982">
        <w:rPr>
          <w:rFonts w:cs="Times New Roman"/>
          <w:u w:val="single"/>
        </w:rPr>
        <w:t>szerekkel</w:t>
      </w:r>
    </w:p>
    <w:p w14:paraId="4F6B66EA" w14:textId="74254726" w:rsidR="00B62AE4" w:rsidRPr="000149DA" w:rsidRDefault="00B62AE4" w:rsidP="00771FF4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CF2043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alkalmazása nem javasolt olyan</w:t>
      </w:r>
      <w:r w:rsidR="005716D0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</w:t>
      </w:r>
      <w:r w:rsidR="005716D0" w:rsidRPr="000149DA">
        <w:rPr>
          <w:rFonts w:cs="Times New Roman"/>
        </w:rPr>
        <w:t>et</w:t>
      </w:r>
      <w:r w:rsidRPr="000149DA">
        <w:rPr>
          <w:rFonts w:cs="Times New Roman"/>
        </w:rPr>
        <w:t xml:space="preserve"> </w:t>
      </w:r>
      <w:r w:rsidR="005716D0" w:rsidRPr="000149DA">
        <w:rPr>
          <w:rFonts w:cs="Times New Roman"/>
        </w:rPr>
        <w:t xml:space="preserve">egyidejűleg kezelnek </w:t>
      </w:r>
      <w:r w:rsidRPr="000149DA">
        <w:rPr>
          <w:rFonts w:cs="Times New Roman"/>
        </w:rPr>
        <w:t>a CYP3A4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et és a P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t egyaránt erősen gátló szerekkel, mint amilyenek az azol-típusú antimikotikumok (pl. ketokonazol, itrakonazol, vorikonazol, valamint a pozakonazol) és a HIV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proteáz</w:t>
      </w:r>
      <w:r w:rsidR="00C516C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gátlók (pl. ritonavir). Ezek a gyógyszerek </w:t>
      </w:r>
      <w:r w:rsidR="00C516C0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326982">
        <w:rPr>
          <w:rFonts w:cs="Times New Roman"/>
        </w:rPr>
        <w:t>-</w:t>
      </w:r>
      <w:r w:rsidR="00C516C0" w:rsidRPr="000149DA">
        <w:rPr>
          <w:rFonts w:cs="Times New Roman"/>
        </w:rPr>
        <w:t xml:space="preserve">expozíciót növelő további tényezők (pl. súlyos vesekárosodás) jelenlétében az </w:t>
      </w:r>
      <w:r w:rsidR="00D6140D" w:rsidRPr="000149DA">
        <w:rPr>
          <w:rFonts w:cs="Times New Roman"/>
        </w:rPr>
        <w:t>apixabán</w:t>
      </w:r>
      <w:r w:rsidR="00C516C0" w:rsidRPr="000149DA">
        <w:rPr>
          <w:rFonts w:cs="Times New Roman"/>
        </w:rPr>
        <w:t>-expozíciót a kétszeresére (lásd 4.5 pont), vagy ennél is nagyobb mértékben növelhetik</w:t>
      </w:r>
      <w:r w:rsidRPr="000149DA">
        <w:rPr>
          <w:rFonts w:cs="Times New Roman"/>
        </w:rPr>
        <w:t>.</w:t>
      </w:r>
    </w:p>
    <w:p w14:paraId="6658025C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5F7E14" w14:textId="172A5AE2" w:rsidR="00B62AE4" w:rsidRPr="000149DA" w:rsidRDefault="00B62AE4" w:rsidP="00771FF4">
      <w:pPr>
        <w:pStyle w:val="Nincstrkz"/>
        <w:rPr>
          <w:rFonts w:cs="Times New Roman"/>
          <w:u w:val="single"/>
        </w:rPr>
      </w:pPr>
      <w:bookmarkStart w:id="3" w:name="_Hlk55149580"/>
      <w:r w:rsidRPr="000149DA">
        <w:rPr>
          <w:rFonts w:cs="Times New Roman"/>
          <w:u w:val="single"/>
        </w:rPr>
        <w:t>Kölcsönhatás a CYP3A4</w:t>
      </w:r>
      <w:r w:rsidR="003D1531" w:rsidRPr="000149DA">
        <w:rPr>
          <w:rFonts w:cs="Times New Roman"/>
          <w:u w:val="single"/>
        </w:rPr>
        <w:noBreakHyphen/>
        <w:t>et</w:t>
      </w:r>
      <w:r w:rsidR="00783915" w:rsidRPr="000149DA">
        <w:rPr>
          <w:rFonts w:cs="Times New Roman"/>
          <w:u w:val="single"/>
        </w:rPr>
        <w:t xml:space="preserve"> </w:t>
      </w:r>
      <w:r w:rsidRPr="000149DA">
        <w:rPr>
          <w:rFonts w:cs="Times New Roman"/>
          <w:u w:val="single"/>
        </w:rPr>
        <w:t>és a P</w:t>
      </w:r>
      <w:r w:rsidR="00783915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</w:t>
      </w:r>
      <w:r w:rsidR="003D1531" w:rsidRPr="000149DA">
        <w:rPr>
          <w:rFonts w:cs="Times New Roman"/>
          <w:u w:val="single"/>
        </w:rPr>
        <w:noBreakHyphen/>
        <w:t>t egyaránt indukáló szerekkel</w:t>
      </w:r>
    </w:p>
    <w:bookmarkEnd w:id="3"/>
    <w:p w14:paraId="3F74AC5E" w14:textId="06B95AD3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egyidejű alkalmazása a CYP3A4 és P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erős induktoraival </w:t>
      </w:r>
      <w:r w:rsidR="00783915" w:rsidRPr="000149DA">
        <w:rPr>
          <w:rFonts w:cs="Times New Roman"/>
        </w:rPr>
        <w:t>(</w:t>
      </w:r>
      <w:r w:rsidRPr="000149DA">
        <w:rPr>
          <w:rFonts w:cs="Times New Roman"/>
        </w:rPr>
        <w:t>pl. rifampicin, fenitoin, karbamazepin, fenobarbitál vagy</w:t>
      </w:r>
      <w:r w:rsidR="00783915" w:rsidRPr="000149DA">
        <w:rPr>
          <w:rFonts w:cs="Times New Roman"/>
        </w:rPr>
        <w:t xml:space="preserve"> </w:t>
      </w:r>
      <w:r w:rsidR="00354A0E" w:rsidRPr="000149DA">
        <w:rPr>
          <w:rFonts w:cs="Times New Roman"/>
        </w:rPr>
        <w:t>közönséges</w:t>
      </w:r>
      <w:r w:rsidR="00EE4084" w:rsidRPr="000149DA">
        <w:rPr>
          <w:rFonts w:cs="Times New Roman"/>
        </w:rPr>
        <w:t xml:space="preserve"> orbáncfű</w:t>
      </w:r>
      <w:r w:rsidR="00354A0E" w:rsidRPr="000149DA">
        <w:rPr>
          <w:rFonts w:cs="Times New Roman"/>
        </w:rPr>
        <w:t xml:space="preserve"> </w:t>
      </w:r>
      <w:r w:rsidR="00783915" w:rsidRPr="000149DA">
        <w:rPr>
          <w:rFonts w:cs="Times New Roman"/>
        </w:rPr>
        <w:t>[</w:t>
      </w:r>
      <w:r w:rsidRPr="000149DA">
        <w:rPr>
          <w:rFonts w:cs="Times New Roman"/>
          <w:i/>
        </w:rPr>
        <w:t>Hypericum perforatum</w:t>
      </w:r>
      <w:r w:rsidR="00783915" w:rsidRPr="000149DA">
        <w:rPr>
          <w:rFonts w:cs="Times New Roman"/>
        </w:rPr>
        <w:t>]</w:t>
      </w:r>
      <w:r w:rsidRPr="000149DA">
        <w:rPr>
          <w:rFonts w:cs="Times New Roman"/>
        </w:rPr>
        <w:t xml:space="preserve">) az </w:t>
      </w:r>
      <w:r w:rsidR="00D6140D" w:rsidRPr="000149DA">
        <w:rPr>
          <w:rFonts w:cs="Times New Roman"/>
        </w:rPr>
        <w:t>apixabán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>expozíció közel 50%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>os csökkenéséhez vezethet. Egy pitvarfibrilláló</w:t>
      </w:r>
      <w:r w:rsidR="0078391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ekkel végzett klinikai vizsgálatban az önmagában adott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hoz képest csökkent hatásosságot és a vérzés magasabb kockázatát figyelték meg, ha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</w:t>
      </w:r>
      <w:r w:rsidR="006A4200" w:rsidRPr="000149DA">
        <w:rPr>
          <w:rFonts w:cs="Times New Roman"/>
        </w:rPr>
        <w:t xml:space="preserve">mind </w:t>
      </w:r>
      <w:r w:rsidRPr="000149DA">
        <w:rPr>
          <w:rFonts w:cs="Times New Roman"/>
        </w:rPr>
        <w:t>a CYP3A4</w:t>
      </w:r>
      <w:r w:rsidR="006A4200" w:rsidRPr="000149DA">
        <w:rPr>
          <w:rFonts w:cs="Times New Roman"/>
        </w:rPr>
        <w:noBreakHyphen/>
        <w:t xml:space="preserve">re, és </w:t>
      </w:r>
      <w:r w:rsidRPr="000149DA">
        <w:rPr>
          <w:rFonts w:cs="Times New Roman"/>
        </w:rPr>
        <w:t>a P</w:t>
      </w:r>
      <w:r w:rsidR="006A4200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6A4200" w:rsidRPr="000149DA">
        <w:rPr>
          <w:rFonts w:cs="Times New Roman"/>
        </w:rPr>
        <w:noBreakHyphen/>
        <w:t>re egyaránt ható</w:t>
      </w:r>
      <w:r w:rsidRPr="000149DA">
        <w:rPr>
          <w:rFonts w:cs="Times New Roman"/>
        </w:rPr>
        <w:t xml:space="preserve"> erős indukto</w:t>
      </w:r>
      <w:r w:rsidR="003D1531" w:rsidRPr="000149DA">
        <w:rPr>
          <w:rFonts w:cs="Times New Roman"/>
        </w:rPr>
        <w:t>rok</w:t>
      </w:r>
      <w:r w:rsidR="006A4200" w:rsidRPr="000149DA">
        <w:rPr>
          <w:rFonts w:cs="Times New Roman"/>
        </w:rPr>
        <w:t>kal</w:t>
      </w:r>
      <w:r w:rsidRPr="000149DA">
        <w:rPr>
          <w:rFonts w:cs="Times New Roman"/>
        </w:rPr>
        <w:t xml:space="preserve"> együtt adták.</w:t>
      </w:r>
    </w:p>
    <w:p w14:paraId="7A056996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3CB09EB9" w14:textId="08168A55" w:rsidR="00B62AE4" w:rsidRPr="000149DA" w:rsidRDefault="006A4200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 alábbi ajánlásokat kell betartani a</w:t>
      </w:r>
      <w:r w:rsidR="00B62AE4" w:rsidRPr="000149DA">
        <w:rPr>
          <w:rFonts w:cs="Times New Roman"/>
        </w:rPr>
        <w:t>zoknál a</w:t>
      </w:r>
      <w:r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>, akik</w:t>
      </w:r>
      <w:r w:rsidRPr="000149DA">
        <w:rPr>
          <w:rFonts w:cs="Times New Roman"/>
        </w:rPr>
        <w:t xml:space="preserve"> mind</w:t>
      </w:r>
      <w:r w:rsidR="00B62AE4" w:rsidRPr="000149DA">
        <w:rPr>
          <w:rFonts w:cs="Times New Roman"/>
        </w:rPr>
        <w:t xml:space="preserve"> a CYP3A4</w:t>
      </w:r>
      <w:r w:rsidRPr="000149DA">
        <w:rPr>
          <w:rFonts w:cs="Times New Roman"/>
        </w:rPr>
        <w:noBreakHyphen/>
        <w:t xml:space="preserve">re, mind </w:t>
      </w:r>
      <w:r w:rsidR="00B62AE4" w:rsidRPr="000149DA">
        <w:rPr>
          <w:rFonts w:cs="Times New Roman"/>
        </w:rPr>
        <w:t>a P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gp</w:t>
      </w:r>
      <w:r w:rsidRPr="000149DA">
        <w:rPr>
          <w:rFonts w:cs="Times New Roman"/>
        </w:rPr>
        <w:noBreakHyphen/>
        <w:t>re</w:t>
      </w:r>
      <w:r w:rsidR="00B62AE4" w:rsidRPr="000149DA">
        <w:rPr>
          <w:rFonts w:cs="Times New Roman"/>
        </w:rPr>
        <w:t xml:space="preserve"> egyaránt</w:t>
      </w:r>
      <w:r w:rsidRPr="000149DA">
        <w:rPr>
          <w:rFonts w:cs="Times New Roman"/>
        </w:rPr>
        <w:t xml:space="preserve"> ható </w:t>
      </w:r>
      <w:r w:rsidR="00B62AE4" w:rsidRPr="000149DA">
        <w:rPr>
          <w:rFonts w:cs="Times New Roman"/>
        </w:rPr>
        <w:t>erős induktor</w:t>
      </w:r>
      <w:r w:rsidRPr="000149DA">
        <w:rPr>
          <w:rFonts w:cs="Times New Roman"/>
        </w:rPr>
        <w:t xml:space="preserve">okkal </w:t>
      </w:r>
      <w:r w:rsidR="00B62AE4" w:rsidRPr="000149DA">
        <w:rPr>
          <w:rFonts w:cs="Times New Roman"/>
        </w:rPr>
        <w:t>végzett szisztémás kezelést kapnak egyidejűleg (lásd 4.5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):</w:t>
      </w:r>
    </w:p>
    <w:p w14:paraId="68A8B8CB" w14:textId="6AF6CE87" w:rsidR="00B62AE4" w:rsidRPr="000149DA" w:rsidRDefault="003B3FD6" w:rsidP="00771FF4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kellő körültekintéssel kell alkalmazni </w:t>
      </w:r>
      <w:r w:rsidR="00B62AE4" w:rsidRPr="000149DA">
        <w:rPr>
          <w:rFonts w:cs="Times New Roman"/>
        </w:rPr>
        <w:t>stroke és szisztémás embolizáció prevenciój</w:t>
      </w:r>
      <w:r w:rsidRPr="000149DA">
        <w:rPr>
          <w:rFonts w:cs="Times New Roman"/>
        </w:rPr>
        <w:t>ára</w:t>
      </w:r>
      <w:r w:rsidR="00B62AE4" w:rsidRPr="000149DA">
        <w:rPr>
          <w:rFonts w:cs="Times New Roman"/>
        </w:rPr>
        <w:t xml:space="preserve"> a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szenvedő</w:t>
      </w:r>
      <w:r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>, és MVT</w:t>
      </w:r>
      <w:r w:rsidRPr="000149DA">
        <w:rPr>
          <w:rFonts w:cs="Times New Roman"/>
        </w:rPr>
        <w:t>, valamint</w:t>
      </w:r>
      <w:r w:rsidR="00B62AE4" w:rsidRPr="000149DA">
        <w:rPr>
          <w:rFonts w:cs="Times New Roman"/>
        </w:rPr>
        <w:t xml:space="preserve"> PE kiújulásának megelőzésére;</w:t>
      </w:r>
    </w:p>
    <w:p w14:paraId="2BC62B39" w14:textId="77777777" w:rsidR="00B62AE4" w:rsidRPr="000149DA" w:rsidRDefault="00B62AE4" w:rsidP="00771FF4">
      <w:pPr>
        <w:pStyle w:val="Nincstrkz"/>
        <w:ind w:left="567" w:hanging="567"/>
        <w:rPr>
          <w:rFonts w:cs="Times New Roman"/>
        </w:rPr>
      </w:pPr>
    </w:p>
    <w:p w14:paraId="6DED46E3" w14:textId="2F66A086" w:rsidR="00D31D0F" w:rsidRPr="00D31D0F" w:rsidRDefault="003B3FD6" w:rsidP="00D31D0F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alkalmazható </w:t>
      </w:r>
      <w:r w:rsidR="00B62AE4" w:rsidRPr="000149DA">
        <w:rPr>
          <w:rFonts w:cs="Times New Roman"/>
        </w:rPr>
        <w:t>MVT</w:t>
      </w:r>
      <w:r w:rsidRPr="000149DA">
        <w:rPr>
          <w:rFonts w:cs="Times New Roman"/>
        </w:rPr>
        <w:noBreakHyphen/>
        <w:t xml:space="preserve"> </w:t>
      </w:r>
      <w:r w:rsidR="00B62AE4" w:rsidRPr="000149DA">
        <w:rPr>
          <w:rFonts w:cs="Times New Roman"/>
        </w:rPr>
        <w:t>és a pulmonalis embolia kezelésére, mivel a hatásosság romolhat.</w:t>
      </w:r>
    </w:p>
    <w:p w14:paraId="10ECF7DB" w14:textId="77777777" w:rsidR="00D31D0F" w:rsidRPr="000149DA" w:rsidRDefault="00D31D0F" w:rsidP="00304D8C">
      <w:pPr>
        <w:pStyle w:val="Nincstrkz"/>
        <w:rPr>
          <w:rFonts w:cs="Times New Roman"/>
        </w:rPr>
      </w:pPr>
    </w:p>
    <w:p w14:paraId="5F32CDBF" w14:textId="17C9AAB5" w:rsidR="00B62AE4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Nincsenek rendelkezésre álló adatok olyan gyermekektől és serdülőktől, akik egyidejűleg a CYP3A4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és a P-gp egyaránt erős induktoraival végzett szisztémás kezelést kapnak (lásd 4.5 pont).</w:t>
      </w:r>
    </w:p>
    <w:p w14:paraId="7EA537FC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5530B835" w14:textId="3F00E399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Laborat</w:t>
      </w:r>
      <w:r w:rsidR="0071046D" w:rsidRPr="000149DA">
        <w:rPr>
          <w:rFonts w:cs="Times New Roman"/>
          <w:u w:val="single"/>
        </w:rPr>
        <w:t>ór</w:t>
      </w:r>
      <w:r w:rsidRPr="000149DA">
        <w:rPr>
          <w:rFonts w:cs="Times New Roman"/>
          <w:u w:val="single"/>
        </w:rPr>
        <w:t>iumi paraméterek</w:t>
      </w:r>
    </w:p>
    <w:p w14:paraId="4917AC16" w14:textId="47DCBA3D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véralvadási vizsgálatokat </w:t>
      </w:r>
      <w:r w:rsidR="000C40E6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pl. protrombinidő </w:t>
      </w:r>
      <w:r w:rsidR="000C40E6" w:rsidRPr="000149DA">
        <w:rPr>
          <w:rFonts w:cs="Times New Roman"/>
        </w:rPr>
        <w:t>[</w:t>
      </w:r>
      <w:r w:rsidRPr="000149DA">
        <w:rPr>
          <w:rFonts w:cs="Times New Roman"/>
        </w:rPr>
        <w:t>PI</w:t>
      </w:r>
      <w:r w:rsidR="000C40E6" w:rsidRPr="000149DA">
        <w:rPr>
          <w:rFonts w:cs="Times New Roman"/>
        </w:rPr>
        <w:t>]</w:t>
      </w:r>
      <w:r w:rsidRPr="000149DA">
        <w:rPr>
          <w:rFonts w:cs="Times New Roman"/>
        </w:rPr>
        <w:t>, INR és aktivált parciális tromboplas</w:t>
      </w:r>
      <w:r w:rsidR="000C40E6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tinidő </w:t>
      </w:r>
      <w:r w:rsidR="000C40E6" w:rsidRPr="000149DA">
        <w:rPr>
          <w:rFonts w:cs="Times New Roman"/>
        </w:rPr>
        <w:t>[</w:t>
      </w:r>
      <w:r w:rsidRPr="000149DA">
        <w:rPr>
          <w:rFonts w:cs="Times New Roman"/>
        </w:rPr>
        <w:t>aPTI</w:t>
      </w:r>
      <w:r w:rsidR="000C40E6" w:rsidRPr="000149DA">
        <w:rPr>
          <w:rFonts w:cs="Times New Roman"/>
        </w:rPr>
        <w:t xml:space="preserve">, activated partial thromboplastin time])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hatásmechanizmusa alapján várható módon befolyásolja. A várható terápiás adagolás mellett végzett véralvadási vizsgálatok során </w:t>
      </w:r>
      <w:r w:rsidR="002E5D40" w:rsidRPr="000149DA">
        <w:rPr>
          <w:rFonts w:cs="Times New Roman"/>
        </w:rPr>
        <w:t>megfigyelt</w:t>
      </w:r>
      <w:r w:rsidRPr="000149DA">
        <w:rPr>
          <w:rFonts w:cs="Times New Roman"/>
        </w:rPr>
        <w:t xml:space="preserve"> változások csekélyek, és nagyfokú variabilitást mutatnak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2C3191D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04B5F59A" w14:textId="7BB05613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Segédanyagok</w:t>
      </w:r>
    </w:p>
    <w:p w14:paraId="539BC366" w14:textId="130CECB3" w:rsidR="00B62AE4" w:rsidRPr="000149DA" w:rsidRDefault="008058E5" w:rsidP="00771FF4">
      <w:pPr>
        <w:pStyle w:val="Nincstrkz"/>
        <w:rPr>
          <w:rFonts w:cs="Times New Roman"/>
        </w:rPr>
      </w:pPr>
      <w:r>
        <w:rPr>
          <w:rFonts w:cs="Times New Roman"/>
        </w:rPr>
        <w:t>Ez a gyógyszer</w:t>
      </w:r>
      <w:r w:rsidRPr="00C968C6">
        <w:rPr>
          <w:rFonts w:cs="Times New Roman"/>
        </w:rPr>
        <w:t xml:space="preserve"> </w:t>
      </w:r>
      <w:r w:rsidR="00B62AE4" w:rsidRPr="000149DA">
        <w:rPr>
          <w:rFonts w:cs="Times New Roman"/>
        </w:rPr>
        <w:t>laktózt tartalmaz. Ritkán előforduló, örökletes galaktózintoleranciában, teljes laktáz</w:t>
      </w:r>
      <w:r w:rsidR="002E5D40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hiányban vagy a glükóz-galaktóz malabszorpcióban a készítmény nem szedhető.</w:t>
      </w:r>
    </w:p>
    <w:p w14:paraId="19A41193" w14:textId="7FDC46B8" w:rsidR="00B62AE4" w:rsidRPr="000149DA" w:rsidRDefault="00B62AE4" w:rsidP="00771FF4">
      <w:pPr>
        <w:pStyle w:val="Nincstrkz"/>
        <w:rPr>
          <w:rFonts w:cs="Times New Roman"/>
        </w:rPr>
      </w:pPr>
    </w:p>
    <w:p w14:paraId="4091FAAD" w14:textId="71E14F2A" w:rsidR="00E0157C" w:rsidRPr="002F3CFE" w:rsidRDefault="008058E5" w:rsidP="00771FF4">
      <w:pPr>
        <w:pStyle w:val="Nincstrkz"/>
        <w:rPr>
          <w:rFonts w:cs="Times New Roman"/>
        </w:rPr>
      </w:pPr>
      <w:bookmarkStart w:id="4" w:name="_Hlk55149845"/>
      <w:r>
        <w:rPr>
          <w:rFonts w:cs="Times New Roman"/>
        </w:rPr>
        <w:t>Ez a gyógyszer</w:t>
      </w:r>
      <w:r w:rsidRPr="00C968C6">
        <w:rPr>
          <w:rFonts w:cs="Times New Roman"/>
        </w:rPr>
        <w:t xml:space="preserve"> </w:t>
      </w:r>
      <w:r w:rsidR="00E0157C" w:rsidRPr="000149DA">
        <w:rPr>
          <w:rFonts w:cs="Times New Roman"/>
        </w:rPr>
        <w:t xml:space="preserve">kevesebb mint 1 mmol </w:t>
      </w:r>
      <w:r w:rsidR="002F3CFE">
        <w:rPr>
          <w:rFonts w:cs="Times New Roman"/>
        </w:rPr>
        <w:t xml:space="preserve">(23 mg) </w:t>
      </w:r>
      <w:r w:rsidR="00E0157C" w:rsidRPr="002F3CFE">
        <w:rPr>
          <w:rFonts w:cs="Times New Roman"/>
        </w:rPr>
        <w:t>nátriumot tartalmaz</w:t>
      </w:r>
      <w:r w:rsidR="002F3CFE" w:rsidRPr="002F3CFE">
        <w:rPr>
          <w:rFonts w:cs="Times New Roman"/>
        </w:rPr>
        <w:t xml:space="preserve"> </w:t>
      </w:r>
      <w:r w:rsidR="002F3CFE" w:rsidRPr="00F64F7A">
        <w:rPr>
          <w:rFonts w:cs="Times New Roman"/>
        </w:rPr>
        <w:t>tablettánként</w:t>
      </w:r>
      <w:r w:rsidR="00E0157C" w:rsidRPr="002F3CFE">
        <w:rPr>
          <w:rFonts w:cs="Times New Roman"/>
        </w:rPr>
        <w:t xml:space="preserve">, </w:t>
      </w:r>
      <w:r w:rsidR="002F3CFE">
        <w:rPr>
          <w:rFonts w:cs="Times New Roman"/>
        </w:rPr>
        <w:t>azaz</w:t>
      </w:r>
      <w:r w:rsidR="00E0157C" w:rsidRPr="002F3CFE">
        <w:rPr>
          <w:rFonts w:cs="Times New Roman"/>
        </w:rPr>
        <w:t xml:space="preserve"> gyakorlatilag „nátriummentes”.</w:t>
      </w:r>
    </w:p>
    <w:bookmarkEnd w:id="4"/>
    <w:p w14:paraId="4AC1DEEC" w14:textId="77777777" w:rsidR="00E0157C" w:rsidRPr="00B50EA7" w:rsidRDefault="00E0157C" w:rsidP="00771FF4">
      <w:pPr>
        <w:pStyle w:val="Nincstrkz"/>
        <w:rPr>
          <w:rFonts w:cs="Times New Roman"/>
        </w:rPr>
      </w:pPr>
    </w:p>
    <w:p w14:paraId="4642EEFF" w14:textId="5606B104" w:rsidR="00B62AE4" w:rsidRPr="000149DA" w:rsidRDefault="00AA465D" w:rsidP="00AA465D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4.5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Gyógyszerkölcsönhatások és egyéb</w:t>
      </w:r>
      <w:r w:rsidR="00B62AE4" w:rsidRPr="000149DA">
        <w:rPr>
          <w:rFonts w:cs="Times New Roman"/>
          <w:b/>
          <w:bCs/>
          <w:spacing w:val="-4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interakciók</w:t>
      </w:r>
    </w:p>
    <w:p w14:paraId="10D78821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78E0526" w14:textId="76FD0B2F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CYP3A4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 xml:space="preserve"> és P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inhibitorok</w:t>
      </w:r>
    </w:p>
    <w:p w14:paraId="628F1071" w14:textId="5F2B6870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Apixab</w:t>
      </w:r>
      <w:r w:rsidR="009C5C55" w:rsidRPr="000149DA">
        <w:rPr>
          <w:rFonts w:cs="Times New Roman"/>
        </w:rPr>
        <w:t>á</w:t>
      </w:r>
      <w:r w:rsidRPr="000149DA">
        <w:rPr>
          <w:rFonts w:cs="Times New Roman"/>
        </w:rPr>
        <w:t xml:space="preserve">n </w:t>
      </w:r>
      <w:r w:rsidR="00AE6A47" w:rsidRPr="000149DA">
        <w:rPr>
          <w:rFonts w:cs="Times New Roman"/>
        </w:rPr>
        <w:t xml:space="preserve">és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400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ketokonazol, ami a CYP3A4-nek és a</w:t>
      </w:r>
      <w:r w:rsidR="001F329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P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nek egyaránt erős inhibitora</w:t>
      </w:r>
      <w:r w:rsidR="00326982">
        <w:rPr>
          <w:rFonts w:cs="Times New Roman"/>
        </w:rPr>
        <w:t>,</w:t>
      </w:r>
      <w:r w:rsidR="00AE6A47" w:rsidRPr="00326982">
        <w:rPr>
          <w:rFonts w:cs="Times New Roman"/>
        </w:rPr>
        <w:t xml:space="preserve"> együttes adása</w:t>
      </w:r>
      <w:r w:rsidRPr="000D626C">
        <w:rPr>
          <w:rFonts w:cs="Times New Roman"/>
        </w:rPr>
        <w:t xml:space="preserve">, az </w:t>
      </w:r>
      <w:r w:rsidR="00D6140D" w:rsidRPr="00B50EA7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értékének kétszeres és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C</w:t>
      </w:r>
      <w:r w:rsidR="00AA465D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1,6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növekedéséhez vezetett.</w:t>
      </w:r>
    </w:p>
    <w:p w14:paraId="2576B06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55ACBE4" w14:textId="145C4575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CF2043" w:rsidRPr="000149DA">
        <w:rPr>
          <w:rFonts w:cs="Times New Roman"/>
        </w:rPr>
        <w:t>a</w:t>
      </w:r>
      <w:r w:rsidR="00FA2868" w:rsidRPr="000149DA">
        <w:rPr>
          <w:rFonts w:cs="Times New Roman"/>
        </w:rPr>
        <w:t>pixab</w:t>
      </w:r>
      <w:r w:rsidR="00CF2043" w:rsidRPr="000149DA">
        <w:rPr>
          <w:rFonts w:cs="Times New Roman"/>
        </w:rPr>
        <w:t>á</w:t>
      </w:r>
      <w:r w:rsidR="00FA2868" w:rsidRPr="000149DA">
        <w:rPr>
          <w:rFonts w:cs="Times New Roman"/>
        </w:rPr>
        <w:t>n</w:t>
      </w:r>
      <w:r w:rsidRPr="000149DA">
        <w:rPr>
          <w:rFonts w:cs="Times New Roman"/>
        </w:rPr>
        <w:t xml:space="preserve"> alkalmazása nem javasolt olyan</w:t>
      </w:r>
      <w:r w:rsidR="00AE6A47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 a CYP3A4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et és a P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t egyaránt erősen gátló szerekkel</w:t>
      </w:r>
      <w:r w:rsidR="000A4396" w:rsidRPr="000149DA">
        <w:rPr>
          <w:rFonts w:cs="Times New Roman"/>
        </w:rPr>
        <w:t>,</w:t>
      </w:r>
      <w:r w:rsidRPr="000149DA">
        <w:rPr>
          <w:rFonts w:cs="Times New Roman"/>
        </w:rPr>
        <w:t xml:space="preserve"> </w:t>
      </w:r>
      <w:r w:rsidR="00AE6A47" w:rsidRPr="000149DA">
        <w:rPr>
          <w:rFonts w:cs="Times New Roman"/>
        </w:rPr>
        <w:t>mint péld</w:t>
      </w:r>
      <w:r w:rsidR="000A4396" w:rsidRPr="000149DA">
        <w:rPr>
          <w:rFonts w:cs="Times New Roman"/>
        </w:rPr>
        <w:t>á</w:t>
      </w:r>
      <w:r w:rsidR="00AE6A47" w:rsidRPr="000149DA">
        <w:rPr>
          <w:rFonts w:cs="Times New Roman"/>
        </w:rPr>
        <w:t>ul azol</w:t>
      </w:r>
      <w:r w:rsidR="00AE6A47" w:rsidRPr="000149DA">
        <w:rPr>
          <w:rFonts w:cs="Times New Roman"/>
        </w:rPr>
        <w:noBreakHyphen/>
        <w:t>típusú antimikotikumok</w:t>
      </w:r>
      <w:r w:rsidR="000A4396" w:rsidRPr="000149DA">
        <w:rPr>
          <w:rFonts w:cs="Times New Roman"/>
        </w:rPr>
        <w:t>kal</w:t>
      </w:r>
      <w:r w:rsidR="00AE6A47" w:rsidRPr="000149DA">
        <w:rPr>
          <w:rFonts w:cs="Times New Roman"/>
        </w:rPr>
        <w:t xml:space="preserve"> (pl. ketokonazol, itrakonazol, vorikonazol, valamint a pozakonazol) és HIV</w:t>
      </w:r>
      <w:r w:rsidR="00326982">
        <w:rPr>
          <w:rFonts w:cs="Times New Roman"/>
        </w:rPr>
        <w:t>-</w:t>
      </w:r>
      <w:r w:rsidR="00AE6A47" w:rsidRPr="000149DA">
        <w:rPr>
          <w:rFonts w:cs="Times New Roman"/>
        </w:rPr>
        <w:t>proteáz</w:t>
      </w:r>
      <w:r w:rsidR="00AE6A47" w:rsidRPr="000149DA">
        <w:rPr>
          <w:rFonts w:cs="Times New Roman"/>
        </w:rPr>
        <w:noBreakHyphen/>
        <w:t>gátlók</w:t>
      </w:r>
      <w:r w:rsidR="000A4396" w:rsidRPr="000149DA">
        <w:rPr>
          <w:rFonts w:cs="Times New Roman"/>
        </w:rPr>
        <w:t>kal</w:t>
      </w:r>
      <w:r w:rsidR="00AE6A47" w:rsidRPr="000149DA">
        <w:rPr>
          <w:rFonts w:cs="Times New Roman"/>
        </w:rPr>
        <w:t xml:space="preserve"> (pl. ritonavir)</w:t>
      </w:r>
      <w:r w:rsidR="000A439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végzett </w:t>
      </w:r>
      <w:r w:rsidR="008326BE" w:rsidRPr="000149DA">
        <w:rPr>
          <w:rFonts w:cs="Times New Roman"/>
        </w:rPr>
        <w:t xml:space="preserve">egyidejű </w:t>
      </w:r>
      <w:r w:rsidRPr="000149DA">
        <w:rPr>
          <w:rFonts w:cs="Times New Roman"/>
        </w:rPr>
        <w:t>szisztémás kezelést kapnak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74CCD8F" w14:textId="6CDA2056" w:rsidR="00B62AE4" w:rsidRPr="000149DA" w:rsidRDefault="00B62AE4" w:rsidP="00C87B7D">
      <w:pPr>
        <w:pStyle w:val="Nincstrkz"/>
        <w:rPr>
          <w:rFonts w:cs="Times New Roman"/>
        </w:rPr>
      </w:pPr>
    </w:p>
    <w:p w14:paraId="07177224" w14:textId="68C98501" w:rsidR="00D42AFE" w:rsidRPr="000149DA" w:rsidRDefault="00D42AFE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Azok a hatóanyagok, amelyeket nem tekintenek a CYP3A4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egyaránt erős inhibitorainak (pl. amiodaron, klaritromicin, diltiazem, flukonazol, naproxén, kinidin, verapamil), várhatóan kisebb mértékben emelik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plazmakoncentrációját. Nincs szükség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dózismódosítására a CYP3A4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gp nem erős induktoraival végzett egyidejű kezelés esetén. Így például a diltiazem (naponta egyszer 360</w:t>
      </w:r>
      <w:r w:rsidR="00C43B7E" w:rsidRPr="000149DA">
        <w:rPr>
          <w:rFonts w:cs="Times New Roman"/>
        </w:rPr>
        <w:t> </w:t>
      </w:r>
      <w:r w:rsidRPr="000149DA">
        <w:rPr>
          <w:rFonts w:cs="Times New Roman"/>
        </w:rPr>
        <w:t>mg), mely a CYP3A4 közepesen erős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gyenge inhibitora,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1,4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és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1,3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növekedését okozta. A naproxén, ami csak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inhibitor, de </w:t>
      </w:r>
      <w:r w:rsidR="00C43B7E" w:rsidRPr="000149DA">
        <w:rPr>
          <w:rFonts w:cs="Times New Roman"/>
        </w:rPr>
        <w:t xml:space="preserve">nem </w:t>
      </w:r>
      <w:r w:rsidRPr="000149DA">
        <w:rPr>
          <w:rFonts w:cs="Times New Roman"/>
        </w:rPr>
        <w:t>CYP3A4</w:t>
      </w:r>
      <w:r w:rsidR="00C43B7E" w:rsidRPr="000149DA">
        <w:rPr>
          <w:rFonts w:cs="Times New Roman"/>
        </w:rPr>
        <w:noBreakHyphen/>
        <w:t>gátló</w:t>
      </w:r>
      <w:r w:rsidRPr="000149DA">
        <w:rPr>
          <w:rFonts w:cs="Times New Roman"/>
        </w:rPr>
        <w:t>, egyszeri 500 mg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1,5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szeres,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1,6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növekedését idézte elő. A klaritromicin (naponta kétszer 500</w:t>
      </w:r>
      <w:r w:rsidR="00C43B7E" w:rsidRPr="000149DA">
        <w:rPr>
          <w:rFonts w:cs="Times New Roman"/>
        </w:rPr>
        <w:t> </w:t>
      </w:r>
      <w:r w:rsidRPr="000149DA">
        <w:rPr>
          <w:rFonts w:cs="Times New Roman"/>
        </w:rPr>
        <w:t>mg), ami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inhibitora és a CYP3A4 erős inhibitora,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1,6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szeres,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1,3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szeres növekedését </w:t>
      </w:r>
      <w:r w:rsidR="00C43B7E" w:rsidRPr="000149DA">
        <w:rPr>
          <w:rFonts w:cs="Times New Roman"/>
        </w:rPr>
        <w:t>okozta</w:t>
      </w:r>
      <w:r w:rsidRPr="000149DA">
        <w:rPr>
          <w:rFonts w:cs="Times New Roman"/>
        </w:rPr>
        <w:t>.</w:t>
      </w:r>
    </w:p>
    <w:p w14:paraId="4CB11B32" w14:textId="416D2AC0" w:rsidR="00C43B7E" w:rsidRPr="000149DA" w:rsidRDefault="00C43B7E" w:rsidP="00C87B7D">
      <w:pPr>
        <w:pStyle w:val="Nincstrkz"/>
        <w:rPr>
          <w:rFonts w:cs="Times New Roman"/>
        </w:rPr>
      </w:pPr>
    </w:p>
    <w:p w14:paraId="40D500C8" w14:textId="3CA5153B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CYP3A4 és P</w:t>
      </w:r>
      <w:r w:rsidR="00C43B7E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 induktorok</w:t>
      </w:r>
    </w:p>
    <w:p w14:paraId="116FCEA7" w14:textId="270C0758" w:rsidR="00354A0E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egyidejű alkalmazása </w:t>
      </w:r>
      <w:r w:rsidR="00684F45" w:rsidRPr="000149DA">
        <w:rPr>
          <w:rFonts w:cs="Times New Roman"/>
        </w:rPr>
        <w:t>a mind CYP3A4, mind P</w:t>
      </w:r>
      <w:r w:rsidR="00684F45" w:rsidRPr="000149DA">
        <w:rPr>
          <w:rFonts w:cs="Times New Roman"/>
        </w:rPr>
        <w:noBreakHyphen/>
        <w:t xml:space="preserve">gp erős induktorának számító </w:t>
      </w:r>
      <w:r w:rsidRPr="000149DA">
        <w:rPr>
          <w:rFonts w:cs="Times New Roman"/>
        </w:rPr>
        <w:t>rifampicinnel</w:t>
      </w:r>
      <w:r w:rsidR="00684F45" w:rsidRPr="000149DA">
        <w:rPr>
          <w:rFonts w:cs="Times New Roman"/>
        </w:rPr>
        <w:t xml:space="preserve">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átlagos AUC-értékének 54%</w:t>
      </w:r>
      <w:r w:rsidR="00684F45" w:rsidRPr="000149DA">
        <w:rPr>
          <w:rFonts w:cs="Times New Roman"/>
        </w:rPr>
        <w:noBreakHyphen/>
        <w:t>os és a C</w:t>
      </w:r>
      <w:r w:rsidR="00684F45" w:rsidRPr="000149DA">
        <w:rPr>
          <w:rFonts w:cs="Times New Roman"/>
          <w:vertAlign w:val="subscript"/>
        </w:rPr>
        <w:t>max</w:t>
      </w:r>
      <w:r w:rsidR="00684F45" w:rsidRPr="000149DA">
        <w:rPr>
          <w:rFonts w:cs="Times New Roman"/>
        </w:rPr>
        <w:t>-értékének 42%</w:t>
      </w:r>
      <w:r w:rsidR="00684F45" w:rsidRPr="000149DA">
        <w:rPr>
          <w:rFonts w:cs="Times New Roman"/>
        </w:rPr>
        <w:noBreakHyphen/>
        <w:t xml:space="preserve">os csökkenését okozta.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együttes alkalmazása más erős CYP3A4 és P</w:t>
      </w:r>
      <w:r w:rsidR="00684F45" w:rsidRPr="000149DA">
        <w:rPr>
          <w:rFonts w:cs="Times New Roman"/>
        </w:rPr>
        <w:noBreakHyphen/>
        <w:t xml:space="preserve">gp induktorokkal (pl. fenitoin, karbamazepin, fenobarbitál vagy </w:t>
      </w:r>
      <w:r w:rsidR="00354A0E" w:rsidRPr="000149DA">
        <w:rPr>
          <w:rFonts w:cs="Times New Roman"/>
        </w:rPr>
        <w:t>közönséges</w:t>
      </w:r>
      <w:r w:rsidR="00684F45" w:rsidRPr="000149DA">
        <w:rPr>
          <w:rFonts w:cs="Times New Roman"/>
        </w:rPr>
        <w:t xml:space="preserve"> orbáncfű [</w:t>
      </w:r>
      <w:r w:rsidR="00684F45" w:rsidRPr="000149DA">
        <w:rPr>
          <w:rFonts w:cs="Times New Roman"/>
          <w:i/>
        </w:rPr>
        <w:t>Hypericum perforatum</w:t>
      </w:r>
      <w:r w:rsidR="00684F45" w:rsidRPr="000149DA">
        <w:rPr>
          <w:rFonts w:cs="Times New Roman"/>
        </w:rPr>
        <w:t xml:space="preserve">]) ugyancsak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plazmakoncentrációjának csökkenéséhez vezethet. Az ilyen gyógyszerekkel való együttes kezelés esetén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dózismódosítása nem szükséges, ugyanakkor </w:t>
      </w:r>
      <w:r w:rsidR="005A6B5B" w:rsidRPr="000149DA">
        <w:rPr>
          <w:rFonts w:cs="Times New Roman"/>
        </w:rPr>
        <w:t>azoknál a betegeknél, akik a CYP3A4 és a P</w:t>
      </w:r>
      <w:r w:rsidR="005A6B5B" w:rsidRPr="000149DA">
        <w:rPr>
          <w:rFonts w:cs="Times New Roman"/>
        </w:rPr>
        <w:noBreakHyphen/>
        <w:t xml:space="preserve">gp egyaránt erős induktoraival végzett szisztémás kezelést kapnak egyidejűleg az </w:t>
      </w:r>
      <w:r w:rsidR="00D6140D" w:rsidRPr="000149DA">
        <w:rPr>
          <w:rFonts w:cs="Times New Roman"/>
        </w:rPr>
        <w:t>apixabán</w:t>
      </w:r>
      <w:r w:rsidR="005A6B5B" w:rsidRPr="000149DA">
        <w:rPr>
          <w:rFonts w:cs="Times New Roman"/>
        </w:rPr>
        <w:t xml:space="preserve">t óvatosan kell alkalmazni </w:t>
      </w:r>
      <w:r w:rsidR="00684F45" w:rsidRPr="000149DA">
        <w:rPr>
          <w:rFonts w:cs="Times New Roman"/>
        </w:rPr>
        <w:t xml:space="preserve">a stroke és a szisztémás embolizáció prevenciójára a nem </w:t>
      </w:r>
      <w:r w:rsidR="005A6B5B" w:rsidRPr="000149DA">
        <w:rPr>
          <w:rFonts w:cs="Times New Roman"/>
        </w:rPr>
        <w:t>valvuláris</w:t>
      </w:r>
      <w:r w:rsidR="00684F45" w:rsidRPr="000149DA">
        <w:rPr>
          <w:rFonts w:cs="Times New Roman"/>
        </w:rPr>
        <w:t xml:space="preserve"> pitvarfibrillációban szenvedő betegeknél, valamint az MVT és a PE kiújulásának megelőzésére.</w:t>
      </w:r>
      <w:r w:rsidR="00AA0A28" w:rsidRPr="000149DA">
        <w:rPr>
          <w:rFonts w:cs="Times New Roman"/>
        </w:rPr>
        <w:t xml:space="preserve"> </w:t>
      </w:r>
    </w:p>
    <w:p w14:paraId="2569E26E" w14:textId="13827A70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javasolt az MVT és a PE kezelésére azoknál a</w:t>
      </w:r>
      <w:r w:rsidR="005A6B5B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 a CYP3A4 és a P</w:t>
      </w:r>
      <w:r w:rsidR="005A6B5B" w:rsidRPr="000149DA">
        <w:rPr>
          <w:rFonts w:cs="Times New Roman"/>
        </w:rPr>
        <w:noBreakHyphen/>
      </w:r>
      <w:r w:rsidRPr="000149DA">
        <w:rPr>
          <w:rFonts w:cs="Times New Roman"/>
        </w:rPr>
        <w:t>gp egyaránt erős induktoraival végzett szisztémás kezelést kapnak egyidejűleg, mivel a hatásosság csökkenhet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2050ED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74CD926D" w14:textId="0F9FC866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Antikoagulánsok, thrombocyta</w:t>
      </w:r>
      <w:r w:rsidR="005A6B5B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aggregáció gátlók, SSRI</w:t>
      </w:r>
      <w:r w:rsidR="00757152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k/SNRI</w:t>
      </w:r>
      <w:r w:rsidR="00757152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k és nem</w:t>
      </w:r>
      <w:r w:rsidR="00354A0E" w:rsidRPr="000149DA">
        <w:rPr>
          <w:rFonts w:cs="Times New Roman"/>
          <w:u w:val="single"/>
        </w:rPr>
        <w:t>-</w:t>
      </w:r>
      <w:r w:rsidRPr="000149DA">
        <w:rPr>
          <w:rFonts w:cs="Times New Roman"/>
          <w:u w:val="single"/>
        </w:rPr>
        <w:t>szteroid gyulladás</w:t>
      </w:r>
      <w:r w:rsidR="00757152" w:rsidRPr="000149DA">
        <w:rPr>
          <w:rFonts w:cs="Times New Roman"/>
          <w:u w:val="single"/>
        </w:rPr>
        <w:t>gátlók</w:t>
      </w:r>
    </w:p>
    <w:p w14:paraId="0D7742E2" w14:textId="41741F7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vérzés fokozott kockázata miatt bármilyen más antikoagulánssal végezett egyidejű kezelés ellenjavallt, kivéve azokat a specifikus körülményeket, amikor a</w:t>
      </w:r>
      <w:r w:rsidR="0075715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az egyik antikoaguláns kezelésről állítják át egy másikra, amikor a nem frakcionált heparint a centrális vénás vagy artériás kanül átjárhatóságának fenntartásához szükséges dózisokban adják vagy amikor nem frakcionált heparint adnak pitvarfibrilláció miatti katéteres abláció alatt (lásd 4.3</w:t>
      </w:r>
      <w:r w:rsidR="00EA5134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334D7F24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F1353E8" w14:textId="32E15D2A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Az enoxaparin (40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egyszeri adag)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(5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egyszeri adag) történő kombinált alkalmazása után az anti-Xa</w:t>
      </w:r>
      <w:r w:rsidR="000D626C">
        <w:rPr>
          <w:rFonts w:cs="Times New Roman"/>
        </w:rPr>
        <w:t xml:space="preserve"> </w:t>
      </w:r>
      <w:r w:rsidRPr="000149DA">
        <w:rPr>
          <w:rFonts w:cs="Times New Roman"/>
        </w:rPr>
        <w:t>faktor aktivitásra gyakorolt additív hatást figyeltek meg.</w:t>
      </w:r>
    </w:p>
    <w:p w14:paraId="6386BE3A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433C93D5" w14:textId="10C8B79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Naponta egyszeri 325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acetilszalicilsavval együttes kezelés során nem voltak nyilvánvaló farmakokinetikai vagy farmakodinámiás kölcsönhatások.</w:t>
      </w:r>
    </w:p>
    <w:p w14:paraId="0600274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43D500F" w14:textId="746E284B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együtt adott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>l (naponta egyszer 75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vagy 75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l és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adott 162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acetilszalicilsav vagy a prazugr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>l (60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, majd</w:t>
      </w:r>
      <w:r w:rsidR="00BA5797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egyszer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kombinációja a</w:t>
      </w:r>
      <w:r w:rsidR="00BA5797" w:rsidRPr="000149DA">
        <w:rPr>
          <w:rFonts w:cs="Times New Roman"/>
        </w:rPr>
        <w:t>z I.</w:t>
      </w:r>
      <w:r w:rsidRPr="000149DA">
        <w:rPr>
          <w:rFonts w:cs="Times New Roman"/>
        </w:rPr>
        <w:t xml:space="preserve"> fázis</w:t>
      </w:r>
      <w:r w:rsidR="00BA5797" w:rsidRPr="000149DA">
        <w:rPr>
          <w:rFonts w:cs="Times New Roman"/>
        </w:rPr>
        <w:t xml:space="preserve">ú </w:t>
      </w:r>
      <w:r w:rsidRPr="000149DA">
        <w:rPr>
          <w:rFonts w:cs="Times New Roman"/>
        </w:rPr>
        <w:t>vizsgálatokban nem járt a mintaként szolgáló vérzési idő, a thrombocyta</w:t>
      </w:r>
      <w:r w:rsidR="00BA5797" w:rsidRPr="000149DA">
        <w:rPr>
          <w:rFonts w:cs="Times New Roman"/>
        </w:rPr>
        <w:noBreakHyphen/>
      </w:r>
      <w:r w:rsidRPr="000149DA">
        <w:rPr>
          <w:rFonts w:cs="Times New Roman"/>
        </w:rPr>
        <w:t>aggregáció további gátlásának jelentős növekedésével, ha azokat a</w:t>
      </w:r>
      <w:r w:rsidR="00EA513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thrombocyta</w:t>
      </w:r>
      <w:r w:rsidR="00EA5134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aggregációt gátló szerek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nélküli alkalmazásával hasonlították össze. A véralvadási vizsgálatok (PT, INR és aPTT) csak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hatásaival voltak összhangban.</w:t>
      </w:r>
    </w:p>
    <w:p w14:paraId="4F352B50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45CB6A10" w14:textId="0FF96AA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P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D6060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(500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) alkalmazása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és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sorrendben 1,5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szeres, illetve 1,6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szeres növekedéséhez vezetett. </w:t>
      </w:r>
      <w:r w:rsidR="00B1313A" w:rsidRPr="000149DA">
        <w:rPr>
          <w:rFonts w:cs="Times New Roman"/>
        </w:rPr>
        <w:t xml:space="preserve">Ennek megfelelő növekedés volt megfigyelhető </w:t>
      </w:r>
      <w:r w:rsidR="00B35F4F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B1313A" w:rsidRPr="000149DA">
        <w:rPr>
          <w:rFonts w:cs="Times New Roman"/>
        </w:rPr>
        <w:t>nal v</w:t>
      </w:r>
      <w:r w:rsidR="00217E02" w:rsidRPr="000149DA">
        <w:rPr>
          <w:rFonts w:cs="Times New Roman"/>
        </w:rPr>
        <w:t>é</w:t>
      </w:r>
      <w:r w:rsidR="00B1313A" w:rsidRPr="000149DA">
        <w:rPr>
          <w:rFonts w:cs="Times New Roman"/>
        </w:rPr>
        <w:t>gzett</w:t>
      </w:r>
      <w:r w:rsidRPr="000149DA">
        <w:rPr>
          <w:rFonts w:cs="Times New Roman"/>
        </w:rPr>
        <w:t xml:space="preserve"> véralvadási vizsgálatok</w:t>
      </w:r>
      <w:r w:rsidR="00B1313A" w:rsidRPr="000149DA">
        <w:rPr>
          <w:rFonts w:cs="Times New Roman"/>
        </w:rPr>
        <w:t xml:space="preserve">ban is. </w:t>
      </w:r>
      <w:r w:rsidRPr="000149DA">
        <w:rPr>
          <w:rFonts w:cs="Times New Roman"/>
        </w:rPr>
        <w:t>Apixab</w:t>
      </w:r>
      <w:r w:rsidR="00026D63" w:rsidRPr="000149DA">
        <w:rPr>
          <w:rFonts w:cs="Times New Roman"/>
        </w:rPr>
        <w:t>á</w:t>
      </w:r>
      <w:r w:rsidRPr="000149DA">
        <w:rPr>
          <w:rFonts w:cs="Times New Roman"/>
        </w:rPr>
        <w:t>n és</w:t>
      </w:r>
      <w:r w:rsidR="00B1313A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együttes alkalmazása</w:t>
      </w:r>
      <w:r w:rsidR="00B1313A" w:rsidRPr="000149DA">
        <w:rPr>
          <w:rFonts w:cs="Times New Roman"/>
        </w:rPr>
        <w:t>kor</w:t>
      </w:r>
      <w:r w:rsidRPr="000149DA">
        <w:rPr>
          <w:rFonts w:cs="Times New Roman"/>
        </w:rPr>
        <w:t xml:space="preserve"> nem figyeltek meg változást a</w:t>
      </w:r>
      <w:r w:rsidR="00B1313A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arachidonsav indukálta thrombocyta</w:t>
      </w:r>
      <w:r w:rsidR="00B1313A" w:rsidRPr="000149DA">
        <w:rPr>
          <w:rFonts w:cs="Times New Roman"/>
        </w:rPr>
        <w:noBreakHyphen/>
      </w:r>
      <w:r w:rsidRPr="000149DA">
        <w:rPr>
          <w:rFonts w:cs="Times New Roman"/>
        </w:rPr>
        <w:t>aggregáci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kifejtett hatásában, és a vérzési idő klinikailag releváns meghosszabbodása sem volt kimutatható.</w:t>
      </w:r>
    </w:p>
    <w:p w14:paraId="27B0C50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8FA94FD" w14:textId="51C48982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fenti eredmények ellenére lehetnek olyan egyének, akik kifejezettebb farmakodinámiás válasszal reagálnak thrombocyta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217E02" w:rsidRPr="000149DA">
        <w:rPr>
          <w:rFonts w:cs="Times New Roman"/>
        </w:rPr>
        <w:t xml:space="preserve">t </w:t>
      </w:r>
      <w:r w:rsidRPr="000149DA">
        <w:rPr>
          <w:rFonts w:cs="Times New Roman"/>
        </w:rPr>
        <w:t xml:space="preserve">gátló gyógyszer és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együttes adása esetén.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t óvatosan kell alkalmazni, ha SSRI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kel/SNRI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kel, nem</w:t>
      </w:r>
      <w:r w:rsidR="00EE4084" w:rsidRPr="000149DA">
        <w:rPr>
          <w:rFonts w:cs="Times New Roman"/>
        </w:rPr>
        <w:t>-</w:t>
      </w:r>
      <w:r w:rsidRPr="000149DA">
        <w:rPr>
          <w:rFonts w:cs="Times New Roman"/>
        </w:rPr>
        <w:t>szteroid gyulladás</w:t>
      </w:r>
      <w:r w:rsidR="00217E02" w:rsidRPr="000149DA">
        <w:rPr>
          <w:rFonts w:cs="Times New Roman"/>
        </w:rPr>
        <w:t>gátlókkal</w:t>
      </w:r>
      <w:r w:rsidRPr="000149DA">
        <w:rPr>
          <w:rFonts w:cs="Times New Roman"/>
        </w:rPr>
        <w:t>,</w:t>
      </w:r>
      <w:r w:rsidR="00EA513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acetilszalicilsavval és/vagy P2Y12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gátlókkal adják egyidejűleg, mert ezek a gyógyszerek jellemző módon növelik a vérzés kockázatát (lásd 4.4</w:t>
      </w:r>
      <w:r w:rsidR="00EA5134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003274A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AB1A367" w14:textId="66D2972C" w:rsidR="00B62AE4" w:rsidRDefault="001605B1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>ás thrombocyta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gátlókkal (pl. GPIIb/IIIa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receptor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antagonisták, dipiridamol, dextrán és szulfinpirazon) vagy thrombolyticus </w:t>
      </w:r>
      <w:r w:rsidR="00CF2043" w:rsidRPr="000149DA">
        <w:rPr>
          <w:rFonts w:cs="Times New Roman"/>
        </w:rPr>
        <w:t>gyógy</w:t>
      </w:r>
      <w:r w:rsidR="00B62AE4" w:rsidRPr="000149DA">
        <w:rPr>
          <w:rFonts w:cs="Times New Roman"/>
        </w:rPr>
        <w:t>szerekkel</w:t>
      </w:r>
      <w:r w:rsidRPr="000149DA">
        <w:rPr>
          <w:rFonts w:cs="Times New Roman"/>
        </w:rPr>
        <w:t xml:space="preserve"> egyidejű alkalmazásra vonatkozóan korlátozottan állnak rendelkezésre tapasztalatok</w:t>
      </w:r>
      <w:r w:rsidR="00B62AE4" w:rsidRPr="000149DA">
        <w:rPr>
          <w:rFonts w:cs="Times New Roman"/>
        </w:rPr>
        <w:t>. Mivel az ilyen gyógyszerek megnövelik a vérzés kockázatát, eze</w:t>
      </w:r>
      <w:r w:rsidR="006B24F6" w:rsidRPr="000149DA">
        <w:rPr>
          <w:rFonts w:cs="Times New Roman"/>
        </w:rPr>
        <w:t>n</w:t>
      </w:r>
      <w:r w:rsidR="00B62AE4" w:rsidRPr="000149DA">
        <w:rPr>
          <w:rFonts w:cs="Times New Roman"/>
        </w:rPr>
        <w:t xml:space="preserve"> gyógyszerek </w:t>
      </w:r>
      <w:r w:rsidR="00CF2043" w:rsidRPr="000149DA">
        <w:rPr>
          <w:rFonts w:cs="Times New Roman"/>
        </w:rPr>
        <w:t>a</w:t>
      </w:r>
      <w:r w:rsidR="00FA2868" w:rsidRPr="000149DA">
        <w:rPr>
          <w:rFonts w:cs="Times New Roman"/>
        </w:rPr>
        <w:t>pixab</w:t>
      </w:r>
      <w:r w:rsidR="00CF2043" w:rsidRPr="000149DA">
        <w:rPr>
          <w:rFonts w:cs="Times New Roman"/>
        </w:rPr>
        <w:t>á</w:t>
      </w:r>
      <w:r w:rsidR="00FA2868" w:rsidRPr="000149DA">
        <w:rPr>
          <w:rFonts w:cs="Times New Roman"/>
        </w:rPr>
        <w:t>n</w:t>
      </w:r>
      <w:r w:rsidR="00CF2043" w:rsidRPr="000149DA">
        <w:rPr>
          <w:rFonts w:cs="Times New Roman"/>
        </w:rPr>
        <w:t>nal</w:t>
      </w:r>
      <w:r w:rsidR="00B62AE4" w:rsidRPr="000149DA">
        <w:rPr>
          <w:rFonts w:cs="Times New Roman"/>
        </w:rPr>
        <w:t xml:space="preserve"> egyidejű alkalmazása nem javasolt (lásd 4.4</w:t>
      </w:r>
      <w:r w:rsidR="00EA5134" w:rsidRPr="000149DA">
        <w:rPr>
          <w:rFonts w:cs="Times New Roman"/>
        </w:rPr>
        <w:t> pont)</w:t>
      </w:r>
      <w:r w:rsidR="00B62AE4" w:rsidRPr="000149DA">
        <w:rPr>
          <w:rFonts w:cs="Times New Roman"/>
        </w:rPr>
        <w:t>.</w:t>
      </w:r>
    </w:p>
    <w:p w14:paraId="7A66B42C" w14:textId="77777777" w:rsidR="00D31D0F" w:rsidRPr="000149DA" w:rsidRDefault="00D31D0F" w:rsidP="00C87B7D">
      <w:pPr>
        <w:pStyle w:val="Nincstrkz"/>
        <w:rPr>
          <w:rFonts w:cs="Times New Roman"/>
        </w:rPr>
      </w:pPr>
    </w:p>
    <w:p w14:paraId="7BD66881" w14:textId="153F2256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A CV185325 vizsg</w:t>
      </w:r>
      <w:r w:rsidRPr="00D31D0F">
        <w:rPr>
          <w:rFonts w:hint="eastAsia"/>
        </w:rPr>
        <w:t>á</w:t>
      </w:r>
      <w:r w:rsidRPr="00D31D0F">
        <w:t>latban nem jelentettek klinikailag jelent</w:t>
      </w:r>
      <w:r w:rsidRPr="00D31D0F">
        <w:rPr>
          <w:rFonts w:hint="eastAsia"/>
        </w:rPr>
        <w:t>ő</w:t>
      </w:r>
      <w:r w:rsidRPr="00D31D0F">
        <w:t>s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ses esem</w:t>
      </w:r>
      <w:r w:rsidRPr="00D31D0F">
        <w:rPr>
          <w:rFonts w:hint="eastAsia"/>
        </w:rPr>
        <w:t>é</w:t>
      </w:r>
      <w:r w:rsidRPr="00D31D0F">
        <w:t>nyt a</w:t>
      </w:r>
      <w:r>
        <w:t xml:space="preserve"> </w:t>
      </w:r>
      <w:r w:rsidRPr="00D31D0F">
        <w:t>12 gyermekgy</w:t>
      </w:r>
      <w:r w:rsidRPr="00D31D0F">
        <w:rPr>
          <w:rFonts w:hint="eastAsia"/>
        </w:rPr>
        <w:t>ó</w:t>
      </w:r>
      <w:r w:rsidRPr="00D31D0F">
        <w:t>gy</w:t>
      </w:r>
      <w:r w:rsidRPr="00D31D0F">
        <w:rPr>
          <w:rFonts w:hint="eastAsia"/>
        </w:rPr>
        <w:t>á</w:t>
      </w:r>
      <w:r w:rsidRPr="00D31D0F">
        <w:t>szati betegn</w:t>
      </w:r>
      <w:r w:rsidRPr="00D31D0F">
        <w:rPr>
          <w:rFonts w:hint="eastAsia"/>
        </w:rPr>
        <w:t>é</w:t>
      </w:r>
      <w:r w:rsidRPr="00D31D0F">
        <w:t>l, akiket egy</w:t>
      </w:r>
      <w:r w:rsidRPr="00D31D0F">
        <w:rPr>
          <w:rFonts w:hint="eastAsia"/>
        </w:rPr>
        <w:t>ü</w:t>
      </w:r>
      <w:r w:rsidRPr="00D31D0F">
        <w:t>ttesen kezeltek apixab</w:t>
      </w:r>
      <w:r w:rsidRPr="00D31D0F">
        <w:rPr>
          <w:rFonts w:hint="eastAsia"/>
        </w:rPr>
        <w:t>á</w:t>
      </w:r>
      <w:r w:rsidRPr="00D31D0F">
        <w:t xml:space="preserve">nnal </w:t>
      </w:r>
      <w:r w:rsidRPr="00D31D0F">
        <w:rPr>
          <w:rFonts w:hint="eastAsia"/>
        </w:rPr>
        <w:t>é</w:t>
      </w:r>
      <w:r w:rsidRPr="00D31D0F">
        <w:t xml:space="preserve">s </w:t>
      </w:r>
      <w:r w:rsidR="000F3B95" w:rsidRPr="00CE275A">
        <w:rPr>
          <w:noProof/>
          <w:lang w:val="en-US"/>
        </w:rPr>
        <w:t>≤</w:t>
      </w:r>
      <w:r w:rsidRPr="00D31D0F">
        <w:t xml:space="preserve"> 165 mg/napi d</w:t>
      </w:r>
      <w:r w:rsidRPr="00D31D0F">
        <w:rPr>
          <w:rFonts w:hint="eastAsia"/>
        </w:rPr>
        <w:t>ó</w:t>
      </w:r>
      <w:r w:rsidRPr="00D31D0F">
        <w:t>zis</w:t>
      </w:r>
      <w:r w:rsidRPr="00D31D0F">
        <w:rPr>
          <w:rFonts w:hint="eastAsia"/>
        </w:rPr>
        <w:t>ú</w:t>
      </w:r>
      <w:r>
        <w:t xml:space="preserve"> </w:t>
      </w:r>
      <w:r w:rsidRPr="00D31D0F">
        <w:rPr>
          <w:rFonts w:cs="Times New Roman"/>
          <w:lang w:bidi="hu-HU"/>
        </w:rPr>
        <w:t>acetilszalicilsavval.</w:t>
      </w:r>
    </w:p>
    <w:p w14:paraId="71EF07B2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6B740D07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Egyéb egyidejűleg alkalmazott kezelések</w:t>
      </w:r>
    </w:p>
    <w:p w14:paraId="434A4791" w14:textId="42721769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atenolollal vagy famotidinnel együttes alkalmazásakor nem észleltek klinikailag jelentős farmakokinetikai vagy farmakodinámiás kölcsönhatásokat. Tíz milligramm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100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atenolollal való együttes adásának nem volt klinikailag jelentős hatása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farmakokinetikai jellemzőire. A két gyógyszer egy</w:t>
      </w:r>
      <w:r w:rsidR="006B24F6" w:rsidRPr="000149DA">
        <w:rPr>
          <w:rFonts w:cs="Times New Roman"/>
        </w:rPr>
        <w:t>idejű alkalmazása</w:t>
      </w:r>
      <w:r w:rsidRPr="000149DA">
        <w:rPr>
          <w:rFonts w:cs="Times New Roman"/>
        </w:rPr>
        <w:t xml:space="preserve"> után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értéke 15%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kal, a</w:t>
      </w:r>
      <w:r w:rsidR="00EA5134" w:rsidRPr="000149DA">
        <w:rPr>
          <w:rFonts w:cs="Times New Roman"/>
        </w:rPr>
        <w:t xml:space="preserve"> 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-értéke 18%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kal csökkent a külön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külön történő alkalmazáshoz képest. Tíz milligramm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40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famotidinnel együttes alkalmazása nem volt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AUC- és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-értékeire.</w:t>
      </w:r>
    </w:p>
    <w:p w14:paraId="13A8534E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B9091B5" w14:textId="2DF8E2E6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 xml:space="preserve">Az </w:t>
      </w:r>
      <w:r w:rsidR="00D6140D" w:rsidRPr="000149DA">
        <w:rPr>
          <w:rFonts w:cs="Times New Roman"/>
          <w:u w:val="single"/>
        </w:rPr>
        <w:t>apixabán</w:t>
      </w:r>
      <w:r w:rsidRPr="000149DA">
        <w:rPr>
          <w:rFonts w:cs="Times New Roman"/>
          <w:u w:val="single"/>
        </w:rPr>
        <w:t xml:space="preserve"> hatása más gyógyszerekre</w:t>
      </w:r>
    </w:p>
    <w:p w14:paraId="3B2D6F15" w14:textId="30E84710" w:rsidR="00AD5B8D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  <w:i/>
        </w:rPr>
        <w:t>In vitro</w:t>
      </w:r>
      <w:r w:rsidRPr="000149DA">
        <w:rPr>
          <w:rFonts w:cs="Times New Roman"/>
        </w:rPr>
        <w:t xml:space="preserve"> vizsgálatokban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</w:t>
      </w:r>
      <w:r w:rsidR="006B24F6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 </w:t>
      </w:r>
      <w:r w:rsidR="006B24F6" w:rsidRPr="000149DA">
        <w:rPr>
          <w:rFonts w:cs="Times New Roman"/>
        </w:rPr>
        <w:t>megfigyelt</w:t>
      </w:r>
      <w:r w:rsidRPr="000149DA">
        <w:rPr>
          <w:rFonts w:cs="Times New Roman"/>
        </w:rPr>
        <w:t xml:space="preserve"> plazma csúcskoncentrációnál lényegesen magasabb koncentrációkban nem mutatott gátló hatást a CYP1A2, CYP2A6, CYP2B6, CYP2C8, CYP2C9, CYP2D6 vagy a CYP3A4 (IC</w:t>
      </w:r>
      <w:r w:rsidR="006B24F6" w:rsidRPr="000149DA">
        <w:rPr>
          <w:rFonts w:cs="Times New Roman"/>
          <w:vertAlign w:val="subscript"/>
        </w:rPr>
        <w:t>50</w:t>
      </w:r>
      <w:r w:rsidRPr="000149DA">
        <w:rPr>
          <w:rFonts w:cs="Times New Roman"/>
        </w:rPr>
        <w:t xml:space="preserve"> &gt;</w:t>
      </w:r>
      <w:r w:rsidR="006B24F6" w:rsidRPr="000149DA">
        <w:rPr>
          <w:rFonts w:cs="Times New Roman"/>
        </w:rPr>
        <w:t> </w:t>
      </w:r>
      <w:r w:rsidRPr="000149DA">
        <w:rPr>
          <w:rFonts w:cs="Times New Roman"/>
        </w:rPr>
        <w:t>45</w:t>
      </w:r>
      <w:r w:rsidR="006B24F6" w:rsidRPr="000149DA">
        <w:rPr>
          <w:rFonts w:cs="Times New Roman"/>
        </w:rPr>
        <w:t> mikromol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>) enzimek aktivitására, és gyenge gátló hatást mutatott a CYP2C19 (IC</w:t>
      </w:r>
      <w:r w:rsidR="006B24F6" w:rsidRPr="000149DA">
        <w:rPr>
          <w:rFonts w:cs="Times New Roman"/>
          <w:vertAlign w:val="subscript"/>
        </w:rPr>
        <w:t>50</w:t>
      </w:r>
      <w:r w:rsidRPr="000149DA">
        <w:rPr>
          <w:rFonts w:cs="Times New Roman"/>
        </w:rPr>
        <w:t xml:space="preserve"> &gt;</w:t>
      </w:r>
      <w:r w:rsidR="006B24F6" w:rsidRPr="000149DA">
        <w:rPr>
          <w:rFonts w:cs="Times New Roman"/>
        </w:rPr>
        <w:t> </w:t>
      </w:r>
      <w:r w:rsidRPr="000149DA">
        <w:rPr>
          <w:rFonts w:cs="Times New Roman"/>
        </w:rPr>
        <w:t>20</w:t>
      </w:r>
      <w:r w:rsidR="006B24F6" w:rsidRPr="000149DA">
        <w:rPr>
          <w:rFonts w:cs="Times New Roman"/>
        </w:rPr>
        <w:t> mikromol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 xml:space="preserve">) enzim aktivitására.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94445F" w:rsidRPr="000149DA">
        <w:rPr>
          <w:rFonts w:cs="Times New Roman"/>
        </w:rPr>
        <w:t xml:space="preserve">legfeljebb </w:t>
      </w:r>
      <w:r w:rsidRPr="000149DA">
        <w:rPr>
          <w:rFonts w:cs="Times New Roman"/>
        </w:rPr>
        <w:t>20</w:t>
      </w:r>
      <w:r w:rsidR="00EA5134" w:rsidRPr="000149DA">
        <w:rPr>
          <w:rFonts w:cs="Times New Roman"/>
        </w:rPr>
        <w:t> mikro</w:t>
      </w:r>
      <w:r w:rsidR="00AD5B8D" w:rsidRPr="000149DA">
        <w:rPr>
          <w:rFonts w:cs="Times New Roman"/>
        </w:rPr>
        <w:t>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 xml:space="preserve"> koncentrációig nem </w:t>
      </w:r>
      <w:r w:rsidR="00AD5B8D" w:rsidRPr="000149DA">
        <w:rPr>
          <w:rFonts w:cs="Times New Roman"/>
        </w:rPr>
        <w:t xml:space="preserve">indukálta a CYP1A2, CYP2B6, illetve a CYP3A4/5 enzimeket. Következésképpen nem várható, hogy az </w:t>
      </w:r>
      <w:r w:rsidR="00D6140D" w:rsidRPr="000149DA">
        <w:rPr>
          <w:rFonts w:cs="Times New Roman"/>
        </w:rPr>
        <w:t>apixabán</w:t>
      </w:r>
      <w:r w:rsidR="00AD5B8D" w:rsidRPr="000149DA">
        <w:rPr>
          <w:rFonts w:cs="Times New Roman"/>
        </w:rPr>
        <w:t xml:space="preserve"> megváltoztatja azoknak az együttesen alkalmazott gyógyszereknek a metabolikus clearance</w:t>
      </w:r>
      <w:r w:rsidR="00AD5B8D" w:rsidRPr="000149DA">
        <w:rPr>
          <w:rFonts w:cs="Times New Roman"/>
        </w:rPr>
        <w:noBreakHyphen/>
        <w:t xml:space="preserve">ét, melyeket a fenti enzimek metabolizálnak. Az </w:t>
      </w:r>
      <w:r w:rsidR="00D6140D" w:rsidRPr="000149DA">
        <w:rPr>
          <w:rFonts w:cs="Times New Roman"/>
        </w:rPr>
        <w:t>apixabán</w:t>
      </w:r>
      <w:r w:rsidR="00AD5B8D" w:rsidRPr="000149DA">
        <w:rPr>
          <w:rFonts w:cs="Times New Roman"/>
        </w:rPr>
        <w:t xml:space="preserve"> nem gátolja jelentős mértékben a P</w:t>
      </w:r>
      <w:r w:rsidR="00AD5B8D" w:rsidRPr="000149DA">
        <w:rPr>
          <w:rFonts w:cs="Times New Roman"/>
        </w:rPr>
        <w:noBreakHyphen/>
        <w:t>gp</w:t>
      </w:r>
      <w:r w:rsidR="00AD5B8D" w:rsidRPr="000149DA">
        <w:rPr>
          <w:rFonts w:cs="Times New Roman"/>
        </w:rPr>
        <w:noBreakHyphen/>
        <w:t>t.</w:t>
      </w:r>
    </w:p>
    <w:p w14:paraId="22BDD363" w14:textId="77777777" w:rsidR="00AD5B8D" w:rsidRPr="000149DA" w:rsidRDefault="00AD5B8D" w:rsidP="00C87B7D">
      <w:pPr>
        <w:pStyle w:val="Nincstrkz"/>
        <w:rPr>
          <w:rFonts w:cs="Times New Roman"/>
        </w:rPr>
      </w:pPr>
    </w:p>
    <w:p w14:paraId="454F4451" w14:textId="59FAFBE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alábbiakban részletezett, egészséges egyéneken végzett vizsgálatok szerint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változtatta meg számottevően a digoxin, a</w:t>
      </w:r>
      <w:r w:rsidR="00AD5B8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vagy az atenolol farmakokinetikáját.</w:t>
      </w:r>
    </w:p>
    <w:p w14:paraId="0CFCB87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63D42F5" w14:textId="77777777" w:rsidR="00B62AE4" w:rsidRPr="000149DA" w:rsidRDefault="00B62AE4" w:rsidP="0099324B">
      <w:pPr>
        <w:pStyle w:val="Nincstrkz"/>
        <w:widowControl w:val="0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Digoxin</w:t>
      </w:r>
    </w:p>
    <w:p w14:paraId="073EA4C6" w14:textId="2C36B889" w:rsidR="00B62AE4" w:rsidRPr="000149DA" w:rsidRDefault="00B62AE4" w:rsidP="0099324B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Naponta egyszer 20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</w:t>
      </w:r>
      <w:r w:rsidR="00AD5B8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0,25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digoxin (P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gp szubsztrát) együttes alkalmazása nem befolyásolta a digoxin AUC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, illetve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 xml:space="preserve">-értékét, következésképpen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gátolja a P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gp mediálta szubsztrát transzportot.</w:t>
      </w:r>
    </w:p>
    <w:p w14:paraId="0943E56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0CC426A4" w14:textId="77777777" w:rsidR="00B62AE4" w:rsidRPr="000149DA" w:rsidRDefault="00B62AE4" w:rsidP="00C87B7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Naproxén</w:t>
      </w:r>
    </w:p>
    <w:p w14:paraId="5C0B17FA" w14:textId="4A5230EB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(10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és egy gyakran használt NSAID, a</w:t>
      </w:r>
      <w:r w:rsidR="00EA513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(500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egyszeri dózisai</w:t>
      </w:r>
      <w:r w:rsidR="00AD5B8D" w:rsidRPr="000149DA">
        <w:rPr>
          <w:rFonts w:cs="Times New Roman"/>
        </w:rPr>
        <w:t>nak</w:t>
      </w:r>
      <w:r w:rsidRPr="000149DA">
        <w:rPr>
          <w:rFonts w:cs="Times New Roman"/>
        </w:rPr>
        <w:t xml:space="preserve"> együttes alkalmazásának nem volt semmilyen hatása a</w:t>
      </w:r>
      <w:r w:rsidR="00EA513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AUC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, illetve C</w:t>
      </w:r>
      <w:r w:rsidR="00C77F20" w:rsidRPr="000149DA">
        <w:rPr>
          <w:rFonts w:cs="Times New Roman"/>
          <w:vertAlign w:val="subscript"/>
        </w:rPr>
        <w:t>max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értékére.</w:t>
      </w:r>
    </w:p>
    <w:p w14:paraId="30A3A6B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113F8C9B" w14:textId="77777777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Atenolol</w:t>
      </w:r>
    </w:p>
    <w:p w14:paraId="4E01CCC8" w14:textId="4E2B7658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(10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és egy gyakran használt béta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blokkoló, az atenolol (100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egyszeri dózisainak együttes alkalmazása nem változtatta meg az atenolol farmakokinetikáját.</w:t>
      </w:r>
    </w:p>
    <w:p w14:paraId="3619F085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1C2CEC52" w14:textId="77777777" w:rsidR="00B62AE4" w:rsidRPr="000149DA" w:rsidRDefault="00B62AE4" w:rsidP="00C87B7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Orvosi szén</w:t>
      </w:r>
    </w:p>
    <w:p w14:paraId="0272BCA4" w14:textId="0ABFEEED" w:rsidR="00B62AE4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orvosi szén adása csökkenti az </w:t>
      </w:r>
      <w:r w:rsidR="00D6140D" w:rsidRPr="000149DA">
        <w:rPr>
          <w:rFonts w:cs="Times New Roman"/>
        </w:rPr>
        <w:t>apixabán</w:t>
      </w:r>
      <w:r w:rsidR="00776872">
        <w:rPr>
          <w:rFonts w:cs="Times New Roman"/>
        </w:rPr>
        <w:t>-</w:t>
      </w:r>
      <w:r w:rsidRPr="000149DA">
        <w:rPr>
          <w:rFonts w:cs="Times New Roman"/>
        </w:rPr>
        <w:t>expozíciót (lásd 4.9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45E69E0C" w14:textId="77777777" w:rsidR="007A6105" w:rsidRPr="000149DA" w:rsidRDefault="007A6105" w:rsidP="00C87B7D">
      <w:pPr>
        <w:pStyle w:val="Nincstrkz"/>
        <w:rPr>
          <w:rFonts w:cs="Times New Roman"/>
        </w:rPr>
      </w:pPr>
    </w:p>
    <w:p w14:paraId="4A50418F" w14:textId="768C1F82" w:rsidR="007A6105" w:rsidRPr="00304D8C" w:rsidRDefault="007A6105" w:rsidP="007A6105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Gyermekek és serdülők</w:t>
      </w:r>
    </w:p>
    <w:p w14:paraId="5467BC95" w14:textId="77777777" w:rsidR="007A6105" w:rsidRDefault="007A6105" w:rsidP="007A6105">
      <w:pPr>
        <w:pStyle w:val="Nincstrkz"/>
        <w:rPr>
          <w:rFonts w:cs="Times New Roman"/>
        </w:rPr>
      </w:pPr>
      <w:r w:rsidRPr="007A6105">
        <w:rPr>
          <w:rFonts w:cs="Times New Roman"/>
        </w:rPr>
        <w:t>Interakciós vizsgálatokat nem végeztek gyermekeknél és serdülőknél.</w:t>
      </w:r>
    </w:p>
    <w:p w14:paraId="06BB918F" w14:textId="63F1F598" w:rsidR="00B62AE4" w:rsidRDefault="007A6105" w:rsidP="007A6105">
      <w:pPr>
        <w:pStyle w:val="Nincstrkz"/>
        <w:rPr>
          <w:rFonts w:cs="Times New Roman"/>
          <w:lang w:bidi="hu-HU"/>
        </w:rPr>
      </w:pPr>
      <w:r w:rsidRPr="007A6105">
        <w:rPr>
          <w:rFonts w:cs="Times New Roman"/>
        </w:rPr>
        <w:t>A fent említett interakciós</w:t>
      </w:r>
      <w:r>
        <w:rPr>
          <w:rFonts w:cs="Times New Roman"/>
        </w:rPr>
        <w:t xml:space="preserve"> </w:t>
      </w:r>
      <w:r w:rsidRPr="007A6105">
        <w:rPr>
          <w:rFonts w:cs="Times New Roman"/>
        </w:rPr>
        <w:t>adatok felnőttektől származnak, és figyelembe kell venni a 4.4 pontban szereplő figyelmeztetéseket a</w:t>
      </w:r>
      <w:r>
        <w:rPr>
          <w:rFonts w:cs="Times New Roman"/>
        </w:rPr>
        <w:t xml:space="preserve"> </w:t>
      </w:r>
      <w:r w:rsidRPr="007A6105">
        <w:rPr>
          <w:rFonts w:cs="Times New Roman"/>
          <w:lang w:bidi="hu-HU"/>
        </w:rPr>
        <w:t>gyermekeknél és serdülőknél is.</w:t>
      </w:r>
    </w:p>
    <w:p w14:paraId="4769CF9B" w14:textId="77777777" w:rsidR="007A6105" w:rsidRPr="000149DA" w:rsidRDefault="007A6105" w:rsidP="007A6105">
      <w:pPr>
        <w:pStyle w:val="Nincstrkz"/>
        <w:rPr>
          <w:rFonts w:cs="Times New Roman"/>
        </w:rPr>
      </w:pPr>
    </w:p>
    <w:p w14:paraId="64CBD458" w14:textId="2F699979" w:rsidR="00B62AE4" w:rsidRPr="000149DA" w:rsidRDefault="00EA5134" w:rsidP="00EA5134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4.6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Termékenység, terhesség és</w:t>
      </w:r>
      <w:r w:rsidR="00B62AE4" w:rsidRPr="000149DA">
        <w:rPr>
          <w:rFonts w:cs="Times New Roman"/>
          <w:b/>
          <w:bCs/>
          <w:spacing w:val="-6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szoptatás</w:t>
      </w:r>
    </w:p>
    <w:p w14:paraId="7A9E2A0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0BFE31B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Terhesség</w:t>
      </w:r>
    </w:p>
    <w:p w14:paraId="7C784711" w14:textId="29C632BD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terhes nőknél történő alkalmazásáról nincs</w:t>
      </w:r>
      <w:r w:rsidR="00AD5B8D" w:rsidRPr="000149DA">
        <w:rPr>
          <w:rFonts w:cs="Times New Roman"/>
        </w:rPr>
        <w:t>enek</w:t>
      </w:r>
      <w:r w:rsidRPr="000149DA">
        <w:rPr>
          <w:rFonts w:cs="Times New Roman"/>
        </w:rPr>
        <w:t xml:space="preserve"> adat</w:t>
      </w:r>
      <w:r w:rsidR="00AD5B8D" w:rsidRPr="000149DA">
        <w:rPr>
          <w:rFonts w:cs="Times New Roman"/>
        </w:rPr>
        <w:t>ok</w:t>
      </w:r>
      <w:r w:rsidRPr="000149DA">
        <w:rPr>
          <w:rFonts w:cs="Times New Roman"/>
        </w:rPr>
        <w:t>. Állatkísérletek nem igazoltak direkt vagy indirekt káros hatásokat a reproduktív toxicitás tekintetében</w:t>
      </w:r>
      <w:r w:rsidR="00CF2043" w:rsidRPr="000149DA">
        <w:rPr>
          <w:rFonts w:cs="Times New Roman"/>
        </w:rPr>
        <w:t xml:space="preserve"> (lásd 5.3 pont)</w:t>
      </w:r>
      <w:r w:rsidRPr="000149DA">
        <w:rPr>
          <w:rFonts w:cs="Times New Roman"/>
        </w:rPr>
        <w:t xml:space="preserve">. </w:t>
      </w:r>
      <w:r w:rsidR="00CF2043" w:rsidRPr="000149DA">
        <w:rPr>
          <w:rFonts w:cs="Times New Roman"/>
        </w:rPr>
        <w:t>Elővigyázatosságból célszerű kerülni a</w:t>
      </w:r>
      <w:r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</w:t>
      </w:r>
      <w:r w:rsidR="00CF2043" w:rsidRPr="000149DA">
        <w:rPr>
          <w:rFonts w:cs="Times New Roman"/>
        </w:rPr>
        <w:t>át</w:t>
      </w:r>
      <w:r w:rsidRPr="000149DA">
        <w:rPr>
          <w:rFonts w:cs="Times New Roman"/>
        </w:rPr>
        <w:t xml:space="preserve"> </w:t>
      </w:r>
      <w:r w:rsidR="00AE0D16" w:rsidRPr="000149DA">
        <w:rPr>
          <w:rFonts w:cs="Times New Roman"/>
        </w:rPr>
        <w:t>terhesség alatt</w:t>
      </w:r>
      <w:r w:rsidRPr="000149DA">
        <w:rPr>
          <w:rFonts w:cs="Times New Roman"/>
        </w:rPr>
        <w:t>.</w:t>
      </w:r>
    </w:p>
    <w:p w14:paraId="2D4B433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B5EB8D9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Szoptatás</w:t>
      </w:r>
    </w:p>
    <w:p w14:paraId="3BE64030" w14:textId="25E2BAC2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ismert, hogy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vagy annak metabolitjai kiválasztódnak</w:t>
      </w:r>
      <w:r w:rsidR="00AE0D1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 a humán anyatejbe. A rendelkezésre álló, állatkísérletekből származó adatok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anyatejbe való kiválasztódását igazolták</w:t>
      </w:r>
      <w:r w:rsidR="00CF2043" w:rsidRPr="000149DA">
        <w:rPr>
          <w:rFonts w:cs="Times New Roman"/>
        </w:rPr>
        <w:t xml:space="preserve"> (lásd 5.3 pont)</w:t>
      </w:r>
      <w:r w:rsidRPr="000149DA">
        <w:rPr>
          <w:rFonts w:cs="Times New Roman"/>
        </w:rPr>
        <w:t>. Az anyatejjel táplált csecsemőre nézve a kockázatot nem lehet kizárni.</w:t>
      </w:r>
    </w:p>
    <w:p w14:paraId="0B3945BC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F34FE09" w14:textId="1070854B" w:rsidR="00B62AE4" w:rsidRPr="000149DA" w:rsidRDefault="00B62AE4" w:rsidP="00CF2043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alkalmazása előtt el kell dönteni, hogy a szoptatást függesztik fel vagy </w:t>
      </w:r>
      <w:r w:rsidR="00AE0D16" w:rsidRPr="000149DA">
        <w:rPr>
          <w:rFonts w:cs="Times New Roman"/>
        </w:rPr>
        <w:t>leállítják</w:t>
      </w:r>
      <w:r w:rsidRPr="000149DA">
        <w:rPr>
          <w:rFonts w:cs="Times New Roman"/>
        </w:rPr>
        <w:t xml:space="preserve"> a kezelést/tartózkodnak a kezeléstől</w:t>
      </w:r>
      <w:r w:rsidR="006B52B1">
        <w:rPr>
          <w:rFonts w:cs="Times New Roman"/>
        </w:rPr>
        <w:t xml:space="preserve">, </w:t>
      </w:r>
      <w:r w:rsidR="00CF2043" w:rsidRPr="000149DA">
        <w:rPr>
          <w:rFonts w:cs="Times New Roman"/>
        </w:rPr>
        <w:t>figyelembe véve a szoptatás előnyét a gyermek, valamint a terápia előnyét a</w:t>
      </w:r>
      <w:r w:rsidR="006B52B1">
        <w:rPr>
          <w:rFonts w:cs="Times New Roman"/>
        </w:rPr>
        <w:t>z anya szempontjából.</w:t>
      </w:r>
    </w:p>
    <w:p w14:paraId="1F0276B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C90FCFC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Termékenység</w:t>
      </w:r>
    </w:p>
    <w:p w14:paraId="2146135C" w14:textId="70F29B4E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Apixab</w:t>
      </w:r>
      <w:r w:rsidR="00942A4F" w:rsidRPr="000149DA">
        <w:rPr>
          <w:rFonts w:cs="Times New Roman"/>
        </w:rPr>
        <w:t>á</w:t>
      </w:r>
      <w:r w:rsidRPr="000149DA">
        <w:rPr>
          <w:rFonts w:cs="Times New Roman"/>
        </w:rPr>
        <w:t xml:space="preserve">nnal kezelet állatokon végzett kísérletek során </w:t>
      </w:r>
      <w:r w:rsidR="00AE0D16" w:rsidRPr="000149DA">
        <w:rPr>
          <w:rFonts w:cs="Times New Roman"/>
        </w:rPr>
        <w:t xml:space="preserve">nem igazoltak </w:t>
      </w:r>
      <w:r w:rsidRPr="000149DA">
        <w:rPr>
          <w:rFonts w:cs="Times New Roman"/>
        </w:rPr>
        <w:t>termékenységre gyakorolt hatást (lásd 5.3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86172A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6D7886BF" w14:textId="1DFABFFF" w:rsidR="00B62AE4" w:rsidRPr="000149DA" w:rsidRDefault="00045408" w:rsidP="00C87B7D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4.7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készítmény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hatásai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7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gépjárművezetéshez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és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gépek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kezeléséhez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szükséges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</w:rPr>
        <w:t>képességekre</w:t>
      </w:r>
    </w:p>
    <w:p w14:paraId="43D646EC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0E6B9731" w14:textId="44CCDC4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nem, vagy csak elhanyagolható mértékben befolyásolja a gépjárművezetéshez és a gépek kezeléséhez szükséges képességeket.</w:t>
      </w:r>
    </w:p>
    <w:p w14:paraId="5093E2E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474A949" w14:textId="72D290ED" w:rsidR="00B62AE4" w:rsidRPr="000149DA" w:rsidRDefault="00045408" w:rsidP="00045408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4.8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Nemkívánatos hatások,</w:t>
      </w:r>
      <w:r w:rsidR="00B62AE4" w:rsidRPr="000149DA">
        <w:rPr>
          <w:rFonts w:cs="Times New Roman"/>
          <w:b/>
          <w:bCs/>
          <w:spacing w:val="-4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mellékhatások</w:t>
      </w:r>
    </w:p>
    <w:p w14:paraId="1A8F288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011319DE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biztonságossági profil összefoglalása</w:t>
      </w:r>
    </w:p>
    <w:p w14:paraId="54D4040F" w14:textId="3214F836" w:rsidR="00B62AE4" w:rsidRPr="000149DA" w:rsidRDefault="007A6105" w:rsidP="00C87B7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biztonságosságát </w:t>
      </w:r>
      <w:r w:rsidR="007032FE" w:rsidRPr="000149DA">
        <w:rPr>
          <w:rFonts w:cs="Times New Roman"/>
        </w:rPr>
        <w:t>4</w:t>
      </w:r>
      <w:r w:rsidR="00045408" w:rsidRPr="000149DA">
        <w:rPr>
          <w:rFonts w:cs="Times New Roman"/>
        </w:rPr>
        <w:t>,</w:t>
      </w:r>
      <w:r w:rsidR="00B62AE4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 xml:space="preserve">III. </w:t>
      </w:r>
      <w:r w:rsidR="00B62AE4" w:rsidRPr="000149DA">
        <w:rPr>
          <w:rFonts w:cs="Times New Roman"/>
        </w:rPr>
        <w:t>fázis</w:t>
      </w:r>
      <w:r w:rsidR="00045408" w:rsidRPr="000149DA">
        <w:rPr>
          <w:rFonts w:cs="Times New Roman"/>
        </w:rPr>
        <w:t>ú</w:t>
      </w:r>
      <w:r w:rsidR="00B62AE4" w:rsidRPr="000149DA">
        <w:rPr>
          <w:rFonts w:cs="Times New Roman"/>
        </w:rPr>
        <w:t xml:space="preserve"> klinikai vizsgálatban értékelték, melyekben több mint </w:t>
      </w:r>
      <w:r w:rsidR="007032FE" w:rsidRPr="000149DA">
        <w:rPr>
          <w:rFonts w:cs="Times New Roman"/>
        </w:rPr>
        <w:t>15 </w:t>
      </w:r>
      <w:r w:rsidR="00B62AE4" w:rsidRPr="000149DA">
        <w:rPr>
          <w:rFonts w:cs="Times New Roman"/>
        </w:rPr>
        <w:t>000</w:t>
      </w:r>
      <w:r w:rsidR="00A1416D" w:rsidRPr="000149DA">
        <w:rPr>
          <w:rFonts w:cs="Times New Roman"/>
        </w:rPr>
        <w:t> beteg</w:t>
      </w:r>
      <w:r w:rsidR="00B62AE4" w:rsidRPr="000149DA">
        <w:rPr>
          <w:rFonts w:cs="Times New Roman"/>
        </w:rPr>
        <w:t xml:space="preserve"> vett részt: több mint 11</w:t>
      </w:r>
      <w:r w:rsidR="00045408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000</w:t>
      </w:r>
      <w:r w:rsidR="00A1416D" w:rsidRPr="000149DA">
        <w:rPr>
          <w:rFonts w:cs="Times New Roman"/>
        </w:rPr>
        <w:t> beteg</w:t>
      </w:r>
      <w:r w:rsidR="00B62AE4" w:rsidRPr="000149DA">
        <w:rPr>
          <w:rFonts w:cs="Times New Roman"/>
        </w:rPr>
        <w:t xml:space="preserve"> az NVPF vizsgálatokban, és több mint 4000</w:t>
      </w:r>
      <w:r w:rsidR="00570997" w:rsidRPr="000149DA">
        <w:rPr>
          <w:rFonts w:cs="Times New Roman"/>
        </w:rPr>
        <w:t> beteg</w:t>
      </w:r>
      <w:r w:rsidR="00B62AE4" w:rsidRPr="000149DA">
        <w:rPr>
          <w:rFonts w:cs="Times New Roman"/>
        </w:rPr>
        <w:t xml:space="preserve"> a VTE</w:t>
      </w:r>
      <w:r w:rsidR="0057099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terápiás (VTEt) vizsgálatokban, sorrendben átlagosan 1,7</w:t>
      </w:r>
      <w:r w:rsidR="00045408" w:rsidRPr="000149DA">
        <w:rPr>
          <w:rFonts w:cs="Times New Roman"/>
        </w:rPr>
        <w:t> év</w:t>
      </w:r>
      <w:r w:rsidR="00B62AE4" w:rsidRPr="000149DA">
        <w:rPr>
          <w:rFonts w:cs="Times New Roman"/>
        </w:rPr>
        <w:t>es és 221</w:t>
      </w:r>
      <w:r w:rsidR="003B67D5" w:rsidRPr="000149DA">
        <w:rPr>
          <w:rFonts w:cs="Times New Roman"/>
        </w:rPr>
        <w:t> nap</w:t>
      </w:r>
      <w:r w:rsidR="00B62AE4" w:rsidRPr="000149DA">
        <w:rPr>
          <w:rFonts w:cs="Times New Roman"/>
        </w:rPr>
        <w:t>os összexpozícióval (lásd 5.1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64AC85F2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499B79B1" w14:textId="37505F7C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Gyakori mellékhatás volt a vérzés, contusio, epistaxis és haematoma (a nemkívánatos eseményprofilt és az indikációk szerinti gyakoriságokat lásd a 2. táblázatban).</w:t>
      </w:r>
    </w:p>
    <w:p w14:paraId="6C9860E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A271502" w14:textId="09AE928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NVPF vizsgálatokban </w:t>
      </w:r>
      <w:r w:rsidR="00D72B51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D72B51" w:rsidRPr="000149DA">
        <w:rPr>
          <w:rFonts w:cs="Times New Roman"/>
        </w:rPr>
        <w:t>esetében</w:t>
      </w:r>
      <w:r w:rsidRPr="000149DA">
        <w:rPr>
          <w:rFonts w:cs="Times New Roman"/>
        </w:rPr>
        <w:t xml:space="preserve"> a vérzéssel összefüggő mellékhatások teljes előfordulási gyakorisága 24,3%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warfarinnal összehasonlító vizsgálatban, és 9,6%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acetilszalicilsavval összehasonlító vizsgálatban.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vs. warfarin vizsgálatban az ISTH</w:t>
      </w:r>
      <w:r w:rsidR="00D72B5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szerinti jelentős gastrointestinalis vérzések (beleértve a tápcsatorna felső, a </w:t>
      </w:r>
      <w:r w:rsidR="00D72B51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ápcsatorna alsó részéről kiinduló, valamint a rectalis vérzést is) előfordulási gyakorisága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D72B51" w:rsidRPr="000149DA">
        <w:rPr>
          <w:rFonts w:cs="Times New Roman"/>
        </w:rPr>
        <w:t>esetében</w:t>
      </w:r>
      <w:r w:rsidRPr="000149DA">
        <w:rPr>
          <w:rFonts w:cs="Times New Roman"/>
        </w:rPr>
        <w:t xml:space="preserve"> 0,76%/év volt. Az ISTH</w:t>
      </w:r>
      <w:r w:rsidR="00D72B5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szerinti jelentős intraocularis vérzés előfordulási gyakorisága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mellett 0,18%/év volt.</w:t>
      </w:r>
    </w:p>
    <w:p w14:paraId="285DCC10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16A4F97" w14:textId="26EAB011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VTEt vizsgálatokban az </w:t>
      </w:r>
      <w:r w:rsidR="00D6140D" w:rsidRPr="000149DA">
        <w:rPr>
          <w:rFonts w:cs="Times New Roman"/>
        </w:rPr>
        <w:t>apixabán</w:t>
      </w:r>
      <w:r w:rsidR="00D72B51" w:rsidRPr="000149DA">
        <w:rPr>
          <w:rFonts w:cs="Times New Roman"/>
        </w:rPr>
        <w:t>ra vonatkozóan</w:t>
      </w:r>
      <w:r w:rsidRPr="000149DA">
        <w:rPr>
          <w:rFonts w:cs="Times New Roman"/>
        </w:rPr>
        <w:t xml:space="preserve"> a vérzéssel összefüggő mellékhatások teljes előfordulási gyakorisága 15,6%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enoxaparinnal/warfarinnal összehasonlító vizsgálatban, és 13,3%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placebóval összehasonlító vizsgálatban (lásd 5.1</w:t>
      </w:r>
      <w:r w:rsidR="00045408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567C1C2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72513598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mellékhatások táblázatos felsorolása</w:t>
      </w:r>
    </w:p>
    <w:p w14:paraId="4ECA679E" w14:textId="69830795" w:rsidR="00B85B35" w:rsidRDefault="00680A5D" w:rsidP="00B85B3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</w:t>
      </w:r>
      <w:r w:rsidR="00B85B35">
        <w:rPr>
          <w:rFonts w:cs="Times New Roman"/>
        </w:rPr>
        <w:t>3</w:t>
      </w:r>
      <w:r w:rsidRPr="000149DA">
        <w:rPr>
          <w:rFonts w:cs="Times New Roman"/>
        </w:rPr>
        <w:t>. táblázat szervrendszeri kategóriánként és gyakoriság szerint osztályozva, az alábbi megegyezés szerint mutatja a mellékhatásokat: nagyon gyakori (≥ 1/10), gyakori (≥ 1/100</w:t>
      </w:r>
      <w:r w:rsidRPr="000149DA">
        <w:rPr>
          <w:rFonts w:cs="Times New Roman"/>
        </w:rPr>
        <w:noBreakHyphen/>
        <w:t>&lt; 1/10), nem gyakori (≥ 1/1000</w:t>
      </w:r>
      <w:r w:rsidRPr="000149DA">
        <w:rPr>
          <w:rFonts w:cs="Times New Roman"/>
        </w:rPr>
        <w:noBreakHyphen/>
        <w:t>&lt; 1/100), ritka (≥ 1/10 000</w:t>
      </w:r>
      <w:r w:rsidRPr="000149DA">
        <w:rPr>
          <w:rFonts w:cs="Times New Roman"/>
        </w:rPr>
        <w:noBreakHyphen/>
        <w:t xml:space="preserve">&lt; 1/1000) és nagyon ritka (&lt; 1/10 000), nem ismert (a </w:t>
      </w:r>
      <w:r w:rsidR="00942A4F" w:rsidRPr="000149DA">
        <w:rPr>
          <w:rFonts w:cs="Times New Roman"/>
        </w:rPr>
        <w:t xml:space="preserve">gyakoriság a </w:t>
      </w:r>
      <w:r w:rsidRPr="000149DA">
        <w:rPr>
          <w:rFonts w:cs="Times New Roman"/>
        </w:rPr>
        <w:t>rendelkezésre álló adatokból nem állapítható meg), sorrendben az NVPF és a VTEt esetén</w:t>
      </w:r>
      <w:r w:rsidR="00B85B35">
        <w:rPr>
          <w:rFonts w:cs="Times New Roman"/>
        </w:rPr>
        <w:t xml:space="preserve"> </w:t>
      </w:r>
      <w:r w:rsidR="00B85B35" w:rsidRPr="00B85B35">
        <w:rPr>
          <w:rFonts w:cs="Times New Roman"/>
        </w:rPr>
        <w:t>vagy a VTEt esetén felnőtteknél, illetve VTEt és kiújuló VTE megelőzése esetén gyermekeknél és</w:t>
      </w:r>
      <w:r w:rsidR="00B85B35">
        <w:rPr>
          <w:rFonts w:cs="Times New Roman"/>
        </w:rPr>
        <w:t xml:space="preserve"> </w:t>
      </w:r>
      <w:r w:rsidR="00B85B35" w:rsidRPr="00B85B35">
        <w:rPr>
          <w:rFonts w:cs="Times New Roman"/>
        </w:rPr>
        <w:t>serdülőknél 28 napos kortól &lt; 18 éves korig.</w:t>
      </w:r>
    </w:p>
    <w:p w14:paraId="29BA584C" w14:textId="77777777" w:rsidR="00B85B35" w:rsidRPr="00B85B35" w:rsidRDefault="00B85B35" w:rsidP="00B85B35">
      <w:pPr>
        <w:pStyle w:val="Nincstrkz"/>
        <w:rPr>
          <w:rFonts w:cs="Times New Roman"/>
        </w:rPr>
      </w:pPr>
    </w:p>
    <w:p w14:paraId="45F600A0" w14:textId="77777777" w:rsidR="00B85B35" w:rsidRPr="00B85B35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A 3. táblázatban a gyermekekre és serdülőkre vonatkozóan jelentett mellékhatások gyakorisága a</w:t>
      </w:r>
    </w:p>
    <w:p w14:paraId="0982C701" w14:textId="77777777" w:rsidR="00B85B35" w:rsidRPr="00B85B35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CV185325 vizsgálatból származik, amelyben az apixabánt a VTE kezelésére és a VTE kiújulásának</w:t>
      </w:r>
    </w:p>
    <w:p w14:paraId="30820D38" w14:textId="62C6C268" w:rsidR="00B62AE4" w:rsidRPr="000149DA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megelőzésére alkalmazták.</w:t>
      </w:r>
    </w:p>
    <w:p w14:paraId="6B56B4B1" w14:textId="2BEA2D27" w:rsidR="00C77F20" w:rsidRPr="000149DA" w:rsidRDefault="00C77F20" w:rsidP="00C87B7D">
      <w:pPr>
        <w:pStyle w:val="Nincstrkz"/>
        <w:rPr>
          <w:rFonts w:cs="Times New Roman"/>
        </w:rPr>
      </w:pPr>
    </w:p>
    <w:p w14:paraId="62563E8B" w14:textId="7E1D0378" w:rsidR="00B62AE4" w:rsidRPr="00304D8C" w:rsidRDefault="00B85B35" w:rsidP="00DA7304">
      <w:pPr>
        <w:tabs>
          <w:tab w:val="left" w:pos="284"/>
        </w:tabs>
        <w:rPr>
          <w:b/>
          <w:bCs/>
          <w:u w:val="single"/>
        </w:rPr>
      </w:pPr>
      <w:r w:rsidRPr="00304D8C">
        <w:rPr>
          <w:b/>
          <w:bCs/>
          <w:u w:val="single"/>
        </w:rPr>
        <w:t>3</w:t>
      </w:r>
      <w:r w:rsidR="00DA7304" w:rsidRPr="00304D8C">
        <w:rPr>
          <w:b/>
          <w:bCs/>
          <w:u w:val="single"/>
        </w:rPr>
        <w:t xml:space="preserve">. </w:t>
      </w:r>
      <w:r w:rsidR="00DA7304" w:rsidRPr="00304D8C">
        <w:rPr>
          <w:b/>
          <w:bCs/>
          <w:u w:val="single"/>
        </w:rPr>
        <w:tab/>
        <w:t>táblázat</w:t>
      </w:r>
      <w:r w:rsidR="008B282D" w:rsidRPr="00304D8C">
        <w:rPr>
          <w:b/>
          <w:bCs/>
          <w:u w:val="single"/>
        </w:rPr>
        <w:t>: A mellékhatások táblázatos felsorolása</w:t>
      </w:r>
    </w:p>
    <w:p w14:paraId="49B12AA6" w14:textId="77777777" w:rsidR="00942FD4" w:rsidRPr="000149DA" w:rsidRDefault="00942FD4" w:rsidP="00C87B7D">
      <w:pPr>
        <w:pStyle w:val="Nincstrkz"/>
        <w:rPr>
          <w:rFonts w:cs="Times New Roman"/>
        </w:rPr>
      </w:pPr>
    </w:p>
    <w:tbl>
      <w:tblPr>
        <w:tblStyle w:val="TableNormal1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268"/>
        <w:gridCol w:w="2268"/>
        <w:gridCol w:w="1984"/>
      </w:tblGrid>
      <w:tr w:rsidR="00B85B35" w:rsidRPr="000149DA" w14:paraId="5B9095A2" w14:textId="5E171573" w:rsidTr="00304D8C">
        <w:trPr>
          <w:trHeight w:val="1765"/>
        </w:trPr>
        <w:tc>
          <w:tcPr>
            <w:tcW w:w="3686" w:type="dxa"/>
          </w:tcPr>
          <w:p w14:paraId="21AA3C94" w14:textId="5A46659A" w:rsidR="00B85B35" w:rsidRPr="00B50EA7" w:rsidRDefault="00B85B35" w:rsidP="003B67D5">
            <w:pPr>
              <w:pStyle w:val="TableParagraph"/>
              <w:spacing w:before="8"/>
              <w:ind w:left="100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Szervrendszer</w:t>
            </w:r>
            <w:r>
              <w:rPr>
                <w:b/>
                <w:w w:val="105"/>
                <w:lang w:val="hu-HU"/>
              </w:rPr>
              <w:t>i</w:t>
            </w:r>
            <w:r w:rsidRPr="00533685">
              <w:rPr>
                <w:b/>
                <w:w w:val="105"/>
                <w:lang w:val="hu-HU"/>
              </w:rPr>
              <w:noBreakHyphen/>
              <w:t>kategóriák</w:t>
            </w:r>
          </w:p>
        </w:tc>
        <w:tc>
          <w:tcPr>
            <w:tcW w:w="2268" w:type="dxa"/>
          </w:tcPr>
          <w:p w14:paraId="0D0FE796" w14:textId="741B8638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 stroke és a szisztémás embolizáció megelőzése NVPF-ben szenvedő, egy vagy több kockázati tényezővel rendelkező felnőtt</w:t>
            </w:r>
          </w:p>
          <w:p w14:paraId="36342D80" w14:textId="77777777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betegeknél (NVPF)</w:t>
            </w:r>
          </w:p>
        </w:tc>
        <w:tc>
          <w:tcPr>
            <w:tcW w:w="2268" w:type="dxa"/>
          </w:tcPr>
          <w:p w14:paraId="0AC25055" w14:textId="1F3824F6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 xml:space="preserve">Az MVT és a PE kezelése, valamint az MVT és a </w:t>
            </w:r>
            <w:r w:rsidRPr="000149DA">
              <w:rPr>
                <w:rFonts w:cs="Times New Roman"/>
                <w:b/>
                <w:bCs/>
                <w:spacing w:val="-8"/>
                <w:w w:val="105"/>
              </w:rPr>
              <w:t xml:space="preserve">PE </w:t>
            </w:r>
            <w:r w:rsidRPr="000149DA">
              <w:rPr>
                <w:rFonts w:cs="Times New Roman"/>
                <w:b/>
                <w:bCs/>
              </w:rPr>
              <w:t xml:space="preserve">kiújulásának </w:t>
            </w:r>
            <w:r w:rsidRPr="000149DA">
              <w:rPr>
                <w:rFonts w:cs="Times New Roman"/>
                <w:b/>
                <w:bCs/>
                <w:w w:val="105"/>
              </w:rPr>
              <w:t>megelőzése (VTEt)</w:t>
            </w:r>
            <w:r>
              <w:rPr>
                <w:rFonts w:cs="Times New Roman"/>
                <w:b/>
                <w:bCs/>
                <w:w w:val="105"/>
              </w:rPr>
              <w:t xml:space="preserve"> felnőtt betegeknél</w:t>
            </w:r>
          </w:p>
        </w:tc>
        <w:tc>
          <w:tcPr>
            <w:tcW w:w="1984" w:type="dxa"/>
          </w:tcPr>
          <w:p w14:paraId="7B580BA0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VTE kezelése és a</w:t>
            </w:r>
          </w:p>
          <w:p w14:paraId="7BC2E52B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VTE kiújulásának</w:t>
            </w:r>
          </w:p>
          <w:p w14:paraId="7EDEA01F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megelőzése</w:t>
            </w:r>
          </w:p>
          <w:p w14:paraId="3DB1CF0E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gyermekeknél és</w:t>
            </w:r>
          </w:p>
          <w:p w14:paraId="6961276C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serdülőknél</w:t>
            </w:r>
          </w:p>
          <w:p w14:paraId="4F32442F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28 napos kortól,</w:t>
            </w:r>
          </w:p>
          <w:p w14:paraId="566E92C5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18 éves kor alatti</w:t>
            </w:r>
          </w:p>
          <w:p w14:paraId="369ED377" w14:textId="6B016548" w:rsidR="00B85B35" w:rsidRPr="000149DA" w:rsidRDefault="00B85B35" w:rsidP="00B85B35">
            <w:pPr>
              <w:pStyle w:val="Nincstrkz"/>
              <w:jc w:val="center"/>
              <w:rPr>
                <w:rFonts w:cs="Times New Roman"/>
                <w:b/>
                <w:bCs/>
                <w:w w:val="105"/>
              </w:rPr>
            </w:pPr>
            <w:r w:rsidRPr="00B85B35">
              <w:rPr>
                <w:rFonts w:cs="Times New Roman"/>
                <w:b/>
                <w:bCs/>
                <w:w w:val="105"/>
                <w:lang w:bidi="hu-HU"/>
              </w:rPr>
              <w:t>életkorig</w:t>
            </w:r>
          </w:p>
        </w:tc>
      </w:tr>
      <w:tr w:rsidR="00B85B35" w:rsidRPr="000149DA" w14:paraId="3BF0CEF7" w14:textId="06234B49" w:rsidTr="00304D8C">
        <w:trPr>
          <w:trHeight w:val="439"/>
        </w:trPr>
        <w:tc>
          <w:tcPr>
            <w:tcW w:w="5954" w:type="dxa"/>
            <w:gridSpan w:val="2"/>
            <w:vAlign w:val="center"/>
          </w:tcPr>
          <w:p w14:paraId="54C95000" w14:textId="5F1F88FC" w:rsidR="00B85B35" w:rsidRPr="000149DA" w:rsidRDefault="00B85B35" w:rsidP="0036253B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Vérképzőszervi és nyirokrendszeri betegségek és tünetek</w:t>
            </w:r>
          </w:p>
        </w:tc>
        <w:tc>
          <w:tcPr>
            <w:tcW w:w="2268" w:type="dxa"/>
          </w:tcPr>
          <w:p w14:paraId="4A0EFC45" w14:textId="77777777" w:rsidR="00B85B35" w:rsidRPr="000149DA" w:rsidRDefault="00B85B35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130BD4D6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1BEA343E" w14:textId="47F0DAC0" w:rsidTr="00304D8C">
        <w:trPr>
          <w:trHeight w:val="431"/>
        </w:trPr>
        <w:tc>
          <w:tcPr>
            <w:tcW w:w="3686" w:type="dxa"/>
            <w:vAlign w:val="center"/>
          </w:tcPr>
          <w:p w14:paraId="2040A2CA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Anaemia</w:t>
            </w:r>
          </w:p>
        </w:tc>
        <w:tc>
          <w:tcPr>
            <w:tcW w:w="2268" w:type="dxa"/>
            <w:vAlign w:val="center"/>
          </w:tcPr>
          <w:p w14:paraId="4385AD00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7A4AA007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7E04DCC0" w14:textId="1B0484DD" w:rsidR="00B85B35" w:rsidRPr="000149DA" w:rsidRDefault="00B85B35" w:rsidP="00B85B35">
            <w:pPr>
              <w:pStyle w:val="TableParagraph"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68DB1823" w14:textId="1B95AC43" w:rsidTr="00304D8C">
        <w:trPr>
          <w:trHeight w:val="429"/>
        </w:trPr>
        <w:tc>
          <w:tcPr>
            <w:tcW w:w="3686" w:type="dxa"/>
            <w:vAlign w:val="center"/>
          </w:tcPr>
          <w:p w14:paraId="02E2E034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Thrombocytopenia</w:t>
            </w:r>
          </w:p>
        </w:tc>
        <w:tc>
          <w:tcPr>
            <w:tcW w:w="2268" w:type="dxa"/>
            <w:vAlign w:val="center"/>
          </w:tcPr>
          <w:p w14:paraId="62381180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6" w:right="37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1C0437BD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57FE3937" w14:textId="14D1D567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3B4C789" w14:textId="4EE5D9A2" w:rsidTr="00304D8C">
        <w:trPr>
          <w:trHeight w:val="530"/>
        </w:trPr>
        <w:tc>
          <w:tcPr>
            <w:tcW w:w="8222" w:type="dxa"/>
            <w:gridSpan w:val="3"/>
            <w:vAlign w:val="center"/>
          </w:tcPr>
          <w:p w14:paraId="202D44CA" w14:textId="40973ED6" w:rsidR="00B85B35" w:rsidRPr="000149DA" w:rsidRDefault="00B85B35" w:rsidP="00CC4648">
            <w:pPr>
              <w:pStyle w:val="TableParagraph"/>
              <w:keepNext/>
              <w:widowControl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Immunrendszeri betegségek és tünetek</w:t>
            </w:r>
          </w:p>
        </w:tc>
        <w:tc>
          <w:tcPr>
            <w:tcW w:w="1984" w:type="dxa"/>
            <w:vAlign w:val="center"/>
          </w:tcPr>
          <w:p w14:paraId="62DAEFD8" w14:textId="77777777" w:rsidR="00B85B35" w:rsidRPr="000149DA" w:rsidRDefault="00B85B35" w:rsidP="00304D8C">
            <w:pPr>
              <w:pStyle w:val="TableParagraph"/>
              <w:keepNext/>
              <w:widowControl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024E9773" w14:textId="04302310" w:rsidTr="00304D8C">
        <w:trPr>
          <w:trHeight w:val="706"/>
        </w:trPr>
        <w:tc>
          <w:tcPr>
            <w:tcW w:w="3686" w:type="dxa"/>
            <w:vAlign w:val="center"/>
          </w:tcPr>
          <w:p w14:paraId="4957978E" w14:textId="77777777" w:rsidR="00B85B35" w:rsidRPr="000149DA" w:rsidRDefault="00B85B35" w:rsidP="00726D70">
            <w:pPr>
              <w:pStyle w:val="TableParagraph"/>
              <w:keepNext/>
              <w:widowControl/>
              <w:spacing w:before="1" w:line="244" w:lineRule="exact"/>
              <w:ind w:left="100" w:right="281"/>
              <w:rPr>
                <w:lang w:val="hu-HU"/>
              </w:rPr>
            </w:pPr>
            <w:r w:rsidRPr="000149DA">
              <w:rPr>
                <w:w w:val="105"/>
              </w:rPr>
              <w:t>Túlérzékenység, allergiás oedema és anaphylaxia</w:t>
            </w:r>
          </w:p>
        </w:tc>
        <w:tc>
          <w:tcPr>
            <w:tcW w:w="2268" w:type="dxa"/>
            <w:vAlign w:val="center"/>
          </w:tcPr>
          <w:p w14:paraId="6F340414" w14:textId="77777777" w:rsidR="00B85B35" w:rsidRPr="000149DA" w:rsidRDefault="00B85B35" w:rsidP="00726D70">
            <w:pPr>
              <w:pStyle w:val="TableParagraph"/>
              <w:keepNext/>
              <w:widowControl/>
              <w:spacing w:before="10"/>
              <w:ind w:left="375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398D71AC" w14:textId="77777777" w:rsidR="00B85B35" w:rsidRPr="000149DA" w:rsidRDefault="00B85B35" w:rsidP="00726D70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5BDDE60" w14:textId="3D2EE9CA" w:rsidR="00B85B35" w:rsidRPr="000149DA" w:rsidRDefault="00B85B35" w:rsidP="00B85B35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  <w:r w:rsidRPr="00B85B35">
              <w:rPr>
                <w:rFonts w:hint="eastAsia"/>
                <w:w w:val="105"/>
                <w:lang w:val="hu-HU"/>
              </w:rPr>
              <w:t>‡</w:t>
            </w:r>
          </w:p>
        </w:tc>
      </w:tr>
      <w:tr w:rsidR="00B85B35" w:rsidRPr="000149DA" w14:paraId="52B20A99" w14:textId="2008E03E" w:rsidTr="00304D8C">
        <w:trPr>
          <w:trHeight w:val="440"/>
        </w:trPr>
        <w:tc>
          <w:tcPr>
            <w:tcW w:w="3686" w:type="dxa"/>
            <w:vAlign w:val="center"/>
          </w:tcPr>
          <w:p w14:paraId="1C14C097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Pruritus</w:t>
            </w:r>
          </w:p>
        </w:tc>
        <w:tc>
          <w:tcPr>
            <w:tcW w:w="2268" w:type="dxa"/>
            <w:vAlign w:val="center"/>
          </w:tcPr>
          <w:p w14:paraId="557D1204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3A290503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gyakori*</w:t>
            </w:r>
          </w:p>
        </w:tc>
        <w:tc>
          <w:tcPr>
            <w:tcW w:w="1984" w:type="dxa"/>
            <w:vAlign w:val="center"/>
          </w:tcPr>
          <w:p w14:paraId="0F8F7C6C" w14:textId="41D986CB" w:rsidR="00B85B35" w:rsidRPr="000149DA" w:rsidRDefault="00B85B35" w:rsidP="00B85B35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29FEA68" w14:textId="0EA5032B" w:rsidTr="00304D8C">
        <w:trPr>
          <w:trHeight w:val="440"/>
        </w:trPr>
        <w:tc>
          <w:tcPr>
            <w:tcW w:w="3686" w:type="dxa"/>
            <w:vAlign w:val="center"/>
          </w:tcPr>
          <w:p w14:paraId="0EDE002E" w14:textId="101E6F62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w w:val="105"/>
              </w:rPr>
            </w:pPr>
            <w:r w:rsidRPr="000149DA">
              <w:rPr>
                <w:w w:val="105"/>
              </w:rPr>
              <w:t>Angioedema</w:t>
            </w:r>
          </w:p>
        </w:tc>
        <w:tc>
          <w:tcPr>
            <w:tcW w:w="2268" w:type="dxa"/>
            <w:vAlign w:val="center"/>
          </w:tcPr>
          <w:p w14:paraId="75B99DE1" w14:textId="0DBB5D4A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2268" w:type="dxa"/>
            <w:vAlign w:val="center"/>
          </w:tcPr>
          <w:p w14:paraId="6CEAB147" w14:textId="1886EF1A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6B774A7B" w14:textId="7400B003" w:rsidR="00B85B35" w:rsidRPr="000149DA" w:rsidRDefault="00B85B35" w:rsidP="00B85B35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</w:t>
            </w:r>
            <w:r>
              <w:rPr>
                <w:w w:val="105"/>
              </w:rPr>
              <w:t>mert</w:t>
            </w:r>
          </w:p>
        </w:tc>
      </w:tr>
      <w:tr w:rsidR="00B85B35" w:rsidRPr="000149DA" w14:paraId="656ECF43" w14:textId="5A7143EC" w:rsidTr="00304D8C">
        <w:trPr>
          <w:trHeight w:val="512"/>
        </w:trPr>
        <w:tc>
          <w:tcPr>
            <w:tcW w:w="8222" w:type="dxa"/>
            <w:gridSpan w:val="3"/>
            <w:vAlign w:val="center"/>
          </w:tcPr>
          <w:p w14:paraId="08FCCDC6" w14:textId="58BC8D5D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Idegrendszeri betegségek és tünetek</w:t>
            </w:r>
          </w:p>
        </w:tc>
        <w:tc>
          <w:tcPr>
            <w:tcW w:w="1984" w:type="dxa"/>
            <w:vAlign w:val="center"/>
          </w:tcPr>
          <w:p w14:paraId="46479CA9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29DACAB4" w14:textId="4451D6C3" w:rsidTr="00304D8C">
        <w:trPr>
          <w:trHeight w:val="337"/>
        </w:trPr>
        <w:tc>
          <w:tcPr>
            <w:tcW w:w="3686" w:type="dxa"/>
            <w:vAlign w:val="center"/>
          </w:tcPr>
          <w:p w14:paraId="67122F3B" w14:textId="7D38DDB0" w:rsidR="00B85B35" w:rsidRPr="000149DA" w:rsidRDefault="00B85B35" w:rsidP="00726D70">
            <w:pPr>
              <w:pStyle w:val="TableParagraph"/>
              <w:spacing w:line="27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Agyvérzés</w:t>
            </w:r>
            <w:r w:rsidRPr="000149DA">
              <w:t>†</w:t>
            </w:r>
          </w:p>
        </w:tc>
        <w:tc>
          <w:tcPr>
            <w:tcW w:w="2268" w:type="dxa"/>
            <w:vAlign w:val="center"/>
          </w:tcPr>
          <w:p w14:paraId="15C27CE6" w14:textId="77777777" w:rsidR="00B85B35" w:rsidRPr="000149DA" w:rsidRDefault="00B85B35" w:rsidP="00726D70">
            <w:pPr>
              <w:pStyle w:val="TableParagraph"/>
              <w:spacing w:before="10"/>
              <w:ind w:left="376" w:right="36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613E3096" w14:textId="77777777" w:rsidR="00B85B35" w:rsidRPr="000149DA" w:rsidRDefault="00B85B35" w:rsidP="00726D70">
            <w:pPr>
              <w:pStyle w:val="TableParagraph"/>
              <w:spacing w:before="10"/>
              <w:ind w:left="143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1984" w:type="dxa"/>
            <w:vAlign w:val="center"/>
          </w:tcPr>
          <w:p w14:paraId="12A8C8BD" w14:textId="5C6FD702" w:rsidR="00B85B35" w:rsidRPr="000149DA" w:rsidRDefault="00B85B35" w:rsidP="00B85B35">
            <w:pPr>
              <w:pStyle w:val="TableParagraph"/>
              <w:spacing w:before="10"/>
              <w:ind w:left="143" w:right="136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</w:t>
            </w:r>
            <w:r>
              <w:rPr>
                <w:w w:val="105"/>
              </w:rPr>
              <w:t>mert</w:t>
            </w:r>
          </w:p>
        </w:tc>
      </w:tr>
      <w:tr w:rsidR="00B85B35" w:rsidRPr="000149DA" w14:paraId="773B1A7E" w14:textId="7029C297" w:rsidTr="00304D8C">
        <w:trPr>
          <w:trHeight w:val="469"/>
        </w:trPr>
        <w:tc>
          <w:tcPr>
            <w:tcW w:w="5954" w:type="dxa"/>
            <w:gridSpan w:val="2"/>
            <w:vAlign w:val="center"/>
          </w:tcPr>
          <w:p w14:paraId="499F178F" w14:textId="77777777" w:rsidR="00B85B35" w:rsidRPr="000149DA" w:rsidRDefault="00B85B35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Szembetegségek és szemészeti tünetek</w:t>
            </w:r>
          </w:p>
        </w:tc>
        <w:tc>
          <w:tcPr>
            <w:tcW w:w="2268" w:type="dxa"/>
          </w:tcPr>
          <w:p w14:paraId="77579D51" w14:textId="77777777" w:rsidR="00B85B35" w:rsidRPr="000149DA" w:rsidRDefault="00B85B35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0D1B0316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039A6A46" w14:textId="60520994" w:rsidTr="00304D8C">
        <w:trPr>
          <w:trHeight w:val="689"/>
        </w:trPr>
        <w:tc>
          <w:tcPr>
            <w:tcW w:w="3686" w:type="dxa"/>
            <w:vAlign w:val="center"/>
          </w:tcPr>
          <w:p w14:paraId="31744D88" w14:textId="77777777" w:rsidR="00B85B35" w:rsidRPr="000149DA" w:rsidRDefault="00B85B35" w:rsidP="0036253B">
            <w:pPr>
              <w:pStyle w:val="TableParagraph"/>
              <w:spacing w:before="1" w:line="244" w:lineRule="exact"/>
              <w:ind w:left="100" w:right="89"/>
              <w:rPr>
                <w:lang w:val="hu-HU"/>
              </w:rPr>
            </w:pPr>
            <w:r w:rsidRPr="000149DA">
              <w:rPr>
                <w:w w:val="105"/>
              </w:rPr>
              <w:t>Szemvérzés (beleértve a conjunctivális vérzést is)</w:t>
            </w:r>
          </w:p>
        </w:tc>
        <w:tc>
          <w:tcPr>
            <w:tcW w:w="2268" w:type="dxa"/>
            <w:vAlign w:val="center"/>
          </w:tcPr>
          <w:p w14:paraId="0A0B5B71" w14:textId="77777777" w:rsidR="00B85B35" w:rsidRPr="000149DA" w:rsidRDefault="00B85B35" w:rsidP="0036253B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70BFA7EF" w14:textId="77777777" w:rsidR="00B85B35" w:rsidRPr="000149DA" w:rsidRDefault="00B85B35" w:rsidP="0036253B">
            <w:pPr>
              <w:pStyle w:val="TableParagraph"/>
              <w:spacing w:before="10"/>
              <w:ind w:left="143" w:right="13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6466182" w14:textId="0548CB88" w:rsidR="00B85B35" w:rsidRPr="000149DA" w:rsidRDefault="00B85B35" w:rsidP="00B85B35">
            <w:pPr>
              <w:pStyle w:val="TableParagraph"/>
              <w:spacing w:before="10"/>
              <w:ind w:left="143" w:right="137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</w:t>
            </w:r>
            <w:r>
              <w:rPr>
                <w:w w:val="105"/>
              </w:rPr>
              <w:t>mert</w:t>
            </w:r>
          </w:p>
        </w:tc>
      </w:tr>
      <w:tr w:rsidR="00B85B35" w:rsidRPr="000149DA" w14:paraId="4CBFD106" w14:textId="1517A3E7" w:rsidTr="00304D8C">
        <w:trPr>
          <w:trHeight w:val="557"/>
        </w:trPr>
        <w:tc>
          <w:tcPr>
            <w:tcW w:w="8222" w:type="dxa"/>
            <w:gridSpan w:val="3"/>
            <w:vAlign w:val="center"/>
          </w:tcPr>
          <w:p w14:paraId="55EBA904" w14:textId="77777777" w:rsidR="00B85B35" w:rsidRPr="000149DA" w:rsidRDefault="00B85B35" w:rsidP="0036253B">
            <w:pPr>
              <w:pStyle w:val="TableParagraph"/>
              <w:spacing w:before="8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Érbetegségek és tünetek</w:t>
            </w:r>
          </w:p>
        </w:tc>
        <w:tc>
          <w:tcPr>
            <w:tcW w:w="1984" w:type="dxa"/>
            <w:vAlign w:val="center"/>
          </w:tcPr>
          <w:p w14:paraId="46F78911" w14:textId="77777777" w:rsidR="00B85B35" w:rsidRPr="000149DA" w:rsidRDefault="00B85B35" w:rsidP="00304D8C">
            <w:pPr>
              <w:pStyle w:val="TableParagraph"/>
              <w:spacing w:before="8"/>
              <w:ind w:left="100"/>
              <w:jc w:val="center"/>
              <w:rPr>
                <w:i/>
                <w:w w:val="105"/>
              </w:rPr>
            </w:pPr>
          </w:p>
        </w:tc>
      </w:tr>
      <w:tr w:rsidR="00B85B35" w:rsidRPr="000149DA" w14:paraId="6D08EC83" w14:textId="21523B34" w:rsidTr="00304D8C">
        <w:trPr>
          <w:trHeight w:val="409"/>
        </w:trPr>
        <w:tc>
          <w:tcPr>
            <w:tcW w:w="3686" w:type="dxa"/>
            <w:vAlign w:val="center"/>
          </w:tcPr>
          <w:p w14:paraId="75C2B376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Vérzés, haematoma</w:t>
            </w:r>
          </w:p>
        </w:tc>
        <w:tc>
          <w:tcPr>
            <w:tcW w:w="2268" w:type="dxa"/>
            <w:vAlign w:val="center"/>
          </w:tcPr>
          <w:p w14:paraId="40CDA966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2CE87623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3" w:right="13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6AB5EE30" w14:textId="27A63A38" w:rsidR="00B85B35" w:rsidRPr="000149DA" w:rsidRDefault="00B85B35" w:rsidP="00B85B35">
            <w:pPr>
              <w:pStyle w:val="TableParagraph"/>
              <w:spacing w:before="9" w:line="215" w:lineRule="exact"/>
              <w:ind w:left="143" w:right="13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20B57901" w14:textId="607F9F65" w:rsidTr="00304D8C">
        <w:trPr>
          <w:trHeight w:val="729"/>
        </w:trPr>
        <w:tc>
          <w:tcPr>
            <w:tcW w:w="3686" w:type="dxa"/>
            <w:vAlign w:val="center"/>
          </w:tcPr>
          <w:p w14:paraId="0A664897" w14:textId="354E3EB3" w:rsidR="00B85B35" w:rsidRPr="000149DA" w:rsidRDefault="00B85B35" w:rsidP="0036253B">
            <w:pPr>
              <w:pStyle w:val="TableParagraph"/>
              <w:spacing w:before="1" w:line="244" w:lineRule="exact"/>
              <w:ind w:left="100" w:right="357"/>
              <w:rPr>
                <w:lang w:val="hu-HU"/>
              </w:rPr>
            </w:pPr>
            <w:r w:rsidRPr="000149DA">
              <w:rPr>
                <w:w w:val="105"/>
              </w:rPr>
              <w:t>Hypotonia (beleértve a beavatkozás okozta hypotoniát is)</w:t>
            </w:r>
          </w:p>
        </w:tc>
        <w:tc>
          <w:tcPr>
            <w:tcW w:w="2268" w:type="dxa"/>
            <w:vAlign w:val="center"/>
          </w:tcPr>
          <w:p w14:paraId="1D110135" w14:textId="77777777" w:rsidR="00B85B35" w:rsidRPr="000149DA" w:rsidRDefault="00B85B35" w:rsidP="0036253B">
            <w:pPr>
              <w:pStyle w:val="TableParagraph"/>
              <w:spacing w:before="9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3067FF2F" w14:textId="77777777" w:rsidR="00B85B35" w:rsidRPr="000149DA" w:rsidRDefault="00B85B35" w:rsidP="0036253B">
            <w:pPr>
              <w:pStyle w:val="TableParagraph"/>
              <w:spacing w:before="9"/>
              <w:ind w:left="143" w:right="13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B12DE7A" w14:textId="5F99F65F" w:rsidR="00B85B35" w:rsidRPr="000149DA" w:rsidRDefault="00B85B35" w:rsidP="00B85B35">
            <w:pPr>
              <w:pStyle w:val="TableParagraph"/>
              <w:spacing w:before="9"/>
              <w:ind w:left="143" w:right="13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55557209" w14:textId="3DEDC0AB" w:rsidTr="00304D8C">
        <w:trPr>
          <w:trHeight w:val="385"/>
        </w:trPr>
        <w:tc>
          <w:tcPr>
            <w:tcW w:w="3686" w:type="dxa"/>
            <w:vAlign w:val="center"/>
          </w:tcPr>
          <w:p w14:paraId="6CEFE76A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Intraabdominalis vérzés</w:t>
            </w:r>
          </w:p>
        </w:tc>
        <w:tc>
          <w:tcPr>
            <w:tcW w:w="2268" w:type="dxa"/>
            <w:vAlign w:val="center"/>
          </w:tcPr>
          <w:p w14:paraId="39735AF8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1975C00D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65052B7F" w14:textId="1E0F3966" w:rsidR="00B85B35" w:rsidRPr="000149DA" w:rsidRDefault="00B85B35" w:rsidP="00B85B35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</w:t>
            </w:r>
            <w:r>
              <w:rPr>
                <w:w w:val="105"/>
              </w:rPr>
              <w:t>mert</w:t>
            </w:r>
          </w:p>
        </w:tc>
      </w:tr>
      <w:tr w:rsidR="00B85B35" w:rsidRPr="000149DA" w14:paraId="61D292A2" w14:textId="12629D01" w:rsidTr="00304D8C">
        <w:trPr>
          <w:trHeight w:val="391"/>
        </w:trPr>
        <w:tc>
          <w:tcPr>
            <w:tcW w:w="8222" w:type="dxa"/>
            <w:gridSpan w:val="3"/>
            <w:vAlign w:val="center"/>
          </w:tcPr>
          <w:p w14:paraId="30D7CCA5" w14:textId="00B1745F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Légzőrendszeri, mellkasi és mediastinalis betegségek és tünetek</w:t>
            </w:r>
          </w:p>
        </w:tc>
        <w:tc>
          <w:tcPr>
            <w:tcW w:w="1984" w:type="dxa"/>
            <w:vAlign w:val="center"/>
          </w:tcPr>
          <w:p w14:paraId="6C2DD81F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50BE68E" w14:textId="35C91646" w:rsidTr="00304D8C">
        <w:trPr>
          <w:trHeight w:val="426"/>
        </w:trPr>
        <w:tc>
          <w:tcPr>
            <w:tcW w:w="3686" w:type="dxa"/>
            <w:vAlign w:val="center"/>
          </w:tcPr>
          <w:p w14:paraId="66502FA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Epistaxis</w:t>
            </w:r>
          </w:p>
        </w:tc>
        <w:tc>
          <w:tcPr>
            <w:tcW w:w="2268" w:type="dxa"/>
            <w:vAlign w:val="center"/>
          </w:tcPr>
          <w:p w14:paraId="17810BA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4CA80670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0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7E683C64" w14:textId="73B7E858" w:rsidR="00B85B35" w:rsidRPr="000149DA" w:rsidRDefault="00B85B35" w:rsidP="00B85B35">
            <w:pPr>
              <w:pStyle w:val="TableParagraph"/>
              <w:spacing w:before="9" w:line="215" w:lineRule="exact"/>
              <w:ind w:left="143" w:right="10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Nagyon gyakori</w:t>
            </w:r>
          </w:p>
        </w:tc>
      </w:tr>
      <w:tr w:rsidR="00B85B35" w:rsidRPr="000149DA" w14:paraId="3EA1FC7B" w14:textId="7FE1B4AC" w:rsidTr="00304D8C">
        <w:trPr>
          <w:trHeight w:val="475"/>
        </w:trPr>
        <w:tc>
          <w:tcPr>
            <w:tcW w:w="3686" w:type="dxa"/>
            <w:vAlign w:val="center"/>
          </w:tcPr>
          <w:p w14:paraId="1498B6B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Haemoptoe</w:t>
            </w:r>
          </w:p>
        </w:tc>
        <w:tc>
          <w:tcPr>
            <w:tcW w:w="2268" w:type="dxa"/>
            <w:vAlign w:val="center"/>
          </w:tcPr>
          <w:p w14:paraId="073AE1DB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78F73465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0DD1D81" w14:textId="39E5452E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5B8C2F03" w14:textId="0DC18A73" w:rsidTr="00304D8C">
        <w:trPr>
          <w:trHeight w:val="412"/>
        </w:trPr>
        <w:tc>
          <w:tcPr>
            <w:tcW w:w="3686" w:type="dxa"/>
            <w:vAlign w:val="center"/>
          </w:tcPr>
          <w:p w14:paraId="675FC2D6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Légúti vérzés</w:t>
            </w:r>
          </w:p>
        </w:tc>
        <w:tc>
          <w:tcPr>
            <w:tcW w:w="2268" w:type="dxa"/>
            <w:vAlign w:val="center"/>
          </w:tcPr>
          <w:p w14:paraId="4509B9E3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212D225E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43" w:right="13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1984" w:type="dxa"/>
            <w:vAlign w:val="center"/>
          </w:tcPr>
          <w:p w14:paraId="54E9142D" w14:textId="3ADB317E" w:rsidR="00B85B35" w:rsidRPr="000149DA" w:rsidRDefault="00B85B35" w:rsidP="00B85B35">
            <w:pPr>
              <w:pStyle w:val="TableParagraph"/>
              <w:spacing w:before="10" w:line="215" w:lineRule="exact"/>
              <w:ind w:left="143" w:right="134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6DEE8C8B" w14:textId="0CB7D73F" w:rsidTr="00304D8C">
        <w:trPr>
          <w:trHeight w:val="417"/>
        </w:trPr>
        <w:tc>
          <w:tcPr>
            <w:tcW w:w="8222" w:type="dxa"/>
            <w:gridSpan w:val="3"/>
            <w:vAlign w:val="center"/>
          </w:tcPr>
          <w:p w14:paraId="5B5884E1" w14:textId="31777B51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Emésztőrendszeri betegségek és tünetek</w:t>
            </w:r>
          </w:p>
        </w:tc>
        <w:tc>
          <w:tcPr>
            <w:tcW w:w="1984" w:type="dxa"/>
            <w:vAlign w:val="center"/>
          </w:tcPr>
          <w:p w14:paraId="03C937A6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A975769" w14:textId="596891C7" w:rsidTr="00304D8C">
        <w:trPr>
          <w:trHeight w:val="409"/>
        </w:trPr>
        <w:tc>
          <w:tcPr>
            <w:tcW w:w="3686" w:type="dxa"/>
            <w:vAlign w:val="center"/>
          </w:tcPr>
          <w:p w14:paraId="7392A468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Hányinger</w:t>
            </w:r>
          </w:p>
        </w:tc>
        <w:tc>
          <w:tcPr>
            <w:tcW w:w="2268" w:type="dxa"/>
            <w:vAlign w:val="center"/>
          </w:tcPr>
          <w:p w14:paraId="0FE97A4C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0B056F9C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BAD5B28" w14:textId="7C9735CA" w:rsidR="00B85B35" w:rsidRPr="000149DA" w:rsidRDefault="00B85B35" w:rsidP="00B85B35">
            <w:pPr>
              <w:pStyle w:val="TableParagraph"/>
              <w:spacing w:before="9" w:line="215" w:lineRule="exact"/>
              <w:ind w:left="143" w:right="136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93778D6" w14:textId="648EDB88" w:rsidTr="00304D8C">
        <w:trPr>
          <w:trHeight w:val="429"/>
        </w:trPr>
        <w:tc>
          <w:tcPr>
            <w:tcW w:w="3686" w:type="dxa"/>
            <w:vAlign w:val="center"/>
          </w:tcPr>
          <w:p w14:paraId="4B0149A2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Gastrointestinalis vérzés</w:t>
            </w:r>
          </w:p>
        </w:tc>
        <w:tc>
          <w:tcPr>
            <w:tcW w:w="2268" w:type="dxa"/>
            <w:vAlign w:val="center"/>
          </w:tcPr>
          <w:p w14:paraId="4B7024C3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371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283F233C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5788CD9E" w14:textId="5E1E8DD0" w:rsidR="00B85B35" w:rsidRPr="000149DA" w:rsidRDefault="00B85B35" w:rsidP="00B85B35">
            <w:pPr>
              <w:pStyle w:val="TableParagraph"/>
              <w:spacing w:before="10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0E3E8F4E" w14:textId="3644FEBD" w:rsidTr="00304D8C">
        <w:trPr>
          <w:trHeight w:val="408"/>
        </w:trPr>
        <w:tc>
          <w:tcPr>
            <w:tcW w:w="3686" w:type="dxa"/>
            <w:vAlign w:val="center"/>
          </w:tcPr>
          <w:p w14:paraId="00235A86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Aranyeres vérzés</w:t>
            </w:r>
          </w:p>
        </w:tc>
        <w:tc>
          <w:tcPr>
            <w:tcW w:w="2268" w:type="dxa"/>
            <w:vAlign w:val="center"/>
          </w:tcPr>
          <w:p w14:paraId="304C31C8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761E94C7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39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FED786C" w14:textId="77B4EE43" w:rsidR="00B85B35" w:rsidRPr="000149DA" w:rsidRDefault="00B85B35" w:rsidP="00B85B35">
            <w:pPr>
              <w:pStyle w:val="TableParagraph"/>
              <w:spacing w:before="8" w:line="215" w:lineRule="exact"/>
              <w:ind w:left="139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6D6C4CED" w14:textId="24317FF5" w:rsidTr="00304D8C">
        <w:trPr>
          <w:trHeight w:val="413"/>
        </w:trPr>
        <w:tc>
          <w:tcPr>
            <w:tcW w:w="3686" w:type="dxa"/>
            <w:vAlign w:val="center"/>
          </w:tcPr>
          <w:p w14:paraId="110C644D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Szájüregi vérzés</w:t>
            </w:r>
          </w:p>
        </w:tc>
        <w:tc>
          <w:tcPr>
            <w:tcW w:w="2268" w:type="dxa"/>
            <w:vAlign w:val="center"/>
          </w:tcPr>
          <w:p w14:paraId="334EBA8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6E55D228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0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A06A0BD" w14:textId="6EE9FFC4" w:rsidR="00B85B35" w:rsidRPr="000149DA" w:rsidRDefault="00B85B35" w:rsidP="00B85B35">
            <w:pPr>
              <w:pStyle w:val="TableParagraph"/>
              <w:spacing w:before="9" w:line="215" w:lineRule="exact"/>
              <w:ind w:left="140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2A5F8F6D" w14:textId="0B51381F" w:rsidTr="00304D8C">
        <w:trPr>
          <w:trHeight w:val="419"/>
        </w:trPr>
        <w:tc>
          <w:tcPr>
            <w:tcW w:w="3686" w:type="dxa"/>
            <w:vAlign w:val="center"/>
          </w:tcPr>
          <w:p w14:paraId="6ED01ECD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Haematochezia</w:t>
            </w:r>
          </w:p>
        </w:tc>
        <w:tc>
          <w:tcPr>
            <w:tcW w:w="2268" w:type="dxa"/>
            <w:vAlign w:val="center"/>
          </w:tcPr>
          <w:p w14:paraId="7C0C5C76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01440AD0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5E2BF59" w14:textId="49C1465A" w:rsidR="00B85B35" w:rsidRPr="000149DA" w:rsidRDefault="00B85B35" w:rsidP="00B85B35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048987E" w14:textId="26D39B1E" w:rsidTr="00304D8C">
        <w:trPr>
          <w:trHeight w:val="411"/>
        </w:trPr>
        <w:tc>
          <w:tcPr>
            <w:tcW w:w="3686" w:type="dxa"/>
            <w:vAlign w:val="center"/>
          </w:tcPr>
          <w:p w14:paraId="2F0E157A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Rectalis vérzés, ínyvérzés</w:t>
            </w:r>
          </w:p>
        </w:tc>
        <w:tc>
          <w:tcPr>
            <w:tcW w:w="2268" w:type="dxa"/>
            <w:vAlign w:val="center"/>
          </w:tcPr>
          <w:p w14:paraId="150DF3E1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5351B2E3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EF282F3" w14:textId="2A4D2A79" w:rsidR="00B85B35" w:rsidRPr="000149DA" w:rsidRDefault="00B85B35" w:rsidP="00B85B35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0FDB5E8" w14:textId="58966ED4" w:rsidTr="00304D8C">
        <w:trPr>
          <w:trHeight w:val="418"/>
        </w:trPr>
        <w:tc>
          <w:tcPr>
            <w:tcW w:w="3686" w:type="dxa"/>
            <w:vAlign w:val="center"/>
          </w:tcPr>
          <w:p w14:paraId="7C0ECE1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Retroperitonealis vérzés</w:t>
            </w:r>
          </w:p>
        </w:tc>
        <w:tc>
          <w:tcPr>
            <w:tcW w:w="2268" w:type="dxa"/>
            <w:vAlign w:val="center"/>
          </w:tcPr>
          <w:p w14:paraId="4AC28F6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6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2503771F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1E26B0F5" w14:textId="086018FD" w:rsidR="00B85B35" w:rsidRPr="000149DA" w:rsidRDefault="00B85B35" w:rsidP="00B85B35">
            <w:pPr>
              <w:pStyle w:val="TableParagraph"/>
              <w:spacing w:before="9" w:line="215" w:lineRule="exact"/>
              <w:ind w:left="143" w:right="134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4742A2D4" w14:textId="4D5F56BC" w:rsidTr="00304D8C">
        <w:trPr>
          <w:trHeight w:val="423"/>
        </w:trPr>
        <w:tc>
          <w:tcPr>
            <w:tcW w:w="8222" w:type="dxa"/>
            <w:gridSpan w:val="3"/>
            <w:vAlign w:val="center"/>
          </w:tcPr>
          <w:p w14:paraId="3B6FB369" w14:textId="3207B82E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Máj</w:t>
            </w:r>
            <w:r w:rsidRPr="000149DA">
              <w:rPr>
                <w:i/>
                <w:w w:val="105"/>
              </w:rPr>
              <w:noBreakHyphen/>
              <w:t xml:space="preserve"> és epebetegségek, illetve tünetek</w:t>
            </w:r>
          </w:p>
        </w:tc>
        <w:tc>
          <w:tcPr>
            <w:tcW w:w="1984" w:type="dxa"/>
            <w:vAlign w:val="center"/>
          </w:tcPr>
          <w:p w14:paraId="5D8F38D2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7E5EBF8" w14:textId="5A83B7EA" w:rsidTr="00304D8C">
        <w:trPr>
          <w:trHeight w:val="1641"/>
        </w:trPr>
        <w:tc>
          <w:tcPr>
            <w:tcW w:w="3686" w:type="dxa"/>
            <w:vAlign w:val="center"/>
          </w:tcPr>
          <w:p w14:paraId="7A139C56" w14:textId="73F500C4" w:rsidR="00B85B35" w:rsidRPr="000149DA" w:rsidRDefault="00B85B35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r w:rsidRPr="000149DA">
              <w:rPr>
                <w:w w:val="105"/>
              </w:rPr>
              <w:t>Kóros májfunkciós vizsgálati eredmények, emelkedett</w:t>
            </w:r>
            <w:r>
              <w:t xml:space="preserve"> glutamát-oxálacetát-transzamináz</w:t>
            </w:r>
            <w:r w:rsidRPr="000149DA">
              <w:noBreakHyphen/>
              <w:t>szint,</w:t>
            </w:r>
            <w:r>
              <w:t xml:space="preserve"> (GOT [ASAT])</w:t>
            </w:r>
            <w:r w:rsidRPr="00C968C6">
              <w:rPr>
                <w:lang w:val="hu-HU"/>
              </w:rPr>
              <w:t>,</w:t>
            </w:r>
            <w:r w:rsidRPr="000149DA">
              <w:t xml:space="preserve"> </w:t>
            </w:r>
            <w:r w:rsidRPr="000149DA">
              <w:rPr>
                <w:w w:val="105"/>
              </w:rPr>
              <w:t>emelkedett szérum</w:t>
            </w:r>
            <w:r w:rsidRPr="000149DA">
              <w:rPr>
                <w:w w:val="105"/>
              </w:rPr>
              <w:noBreakHyphen/>
              <w:t>alkalikusfoszfatáz</w:t>
            </w:r>
            <w:r w:rsidRPr="000149DA">
              <w:rPr>
                <w:w w:val="105"/>
              </w:rPr>
              <w:noBreakHyphen/>
              <w:t>szint, emelkedett szérum</w:t>
            </w:r>
            <w:r w:rsidRPr="000149DA">
              <w:rPr>
                <w:w w:val="105"/>
              </w:rPr>
              <w:noBreakHyphen/>
              <w:t>bilirubinszint</w:t>
            </w:r>
          </w:p>
        </w:tc>
        <w:tc>
          <w:tcPr>
            <w:tcW w:w="2268" w:type="dxa"/>
            <w:vAlign w:val="center"/>
          </w:tcPr>
          <w:p w14:paraId="7FC0BD13" w14:textId="77777777" w:rsidR="00B85B35" w:rsidRPr="000149DA" w:rsidRDefault="00B85B35" w:rsidP="00942FD4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202288C7" w14:textId="77777777" w:rsidR="00B85B35" w:rsidRPr="000149DA" w:rsidRDefault="00B85B35" w:rsidP="00942FD4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A336DDE" w14:textId="2903336C" w:rsidR="00B85B35" w:rsidRPr="000149DA" w:rsidRDefault="00B85B35" w:rsidP="00B85B35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F2A9CFB" w14:textId="720A99AA" w:rsidTr="00304D8C">
        <w:trPr>
          <w:trHeight w:val="697"/>
        </w:trPr>
        <w:tc>
          <w:tcPr>
            <w:tcW w:w="3686" w:type="dxa"/>
            <w:vAlign w:val="center"/>
          </w:tcPr>
          <w:p w14:paraId="1247C02D" w14:textId="442B8072" w:rsidR="00B85B35" w:rsidRPr="000149DA" w:rsidRDefault="00B85B35" w:rsidP="00D73F6B">
            <w:pPr>
              <w:pStyle w:val="TableParagraph"/>
              <w:spacing w:before="9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Emelkedett gamma</w:t>
            </w:r>
            <w:r w:rsidRPr="000149DA">
              <w:rPr>
                <w:w w:val="105"/>
              </w:rPr>
              <w:noBreakHyphen/>
              <w:t>glutamiltranszferázszint</w:t>
            </w:r>
          </w:p>
        </w:tc>
        <w:tc>
          <w:tcPr>
            <w:tcW w:w="2268" w:type="dxa"/>
            <w:vAlign w:val="center"/>
          </w:tcPr>
          <w:p w14:paraId="69C45E8B" w14:textId="77777777" w:rsidR="00B85B35" w:rsidRPr="000149DA" w:rsidRDefault="00B85B35" w:rsidP="00D73F6B">
            <w:pPr>
              <w:pStyle w:val="TableParagraph"/>
              <w:spacing w:before="9"/>
              <w:ind w:left="371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2D6BE485" w14:textId="77777777" w:rsidR="00B85B35" w:rsidRPr="000149DA" w:rsidRDefault="00B85B35" w:rsidP="00D73F6B">
            <w:pPr>
              <w:pStyle w:val="TableParagraph"/>
              <w:spacing w:before="9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BB5FB8E" w14:textId="1EA5999D" w:rsidR="00B85B35" w:rsidRPr="000149DA" w:rsidRDefault="00B85B35" w:rsidP="00B85B35">
            <w:pPr>
              <w:pStyle w:val="TableParagraph"/>
              <w:spacing w:before="9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4FCD8A0B" w14:textId="2F804689" w:rsidTr="00304D8C">
        <w:trPr>
          <w:trHeight w:val="708"/>
        </w:trPr>
        <w:tc>
          <w:tcPr>
            <w:tcW w:w="3686" w:type="dxa"/>
            <w:vAlign w:val="center"/>
          </w:tcPr>
          <w:p w14:paraId="3DA87777" w14:textId="19AE5790" w:rsidR="00B85B35" w:rsidRPr="00D15884" w:rsidRDefault="00B85B35" w:rsidP="00D15884">
            <w:pPr>
              <w:pStyle w:val="Default"/>
            </w:pPr>
            <w:r w:rsidRPr="00D15884">
              <w:rPr>
                <w:w w:val="105"/>
                <w:sz w:val="22"/>
                <w:szCs w:val="22"/>
              </w:rPr>
              <w:t>Emelkedett</w:t>
            </w:r>
            <w:r>
              <w:rPr>
                <w:sz w:val="22"/>
                <w:szCs w:val="22"/>
              </w:rPr>
              <w:t xml:space="preserve"> glutamát-piruvát-transzamináz</w:t>
            </w:r>
            <w:r w:rsidRPr="00D15884">
              <w:rPr>
                <w:sz w:val="22"/>
                <w:szCs w:val="22"/>
              </w:rPr>
              <w:noBreakHyphen/>
              <w:t>szint</w:t>
            </w:r>
            <w:r>
              <w:rPr>
                <w:lang w:val="hu-HU"/>
              </w:rPr>
              <w:t>(</w:t>
            </w:r>
            <w:r>
              <w:t>GPT [ALAT])</w:t>
            </w:r>
          </w:p>
        </w:tc>
        <w:tc>
          <w:tcPr>
            <w:tcW w:w="2268" w:type="dxa"/>
            <w:vAlign w:val="center"/>
          </w:tcPr>
          <w:p w14:paraId="167A78C4" w14:textId="77777777" w:rsidR="00B85B35" w:rsidRPr="00AD388D" w:rsidRDefault="00B85B35" w:rsidP="00CA21AA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B50EA7">
              <w:rPr>
                <w:w w:val="105"/>
                <w:lang w:val="hu-HU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7377A3A3" w14:textId="77777777" w:rsidR="00B85B35" w:rsidRPr="000149DA" w:rsidRDefault="00B85B35" w:rsidP="00CA21AA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671EC857" w14:textId="78047AFF" w:rsidR="00B85B35" w:rsidRPr="000149DA" w:rsidRDefault="00B85B35" w:rsidP="00B85B35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7B2E2C34" w14:textId="22F891E4" w:rsidTr="00304D8C">
        <w:trPr>
          <w:trHeight w:val="421"/>
        </w:trPr>
        <w:tc>
          <w:tcPr>
            <w:tcW w:w="8222" w:type="dxa"/>
            <w:gridSpan w:val="3"/>
            <w:vAlign w:val="center"/>
          </w:tcPr>
          <w:p w14:paraId="72B3EA3D" w14:textId="0E459E36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A bőr és a bőr alatti szövet betegségei és tünetei</w:t>
            </w:r>
          </w:p>
        </w:tc>
        <w:tc>
          <w:tcPr>
            <w:tcW w:w="1984" w:type="dxa"/>
            <w:vAlign w:val="center"/>
          </w:tcPr>
          <w:p w14:paraId="35019AF7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148D4F61" w14:textId="19A2C5FB" w:rsidTr="00304D8C">
        <w:trPr>
          <w:trHeight w:val="413"/>
        </w:trPr>
        <w:tc>
          <w:tcPr>
            <w:tcW w:w="3686" w:type="dxa"/>
            <w:vAlign w:val="center"/>
          </w:tcPr>
          <w:p w14:paraId="3562C572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Bőrkiütés</w:t>
            </w:r>
          </w:p>
        </w:tc>
        <w:tc>
          <w:tcPr>
            <w:tcW w:w="2268" w:type="dxa"/>
            <w:vAlign w:val="center"/>
          </w:tcPr>
          <w:p w14:paraId="363D5CFF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375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6B25647F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491F645" w14:textId="6C535779" w:rsidR="00B85B35" w:rsidRPr="000149DA" w:rsidRDefault="00B85B35" w:rsidP="00B85B35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2E52CD79" w14:textId="3EA15E81" w:rsidTr="00304D8C">
        <w:trPr>
          <w:trHeight w:val="414"/>
        </w:trPr>
        <w:tc>
          <w:tcPr>
            <w:tcW w:w="3686" w:type="dxa"/>
            <w:vAlign w:val="center"/>
          </w:tcPr>
          <w:p w14:paraId="0C2AFDCE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Alopecia</w:t>
            </w:r>
          </w:p>
        </w:tc>
        <w:tc>
          <w:tcPr>
            <w:tcW w:w="2268" w:type="dxa"/>
            <w:vAlign w:val="center"/>
          </w:tcPr>
          <w:p w14:paraId="7EC3A200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322AC84C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FB33F7F" w14:textId="589556BD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6F3A9C9" w14:textId="2A97D3AA" w:rsidTr="00304D8C">
        <w:trPr>
          <w:trHeight w:val="414"/>
        </w:trPr>
        <w:tc>
          <w:tcPr>
            <w:tcW w:w="3686" w:type="dxa"/>
            <w:vAlign w:val="center"/>
          </w:tcPr>
          <w:p w14:paraId="75784DC6" w14:textId="32EC2587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0149DA">
              <w:rPr>
                <w:w w:val="105"/>
              </w:rPr>
              <w:t>Erythema multiforme</w:t>
            </w:r>
          </w:p>
        </w:tc>
        <w:tc>
          <w:tcPr>
            <w:tcW w:w="2268" w:type="dxa"/>
            <w:vAlign w:val="center"/>
          </w:tcPr>
          <w:p w14:paraId="234CA595" w14:textId="25E11327" w:rsidR="00B85B35" w:rsidRPr="000149DA" w:rsidRDefault="00B85B35" w:rsidP="00D34BC9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Nagyon ritka</w:t>
            </w:r>
          </w:p>
        </w:tc>
        <w:tc>
          <w:tcPr>
            <w:tcW w:w="2268" w:type="dxa"/>
            <w:vAlign w:val="center"/>
          </w:tcPr>
          <w:p w14:paraId="4E791A52" w14:textId="46A896AF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1D9FE326" w14:textId="6EEF7236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  <w:tr w:rsidR="00B85B35" w:rsidRPr="000149DA" w14:paraId="25DF8F78" w14:textId="19D9D9BC" w:rsidTr="00304D8C">
        <w:trPr>
          <w:trHeight w:val="414"/>
        </w:trPr>
        <w:tc>
          <w:tcPr>
            <w:tcW w:w="3686" w:type="dxa"/>
            <w:vAlign w:val="center"/>
          </w:tcPr>
          <w:p w14:paraId="50BAF652" w14:textId="4A346EAE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0149DA">
              <w:rPr>
                <w:w w:val="105"/>
              </w:rPr>
              <w:t>Cutan vasculitis</w:t>
            </w:r>
          </w:p>
        </w:tc>
        <w:tc>
          <w:tcPr>
            <w:tcW w:w="2268" w:type="dxa"/>
            <w:vAlign w:val="center"/>
          </w:tcPr>
          <w:p w14:paraId="2F88976F" w14:textId="71765E02" w:rsidR="00B85B35" w:rsidRPr="000149DA" w:rsidRDefault="00B85B35" w:rsidP="00D34BC9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2268" w:type="dxa"/>
            <w:vAlign w:val="center"/>
          </w:tcPr>
          <w:p w14:paraId="26264987" w14:textId="3A4F75DF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5582CC39" w14:textId="4AD28CD0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  <w:tr w:rsidR="00B85B35" w:rsidRPr="000149DA" w14:paraId="63724DF6" w14:textId="15E19920" w:rsidTr="00304D8C">
        <w:trPr>
          <w:trHeight w:val="420"/>
        </w:trPr>
        <w:tc>
          <w:tcPr>
            <w:tcW w:w="8222" w:type="dxa"/>
            <w:gridSpan w:val="3"/>
            <w:vAlign w:val="center"/>
          </w:tcPr>
          <w:p w14:paraId="00193E29" w14:textId="449A07CC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A csont- és izomrendszer, valamint a kötőszövet betegségei és tünetei</w:t>
            </w:r>
          </w:p>
        </w:tc>
        <w:tc>
          <w:tcPr>
            <w:tcW w:w="1984" w:type="dxa"/>
            <w:vAlign w:val="center"/>
          </w:tcPr>
          <w:p w14:paraId="0ABC221E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17E2DF59" w14:textId="6E7582EE" w:rsidTr="00304D8C">
        <w:trPr>
          <w:trHeight w:val="426"/>
        </w:trPr>
        <w:tc>
          <w:tcPr>
            <w:tcW w:w="3686" w:type="dxa"/>
            <w:vAlign w:val="center"/>
          </w:tcPr>
          <w:p w14:paraId="3325B082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Izomvérzés</w:t>
            </w:r>
          </w:p>
        </w:tc>
        <w:tc>
          <w:tcPr>
            <w:tcW w:w="2268" w:type="dxa"/>
            <w:vAlign w:val="center"/>
          </w:tcPr>
          <w:p w14:paraId="0D32D784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374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72829D8B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143" w:right="13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2D2CE0D8" w14:textId="2A187D97" w:rsidR="00B85B35" w:rsidRPr="000149DA" w:rsidRDefault="00B85B35" w:rsidP="00B85B35">
            <w:pPr>
              <w:pStyle w:val="TableParagraph"/>
              <w:spacing w:before="8" w:line="215" w:lineRule="exact"/>
              <w:ind w:left="143" w:right="137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  <w:tr w:rsidR="00B85B35" w:rsidRPr="000149DA" w14:paraId="602DB672" w14:textId="2DBA8607" w:rsidTr="00304D8C">
        <w:trPr>
          <w:trHeight w:val="403"/>
        </w:trPr>
        <w:tc>
          <w:tcPr>
            <w:tcW w:w="8222" w:type="dxa"/>
            <w:gridSpan w:val="3"/>
            <w:vAlign w:val="center"/>
          </w:tcPr>
          <w:p w14:paraId="763EBEE1" w14:textId="32EA5E55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Vese- és húgyúti betegségek és tünetek</w:t>
            </w:r>
          </w:p>
        </w:tc>
        <w:tc>
          <w:tcPr>
            <w:tcW w:w="1984" w:type="dxa"/>
            <w:vAlign w:val="center"/>
          </w:tcPr>
          <w:p w14:paraId="67B47FE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08B15DCB" w14:textId="129C8895" w:rsidTr="00304D8C">
        <w:trPr>
          <w:trHeight w:val="423"/>
        </w:trPr>
        <w:tc>
          <w:tcPr>
            <w:tcW w:w="3686" w:type="dxa"/>
            <w:vAlign w:val="center"/>
          </w:tcPr>
          <w:p w14:paraId="54BD253B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Haematuria</w:t>
            </w:r>
          </w:p>
        </w:tc>
        <w:tc>
          <w:tcPr>
            <w:tcW w:w="2268" w:type="dxa"/>
            <w:vAlign w:val="center"/>
          </w:tcPr>
          <w:p w14:paraId="71904EEB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483086D4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1A307BAC" w14:textId="018CD251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</w:rPr>
              <w:t>Gyakori</w:t>
            </w:r>
          </w:p>
        </w:tc>
      </w:tr>
      <w:tr w:rsidR="00A20F5A" w:rsidRPr="000149DA" w14:paraId="74B12639" w14:textId="77777777" w:rsidTr="00304D8C">
        <w:trPr>
          <w:trHeight w:val="423"/>
        </w:trPr>
        <w:tc>
          <w:tcPr>
            <w:tcW w:w="3686" w:type="dxa"/>
            <w:vAlign w:val="center"/>
          </w:tcPr>
          <w:p w14:paraId="54E90565" w14:textId="2D37845C" w:rsidR="00A20F5A" w:rsidRPr="000149DA" w:rsidRDefault="00A20F5A" w:rsidP="00EB26D3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A20F5A">
              <w:rPr>
                <w:w w:val="105"/>
              </w:rPr>
              <w:t>Antikoagulánssal kapcsolatos nephropathia</w:t>
            </w:r>
          </w:p>
        </w:tc>
        <w:tc>
          <w:tcPr>
            <w:tcW w:w="2268" w:type="dxa"/>
            <w:vAlign w:val="center"/>
          </w:tcPr>
          <w:p w14:paraId="0A80E7C2" w14:textId="1E2281E8" w:rsidR="00A20F5A" w:rsidRPr="000149DA" w:rsidRDefault="00A20F5A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w w:val="105"/>
              </w:rPr>
            </w:pPr>
            <w:r w:rsidRPr="00A20F5A">
              <w:rPr>
                <w:w w:val="105"/>
              </w:rPr>
              <w:t>Nem ismert</w:t>
            </w:r>
          </w:p>
        </w:tc>
        <w:tc>
          <w:tcPr>
            <w:tcW w:w="2268" w:type="dxa"/>
            <w:vAlign w:val="center"/>
          </w:tcPr>
          <w:p w14:paraId="0E47BED1" w14:textId="0E779C54" w:rsidR="00A20F5A" w:rsidRPr="000149DA" w:rsidRDefault="00A20F5A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A20F5A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71701A62" w14:textId="4AFE9FD7" w:rsidR="00A20F5A" w:rsidRPr="00B85B35" w:rsidRDefault="00A20F5A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A20F5A">
              <w:rPr>
                <w:w w:val="105"/>
              </w:rPr>
              <w:t>Nem ismert</w:t>
            </w:r>
          </w:p>
        </w:tc>
      </w:tr>
      <w:tr w:rsidR="00B85B35" w:rsidRPr="000149DA" w14:paraId="0B8EA1B5" w14:textId="51052A29" w:rsidTr="00304D8C">
        <w:trPr>
          <w:trHeight w:val="401"/>
        </w:trPr>
        <w:tc>
          <w:tcPr>
            <w:tcW w:w="5954" w:type="dxa"/>
            <w:gridSpan w:val="2"/>
            <w:vAlign w:val="center"/>
          </w:tcPr>
          <w:p w14:paraId="1767E201" w14:textId="6811851E" w:rsidR="00B85B35" w:rsidRPr="000149DA" w:rsidRDefault="00B85B35" w:rsidP="00EB26D3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A nemi szervekkel és az emlőkkel kapcsolatos betegségek és tünetek</w:t>
            </w:r>
          </w:p>
        </w:tc>
        <w:tc>
          <w:tcPr>
            <w:tcW w:w="2268" w:type="dxa"/>
          </w:tcPr>
          <w:p w14:paraId="07560F1E" w14:textId="77777777" w:rsidR="00B85B35" w:rsidRPr="000149DA" w:rsidRDefault="00B85B35" w:rsidP="00A1416D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4E2F34F8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3D8AC077" w14:textId="040FF247" w:rsidTr="00304D8C">
        <w:trPr>
          <w:trHeight w:val="563"/>
        </w:trPr>
        <w:tc>
          <w:tcPr>
            <w:tcW w:w="3686" w:type="dxa"/>
            <w:vAlign w:val="center"/>
          </w:tcPr>
          <w:p w14:paraId="79DE4BE1" w14:textId="032CC05F" w:rsidR="00B85B35" w:rsidRPr="000149DA" w:rsidRDefault="00B85B35" w:rsidP="00EB26D3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Kóros hüvelyi vérzés, urogenitalis vérzés</w:t>
            </w:r>
          </w:p>
        </w:tc>
        <w:tc>
          <w:tcPr>
            <w:tcW w:w="2268" w:type="dxa"/>
            <w:vAlign w:val="center"/>
          </w:tcPr>
          <w:p w14:paraId="2DAE1C8B" w14:textId="77777777" w:rsidR="00B85B35" w:rsidRPr="000149DA" w:rsidRDefault="00B85B35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0B89B8FF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72CE3BA5" w14:textId="04802298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Nagyon gyakori</w:t>
            </w:r>
            <w:r w:rsidRPr="00B85B35">
              <w:rPr>
                <w:rFonts w:hint="eastAsia"/>
                <w:w w:val="105"/>
                <w:lang w:val="hu-HU"/>
              </w:rPr>
              <w:t>§</w:t>
            </w:r>
          </w:p>
        </w:tc>
      </w:tr>
      <w:tr w:rsidR="00B85B35" w:rsidRPr="000149DA" w14:paraId="02E1C9B6" w14:textId="6CD32F6F" w:rsidTr="00304D8C">
        <w:trPr>
          <w:trHeight w:val="415"/>
        </w:trPr>
        <w:tc>
          <w:tcPr>
            <w:tcW w:w="8222" w:type="dxa"/>
            <w:gridSpan w:val="3"/>
            <w:vAlign w:val="center"/>
          </w:tcPr>
          <w:p w14:paraId="03AC450E" w14:textId="10762661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Általános tünetek, az alkalmazás helyén fellépő reakciók</w:t>
            </w:r>
          </w:p>
        </w:tc>
        <w:tc>
          <w:tcPr>
            <w:tcW w:w="1984" w:type="dxa"/>
            <w:vAlign w:val="center"/>
          </w:tcPr>
          <w:p w14:paraId="7CCFB752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5BA18D8B" w14:textId="47B8CAB0" w:rsidTr="00304D8C">
        <w:trPr>
          <w:trHeight w:val="457"/>
        </w:trPr>
        <w:tc>
          <w:tcPr>
            <w:tcW w:w="3686" w:type="dxa"/>
            <w:vAlign w:val="center"/>
          </w:tcPr>
          <w:p w14:paraId="2B03F142" w14:textId="77777777" w:rsidR="00B85B35" w:rsidRPr="000149DA" w:rsidRDefault="00B85B35" w:rsidP="00EB26D3">
            <w:pPr>
              <w:pStyle w:val="TableParagraph"/>
              <w:spacing w:line="230" w:lineRule="exact"/>
              <w:ind w:left="100" w:right="281"/>
              <w:rPr>
                <w:lang w:val="hu-HU"/>
              </w:rPr>
            </w:pPr>
            <w:r w:rsidRPr="000149DA">
              <w:rPr>
                <w:w w:val="105"/>
              </w:rPr>
              <w:t>Az alkalmazás helyén jelentkező vérzés</w:t>
            </w:r>
          </w:p>
        </w:tc>
        <w:tc>
          <w:tcPr>
            <w:tcW w:w="2268" w:type="dxa"/>
            <w:vAlign w:val="center"/>
          </w:tcPr>
          <w:p w14:paraId="4D6020AF" w14:textId="77777777" w:rsidR="00B85B35" w:rsidRPr="000149DA" w:rsidRDefault="00B85B35" w:rsidP="00EB26D3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7BD2A8C5" w14:textId="77777777" w:rsidR="00B85B35" w:rsidRPr="000149DA" w:rsidRDefault="00B85B35" w:rsidP="00EB26D3">
            <w:pPr>
              <w:pStyle w:val="TableParagraph"/>
              <w:spacing w:before="10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7448C32" w14:textId="0F207D01" w:rsidR="00B85B35" w:rsidRPr="000149DA" w:rsidRDefault="00B85B35" w:rsidP="00B85B35">
            <w:pPr>
              <w:pStyle w:val="TableParagraph"/>
              <w:spacing w:before="10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  <w:tr w:rsidR="00B85B35" w:rsidRPr="000149DA" w14:paraId="6290F7D6" w14:textId="3BC30DDD" w:rsidTr="00304D8C">
        <w:trPr>
          <w:trHeight w:val="372"/>
        </w:trPr>
        <w:tc>
          <w:tcPr>
            <w:tcW w:w="8222" w:type="dxa"/>
            <w:gridSpan w:val="3"/>
            <w:vAlign w:val="center"/>
          </w:tcPr>
          <w:p w14:paraId="617F0FE0" w14:textId="435F1C97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Laboratóriumi és egyéb vizsgálatok eredményei</w:t>
            </w:r>
          </w:p>
        </w:tc>
        <w:tc>
          <w:tcPr>
            <w:tcW w:w="1984" w:type="dxa"/>
            <w:vAlign w:val="center"/>
          </w:tcPr>
          <w:p w14:paraId="44F7BDD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27EFDDD1" w14:textId="6F3B944F" w:rsidTr="00304D8C">
        <w:trPr>
          <w:trHeight w:val="419"/>
        </w:trPr>
        <w:tc>
          <w:tcPr>
            <w:tcW w:w="3686" w:type="dxa"/>
            <w:vAlign w:val="center"/>
          </w:tcPr>
          <w:p w14:paraId="6E80C96C" w14:textId="77777777" w:rsidR="00B85B35" w:rsidRPr="000149DA" w:rsidRDefault="00B85B35" w:rsidP="00D73F6B">
            <w:pPr>
              <w:pStyle w:val="TableParagraph"/>
              <w:spacing w:line="224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Occult vér pozitivitás</w:t>
            </w:r>
          </w:p>
        </w:tc>
        <w:tc>
          <w:tcPr>
            <w:tcW w:w="2268" w:type="dxa"/>
            <w:vAlign w:val="center"/>
          </w:tcPr>
          <w:p w14:paraId="13E4B019" w14:textId="77777777" w:rsidR="00B85B35" w:rsidRPr="000149DA" w:rsidRDefault="00B85B35" w:rsidP="00D73F6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474472AB" w14:textId="77777777" w:rsidR="00B85B35" w:rsidRPr="000149DA" w:rsidRDefault="00B85B35" w:rsidP="00D73F6B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5BB59069" w14:textId="5E06B603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  <w:tr w:rsidR="00B85B35" w:rsidRPr="000149DA" w14:paraId="65452EC7" w14:textId="5F71F3C5" w:rsidTr="00304D8C">
        <w:trPr>
          <w:trHeight w:val="411"/>
        </w:trPr>
        <w:tc>
          <w:tcPr>
            <w:tcW w:w="8222" w:type="dxa"/>
            <w:gridSpan w:val="3"/>
            <w:vAlign w:val="center"/>
          </w:tcPr>
          <w:p w14:paraId="5C773BFD" w14:textId="722B4814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>Sérülés, mérgezés és a beavatkozással kapcsolatos szövődmények</w:t>
            </w:r>
          </w:p>
        </w:tc>
        <w:tc>
          <w:tcPr>
            <w:tcW w:w="1984" w:type="dxa"/>
            <w:vAlign w:val="center"/>
          </w:tcPr>
          <w:p w14:paraId="31A1AE6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310516B7" w14:textId="22AD479E" w:rsidTr="00304D8C">
        <w:trPr>
          <w:trHeight w:val="426"/>
        </w:trPr>
        <w:tc>
          <w:tcPr>
            <w:tcW w:w="3686" w:type="dxa"/>
            <w:vAlign w:val="center"/>
          </w:tcPr>
          <w:p w14:paraId="2A206847" w14:textId="77777777" w:rsidR="00B85B35" w:rsidRPr="000149DA" w:rsidRDefault="00B85B35" w:rsidP="00EB26D3">
            <w:pPr>
              <w:pStyle w:val="TableParagraph"/>
              <w:spacing w:line="227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Suffusio</w:t>
            </w:r>
          </w:p>
        </w:tc>
        <w:tc>
          <w:tcPr>
            <w:tcW w:w="2268" w:type="dxa"/>
            <w:vAlign w:val="center"/>
          </w:tcPr>
          <w:p w14:paraId="05A09E9B" w14:textId="77777777" w:rsidR="00B85B35" w:rsidRPr="000149DA" w:rsidRDefault="00B85B35" w:rsidP="00EB26D3">
            <w:pPr>
              <w:pStyle w:val="TableParagraph"/>
              <w:spacing w:before="8"/>
              <w:ind w:left="372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2268" w:type="dxa"/>
            <w:vAlign w:val="center"/>
          </w:tcPr>
          <w:p w14:paraId="7DF166E3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Gyakori</w:t>
            </w:r>
          </w:p>
        </w:tc>
        <w:tc>
          <w:tcPr>
            <w:tcW w:w="1984" w:type="dxa"/>
            <w:vAlign w:val="center"/>
          </w:tcPr>
          <w:p w14:paraId="6CA13ED4" w14:textId="1501F659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B85B35" w:rsidRPr="000149DA" w14:paraId="6030C5A1" w14:textId="00F44155" w:rsidTr="00304D8C">
        <w:trPr>
          <w:trHeight w:val="2120"/>
        </w:trPr>
        <w:tc>
          <w:tcPr>
            <w:tcW w:w="3686" w:type="dxa"/>
            <w:vAlign w:val="center"/>
          </w:tcPr>
          <w:p w14:paraId="2B4534E3" w14:textId="77777777" w:rsidR="00B85B35" w:rsidRPr="000149DA" w:rsidRDefault="00B85B35" w:rsidP="00EB26D3">
            <w:pPr>
              <w:pStyle w:val="TableParagraph"/>
              <w:spacing w:line="230" w:lineRule="exact"/>
              <w:ind w:left="100" w:right="77"/>
              <w:rPr>
                <w:lang w:val="hu-HU"/>
              </w:rPr>
            </w:pPr>
            <w:r w:rsidRPr="000149DA">
              <w:rPr>
                <w:w w:val="105"/>
              </w:rPr>
              <w:t>Beavatkozás utáni vérzés (beleértve a beavatkozás utáni haematomát, a sebvérzést, a haematomát az érpunkció helyén és a vérzést a katéter bevezetésének a helyén is), sebváladékozás, vérzés az incisio helyén (beleértve a haematomát az incisio helyén), intraoperatív vérzés</w:t>
            </w:r>
          </w:p>
        </w:tc>
        <w:tc>
          <w:tcPr>
            <w:tcW w:w="2268" w:type="dxa"/>
            <w:vAlign w:val="center"/>
          </w:tcPr>
          <w:p w14:paraId="492C85C8" w14:textId="77777777" w:rsidR="00B85B35" w:rsidRPr="000149DA" w:rsidRDefault="00B85B35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4C15176E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357B062A" w14:textId="2F681A04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B85B35" w:rsidRPr="000149DA" w14:paraId="03AE9687" w14:textId="4BA83A26" w:rsidTr="00304D8C">
        <w:trPr>
          <w:trHeight w:val="417"/>
        </w:trPr>
        <w:tc>
          <w:tcPr>
            <w:tcW w:w="3686" w:type="dxa"/>
            <w:vAlign w:val="center"/>
          </w:tcPr>
          <w:p w14:paraId="4A1A9631" w14:textId="77777777" w:rsidR="00B85B35" w:rsidRPr="000149DA" w:rsidRDefault="00B85B35" w:rsidP="00EB26D3">
            <w:pPr>
              <w:pStyle w:val="TableParagraph"/>
              <w:spacing w:line="218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Traumás vérzés</w:t>
            </w:r>
          </w:p>
        </w:tc>
        <w:tc>
          <w:tcPr>
            <w:tcW w:w="2268" w:type="dxa"/>
            <w:vAlign w:val="center"/>
          </w:tcPr>
          <w:p w14:paraId="2B16EFFA" w14:textId="77777777" w:rsidR="00B85B35" w:rsidRPr="000149DA" w:rsidRDefault="00B85B35" w:rsidP="00EB26D3">
            <w:pPr>
              <w:pStyle w:val="TableParagraph"/>
              <w:spacing w:before="3" w:line="215" w:lineRule="exact"/>
              <w:ind w:left="373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2A0101CB" w14:textId="77777777" w:rsidR="00B85B35" w:rsidRPr="000149DA" w:rsidRDefault="00B85B35" w:rsidP="00EB26D3">
            <w:pPr>
              <w:pStyle w:val="TableParagraph"/>
              <w:spacing w:before="3" w:line="215" w:lineRule="exact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FCB8E49" w14:textId="17F47DEF" w:rsidR="00B85B35" w:rsidRPr="000149DA" w:rsidRDefault="00B85B35" w:rsidP="00B85B35">
            <w:pPr>
              <w:pStyle w:val="TableParagraph"/>
              <w:spacing w:before="3" w:line="215" w:lineRule="exact"/>
              <w:ind w:left="141" w:right="138"/>
              <w:jc w:val="center"/>
              <w:rPr>
                <w:w w:val="105"/>
              </w:rPr>
            </w:pPr>
            <w:r w:rsidRPr="000149DA">
              <w:rPr>
                <w:w w:val="105"/>
              </w:rPr>
              <w:t>Nem ismert</w:t>
            </w:r>
          </w:p>
        </w:tc>
      </w:tr>
    </w:tbl>
    <w:p w14:paraId="5BD15AFC" w14:textId="7AA17B7A" w:rsidR="00CA21AA" w:rsidRPr="00D15884" w:rsidRDefault="00EB26D3" w:rsidP="00EB26D3">
      <w:pPr>
        <w:pStyle w:val="Nincstrkz"/>
        <w:rPr>
          <w:rFonts w:cs="Times New Roman"/>
        </w:rPr>
      </w:pPr>
      <w:r w:rsidRPr="00D15884">
        <w:rPr>
          <w:rFonts w:cs="Times New Roman"/>
        </w:rPr>
        <w:t>*</w:t>
      </w:r>
      <w:r w:rsidR="00CA21AA" w:rsidRPr="00D15884">
        <w:rPr>
          <w:rFonts w:cs="Times New Roman"/>
        </w:rPr>
        <w:t>A CV185057 vizsgálatban (VTE hosszú távú megelőzése) nem fordult elő egész testre kiterjedő</w:t>
      </w:r>
      <w:r w:rsidR="00CA21AA" w:rsidRPr="00D15884">
        <w:rPr>
          <w:rFonts w:cs="Times New Roman"/>
          <w:spacing w:val="-22"/>
        </w:rPr>
        <w:t xml:space="preserve"> </w:t>
      </w:r>
      <w:r w:rsidR="00CA21AA" w:rsidRPr="00D15884">
        <w:rPr>
          <w:rFonts w:cs="Times New Roman"/>
        </w:rPr>
        <w:t>pruritus.</w:t>
      </w:r>
    </w:p>
    <w:p w14:paraId="099C5A41" w14:textId="7175E887" w:rsidR="00CA21AA" w:rsidRDefault="00134AB9" w:rsidP="00EB26D3">
      <w:pPr>
        <w:pStyle w:val="Nincstrkz"/>
        <w:rPr>
          <w:rFonts w:cs="Times New Roman"/>
        </w:rPr>
      </w:pPr>
      <w:r w:rsidRPr="00D15884">
        <w:rPr>
          <w:rFonts w:cs="Times New Roman"/>
        </w:rPr>
        <w:t>†</w:t>
      </w:r>
      <w:r w:rsidR="00CA21AA" w:rsidRPr="00D15884">
        <w:rPr>
          <w:rFonts w:cs="Times New Roman"/>
        </w:rPr>
        <w:t>Az „</w:t>
      </w:r>
      <w:r w:rsidR="00D73F6B" w:rsidRPr="00D15884">
        <w:rPr>
          <w:rFonts w:cs="Times New Roman"/>
        </w:rPr>
        <w:t>a</w:t>
      </w:r>
      <w:r w:rsidR="00CA21AA" w:rsidRPr="00D15884">
        <w:rPr>
          <w:rFonts w:cs="Times New Roman"/>
        </w:rPr>
        <w:t>gyvérzés” kifejezés minden intracranialis és intraspinalis vérzést magába foglal (azaz a haemorrhagiás stroke-ot, illetve a putamen, cerebellum vérzéseit és az intraventricularis és subduralis vérzéseket).</w:t>
      </w:r>
    </w:p>
    <w:p w14:paraId="510C2860" w14:textId="77777777" w:rsidR="00B85B35" w:rsidRPr="00B85B35" w:rsidRDefault="00B85B35" w:rsidP="00B85B35">
      <w:pPr>
        <w:pStyle w:val="Nincstrkz"/>
      </w:pPr>
      <w:r w:rsidRPr="00B85B35">
        <w:rPr>
          <w:rFonts w:hint="eastAsia"/>
        </w:rPr>
        <w:t>‡</w:t>
      </w:r>
      <w:r w:rsidRPr="00B85B35">
        <w:t xml:space="preserve"> Mag</w:t>
      </w:r>
      <w:r w:rsidRPr="00B85B35">
        <w:rPr>
          <w:rFonts w:hint="eastAsia"/>
        </w:rPr>
        <w:t>á</w:t>
      </w:r>
      <w:r w:rsidRPr="00B85B35">
        <w:t>ban foglalja az anaphylaxi</w:t>
      </w:r>
      <w:r w:rsidRPr="00B85B35">
        <w:rPr>
          <w:rFonts w:hint="eastAsia"/>
        </w:rPr>
        <w:t>á</w:t>
      </w:r>
      <w:r w:rsidRPr="00B85B35">
        <w:t>s reakci</w:t>
      </w:r>
      <w:r w:rsidRPr="00B85B35">
        <w:rPr>
          <w:rFonts w:hint="eastAsia"/>
        </w:rPr>
        <w:t>ó</w:t>
      </w:r>
      <w:r w:rsidRPr="00B85B35">
        <w:t>t, a gy</w:t>
      </w:r>
      <w:r w:rsidRPr="00B85B35">
        <w:rPr>
          <w:rFonts w:hint="eastAsia"/>
        </w:rPr>
        <w:t>ó</w:t>
      </w:r>
      <w:r w:rsidRPr="00B85B35">
        <w:t>gyszer-t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 xml:space="preserve">get </w:t>
      </w:r>
      <w:r w:rsidRPr="00B85B35">
        <w:rPr>
          <w:rFonts w:hint="eastAsia"/>
        </w:rPr>
        <w:t>é</w:t>
      </w:r>
      <w:r w:rsidRPr="00B85B35">
        <w:t>s a 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>get.</w:t>
      </w:r>
    </w:p>
    <w:p w14:paraId="64A55D92" w14:textId="5A75D832" w:rsidR="00B85B35" w:rsidRPr="00D15884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 w:hint="eastAsia"/>
          <w:lang w:bidi="hu-HU"/>
        </w:rPr>
        <w:t>§</w:t>
      </w:r>
      <w:r w:rsidRPr="00B85B35">
        <w:rPr>
          <w:rFonts w:cs="Times New Roman"/>
          <w:lang w:bidi="hu-HU"/>
        </w:rPr>
        <w:t xml:space="preserve"> Mag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ban foglalja az er</w:t>
      </w:r>
      <w:r w:rsidRPr="00B85B35">
        <w:rPr>
          <w:rFonts w:cs="Times New Roman" w:hint="eastAsia"/>
          <w:lang w:bidi="hu-HU"/>
        </w:rPr>
        <w:t>ő</w:t>
      </w:r>
      <w:r w:rsidRPr="00B85B35">
        <w:rPr>
          <w:rFonts w:cs="Times New Roman"/>
          <w:lang w:bidi="hu-HU"/>
        </w:rPr>
        <w:t>s menstru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ci</w:t>
      </w:r>
      <w:r w:rsidRPr="00B85B35">
        <w:rPr>
          <w:rFonts w:cs="Times New Roman" w:hint="eastAsia"/>
          <w:lang w:bidi="hu-HU"/>
        </w:rPr>
        <w:t>ó</w:t>
      </w:r>
      <w:r w:rsidRPr="00B85B35">
        <w:rPr>
          <w:rFonts w:cs="Times New Roman"/>
          <w:lang w:bidi="hu-HU"/>
        </w:rPr>
        <w:t>s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st, a menstru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ci</w:t>
      </w:r>
      <w:r w:rsidRPr="00B85B35">
        <w:rPr>
          <w:rFonts w:cs="Times New Roman" w:hint="eastAsia"/>
          <w:lang w:bidi="hu-HU"/>
        </w:rPr>
        <w:t>ó</w:t>
      </w:r>
      <w:r w:rsidRPr="00B85B35">
        <w:rPr>
          <w:rFonts w:cs="Times New Roman"/>
          <w:lang w:bidi="hu-HU"/>
        </w:rPr>
        <w:t>s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sek k</w:t>
      </w:r>
      <w:r w:rsidRPr="00B85B35">
        <w:rPr>
          <w:rFonts w:cs="Times New Roman" w:hint="eastAsia"/>
          <w:lang w:bidi="hu-HU"/>
        </w:rPr>
        <w:t>ö</w:t>
      </w:r>
      <w:r w:rsidRPr="00B85B35">
        <w:rPr>
          <w:rFonts w:cs="Times New Roman"/>
          <w:lang w:bidi="hu-HU"/>
        </w:rPr>
        <w:t>z</w:t>
      </w:r>
      <w:r w:rsidRPr="00B85B35">
        <w:rPr>
          <w:rFonts w:cs="Times New Roman" w:hint="eastAsia"/>
          <w:lang w:bidi="hu-HU"/>
        </w:rPr>
        <w:t>ö</w:t>
      </w:r>
      <w:r w:rsidRPr="00B85B35">
        <w:rPr>
          <w:rFonts w:cs="Times New Roman"/>
          <w:lang w:bidi="hu-HU"/>
        </w:rPr>
        <w:t>tti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 xml:space="preserve">st 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 a h</w:t>
      </w:r>
      <w:r w:rsidRPr="00B85B35">
        <w:rPr>
          <w:rFonts w:cs="Times New Roman" w:hint="eastAsia"/>
          <w:lang w:bidi="hu-HU"/>
        </w:rPr>
        <w:t>ü</w:t>
      </w:r>
      <w:r w:rsidRPr="00B85B35">
        <w:rPr>
          <w:rFonts w:cs="Times New Roman"/>
          <w:lang w:bidi="hu-HU"/>
        </w:rPr>
        <w:t>velyi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st.</w:t>
      </w:r>
    </w:p>
    <w:p w14:paraId="4E3F27E2" w14:textId="77777777" w:rsidR="00CA21AA" w:rsidRPr="000149DA" w:rsidRDefault="00CA21AA" w:rsidP="00C87B7D">
      <w:pPr>
        <w:pStyle w:val="Nincstrkz"/>
        <w:rPr>
          <w:rFonts w:cs="Times New Roman"/>
        </w:rPr>
      </w:pPr>
    </w:p>
    <w:p w14:paraId="2991C761" w14:textId="4141B235" w:rsidR="00B62AE4" w:rsidRDefault="00B62AE4" w:rsidP="00C87B7D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alkalmazása bármilyen szövetből vagy szervből eredő occult vagy nyilvánvaló vérzés fokozott kockázatával társulhat, ami posthaemorrhagiás anaemiát eredményezhet. A panaszok és a tünetek, valamint azok súlyossága a vérzés helyétől, mértékétől és nagyságától függően változhatnak (lásd 4.4 és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38C3E29B" w14:textId="77777777" w:rsidR="00B85B35" w:rsidRPr="000149DA" w:rsidRDefault="00B85B35" w:rsidP="00C87B7D">
      <w:pPr>
        <w:pStyle w:val="Nincstrkz"/>
        <w:rPr>
          <w:rFonts w:cs="Times New Roman"/>
        </w:rPr>
      </w:pPr>
    </w:p>
    <w:p w14:paraId="53E26CB7" w14:textId="77777777" w:rsidR="00B85B35" w:rsidRPr="00304D8C" w:rsidRDefault="00B85B35" w:rsidP="00B85B35">
      <w:pPr>
        <w:pStyle w:val="Nincstrkz"/>
        <w:rPr>
          <w:u w:val="single"/>
        </w:rPr>
      </w:pPr>
      <w:r w:rsidRPr="00304D8C">
        <w:rPr>
          <w:u w:val="single"/>
        </w:rPr>
        <w:t xml:space="preserve">Gyermekek </w:t>
      </w:r>
      <w:r w:rsidRPr="00304D8C">
        <w:rPr>
          <w:rFonts w:hint="eastAsia"/>
          <w:u w:val="single"/>
        </w:rPr>
        <w:t>é</w:t>
      </w:r>
      <w:r w:rsidRPr="00304D8C">
        <w:rPr>
          <w:u w:val="single"/>
        </w:rPr>
        <w:t>s serd</w:t>
      </w:r>
      <w:r w:rsidRPr="00304D8C">
        <w:rPr>
          <w:rFonts w:hint="eastAsia"/>
          <w:u w:val="single"/>
        </w:rPr>
        <w:t>ü</w:t>
      </w:r>
      <w:r w:rsidRPr="00304D8C">
        <w:rPr>
          <w:u w:val="single"/>
        </w:rPr>
        <w:t>l</w:t>
      </w:r>
      <w:r w:rsidRPr="00304D8C">
        <w:rPr>
          <w:rFonts w:hint="eastAsia"/>
          <w:u w:val="single"/>
        </w:rPr>
        <w:t>ő</w:t>
      </w:r>
      <w:r w:rsidRPr="00304D8C">
        <w:rPr>
          <w:u w:val="single"/>
        </w:rPr>
        <w:t>k</w:t>
      </w:r>
    </w:p>
    <w:p w14:paraId="3B172768" w14:textId="7B54E660" w:rsidR="00B85B35" w:rsidRPr="00B85B35" w:rsidRDefault="00B85B35" w:rsidP="00B85B35">
      <w:pPr>
        <w:pStyle w:val="Nincstrkz"/>
      </w:pPr>
      <w:r w:rsidRPr="00B85B35">
        <w:t>Az apixab</w:t>
      </w:r>
      <w:r w:rsidRPr="00B85B35">
        <w:rPr>
          <w:rFonts w:hint="eastAsia"/>
        </w:rPr>
        <w:t>á</w:t>
      </w:r>
      <w:r w:rsidRPr="00B85B35">
        <w:t>n biztons</w:t>
      </w:r>
      <w:r w:rsidRPr="00B85B35">
        <w:rPr>
          <w:rFonts w:hint="eastAsia"/>
        </w:rPr>
        <w:t>á</w:t>
      </w:r>
      <w:r w:rsidRPr="00B85B35">
        <w:t>goss</w:t>
      </w:r>
      <w:r w:rsidRPr="00B85B35">
        <w:rPr>
          <w:rFonts w:hint="eastAsia"/>
        </w:rPr>
        <w:t>á</w:t>
      </w:r>
      <w:r w:rsidRPr="00B85B35">
        <w:t>g</w:t>
      </w:r>
      <w:r w:rsidRPr="00B85B35">
        <w:rPr>
          <w:rFonts w:hint="eastAsia"/>
        </w:rPr>
        <w:t>á</w:t>
      </w:r>
      <w:r w:rsidRPr="00B85B35">
        <w:t>t 1 f</w:t>
      </w:r>
      <w:r w:rsidRPr="00B85B35">
        <w:rPr>
          <w:rFonts w:hint="eastAsia"/>
        </w:rPr>
        <w:t>á</w:t>
      </w:r>
      <w:r w:rsidRPr="00B85B35">
        <w:t xml:space="preserve">zis I </w:t>
      </w:r>
      <w:r w:rsidRPr="00B85B35">
        <w:rPr>
          <w:rFonts w:hint="eastAsia"/>
        </w:rPr>
        <w:t>é</w:t>
      </w:r>
      <w:r w:rsidRPr="00B85B35">
        <w:t>s 3 f</w:t>
      </w:r>
      <w:r w:rsidRPr="00B85B35">
        <w:rPr>
          <w:rFonts w:hint="eastAsia"/>
        </w:rPr>
        <w:t>á</w:t>
      </w:r>
      <w:r w:rsidRPr="00B85B35">
        <w:t>zis II/III klinikai vizsg</w:t>
      </w:r>
      <w:r w:rsidRPr="00B85B35">
        <w:rPr>
          <w:rFonts w:hint="eastAsia"/>
        </w:rPr>
        <w:t>á</w:t>
      </w:r>
      <w:r w:rsidRPr="00B85B35">
        <w:t>latban, 970 beteg bevon</w:t>
      </w:r>
      <w:r w:rsidRPr="00B85B35">
        <w:rPr>
          <w:rFonts w:hint="eastAsia"/>
        </w:rPr>
        <w:t>á</w:t>
      </w:r>
      <w:r w:rsidRPr="00B85B35">
        <w:t>s</w:t>
      </w:r>
      <w:r w:rsidRPr="00B85B35">
        <w:rPr>
          <w:rFonts w:hint="eastAsia"/>
        </w:rPr>
        <w:t>á</w:t>
      </w:r>
      <w:r w:rsidRPr="00B85B35">
        <w:t>val</w:t>
      </w:r>
      <w:r>
        <w:t xml:space="preserve"> </w:t>
      </w:r>
      <w:r w:rsidRPr="00B85B35">
        <w:t>vizsg</w:t>
      </w:r>
      <w:r w:rsidRPr="00B85B35">
        <w:rPr>
          <w:rFonts w:hint="eastAsia"/>
        </w:rPr>
        <w:t>á</w:t>
      </w:r>
      <w:r w:rsidRPr="00B85B35">
        <w:t>lt</w:t>
      </w:r>
      <w:r w:rsidRPr="00B85B35">
        <w:rPr>
          <w:rFonts w:hint="eastAsia"/>
        </w:rPr>
        <w:t>á</w:t>
      </w:r>
      <w:r w:rsidRPr="00B85B35">
        <w:t>k. K</w:t>
      </w:r>
      <w:r w:rsidRPr="00B85B35">
        <w:rPr>
          <w:rFonts w:hint="eastAsia"/>
        </w:rPr>
        <w:t>ö</w:t>
      </w:r>
      <w:r w:rsidRPr="00B85B35">
        <w:t>z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ü</w:t>
      </w:r>
      <w:r w:rsidRPr="00B85B35">
        <w:t>k 568 beteg kapott egy vagy t</w:t>
      </w:r>
      <w:r w:rsidRPr="00B85B35">
        <w:rPr>
          <w:rFonts w:hint="eastAsia"/>
        </w:rPr>
        <w:t>ö</w:t>
      </w:r>
      <w:r w:rsidRPr="00B85B35">
        <w:t>bb d</w:t>
      </w:r>
      <w:r w:rsidRPr="00B85B35">
        <w:rPr>
          <w:rFonts w:hint="eastAsia"/>
        </w:rPr>
        <w:t>ó</w:t>
      </w:r>
      <w:r w:rsidRPr="00B85B35">
        <w:t>zis apixab</w:t>
      </w:r>
      <w:r w:rsidRPr="00B85B35">
        <w:rPr>
          <w:rFonts w:hint="eastAsia"/>
        </w:rPr>
        <w:t>á</w:t>
      </w:r>
      <w:r w:rsidRPr="00B85B35">
        <w:t xml:space="preserve">nt </w:t>
      </w:r>
      <w:r w:rsidRPr="00B85B35">
        <w:rPr>
          <w:rFonts w:hint="eastAsia"/>
        </w:rPr>
        <w:t>ö</w:t>
      </w:r>
      <w:r w:rsidRPr="00B85B35">
        <w:t xml:space="preserve">sszesen </w:t>
      </w:r>
      <w:r w:rsidRPr="00B85B35">
        <w:rPr>
          <w:rFonts w:hint="eastAsia"/>
        </w:rPr>
        <w:t>á</w:t>
      </w:r>
      <w:r w:rsidRPr="00B85B35">
        <w:t xml:space="preserve">tlagosan 1, 24, 331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80 nap expoz</w:t>
      </w:r>
      <w:r w:rsidRPr="00B85B35">
        <w:rPr>
          <w:rFonts w:hint="eastAsia"/>
        </w:rPr>
        <w:t>í</w:t>
      </w:r>
      <w:r w:rsidRPr="00B85B35">
        <w:t>ci</w:t>
      </w:r>
      <w:r w:rsidRPr="00B85B35">
        <w:rPr>
          <w:rFonts w:hint="eastAsia"/>
        </w:rPr>
        <w:t>ó</w:t>
      </w:r>
      <w:r w:rsidRPr="00B85B35">
        <w:t>val (l</w:t>
      </w:r>
      <w:r w:rsidRPr="00B85B35">
        <w:rPr>
          <w:rFonts w:hint="eastAsia"/>
        </w:rPr>
        <w:t>á</w:t>
      </w:r>
      <w:r w:rsidRPr="00B85B35">
        <w:t>sd 5.1 pont). A betegek testt</w:t>
      </w:r>
      <w:r w:rsidRPr="00B85B35">
        <w:rPr>
          <w:rFonts w:hint="eastAsia"/>
        </w:rPr>
        <w:t>ö</w:t>
      </w:r>
      <w:r w:rsidRPr="00B85B35">
        <w:t>meghez igaz</w:t>
      </w:r>
      <w:r w:rsidRPr="00B85B35">
        <w:rPr>
          <w:rFonts w:hint="eastAsia"/>
        </w:rPr>
        <w:t>í</w:t>
      </w:r>
      <w:r w:rsidRPr="00B85B35">
        <w:t>tott d</w:t>
      </w:r>
      <w:r w:rsidRPr="00B85B35">
        <w:rPr>
          <w:rFonts w:hint="eastAsia"/>
        </w:rPr>
        <w:t>ó</w:t>
      </w:r>
      <w:r w:rsidRPr="00B85B35">
        <w:t xml:space="preserve">zisban </w:t>
      </w:r>
      <w:r w:rsidRPr="00B85B35">
        <w:rPr>
          <w:rFonts w:hint="eastAsia"/>
        </w:rPr>
        <w:t>é</w:t>
      </w:r>
      <w:r w:rsidRPr="00B85B35">
        <w:t xml:space="preserve">s </w:t>
      </w:r>
      <w:r w:rsidRPr="00B85B35">
        <w:rPr>
          <w:rFonts w:hint="eastAsia"/>
        </w:rPr>
        <w:t>é</w:t>
      </w:r>
      <w:r w:rsidRPr="00B85B35">
        <w:t>letkornak</w:t>
      </w:r>
      <w:r>
        <w:t xml:space="preserve"> </w:t>
      </w:r>
      <w:r w:rsidRPr="00B85B35">
        <w:t>megfelel</w:t>
      </w:r>
      <w:r w:rsidRPr="00B85B35">
        <w:rPr>
          <w:rFonts w:hint="eastAsia"/>
        </w:rPr>
        <w:t>ő</w:t>
      </w:r>
      <w:r w:rsidRPr="00B85B35">
        <w:t xml:space="preserve"> gy</w:t>
      </w:r>
      <w:r w:rsidRPr="00B85B35">
        <w:rPr>
          <w:rFonts w:hint="eastAsia"/>
        </w:rPr>
        <w:t>ó</w:t>
      </w:r>
      <w:r w:rsidRPr="00B85B35">
        <w:t>gyszerform</w:t>
      </w:r>
      <w:r w:rsidRPr="00B85B35">
        <w:rPr>
          <w:rFonts w:hint="eastAsia"/>
        </w:rPr>
        <w:t>á</w:t>
      </w:r>
      <w:r w:rsidRPr="00B85B35">
        <w:t>ban kapt</w:t>
      </w:r>
      <w:r w:rsidRPr="00B85B35">
        <w:rPr>
          <w:rFonts w:hint="eastAsia"/>
        </w:rPr>
        <w:t>á</w:t>
      </w:r>
      <w:r w:rsidRPr="00B85B35">
        <w:t>k az apixab</w:t>
      </w:r>
      <w:r w:rsidRPr="00B85B35">
        <w:rPr>
          <w:rFonts w:hint="eastAsia"/>
        </w:rPr>
        <w:t>á</w:t>
      </w:r>
      <w:r w:rsidRPr="00B85B35">
        <w:t>nt.</w:t>
      </w:r>
    </w:p>
    <w:p w14:paraId="16C08C4E" w14:textId="414459EB" w:rsidR="00B85B35" w:rsidRPr="00B85B35" w:rsidRDefault="00B85B35" w:rsidP="00B85B35">
      <w:pPr>
        <w:pStyle w:val="Nincstrkz"/>
      </w:pPr>
      <w:r w:rsidRPr="00B85B35">
        <w:rPr>
          <w:rFonts w:hint="eastAsia"/>
        </w:rPr>
        <w:t>Ö</w:t>
      </w:r>
      <w:r w:rsidRPr="00B85B35">
        <w:t>sszess</w:t>
      </w:r>
      <w:r w:rsidRPr="00B85B35">
        <w:rPr>
          <w:rFonts w:hint="eastAsia"/>
        </w:rPr>
        <w:t>é</w:t>
      </w:r>
      <w:r w:rsidRPr="00B85B35">
        <w:t>g</w:t>
      </w:r>
      <w:r w:rsidRPr="00B85B35">
        <w:rPr>
          <w:rFonts w:hint="eastAsia"/>
        </w:rPr>
        <w:t>é</w:t>
      </w:r>
      <w:r w:rsidRPr="00B85B35">
        <w:t>ben az apixab</w:t>
      </w:r>
      <w:r w:rsidRPr="00B85B35">
        <w:rPr>
          <w:rFonts w:hint="eastAsia"/>
        </w:rPr>
        <w:t>á</w:t>
      </w:r>
      <w:r w:rsidRPr="00B85B35">
        <w:t>n biztons</w:t>
      </w:r>
      <w:r w:rsidRPr="00B85B35">
        <w:rPr>
          <w:rFonts w:hint="eastAsia"/>
        </w:rPr>
        <w:t>á</w:t>
      </w:r>
      <w:r w:rsidRPr="00B85B35">
        <w:t>goss</w:t>
      </w:r>
      <w:r w:rsidRPr="00B85B35">
        <w:rPr>
          <w:rFonts w:hint="eastAsia"/>
        </w:rPr>
        <w:t>á</w:t>
      </w:r>
      <w:r w:rsidRPr="00B85B35">
        <w:t>gi profilja a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28 napost</w:t>
      </w:r>
      <w:r w:rsidRPr="00B85B35">
        <w:rPr>
          <w:rFonts w:hint="eastAsia"/>
        </w:rPr>
        <w:t>ó</w:t>
      </w:r>
      <w:r w:rsidRPr="00B85B35">
        <w:t>l</w:t>
      </w:r>
      <w:r>
        <w:t xml:space="preserve"> </w:t>
      </w:r>
      <w:r w:rsidRPr="00B85B35">
        <w:t xml:space="preserve">&lt; 18 </w:t>
      </w:r>
      <w:r w:rsidRPr="00B85B35">
        <w:rPr>
          <w:rFonts w:hint="eastAsia"/>
        </w:rPr>
        <w:t>é</w:t>
      </w:r>
      <w:r w:rsidRPr="00B85B35">
        <w:t>ves korig terjed</w:t>
      </w:r>
      <w:r w:rsidRPr="00B85B35">
        <w:rPr>
          <w:rFonts w:hint="eastAsia"/>
        </w:rPr>
        <w:t>ő</w:t>
      </w:r>
      <w:r w:rsidRPr="00B85B35">
        <w:t xml:space="preserve"> </w:t>
      </w:r>
      <w:r w:rsidRPr="00B85B35">
        <w:rPr>
          <w:rFonts w:hint="eastAsia"/>
        </w:rPr>
        <w:t>é</w:t>
      </w:r>
      <w:r w:rsidRPr="00B85B35">
        <w:t>letkorban hasonl</w:t>
      </w:r>
      <w:r w:rsidRPr="00B85B35">
        <w:rPr>
          <w:rFonts w:hint="eastAsia"/>
        </w:rPr>
        <w:t>ó</w:t>
      </w:r>
      <w:r w:rsidRPr="00B85B35">
        <w:t xml:space="preserve"> volt a feln</w:t>
      </w:r>
      <w:r w:rsidRPr="00B85B35">
        <w:rPr>
          <w:rFonts w:hint="eastAsia"/>
        </w:rPr>
        <w:t>ő</w:t>
      </w:r>
      <w:r w:rsidRPr="00B85B35">
        <w:t>ttek</w:t>
      </w:r>
      <w:r w:rsidRPr="00B85B35">
        <w:rPr>
          <w:rFonts w:hint="eastAsia"/>
        </w:rPr>
        <w:t>é</w:t>
      </w:r>
      <w:r w:rsidRPr="00B85B35">
        <w:t xml:space="preserve">hez, </w:t>
      </w:r>
      <w:r w:rsidRPr="00B85B35">
        <w:rPr>
          <w:rFonts w:hint="eastAsia"/>
        </w:rPr>
        <w:t>é</w:t>
      </w:r>
      <w:r w:rsidRPr="00B85B35">
        <w:t xml:space="preserve">s </w:t>
      </w:r>
      <w:r w:rsidRPr="00B85B35">
        <w:rPr>
          <w:rFonts w:hint="eastAsia"/>
        </w:rPr>
        <w:t>á</w:t>
      </w:r>
      <w:r w:rsidRPr="00B85B35">
        <w:t>ltal</w:t>
      </w:r>
      <w:r w:rsidRPr="00B85B35">
        <w:rPr>
          <w:rFonts w:hint="eastAsia"/>
        </w:rPr>
        <w:t>á</w:t>
      </w:r>
      <w:r w:rsidRPr="00B85B35">
        <w:t>nosan konzisztens volt a</w:t>
      </w:r>
      <w:r>
        <w:t xml:space="preserve"> </w:t>
      </w:r>
      <w:r w:rsidRPr="00B85B35">
        <w:t>k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ö</w:t>
      </w:r>
      <w:r w:rsidRPr="00B85B35">
        <w:t>nb</w:t>
      </w:r>
      <w:r w:rsidRPr="00B85B35">
        <w:rPr>
          <w:rFonts w:hint="eastAsia"/>
        </w:rPr>
        <w:t>ö</w:t>
      </w:r>
      <w:r w:rsidRPr="00B85B35">
        <w:t>z</w:t>
      </w:r>
      <w:r w:rsidRPr="00B85B35">
        <w:rPr>
          <w:rFonts w:hint="eastAsia"/>
        </w:rPr>
        <w:t>ő</w:t>
      </w:r>
      <w:r w:rsidRPr="00B85B35">
        <w:t xml:space="preserve"> gyermekgy</w:t>
      </w:r>
      <w:r w:rsidRPr="00B85B35">
        <w:rPr>
          <w:rFonts w:hint="eastAsia"/>
        </w:rPr>
        <w:t>ó</w:t>
      </w:r>
      <w:r w:rsidRPr="00B85B35">
        <w:t>gy</w:t>
      </w:r>
      <w:r w:rsidRPr="00B85B35">
        <w:rPr>
          <w:rFonts w:hint="eastAsia"/>
        </w:rPr>
        <w:t>á</w:t>
      </w:r>
      <w:r w:rsidRPr="00B85B35">
        <w:t>szati korcsoportokban.</w:t>
      </w:r>
    </w:p>
    <w:p w14:paraId="0A551F76" w14:textId="7FF207D5" w:rsidR="00B85B35" w:rsidRPr="00B85B35" w:rsidRDefault="00B85B35" w:rsidP="00B85B35">
      <w:pPr>
        <w:pStyle w:val="Nincstrkz"/>
      </w:pPr>
      <w:r w:rsidRPr="00B85B35">
        <w:t>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a leggyakrabban jelentett mell</w:t>
      </w:r>
      <w:r w:rsidRPr="00B85B35">
        <w:rPr>
          <w:rFonts w:hint="eastAsia"/>
        </w:rPr>
        <w:t>é</w:t>
      </w:r>
      <w:r w:rsidRPr="00B85B35">
        <w:t>khat</w:t>
      </w:r>
      <w:r w:rsidRPr="00B85B35">
        <w:rPr>
          <w:rFonts w:hint="eastAsia"/>
        </w:rPr>
        <w:t>á</w:t>
      </w:r>
      <w:r w:rsidRPr="00B85B35">
        <w:t xml:space="preserve">s az epistaxis </w:t>
      </w:r>
      <w:r w:rsidRPr="00B85B35">
        <w:rPr>
          <w:rFonts w:hint="eastAsia"/>
        </w:rPr>
        <w:t>é</w:t>
      </w:r>
      <w:r w:rsidRPr="00B85B35">
        <w:t>s a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</w:t>
      </w:r>
      <w:r>
        <w:t xml:space="preserve"> </w:t>
      </w:r>
      <w:r w:rsidRPr="00B85B35">
        <w:t>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 volt (a mell</w:t>
      </w:r>
      <w:r w:rsidRPr="00B85B35">
        <w:rPr>
          <w:rFonts w:hint="eastAsia"/>
        </w:rPr>
        <w:t>é</w:t>
      </w:r>
      <w:r w:rsidRPr="00B85B35">
        <w:t>khat</w:t>
      </w:r>
      <w:r w:rsidRPr="00B85B35">
        <w:rPr>
          <w:rFonts w:hint="eastAsia"/>
        </w:rPr>
        <w:t>á</w:t>
      </w:r>
      <w:r w:rsidRPr="00B85B35">
        <w:t xml:space="preserve">sprofilt </w:t>
      </w:r>
      <w:r w:rsidRPr="00B85B35">
        <w:rPr>
          <w:rFonts w:hint="eastAsia"/>
        </w:rPr>
        <w:t>é</w:t>
      </w:r>
      <w:r w:rsidRPr="00B85B35">
        <w:t>s az indik</w:t>
      </w:r>
      <w:r w:rsidRPr="00B85B35">
        <w:rPr>
          <w:rFonts w:hint="eastAsia"/>
        </w:rPr>
        <w:t>á</w:t>
      </w:r>
      <w:r w:rsidRPr="00B85B35">
        <w:t>ci</w:t>
      </w:r>
      <w:r w:rsidRPr="00B85B35">
        <w:rPr>
          <w:rFonts w:hint="eastAsia"/>
        </w:rPr>
        <w:t>ó</w:t>
      </w:r>
      <w:r w:rsidRPr="00B85B35">
        <w:t>k szerinti gyakoris</w:t>
      </w:r>
      <w:r w:rsidRPr="00B85B35">
        <w:rPr>
          <w:rFonts w:hint="eastAsia"/>
        </w:rPr>
        <w:t>á</w:t>
      </w:r>
      <w:r w:rsidRPr="00B85B35">
        <w:t>gokat l</w:t>
      </w:r>
      <w:r w:rsidRPr="00B85B35">
        <w:rPr>
          <w:rFonts w:hint="eastAsia"/>
        </w:rPr>
        <w:t>á</w:t>
      </w:r>
      <w:r w:rsidRPr="00B85B35">
        <w:t>sd a 3. t</w:t>
      </w:r>
      <w:r w:rsidRPr="00B85B35">
        <w:rPr>
          <w:rFonts w:hint="eastAsia"/>
        </w:rPr>
        <w:t>á</w:t>
      </w:r>
      <w:r w:rsidRPr="00B85B35">
        <w:t>bl</w:t>
      </w:r>
      <w:r w:rsidRPr="00B85B35">
        <w:rPr>
          <w:rFonts w:hint="eastAsia"/>
        </w:rPr>
        <w:t>á</w:t>
      </w:r>
      <w:r w:rsidRPr="00B85B35">
        <w:t>zatban).</w:t>
      </w:r>
    </w:p>
    <w:p w14:paraId="589A9400" w14:textId="2C499ADB" w:rsidR="00B62AE4" w:rsidRDefault="00B85B35" w:rsidP="00B85B35">
      <w:pPr>
        <w:pStyle w:val="Nincstrkz"/>
        <w:rPr>
          <w:rFonts w:cs="Times New Roman"/>
          <w:lang w:bidi="hu-HU"/>
        </w:rPr>
      </w:pPr>
      <w:r w:rsidRPr="00B85B35">
        <w:t>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az epistaxist (nagyon gyakori),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st (nagyon gyakori),</w:t>
      </w:r>
      <w:r>
        <w:t xml:space="preserve"> </w:t>
      </w:r>
      <w:r w:rsidRPr="00B85B35">
        <w:t>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 xml:space="preserve">get </w:t>
      </w:r>
      <w:r w:rsidRPr="00B85B35">
        <w:rPr>
          <w:rFonts w:hint="eastAsia"/>
        </w:rPr>
        <w:t>é</w:t>
      </w:r>
      <w:r w:rsidRPr="00B85B35">
        <w:t>s anaphylaxi</w:t>
      </w:r>
      <w:r w:rsidRPr="00B85B35">
        <w:rPr>
          <w:rFonts w:hint="eastAsia"/>
        </w:rPr>
        <w:t>á</w:t>
      </w:r>
      <w:r w:rsidRPr="00B85B35">
        <w:t>t (gyakori), pruritust (gyakori), hypotoni</w:t>
      </w:r>
      <w:r w:rsidRPr="00B85B35">
        <w:rPr>
          <w:rFonts w:hint="eastAsia"/>
        </w:rPr>
        <w:t>á</w:t>
      </w:r>
      <w:r w:rsidRPr="00B85B35">
        <w:t>t (gyakori), haematochezi</w:t>
      </w:r>
      <w:r w:rsidRPr="00B85B35">
        <w:rPr>
          <w:rFonts w:hint="eastAsia"/>
        </w:rPr>
        <w:t>á</w:t>
      </w:r>
      <w:r w:rsidRPr="00B85B35">
        <w:t>t</w:t>
      </w:r>
      <w:r>
        <w:t xml:space="preserve"> </w:t>
      </w:r>
      <w:r w:rsidRPr="00B85B35">
        <w:t>(gyakori), emelkedett glutam</w:t>
      </w:r>
      <w:r w:rsidRPr="00B85B35">
        <w:rPr>
          <w:rFonts w:hint="eastAsia"/>
        </w:rPr>
        <w:t>á</w:t>
      </w:r>
      <w:r w:rsidRPr="00B85B35">
        <w:t>t-ox</w:t>
      </w:r>
      <w:r w:rsidRPr="00B85B35">
        <w:rPr>
          <w:rFonts w:hint="eastAsia"/>
        </w:rPr>
        <w:t>á</w:t>
      </w:r>
      <w:r w:rsidRPr="00B85B35">
        <w:t>lacet</w:t>
      </w:r>
      <w:r w:rsidRPr="00B85B35">
        <w:rPr>
          <w:rFonts w:hint="eastAsia"/>
        </w:rPr>
        <w:t>á</w:t>
      </w:r>
      <w:r w:rsidRPr="00B85B35">
        <w:t>t-transzamin</w:t>
      </w:r>
      <w:r w:rsidRPr="00B85B35">
        <w:rPr>
          <w:rFonts w:hint="eastAsia"/>
        </w:rPr>
        <w:t>á</w:t>
      </w:r>
      <w:r w:rsidRPr="00B85B35">
        <w:t>z szintet (gyakori), alopeci</w:t>
      </w:r>
      <w:r w:rsidRPr="00B85B35">
        <w:rPr>
          <w:rFonts w:hint="eastAsia"/>
        </w:rPr>
        <w:t>á</w:t>
      </w:r>
      <w:r w:rsidRPr="00B85B35">
        <w:t xml:space="preserve">t (gyakori)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beavatkoz</w:t>
      </w:r>
      <w:r w:rsidRPr="00B85B35">
        <w:rPr>
          <w:rFonts w:hint="eastAsia"/>
        </w:rPr>
        <w:t>á</w:t>
      </w:r>
      <w:r w:rsidRPr="00B85B35">
        <w:t>s ut</w:t>
      </w:r>
      <w:r w:rsidRPr="00B85B35">
        <w:rPr>
          <w:rFonts w:hint="eastAsia"/>
        </w:rPr>
        <w:t>á</w:t>
      </w:r>
      <w:r w:rsidRPr="00B85B35">
        <w:t>ni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st (gyakori) gyakrabban jelentett</w:t>
      </w:r>
      <w:r w:rsidRPr="00B85B35">
        <w:rPr>
          <w:rFonts w:hint="eastAsia"/>
        </w:rPr>
        <w:t>é</w:t>
      </w:r>
      <w:r w:rsidRPr="00B85B35">
        <w:t>k, mint az apixab</w:t>
      </w:r>
      <w:r w:rsidRPr="00B85B35">
        <w:rPr>
          <w:rFonts w:hint="eastAsia"/>
        </w:rPr>
        <w:t>á</w:t>
      </w:r>
      <w:r w:rsidRPr="00B85B35">
        <w:t>nnal kezelt feln</w:t>
      </w:r>
      <w:r w:rsidRPr="00B85B35">
        <w:rPr>
          <w:rFonts w:hint="eastAsia"/>
        </w:rPr>
        <w:t>ő</w:t>
      </w:r>
      <w:r w:rsidRPr="00B85B35">
        <w:t>ttekn</w:t>
      </w:r>
      <w:r w:rsidRPr="00B85B35">
        <w:rPr>
          <w:rFonts w:hint="eastAsia"/>
        </w:rPr>
        <w:t>é</w:t>
      </w:r>
      <w:r w:rsidRPr="00B85B35">
        <w:t>l, de</w:t>
      </w:r>
      <w:r>
        <w:t xml:space="preserve"> </w:t>
      </w:r>
      <w:r w:rsidRPr="00B85B35">
        <w:t>azonos gyakoris</w:t>
      </w:r>
      <w:r w:rsidRPr="00B85B35">
        <w:rPr>
          <w:rFonts w:hint="eastAsia"/>
        </w:rPr>
        <w:t>á</w:t>
      </w:r>
      <w:r w:rsidRPr="00B85B35">
        <w:t>gi kateg</w:t>
      </w:r>
      <w:r w:rsidRPr="00B85B35">
        <w:rPr>
          <w:rFonts w:hint="eastAsia"/>
        </w:rPr>
        <w:t>ó</w:t>
      </w:r>
      <w:r w:rsidRPr="00B85B35">
        <w:t>ri</w:t>
      </w:r>
      <w:r w:rsidRPr="00B85B35">
        <w:rPr>
          <w:rFonts w:hint="eastAsia"/>
        </w:rPr>
        <w:t>á</w:t>
      </w:r>
      <w:r w:rsidRPr="00B85B35">
        <w:t>val, mint a szok</w:t>
      </w:r>
      <w:r w:rsidRPr="00B85B35">
        <w:rPr>
          <w:rFonts w:hint="eastAsia"/>
        </w:rPr>
        <w:t>á</w:t>
      </w:r>
      <w:r w:rsidRPr="00B85B35">
        <w:t>sos kezel</w:t>
      </w:r>
      <w:r w:rsidRPr="00B85B35">
        <w:rPr>
          <w:rFonts w:hint="eastAsia"/>
        </w:rPr>
        <w:t>é</w:t>
      </w:r>
      <w:r w:rsidRPr="00B85B35">
        <w:t>si karra beosztott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l; az egyetlen kiv</w:t>
      </w:r>
      <w:r w:rsidRPr="00B85B35">
        <w:rPr>
          <w:rFonts w:hint="eastAsia"/>
        </w:rPr>
        <w:t>é</w:t>
      </w:r>
      <w:r w:rsidRPr="00B85B35">
        <w:t>telt a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 jelentette, amelyet gyakorik</w:t>
      </w:r>
      <w:r w:rsidRPr="00B85B35">
        <w:rPr>
          <w:rFonts w:hint="eastAsia"/>
        </w:rPr>
        <w:t>é</w:t>
      </w:r>
      <w:r w:rsidRPr="00B85B35">
        <w:t>nt jelentettek a</w:t>
      </w:r>
      <w:r>
        <w:t xml:space="preserve"> </w:t>
      </w:r>
      <w:r w:rsidRPr="00B85B35">
        <w:t>szok</w:t>
      </w:r>
      <w:r w:rsidRPr="00B85B35">
        <w:rPr>
          <w:rFonts w:hint="eastAsia"/>
        </w:rPr>
        <w:t>á</w:t>
      </w:r>
      <w:r w:rsidRPr="00B85B35">
        <w:t>sos kezel</w:t>
      </w:r>
      <w:r w:rsidRPr="00B85B35">
        <w:rPr>
          <w:rFonts w:hint="eastAsia"/>
        </w:rPr>
        <w:t>é</w:t>
      </w:r>
      <w:r w:rsidRPr="00B85B35">
        <w:t>st alkalmaz</w:t>
      </w:r>
      <w:r w:rsidRPr="00B85B35">
        <w:rPr>
          <w:rFonts w:hint="eastAsia"/>
        </w:rPr>
        <w:t>ó</w:t>
      </w:r>
      <w:r w:rsidRPr="00B85B35">
        <w:t xml:space="preserve"> karon. Emelkedett m</w:t>
      </w:r>
      <w:r w:rsidRPr="00B85B35">
        <w:rPr>
          <w:rFonts w:hint="eastAsia"/>
        </w:rPr>
        <w:t>á</w:t>
      </w:r>
      <w:r w:rsidRPr="00B85B35">
        <w:t>j transzamin</w:t>
      </w:r>
      <w:r w:rsidRPr="00B85B35">
        <w:rPr>
          <w:rFonts w:hint="eastAsia"/>
        </w:rPr>
        <w:t>á</w:t>
      </w:r>
      <w:r w:rsidRPr="00B85B35">
        <w:t>zszinteket - egy eset kiv</w:t>
      </w:r>
      <w:r w:rsidRPr="00B85B35">
        <w:rPr>
          <w:rFonts w:hint="eastAsia"/>
        </w:rPr>
        <w:t>é</w:t>
      </w:r>
      <w:r w:rsidRPr="00B85B35">
        <w:t>tel</w:t>
      </w:r>
      <w:r w:rsidRPr="00B85B35">
        <w:rPr>
          <w:rFonts w:hint="eastAsia"/>
        </w:rPr>
        <w:t>é</w:t>
      </w:r>
      <w:r w:rsidRPr="00B85B35">
        <w:t>vel -</w:t>
      </w:r>
      <w:r>
        <w:t xml:space="preserve"> </w:t>
      </w:r>
      <w:r w:rsidRPr="00B85B35">
        <w:t>olyan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jelentettek, akik egyidej</w:t>
      </w:r>
      <w:r w:rsidRPr="00B85B35">
        <w:rPr>
          <w:rFonts w:hint="eastAsia"/>
        </w:rPr>
        <w:t>ű</w:t>
      </w:r>
      <w:r w:rsidRPr="00B85B35">
        <w:t>leg kemoter</w:t>
      </w:r>
      <w:r w:rsidRPr="00B85B35">
        <w:rPr>
          <w:rFonts w:hint="eastAsia"/>
        </w:rPr>
        <w:t>á</w:t>
      </w:r>
      <w:r w:rsidRPr="00B85B35">
        <w:t>pi</w:t>
      </w:r>
      <w:r w:rsidRPr="00B85B35">
        <w:rPr>
          <w:rFonts w:hint="eastAsia"/>
        </w:rPr>
        <w:t>á</w:t>
      </w:r>
      <w:r w:rsidRPr="00B85B35">
        <w:t>t kaptak malignus</w:t>
      </w:r>
      <w:r>
        <w:t xml:space="preserve"> </w:t>
      </w:r>
      <w:r w:rsidRPr="00B85B35">
        <w:rPr>
          <w:rFonts w:cs="Times New Roman"/>
          <w:lang w:bidi="hu-HU"/>
        </w:rPr>
        <w:t>alapbetegs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g miatt.</w:t>
      </w:r>
    </w:p>
    <w:p w14:paraId="26976BA6" w14:textId="77777777" w:rsidR="00B85B35" w:rsidRPr="000149DA" w:rsidRDefault="00B85B35" w:rsidP="00B85B35">
      <w:pPr>
        <w:pStyle w:val="Nincstrkz"/>
        <w:rPr>
          <w:rFonts w:cs="Times New Roman"/>
        </w:rPr>
      </w:pPr>
    </w:p>
    <w:p w14:paraId="6D3514DF" w14:textId="77777777" w:rsidR="00134AB9" w:rsidRPr="000149DA" w:rsidRDefault="00134AB9" w:rsidP="00C87B7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  <w:u w:val="single"/>
        </w:rPr>
        <w:t>Feltételezett mellékhatások bejelentése</w:t>
      </w:r>
    </w:p>
    <w:p w14:paraId="286E9058" w14:textId="77777777" w:rsidR="00134AB9" w:rsidRPr="000149DA" w:rsidRDefault="00134AB9" w:rsidP="00C87B7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4A45803" w14:textId="14123323" w:rsidR="00134AB9" w:rsidRPr="007B65B4" w:rsidRDefault="00134AB9" w:rsidP="00134AB9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egészségügyi szakembereket kérjük, hogy jelentsék be a feltételezett mellékhatásokat a hatóság részére az </w:t>
      </w:r>
      <w:hyperlink r:id="rId7">
        <w:r w:rsidRPr="00F61E47">
          <w:rPr>
            <w:rFonts w:cs="Times New Roman"/>
            <w:color w:val="0000FF"/>
            <w:u w:val="single" w:color="0000FF"/>
            <w:shd w:val="clear" w:color="auto" w:fill="C0C0C0"/>
          </w:rPr>
          <w:t>V. függelékbe</w:t>
        </w:r>
      </w:hyperlink>
      <w:r w:rsidRPr="000149DA">
        <w:rPr>
          <w:rFonts w:cs="Times New Roman"/>
          <w:color w:val="0000FF"/>
          <w:u w:val="single" w:color="0000FF"/>
          <w:shd w:val="clear" w:color="auto" w:fill="C0C0C0"/>
        </w:rPr>
        <w:t xml:space="preserve">n </w:t>
      </w:r>
      <w:r w:rsidRPr="00F61E47">
        <w:rPr>
          <w:rFonts w:cs="Times New Roman"/>
          <w:shd w:val="clear" w:color="auto" w:fill="C0C0C0"/>
        </w:rPr>
        <w:t>található elérhetőségek valamelyikén keresz</w:t>
      </w:r>
      <w:r w:rsidRPr="007B65B4">
        <w:rPr>
          <w:rFonts w:cs="Times New Roman"/>
          <w:shd w:val="clear" w:color="auto" w:fill="C0C0C0"/>
        </w:rPr>
        <w:t>tül</w:t>
      </w:r>
      <w:r w:rsidRPr="007B65B4">
        <w:rPr>
          <w:rFonts w:cs="Times New Roman"/>
        </w:rPr>
        <w:t>.</w:t>
      </w:r>
    </w:p>
    <w:p w14:paraId="1FD12EFA" w14:textId="77777777" w:rsidR="00134AB9" w:rsidRPr="00B50EA7" w:rsidRDefault="00134AB9" w:rsidP="00134AB9">
      <w:pPr>
        <w:pStyle w:val="Nincstrkz"/>
        <w:rPr>
          <w:rFonts w:cs="Times New Roman"/>
        </w:rPr>
      </w:pPr>
    </w:p>
    <w:p w14:paraId="76FADA13" w14:textId="366F5C76" w:rsidR="00B62AE4" w:rsidRPr="000149DA" w:rsidRDefault="00134AB9" w:rsidP="00134AB9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 xml:space="preserve">4.9 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Túladagolás</w:t>
      </w:r>
    </w:p>
    <w:p w14:paraId="108D1273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098FE2" w14:textId="59DC489D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túladagolása a vérzés kockázatának növekedését eredményezheti. Vérzéses szövődmények esetén a kezelést le kell állítani, és ki kell deríteni a vérzés forrását. Mérlegelni kell a megfelelő kezelés elkezdését, pl. sebészi vérzéscsillapítást, friss fagyasztott plazma transzfúzióját vagy a Xa faktor</w:t>
      </w:r>
      <w:r w:rsidR="00C01267" w:rsidRPr="000149DA">
        <w:rPr>
          <w:rFonts w:cs="Times New Roman"/>
        </w:rPr>
        <w:noBreakHyphen/>
      </w:r>
      <w:r w:rsidRPr="000149DA">
        <w:rPr>
          <w:rFonts w:cs="Times New Roman"/>
        </w:rPr>
        <w:t>gátló hatás reverzióját biztosító szer adását</w:t>
      </w:r>
      <w:r w:rsidR="00C831B7" w:rsidRPr="00C831B7">
        <w:rPr>
          <w:rFonts w:ascii="TimesNewRoman" w:eastAsia="TimesNewRoman" w:hAnsiTheme="minorHAnsi" w:cs="TimesNewRoman"/>
        </w:rPr>
        <w:t xml:space="preserve"> </w:t>
      </w:r>
      <w:r w:rsidR="00C831B7" w:rsidRPr="00C831B7">
        <w:rPr>
          <w:rFonts w:cs="Times New Roman"/>
          <w:lang w:bidi="hu-HU"/>
        </w:rPr>
        <w:t>(l</w:t>
      </w:r>
      <w:r w:rsidR="00C831B7" w:rsidRPr="00C831B7">
        <w:rPr>
          <w:rFonts w:cs="Times New Roman" w:hint="eastAsia"/>
          <w:lang w:bidi="hu-HU"/>
        </w:rPr>
        <w:t>á</w:t>
      </w:r>
      <w:r w:rsidR="00C831B7" w:rsidRPr="00C831B7">
        <w:rPr>
          <w:rFonts w:cs="Times New Roman"/>
          <w:lang w:bidi="hu-HU"/>
        </w:rPr>
        <w:t>sd 4.4 pont)</w:t>
      </w:r>
      <w:r w:rsidRPr="000149DA">
        <w:rPr>
          <w:rFonts w:cs="Times New Roman"/>
        </w:rPr>
        <w:t>.</w:t>
      </w:r>
    </w:p>
    <w:p w14:paraId="7CE19D3A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659A8E3" w14:textId="568D98F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Egészséges</w:t>
      </w:r>
      <w:r w:rsidR="00C831B7">
        <w:rPr>
          <w:rFonts w:cs="Times New Roman"/>
        </w:rPr>
        <w:t xml:space="preserve"> felnőtt</w:t>
      </w:r>
      <w:r w:rsidRPr="000149DA">
        <w:rPr>
          <w:rFonts w:cs="Times New Roman"/>
        </w:rPr>
        <w:t xml:space="preserve"> egyénekkel végzett kontrollos klinikai vizsgálatokban, amelyekben</w:t>
      </w:r>
      <w:r w:rsidR="00EC2711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maximum 50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adtak szájon át 3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7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ig (25</w:t>
      </w:r>
      <w:r w:rsidR="004C106B" w:rsidRPr="000149DA">
        <w:rPr>
          <w:rFonts w:cs="Times New Roman"/>
        </w:rPr>
        <w:t> mg</w:t>
      </w:r>
      <w:r w:rsidR="0071046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7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 át vagy</w:t>
      </w:r>
      <w:r w:rsidR="0071046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50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3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 át), klinikailag jelentős mellékhatás nem fordult elő.</w:t>
      </w:r>
    </w:p>
    <w:p w14:paraId="68B0FF2E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C7243B" w14:textId="77777777" w:rsidR="0010001A" w:rsidRDefault="00B62AE4" w:rsidP="0010001A">
      <w:pPr>
        <w:pStyle w:val="Nincstrkz"/>
        <w:rPr>
          <w:rFonts w:cs="Times New Roman"/>
        </w:rPr>
      </w:pPr>
      <w:r w:rsidRPr="00053B8E">
        <w:rPr>
          <w:rFonts w:cs="Times New Roman"/>
        </w:rPr>
        <w:t xml:space="preserve">Egészséges </w:t>
      </w:r>
      <w:r w:rsidR="00C831B7">
        <w:rPr>
          <w:rFonts w:cs="Times New Roman"/>
        </w:rPr>
        <w:t xml:space="preserve">felnőtt </w:t>
      </w:r>
      <w:r w:rsidRPr="00053B8E">
        <w:rPr>
          <w:rFonts w:cs="Times New Roman"/>
        </w:rPr>
        <w:t>alanyoknál 2 és 6</w:t>
      </w:r>
      <w:r w:rsidR="0071046D" w:rsidRPr="00053B8E">
        <w:rPr>
          <w:rFonts w:cs="Times New Roman"/>
        </w:rPr>
        <w:t> ór</w:t>
      </w:r>
      <w:r w:rsidRPr="00053B8E">
        <w:rPr>
          <w:rFonts w:cs="Times New Roman"/>
        </w:rPr>
        <w:t>ával egy 20</w:t>
      </w:r>
      <w:r w:rsidR="004C106B" w:rsidRPr="00053B8E">
        <w:rPr>
          <w:rFonts w:cs="Times New Roman"/>
        </w:rPr>
        <w:t> mg</w:t>
      </w:r>
      <w:r w:rsidR="00C01267" w:rsidRPr="00053B8E">
        <w:rPr>
          <w:rFonts w:cs="Times New Roman"/>
        </w:rPr>
        <w:noBreakHyphen/>
      </w:r>
      <w:r w:rsidRPr="00053B8E">
        <w:rPr>
          <w:rFonts w:cs="Times New Roman"/>
        </w:rPr>
        <w:t xml:space="preserve">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dózis bevétele után az orvosi szén adása az átlagos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AUC</w:t>
      </w:r>
      <w:r w:rsidR="00EC2711" w:rsidRPr="00053B8E">
        <w:rPr>
          <w:rFonts w:cs="Times New Roman"/>
        </w:rPr>
        <w:noBreakHyphen/>
      </w:r>
      <w:r w:rsidRPr="00535848">
        <w:rPr>
          <w:rFonts w:cs="Times New Roman"/>
        </w:rPr>
        <w:t>t sorrendben 50%</w:t>
      </w:r>
      <w:r w:rsidR="00EC2711" w:rsidRPr="00535848">
        <w:rPr>
          <w:rFonts w:cs="Times New Roman"/>
        </w:rPr>
        <w:noBreakHyphen/>
      </w:r>
      <w:r w:rsidRPr="00535848">
        <w:rPr>
          <w:rFonts w:cs="Times New Roman"/>
        </w:rPr>
        <w:t>kal és 27%</w:t>
      </w:r>
      <w:r w:rsidR="00EC2711" w:rsidRPr="00BB583F">
        <w:rPr>
          <w:rFonts w:cs="Times New Roman"/>
        </w:rPr>
        <w:noBreakHyphen/>
      </w:r>
      <w:r w:rsidRPr="00BB583F">
        <w:rPr>
          <w:rFonts w:cs="Times New Roman"/>
        </w:rPr>
        <w:t>kal csökkentette, és nem volt hatással a</w:t>
      </w:r>
      <w:r w:rsidR="0071046D" w:rsidRPr="00BB583F">
        <w:rPr>
          <w:rFonts w:cs="Times New Roman"/>
        </w:rPr>
        <w:t xml:space="preserve"> </w:t>
      </w:r>
      <w:r w:rsidRPr="00680CAA">
        <w:rPr>
          <w:rFonts w:cs="Times New Roman"/>
        </w:rPr>
        <w:t>C</w:t>
      </w:r>
      <w:r w:rsidR="0071046D" w:rsidRPr="00680CAA">
        <w:rPr>
          <w:rFonts w:cs="Times New Roman"/>
          <w:vertAlign w:val="subscript"/>
        </w:rPr>
        <w:t>max</w:t>
      </w:r>
      <w:r w:rsidR="00EC2711" w:rsidRPr="00680CAA">
        <w:rPr>
          <w:rFonts w:cs="Times New Roman"/>
        </w:rPr>
        <w:noBreakHyphen/>
      </w:r>
      <w:r w:rsidRPr="00680CAA">
        <w:rPr>
          <w:rFonts w:cs="Times New Roman"/>
        </w:rPr>
        <w:t xml:space="preserve">ra. Az </w:t>
      </w:r>
      <w:r w:rsidR="00D6140D" w:rsidRPr="00680CAA">
        <w:rPr>
          <w:rFonts w:cs="Times New Roman"/>
        </w:rPr>
        <w:t>apixabán</w:t>
      </w:r>
      <w:r w:rsidRPr="00680CAA">
        <w:rPr>
          <w:rFonts w:cs="Times New Roman"/>
        </w:rPr>
        <w:t xml:space="preserve"> átlagos felezési ideje az önmagában adott </w:t>
      </w:r>
      <w:r w:rsidR="00D6140D" w:rsidRPr="00680CAA">
        <w:rPr>
          <w:rFonts w:cs="Times New Roman"/>
        </w:rPr>
        <w:t>apixabán</w:t>
      </w:r>
      <w:r w:rsidR="00EC2711" w:rsidRPr="00700D63">
        <w:rPr>
          <w:rFonts w:cs="Times New Roman"/>
        </w:rPr>
        <w:t>nál</w:t>
      </w:r>
      <w:r w:rsidRPr="00700D63">
        <w:rPr>
          <w:rFonts w:cs="Times New Roman"/>
        </w:rPr>
        <w:t xml:space="preserve"> észlelt 13,4</w:t>
      </w:r>
      <w:r w:rsidR="0071046D" w:rsidRPr="00700D63">
        <w:rPr>
          <w:rFonts w:cs="Times New Roman"/>
        </w:rPr>
        <w:t> ór</w:t>
      </w:r>
      <w:r w:rsidRPr="008F17BA">
        <w:rPr>
          <w:rFonts w:cs="Times New Roman"/>
        </w:rPr>
        <w:t>áról sorrendben 5,3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>ára, illetve 4,9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>ára csökkent, ha az orvosi szenet 2 és 6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 xml:space="preserve">ával az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 xml:space="preserve"> után adták. Így az orvosi szén alkalmazása az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 xml:space="preserve"> túladagolásának vagy véletlen lenyelésének kezelése esetén hasznos lehet.</w:t>
      </w:r>
    </w:p>
    <w:p w14:paraId="319C3E5A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65C5B157" w14:textId="77777777" w:rsidR="0010001A" w:rsidRPr="000149DA" w:rsidRDefault="0010001A" w:rsidP="0010001A">
      <w:pPr>
        <w:pStyle w:val="Nincstrkz"/>
        <w:rPr>
          <w:rFonts w:cs="Times New Roman"/>
        </w:rPr>
      </w:pPr>
      <w:r w:rsidRPr="000149DA">
        <w:rPr>
          <w:rFonts w:cs="Times New Roman"/>
        </w:rPr>
        <w:t>Az apixabán egyszeri, 5 mg</w:t>
      </w:r>
      <w:r w:rsidRPr="000149DA">
        <w:rPr>
          <w:rFonts w:cs="Times New Roman"/>
        </w:rPr>
        <w:noBreakHyphen/>
        <w:t>os adagjának szájon át történő alkalmazása esetén a hemodialízis 14%</w:t>
      </w:r>
      <w:r w:rsidRPr="000149DA">
        <w:rPr>
          <w:rFonts w:cs="Times New Roman"/>
        </w:rPr>
        <w:noBreakHyphen/>
        <w:t>kal csökkentette az apixabán AUC</w:t>
      </w:r>
      <w:r>
        <w:rPr>
          <w:rFonts w:cs="Times New Roman"/>
        </w:rPr>
        <w:t>-</w:t>
      </w:r>
      <w:r w:rsidRPr="000149DA">
        <w:rPr>
          <w:rFonts w:cs="Times New Roman"/>
        </w:rPr>
        <w:t>értékét végstádiumú vesebetegségben (ESRD, end-stage renal disease) szenvedőknél. Ezért a hemodialízis valószínűleg nem hatékony módszer az apixabán túladagolásának kezelésére.</w:t>
      </w:r>
    </w:p>
    <w:p w14:paraId="004729B1" w14:textId="38D117EB" w:rsidR="00B62AE4" w:rsidRDefault="00B62AE4" w:rsidP="002E1A28">
      <w:pPr>
        <w:pStyle w:val="Nincstrkz"/>
        <w:rPr>
          <w:rFonts w:cs="Times New Roman"/>
        </w:rPr>
      </w:pPr>
    </w:p>
    <w:p w14:paraId="220D5517" w14:textId="63211977" w:rsidR="00B62AE4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Ha életveszélyes vagy </w:t>
      </w:r>
      <w:r w:rsidR="00EC2711" w:rsidRPr="000149DA">
        <w:rPr>
          <w:rFonts w:cs="Times New Roman"/>
        </w:rPr>
        <w:t>nem kontrollálható</w:t>
      </w:r>
      <w:r w:rsidRPr="000149DA">
        <w:rPr>
          <w:rFonts w:cs="Times New Roman"/>
        </w:rPr>
        <w:t xml:space="preserve"> vérzés miatt szükség van az antikoagulálás reverziójára, </w:t>
      </w:r>
      <w:r w:rsidR="0010001A">
        <w:rPr>
          <w:rFonts w:cs="Times New Roman"/>
        </w:rPr>
        <w:t xml:space="preserve">felnőttek számára </w:t>
      </w:r>
      <w:r w:rsidRPr="000149DA">
        <w:rPr>
          <w:rFonts w:cs="Times New Roman"/>
        </w:rPr>
        <w:t xml:space="preserve">rendelkezésre áll egy szer </w:t>
      </w:r>
      <w:r w:rsidR="0010001A" w:rsidRPr="0010001A">
        <w:rPr>
          <w:rFonts w:cs="Times New Roman"/>
          <w:lang w:bidi="hu-HU"/>
        </w:rPr>
        <w:t xml:space="preserve">(andexanet-alfa) </w:t>
      </w:r>
      <w:r w:rsidRPr="000149DA">
        <w:rPr>
          <w:rFonts w:cs="Times New Roman"/>
        </w:rPr>
        <w:t>a Xa faktor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inhibitorok aktivitásának visszafordítására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Protrombin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komplex koncentrátumok (PCC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k) vagy rekombináns VIIa faktor alkalmazása is mérlegelhető.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farmakodinámiás hatásainak</w:t>
      </w:r>
      <w:r w:rsidR="002D0E06" w:rsidRPr="000149DA">
        <w:rPr>
          <w:rFonts w:cs="Times New Roman"/>
        </w:rPr>
        <w:t xml:space="preserve"> </w:t>
      </w:r>
      <w:r w:rsidR="002D0E06" w:rsidRPr="000149DA">
        <w:rPr>
          <w:rFonts w:cs="Times New Roman"/>
        </w:rPr>
        <w:noBreakHyphen/>
        <w:t xml:space="preserve"> thrombinképződési tesztben beálló változások által mutatott </w:t>
      </w:r>
      <w:r w:rsidR="002D0E06" w:rsidRPr="000149DA">
        <w:rPr>
          <w:rFonts w:cs="Times New Roman"/>
        </w:rPr>
        <w:noBreakHyphen/>
        <w:t xml:space="preserve"> </w:t>
      </w:r>
      <w:r w:rsidRPr="000149DA">
        <w:rPr>
          <w:rFonts w:cs="Times New Roman"/>
        </w:rPr>
        <w:t xml:space="preserve">visszafordulását figyelték meg az infúzió végén, </w:t>
      </w:r>
      <w:r w:rsidR="002D0E06" w:rsidRPr="000149DA">
        <w:rPr>
          <w:rFonts w:cs="Times New Roman"/>
        </w:rPr>
        <w:t>amelyek</w:t>
      </w:r>
      <w:r w:rsidRPr="000149DA">
        <w:rPr>
          <w:rFonts w:cs="Times New Roman"/>
        </w:rPr>
        <w:t xml:space="preserve"> egy PCC 30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es </w:t>
      </w:r>
      <w:r w:rsidR="0010001A" w:rsidRPr="000149DA">
        <w:rPr>
          <w:rFonts w:cs="Times New Roman"/>
        </w:rPr>
        <w:t xml:space="preserve">4 faktorú </w:t>
      </w:r>
      <w:r w:rsidRPr="000149DA">
        <w:rPr>
          <w:rFonts w:cs="Times New Roman"/>
        </w:rPr>
        <w:t>infundálásának kezdetétől számított 4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án belül álltak vissza a kiindulási értékek</w:t>
      </w:r>
      <w:r w:rsidR="002D0E06" w:rsidRPr="000149DA">
        <w:rPr>
          <w:rFonts w:cs="Times New Roman"/>
        </w:rPr>
        <w:t>re</w:t>
      </w:r>
      <w:r w:rsidRPr="000149DA">
        <w:rPr>
          <w:rFonts w:cs="Times New Roman"/>
        </w:rPr>
        <w:t xml:space="preserve"> egészséges alanyoknál. Mindamellett nincs klinikai tapasztalat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51AB0" w:rsidRPr="000149DA">
        <w:rPr>
          <w:rFonts w:cs="Times New Roman"/>
        </w:rPr>
        <w:t>-</w:t>
      </w:r>
      <w:r w:rsidR="00A763FA" w:rsidRPr="000149DA">
        <w:rPr>
          <w:rFonts w:cs="Times New Roman"/>
        </w:rPr>
        <w:t>val</w:t>
      </w:r>
      <w:r w:rsidRPr="000149DA">
        <w:rPr>
          <w:rFonts w:cs="Times New Roman"/>
        </w:rPr>
        <w:t xml:space="preserve">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vérzésének leállítására adott 4</w:t>
      </w:r>
      <w:r w:rsidR="00A763FA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faktorú PCC készítmények alkalmazására vonatkozóan. Jelenleg még nincs tapasztalat a rekombináns VIIa faktor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szedő</w:t>
      </w:r>
      <w:r w:rsidR="00A763F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történő alkalmazásával kapcsolatban. A vérzés csökkenésétől függően megfontolandó a rekombináns VIIa faktor ismételt adása és az adag módosítása.</w:t>
      </w:r>
    </w:p>
    <w:p w14:paraId="4D3EF486" w14:textId="77777777" w:rsidR="0010001A" w:rsidRPr="000149DA" w:rsidRDefault="0010001A" w:rsidP="00D72566">
      <w:pPr>
        <w:pStyle w:val="Nincstrkz"/>
        <w:rPr>
          <w:rFonts w:cs="Times New Roman"/>
        </w:rPr>
      </w:pPr>
    </w:p>
    <w:p w14:paraId="74861DE8" w14:textId="21157AA5" w:rsidR="00B62AE4" w:rsidRDefault="0010001A" w:rsidP="0010001A">
      <w:pPr>
        <w:pStyle w:val="Nincstrkz"/>
        <w:rPr>
          <w:rFonts w:cs="Times New Roman"/>
          <w:lang w:bidi="hu-HU"/>
        </w:rPr>
      </w:pPr>
      <w:r w:rsidRPr="0010001A">
        <w:t>Az apixab</w:t>
      </w:r>
      <w:r w:rsidRPr="0010001A">
        <w:rPr>
          <w:rFonts w:hint="eastAsia"/>
        </w:rPr>
        <w:t>á</w:t>
      </w:r>
      <w:r w:rsidRPr="0010001A">
        <w:t>n farmakodin</w:t>
      </w:r>
      <w:r w:rsidRPr="0010001A">
        <w:rPr>
          <w:rFonts w:hint="eastAsia"/>
        </w:rPr>
        <w:t>á</w:t>
      </w:r>
      <w:r w:rsidRPr="0010001A">
        <w:t>mi</w:t>
      </w:r>
      <w:r w:rsidRPr="0010001A">
        <w:rPr>
          <w:rFonts w:hint="eastAsia"/>
        </w:rPr>
        <w:t>á</w:t>
      </w:r>
      <w:r w:rsidRPr="0010001A">
        <w:t>s hat</w:t>
      </w:r>
      <w:r w:rsidRPr="0010001A">
        <w:rPr>
          <w:rFonts w:hint="eastAsia"/>
        </w:rPr>
        <w:t>á</w:t>
      </w:r>
      <w:r w:rsidRPr="0010001A">
        <w:t>s</w:t>
      </w:r>
      <w:r w:rsidRPr="0010001A">
        <w:rPr>
          <w:rFonts w:hint="eastAsia"/>
        </w:rPr>
        <w:t>á</w:t>
      </w:r>
      <w:r w:rsidRPr="0010001A">
        <w:t>st antagoniz</w:t>
      </w:r>
      <w:r w:rsidRPr="0010001A">
        <w:rPr>
          <w:rFonts w:hint="eastAsia"/>
        </w:rPr>
        <w:t>á</w:t>
      </w:r>
      <w:r w:rsidRPr="0010001A">
        <w:t>l</w:t>
      </w:r>
      <w:r w:rsidRPr="0010001A">
        <w:rPr>
          <w:rFonts w:hint="eastAsia"/>
        </w:rPr>
        <w:t>ó</w:t>
      </w:r>
      <w:r w:rsidRPr="0010001A">
        <w:t xml:space="preserve"> specifikus reverzi</w:t>
      </w:r>
      <w:r w:rsidRPr="0010001A">
        <w:rPr>
          <w:rFonts w:hint="eastAsia"/>
        </w:rPr>
        <w:t>ó</w:t>
      </w:r>
      <w:r w:rsidRPr="0010001A">
        <w:t>s szert (andexanet-alfa) nem</w:t>
      </w:r>
      <w:r>
        <w:t xml:space="preserve"> </w:t>
      </w:r>
      <w:r w:rsidRPr="0010001A">
        <w:t>vizsg</w:t>
      </w:r>
      <w:r w:rsidRPr="0010001A">
        <w:rPr>
          <w:rFonts w:hint="eastAsia"/>
        </w:rPr>
        <w:t>á</w:t>
      </w:r>
      <w:r w:rsidRPr="0010001A">
        <w:t>lt</w:t>
      </w:r>
      <w:r w:rsidRPr="0010001A">
        <w:rPr>
          <w:rFonts w:hint="eastAsia"/>
        </w:rPr>
        <w:t>á</w:t>
      </w:r>
      <w:r w:rsidRPr="0010001A">
        <w:t xml:space="preserve">k gyermekek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é</w:t>
      </w:r>
      <w:r w:rsidRPr="0010001A">
        <w:t>ben (l</w:t>
      </w:r>
      <w:r w:rsidRPr="0010001A">
        <w:rPr>
          <w:rFonts w:hint="eastAsia"/>
        </w:rPr>
        <w:t>á</w:t>
      </w:r>
      <w:r w:rsidRPr="0010001A">
        <w:t>sd az andexanet-alfa alkalmaz</w:t>
      </w:r>
      <w:r w:rsidRPr="0010001A">
        <w:rPr>
          <w:rFonts w:hint="eastAsia"/>
        </w:rPr>
        <w:t>á</w:t>
      </w:r>
      <w:r w:rsidRPr="0010001A">
        <w:t>si el</w:t>
      </w:r>
      <w:r w:rsidRPr="0010001A">
        <w:rPr>
          <w:rFonts w:hint="eastAsia"/>
        </w:rPr>
        <w:t>őí</w:t>
      </w:r>
      <w:r w:rsidRPr="0010001A">
        <w:t>r</w:t>
      </w:r>
      <w:r w:rsidRPr="0010001A">
        <w:rPr>
          <w:rFonts w:hint="eastAsia"/>
        </w:rPr>
        <w:t>á</w:t>
      </w:r>
      <w:r w:rsidRPr="0010001A">
        <w:t>s</w:t>
      </w:r>
      <w:r w:rsidRPr="0010001A">
        <w:rPr>
          <w:rFonts w:hint="eastAsia"/>
        </w:rPr>
        <w:t>á</w:t>
      </w:r>
      <w:r w:rsidRPr="0010001A">
        <w:t>t). Friss</w:t>
      </w:r>
      <w:r>
        <w:t xml:space="preserve"> </w:t>
      </w:r>
      <w:r w:rsidRPr="0010001A">
        <w:t>fagyasztott plazma transzf</w:t>
      </w:r>
      <w:r w:rsidRPr="0010001A">
        <w:rPr>
          <w:rFonts w:hint="eastAsia"/>
        </w:rPr>
        <w:t>ú</w:t>
      </w:r>
      <w:r w:rsidRPr="0010001A">
        <w:t>zi</w:t>
      </w:r>
      <w:r w:rsidRPr="0010001A">
        <w:rPr>
          <w:rFonts w:hint="eastAsia"/>
        </w:rPr>
        <w:t>ó</w:t>
      </w:r>
      <w:r w:rsidRPr="0010001A">
        <w:t>ja, PCC-k alkalmaz</w:t>
      </w:r>
      <w:r w:rsidRPr="0010001A">
        <w:rPr>
          <w:rFonts w:hint="eastAsia"/>
        </w:rPr>
        <w:t>á</w:t>
      </w:r>
      <w:r w:rsidRPr="0010001A">
        <w:t>sa vagy rekombin</w:t>
      </w:r>
      <w:r w:rsidRPr="0010001A">
        <w:rPr>
          <w:rFonts w:hint="eastAsia"/>
        </w:rPr>
        <w:t>á</w:t>
      </w:r>
      <w:r w:rsidRPr="0010001A">
        <w:t>ns VIIa faktor alkalmaz</w:t>
      </w:r>
      <w:r w:rsidRPr="0010001A">
        <w:rPr>
          <w:rFonts w:hint="eastAsia"/>
        </w:rPr>
        <w:t>á</w:t>
      </w:r>
      <w:r w:rsidRPr="0010001A">
        <w:t>sa is</w:t>
      </w:r>
      <w:r>
        <w:t xml:space="preserve"> </w:t>
      </w:r>
      <w:r w:rsidRPr="0010001A">
        <w:rPr>
          <w:rFonts w:cs="Times New Roman"/>
          <w:lang w:bidi="hu-HU"/>
        </w:rPr>
        <w:t>m</w:t>
      </w:r>
      <w:r w:rsidRPr="0010001A">
        <w:rPr>
          <w:rFonts w:cs="Times New Roman" w:hint="eastAsia"/>
          <w:lang w:bidi="hu-HU"/>
        </w:rPr>
        <w:t>é</w:t>
      </w:r>
      <w:r w:rsidRPr="0010001A">
        <w:rPr>
          <w:rFonts w:cs="Times New Roman"/>
          <w:lang w:bidi="hu-HU"/>
        </w:rPr>
        <w:t>rlegelhet</w:t>
      </w:r>
      <w:r w:rsidRPr="0010001A">
        <w:rPr>
          <w:rFonts w:cs="Times New Roman" w:hint="eastAsia"/>
          <w:lang w:bidi="hu-HU"/>
        </w:rPr>
        <w:t>ő</w:t>
      </w:r>
      <w:r w:rsidRPr="0010001A">
        <w:rPr>
          <w:rFonts w:cs="Times New Roman"/>
          <w:lang w:bidi="hu-HU"/>
        </w:rPr>
        <w:t>.</w:t>
      </w:r>
    </w:p>
    <w:p w14:paraId="7A5168EB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58364338" w14:textId="77777777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vérzés esetén, helyi elérhetőségtől függően, ajánlatos egy véralvadási szakértővel történő konzultáció.</w:t>
      </w:r>
    </w:p>
    <w:p w14:paraId="5D58A15B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C330A02" w14:textId="201260C2" w:rsidR="00B62AE4" w:rsidRPr="000149DA" w:rsidRDefault="00AF1601" w:rsidP="00AF1601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FARMAKOLÓGIAI</w:t>
      </w:r>
      <w:r w:rsidR="00B62AE4" w:rsidRPr="000149DA">
        <w:rPr>
          <w:rFonts w:cs="Times New Roman"/>
          <w:b/>
          <w:bCs/>
          <w:spacing w:val="-3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TULAJDONSÁGOK</w:t>
      </w:r>
    </w:p>
    <w:p w14:paraId="3D13C26C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3A167EF4" w14:textId="4C850602" w:rsidR="00B62AE4" w:rsidRPr="000149DA" w:rsidRDefault="00AF1601" w:rsidP="00AF1601">
      <w:pPr>
        <w:pStyle w:val="Nincstrkz"/>
        <w:tabs>
          <w:tab w:val="left" w:pos="567"/>
        </w:tabs>
        <w:rPr>
          <w:rFonts w:cs="Times New Roman"/>
          <w:b/>
        </w:rPr>
      </w:pPr>
      <w:r w:rsidRPr="000149DA">
        <w:rPr>
          <w:rFonts w:cs="Times New Roman"/>
          <w:b/>
          <w:w w:val="105"/>
        </w:rPr>
        <w:t>5.1</w:t>
      </w:r>
      <w:r w:rsidRPr="000149DA">
        <w:rPr>
          <w:rFonts w:cs="Times New Roman"/>
          <w:b/>
          <w:w w:val="105"/>
        </w:rPr>
        <w:tab/>
      </w:r>
      <w:r w:rsidR="00B62AE4" w:rsidRPr="000149DA">
        <w:rPr>
          <w:rFonts w:cs="Times New Roman"/>
          <w:b/>
          <w:w w:val="105"/>
        </w:rPr>
        <w:t>Farmakodinámiás</w:t>
      </w:r>
      <w:r w:rsidR="00B62AE4" w:rsidRPr="000149DA">
        <w:rPr>
          <w:rFonts w:cs="Times New Roman"/>
          <w:b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w w:val="105"/>
        </w:rPr>
        <w:t>tulajdonságok</w:t>
      </w:r>
    </w:p>
    <w:p w14:paraId="2547DD8A" w14:textId="77777777" w:rsidR="00AF1601" w:rsidRPr="000149DA" w:rsidRDefault="00AF1601" w:rsidP="00D72566">
      <w:pPr>
        <w:pStyle w:val="Nincstrkz"/>
        <w:rPr>
          <w:rFonts w:cs="Times New Roman"/>
        </w:rPr>
      </w:pPr>
    </w:p>
    <w:p w14:paraId="26AF35C0" w14:textId="77777777" w:rsidR="00AF1601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Farmakoterápiás csoport: antithrombotikus szerek, direkt Xa faktor inhibitorok, ATC kód: B01AF02 </w:t>
      </w:r>
    </w:p>
    <w:p w14:paraId="6B8812C9" w14:textId="77777777" w:rsidR="00AF1601" w:rsidRPr="000149DA" w:rsidRDefault="00AF1601" w:rsidP="00D72566">
      <w:pPr>
        <w:pStyle w:val="Nincstrkz"/>
        <w:rPr>
          <w:rFonts w:cs="Times New Roman"/>
        </w:rPr>
      </w:pPr>
    </w:p>
    <w:p w14:paraId="0C1128B1" w14:textId="2AADE071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Hatásmechanizmus</w:t>
      </w:r>
    </w:p>
    <w:p w14:paraId="464867D2" w14:textId="7D0ECE5C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Xa</w:t>
      </w:r>
      <w:r w:rsidR="000B223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faktor aktív centrumának egy erős, orális, reverzíbilis, direkt és nagy szelektivitású</w:t>
      </w:r>
      <w:r w:rsidR="00AF160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inhibitora. Az antitromboti</w:t>
      </w:r>
      <w:r w:rsidR="001B11AF" w:rsidRPr="000149DA">
        <w:rPr>
          <w:rFonts w:cs="Times New Roman"/>
        </w:rPr>
        <w:t>k</w:t>
      </w:r>
      <w:r w:rsidRPr="000149DA">
        <w:rPr>
          <w:rFonts w:cs="Times New Roman"/>
        </w:rPr>
        <w:t>us hatás kifejtéséhez nem igényel antithrombin III</w:t>
      </w:r>
      <w:r w:rsidR="001B11A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gátolja a szabad és a véralvadékhoz kötött Xa</w:t>
      </w:r>
      <w:r w:rsidR="000B223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faktort és a prothrombináz aktivitást.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nincs közvetlen hatással a thrombocyta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aggregáci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a, de közvetetten gátolja a thrombin indukálta thrombocyta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aggregációt. A Xa faktor gátlásával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megakadályozza a thrombin képződését és a thrombusok kialakulását. Az állatmodelleken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végzett preklinikai vizsgálatok a haemostasist fenntartó dózisok mellett kimutatták az artériás és vénás thrombosis megelőzésére alkalmas antithromboti</w:t>
      </w:r>
      <w:r w:rsidR="000B2230" w:rsidRPr="000149DA">
        <w:rPr>
          <w:rFonts w:cs="Times New Roman"/>
        </w:rPr>
        <w:t>k</w:t>
      </w:r>
      <w:r w:rsidRPr="000149DA">
        <w:rPr>
          <w:rFonts w:cs="Times New Roman"/>
        </w:rPr>
        <w:t>us hatásosságot.</w:t>
      </w:r>
    </w:p>
    <w:p w14:paraId="62C3B0EA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866E1BE" w14:textId="77777777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Farmakodinámiás hatások</w:t>
      </w:r>
    </w:p>
    <w:p w14:paraId="1770DC92" w14:textId="6F0C791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farmakodinámiás hatásai a hatásmechanizmusával (Xa faktor gátlása) vannak összhangban. A Xa faktor gátlás eredményeképpen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megnyújtja a véralvadási tesztek eredményeit, így a protrombin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időt (PI), az INR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t és az aktivált parciális thromboplastin időt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(aPTI). </w:t>
      </w:r>
      <w:r w:rsidR="0010001A" w:rsidRPr="0010001A">
        <w:rPr>
          <w:rFonts w:cs="Times New Roman"/>
        </w:rPr>
        <w:t xml:space="preserve">Felnőtteknél </w:t>
      </w:r>
      <w:r w:rsidR="0010001A">
        <w:rPr>
          <w:rFonts w:cs="Times New Roman"/>
        </w:rPr>
        <w:t>a</w:t>
      </w:r>
      <w:r w:rsidRPr="000149DA">
        <w:rPr>
          <w:rFonts w:cs="Times New Roman"/>
        </w:rPr>
        <w:t xml:space="preserve"> véralvadási vizsgálatok eredményeiben megfigyelt változások az elvárt terápiás adagolás mellett </w:t>
      </w:r>
      <w:r w:rsidR="008537EF" w:rsidRPr="000149DA">
        <w:rPr>
          <w:rFonts w:cs="Times New Roman"/>
        </w:rPr>
        <w:t>kismértékűek</w:t>
      </w:r>
      <w:r w:rsidRPr="000149DA">
        <w:rPr>
          <w:rFonts w:cs="Times New Roman"/>
        </w:rPr>
        <w:t xml:space="preserve"> és nagy variabilitást mutatnak. Ezek a vizsgálatok nem javasoltak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farmakodinámiás hatásának értékelésére. A thrombinképződési tesztben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csökkentette az endogén thrombin potenciált, amely humán plazmában a thrombinképződés mutatója.</w:t>
      </w:r>
    </w:p>
    <w:p w14:paraId="5FCA8EAD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8D0612E" w14:textId="6B9076F0" w:rsidR="00B62AE4" w:rsidRPr="000149DA" w:rsidRDefault="00B62AE4" w:rsidP="0010001A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Xa faktor-ellen</w:t>
      </w:r>
      <w:r w:rsidR="002E1A2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aktivitást is mutat, ami a Xa faktor enzim aktivitásának csökkenéséből is nyilvánvaló, ami többféle, kereskedelmi forgalomban kapható Xa faktor-ellen</w:t>
      </w:r>
      <w:r w:rsidR="002E1A2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szett esetén is jelentkezhet, bár az eredmények szettenként változnak. A klinikai vizsgálatból származó</w:t>
      </w:r>
      <w:r w:rsidR="0010001A">
        <w:rPr>
          <w:rFonts w:cs="Times New Roman"/>
        </w:rPr>
        <w:t xml:space="preserve">, </w:t>
      </w:r>
      <w:r w:rsidR="0010001A" w:rsidRPr="0010001A">
        <w:rPr>
          <w:rFonts w:cs="Times New Roman"/>
          <w:lang w:bidi="hu-HU"/>
        </w:rPr>
        <w:t>feln</w:t>
      </w:r>
      <w:r w:rsidR="0010001A" w:rsidRPr="0010001A">
        <w:rPr>
          <w:rFonts w:cs="Times New Roman" w:hint="eastAsia"/>
          <w:lang w:bidi="hu-HU"/>
        </w:rPr>
        <w:t>ő</w:t>
      </w:r>
      <w:r w:rsidR="0010001A" w:rsidRPr="0010001A">
        <w:rPr>
          <w:rFonts w:cs="Times New Roman"/>
          <w:lang w:bidi="hu-HU"/>
        </w:rPr>
        <w:t>ttekre vonatkoz</w:t>
      </w:r>
      <w:r w:rsidR="0010001A" w:rsidRPr="0010001A">
        <w:rPr>
          <w:rFonts w:cs="Times New Roman" w:hint="eastAsia"/>
          <w:lang w:bidi="hu-HU"/>
        </w:rPr>
        <w:t>ó</w:t>
      </w:r>
      <w:r w:rsidRPr="000149DA">
        <w:rPr>
          <w:rFonts w:cs="Times New Roman"/>
        </w:rPr>
        <w:t xml:space="preserve"> adatok kizárólag a Rotachrom</w:t>
      </w:r>
      <w:r w:rsidR="008537EF" w:rsidRPr="000149DA">
        <w:rPr>
          <w:rFonts w:cs="Times New Roman"/>
        </w:rPr>
        <w:t xml:space="preserve">® </w:t>
      </w:r>
      <w:r w:rsidRPr="000149DA">
        <w:rPr>
          <w:rFonts w:cs="Times New Roman"/>
        </w:rPr>
        <w:t>Heparin kromogén teszt esetén állnak rendelkezésre. A Xa faktor</w:t>
      </w:r>
      <w:r w:rsidR="00A72C97">
        <w:rPr>
          <w:rFonts w:cs="Times New Roman"/>
        </w:rPr>
        <w:t>-</w:t>
      </w:r>
      <w:r w:rsidRPr="000149DA">
        <w:rPr>
          <w:rFonts w:cs="Times New Roman"/>
        </w:rPr>
        <w:t>ellen</w:t>
      </w:r>
      <w:r w:rsidR="008537E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szoros és közvetlen lineáris összefüggést mutat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plazmakoncentrációjával, maximális értékét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</w:t>
      </w:r>
      <w:r w:rsidR="00CF3CED">
        <w:rPr>
          <w:rFonts w:cs="Times New Roman"/>
        </w:rPr>
        <w:t>-</w:t>
      </w:r>
      <w:r w:rsidRPr="000149DA">
        <w:rPr>
          <w:rFonts w:cs="Times New Roman"/>
        </w:rPr>
        <w:t xml:space="preserve">csúcskoncentrációjának időpontjában éri el.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 és Xa faktor</w:t>
      </w:r>
      <w:r w:rsidR="008537EF" w:rsidRPr="000149DA">
        <w:rPr>
          <w:rFonts w:cs="Times New Roman"/>
        </w:rPr>
        <w:noBreakHyphen/>
      </w:r>
      <w:r w:rsidRPr="000149DA">
        <w:rPr>
          <w:rFonts w:cs="Times New Roman"/>
        </w:rPr>
        <w:t>ellen</w:t>
      </w:r>
      <w:r w:rsidR="008537E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aktivitása köz</w:t>
      </w:r>
      <w:r w:rsidR="008537EF" w:rsidRPr="000149DA">
        <w:rPr>
          <w:rFonts w:cs="Times New Roman"/>
        </w:rPr>
        <w:t>öt</w:t>
      </w:r>
      <w:r w:rsidRPr="000149DA">
        <w:rPr>
          <w:rFonts w:cs="Times New Roman"/>
        </w:rPr>
        <w:t xml:space="preserve">ti összefüggés </w:t>
      </w:r>
      <w:r w:rsidR="008537EF" w:rsidRPr="000149DA">
        <w:rPr>
          <w:rFonts w:cs="Times New Roman"/>
        </w:rPr>
        <w:t xml:space="preserve">megközelítőleg lineáris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széles dózistartományában.</w:t>
      </w:r>
      <w:r w:rsidR="0010001A">
        <w:rPr>
          <w:rFonts w:cs="Times New Roman"/>
        </w:rPr>
        <w:t xml:space="preserve"> </w:t>
      </w:r>
      <w:r w:rsidR="0010001A" w:rsidRPr="0010001A">
        <w:t>A gyermekekn</w:t>
      </w:r>
      <w:r w:rsidR="0010001A" w:rsidRPr="0010001A">
        <w:rPr>
          <w:rFonts w:hint="eastAsia"/>
        </w:rPr>
        <w:t>é</w:t>
      </w:r>
      <w:r w:rsidR="0010001A" w:rsidRPr="0010001A">
        <w:t xml:space="preserve">l </w:t>
      </w:r>
      <w:r w:rsidR="0010001A" w:rsidRPr="0010001A">
        <w:rPr>
          <w:rFonts w:hint="eastAsia"/>
        </w:rPr>
        <w:t>é</w:t>
      </w:r>
      <w:r w:rsidR="0010001A" w:rsidRPr="0010001A">
        <w:t>s serd</w:t>
      </w:r>
      <w:r w:rsidR="0010001A" w:rsidRPr="0010001A">
        <w:rPr>
          <w:rFonts w:hint="eastAsia"/>
        </w:rPr>
        <w:t>ü</w:t>
      </w:r>
      <w:r w:rsidR="0010001A" w:rsidRPr="0010001A">
        <w:t>l</w:t>
      </w:r>
      <w:r w:rsidR="0010001A" w:rsidRPr="0010001A">
        <w:rPr>
          <w:rFonts w:hint="eastAsia"/>
        </w:rPr>
        <w:t>ő</w:t>
      </w:r>
      <w:r w:rsidR="0010001A" w:rsidRPr="0010001A">
        <w:t>kn</w:t>
      </w:r>
      <w:r w:rsidR="0010001A" w:rsidRPr="0010001A">
        <w:rPr>
          <w:rFonts w:hint="eastAsia"/>
        </w:rPr>
        <w:t>é</w:t>
      </w:r>
      <w:r w:rsidR="0010001A" w:rsidRPr="0010001A">
        <w:t>l v</w:t>
      </w:r>
      <w:r w:rsidR="0010001A" w:rsidRPr="0010001A">
        <w:rPr>
          <w:rFonts w:hint="eastAsia"/>
        </w:rPr>
        <w:t>é</w:t>
      </w:r>
      <w:r w:rsidR="0010001A" w:rsidRPr="0010001A">
        <w:t>gzett vizsg</w:t>
      </w:r>
      <w:r w:rsidR="0010001A" w:rsidRPr="0010001A">
        <w:rPr>
          <w:rFonts w:hint="eastAsia"/>
        </w:rPr>
        <w:t>á</w:t>
      </w:r>
      <w:r w:rsidR="0010001A" w:rsidRPr="0010001A">
        <w:t>latok azt mutatj</w:t>
      </w:r>
      <w:r w:rsidR="0010001A" w:rsidRPr="0010001A">
        <w:rPr>
          <w:rFonts w:hint="eastAsia"/>
        </w:rPr>
        <w:t>á</w:t>
      </w:r>
      <w:r w:rsidR="0010001A" w:rsidRPr="0010001A">
        <w:t>k, hogy az</w:t>
      </w:r>
      <w:r w:rsidR="0010001A">
        <w:t xml:space="preserve"> </w:t>
      </w:r>
      <w:r w:rsidR="0010001A" w:rsidRPr="0010001A">
        <w:t>apixab</w:t>
      </w:r>
      <w:r w:rsidR="0010001A" w:rsidRPr="0010001A">
        <w:rPr>
          <w:rFonts w:hint="eastAsia"/>
        </w:rPr>
        <w:t>á</w:t>
      </w:r>
      <w:r w:rsidR="0010001A" w:rsidRPr="0010001A">
        <w:t>n koncentr</w:t>
      </w:r>
      <w:r w:rsidR="0010001A" w:rsidRPr="0010001A">
        <w:rPr>
          <w:rFonts w:hint="eastAsia"/>
        </w:rPr>
        <w:t>á</w:t>
      </w:r>
      <w:r w:rsidR="0010001A" w:rsidRPr="0010001A">
        <w:t>ci</w:t>
      </w:r>
      <w:r w:rsidR="0010001A" w:rsidRPr="0010001A">
        <w:rPr>
          <w:rFonts w:hint="eastAsia"/>
        </w:rPr>
        <w:t>ó</w:t>
      </w:r>
      <w:r w:rsidR="0010001A" w:rsidRPr="0010001A">
        <w:t xml:space="preserve">ja </w:t>
      </w:r>
      <w:r w:rsidR="0010001A" w:rsidRPr="0010001A">
        <w:rPr>
          <w:rFonts w:hint="eastAsia"/>
        </w:rPr>
        <w:t>é</w:t>
      </w:r>
      <w:r w:rsidR="0010001A" w:rsidRPr="0010001A">
        <w:t>s a Xa faktor-ellenes aktivit</w:t>
      </w:r>
      <w:r w:rsidR="0010001A" w:rsidRPr="0010001A">
        <w:rPr>
          <w:rFonts w:hint="eastAsia"/>
        </w:rPr>
        <w:t>á</w:t>
      </w:r>
      <w:r w:rsidR="0010001A" w:rsidRPr="0010001A">
        <w:t>s k</w:t>
      </w:r>
      <w:r w:rsidR="0010001A" w:rsidRPr="0010001A">
        <w:rPr>
          <w:rFonts w:hint="eastAsia"/>
        </w:rPr>
        <w:t>ö</w:t>
      </w:r>
      <w:r w:rsidR="0010001A" w:rsidRPr="0010001A">
        <w:t>z</w:t>
      </w:r>
      <w:r w:rsidR="0010001A" w:rsidRPr="0010001A">
        <w:rPr>
          <w:rFonts w:hint="eastAsia"/>
        </w:rPr>
        <w:t>ö</w:t>
      </w:r>
      <w:r w:rsidR="0010001A" w:rsidRPr="0010001A">
        <w:t>tti line</w:t>
      </w:r>
      <w:r w:rsidR="0010001A" w:rsidRPr="0010001A">
        <w:rPr>
          <w:rFonts w:hint="eastAsia"/>
        </w:rPr>
        <w:t>á</w:t>
      </w:r>
      <w:r w:rsidR="0010001A" w:rsidRPr="0010001A">
        <w:t>ris kapcsolat konzisztens a</w:t>
      </w:r>
      <w:r w:rsidR="0010001A">
        <w:t xml:space="preserve"> </w:t>
      </w:r>
      <w:r w:rsidR="0010001A" w:rsidRPr="0010001A">
        <w:t>feln</w:t>
      </w:r>
      <w:r w:rsidR="0010001A" w:rsidRPr="0010001A">
        <w:rPr>
          <w:rFonts w:hint="eastAsia"/>
        </w:rPr>
        <w:t>ő</w:t>
      </w:r>
      <w:r w:rsidR="0010001A" w:rsidRPr="0010001A">
        <w:t>ttekn</w:t>
      </w:r>
      <w:r w:rsidR="0010001A" w:rsidRPr="0010001A">
        <w:rPr>
          <w:rFonts w:hint="eastAsia"/>
        </w:rPr>
        <w:t>é</w:t>
      </w:r>
      <w:r w:rsidR="0010001A" w:rsidRPr="0010001A">
        <w:t>l m</w:t>
      </w:r>
      <w:r w:rsidR="0010001A" w:rsidRPr="0010001A">
        <w:rPr>
          <w:rFonts w:hint="eastAsia"/>
        </w:rPr>
        <w:t>á</w:t>
      </w:r>
      <w:r w:rsidR="0010001A" w:rsidRPr="0010001A">
        <w:t>r kor</w:t>
      </w:r>
      <w:r w:rsidR="0010001A" w:rsidRPr="0010001A">
        <w:rPr>
          <w:rFonts w:hint="eastAsia"/>
        </w:rPr>
        <w:t>á</w:t>
      </w:r>
      <w:r w:rsidR="0010001A" w:rsidRPr="0010001A">
        <w:t>bban dokument</w:t>
      </w:r>
      <w:r w:rsidR="0010001A" w:rsidRPr="0010001A">
        <w:rPr>
          <w:rFonts w:hint="eastAsia"/>
        </w:rPr>
        <w:t>á</w:t>
      </w:r>
      <w:r w:rsidR="0010001A" w:rsidRPr="0010001A">
        <w:t xml:space="preserve">lt </w:t>
      </w:r>
      <w:r w:rsidR="0010001A" w:rsidRPr="0010001A">
        <w:rPr>
          <w:rFonts w:hint="eastAsia"/>
        </w:rPr>
        <w:t>ö</w:t>
      </w:r>
      <w:r w:rsidR="0010001A" w:rsidRPr="0010001A">
        <w:t>sszef</w:t>
      </w:r>
      <w:r w:rsidR="0010001A" w:rsidRPr="0010001A">
        <w:rPr>
          <w:rFonts w:hint="eastAsia"/>
        </w:rPr>
        <w:t>ü</w:t>
      </w:r>
      <w:r w:rsidR="0010001A" w:rsidRPr="0010001A">
        <w:t>gg</w:t>
      </w:r>
      <w:r w:rsidR="0010001A" w:rsidRPr="0010001A">
        <w:rPr>
          <w:rFonts w:hint="eastAsia"/>
        </w:rPr>
        <w:t>é</w:t>
      </w:r>
      <w:r w:rsidR="0010001A" w:rsidRPr="0010001A">
        <w:t>ssel. Ez al</w:t>
      </w:r>
      <w:r w:rsidR="0010001A" w:rsidRPr="0010001A">
        <w:rPr>
          <w:rFonts w:hint="eastAsia"/>
        </w:rPr>
        <w:t>á</w:t>
      </w:r>
      <w:r w:rsidR="0010001A" w:rsidRPr="0010001A">
        <w:t>t</w:t>
      </w:r>
      <w:r w:rsidR="0010001A" w:rsidRPr="0010001A">
        <w:rPr>
          <w:rFonts w:hint="eastAsia"/>
        </w:rPr>
        <w:t>á</w:t>
      </w:r>
      <w:r w:rsidR="0010001A" w:rsidRPr="0010001A">
        <w:t>masztja az apixab</w:t>
      </w:r>
      <w:r w:rsidR="0010001A" w:rsidRPr="0010001A">
        <w:rPr>
          <w:rFonts w:hint="eastAsia"/>
        </w:rPr>
        <w:t>á</w:t>
      </w:r>
      <w:r w:rsidR="0010001A" w:rsidRPr="0010001A">
        <w:t>n szelekt</w:t>
      </w:r>
      <w:r w:rsidR="0010001A" w:rsidRPr="0010001A">
        <w:rPr>
          <w:rFonts w:hint="eastAsia"/>
        </w:rPr>
        <w:t>í</w:t>
      </w:r>
      <w:r w:rsidR="0010001A" w:rsidRPr="0010001A">
        <w:t>v</w:t>
      </w:r>
      <w:r w:rsidR="0010001A">
        <w:t xml:space="preserve"> </w:t>
      </w:r>
      <w:r w:rsidR="0010001A" w:rsidRPr="0010001A">
        <w:rPr>
          <w:rFonts w:cs="Times New Roman"/>
          <w:lang w:bidi="hu-HU"/>
        </w:rPr>
        <w:t>Xa faktor-g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tl</w:t>
      </w:r>
      <w:r w:rsidR="0010001A" w:rsidRPr="0010001A">
        <w:rPr>
          <w:rFonts w:cs="Times New Roman" w:hint="eastAsia"/>
          <w:lang w:bidi="hu-HU"/>
        </w:rPr>
        <w:t>ó</w:t>
      </w:r>
      <w:r w:rsidR="0010001A" w:rsidRPr="0010001A">
        <w:rPr>
          <w:rFonts w:cs="Times New Roman"/>
          <w:lang w:bidi="hu-HU"/>
        </w:rPr>
        <w:t>k</w:t>
      </w:r>
      <w:r w:rsidR="0010001A" w:rsidRPr="0010001A">
        <w:rPr>
          <w:rFonts w:cs="Times New Roman" w:hint="eastAsia"/>
          <w:lang w:bidi="hu-HU"/>
        </w:rPr>
        <w:t>é</w:t>
      </w:r>
      <w:r w:rsidR="0010001A" w:rsidRPr="0010001A">
        <w:rPr>
          <w:rFonts w:cs="Times New Roman"/>
          <w:lang w:bidi="hu-HU"/>
        </w:rPr>
        <w:t>nt dokument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lt hat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smechanizmus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t.</w:t>
      </w:r>
    </w:p>
    <w:p w14:paraId="6D2D15D9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5A11705" w14:textId="4C8F74A0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alábbi </w:t>
      </w:r>
      <w:r w:rsidR="0010001A">
        <w:rPr>
          <w:rFonts w:cs="Times New Roman"/>
        </w:rPr>
        <w:t>4</w:t>
      </w:r>
      <w:r w:rsidRPr="000149DA">
        <w:rPr>
          <w:rFonts w:cs="Times New Roman"/>
        </w:rPr>
        <w:t xml:space="preserve">. táblázat a dinamikus egyensúlyi állapotban várható </w:t>
      </w:r>
      <w:r w:rsidR="00D6140D" w:rsidRPr="000149DA">
        <w:rPr>
          <w:rFonts w:cs="Times New Roman"/>
        </w:rPr>
        <w:t>apixabán</w:t>
      </w:r>
      <w:r w:rsidR="00CF3CED">
        <w:rPr>
          <w:rFonts w:cs="Times New Roman"/>
        </w:rPr>
        <w:t>-</w:t>
      </w:r>
      <w:r w:rsidRPr="000149DA">
        <w:rPr>
          <w:rFonts w:cs="Times New Roman"/>
        </w:rPr>
        <w:t xml:space="preserve">koncentrációt és </w:t>
      </w:r>
      <w:r w:rsidR="00B8657F" w:rsidRPr="000149DA">
        <w:rPr>
          <w:rFonts w:cs="Times New Roman"/>
        </w:rPr>
        <w:t xml:space="preserve">a </w:t>
      </w:r>
      <w:r w:rsidRPr="000149DA">
        <w:rPr>
          <w:rFonts w:cs="Times New Roman"/>
        </w:rPr>
        <w:t>Xa faktor</w:t>
      </w:r>
      <w:r w:rsidR="008537EF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ellen</w:t>
      </w:r>
      <w:r w:rsidR="00B8657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aktivitást mutatja</w:t>
      </w:r>
      <w:r w:rsidR="0010001A" w:rsidRPr="0010001A">
        <w:t xml:space="preserve"> </w:t>
      </w:r>
      <w:r w:rsidR="0010001A" w:rsidRPr="0010001A">
        <w:rPr>
          <w:rFonts w:cs="Times New Roman"/>
        </w:rPr>
        <w:t>felnőttekre vonatkozó egyes indikációkban</w:t>
      </w:r>
      <w:r w:rsidRPr="000149DA">
        <w:rPr>
          <w:rFonts w:cs="Times New Roman"/>
        </w:rPr>
        <w:t xml:space="preserve">. Azoknál a nem </w:t>
      </w:r>
      <w:r w:rsidR="00B8657F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pitvarfibrillációban szenvedő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eknél, akik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 stroke és a szisztémás embolizáció megelőzésére szedik, az eredmények kevesebb, mint 1,7-szeres fluktuációt mutatnak a legmagasabb és a legalacsonyabb szintek között. Azoknál a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eknél, akik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az MVT és a PE kezelésére, illetve az MVT és a PE kiújulásának a megelőzésére szedik, az eredmények kevesebb, mint 2,2</w:t>
      </w:r>
      <w:r w:rsidR="00C968C6" w:rsidRPr="000149DA">
        <w:rPr>
          <w:rFonts w:cs="Times New Roman"/>
        </w:rPr>
        <w:noBreakHyphen/>
      </w:r>
      <w:r w:rsidRPr="000149DA">
        <w:rPr>
          <w:rFonts w:cs="Times New Roman"/>
        </w:rPr>
        <w:t>szeres fluktuációt mutatnak a legmagasabb és a legalacsonyabb szintek között.</w:t>
      </w:r>
    </w:p>
    <w:p w14:paraId="6FFCF840" w14:textId="7CA2E195" w:rsidR="00B62AE4" w:rsidRPr="000149DA" w:rsidRDefault="00B62AE4" w:rsidP="00B62AE4">
      <w:pPr>
        <w:pStyle w:val="Nincstrkz"/>
        <w:rPr>
          <w:rFonts w:cs="Times New Roman"/>
        </w:rPr>
      </w:pPr>
    </w:p>
    <w:p w14:paraId="0FB5050C" w14:textId="670FABDC" w:rsidR="00512E3A" w:rsidRPr="000149DA" w:rsidRDefault="00512E3A" w:rsidP="00304D8C">
      <w:pPr>
        <w:pStyle w:val="Nincstrkz"/>
        <w:numPr>
          <w:ilvl w:val="0"/>
          <w:numId w:val="18"/>
        </w:numPr>
        <w:ind w:left="426"/>
        <w:rPr>
          <w:rFonts w:cs="Times New Roman"/>
        </w:rPr>
      </w:pPr>
      <w:r w:rsidRPr="000149DA">
        <w:rPr>
          <w:rFonts w:cs="Times New Roman"/>
          <w:b/>
          <w:bCs/>
          <w:w w:val="105"/>
        </w:rPr>
        <w:t>táblázat:</w:t>
      </w:r>
      <w:r w:rsidRPr="000149DA">
        <w:rPr>
          <w:rFonts w:cs="Times New Roman"/>
          <w:b/>
          <w:bCs/>
          <w:spacing w:val="-16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Dinamikus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egyensúlyi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állapotban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várható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apixabán</w:t>
      </w:r>
      <w:r w:rsidR="00CF3CED">
        <w:rPr>
          <w:rFonts w:cs="Times New Roman"/>
          <w:b/>
          <w:bCs/>
          <w:spacing w:val="-17"/>
          <w:w w:val="105"/>
        </w:rPr>
        <w:t>-</w:t>
      </w:r>
      <w:r w:rsidRPr="000149DA">
        <w:rPr>
          <w:rFonts w:cs="Times New Roman"/>
          <w:b/>
          <w:bCs/>
          <w:w w:val="105"/>
        </w:rPr>
        <w:t>koncentráció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és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Xa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faktor-elleni aktivitás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942"/>
        <w:gridCol w:w="1743"/>
      </w:tblGrid>
      <w:tr w:rsidR="00B62AE4" w:rsidRPr="000149DA" w14:paraId="375E05BE" w14:textId="77777777" w:rsidTr="004A1F84">
        <w:trPr>
          <w:trHeight w:val="1257"/>
        </w:trPr>
        <w:tc>
          <w:tcPr>
            <w:tcW w:w="1701" w:type="dxa"/>
          </w:tcPr>
          <w:p w14:paraId="029C87B0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0C448317" w14:textId="0BBD6C8C" w:rsidR="00AF1601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</w:p>
          <w:p w14:paraId="4CD5EDAA" w14:textId="10494011" w:rsidR="00425521" w:rsidRPr="000149DA" w:rsidRDefault="00AF1601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</w:rPr>
              <w:t>C</w:t>
            </w:r>
            <w:r w:rsidRPr="000149DA">
              <w:rPr>
                <w:rFonts w:cs="Times New Roman"/>
                <w:b/>
                <w:vertAlign w:val="subscript"/>
              </w:rPr>
              <w:t>max</w:t>
            </w:r>
          </w:p>
          <w:p w14:paraId="4A0E0C5B" w14:textId="315CB69A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  <w:position w:val="2"/>
              </w:rPr>
              <w:t>(ng/ml)</w:t>
            </w:r>
          </w:p>
        </w:tc>
        <w:tc>
          <w:tcPr>
            <w:tcW w:w="1843" w:type="dxa"/>
            <w:vAlign w:val="center"/>
          </w:tcPr>
          <w:p w14:paraId="17F06D11" w14:textId="7CF9FD37" w:rsidR="007E5354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</w:p>
          <w:p w14:paraId="3DFBEAA5" w14:textId="53CC78CF" w:rsidR="00425521" w:rsidRPr="000149DA" w:rsidRDefault="007E535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</w:rPr>
              <w:t>C</w:t>
            </w:r>
            <w:r w:rsidRPr="000149DA">
              <w:rPr>
                <w:rFonts w:cs="Times New Roman"/>
                <w:b/>
                <w:vertAlign w:val="subscript"/>
              </w:rPr>
              <w:t>min</w:t>
            </w:r>
          </w:p>
          <w:p w14:paraId="17FCD95A" w14:textId="460B63AE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  <w:position w:val="2"/>
              </w:rPr>
              <w:t>(ng/ml)</w:t>
            </w:r>
          </w:p>
        </w:tc>
        <w:tc>
          <w:tcPr>
            <w:tcW w:w="1942" w:type="dxa"/>
            <w:vAlign w:val="center"/>
          </w:tcPr>
          <w:p w14:paraId="46DF9A76" w14:textId="1D741654" w:rsidR="00425521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Xa </w:t>
            </w:r>
            <w:r w:rsidR="00B62AE4" w:rsidRPr="000149DA">
              <w:rPr>
                <w:rFonts w:cs="Times New Roman"/>
                <w:b/>
                <w:bCs/>
              </w:rPr>
              <w:t>faktor-ellen</w:t>
            </w:r>
            <w:r w:rsidR="004A1F84" w:rsidRPr="000149DA">
              <w:rPr>
                <w:rFonts w:cs="Times New Roman"/>
                <w:b/>
                <w:bCs/>
              </w:rPr>
              <w:t>i</w:t>
            </w:r>
            <w:r w:rsidR="00B62AE4" w:rsidRPr="000149DA">
              <w:rPr>
                <w:rFonts w:cs="Times New Roman"/>
                <w:b/>
                <w:bCs/>
              </w:rPr>
              <w:t xml:space="preserve"> 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>aktivitás</w:t>
            </w:r>
          </w:p>
          <w:p w14:paraId="1B24C0C9" w14:textId="46FDD800" w:rsidR="00425521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maximális</w:t>
            </w:r>
          </w:p>
          <w:p w14:paraId="5A2B1774" w14:textId="0B3569B3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(NE/ml)</w:t>
            </w:r>
          </w:p>
        </w:tc>
        <w:tc>
          <w:tcPr>
            <w:tcW w:w="1743" w:type="dxa"/>
            <w:vAlign w:val="center"/>
          </w:tcPr>
          <w:p w14:paraId="422F9B1A" w14:textId="098944FF" w:rsidR="00B62AE4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Xa </w:t>
            </w:r>
            <w:r w:rsidR="00B62AE4" w:rsidRPr="000149DA">
              <w:rPr>
                <w:rFonts w:cs="Times New Roman"/>
                <w:b/>
                <w:bCs/>
              </w:rPr>
              <w:t>faktor-ellen</w:t>
            </w:r>
            <w:r w:rsidR="004A1F84" w:rsidRPr="000149DA">
              <w:rPr>
                <w:rFonts w:cs="Times New Roman"/>
                <w:b/>
                <w:bCs/>
              </w:rPr>
              <w:t>i</w:t>
            </w:r>
            <w:r w:rsidR="00B62AE4" w:rsidRPr="000149DA">
              <w:rPr>
                <w:rFonts w:cs="Times New Roman"/>
                <w:b/>
                <w:bCs/>
              </w:rPr>
              <w:t xml:space="preserve"> 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>aktivitás minimális (NE/ml)</w:t>
            </w:r>
          </w:p>
        </w:tc>
      </w:tr>
      <w:tr w:rsidR="00B62AE4" w:rsidRPr="000149DA" w14:paraId="205BD3EA" w14:textId="77777777" w:rsidTr="00425521">
        <w:trPr>
          <w:trHeight w:val="342"/>
        </w:trPr>
        <w:tc>
          <w:tcPr>
            <w:tcW w:w="1701" w:type="dxa"/>
          </w:tcPr>
          <w:p w14:paraId="2D0F26F0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395581A8" w14:textId="5A2B3890" w:rsidR="00B62AE4" w:rsidRPr="000149DA" w:rsidRDefault="00B62AE4" w:rsidP="007E5354">
            <w:pPr>
              <w:pStyle w:val="TableParagraph"/>
              <w:spacing w:before="53"/>
              <w:ind w:left="2501" w:right="-2"/>
              <w:rPr>
                <w:lang w:val="hu-HU"/>
              </w:rPr>
            </w:pPr>
            <w:r w:rsidRPr="000149DA">
              <w:rPr>
                <w:w w:val="105"/>
              </w:rPr>
              <w:t>medián [5; 95</w:t>
            </w:r>
            <w:r w:rsidR="00AF1601" w:rsidRPr="000149DA">
              <w:rPr>
                <w:w w:val="105"/>
              </w:rPr>
              <w:t> perc</w:t>
            </w:r>
            <w:r w:rsidRPr="000149DA">
              <w:rPr>
                <w:w w:val="105"/>
              </w:rPr>
              <w:t>entilis]</w:t>
            </w:r>
          </w:p>
        </w:tc>
      </w:tr>
      <w:tr w:rsidR="00B62AE4" w:rsidRPr="000149DA" w14:paraId="734F5FFE" w14:textId="77777777" w:rsidTr="00387C2D">
        <w:trPr>
          <w:trHeight w:val="419"/>
        </w:trPr>
        <w:tc>
          <w:tcPr>
            <w:tcW w:w="9072" w:type="dxa"/>
            <w:gridSpan w:val="5"/>
          </w:tcPr>
          <w:p w14:paraId="0D3CDF4E" w14:textId="36D2144E" w:rsidR="00B62AE4" w:rsidRPr="000149DA" w:rsidRDefault="004A1F84" w:rsidP="003B67D5">
            <w:pPr>
              <w:pStyle w:val="TableParagraph"/>
              <w:spacing w:before="54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S</w:t>
            </w:r>
            <w:r w:rsidR="00B62AE4" w:rsidRPr="000149DA">
              <w:rPr>
                <w:i/>
                <w:w w:val="105"/>
              </w:rPr>
              <w:t>troke és szisztémás embolizáció megelőzése: NVPF</w:t>
            </w:r>
          </w:p>
        </w:tc>
      </w:tr>
      <w:tr w:rsidR="00B62AE4" w:rsidRPr="000149DA" w14:paraId="62707BBE" w14:textId="77777777" w:rsidTr="00590472">
        <w:trPr>
          <w:trHeight w:val="695"/>
        </w:trPr>
        <w:tc>
          <w:tcPr>
            <w:tcW w:w="1701" w:type="dxa"/>
            <w:vAlign w:val="center"/>
          </w:tcPr>
          <w:p w14:paraId="47227701" w14:textId="7F2369C8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 kétszer*</w:t>
            </w:r>
          </w:p>
        </w:tc>
        <w:tc>
          <w:tcPr>
            <w:tcW w:w="1843" w:type="dxa"/>
          </w:tcPr>
          <w:p w14:paraId="103C3237" w14:textId="77777777" w:rsidR="00B62AE4" w:rsidRPr="000149DA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123 [69; 221]</w:t>
            </w:r>
          </w:p>
        </w:tc>
        <w:tc>
          <w:tcPr>
            <w:tcW w:w="1843" w:type="dxa"/>
          </w:tcPr>
          <w:p w14:paraId="705F1B14" w14:textId="77777777" w:rsidR="00B62AE4" w:rsidRPr="000149DA" w:rsidRDefault="00B62AE4" w:rsidP="003B67D5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79 [34; 162]</w:t>
            </w:r>
          </w:p>
        </w:tc>
        <w:tc>
          <w:tcPr>
            <w:tcW w:w="1942" w:type="dxa"/>
          </w:tcPr>
          <w:p w14:paraId="0B9EC9D3" w14:textId="77777777" w:rsidR="00B62AE4" w:rsidRPr="000149DA" w:rsidRDefault="00B62AE4" w:rsidP="003B67D5">
            <w:pPr>
              <w:pStyle w:val="TableParagraph"/>
              <w:spacing w:before="53"/>
              <w:ind w:left="279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1,8 [1,0; 3,3]</w:t>
            </w:r>
          </w:p>
        </w:tc>
        <w:tc>
          <w:tcPr>
            <w:tcW w:w="1743" w:type="dxa"/>
          </w:tcPr>
          <w:p w14:paraId="65B16B5B" w14:textId="77777777" w:rsidR="00B62AE4" w:rsidRPr="000149DA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0149DA">
              <w:rPr>
                <w:w w:val="105"/>
              </w:rPr>
              <w:t>1,2 [0,51; 2,4]</w:t>
            </w:r>
          </w:p>
        </w:tc>
      </w:tr>
      <w:tr w:rsidR="00B62AE4" w:rsidRPr="000149DA" w14:paraId="6F67E359" w14:textId="77777777" w:rsidTr="00590472">
        <w:trPr>
          <w:trHeight w:val="705"/>
        </w:trPr>
        <w:tc>
          <w:tcPr>
            <w:tcW w:w="1701" w:type="dxa"/>
          </w:tcPr>
          <w:p w14:paraId="10480144" w14:textId="27B020E5" w:rsidR="00B62AE4" w:rsidRPr="000149DA" w:rsidRDefault="00B62AE4" w:rsidP="003B67D5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 kétszer</w:t>
            </w:r>
          </w:p>
        </w:tc>
        <w:tc>
          <w:tcPr>
            <w:tcW w:w="1843" w:type="dxa"/>
          </w:tcPr>
          <w:p w14:paraId="35654DFE" w14:textId="77777777" w:rsidR="00B62AE4" w:rsidRPr="000149DA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171 [91; 321]</w:t>
            </w:r>
          </w:p>
        </w:tc>
        <w:tc>
          <w:tcPr>
            <w:tcW w:w="1843" w:type="dxa"/>
          </w:tcPr>
          <w:p w14:paraId="0A6DDD46" w14:textId="77777777" w:rsidR="00B62AE4" w:rsidRPr="000149DA" w:rsidRDefault="00B62AE4" w:rsidP="003B67D5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103 [41; 230]</w:t>
            </w:r>
          </w:p>
        </w:tc>
        <w:tc>
          <w:tcPr>
            <w:tcW w:w="1942" w:type="dxa"/>
          </w:tcPr>
          <w:p w14:paraId="33CE6B4C" w14:textId="77777777" w:rsidR="00B62AE4" w:rsidRPr="000149DA" w:rsidRDefault="00B62AE4" w:rsidP="003B67D5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2,6 [1,4; 4,8]</w:t>
            </w:r>
          </w:p>
        </w:tc>
        <w:tc>
          <w:tcPr>
            <w:tcW w:w="1743" w:type="dxa"/>
          </w:tcPr>
          <w:p w14:paraId="10F7042D" w14:textId="77777777" w:rsidR="00B62AE4" w:rsidRPr="000149DA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0149DA">
              <w:rPr>
                <w:w w:val="105"/>
              </w:rPr>
              <w:t>1,5 [0,61; 3,4]</w:t>
            </w:r>
          </w:p>
        </w:tc>
      </w:tr>
      <w:tr w:rsidR="00B62AE4" w:rsidRPr="000149DA" w14:paraId="636E2039" w14:textId="77777777" w:rsidTr="00387C2D">
        <w:trPr>
          <w:trHeight w:val="404"/>
        </w:trPr>
        <w:tc>
          <w:tcPr>
            <w:tcW w:w="9072" w:type="dxa"/>
            <w:gridSpan w:val="5"/>
          </w:tcPr>
          <w:p w14:paraId="7F89C597" w14:textId="4E4770C4" w:rsidR="00B62AE4" w:rsidRPr="000149DA" w:rsidRDefault="00B62AE4" w:rsidP="0078582D">
            <w:pPr>
              <w:pStyle w:val="TableParagraph"/>
              <w:keepNext/>
              <w:widowControl/>
              <w:spacing w:before="54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MVT kezelése, PE kezelése, valamint MVT és PE kiújulásának megelőzése (VTEt)</w:t>
            </w:r>
          </w:p>
        </w:tc>
      </w:tr>
      <w:tr w:rsidR="00B62AE4" w:rsidRPr="000149DA" w14:paraId="3B28B9DB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12D719FB" w14:textId="0C67A47D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 kétszer</w:t>
            </w:r>
          </w:p>
        </w:tc>
        <w:tc>
          <w:tcPr>
            <w:tcW w:w="1843" w:type="dxa"/>
          </w:tcPr>
          <w:p w14:paraId="610C5B8B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67 [30; 153]</w:t>
            </w:r>
          </w:p>
        </w:tc>
        <w:tc>
          <w:tcPr>
            <w:tcW w:w="1843" w:type="dxa"/>
          </w:tcPr>
          <w:p w14:paraId="3220C787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2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32 [11; 90]</w:t>
            </w:r>
          </w:p>
        </w:tc>
        <w:tc>
          <w:tcPr>
            <w:tcW w:w="1942" w:type="dxa"/>
          </w:tcPr>
          <w:p w14:paraId="2E934C54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79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1,0 [0,46; 2,5]</w:t>
            </w:r>
          </w:p>
        </w:tc>
        <w:tc>
          <w:tcPr>
            <w:tcW w:w="1743" w:type="dxa"/>
          </w:tcPr>
          <w:p w14:paraId="63E3F487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8"/>
              <w:rPr>
                <w:lang w:val="hu-HU"/>
              </w:rPr>
            </w:pPr>
            <w:r w:rsidRPr="000149DA">
              <w:rPr>
                <w:w w:val="105"/>
              </w:rPr>
              <w:t>0,49 [0,17; 1,4]</w:t>
            </w:r>
          </w:p>
        </w:tc>
      </w:tr>
      <w:tr w:rsidR="00B62AE4" w:rsidRPr="000149DA" w14:paraId="6E7C7852" w14:textId="77777777" w:rsidTr="00590472">
        <w:trPr>
          <w:trHeight w:val="689"/>
        </w:trPr>
        <w:tc>
          <w:tcPr>
            <w:tcW w:w="1701" w:type="dxa"/>
            <w:vAlign w:val="center"/>
          </w:tcPr>
          <w:p w14:paraId="246EE618" w14:textId="3BE34156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4D7DF0E6" w14:textId="77777777" w:rsidR="00B62AE4" w:rsidRPr="000149DA" w:rsidRDefault="00B62AE4" w:rsidP="00425521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132 [59; 302]</w:t>
            </w:r>
          </w:p>
        </w:tc>
        <w:tc>
          <w:tcPr>
            <w:tcW w:w="1843" w:type="dxa"/>
            <w:vAlign w:val="center"/>
          </w:tcPr>
          <w:p w14:paraId="738F7AA6" w14:textId="77777777" w:rsidR="00B62AE4" w:rsidRPr="000149DA" w:rsidRDefault="00B62AE4" w:rsidP="00425521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63 [22; 177]</w:t>
            </w:r>
          </w:p>
        </w:tc>
        <w:tc>
          <w:tcPr>
            <w:tcW w:w="1942" w:type="dxa"/>
            <w:vAlign w:val="center"/>
          </w:tcPr>
          <w:p w14:paraId="62611D00" w14:textId="77777777" w:rsidR="00B62AE4" w:rsidRPr="000149DA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2,1 [0,91; 5,2]</w:t>
            </w:r>
          </w:p>
        </w:tc>
        <w:tc>
          <w:tcPr>
            <w:tcW w:w="1743" w:type="dxa"/>
            <w:vAlign w:val="center"/>
          </w:tcPr>
          <w:p w14:paraId="42A27C04" w14:textId="77777777" w:rsidR="00B62AE4" w:rsidRPr="000149DA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1,0 [0,33; 2,9]</w:t>
            </w:r>
          </w:p>
        </w:tc>
      </w:tr>
      <w:tr w:rsidR="00B62AE4" w:rsidRPr="000149DA" w14:paraId="53794F72" w14:textId="77777777" w:rsidTr="00590472">
        <w:trPr>
          <w:trHeight w:val="699"/>
        </w:trPr>
        <w:tc>
          <w:tcPr>
            <w:tcW w:w="1701" w:type="dxa"/>
            <w:vAlign w:val="center"/>
          </w:tcPr>
          <w:p w14:paraId="3820DDF2" w14:textId="127AD6F1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10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5FEF6601" w14:textId="77777777" w:rsidR="00B62AE4" w:rsidRPr="000149DA" w:rsidRDefault="00B62AE4" w:rsidP="002D1586">
            <w:pPr>
              <w:pStyle w:val="TableParagraph"/>
              <w:spacing w:before="53"/>
              <w:ind w:left="254" w:hanging="11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251 [111; 572]</w:t>
            </w:r>
          </w:p>
        </w:tc>
        <w:tc>
          <w:tcPr>
            <w:tcW w:w="1843" w:type="dxa"/>
            <w:vAlign w:val="center"/>
          </w:tcPr>
          <w:p w14:paraId="7E290D13" w14:textId="77777777" w:rsidR="00B62AE4" w:rsidRPr="000149DA" w:rsidRDefault="00B62AE4" w:rsidP="00425521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120 [41; 335]</w:t>
            </w:r>
          </w:p>
        </w:tc>
        <w:tc>
          <w:tcPr>
            <w:tcW w:w="1942" w:type="dxa"/>
            <w:vAlign w:val="center"/>
          </w:tcPr>
          <w:p w14:paraId="07E79482" w14:textId="77777777" w:rsidR="00B62AE4" w:rsidRPr="000149DA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4,2 [1,8; 10,8]</w:t>
            </w:r>
          </w:p>
        </w:tc>
        <w:tc>
          <w:tcPr>
            <w:tcW w:w="1743" w:type="dxa"/>
            <w:vAlign w:val="center"/>
          </w:tcPr>
          <w:p w14:paraId="5A38E36A" w14:textId="77777777" w:rsidR="00B62AE4" w:rsidRPr="000149DA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1,9 [0,64; 5,8]</w:t>
            </w:r>
          </w:p>
        </w:tc>
      </w:tr>
    </w:tbl>
    <w:p w14:paraId="6FE99E81" w14:textId="690845A4" w:rsidR="00B62AE4" w:rsidRPr="00D15884" w:rsidRDefault="00B62AE4" w:rsidP="0078582D">
      <w:pPr>
        <w:pStyle w:val="Listaszerbekezds"/>
        <w:numPr>
          <w:ilvl w:val="0"/>
          <w:numId w:val="4"/>
        </w:numPr>
        <w:tabs>
          <w:tab w:val="left" w:pos="284"/>
        </w:tabs>
        <w:spacing w:line="228" w:lineRule="auto"/>
        <w:ind w:left="0" w:right="1025" w:firstLine="0"/>
      </w:pPr>
      <w:r w:rsidRPr="00D15884">
        <w:t>Az</w:t>
      </w:r>
      <w:r w:rsidRPr="00D15884">
        <w:rPr>
          <w:spacing w:val="-9"/>
        </w:rPr>
        <w:t xml:space="preserve"> </w:t>
      </w:r>
      <w:r w:rsidRPr="00D15884">
        <w:t>ARISTOTLE</w:t>
      </w:r>
      <w:r w:rsidRPr="00D15884">
        <w:rPr>
          <w:spacing w:val="-9"/>
        </w:rPr>
        <w:t xml:space="preserve"> </w:t>
      </w:r>
      <w:r w:rsidRPr="00D15884">
        <w:t>vizsgálatban</w:t>
      </w:r>
      <w:r w:rsidRPr="00D15884">
        <w:rPr>
          <w:spacing w:val="-9"/>
        </w:rPr>
        <w:t xml:space="preserve"> </w:t>
      </w:r>
      <w:r w:rsidRPr="00D15884">
        <w:t>részt</w:t>
      </w:r>
      <w:r w:rsidRPr="00D15884">
        <w:rPr>
          <w:spacing w:val="-8"/>
        </w:rPr>
        <w:t xml:space="preserve"> </w:t>
      </w:r>
      <w:r w:rsidRPr="00D15884">
        <w:t>vett,</w:t>
      </w:r>
      <w:r w:rsidRPr="00D15884">
        <w:rPr>
          <w:spacing w:val="-10"/>
        </w:rPr>
        <w:t xml:space="preserve"> </w:t>
      </w:r>
      <w:r w:rsidRPr="00D15884">
        <w:t>2</w:t>
      </w:r>
      <w:r w:rsidRPr="00D15884">
        <w:rPr>
          <w:spacing w:val="-8"/>
        </w:rPr>
        <w:t xml:space="preserve"> </w:t>
      </w:r>
      <w:r w:rsidRPr="00D15884">
        <w:t>vagy</w:t>
      </w:r>
      <w:r w:rsidRPr="00D15884">
        <w:rPr>
          <w:spacing w:val="-9"/>
        </w:rPr>
        <w:t xml:space="preserve"> </w:t>
      </w:r>
      <w:r w:rsidRPr="00D15884">
        <w:t>3</w:t>
      </w:r>
      <w:r w:rsidRPr="00D15884">
        <w:rPr>
          <w:spacing w:val="-8"/>
        </w:rPr>
        <w:t xml:space="preserve"> </w:t>
      </w:r>
      <w:r w:rsidRPr="00D15884">
        <w:t>dóziscsökkentési</w:t>
      </w:r>
      <w:r w:rsidRPr="00D15884">
        <w:rPr>
          <w:spacing w:val="-10"/>
        </w:rPr>
        <w:t xml:space="preserve"> </w:t>
      </w:r>
      <w:r w:rsidRPr="00D15884">
        <w:t>kritériumnak</w:t>
      </w:r>
      <w:r w:rsidRPr="00D15884">
        <w:rPr>
          <w:spacing w:val="-8"/>
        </w:rPr>
        <w:t xml:space="preserve"> </w:t>
      </w:r>
      <w:r w:rsidRPr="00D15884">
        <w:t>megfelelt</w:t>
      </w:r>
      <w:r w:rsidRPr="00D15884">
        <w:rPr>
          <w:spacing w:val="-9"/>
        </w:rPr>
        <w:t xml:space="preserve"> </w:t>
      </w:r>
      <w:r w:rsidRPr="00D15884">
        <w:t>és</w:t>
      </w:r>
      <w:r w:rsidRPr="00D15884">
        <w:rPr>
          <w:spacing w:val="-8"/>
        </w:rPr>
        <w:t xml:space="preserve"> </w:t>
      </w:r>
      <w:r w:rsidRPr="00D15884">
        <w:t>ez</w:t>
      </w:r>
      <w:r w:rsidRPr="00D15884">
        <w:rPr>
          <w:spacing w:val="-10"/>
        </w:rPr>
        <w:t xml:space="preserve"> </w:t>
      </w:r>
      <w:r w:rsidRPr="00D15884">
        <w:t>alapján dózismódosításban részesült</w:t>
      </w:r>
      <w:r w:rsidR="00C968C6" w:rsidRPr="00D15884">
        <w:t xml:space="preserve"> </w:t>
      </w:r>
      <w:r w:rsidR="00A1416D" w:rsidRPr="00D15884">
        <w:rPr>
          <w:spacing w:val="-3"/>
        </w:rPr>
        <w:t>beteg</w:t>
      </w:r>
      <w:r w:rsidRPr="00D15884">
        <w:t>ek.</w:t>
      </w:r>
    </w:p>
    <w:p w14:paraId="7072AFC0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EAB977B" w14:textId="1E460DAE" w:rsidR="00A1416D" w:rsidRDefault="00B62AE4" w:rsidP="00D72566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Bár az </w:t>
      </w:r>
      <w:r w:rsidR="00D6140D" w:rsidRPr="00AD388D">
        <w:rPr>
          <w:rFonts w:cs="Times New Roman"/>
        </w:rPr>
        <w:t>apixabán</w:t>
      </w:r>
      <w:r w:rsidR="0078582D" w:rsidRPr="00CF3CED">
        <w:rPr>
          <w:rFonts w:cs="Times New Roman"/>
        </w:rPr>
        <w:noBreakHyphen/>
      </w:r>
      <w:r w:rsidRPr="00551B22">
        <w:rPr>
          <w:rFonts w:cs="Times New Roman"/>
        </w:rPr>
        <w:t xml:space="preserve">kezelés során nem szükséges az </w:t>
      </w:r>
      <w:r w:rsidRPr="000149DA">
        <w:rPr>
          <w:rFonts w:cs="Times New Roman"/>
        </w:rPr>
        <w:t>expozíció</w:t>
      </w:r>
      <w:r w:rsidR="0078582D" w:rsidRPr="000149DA">
        <w:rPr>
          <w:rFonts w:cs="Times New Roman"/>
        </w:rPr>
        <w:t xml:space="preserve"> rutinszerű</w:t>
      </w:r>
      <w:r w:rsidRPr="000149DA">
        <w:rPr>
          <w:rFonts w:cs="Times New Roman"/>
        </w:rPr>
        <w:t xml:space="preserve"> monitorozása, egy kalibrált, mennyiségi meghatározásra alkalmas anti</w:t>
      </w:r>
      <w:r w:rsidR="0078582D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Xa faktor teszt hasznos lehet olyan kivételes helyzetekben, amikor az </w:t>
      </w:r>
      <w:r w:rsidR="00D6140D" w:rsidRPr="000149DA">
        <w:rPr>
          <w:rFonts w:cs="Times New Roman"/>
        </w:rPr>
        <w:t>apixabán</w:t>
      </w:r>
      <w:r w:rsidR="0078582D" w:rsidRPr="000149DA">
        <w:rPr>
          <w:rFonts w:cs="Times New Roman"/>
        </w:rPr>
        <w:noBreakHyphen/>
      </w:r>
      <w:r w:rsidRPr="000149DA">
        <w:rPr>
          <w:rFonts w:cs="Times New Roman"/>
        </w:rPr>
        <w:t>expozíció ismerete segítségül szolgálhat a klinikai</w:t>
      </w:r>
      <w:r w:rsidR="0078582D" w:rsidRPr="000149DA">
        <w:rPr>
          <w:rFonts w:cs="Times New Roman"/>
        </w:rPr>
        <w:t xml:space="preserve"> döntéshozatalban, például túladagoláskor </w:t>
      </w:r>
      <w:r w:rsidRPr="000149DA">
        <w:rPr>
          <w:rFonts w:cs="Times New Roman"/>
        </w:rPr>
        <w:t xml:space="preserve">és sürgős műtét esetén. </w:t>
      </w:r>
    </w:p>
    <w:p w14:paraId="5F849E74" w14:textId="77777777" w:rsidR="0010001A" w:rsidRPr="000149DA" w:rsidRDefault="0010001A" w:rsidP="00D72566">
      <w:pPr>
        <w:pStyle w:val="Nincstrkz"/>
        <w:rPr>
          <w:rFonts w:cs="Times New Roman"/>
        </w:rPr>
      </w:pPr>
    </w:p>
    <w:p w14:paraId="690095CC" w14:textId="77777777" w:rsidR="0010001A" w:rsidRPr="00304D8C" w:rsidRDefault="0010001A" w:rsidP="0010001A">
      <w:pPr>
        <w:pStyle w:val="Nincstrkz"/>
        <w:rPr>
          <w:u w:val="single"/>
        </w:rPr>
      </w:pPr>
      <w:r w:rsidRPr="00304D8C">
        <w:rPr>
          <w:u w:val="single"/>
        </w:rPr>
        <w:t xml:space="preserve">Gyermekek </w:t>
      </w:r>
      <w:r w:rsidRPr="00304D8C">
        <w:rPr>
          <w:rFonts w:hint="eastAsia"/>
          <w:u w:val="single"/>
        </w:rPr>
        <w:t>é</w:t>
      </w:r>
      <w:r w:rsidRPr="00304D8C">
        <w:rPr>
          <w:u w:val="single"/>
        </w:rPr>
        <w:t>s serd</w:t>
      </w:r>
      <w:r w:rsidRPr="00304D8C">
        <w:rPr>
          <w:rFonts w:hint="eastAsia"/>
          <w:u w:val="single"/>
        </w:rPr>
        <w:t>ü</w:t>
      </w:r>
      <w:r w:rsidRPr="00304D8C">
        <w:rPr>
          <w:u w:val="single"/>
        </w:rPr>
        <w:t>l</w:t>
      </w:r>
      <w:r w:rsidRPr="00304D8C">
        <w:rPr>
          <w:rFonts w:hint="eastAsia"/>
          <w:u w:val="single"/>
        </w:rPr>
        <w:t>ő</w:t>
      </w:r>
      <w:r w:rsidRPr="00304D8C">
        <w:rPr>
          <w:u w:val="single"/>
        </w:rPr>
        <w:t>k</w:t>
      </w:r>
    </w:p>
    <w:p w14:paraId="1C85FAB3" w14:textId="474F4DA0" w:rsidR="0010001A" w:rsidRPr="0010001A" w:rsidRDefault="0010001A" w:rsidP="0010001A">
      <w:pPr>
        <w:pStyle w:val="Nincstrkz"/>
      </w:pPr>
      <w:r w:rsidRPr="0010001A">
        <w:t>Az apixab</w:t>
      </w:r>
      <w:r w:rsidRPr="0010001A">
        <w:rPr>
          <w:rFonts w:hint="eastAsia"/>
        </w:rPr>
        <w:t>á</w:t>
      </w:r>
      <w:r w:rsidRPr="0010001A">
        <w:t>n gyermekekn</w:t>
      </w:r>
      <w:r w:rsidRPr="0010001A">
        <w:rPr>
          <w:rFonts w:hint="eastAsia"/>
        </w:rPr>
        <w:t>é</w:t>
      </w:r>
      <w:r w:rsidRPr="0010001A">
        <w:t xml:space="preserve">l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kn</w:t>
      </w:r>
      <w:r w:rsidRPr="0010001A">
        <w:rPr>
          <w:rFonts w:hint="eastAsia"/>
        </w:rPr>
        <w:t>é</w:t>
      </w:r>
      <w:r w:rsidRPr="0010001A">
        <w:t>l v</w:t>
      </w:r>
      <w:r w:rsidRPr="0010001A">
        <w:rPr>
          <w:rFonts w:hint="eastAsia"/>
        </w:rPr>
        <w:t>é</w:t>
      </w:r>
      <w:r w:rsidRPr="0010001A">
        <w:t>gzett vizsg</w:t>
      </w:r>
      <w:r w:rsidRPr="0010001A">
        <w:rPr>
          <w:rFonts w:hint="eastAsia"/>
        </w:rPr>
        <w:t>á</w:t>
      </w:r>
      <w:r w:rsidRPr="0010001A">
        <w:t>lataiban az STA</w:t>
      </w:r>
      <w:r w:rsidRPr="0010001A">
        <w:rPr>
          <w:rFonts w:hint="eastAsia"/>
        </w:rPr>
        <w:t>®</w:t>
      </w:r>
      <w:r w:rsidRPr="0010001A">
        <w:t xml:space="preserve"> Liquid Anti-Xa apixab</w:t>
      </w:r>
      <w:r w:rsidRPr="0010001A">
        <w:rPr>
          <w:rFonts w:hint="eastAsia"/>
        </w:rPr>
        <w:t>á</w:t>
      </w:r>
      <w:r w:rsidRPr="0010001A">
        <w:t>n</w:t>
      </w:r>
      <w:r>
        <w:t xml:space="preserve"> </w:t>
      </w:r>
      <w:r w:rsidRPr="0010001A">
        <w:t>tesztet alkalmazt</w:t>
      </w:r>
      <w:r w:rsidRPr="0010001A">
        <w:rPr>
          <w:rFonts w:hint="eastAsia"/>
        </w:rPr>
        <w:t>á</w:t>
      </w:r>
      <w:r w:rsidRPr="0010001A">
        <w:t>k. Az ezen vizsg</w:t>
      </w:r>
      <w:r w:rsidRPr="0010001A">
        <w:rPr>
          <w:rFonts w:hint="eastAsia"/>
        </w:rPr>
        <w:t>á</w:t>
      </w:r>
      <w:r w:rsidRPr="0010001A">
        <w:t>latok eredm</w:t>
      </w:r>
      <w:r w:rsidRPr="0010001A">
        <w:rPr>
          <w:rFonts w:hint="eastAsia"/>
        </w:rPr>
        <w:t>é</w:t>
      </w:r>
      <w:r w:rsidRPr="0010001A">
        <w:t>nyei szerint az apixab</w:t>
      </w:r>
      <w:r w:rsidRPr="0010001A">
        <w:rPr>
          <w:rFonts w:hint="eastAsia"/>
        </w:rPr>
        <w:t>á</w:t>
      </w:r>
      <w:r w:rsidRPr="0010001A">
        <w:t>n koncentr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 xml:space="preserve">ja </w:t>
      </w:r>
      <w:r w:rsidRPr="0010001A">
        <w:rPr>
          <w:rFonts w:hint="eastAsia"/>
        </w:rPr>
        <w:t>é</w:t>
      </w:r>
      <w:r w:rsidRPr="0010001A">
        <w:t>s a</w:t>
      </w:r>
      <w:r>
        <w:t xml:space="preserve"> </w:t>
      </w:r>
      <w:r w:rsidRPr="0010001A">
        <w:t>Xa faktor-ellenes aktivit</w:t>
      </w:r>
      <w:r w:rsidRPr="0010001A">
        <w:rPr>
          <w:rFonts w:hint="eastAsia"/>
        </w:rPr>
        <w:t>á</w:t>
      </w:r>
      <w:r w:rsidRPr="0010001A">
        <w:t>s (AXA)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tti line</w:t>
      </w:r>
      <w:r w:rsidRPr="0010001A">
        <w:rPr>
          <w:rFonts w:hint="eastAsia"/>
        </w:rPr>
        <w:t>á</w:t>
      </w:r>
      <w:r w:rsidRPr="0010001A">
        <w:t xml:space="preserve">ris </w:t>
      </w:r>
      <w:r w:rsidRPr="0010001A">
        <w:rPr>
          <w:rFonts w:hint="eastAsia"/>
        </w:rPr>
        <w:t>ö</w:t>
      </w:r>
      <w:r w:rsidRPr="0010001A">
        <w:t>sszef</w:t>
      </w:r>
      <w:r w:rsidRPr="0010001A">
        <w:rPr>
          <w:rFonts w:hint="eastAsia"/>
        </w:rPr>
        <w:t>ü</w:t>
      </w:r>
      <w:r w:rsidRPr="0010001A">
        <w:t>gg</w:t>
      </w:r>
      <w:r w:rsidRPr="0010001A">
        <w:rPr>
          <w:rFonts w:hint="eastAsia"/>
        </w:rPr>
        <w:t>é</w:t>
      </w:r>
      <w:r w:rsidRPr="0010001A">
        <w:t>s konzisztens volt a feln</w:t>
      </w:r>
      <w:r w:rsidRPr="0010001A">
        <w:rPr>
          <w:rFonts w:hint="eastAsia"/>
        </w:rPr>
        <w:t>ő</w:t>
      </w:r>
      <w:r w:rsidRPr="0010001A">
        <w:t>ttek eset</w:t>
      </w:r>
      <w:r w:rsidRPr="0010001A">
        <w:rPr>
          <w:rFonts w:hint="eastAsia"/>
        </w:rPr>
        <w:t>é</w:t>
      </w:r>
      <w:r w:rsidRPr="0010001A">
        <w:t>ben</w:t>
      </w:r>
      <w:r>
        <w:t xml:space="preserve"> </w:t>
      </w:r>
      <w:r w:rsidRPr="0010001A">
        <w:t>kor</w:t>
      </w:r>
      <w:r w:rsidRPr="0010001A">
        <w:rPr>
          <w:rFonts w:hint="eastAsia"/>
        </w:rPr>
        <w:t>á</w:t>
      </w:r>
      <w:r w:rsidRPr="0010001A">
        <w:t>bban dokument</w:t>
      </w:r>
      <w:r w:rsidRPr="0010001A">
        <w:rPr>
          <w:rFonts w:hint="eastAsia"/>
        </w:rPr>
        <w:t>á</w:t>
      </w:r>
      <w:r w:rsidRPr="0010001A">
        <w:t xml:space="preserve">lt </w:t>
      </w:r>
      <w:r w:rsidRPr="0010001A">
        <w:rPr>
          <w:rFonts w:hint="eastAsia"/>
        </w:rPr>
        <w:t>ö</w:t>
      </w:r>
      <w:r w:rsidRPr="0010001A">
        <w:t>sszef</w:t>
      </w:r>
      <w:r w:rsidRPr="0010001A">
        <w:rPr>
          <w:rFonts w:hint="eastAsia"/>
        </w:rPr>
        <w:t>ü</w:t>
      </w:r>
      <w:r w:rsidRPr="0010001A">
        <w:t>gg</w:t>
      </w:r>
      <w:r w:rsidRPr="0010001A">
        <w:rPr>
          <w:rFonts w:hint="eastAsia"/>
        </w:rPr>
        <w:t>é</w:t>
      </w:r>
      <w:r w:rsidRPr="0010001A">
        <w:t>ssel. Ez al</w:t>
      </w:r>
      <w:r w:rsidRPr="0010001A">
        <w:rPr>
          <w:rFonts w:hint="eastAsia"/>
        </w:rPr>
        <w:t>á</w:t>
      </w:r>
      <w:r w:rsidRPr="0010001A">
        <w:t>t</w:t>
      </w:r>
      <w:r w:rsidRPr="0010001A">
        <w:rPr>
          <w:rFonts w:hint="eastAsia"/>
        </w:rPr>
        <w:t>á</w:t>
      </w:r>
      <w:r w:rsidRPr="0010001A">
        <w:t>masztja az apixab</w:t>
      </w:r>
      <w:r w:rsidRPr="0010001A">
        <w:rPr>
          <w:rFonts w:hint="eastAsia"/>
        </w:rPr>
        <w:t>á</w:t>
      </w:r>
      <w:r w:rsidRPr="0010001A">
        <w:t>n szelekt</w:t>
      </w:r>
      <w:r w:rsidRPr="0010001A">
        <w:rPr>
          <w:rFonts w:hint="eastAsia"/>
        </w:rPr>
        <w:t>í</w:t>
      </w:r>
      <w:r w:rsidRPr="0010001A">
        <w:t>v Xa faktor-g</w:t>
      </w:r>
      <w:r w:rsidRPr="0010001A">
        <w:rPr>
          <w:rFonts w:hint="eastAsia"/>
        </w:rPr>
        <w:t>á</w:t>
      </w:r>
      <w:r w:rsidRPr="0010001A">
        <w:t>tl</w:t>
      </w:r>
      <w:r w:rsidRPr="0010001A">
        <w:rPr>
          <w:rFonts w:hint="eastAsia"/>
        </w:rPr>
        <w:t>ó</w:t>
      </w:r>
      <w:r w:rsidRPr="0010001A">
        <w:t>k</w:t>
      </w:r>
      <w:r w:rsidRPr="0010001A">
        <w:rPr>
          <w:rFonts w:hint="eastAsia"/>
        </w:rPr>
        <w:t>é</w:t>
      </w:r>
      <w:r w:rsidRPr="0010001A">
        <w:t>nt</w:t>
      </w:r>
      <w:r>
        <w:t xml:space="preserve"> </w:t>
      </w:r>
      <w:r w:rsidRPr="0010001A">
        <w:t>dokument</w:t>
      </w:r>
      <w:r w:rsidRPr="0010001A">
        <w:rPr>
          <w:rFonts w:hint="eastAsia"/>
        </w:rPr>
        <w:t>á</w:t>
      </w:r>
      <w:r w:rsidRPr="0010001A">
        <w:t>lt hat</w:t>
      </w:r>
      <w:r w:rsidRPr="0010001A">
        <w:rPr>
          <w:rFonts w:hint="eastAsia"/>
        </w:rPr>
        <w:t>á</w:t>
      </w:r>
      <w:r w:rsidRPr="0010001A">
        <w:t>smechanizmus</w:t>
      </w:r>
      <w:r w:rsidRPr="0010001A">
        <w:rPr>
          <w:rFonts w:hint="eastAsia"/>
        </w:rPr>
        <w:t>á</w:t>
      </w:r>
      <w:r w:rsidRPr="0010001A">
        <w:t>t.</w:t>
      </w:r>
    </w:p>
    <w:p w14:paraId="423B2785" w14:textId="3679FA5D" w:rsidR="0010001A" w:rsidRPr="0010001A" w:rsidRDefault="0010001A" w:rsidP="0010001A">
      <w:pPr>
        <w:pStyle w:val="Nincstrkz"/>
      </w:pPr>
      <w:r w:rsidRPr="0010001A">
        <w:t>A CV185155 vizsg</w:t>
      </w:r>
      <w:r w:rsidRPr="0010001A">
        <w:rPr>
          <w:rFonts w:hint="eastAsia"/>
        </w:rPr>
        <w:t>á</w:t>
      </w:r>
      <w:r w:rsidRPr="0010001A">
        <w:t xml:space="preserve">latban a 9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27,1 (22,2) ng/ml </w:t>
      </w:r>
      <w:r w:rsidRPr="0010001A">
        <w:rPr>
          <w:rFonts w:hint="eastAsia"/>
        </w:rPr>
        <w:t>é</w:t>
      </w:r>
      <w:r w:rsidRPr="0010001A">
        <w:t>s 71,9 (17,3)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30,3</w:t>
      </w:r>
      <w:r>
        <w:t xml:space="preserve"> </w:t>
      </w:r>
      <w:r w:rsidRPr="0010001A">
        <w:t xml:space="preserve">(22) ng/ml </w:t>
      </w:r>
      <w:r w:rsidRPr="0010001A">
        <w:rPr>
          <w:rFonts w:hint="eastAsia"/>
        </w:rPr>
        <w:t>é</w:t>
      </w:r>
      <w:r w:rsidRPr="0010001A">
        <w:t>s 80,8 (16,8)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56</w:t>
      </w:r>
    </w:p>
    <w:p w14:paraId="340508B0" w14:textId="0F2761F6" w:rsidR="0010001A" w:rsidRPr="0010001A" w:rsidRDefault="0010001A" w:rsidP="0010001A">
      <w:pPr>
        <w:pStyle w:val="Nincstrkz"/>
      </w:pP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2,5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3920A6D7" w14:textId="00868C45" w:rsidR="0010001A" w:rsidRPr="0010001A" w:rsidRDefault="0010001A" w:rsidP="0010001A">
      <w:pPr>
        <w:pStyle w:val="Nincstrkz"/>
      </w:pPr>
      <w:r w:rsidRPr="0010001A">
        <w:t>A CV185362 vizsg</w:t>
      </w:r>
      <w:r w:rsidRPr="0010001A">
        <w:rPr>
          <w:rFonts w:hint="eastAsia"/>
        </w:rPr>
        <w:t>á</w:t>
      </w:r>
      <w:r w:rsidRPr="0010001A">
        <w:t xml:space="preserve">latban a 6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67,1 (30,2) ng/ml </w:t>
      </w:r>
      <w:r w:rsidRPr="0010001A">
        <w:rPr>
          <w:rFonts w:hint="eastAsia"/>
        </w:rPr>
        <w:t>é</w:t>
      </w:r>
      <w:r w:rsidRPr="0010001A">
        <w:t>s 213 (41,7)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71,3</w:t>
      </w:r>
      <w:r>
        <w:t xml:space="preserve"> </w:t>
      </w:r>
      <w:r w:rsidRPr="0010001A">
        <w:t xml:space="preserve">(61,3) ng/ml </w:t>
      </w:r>
      <w:r w:rsidRPr="0010001A">
        <w:rPr>
          <w:rFonts w:hint="eastAsia"/>
        </w:rPr>
        <w:t>é</w:t>
      </w:r>
      <w:r w:rsidRPr="0010001A">
        <w:t>s 230 (39,5)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76B76BAC" w14:textId="44BFD54F" w:rsidR="0010001A" w:rsidRPr="0010001A" w:rsidRDefault="0010001A" w:rsidP="0010001A">
      <w:pPr>
        <w:pStyle w:val="Nincstrkz"/>
      </w:pPr>
      <w:r w:rsidRPr="0010001A">
        <w:t>A CV185325 vizsg</w:t>
      </w:r>
      <w:r w:rsidRPr="0010001A">
        <w:rPr>
          <w:rFonts w:hint="eastAsia"/>
        </w:rPr>
        <w:t>á</w:t>
      </w:r>
      <w:r w:rsidRPr="0010001A">
        <w:t xml:space="preserve">latban a 6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47,1 (57,2) ng/ml </w:t>
      </w:r>
      <w:r w:rsidRPr="0010001A">
        <w:rPr>
          <w:rFonts w:hint="eastAsia"/>
        </w:rPr>
        <w:t>é</w:t>
      </w:r>
      <w:r w:rsidRPr="0010001A">
        <w:t>s 146 (40,2)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50</w:t>
      </w:r>
      <w:r>
        <w:t xml:space="preserve"> </w:t>
      </w:r>
      <w:r w:rsidRPr="0010001A">
        <w:t xml:space="preserve">(54,5) ng/ml </w:t>
      </w:r>
      <w:r w:rsidRPr="0010001A">
        <w:rPr>
          <w:rFonts w:hint="eastAsia"/>
        </w:rPr>
        <w:t>é</w:t>
      </w:r>
      <w:r w:rsidRPr="0010001A">
        <w:t>s 144 (36,9)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5B08A7E2" w14:textId="3DF44000" w:rsidR="00A1416D" w:rsidRDefault="0010001A" w:rsidP="0010001A">
      <w:pPr>
        <w:pStyle w:val="Nincstrkz"/>
        <w:rPr>
          <w:rFonts w:cs="Times New Roman"/>
          <w:lang w:bidi="hu-HU"/>
        </w:rPr>
      </w:pPr>
      <w:r w:rsidRPr="0010001A">
        <w:t xml:space="preserve">A gyermekek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é</w:t>
      </w:r>
      <w:r w:rsidRPr="0010001A">
        <w:t>ben v</w:t>
      </w:r>
      <w:r w:rsidRPr="0010001A">
        <w:rPr>
          <w:rFonts w:hint="eastAsia"/>
        </w:rPr>
        <w:t>é</w:t>
      </w:r>
      <w:r w:rsidRPr="0010001A">
        <w:t>gzett vizsg</w:t>
      </w:r>
      <w:r w:rsidRPr="0010001A">
        <w:rPr>
          <w:rFonts w:hint="eastAsia"/>
        </w:rPr>
        <w:t>á</w:t>
      </w:r>
      <w:r w:rsidRPr="0010001A">
        <w:t>latok dinamikus egyens</w:t>
      </w:r>
      <w:r w:rsidRPr="0010001A">
        <w:rPr>
          <w:rFonts w:hint="eastAsia"/>
        </w:rPr>
        <w:t>ú</w:t>
      </w:r>
      <w:r w:rsidRPr="0010001A">
        <w:t xml:space="preserve">lyi </w:t>
      </w:r>
      <w:r w:rsidRPr="0010001A">
        <w:rPr>
          <w:rFonts w:hint="eastAsia"/>
        </w:rPr>
        <w:t>á</w:t>
      </w:r>
      <w:r w:rsidRPr="0010001A">
        <w:t>llapotban v</w:t>
      </w:r>
      <w:r w:rsidRPr="0010001A">
        <w:rPr>
          <w:rFonts w:hint="eastAsia"/>
        </w:rPr>
        <w:t>á</w:t>
      </w:r>
      <w:r w:rsidRPr="0010001A">
        <w:t>rhat</w:t>
      </w:r>
      <w:r w:rsidRPr="0010001A">
        <w:rPr>
          <w:rFonts w:hint="eastAsia"/>
        </w:rPr>
        <w:t>ó</w:t>
      </w:r>
      <w:r>
        <w:t xml:space="preserve"> </w:t>
      </w:r>
      <w:r w:rsidRPr="0010001A">
        <w:t>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 xml:space="preserve"> </w:t>
      </w:r>
      <w:r w:rsidRPr="0010001A">
        <w:rPr>
          <w:rFonts w:hint="eastAsia"/>
        </w:rPr>
        <w:t>é</w:t>
      </w:r>
      <w:r w:rsidRPr="0010001A">
        <w:t>s Xa faktor-ellenes aktivit</w:t>
      </w:r>
      <w:r w:rsidRPr="0010001A">
        <w:rPr>
          <w:rFonts w:hint="eastAsia"/>
        </w:rPr>
        <w:t>á</w:t>
      </w:r>
      <w:r w:rsidRPr="0010001A">
        <w:t xml:space="preserve">s </w:t>
      </w:r>
      <w:r w:rsidRPr="0010001A">
        <w:rPr>
          <w:rFonts w:hint="eastAsia"/>
        </w:rPr>
        <w:t>é</w:t>
      </w:r>
      <w:r w:rsidRPr="0010001A">
        <w:t>rt</w:t>
      </w:r>
      <w:r w:rsidRPr="0010001A">
        <w:rPr>
          <w:rFonts w:hint="eastAsia"/>
        </w:rPr>
        <w:t>é</w:t>
      </w:r>
      <w:r w:rsidRPr="0010001A">
        <w:t>ke alapj</w:t>
      </w:r>
      <w:r w:rsidRPr="0010001A">
        <w:rPr>
          <w:rFonts w:hint="eastAsia"/>
        </w:rPr>
        <w:t>á</w:t>
      </w:r>
      <w:r w:rsidRPr="0010001A">
        <w:t>n az apixab</w:t>
      </w:r>
      <w:r w:rsidRPr="0010001A">
        <w:rPr>
          <w:rFonts w:hint="eastAsia"/>
        </w:rPr>
        <w:t>á</w:t>
      </w:r>
      <w:r w:rsidRPr="0010001A">
        <w:t>n koncentr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>j</w:t>
      </w:r>
      <w:r w:rsidRPr="0010001A">
        <w:rPr>
          <w:rFonts w:hint="eastAsia"/>
        </w:rPr>
        <w:t>á</w:t>
      </w:r>
      <w:r w:rsidRPr="0010001A">
        <w:t xml:space="preserve">nak </w:t>
      </w:r>
      <w:r w:rsidRPr="0010001A">
        <w:rPr>
          <w:rFonts w:hint="eastAsia"/>
        </w:rPr>
        <w:t>é</w:t>
      </w:r>
      <w:r w:rsidRPr="0010001A">
        <w:t>s az</w:t>
      </w:r>
      <w:r>
        <w:t xml:space="preserve"> </w:t>
      </w:r>
      <w:r w:rsidRPr="0010001A">
        <w:t xml:space="preserve">AXA-szinteknek a legmagasabb </w:t>
      </w:r>
      <w:r w:rsidRPr="0010001A">
        <w:rPr>
          <w:rFonts w:hint="eastAsia"/>
        </w:rPr>
        <w:t>é</w:t>
      </w:r>
      <w:r w:rsidRPr="0010001A">
        <w:t>s a legalacsonyabb szintek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tti fluktu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>ja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ü</w:t>
      </w:r>
      <w:r w:rsidRPr="0010001A">
        <w:t>lbel</w:t>
      </w:r>
      <w:r w:rsidRPr="0010001A">
        <w:rPr>
          <w:rFonts w:hint="eastAsia"/>
        </w:rPr>
        <w:t>ü</w:t>
      </w:r>
      <w:r w:rsidRPr="0010001A">
        <w:t>l 3-szoros</w:t>
      </w:r>
      <w:r>
        <w:t xml:space="preserve"> </w:t>
      </w:r>
      <w:r w:rsidRPr="0010001A">
        <w:rPr>
          <w:rFonts w:cs="Times New Roman"/>
          <w:lang w:bidi="hu-HU"/>
        </w:rPr>
        <w:t>volt (minimum, maximum: 2,65</w:t>
      </w:r>
      <w:r w:rsidRPr="0010001A">
        <w:rPr>
          <w:rFonts w:cs="Times New Roman" w:hint="eastAsia"/>
          <w:lang w:bidi="hu-HU"/>
        </w:rPr>
        <w:t>–</w:t>
      </w:r>
      <w:r w:rsidRPr="0010001A">
        <w:rPr>
          <w:rFonts w:cs="Times New Roman"/>
          <w:lang w:bidi="hu-HU"/>
        </w:rPr>
        <w:t>3,22) a teljes popul</w:t>
      </w:r>
      <w:r w:rsidRPr="0010001A">
        <w:rPr>
          <w:rFonts w:cs="Times New Roman" w:hint="eastAsia"/>
          <w:lang w:bidi="hu-HU"/>
        </w:rPr>
        <w:t>á</w:t>
      </w:r>
      <w:r w:rsidRPr="0010001A">
        <w:rPr>
          <w:rFonts w:cs="Times New Roman"/>
          <w:lang w:bidi="hu-HU"/>
        </w:rPr>
        <w:t>ci</w:t>
      </w:r>
      <w:r w:rsidRPr="0010001A">
        <w:rPr>
          <w:rFonts w:cs="Times New Roman" w:hint="eastAsia"/>
          <w:lang w:bidi="hu-HU"/>
        </w:rPr>
        <w:t>ó</w:t>
      </w:r>
      <w:r w:rsidRPr="0010001A">
        <w:rPr>
          <w:rFonts w:cs="Times New Roman"/>
          <w:lang w:bidi="hu-HU"/>
        </w:rPr>
        <w:t>ban.</w:t>
      </w:r>
    </w:p>
    <w:p w14:paraId="54EEE8B6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6CC2E2F6" w14:textId="35EF27EC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Klinikai hatásosság és biztonságosság</w:t>
      </w:r>
    </w:p>
    <w:p w14:paraId="32DB504B" w14:textId="77777777" w:rsidR="00A1416D" w:rsidRPr="000149DA" w:rsidRDefault="00A1416D" w:rsidP="00D72566">
      <w:pPr>
        <w:pStyle w:val="Nincstrkz"/>
        <w:rPr>
          <w:rFonts w:cs="Times New Roman"/>
        </w:rPr>
      </w:pPr>
    </w:p>
    <w:p w14:paraId="290231A3" w14:textId="2CFA0EA0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A stroke és a szisztémás embolizáció megelőzése nem </w:t>
      </w:r>
      <w:r w:rsidR="008A238A" w:rsidRPr="000149DA">
        <w:rPr>
          <w:rFonts w:cs="Times New Roman"/>
          <w:i/>
          <w:iCs/>
          <w:u w:val="single"/>
        </w:rPr>
        <w:t>valvuláris</w:t>
      </w:r>
      <w:r w:rsidRPr="000149DA">
        <w:rPr>
          <w:rFonts w:cs="Times New Roman"/>
          <w:i/>
          <w:iCs/>
          <w:u w:val="single"/>
        </w:rPr>
        <w:t xml:space="preserve"> pitvarfibrillációban (NVPF) szenvedő</w:t>
      </w:r>
      <w:r w:rsidR="008A238A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eknél</w:t>
      </w:r>
    </w:p>
    <w:p w14:paraId="5437084A" w14:textId="4EBA9A64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Összesen 23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799</w:t>
      </w:r>
      <w:r w:rsidR="00A1416D" w:rsidRPr="000149DA">
        <w:rPr>
          <w:rFonts w:cs="Times New Roman"/>
        </w:rPr>
        <w:t> </w:t>
      </w:r>
      <w:r w:rsidR="0010001A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et randomizáltak a klinikai programba (ARISTOTLE: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warfarin, AVERROES: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ASA), közülük 11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927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et randomizáltak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ra. A programot úgy tervezték, hogy igazolja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hatásosságát és biztonságosságát a stroke és a szisztémás embolizáció prevenciój</w:t>
      </w:r>
      <w:r w:rsidR="00B40417" w:rsidRPr="000149DA">
        <w:rPr>
          <w:rFonts w:cs="Times New Roman"/>
        </w:rPr>
        <w:t>ában</w:t>
      </w:r>
      <w:r w:rsidRPr="000149DA">
        <w:rPr>
          <w:rFonts w:cs="Times New Roman"/>
        </w:rPr>
        <w:t xml:space="preserve"> a nem </w:t>
      </w:r>
      <w:r w:rsidR="00B40417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pitvarfibrillációban szenvedő olyan</w:t>
      </w:r>
      <w:r w:rsidR="00403AA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akikn</w:t>
      </w:r>
      <w:r w:rsidR="00B40417" w:rsidRPr="000149DA">
        <w:rPr>
          <w:rFonts w:cs="Times New Roman"/>
        </w:rPr>
        <w:t>él</w:t>
      </w:r>
      <w:r w:rsidRPr="000149DA">
        <w:rPr>
          <w:rFonts w:cs="Times New Roman"/>
        </w:rPr>
        <w:t xml:space="preserve"> egy vagy több további kockázati tényező is </w:t>
      </w:r>
      <w:r w:rsidR="00B40417" w:rsidRPr="000149DA">
        <w:rPr>
          <w:rFonts w:cs="Times New Roman"/>
        </w:rPr>
        <w:t xml:space="preserve">jelen </w:t>
      </w:r>
      <w:r w:rsidRPr="000149DA">
        <w:rPr>
          <w:rFonts w:cs="Times New Roman"/>
        </w:rPr>
        <w:t>van, mint például:</w:t>
      </w:r>
    </w:p>
    <w:p w14:paraId="5E45E30F" w14:textId="1640DDEB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korábbi stroke vagy transiens ischaemiás attak (TIA)</w:t>
      </w:r>
      <w:r w:rsidR="00B40417" w:rsidRPr="000149DA">
        <w:rPr>
          <w:rFonts w:cs="Times New Roman"/>
        </w:rPr>
        <w:t>;</w:t>
      </w:r>
    </w:p>
    <w:p w14:paraId="3A24B108" w14:textId="59BDC29A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életkor ≥</w:t>
      </w:r>
      <w:r w:rsidR="00B40417" w:rsidRPr="000149DA">
        <w:rPr>
          <w:rFonts w:cs="Times New Roman"/>
        </w:rPr>
        <w:t> </w:t>
      </w:r>
      <w:r w:rsidRPr="000149DA">
        <w:rPr>
          <w:rFonts w:cs="Times New Roman"/>
        </w:rPr>
        <w:t>75</w:t>
      </w:r>
      <w:r w:rsidR="00045408" w:rsidRPr="000149DA">
        <w:rPr>
          <w:rFonts w:cs="Times New Roman"/>
        </w:rPr>
        <w:t> év</w:t>
      </w:r>
      <w:r w:rsidR="00B40417" w:rsidRPr="000149DA">
        <w:rPr>
          <w:rFonts w:cs="Times New Roman"/>
        </w:rPr>
        <w:t>;</w:t>
      </w:r>
    </w:p>
    <w:p w14:paraId="2CA8600A" w14:textId="1C51F104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hypertonia</w:t>
      </w:r>
      <w:r w:rsidR="00B40417" w:rsidRPr="000149DA">
        <w:rPr>
          <w:rFonts w:cs="Times New Roman"/>
        </w:rPr>
        <w:t>;</w:t>
      </w:r>
    </w:p>
    <w:p w14:paraId="52793B32" w14:textId="75A9AD70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diabetes mellitus</w:t>
      </w:r>
      <w:r w:rsidR="00B40417" w:rsidRPr="000149DA">
        <w:rPr>
          <w:rFonts w:cs="Times New Roman"/>
        </w:rPr>
        <w:t>;</w:t>
      </w:r>
    </w:p>
    <w:p w14:paraId="0FE0C5A8" w14:textId="70392A46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tünetekkel járó szívelégtelenség (NYHA stádium ≥</w:t>
      </w:r>
      <w:r w:rsidR="005A7AEB" w:rsidRPr="000149DA">
        <w:rPr>
          <w:rFonts w:cs="Times New Roman"/>
        </w:rPr>
        <w:t> </w:t>
      </w:r>
      <w:r w:rsidRPr="000149DA">
        <w:rPr>
          <w:rFonts w:cs="Times New Roman"/>
        </w:rPr>
        <w:t>II).</w:t>
      </w:r>
    </w:p>
    <w:p w14:paraId="3D0B855D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E0817A0" w14:textId="0E6711EB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ARISTOTLE-</w:t>
      </w:r>
      <w:r w:rsidR="008058E5">
        <w:rPr>
          <w:rFonts w:cs="Times New Roman"/>
          <w:i/>
          <w:iCs/>
          <w:u w:val="single"/>
        </w:rPr>
        <w:t>vizsgálat</w:t>
      </w:r>
    </w:p>
    <w:p w14:paraId="177F42F9" w14:textId="6C656682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ARISTOTLE-vizsgálatban összesen 18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201</w:t>
      </w:r>
      <w:r w:rsidR="00A1416D" w:rsidRPr="000149DA">
        <w:rPr>
          <w:rFonts w:cs="Times New Roman"/>
        </w:rPr>
        <w:t> </w:t>
      </w:r>
      <w:r w:rsidR="0010001A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randomizáltak</w:t>
      </w:r>
      <w:r w:rsidR="00B4041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(vagy kiválasztott</w:t>
      </w:r>
      <w:r w:rsidR="00B404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B4041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[4,7%], 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)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vagy warfarinnal (cél INR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>tartomány 2,0</w:t>
      </w:r>
      <w:r w:rsidR="00403AAD" w:rsidRPr="000149DA">
        <w:rPr>
          <w:rFonts w:cs="Times New Roman"/>
        </w:rPr>
        <w:noBreakHyphen/>
      </w:r>
      <w:r w:rsidRPr="000149DA">
        <w:rPr>
          <w:rFonts w:cs="Times New Roman"/>
        </w:rPr>
        <w:t>3,0) végzett kettős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>vak kezelésre, é</w:t>
      </w:r>
      <w:r w:rsidR="00403AAD" w:rsidRPr="000149DA">
        <w:rPr>
          <w:rFonts w:cs="Times New Roman"/>
        </w:rPr>
        <w:t xml:space="preserve">s a betegek a </w:t>
      </w:r>
      <w:r w:rsidRPr="000149DA">
        <w:rPr>
          <w:rFonts w:cs="Times New Roman"/>
        </w:rPr>
        <w:t xml:space="preserve">vizsgált </w:t>
      </w:r>
      <w:r w:rsidR="0086172C" w:rsidRPr="000149DA">
        <w:rPr>
          <w:rFonts w:cs="Times New Roman"/>
        </w:rPr>
        <w:t xml:space="preserve">hatóanyagot </w:t>
      </w:r>
      <w:r w:rsidRPr="000149DA">
        <w:rPr>
          <w:rFonts w:cs="Times New Roman"/>
        </w:rPr>
        <w:t>átlagosan 20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hónapig kapták. Az átlagéletkor 69,1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, az átlagos CHADS</w:t>
      </w:r>
      <w:r w:rsidR="00B40417" w:rsidRPr="000149DA">
        <w:rPr>
          <w:rFonts w:cs="Times New Roman"/>
          <w:vertAlign w:val="subscript"/>
        </w:rPr>
        <w:t>2</w:t>
      </w:r>
      <w:r w:rsidR="00B40417" w:rsidRPr="000149DA">
        <w:rPr>
          <w:rFonts w:cs="Times New Roman"/>
        </w:rPr>
        <w:t> pontszám</w:t>
      </w:r>
      <w:r w:rsidRPr="000149DA">
        <w:rPr>
          <w:rFonts w:cs="Times New Roman"/>
        </w:rPr>
        <w:t xml:space="preserve"> </w:t>
      </w:r>
      <w:r w:rsidR="00B40417" w:rsidRPr="000149DA">
        <w:rPr>
          <w:rFonts w:cs="Times New Roman"/>
        </w:rPr>
        <w:t>2,1 volt</w:t>
      </w:r>
      <w:r w:rsidRPr="000149DA">
        <w:rPr>
          <w:rFonts w:cs="Times New Roman"/>
        </w:rPr>
        <w:t xml:space="preserve"> és a</w:t>
      </w:r>
      <w:r w:rsidR="00403AA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18,9%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ának volt korábban </w:t>
      </w:r>
      <w:r w:rsidR="005346CC" w:rsidRPr="000149DA">
        <w:rPr>
          <w:rFonts w:cs="Times New Roman"/>
        </w:rPr>
        <w:t>str</w:t>
      </w:r>
      <w:r w:rsidR="00517956" w:rsidRPr="000149DA">
        <w:rPr>
          <w:rFonts w:cs="Times New Roman"/>
        </w:rPr>
        <w:t>oke</w:t>
      </w:r>
      <w:r w:rsidR="00517956" w:rsidRPr="000149DA">
        <w:rPr>
          <w:rFonts w:cs="Times New Roman"/>
        </w:rPr>
        <w:noBreakHyphen/>
      </w:r>
      <w:r w:rsidR="005346CC" w:rsidRPr="000149DA">
        <w:rPr>
          <w:rFonts w:cs="Times New Roman"/>
        </w:rPr>
        <w:t>ja</w:t>
      </w:r>
      <w:r w:rsidRPr="000149DA">
        <w:rPr>
          <w:rFonts w:cs="Times New Roman"/>
        </w:rPr>
        <w:t xml:space="preserve"> vagy TIA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ja.</w:t>
      </w:r>
    </w:p>
    <w:p w14:paraId="08390907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3F139858" w14:textId="232717A0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warfarinhoz képest statisztikailag szignifikánsan jobb volt a stroke </w:t>
      </w:r>
      <w:r w:rsidR="004506AF" w:rsidRPr="000149DA">
        <w:rPr>
          <w:rFonts w:cs="Times New Roman"/>
        </w:rPr>
        <w:t xml:space="preserve">prevenció </w:t>
      </w:r>
      <w:r w:rsidRPr="000149DA">
        <w:rPr>
          <w:rFonts w:cs="Times New Roman"/>
        </w:rPr>
        <w:t>(haemorrhagiás vagy ischaemiás) és szisztémás embolizáció elsődleges végpontban (lásd</w:t>
      </w:r>
      <w:r w:rsidR="00C77F20" w:rsidRPr="000149DA">
        <w:rPr>
          <w:rFonts w:cs="Times New Roman"/>
        </w:rPr>
        <w:t xml:space="preserve"> </w:t>
      </w:r>
      <w:r w:rsidR="0010001A">
        <w:rPr>
          <w:rFonts w:cs="Times New Roman"/>
        </w:rPr>
        <w:t>5</w:t>
      </w:r>
      <w:r w:rsidR="00F244FB" w:rsidRPr="000149DA">
        <w:rPr>
          <w:rFonts w:cs="Times New Roman"/>
        </w:rPr>
        <w:t xml:space="preserve">. </w:t>
      </w:r>
      <w:r w:rsidRPr="000149DA">
        <w:rPr>
          <w:rFonts w:cs="Times New Roman"/>
        </w:rPr>
        <w:t>táblázat).</w:t>
      </w:r>
    </w:p>
    <w:p w14:paraId="6DC84746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37634A6E" w14:textId="1C925BDC" w:rsidR="00B62AE4" w:rsidRPr="00304D8C" w:rsidRDefault="00B62AE4" w:rsidP="00304D8C">
      <w:pPr>
        <w:pStyle w:val="Nincstrkz"/>
        <w:numPr>
          <w:ilvl w:val="0"/>
          <w:numId w:val="18"/>
        </w:numPr>
        <w:ind w:left="426"/>
        <w:rPr>
          <w:rFonts w:cs="Times New Roman"/>
          <w:b/>
          <w:bCs/>
        </w:rPr>
      </w:pPr>
      <w:r w:rsidRPr="00304D8C">
        <w:rPr>
          <w:rFonts w:cs="Times New Roman"/>
          <w:b/>
          <w:bCs/>
          <w:w w:val="105"/>
        </w:rPr>
        <w:t>táblázat: Hatásossági végpontok pitvarfibrilláló</w:t>
      </w:r>
      <w:r w:rsidR="005A7AEB" w:rsidRPr="00304D8C">
        <w:rPr>
          <w:rFonts w:cs="Times New Roman"/>
          <w:b/>
          <w:bCs/>
          <w:w w:val="105"/>
        </w:rPr>
        <w:t xml:space="preserve"> </w:t>
      </w:r>
      <w:r w:rsidR="00A1416D" w:rsidRPr="00304D8C">
        <w:rPr>
          <w:rFonts w:cs="Times New Roman"/>
          <w:b/>
          <w:bCs/>
          <w:w w:val="105"/>
        </w:rPr>
        <w:t>beteg</w:t>
      </w:r>
      <w:r w:rsidRPr="00304D8C">
        <w:rPr>
          <w:rFonts w:cs="Times New Roman"/>
          <w:b/>
          <w:bCs/>
          <w:w w:val="105"/>
        </w:rPr>
        <w:t>eknél az</w:t>
      </w:r>
      <w:r w:rsidRPr="00304D8C">
        <w:rPr>
          <w:rFonts w:cs="Times New Roman"/>
          <w:b/>
          <w:bCs/>
          <w:spacing w:val="-39"/>
          <w:w w:val="105"/>
        </w:rPr>
        <w:t xml:space="preserve"> </w:t>
      </w:r>
      <w:r w:rsidRPr="00304D8C">
        <w:rPr>
          <w:rFonts w:cs="Times New Roman"/>
          <w:b/>
          <w:bCs/>
          <w:w w:val="105"/>
        </w:rPr>
        <w:t>ARISTOTLE-vizsgálatban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268"/>
        <w:gridCol w:w="1284"/>
        <w:gridCol w:w="1842"/>
        <w:gridCol w:w="1276"/>
      </w:tblGrid>
      <w:tr w:rsidR="00B62AE4" w:rsidRPr="000149DA" w14:paraId="00C74979" w14:textId="77777777" w:rsidTr="00DC6B8F">
        <w:trPr>
          <w:trHeight w:val="686"/>
        </w:trPr>
        <w:tc>
          <w:tcPr>
            <w:tcW w:w="3544" w:type="dxa"/>
          </w:tcPr>
          <w:p w14:paraId="772B3D7E" w14:textId="77777777" w:rsidR="00B62AE4" w:rsidRPr="000149DA" w:rsidRDefault="00B62AE4" w:rsidP="00DC6B8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268" w:type="dxa"/>
            <w:vAlign w:val="center"/>
          </w:tcPr>
          <w:p w14:paraId="54962E9B" w14:textId="1486F6C3" w:rsidR="005346CC" w:rsidRPr="000149DA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 w:rsidRPr="000149DA">
              <w:rPr>
                <w:b/>
              </w:rPr>
              <w:t>Apixab</w:t>
            </w:r>
            <w:r w:rsidR="00F056BD" w:rsidRPr="000149DA">
              <w:rPr>
                <w:b/>
              </w:rPr>
              <w:t>á</w:t>
            </w:r>
            <w:r w:rsidRPr="000149DA">
              <w:rPr>
                <w:b/>
              </w:rPr>
              <w:t xml:space="preserve">n </w:t>
            </w:r>
          </w:p>
          <w:p w14:paraId="50E2FB51" w14:textId="2325AC55" w:rsidR="00B62AE4" w:rsidRPr="000149DA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=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9120</w:t>
            </w:r>
          </w:p>
          <w:p w14:paraId="2ED025AC" w14:textId="77777777" w:rsidR="00B62AE4" w:rsidRPr="000149DA" w:rsidRDefault="00B62AE4" w:rsidP="00DC6B8F">
            <w:pPr>
              <w:pStyle w:val="TableParagraph"/>
              <w:keepNext/>
              <w:widowControl/>
              <w:spacing w:line="209" w:lineRule="exact"/>
              <w:ind w:left="150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6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(%/év)</w:t>
            </w:r>
          </w:p>
        </w:tc>
        <w:tc>
          <w:tcPr>
            <w:tcW w:w="1284" w:type="dxa"/>
            <w:vAlign w:val="center"/>
          </w:tcPr>
          <w:p w14:paraId="721396CA" w14:textId="77777777" w:rsidR="005346CC" w:rsidRPr="000149DA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spacing w:val="-1"/>
                <w:lang w:val="hu-HU"/>
              </w:rPr>
            </w:pPr>
            <w:r w:rsidRPr="000149DA">
              <w:rPr>
                <w:b/>
                <w:spacing w:val="-1"/>
              </w:rPr>
              <w:t xml:space="preserve">Warfarin </w:t>
            </w:r>
          </w:p>
          <w:p w14:paraId="024209C2" w14:textId="5F002E93" w:rsidR="00B62AE4" w:rsidRPr="000149DA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=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9081</w:t>
            </w:r>
          </w:p>
          <w:p w14:paraId="3A7D1BE3" w14:textId="77777777" w:rsidR="00B62AE4" w:rsidRPr="000149DA" w:rsidRDefault="00B62AE4" w:rsidP="00DC6B8F">
            <w:pPr>
              <w:pStyle w:val="TableParagraph"/>
              <w:keepNext/>
              <w:widowControl/>
              <w:spacing w:line="209" w:lineRule="exact"/>
              <w:ind w:left="148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(%/év)</w:t>
            </w:r>
          </w:p>
        </w:tc>
        <w:tc>
          <w:tcPr>
            <w:tcW w:w="1842" w:type="dxa"/>
            <w:vAlign w:val="center"/>
          </w:tcPr>
          <w:p w14:paraId="6CA3A716" w14:textId="77777777" w:rsidR="00B62AE4" w:rsidRPr="000149DA" w:rsidRDefault="00B62AE4" w:rsidP="00DC6B8F">
            <w:pPr>
              <w:pStyle w:val="TableParagraph"/>
              <w:keepNext/>
              <w:widowControl/>
              <w:ind w:left="247" w:right="85" w:hanging="110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Relatív hazárd (95%-os CI)</w:t>
            </w:r>
          </w:p>
        </w:tc>
        <w:tc>
          <w:tcPr>
            <w:tcW w:w="1276" w:type="dxa"/>
            <w:vAlign w:val="center"/>
          </w:tcPr>
          <w:p w14:paraId="0F1A58A4" w14:textId="77777777" w:rsidR="00B62AE4" w:rsidRPr="000149DA" w:rsidRDefault="00B62AE4" w:rsidP="00DC6B8F">
            <w:pPr>
              <w:pStyle w:val="TableParagraph"/>
              <w:keepNext/>
              <w:widowControl/>
              <w:ind w:left="74" w:right="70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p-érték</w:t>
            </w:r>
          </w:p>
        </w:tc>
      </w:tr>
      <w:tr w:rsidR="00B62AE4" w:rsidRPr="000149DA" w14:paraId="5CF6254F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785A5BC7" w14:textId="77777777" w:rsidR="00B62AE4" w:rsidRPr="000149DA" w:rsidRDefault="00B62AE4" w:rsidP="005A7AEB">
            <w:pPr>
              <w:pStyle w:val="TableParagraph"/>
              <w:spacing w:line="209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Stroke vagy szisztémás embolizáció</w:t>
            </w:r>
          </w:p>
        </w:tc>
        <w:tc>
          <w:tcPr>
            <w:tcW w:w="1268" w:type="dxa"/>
            <w:vAlign w:val="center"/>
          </w:tcPr>
          <w:p w14:paraId="3D7FE3AB" w14:textId="77777777" w:rsidR="00B62AE4" w:rsidRPr="000149DA" w:rsidRDefault="00B62AE4" w:rsidP="005A7AEB">
            <w:pPr>
              <w:pStyle w:val="TableParagraph"/>
              <w:spacing w:line="209" w:lineRule="exact"/>
              <w:ind w:right="9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212 (1,27)</w:t>
            </w:r>
          </w:p>
        </w:tc>
        <w:tc>
          <w:tcPr>
            <w:tcW w:w="1284" w:type="dxa"/>
            <w:vAlign w:val="center"/>
          </w:tcPr>
          <w:p w14:paraId="6E4DFE98" w14:textId="77777777" w:rsidR="00B62AE4" w:rsidRPr="000149DA" w:rsidRDefault="00B62AE4" w:rsidP="005A7AEB">
            <w:pPr>
              <w:pStyle w:val="TableParagraph"/>
              <w:spacing w:line="209" w:lineRule="exact"/>
              <w:ind w:left="71" w:right="6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265 (1,60)</w:t>
            </w:r>
          </w:p>
        </w:tc>
        <w:tc>
          <w:tcPr>
            <w:tcW w:w="1842" w:type="dxa"/>
            <w:vAlign w:val="center"/>
          </w:tcPr>
          <w:p w14:paraId="412D0781" w14:textId="77777777" w:rsidR="00B62AE4" w:rsidRPr="000149DA" w:rsidRDefault="00B62AE4" w:rsidP="005A7AE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0,79 (0,66; 0,95)</w:t>
            </w:r>
          </w:p>
        </w:tc>
        <w:tc>
          <w:tcPr>
            <w:tcW w:w="1276" w:type="dxa"/>
            <w:vAlign w:val="center"/>
          </w:tcPr>
          <w:p w14:paraId="7785A41F" w14:textId="77777777" w:rsidR="00B62AE4" w:rsidRPr="000149DA" w:rsidRDefault="00B62AE4" w:rsidP="005A7AEB">
            <w:pPr>
              <w:pStyle w:val="TableParagraph"/>
              <w:spacing w:line="209" w:lineRule="exact"/>
              <w:ind w:left="74" w:right="6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0,0114</w:t>
            </w:r>
          </w:p>
        </w:tc>
      </w:tr>
      <w:tr w:rsidR="00B62AE4" w:rsidRPr="000149DA" w14:paraId="27A75B06" w14:textId="77777777" w:rsidTr="00DC6B8F">
        <w:trPr>
          <w:trHeight w:val="360"/>
        </w:trPr>
        <w:tc>
          <w:tcPr>
            <w:tcW w:w="3544" w:type="dxa"/>
            <w:vAlign w:val="center"/>
          </w:tcPr>
          <w:p w14:paraId="6A021ED7" w14:textId="77777777" w:rsidR="00B62AE4" w:rsidRPr="000149DA" w:rsidRDefault="00B62AE4" w:rsidP="005A7AEB">
            <w:pPr>
              <w:pStyle w:val="TableParagraph"/>
              <w:spacing w:line="208" w:lineRule="exact"/>
              <w:ind w:left="261"/>
              <w:rPr>
                <w:lang w:val="hu-HU"/>
              </w:rPr>
            </w:pPr>
            <w:r w:rsidRPr="000149DA">
              <w:rPr>
                <w:w w:val="105"/>
              </w:rPr>
              <w:t>Stroke</w:t>
            </w:r>
          </w:p>
        </w:tc>
        <w:tc>
          <w:tcPr>
            <w:tcW w:w="1268" w:type="dxa"/>
          </w:tcPr>
          <w:p w14:paraId="6E66017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84" w:type="dxa"/>
          </w:tcPr>
          <w:p w14:paraId="5A52E02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2" w:type="dxa"/>
          </w:tcPr>
          <w:p w14:paraId="386E6C1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</w:tcPr>
          <w:p w14:paraId="7F34CCF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77BD03A7" w14:textId="77777777" w:rsidTr="00DC6B8F">
        <w:trPr>
          <w:trHeight w:val="519"/>
        </w:trPr>
        <w:tc>
          <w:tcPr>
            <w:tcW w:w="3544" w:type="dxa"/>
            <w:vAlign w:val="center"/>
          </w:tcPr>
          <w:p w14:paraId="5A5BB970" w14:textId="77777777" w:rsidR="00B62AE4" w:rsidRPr="000149DA" w:rsidRDefault="00B62AE4" w:rsidP="005A7AEB">
            <w:pPr>
              <w:pStyle w:val="TableParagraph"/>
              <w:spacing w:line="209" w:lineRule="exact"/>
              <w:ind w:left="501"/>
              <w:rPr>
                <w:lang w:val="hu-HU"/>
              </w:rPr>
            </w:pPr>
            <w:r w:rsidRPr="000149DA">
              <w:rPr>
                <w:w w:val="105"/>
              </w:rPr>
              <w:t>Ischaemiás vagy nem meghatározott</w:t>
            </w:r>
          </w:p>
        </w:tc>
        <w:tc>
          <w:tcPr>
            <w:tcW w:w="1268" w:type="dxa"/>
            <w:vAlign w:val="center"/>
          </w:tcPr>
          <w:p w14:paraId="0BE5E9BD" w14:textId="77777777" w:rsidR="00B62AE4" w:rsidRPr="000149DA" w:rsidRDefault="00B62AE4" w:rsidP="005A7AEB">
            <w:pPr>
              <w:pStyle w:val="TableParagraph"/>
              <w:spacing w:line="209" w:lineRule="exact"/>
              <w:ind w:right="9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162 (0,97)</w:t>
            </w:r>
          </w:p>
        </w:tc>
        <w:tc>
          <w:tcPr>
            <w:tcW w:w="1284" w:type="dxa"/>
            <w:vAlign w:val="center"/>
          </w:tcPr>
          <w:p w14:paraId="0E44A84B" w14:textId="77777777" w:rsidR="00B62AE4" w:rsidRPr="000149DA" w:rsidRDefault="00B62AE4" w:rsidP="005A7AEB">
            <w:pPr>
              <w:pStyle w:val="TableParagraph"/>
              <w:spacing w:line="209" w:lineRule="exact"/>
              <w:ind w:left="72" w:right="6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175 (1,05)</w:t>
            </w:r>
          </w:p>
        </w:tc>
        <w:tc>
          <w:tcPr>
            <w:tcW w:w="1842" w:type="dxa"/>
            <w:vAlign w:val="center"/>
          </w:tcPr>
          <w:p w14:paraId="7AF8F44C" w14:textId="77777777" w:rsidR="00B62AE4" w:rsidRPr="000149DA" w:rsidRDefault="00B62AE4" w:rsidP="005A7AE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0,92 (0,74; 1,13)</w:t>
            </w:r>
          </w:p>
        </w:tc>
        <w:tc>
          <w:tcPr>
            <w:tcW w:w="1276" w:type="dxa"/>
          </w:tcPr>
          <w:p w14:paraId="3BC10A8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0B9C198" w14:textId="77777777" w:rsidTr="00DC6B8F">
        <w:trPr>
          <w:trHeight w:val="228"/>
        </w:trPr>
        <w:tc>
          <w:tcPr>
            <w:tcW w:w="3544" w:type="dxa"/>
            <w:vAlign w:val="center"/>
          </w:tcPr>
          <w:p w14:paraId="2942031F" w14:textId="77777777" w:rsidR="00B62AE4" w:rsidRPr="000149DA" w:rsidRDefault="00B62AE4" w:rsidP="005A7AEB">
            <w:pPr>
              <w:pStyle w:val="TableParagraph"/>
              <w:spacing w:line="208" w:lineRule="exact"/>
              <w:ind w:left="501"/>
              <w:rPr>
                <w:lang w:val="hu-HU"/>
              </w:rPr>
            </w:pPr>
            <w:r w:rsidRPr="000149DA">
              <w:rPr>
                <w:w w:val="105"/>
              </w:rPr>
              <w:t>Haemorrhagiás</w:t>
            </w:r>
          </w:p>
        </w:tc>
        <w:tc>
          <w:tcPr>
            <w:tcW w:w="1268" w:type="dxa"/>
            <w:vAlign w:val="center"/>
          </w:tcPr>
          <w:p w14:paraId="647E9400" w14:textId="77777777" w:rsidR="00B62AE4" w:rsidRPr="000149DA" w:rsidRDefault="00B62AE4" w:rsidP="005A7AEB">
            <w:pPr>
              <w:pStyle w:val="TableParagraph"/>
              <w:spacing w:line="208" w:lineRule="exact"/>
              <w:ind w:right="1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40 (0,24)</w:t>
            </w:r>
          </w:p>
        </w:tc>
        <w:tc>
          <w:tcPr>
            <w:tcW w:w="1284" w:type="dxa"/>
            <w:vAlign w:val="center"/>
          </w:tcPr>
          <w:p w14:paraId="6700B8BC" w14:textId="77777777" w:rsidR="00B62AE4" w:rsidRPr="000149DA" w:rsidRDefault="00B62AE4" w:rsidP="005A7AEB">
            <w:pPr>
              <w:pStyle w:val="TableParagraph"/>
              <w:spacing w:line="208" w:lineRule="exact"/>
              <w:ind w:left="72" w:right="6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78 (0,47)</w:t>
            </w:r>
          </w:p>
        </w:tc>
        <w:tc>
          <w:tcPr>
            <w:tcW w:w="1842" w:type="dxa"/>
            <w:vAlign w:val="center"/>
          </w:tcPr>
          <w:p w14:paraId="21BC045A" w14:textId="77777777" w:rsidR="00B62AE4" w:rsidRPr="000149DA" w:rsidRDefault="00B62AE4" w:rsidP="005A7AE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0,51 (0,35; 0,75)</w:t>
            </w:r>
          </w:p>
        </w:tc>
        <w:tc>
          <w:tcPr>
            <w:tcW w:w="1276" w:type="dxa"/>
          </w:tcPr>
          <w:p w14:paraId="44FFB46E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8DBCD55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1144B1B3" w14:textId="77777777" w:rsidR="00B62AE4" w:rsidRPr="000149DA" w:rsidRDefault="00B62AE4" w:rsidP="005A7AEB">
            <w:pPr>
              <w:pStyle w:val="TableParagraph"/>
              <w:spacing w:line="209" w:lineRule="exact"/>
              <w:ind w:left="261"/>
              <w:rPr>
                <w:lang w:val="hu-HU"/>
              </w:rPr>
            </w:pPr>
            <w:r w:rsidRPr="000149DA">
              <w:rPr>
                <w:w w:val="105"/>
              </w:rPr>
              <w:t>Szisztémás embolizáció</w:t>
            </w:r>
          </w:p>
        </w:tc>
        <w:tc>
          <w:tcPr>
            <w:tcW w:w="1268" w:type="dxa"/>
            <w:vAlign w:val="center"/>
          </w:tcPr>
          <w:p w14:paraId="1361CC76" w14:textId="77777777" w:rsidR="00B62AE4" w:rsidRPr="000149DA" w:rsidRDefault="00B62AE4" w:rsidP="005A7AEB">
            <w:pPr>
              <w:pStyle w:val="TableParagraph"/>
              <w:spacing w:line="209" w:lineRule="exact"/>
              <w:ind w:right="14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15 (0,09)</w:t>
            </w:r>
          </w:p>
        </w:tc>
        <w:tc>
          <w:tcPr>
            <w:tcW w:w="1284" w:type="dxa"/>
            <w:vAlign w:val="center"/>
          </w:tcPr>
          <w:p w14:paraId="29ED99B2" w14:textId="77777777" w:rsidR="00B62AE4" w:rsidRPr="000149DA" w:rsidRDefault="00B62AE4" w:rsidP="005A7AEB">
            <w:pPr>
              <w:pStyle w:val="TableParagraph"/>
              <w:spacing w:line="209" w:lineRule="exact"/>
              <w:ind w:left="72" w:right="6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 (0,10)</w:t>
            </w:r>
          </w:p>
        </w:tc>
        <w:tc>
          <w:tcPr>
            <w:tcW w:w="1842" w:type="dxa"/>
            <w:vAlign w:val="center"/>
          </w:tcPr>
          <w:p w14:paraId="1B2DF870" w14:textId="77777777" w:rsidR="00B62AE4" w:rsidRPr="000149DA" w:rsidRDefault="00B62AE4" w:rsidP="005A7AE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0,87 (0,44; 1,75)</w:t>
            </w:r>
          </w:p>
        </w:tc>
        <w:tc>
          <w:tcPr>
            <w:tcW w:w="1276" w:type="dxa"/>
          </w:tcPr>
          <w:p w14:paraId="4DA0B20F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</w:tbl>
    <w:p w14:paraId="1360EE3A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89FF154" w14:textId="544B830A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warfarinra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randomizált</w:t>
      </w:r>
      <w:r w:rsidR="005346CC" w:rsidRPr="000149DA">
        <w:rPr>
          <w:rFonts w:cs="Times New Roman"/>
          <w:w w:val="105"/>
        </w:rPr>
        <w:t xml:space="preserve"> betegeknél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terápiás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tartományban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(INR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2</w:t>
      </w:r>
      <w:r w:rsidR="004506AF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>3)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eltöltött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időtartam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(</w:t>
      </w:r>
      <w:r w:rsidR="004506AF" w:rsidRPr="000149DA">
        <w:rPr>
          <w:rFonts w:cs="Times New Roman"/>
          <w:w w:val="105"/>
        </w:rPr>
        <w:t xml:space="preserve">TTR, </w:t>
      </w:r>
      <w:r w:rsidRPr="000149DA">
        <w:rPr>
          <w:rFonts w:cs="Times New Roman"/>
          <w:w w:val="105"/>
        </w:rPr>
        <w:t>time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in therapeutic range) 66%</w:t>
      </w:r>
      <w:r w:rsidRPr="000149DA">
        <w:rPr>
          <w:rFonts w:cs="Times New Roman"/>
          <w:spacing w:val="-8"/>
          <w:w w:val="105"/>
        </w:rPr>
        <w:t xml:space="preserve"> </w:t>
      </w:r>
      <w:r w:rsidRPr="000149DA">
        <w:rPr>
          <w:rFonts w:cs="Times New Roman"/>
          <w:w w:val="105"/>
        </w:rPr>
        <w:t>volt.</w:t>
      </w:r>
    </w:p>
    <w:p w14:paraId="0C46C480" w14:textId="77777777" w:rsidR="001209AF" w:rsidRPr="000149DA" w:rsidRDefault="001209AF" w:rsidP="00D72566">
      <w:pPr>
        <w:pStyle w:val="Nincstrkz"/>
        <w:rPr>
          <w:rFonts w:cs="Times New Roman"/>
        </w:rPr>
      </w:pPr>
    </w:p>
    <w:p w14:paraId="7AF9D736" w14:textId="7F2D08D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warfarinhoz képest a középső TTR különböző szintjein a stroke és a szisztémás embolizáció csökkenését mutatta. A középsővel összhangban a TTR legmagasabb kvartilisában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vs. warfarin relatív hazárdja 0,73 volt (95%</w:t>
      </w:r>
      <w:r w:rsidR="004506AF" w:rsidRPr="000149DA">
        <w:rPr>
          <w:rFonts w:cs="Times New Roman"/>
        </w:rPr>
        <w:noBreakHyphen/>
      </w:r>
      <w:r w:rsidRPr="000149DA">
        <w:rPr>
          <w:rFonts w:cs="Times New Roman"/>
        </w:rPr>
        <w:t>os CI 0,38, 1,40).</w:t>
      </w:r>
    </w:p>
    <w:p w14:paraId="5DC23F8E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1246AF0B" w14:textId="2DC211E5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 vizsgálatban előforduló általános 1</w:t>
      </w:r>
      <w:r w:rsidR="004506A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es típusú hiba kiküszöbölése érdekében a nagyfokú vérzés és </w:t>
      </w:r>
      <w:r w:rsidR="004506AF" w:rsidRPr="000149DA">
        <w:rPr>
          <w:rFonts w:cs="Times New Roman"/>
        </w:rPr>
        <w:t xml:space="preserve">bármely okból bekövetkező </w:t>
      </w:r>
      <w:r w:rsidRPr="000149DA">
        <w:rPr>
          <w:rFonts w:cs="Times New Roman"/>
        </w:rPr>
        <w:t xml:space="preserve">mortalitás legfontosabb másodlagos végpontokat egy előre meghatározott hierarchikus vizsgálati stratégia szerint tesztelték. A nagyfokú vérzés és </w:t>
      </w:r>
      <w:r w:rsidR="008D3D74" w:rsidRPr="000149DA">
        <w:rPr>
          <w:rFonts w:cs="Times New Roman"/>
        </w:rPr>
        <w:t xml:space="preserve">a bármely okból bekövetkező </w:t>
      </w:r>
      <w:r w:rsidRPr="000149DA">
        <w:rPr>
          <w:rFonts w:cs="Times New Roman"/>
        </w:rPr>
        <w:t>mortalitás, mint legfontosabb másodlagos végpontok tekintetében egyaránt statisztikailag</w:t>
      </w:r>
      <w:r w:rsidR="00551B22">
        <w:rPr>
          <w:rFonts w:cs="Times New Roman"/>
        </w:rPr>
        <w:t xml:space="preserve"> </w:t>
      </w:r>
      <w:r w:rsidRPr="00551B22">
        <w:rPr>
          <w:rFonts w:cs="Times New Roman"/>
        </w:rPr>
        <w:t>szignifikánsan jobb eredményeket értek el (lásd</w:t>
      </w:r>
      <w:r w:rsidR="001209AF" w:rsidRPr="00551B22">
        <w:rPr>
          <w:rFonts w:cs="Times New Roman"/>
        </w:rPr>
        <w:t xml:space="preserve"> </w:t>
      </w:r>
      <w:r w:rsidR="00326B05">
        <w:rPr>
          <w:rFonts w:cs="Times New Roman"/>
        </w:rPr>
        <w:t>6</w:t>
      </w:r>
      <w:r w:rsidR="00C95011" w:rsidRPr="00551B22">
        <w:rPr>
          <w:rFonts w:cs="Times New Roman"/>
        </w:rPr>
        <w:t xml:space="preserve">. </w:t>
      </w:r>
      <w:r w:rsidRPr="00A72E73">
        <w:rPr>
          <w:rFonts w:cs="Times New Roman"/>
        </w:rPr>
        <w:t xml:space="preserve">táblázat). Az INR monitorozásának javításával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warfarinhoz viszonyított, </w:t>
      </w:r>
      <w:r w:rsidR="008D3D74" w:rsidRPr="000149DA">
        <w:rPr>
          <w:rFonts w:cs="Times New Roman"/>
        </w:rPr>
        <w:t xml:space="preserve">bármely okból bekövetkező </w:t>
      </w:r>
      <w:r w:rsidRPr="000149DA">
        <w:rPr>
          <w:rFonts w:cs="Times New Roman"/>
        </w:rPr>
        <w:t>mortalitás tekintetében megfigyelt előnye eltűnik.</w:t>
      </w:r>
    </w:p>
    <w:p w14:paraId="3CB5F611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4DBE4389" w14:textId="3F199C2B" w:rsidR="001209AF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b w:val="0"/>
          <w:bCs w:val="0"/>
          <w:w w:val="105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Másodlagos végpontok pitvarfibrilláló</w:t>
      </w:r>
      <w:r w:rsidR="00A1416D" w:rsidRPr="000149DA">
        <w:rPr>
          <w:b w:val="0"/>
          <w:bCs w:val="0"/>
          <w:w w:val="105"/>
          <w:sz w:val="22"/>
          <w:szCs w:val="22"/>
        </w:rPr>
        <w:t> beteg</w:t>
      </w:r>
      <w:r w:rsidRPr="000149DA">
        <w:rPr>
          <w:b w:val="0"/>
          <w:bCs w:val="0"/>
          <w:w w:val="105"/>
          <w:sz w:val="22"/>
          <w:szCs w:val="22"/>
        </w:rPr>
        <w:t>eknél az</w:t>
      </w:r>
      <w:r w:rsidRPr="000149DA">
        <w:rPr>
          <w:b w:val="0"/>
          <w:bCs w:val="0"/>
          <w:spacing w:val="-38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ARISTOTLE-vizsgálatban</w:t>
      </w:r>
    </w:p>
    <w:tbl>
      <w:tblPr>
        <w:tblW w:w="9214" w:type="dxa"/>
        <w:tblInd w:w="-5" w:type="dxa"/>
        <w:tblCellMar>
          <w:top w:w="55" w:type="dxa"/>
          <w:right w:w="47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1843"/>
        <w:gridCol w:w="1842"/>
        <w:gridCol w:w="1276"/>
      </w:tblGrid>
      <w:tr w:rsidR="001209AF" w:rsidRPr="000149DA" w14:paraId="010A349C" w14:textId="77777777" w:rsidTr="00AB77EB">
        <w:trPr>
          <w:trHeight w:val="7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7ED3" w14:textId="77777777" w:rsidR="001209AF" w:rsidRPr="000149DA" w:rsidRDefault="001209AF" w:rsidP="00F14D76">
            <w:pPr>
              <w:ind w:right="6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DA4" w14:textId="6B546D8F" w:rsidR="001209AF" w:rsidRPr="000149DA" w:rsidRDefault="001209AF" w:rsidP="00F14D76">
            <w:pPr>
              <w:ind w:right="63"/>
              <w:jc w:val="center"/>
            </w:pPr>
            <w:r w:rsidRPr="000149DA">
              <w:rPr>
                <w:b/>
              </w:rPr>
              <w:t>Apixab</w:t>
            </w:r>
            <w:r w:rsidR="00F056BD" w:rsidRPr="000149DA">
              <w:rPr>
                <w:b/>
              </w:rPr>
              <w:t>á</w:t>
            </w:r>
            <w:r w:rsidRPr="000149DA">
              <w:rPr>
                <w:b/>
              </w:rPr>
              <w:t xml:space="preserve">n </w:t>
            </w:r>
          </w:p>
          <w:p w14:paraId="60E30DC4" w14:textId="6AC59176" w:rsidR="001209AF" w:rsidRPr="000149DA" w:rsidRDefault="007D4C4D" w:rsidP="00F14D76">
            <w:pPr>
              <w:ind w:left="349" w:right="363"/>
              <w:jc w:val="center"/>
              <w:rPr>
                <w:b/>
              </w:rPr>
            </w:pPr>
            <w:r w:rsidRPr="000149DA">
              <w:rPr>
                <w:b/>
              </w:rPr>
              <w:t>N = </w:t>
            </w:r>
            <w:r w:rsidR="001209AF" w:rsidRPr="000149DA">
              <w:rPr>
                <w:b/>
              </w:rPr>
              <w:t xml:space="preserve">9088 </w:t>
            </w:r>
          </w:p>
          <w:p w14:paraId="0193F318" w14:textId="5A964C41" w:rsidR="001209AF" w:rsidRPr="000149DA" w:rsidRDefault="001209AF" w:rsidP="00F14D76">
            <w:pPr>
              <w:ind w:left="349" w:right="363"/>
              <w:jc w:val="center"/>
            </w:pPr>
            <w:r w:rsidRPr="000149DA">
              <w:rPr>
                <w:b/>
              </w:rPr>
              <w:t>n (%/</w:t>
            </w:r>
            <w:r w:rsidR="005346CC" w:rsidRPr="000149DA">
              <w:rPr>
                <w:b/>
              </w:rPr>
              <w:t>év</w:t>
            </w:r>
            <w:r w:rsidRPr="000149DA">
              <w:rPr>
                <w:b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9FDC" w14:textId="77777777" w:rsidR="001209AF" w:rsidRPr="000149DA" w:rsidRDefault="001209AF" w:rsidP="00F14D76">
            <w:pPr>
              <w:ind w:right="62"/>
              <w:jc w:val="center"/>
            </w:pPr>
            <w:r w:rsidRPr="000149DA">
              <w:rPr>
                <w:b/>
              </w:rPr>
              <w:t xml:space="preserve">Warfarin </w:t>
            </w:r>
          </w:p>
          <w:p w14:paraId="21BE80FC" w14:textId="5E954753" w:rsidR="001209AF" w:rsidRPr="000149DA" w:rsidRDefault="007D4C4D" w:rsidP="00F14D76">
            <w:pPr>
              <w:ind w:left="372" w:right="384"/>
              <w:jc w:val="center"/>
              <w:rPr>
                <w:b/>
              </w:rPr>
            </w:pPr>
            <w:r w:rsidRPr="000149DA">
              <w:rPr>
                <w:b/>
              </w:rPr>
              <w:t>N = </w:t>
            </w:r>
            <w:r w:rsidR="001209AF" w:rsidRPr="000149DA">
              <w:rPr>
                <w:b/>
              </w:rPr>
              <w:t xml:space="preserve">9052 </w:t>
            </w:r>
          </w:p>
          <w:p w14:paraId="2466FC28" w14:textId="3C0AE589" w:rsidR="001209AF" w:rsidRPr="000149DA" w:rsidRDefault="001209AF" w:rsidP="00F14D76">
            <w:pPr>
              <w:ind w:left="372" w:right="384"/>
              <w:jc w:val="center"/>
            </w:pPr>
            <w:r w:rsidRPr="000149DA">
              <w:rPr>
                <w:b/>
              </w:rPr>
              <w:t>n (%/</w:t>
            </w:r>
            <w:r w:rsidR="00AB77EB" w:rsidRPr="000149DA">
              <w:rPr>
                <w:b/>
              </w:rPr>
              <w:t>év</w:t>
            </w:r>
            <w:r w:rsidRPr="000149DA">
              <w:rPr>
                <w:b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59FF" w14:textId="2FB393C8" w:rsidR="001209AF" w:rsidRPr="000149DA" w:rsidRDefault="005346CC" w:rsidP="00F14D76">
            <w:pPr>
              <w:jc w:val="center"/>
            </w:pPr>
            <w:r w:rsidRPr="000149DA">
              <w:rPr>
                <w:b/>
                <w:bCs/>
                <w:w w:val="105"/>
              </w:rPr>
              <w:t xml:space="preserve">Relatív hazárd </w:t>
            </w:r>
            <w:r w:rsidR="001209AF" w:rsidRPr="000149DA">
              <w:rPr>
                <w:b/>
              </w:rPr>
              <w:t>(95%</w:t>
            </w:r>
            <w:r w:rsidRPr="000149DA">
              <w:rPr>
                <w:b/>
              </w:rPr>
              <w:noBreakHyphen/>
              <w:t>os</w:t>
            </w:r>
            <w:r w:rsidR="001209AF" w:rsidRPr="000149DA">
              <w:rPr>
                <w:b/>
              </w:rPr>
              <w:t xml:space="preserve"> CI)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4418" w14:textId="50AC3725" w:rsidR="001209AF" w:rsidRPr="000149DA" w:rsidRDefault="001209AF" w:rsidP="00F14D76">
            <w:pPr>
              <w:ind w:right="61"/>
              <w:jc w:val="center"/>
            </w:pPr>
            <w:r w:rsidRPr="000149DA">
              <w:rPr>
                <w:b/>
              </w:rPr>
              <w:t>p-</w:t>
            </w:r>
            <w:r w:rsidR="005346CC" w:rsidRPr="000149DA">
              <w:rPr>
                <w:b/>
              </w:rPr>
              <w:t>érték</w:t>
            </w:r>
            <w:r w:rsidRPr="000149DA">
              <w:rPr>
                <w:b/>
              </w:rPr>
              <w:t xml:space="preserve"> </w:t>
            </w:r>
          </w:p>
        </w:tc>
      </w:tr>
      <w:tr w:rsidR="001209AF" w:rsidRPr="000149DA" w14:paraId="79896495" w14:textId="77777777" w:rsidTr="00AB77EB">
        <w:trPr>
          <w:trHeight w:val="288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568" w14:textId="423AAD1B" w:rsidR="001209AF" w:rsidRPr="000149DA" w:rsidRDefault="005346CC" w:rsidP="00F14D76">
            <w:r w:rsidRPr="000149DA">
              <w:rPr>
                <w:w w:val="105"/>
              </w:rPr>
              <w:t>Vérzéses végpontok</w:t>
            </w:r>
          </w:p>
        </w:tc>
      </w:tr>
      <w:tr w:rsidR="001209AF" w:rsidRPr="000149DA" w14:paraId="78CA2BC7" w14:textId="77777777" w:rsidTr="008D3D74">
        <w:trPr>
          <w:trHeight w:val="2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B2F9" w14:textId="7A6FAA09" w:rsidR="001209AF" w:rsidRPr="000149DA" w:rsidRDefault="005346CC" w:rsidP="00F14D76">
            <w:r w:rsidRPr="000149DA">
              <w:t>Nagyfokú</w:t>
            </w:r>
            <w:r w:rsidR="001209AF" w:rsidRPr="000149DA">
              <w:t xml:space="preserve">*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2C443" w14:textId="3F630AB3" w:rsidR="001209AF" w:rsidRPr="000149DA" w:rsidRDefault="001209AF" w:rsidP="008D3D74">
            <w:pPr>
              <w:ind w:right="61"/>
              <w:jc w:val="center"/>
            </w:pPr>
            <w:r w:rsidRPr="000149DA">
              <w:t>327 (2</w:t>
            </w:r>
            <w:r w:rsidR="00AB77EB" w:rsidRPr="000149DA">
              <w:t>,</w:t>
            </w:r>
            <w:r w:rsidRPr="000149DA">
              <w:t>13)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14F6" w14:textId="559E4BF1" w:rsidR="001209AF" w:rsidRPr="000149DA" w:rsidRDefault="001209AF" w:rsidP="008D3D74">
            <w:pPr>
              <w:ind w:right="59"/>
              <w:jc w:val="center"/>
            </w:pPr>
            <w:r w:rsidRPr="000149DA">
              <w:t>462 (3</w:t>
            </w:r>
            <w:r w:rsidR="00AB77EB" w:rsidRPr="000149DA">
              <w:t>,</w:t>
            </w:r>
            <w:r w:rsidRPr="000149DA">
              <w:t>09)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D3F2" w14:textId="34D4515D" w:rsidR="001209AF" w:rsidRPr="000149DA" w:rsidRDefault="001209AF" w:rsidP="008D3D74">
            <w:pPr>
              <w:ind w:right="61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69 (0</w:t>
            </w:r>
            <w:r w:rsidR="00AB77EB" w:rsidRPr="000149DA">
              <w:t>,</w:t>
            </w:r>
            <w:r w:rsidRPr="000149DA">
              <w:t>60, 0</w:t>
            </w:r>
            <w:r w:rsidR="00AB77EB" w:rsidRPr="000149DA">
              <w:t>,</w:t>
            </w:r>
            <w:r w:rsidRPr="000149DA">
              <w:t>80)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B5B1" w14:textId="50423D71" w:rsidR="001209AF" w:rsidRPr="000149DA" w:rsidRDefault="001209AF" w:rsidP="008D3D74">
            <w:pPr>
              <w:ind w:right="62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5149B4A8" w14:textId="77777777" w:rsidTr="008D3D74">
        <w:trPr>
          <w:trHeight w:val="2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6162" w14:textId="706B1F80" w:rsidR="001209AF" w:rsidRPr="000149DA" w:rsidRDefault="005346CC" w:rsidP="005346CC">
            <w:pPr>
              <w:ind w:left="316" w:right="220"/>
            </w:pPr>
            <w:r w:rsidRPr="000149DA">
              <w:rPr>
                <w:w w:val="105"/>
              </w:rPr>
              <w:t xml:space="preserve">Végzetes </w:t>
            </w:r>
            <w:r w:rsidRPr="000149DA">
              <w:t>kimenetelű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E29C" w14:textId="32A9CD45" w:rsidR="001209AF" w:rsidRPr="000149DA" w:rsidRDefault="001209AF" w:rsidP="008D3D74">
            <w:pPr>
              <w:ind w:right="60"/>
              <w:jc w:val="center"/>
            </w:pPr>
            <w:r w:rsidRPr="000149DA">
              <w:t>10 (0</w:t>
            </w:r>
            <w:r w:rsidR="00AB77EB" w:rsidRPr="000149DA">
              <w:t>,</w:t>
            </w:r>
            <w:r w:rsidRPr="000149DA">
              <w:t>06)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7E2B" w14:textId="37349154" w:rsidR="001209AF" w:rsidRPr="000149DA" w:rsidRDefault="001209AF" w:rsidP="008D3D74">
            <w:pPr>
              <w:ind w:right="58"/>
              <w:jc w:val="center"/>
            </w:pPr>
            <w:r w:rsidRPr="000149DA">
              <w:t>37 (0</w:t>
            </w:r>
            <w:r w:rsidR="00AB77EB" w:rsidRPr="000149DA">
              <w:t>,</w:t>
            </w:r>
            <w:r w:rsidRPr="000149DA">
              <w:t>24)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2F6E" w14:textId="76B8255E" w:rsidR="001209AF" w:rsidRPr="000149DA" w:rsidRDefault="001209AF" w:rsidP="008D3D74">
            <w:pPr>
              <w:ind w:right="4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79E2" w14:textId="117E8FE5" w:rsidR="001209AF" w:rsidRPr="000149DA" w:rsidRDefault="001209AF" w:rsidP="008D3D74">
            <w:pPr>
              <w:ind w:right="5"/>
              <w:jc w:val="center"/>
            </w:pPr>
          </w:p>
        </w:tc>
      </w:tr>
      <w:tr w:rsidR="001209AF" w:rsidRPr="000149DA" w14:paraId="63170BC3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7DE8" w14:textId="46471BC7" w:rsidR="001209AF" w:rsidRPr="000149DA" w:rsidRDefault="001209AF" w:rsidP="005346CC">
            <w:pPr>
              <w:ind w:firstLine="316"/>
            </w:pPr>
            <w:r w:rsidRPr="000149DA">
              <w:t>Intracranial</w:t>
            </w:r>
            <w:r w:rsidR="005346CC" w:rsidRPr="000149DA">
              <w:t>is</w:t>
            </w:r>
            <w:r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DDD6" w14:textId="183BFE08" w:rsidR="001209AF" w:rsidRPr="000149DA" w:rsidRDefault="001209AF" w:rsidP="008D3D74">
            <w:pPr>
              <w:ind w:right="57"/>
              <w:jc w:val="center"/>
            </w:pPr>
            <w:r w:rsidRPr="000149DA">
              <w:t>52 (0</w:t>
            </w:r>
            <w:r w:rsidR="00AB77EB" w:rsidRPr="000149DA">
              <w:t>,</w:t>
            </w:r>
            <w:r w:rsidRPr="000149DA">
              <w:t>33)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2932" w14:textId="508D348C" w:rsidR="001209AF" w:rsidRPr="000149DA" w:rsidRDefault="001209AF" w:rsidP="008D3D74">
            <w:pPr>
              <w:ind w:right="56"/>
              <w:jc w:val="center"/>
            </w:pPr>
            <w:r w:rsidRPr="000149DA">
              <w:t>122 (0</w:t>
            </w:r>
            <w:r w:rsidR="00AB77EB" w:rsidRPr="000149DA">
              <w:t>,</w:t>
            </w:r>
            <w:r w:rsidRPr="000149DA">
              <w:t>80)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1D74" w14:textId="5425CF2D" w:rsidR="001209AF" w:rsidRPr="000149DA" w:rsidRDefault="001209AF" w:rsidP="008D3D74">
            <w:pPr>
              <w:ind w:right="3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F77C" w14:textId="4989D5E7" w:rsidR="001209AF" w:rsidRPr="000149DA" w:rsidRDefault="001209AF" w:rsidP="008D3D74">
            <w:pPr>
              <w:ind w:right="4"/>
              <w:jc w:val="center"/>
            </w:pPr>
          </w:p>
        </w:tc>
      </w:tr>
      <w:tr w:rsidR="001209AF" w:rsidRPr="000149DA" w14:paraId="0B77D153" w14:textId="77777777" w:rsidTr="008D3D74">
        <w:trPr>
          <w:trHeight w:val="28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2F21" w14:textId="5E20BAE8" w:rsidR="001209AF" w:rsidRPr="000149DA" w:rsidRDefault="003C5E73" w:rsidP="008D3D74">
            <w:pPr>
              <w:ind w:left="32" w:right="91"/>
            </w:pPr>
            <w:r w:rsidRPr="000149DA">
              <w:t>Nagyfokú</w:t>
            </w:r>
            <w:r w:rsidR="001209AF" w:rsidRPr="000149DA">
              <w:t xml:space="preserve"> + CRNM</w:t>
            </w:r>
            <w:r w:rsidR="00DA38E7" w:rsidRPr="000149DA">
              <w:t xml:space="preserve">† 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BF0F" w14:textId="47DFCF9E" w:rsidR="001209AF" w:rsidRPr="000149DA" w:rsidRDefault="001209AF" w:rsidP="008D3D74">
            <w:pPr>
              <w:ind w:right="59"/>
              <w:jc w:val="center"/>
            </w:pPr>
            <w:r w:rsidRPr="000149DA">
              <w:t>613 (4</w:t>
            </w:r>
            <w:r w:rsidR="00AB77EB" w:rsidRPr="000149DA">
              <w:t>,</w:t>
            </w:r>
            <w:r w:rsidRPr="000149DA">
              <w:t>07)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7385" w14:textId="702CABEC" w:rsidR="001209AF" w:rsidRPr="000149DA" w:rsidRDefault="001209AF" w:rsidP="008D3D74">
            <w:pPr>
              <w:ind w:right="58"/>
              <w:jc w:val="center"/>
            </w:pPr>
            <w:r w:rsidRPr="000149DA">
              <w:t>877 (6</w:t>
            </w:r>
            <w:r w:rsidR="00AB77EB" w:rsidRPr="000149DA">
              <w:t>,</w:t>
            </w:r>
            <w:r w:rsidRPr="000149DA">
              <w:t>01)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A3AF" w14:textId="7CCC8088" w:rsidR="001209AF" w:rsidRPr="000149DA" w:rsidRDefault="001209AF" w:rsidP="008D3D74">
            <w:pPr>
              <w:ind w:right="59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68 (0</w:t>
            </w:r>
            <w:r w:rsidR="00AB77EB" w:rsidRPr="000149DA">
              <w:t>,</w:t>
            </w:r>
            <w:r w:rsidRPr="000149DA">
              <w:t>61, 0</w:t>
            </w:r>
            <w:r w:rsidR="00AB77EB" w:rsidRPr="000149DA">
              <w:t>,</w:t>
            </w:r>
            <w:r w:rsidRPr="000149DA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5FC6" w14:textId="4C6BCEBA" w:rsidR="001209AF" w:rsidRPr="000149DA" w:rsidRDefault="001209AF" w:rsidP="008D3D74">
            <w:pPr>
              <w:ind w:right="61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14098130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EF1" w14:textId="40C27DEF" w:rsidR="001209AF" w:rsidRPr="000149DA" w:rsidRDefault="003C5E73" w:rsidP="008D3D74">
            <w:pPr>
              <w:ind w:firstLine="32"/>
            </w:pPr>
            <w:r w:rsidRPr="000149DA">
              <w:t>Összes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C976" w14:textId="5EE69002" w:rsidR="001209AF" w:rsidRPr="000149DA" w:rsidRDefault="001209AF" w:rsidP="008D3D74">
            <w:pPr>
              <w:ind w:right="62"/>
              <w:jc w:val="center"/>
            </w:pPr>
            <w:r w:rsidRPr="000149DA">
              <w:t>2356 (18</w:t>
            </w:r>
            <w:r w:rsidR="00AB77EB" w:rsidRPr="000149DA">
              <w:t>,</w:t>
            </w:r>
            <w:r w:rsidRPr="000149DA">
              <w:t>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7967" w14:textId="4E2F7FC8" w:rsidR="001209AF" w:rsidRPr="000149DA" w:rsidRDefault="001209AF" w:rsidP="008D3D74">
            <w:pPr>
              <w:ind w:right="60"/>
              <w:jc w:val="center"/>
            </w:pPr>
            <w:r w:rsidRPr="000149DA">
              <w:t>3060 (25</w:t>
            </w:r>
            <w:r w:rsidR="00AB77EB" w:rsidRPr="000149DA">
              <w:t>,</w:t>
            </w:r>
            <w:r w:rsidRPr="000149DA">
              <w:t>8)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2D7A" w14:textId="0F45FA72" w:rsidR="001209AF" w:rsidRPr="000149DA" w:rsidRDefault="001209AF" w:rsidP="008D3D74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71 (0</w:t>
            </w:r>
            <w:r w:rsidR="00AB77EB" w:rsidRPr="000149DA">
              <w:t>,</w:t>
            </w:r>
            <w:r w:rsidRPr="000149DA">
              <w:t>68, 0</w:t>
            </w:r>
            <w:r w:rsidR="00AB77EB" w:rsidRPr="000149DA">
              <w:t>,</w:t>
            </w:r>
            <w:r w:rsidRPr="000149DA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589E" w14:textId="0AA59247" w:rsidR="001209AF" w:rsidRPr="000149DA" w:rsidRDefault="001209AF" w:rsidP="008D3D74">
            <w:pPr>
              <w:ind w:right="61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66E33DEC" w14:textId="77777777" w:rsidTr="00AB77EB">
        <w:trPr>
          <w:trHeight w:val="383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D578" w14:textId="34EEDC4E" w:rsidR="001209AF" w:rsidRPr="000149DA" w:rsidRDefault="003C5E73" w:rsidP="00F14D76">
            <w:r w:rsidRPr="000149DA">
              <w:t>Egyéb végpontok</w:t>
            </w:r>
          </w:p>
        </w:tc>
      </w:tr>
      <w:tr w:rsidR="001209AF" w:rsidRPr="000149DA" w14:paraId="24039888" w14:textId="77777777" w:rsidTr="008D3D74">
        <w:trPr>
          <w:trHeight w:val="65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8510" w14:textId="66AE2820" w:rsidR="001209AF" w:rsidRPr="000149DA" w:rsidRDefault="008D3D74" w:rsidP="008D3D74">
            <w:pPr>
              <w:ind w:firstLine="32"/>
            </w:pPr>
            <w:r w:rsidRPr="000149DA">
              <w:rPr>
                <w:w w:val="105"/>
              </w:rPr>
              <w:t>Bármely okból bekövetkező m</w:t>
            </w:r>
            <w:r w:rsidR="003C5E73" w:rsidRPr="000149DA">
              <w:t>ortalitás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9A18" w14:textId="2E5625DA" w:rsidR="001209AF" w:rsidRPr="000149DA" w:rsidRDefault="001209AF" w:rsidP="008D3D74">
            <w:pPr>
              <w:ind w:right="62"/>
              <w:jc w:val="center"/>
            </w:pPr>
            <w:r w:rsidRPr="000149DA">
              <w:t>603 (3</w:t>
            </w:r>
            <w:r w:rsidR="00AB77EB" w:rsidRPr="000149DA">
              <w:t>,</w:t>
            </w:r>
            <w:r w:rsidRPr="000149DA">
              <w:t>52)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0580C" w14:textId="39F6DA3D" w:rsidR="001209AF" w:rsidRPr="000149DA" w:rsidRDefault="001209AF" w:rsidP="008D3D74">
            <w:pPr>
              <w:ind w:right="60"/>
              <w:jc w:val="center"/>
            </w:pPr>
            <w:r w:rsidRPr="000149DA">
              <w:t>669 (3</w:t>
            </w:r>
            <w:r w:rsidR="00AB77EB" w:rsidRPr="000149DA">
              <w:t>,</w:t>
            </w:r>
            <w:r w:rsidRPr="000149DA">
              <w:t>94)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8939" w14:textId="4E1F18EC" w:rsidR="001209AF" w:rsidRPr="000149DA" w:rsidRDefault="001209AF" w:rsidP="008D3D74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89 (0</w:t>
            </w:r>
            <w:r w:rsidR="00AB77EB" w:rsidRPr="000149DA">
              <w:t>,</w:t>
            </w:r>
            <w:r w:rsidRPr="000149DA">
              <w:t>80, 1</w:t>
            </w:r>
            <w:r w:rsidR="00AB77EB" w:rsidRPr="000149DA">
              <w:t>,</w:t>
            </w:r>
            <w:r w:rsidRPr="000149DA">
              <w:t>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0068" w14:textId="1A0BE982" w:rsidR="001209AF" w:rsidRPr="000149DA" w:rsidRDefault="001209AF" w:rsidP="008D3D74">
            <w:pPr>
              <w:ind w:right="62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0465</w:t>
            </w:r>
          </w:p>
        </w:tc>
      </w:tr>
      <w:tr w:rsidR="001209AF" w:rsidRPr="000149DA" w14:paraId="771D3603" w14:textId="77777777" w:rsidTr="008D3D74">
        <w:trPr>
          <w:trHeight w:val="35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71E6" w14:textId="2D55D269" w:rsidR="001209AF" w:rsidRPr="000149DA" w:rsidRDefault="001209AF" w:rsidP="008D3D74">
            <w:pPr>
              <w:ind w:left="316" w:hanging="316"/>
            </w:pPr>
            <w:r w:rsidRPr="000149DA">
              <w:t>Myocardial</w:t>
            </w:r>
            <w:r w:rsidR="003C5E73" w:rsidRPr="000149DA">
              <w:t>is</w:t>
            </w:r>
            <w:r w:rsidRPr="000149DA">
              <w:t xml:space="preserve"> </w:t>
            </w:r>
            <w:r w:rsidR="00517956" w:rsidRPr="000149DA">
              <w:t>infarctus</w:t>
            </w:r>
            <w:r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4BE3" w14:textId="44C0A707" w:rsidR="001209AF" w:rsidRPr="000149DA" w:rsidRDefault="001209AF" w:rsidP="00F14D76">
            <w:pPr>
              <w:ind w:right="65"/>
              <w:jc w:val="center"/>
            </w:pPr>
            <w:r w:rsidRPr="000149DA">
              <w:t>90 (0</w:t>
            </w:r>
            <w:r w:rsidR="00AB77EB" w:rsidRPr="000149DA">
              <w:t>,</w:t>
            </w:r>
            <w:r w:rsidRPr="000149DA">
              <w:t xml:space="preserve">53)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1A4F" w14:textId="504A1DB8" w:rsidR="001209AF" w:rsidRPr="000149DA" w:rsidRDefault="001209AF" w:rsidP="00F14D76">
            <w:pPr>
              <w:ind w:right="60"/>
              <w:jc w:val="center"/>
            </w:pPr>
            <w:r w:rsidRPr="000149DA">
              <w:t>102 (0</w:t>
            </w:r>
            <w:r w:rsidR="00AB77EB" w:rsidRPr="000149DA">
              <w:t>,</w:t>
            </w:r>
            <w:r w:rsidRPr="000149DA">
              <w:t xml:space="preserve">61)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102E" w14:textId="20198E59" w:rsidR="001209AF" w:rsidRPr="000149DA" w:rsidRDefault="001209AF" w:rsidP="00F14D76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88 (0</w:t>
            </w:r>
            <w:r w:rsidR="00AB77EB" w:rsidRPr="000149DA">
              <w:t>,</w:t>
            </w:r>
            <w:r w:rsidRPr="000149DA">
              <w:t>66, 1</w:t>
            </w:r>
            <w:r w:rsidR="00AB77EB" w:rsidRPr="000149DA">
              <w:t>,</w:t>
            </w:r>
            <w:r w:rsidRPr="000149DA">
              <w:t xml:space="preserve">17)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0997D" w14:textId="77777777" w:rsidR="001209AF" w:rsidRPr="000149DA" w:rsidRDefault="001209AF" w:rsidP="00F14D76">
            <w:pPr>
              <w:ind w:right="8"/>
              <w:jc w:val="center"/>
            </w:pPr>
            <w:r w:rsidRPr="000149DA">
              <w:t xml:space="preserve"> </w:t>
            </w:r>
          </w:p>
        </w:tc>
      </w:tr>
    </w:tbl>
    <w:p w14:paraId="4F5B4039" w14:textId="2C3B348D" w:rsidR="00B62AE4" w:rsidRPr="00D15884" w:rsidRDefault="001209AF" w:rsidP="00AB77EB">
      <w:pPr>
        <w:ind w:left="47"/>
        <w:rPr>
          <w:w w:val="105"/>
        </w:rPr>
      </w:pPr>
      <w:r w:rsidRPr="00D15884">
        <w:t xml:space="preserve">* </w:t>
      </w:r>
      <w:r w:rsidR="00B62AE4" w:rsidRPr="00D15884">
        <w:rPr>
          <w:w w:val="105"/>
        </w:rPr>
        <w:t>A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nagyfokú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vérzést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a</w:t>
      </w:r>
      <w:r w:rsidR="00B62AE4" w:rsidRPr="00D15884">
        <w:rPr>
          <w:spacing w:val="-12"/>
          <w:w w:val="105"/>
        </w:rPr>
        <w:t xml:space="preserve"> </w:t>
      </w:r>
      <w:r w:rsidR="008D3D74" w:rsidRPr="00D15884">
        <w:rPr>
          <w:w w:val="105"/>
        </w:rPr>
        <w:t xml:space="preserve">Nemzetközi Thrombosis és Haemostasis Társaság </w:t>
      </w:r>
      <w:r w:rsidR="00B62AE4" w:rsidRPr="00D15884">
        <w:rPr>
          <w:w w:val="105"/>
        </w:rPr>
        <w:t>(ISTH</w:t>
      </w:r>
      <w:r w:rsidR="008D3D74" w:rsidRPr="00D15884">
        <w:rPr>
          <w:w w:val="105"/>
        </w:rPr>
        <w:t>,</w:t>
      </w:r>
      <w:r w:rsidR="00B62AE4" w:rsidRPr="00D15884">
        <w:rPr>
          <w:spacing w:val="-14"/>
          <w:w w:val="105"/>
        </w:rPr>
        <w:t xml:space="preserve"> </w:t>
      </w:r>
      <w:r w:rsidR="008D3D74" w:rsidRPr="00D15884">
        <w:rPr>
          <w:w w:val="105"/>
        </w:rPr>
        <w:t>International</w:t>
      </w:r>
      <w:r w:rsidR="008D3D74" w:rsidRPr="00D15884">
        <w:rPr>
          <w:spacing w:val="-13"/>
          <w:w w:val="105"/>
        </w:rPr>
        <w:t xml:space="preserve"> </w:t>
      </w:r>
      <w:r w:rsidR="008D3D74" w:rsidRPr="00D15884">
        <w:rPr>
          <w:w w:val="105"/>
        </w:rPr>
        <w:t>Society</w:t>
      </w:r>
      <w:r w:rsidR="008D3D74" w:rsidRPr="00D15884">
        <w:rPr>
          <w:spacing w:val="-10"/>
          <w:w w:val="105"/>
        </w:rPr>
        <w:t xml:space="preserve"> </w:t>
      </w:r>
      <w:r w:rsidR="008D3D74" w:rsidRPr="00D15884">
        <w:rPr>
          <w:w w:val="105"/>
        </w:rPr>
        <w:t>on</w:t>
      </w:r>
      <w:r w:rsidR="008D3D74" w:rsidRPr="00D15884">
        <w:rPr>
          <w:spacing w:val="-13"/>
          <w:w w:val="105"/>
        </w:rPr>
        <w:t xml:space="preserve"> </w:t>
      </w:r>
      <w:r w:rsidR="008D3D74" w:rsidRPr="00D15884">
        <w:rPr>
          <w:w w:val="105"/>
        </w:rPr>
        <w:t>Thrombosis</w:t>
      </w:r>
      <w:r w:rsidR="008D3D74" w:rsidRPr="00D15884">
        <w:rPr>
          <w:spacing w:val="-12"/>
          <w:w w:val="105"/>
        </w:rPr>
        <w:t xml:space="preserve"> </w:t>
      </w:r>
      <w:r w:rsidR="008D3D74" w:rsidRPr="00D15884">
        <w:rPr>
          <w:w w:val="105"/>
        </w:rPr>
        <w:t>and</w:t>
      </w:r>
      <w:r w:rsidR="008D3D74" w:rsidRPr="00D15884">
        <w:rPr>
          <w:spacing w:val="-14"/>
          <w:w w:val="105"/>
        </w:rPr>
        <w:t xml:space="preserve"> </w:t>
      </w:r>
      <w:r w:rsidR="008D3D74" w:rsidRPr="00D15884">
        <w:rPr>
          <w:w w:val="105"/>
        </w:rPr>
        <w:t>Haemostasis</w:t>
      </w:r>
      <w:r w:rsidR="00B62AE4" w:rsidRPr="00D15884">
        <w:rPr>
          <w:w w:val="105"/>
        </w:rPr>
        <w:t>) kritériumai szerint</w:t>
      </w:r>
      <w:r w:rsidR="00B62AE4" w:rsidRPr="00D15884">
        <w:rPr>
          <w:spacing w:val="-19"/>
          <w:w w:val="105"/>
        </w:rPr>
        <w:t xml:space="preserve"> </w:t>
      </w:r>
      <w:r w:rsidR="00B62AE4" w:rsidRPr="00D15884">
        <w:rPr>
          <w:w w:val="105"/>
        </w:rPr>
        <w:t>definiálták.</w:t>
      </w:r>
    </w:p>
    <w:p w14:paraId="765BD0F9" w14:textId="749D3606" w:rsidR="00DA38E7" w:rsidRPr="00D15884" w:rsidRDefault="00DA38E7" w:rsidP="00AB77EB">
      <w:pPr>
        <w:ind w:left="47"/>
      </w:pPr>
      <w:r w:rsidRPr="00D15884">
        <w:t>† Klinikailag jelentős, nem súlyos vérzés.</w:t>
      </w:r>
    </w:p>
    <w:p w14:paraId="7ABBBB52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0E3938" w14:textId="20FBFC5D" w:rsidR="00B62AE4" w:rsidRPr="000149DA" w:rsidRDefault="00B62AE4" w:rsidP="00D72566">
      <w:pPr>
        <w:pStyle w:val="Nincstrkz"/>
        <w:rPr>
          <w:rFonts w:cs="Times New Roman"/>
        </w:rPr>
      </w:pPr>
      <w:r w:rsidRPr="00B50EA7">
        <w:rPr>
          <w:rFonts w:cs="Times New Roman"/>
        </w:rPr>
        <w:t>Az ARISTOTLE</w:t>
      </w:r>
      <w:r w:rsidR="00AB77EB" w:rsidRPr="00551B22">
        <w:rPr>
          <w:rFonts w:cs="Times New Roman"/>
        </w:rPr>
        <w:noBreakHyphen/>
      </w:r>
      <w:r w:rsidRPr="00A72E73">
        <w:rPr>
          <w:rFonts w:cs="Times New Roman"/>
        </w:rPr>
        <w:t xml:space="preserve">vizsgálatban a kezelés mellékhatások miatt történő abbahagyásának összesített aránya 1,8%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2,6% volt a warfarin esetén.</w:t>
      </w:r>
    </w:p>
    <w:p w14:paraId="2FB5D9B5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E6DCFB7" w14:textId="6E5565A1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előre meghatározott alcsoportok, köztük a CHADS</w:t>
      </w:r>
      <w:r w:rsidR="0003285B"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-pontszám, az életkor, a testtömeg, a nem, a vesefunkció, a korábbi stroke vagy TIA és diabetes esetén a hatásossági eredmények összhangban voltak a vizsgálatban értékelt összpopuláció esetén kapott elsődleges hatásossági eredményekkel.</w:t>
      </w:r>
    </w:p>
    <w:p w14:paraId="05C68CF4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D1A2EA7" w14:textId="7E0D4789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ISTH definíciója szerinti nagyfokú gastrointestinalis vérzések (beleértve a tápcsatorna felső, a tápcsatorna alsó részéről kiinduló, valamint a rectalis vérzést is) előfordulási gyakorisága 0,76%/év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0,86%/év a warfarin </w:t>
      </w:r>
      <w:r w:rsidR="0003285B" w:rsidRPr="000149DA">
        <w:rPr>
          <w:rFonts w:cs="Times New Roman"/>
        </w:rPr>
        <w:t>esetében</w:t>
      </w:r>
      <w:r w:rsidRPr="000149DA">
        <w:rPr>
          <w:rFonts w:cs="Times New Roman"/>
        </w:rPr>
        <w:t>.</w:t>
      </w:r>
    </w:p>
    <w:p w14:paraId="607C977B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1D4816D2" w14:textId="18493A49" w:rsidR="0003285B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előre meghatározott alcsoportok, köztük a CHADS</w:t>
      </w:r>
      <w:r w:rsidR="00AB77EB"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-pontszám, az életkor, a testtömeg, a nem</w:t>
      </w:r>
      <w:r w:rsidRPr="00A72E73">
        <w:rPr>
          <w:rFonts w:cs="Times New Roman"/>
        </w:rPr>
        <w:t>, a</w:t>
      </w:r>
      <w:r w:rsidR="0003285B" w:rsidRPr="00A72E73">
        <w:rPr>
          <w:rFonts w:cs="Times New Roman"/>
        </w:rPr>
        <w:t xml:space="preserve"> vesefunkció, a korábbi stroke vagy TIA és a diabetes esetén a nagyfokú vérzések összhangban voltak a vizsgálatban értékelt összpopuláció esetén kapott eredményekkel.</w:t>
      </w:r>
    </w:p>
    <w:p w14:paraId="01561387" w14:textId="77777777" w:rsidR="00B62AE4" w:rsidRPr="000149DA" w:rsidRDefault="00B62AE4" w:rsidP="00B62AE4">
      <w:pPr>
        <w:pStyle w:val="Nincstrkz"/>
        <w:rPr>
          <w:rFonts w:cs="Times New Roman"/>
          <w:w w:val="105"/>
        </w:rPr>
      </w:pPr>
    </w:p>
    <w:p w14:paraId="5E37CEC6" w14:textId="09353D96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AVERROES-</w:t>
      </w:r>
      <w:r w:rsidR="008058E5">
        <w:rPr>
          <w:rFonts w:cs="Times New Roman"/>
          <w:i/>
          <w:iCs/>
          <w:u w:val="single"/>
        </w:rPr>
        <w:t>vizsgálat</w:t>
      </w:r>
    </w:p>
    <w:p w14:paraId="2AC8349B" w14:textId="1E950A2D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vizsgálatban összesen 5598 olyan</w:t>
      </w:r>
      <w:r w:rsidR="0003285B" w:rsidRPr="000149DA">
        <w:rPr>
          <w:rFonts w:cs="Times New Roman"/>
        </w:rPr>
        <w:t xml:space="preserve"> 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et, akiket a vizsgálatot végzők nem tartottak alkalmasnak a K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A72E73">
        <w:rPr>
          <w:rFonts w:cs="Times New Roman"/>
        </w:rPr>
        <w:t>-</w:t>
      </w:r>
      <w:r w:rsidRPr="000149DA">
        <w:rPr>
          <w:rFonts w:cs="Times New Roman"/>
        </w:rPr>
        <w:t>antagonista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kezelésre,</w:t>
      </w:r>
      <w:r w:rsidR="0003285B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(vagy kiválasztott</w:t>
      </w:r>
      <w:r w:rsidR="00AB77EB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AB77EB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[6,4%], 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) </w:t>
      </w:r>
      <w:r w:rsidR="00D6140D" w:rsidRPr="000149DA">
        <w:rPr>
          <w:rFonts w:cs="Times New Roman"/>
        </w:rPr>
        <w:t>apixabán</w:t>
      </w:r>
      <w:r w:rsidR="00AB77EB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acetilszalicilsav</w:t>
      </w:r>
      <w:r w:rsidR="00AB77EB" w:rsidRPr="000149DA">
        <w:rPr>
          <w:rFonts w:cs="Times New Roman"/>
        </w:rPr>
        <w:noBreakHyphen/>
      </w:r>
      <w:r w:rsidRPr="000149DA">
        <w:rPr>
          <w:rFonts w:cs="Times New Roman"/>
        </w:rPr>
        <w:t>kezelésre randomizáltak. Az acetilszalicilsavat a vizsgálatot végző megítélése szerint</w:t>
      </w:r>
      <w:r w:rsidR="00AB77EB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egyszeri</w:t>
      </w:r>
      <w:r w:rsidR="00AB77EB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81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(64%), 162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(26,9%), 243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(2,1%) vagy 324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(6,6%) adagban adták. A</w:t>
      </w:r>
      <w:r w:rsidR="00E9620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átlagosan 14</w:t>
      </w:r>
      <w:r w:rsidR="00517956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hónapig kapták a vizsgált </w:t>
      </w:r>
      <w:r w:rsidR="0086172C" w:rsidRPr="000149DA">
        <w:rPr>
          <w:rFonts w:cs="Times New Roman"/>
        </w:rPr>
        <w:t>hatóanyagot</w:t>
      </w:r>
      <w:r w:rsidRPr="000149DA">
        <w:rPr>
          <w:rFonts w:cs="Times New Roman"/>
        </w:rPr>
        <w:t>. Az átlagéletkor 69,9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, az átlagos CHADS</w:t>
      </w:r>
      <w:r w:rsidRPr="000149DA">
        <w:rPr>
          <w:rFonts w:cs="Times New Roman"/>
          <w:vertAlign w:val="subscript"/>
        </w:rPr>
        <w:t>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szám 2,0</w:t>
      </w:r>
      <w:r w:rsidR="00A72E73">
        <w:rPr>
          <w:rFonts w:cs="Times New Roman"/>
        </w:rPr>
        <w:t xml:space="preserve"> </w:t>
      </w:r>
      <w:r w:rsidRPr="000149DA">
        <w:rPr>
          <w:rFonts w:cs="Times New Roman"/>
        </w:rPr>
        <w:t>volt, és a</w:t>
      </w:r>
      <w:r w:rsidR="00DA224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18,9%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ának volt korábban stroke-ja vagy TIA-ja.</w:t>
      </w:r>
    </w:p>
    <w:p w14:paraId="5D96E929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17BB559" w14:textId="4641C1C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B0C84" w:rsidRPr="000149DA">
        <w:rPr>
          <w:rFonts w:cs="Times New Roman"/>
        </w:rPr>
        <w:noBreakHyphen/>
      </w:r>
      <w:r w:rsidRPr="000149DA">
        <w:rPr>
          <w:rFonts w:cs="Times New Roman"/>
        </w:rPr>
        <w:t>vizsgálatban a K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kezelésre való alkalmatlanság gyakori okai közé tartozott az INR-értékek kívánt intervallumban való tartásának képtelensége vagy annak valószínűtlensége (42,6%), az, hogy a</w:t>
      </w:r>
      <w:r w:rsidR="009E2BD1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 visszautasította a K-vitamin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antagonistával végzett kezelést (37,4%), a CHADS</w:t>
      </w:r>
      <w:r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</w:t>
      </w:r>
      <w:r w:rsidR="009E2BD1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9E2BD1" w:rsidRPr="000149DA">
        <w:rPr>
          <w:rFonts w:cs="Times New Roman"/>
        </w:rPr>
        <w:t> </w:t>
      </w:r>
      <w:r w:rsidRPr="000149DA">
        <w:rPr>
          <w:rFonts w:cs="Times New Roman"/>
        </w:rPr>
        <w:t>1 és az orvos nem javasolta a K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kezelést (21,3%), nem lehetett megbízni abban, hogy a</w:t>
      </w:r>
      <w:r w:rsidR="009E2BD1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 betartja a K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 mellé kapott gyógyszerekre vonatkozó utasításokat (15,0%), valamint az</w:t>
      </w:r>
      <w:r w:rsidR="00A72E73">
        <w:rPr>
          <w:rFonts w:cs="Times New Roman"/>
        </w:rPr>
        <w:t>t</w:t>
      </w:r>
      <w:r w:rsidRPr="00A72E73">
        <w:rPr>
          <w:rFonts w:cs="Times New Roman"/>
        </w:rPr>
        <w:t>, hogy a dózis sürgős megváltoztatása esetén nehéz vagy várhatóan nehéz elérni a</w:t>
      </w:r>
      <w:r w:rsidR="00DA224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(11,7%).</w:t>
      </w:r>
    </w:p>
    <w:p w14:paraId="01E8B695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57B11BCA" w14:textId="77777777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 független Adatfigyelő bizottság ajánlása alapján az AVERROES-vizsgálatot idő előtt leállították, mert egy elfogadható biztonságossági profil mellett egyértelmű bizonyíték volt a stroke és a szisztémás embolizáció csökkenésére.</w:t>
      </w:r>
    </w:p>
    <w:p w14:paraId="4083F96C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2047815" w14:textId="2D2E2435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B0C84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vizsgálatban a kezelés mellékhatások miatt történő abbahagyásának összesített aránya 1,5%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1,3% az acetilszalicilsav esetén.</w:t>
      </w:r>
    </w:p>
    <w:p w14:paraId="207F7AEC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559B798A" w14:textId="5A884A3B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az acetilszalicilsavhoz képest statisztikailag szignifikánsan jobb volt a stroke (haemorrhagiás, ischaemiás vagy nem meghatározott) vagy szisztémás embolizáció prevenció elsődleges végpontban (lásd </w:t>
      </w:r>
      <w:r w:rsidR="00326B05">
        <w:rPr>
          <w:rFonts w:cs="Times New Roman"/>
        </w:rPr>
        <w:t>7</w:t>
      </w:r>
      <w:r w:rsidRPr="000149DA">
        <w:rPr>
          <w:rFonts w:cs="Times New Roman"/>
        </w:rPr>
        <w:t>. táblázat).</w:t>
      </w:r>
    </w:p>
    <w:p w14:paraId="489279C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65593B1" w14:textId="0570E20A" w:rsidR="00B62AE4" w:rsidRPr="000149DA" w:rsidRDefault="00B62AE4" w:rsidP="00304D8C">
      <w:pPr>
        <w:pStyle w:val="Nincstrkz"/>
        <w:numPr>
          <w:ilvl w:val="0"/>
          <w:numId w:val="18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Legfontosabb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hatásossági</w:t>
      </w:r>
      <w:r w:rsidRPr="000149DA">
        <w:rPr>
          <w:rFonts w:cs="Times New Roman"/>
          <w:spacing w:val="-19"/>
          <w:w w:val="105"/>
        </w:rPr>
        <w:t xml:space="preserve"> </w:t>
      </w:r>
      <w:r w:rsidRPr="000149DA">
        <w:rPr>
          <w:rFonts w:cs="Times New Roman"/>
          <w:w w:val="105"/>
        </w:rPr>
        <w:t>végpontok</w:t>
      </w:r>
      <w:r w:rsidR="007F24BF" w:rsidRPr="000149DA">
        <w:rPr>
          <w:rFonts w:cs="Times New Roman"/>
          <w:w w:val="105"/>
        </w:rPr>
        <w:t xml:space="preserve"> pitvarfibrilláló betegeknél</w:t>
      </w:r>
      <w:r w:rsidRPr="000149DA">
        <w:rPr>
          <w:rFonts w:cs="Times New Roman"/>
          <w:spacing w:val="-20"/>
          <w:w w:val="105"/>
        </w:rPr>
        <w:t xml:space="preserve"> </w:t>
      </w:r>
      <w:r w:rsidRPr="000149DA">
        <w:rPr>
          <w:rFonts w:cs="Times New Roman"/>
          <w:w w:val="105"/>
        </w:rPr>
        <w:t>az 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5"/>
        <w:gridCol w:w="1544"/>
        <w:gridCol w:w="1606"/>
        <w:gridCol w:w="1682"/>
        <w:gridCol w:w="1345"/>
      </w:tblGrid>
      <w:tr w:rsidR="00B62AE4" w:rsidRPr="000149DA" w14:paraId="38D75E98" w14:textId="77777777" w:rsidTr="00517956">
        <w:trPr>
          <w:trHeight w:val="912"/>
        </w:trPr>
        <w:tc>
          <w:tcPr>
            <w:tcW w:w="2895" w:type="dxa"/>
          </w:tcPr>
          <w:p w14:paraId="0C0FB81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544" w:type="dxa"/>
            <w:vAlign w:val="center"/>
          </w:tcPr>
          <w:p w14:paraId="0F8B063E" w14:textId="691940BB" w:rsidR="00517956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</w:rPr>
              <w:t>Apixab</w:t>
            </w:r>
            <w:r w:rsidR="003C5AB7" w:rsidRPr="000149DA">
              <w:rPr>
                <w:rFonts w:cs="Times New Roman"/>
                <w:b/>
                <w:bCs/>
              </w:rPr>
              <w:t>á</w:t>
            </w:r>
            <w:r w:rsidRPr="000149DA">
              <w:rPr>
                <w:rFonts w:cs="Times New Roman"/>
                <w:b/>
                <w:bCs/>
              </w:rPr>
              <w:t>n</w:t>
            </w:r>
          </w:p>
          <w:p w14:paraId="5215BBBE" w14:textId="69A03D74" w:rsidR="00B62AE4" w:rsidRPr="000149DA" w:rsidRDefault="007D4C4D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>2,807</w:t>
            </w:r>
          </w:p>
          <w:p w14:paraId="26D0581E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r w:rsidRPr="000149DA">
              <w:rPr>
                <w:rFonts w:cs="Times New Roman"/>
                <w:b/>
                <w:bCs/>
                <w:spacing w:val="-16"/>
                <w:w w:val="105"/>
              </w:rPr>
              <w:t xml:space="preserve"> </w:t>
            </w:r>
            <w:r w:rsidRPr="000149DA">
              <w:rPr>
                <w:rFonts w:cs="Times New Roman"/>
                <w:b/>
                <w:bCs/>
                <w:w w:val="105"/>
              </w:rPr>
              <w:t>(%/év)</w:t>
            </w:r>
          </w:p>
        </w:tc>
        <w:tc>
          <w:tcPr>
            <w:tcW w:w="1606" w:type="dxa"/>
            <w:vAlign w:val="center"/>
          </w:tcPr>
          <w:p w14:paraId="21D1468D" w14:textId="357D2CAB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</w:rPr>
              <w:t xml:space="preserve">Acetilszalicilsav 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2,791</w:t>
            </w:r>
          </w:p>
          <w:p w14:paraId="748C45EB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r w:rsidRPr="000149DA">
              <w:rPr>
                <w:rFonts w:cs="Times New Roman"/>
                <w:b/>
                <w:bCs/>
                <w:spacing w:val="-14"/>
                <w:w w:val="105"/>
              </w:rPr>
              <w:t xml:space="preserve"> </w:t>
            </w:r>
            <w:r w:rsidRPr="000149DA">
              <w:rPr>
                <w:rFonts w:cs="Times New Roman"/>
                <w:b/>
                <w:bCs/>
                <w:w w:val="105"/>
              </w:rPr>
              <w:t>(%/év)</w:t>
            </w:r>
          </w:p>
        </w:tc>
        <w:tc>
          <w:tcPr>
            <w:tcW w:w="1682" w:type="dxa"/>
            <w:vAlign w:val="center"/>
          </w:tcPr>
          <w:p w14:paraId="44633923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Relatív hazárd (95%-os CI)</w:t>
            </w:r>
          </w:p>
        </w:tc>
        <w:tc>
          <w:tcPr>
            <w:tcW w:w="1345" w:type="dxa"/>
            <w:vAlign w:val="center"/>
          </w:tcPr>
          <w:p w14:paraId="1C63B9B0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p-érték</w:t>
            </w:r>
          </w:p>
        </w:tc>
      </w:tr>
      <w:tr w:rsidR="00B62AE4" w:rsidRPr="000149DA" w14:paraId="0E31E09E" w14:textId="77777777" w:rsidTr="00517956">
        <w:trPr>
          <w:trHeight w:val="458"/>
        </w:trPr>
        <w:tc>
          <w:tcPr>
            <w:tcW w:w="2895" w:type="dxa"/>
          </w:tcPr>
          <w:p w14:paraId="3954B5E6" w14:textId="77777777" w:rsidR="00B62AE4" w:rsidRPr="000149DA" w:rsidRDefault="00B62AE4" w:rsidP="003B67D5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Stroke vagy szisztémás embolizáció*</w:t>
            </w:r>
          </w:p>
        </w:tc>
        <w:tc>
          <w:tcPr>
            <w:tcW w:w="1544" w:type="dxa"/>
          </w:tcPr>
          <w:p w14:paraId="01D319BE" w14:textId="77777777" w:rsidR="00B62AE4" w:rsidRPr="000149DA" w:rsidRDefault="00B62AE4" w:rsidP="003B67D5">
            <w:pPr>
              <w:pStyle w:val="TableParagraph"/>
              <w:spacing w:line="228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51 (1,62)</w:t>
            </w:r>
          </w:p>
        </w:tc>
        <w:tc>
          <w:tcPr>
            <w:tcW w:w="1606" w:type="dxa"/>
          </w:tcPr>
          <w:p w14:paraId="1A8F31B1" w14:textId="77777777" w:rsidR="00B62AE4" w:rsidRPr="000149DA" w:rsidRDefault="00B62AE4" w:rsidP="003B67D5">
            <w:pPr>
              <w:pStyle w:val="TableParagraph"/>
              <w:spacing w:line="228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113 (3,63)</w:t>
            </w:r>
          </w:p>
        </w:tc>
        <w:tc>
          <w:tcPr>
            <w:tcW w:w="1682" w:type="dxa"/>
          </w:tcPr>
          <w:p w14:paraId="02721877" w14:textId="77777777" w:rsidR="00B62AE4" w:rsidRPr="000149DA" w:rsidRDefault="00B62AE4" w:rsidP="003B67D5">
            <w:pPr>
              <w:pStyle w:val="TableParagraph"/>
              <w:spacing w:line="228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0,45 (0,32; 0,62)</w:t>
            </w:r>
          </w:p>
        </w:tc>
        <w:tc>
          <w:tcPr>
            <w:tcW w:w="1345" w:type="dxa"/>
          </w:tcPr>
          <w:p w14:paraId="6E214A72" w14:textId="77777777" w:rsidR="00B62AE4" w:rsidRPr="000149DA" w:rsidRDefault="00B62AE4" w:rsidP="003B67D5">
            <w:pPr>
              <w:pStyle w:val="TableParagraph"/>
              <w:spacing w:line="228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&lt;0,0001</w:t>
            </w:r>
          </w:p>
        </w:tc>
      </w:tr>
      <w:tr w:rsidR="00B62AE4" w:rsidRPr="000149DA" w14:paraId="24671055" w14:textId="77777777" w:rsidTr="00517956">
        <w:trPr>
          <w:trHeight w:val="227"/>
        </w:trPr>
        <w:tc>
          <w:tcPr>
            <w:tcW w:w="2895" w:type="dxa"/>
          </w:tcPr>
          <w:p w14:paraId="2A82D8DA" w14:textId="77777777" w:rsidR="00B62AE4" w:rsidRPr="000149DA" w:rsidRDefault="00B62AE4" w:rsidP="00517956">
            <w:pPr>
              <w:pStyle w:val="TableParagraph"/>
              <w:spacing w:line="207" w:lineRule="exact"/>
              <w:ind w:left="567" w:hanging="141"/>
              <w:rPr>
                <w:lang w:val="hu-HU"/>
              </w:rPr>
            </w:pPr>
            <w:r w:rsidRPr="000149DA">
              <w:rPr>
                <w:w w:val="105"/>
              </w:rPr>
              <w:t>Stroke</w:t>
            </w:r>
          </w:p>
        </w:tc>
        <w:tc>
          <w:tcPr>
            <w:tcW w:w="1544" w:type="dxa"/>
          </w:tcPr>
          <w:p w14:paraId="78C5F9A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06" w:type="dxa"/>
          </w:tcPr>
          <w:p w14:paraId="5E07B9C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82" w:type="dxa"/>
          </w:tcPr>
          <w:p w14:paraId="696E40EF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45" w:type="dxa"/>
          </w:tcPr>
          <w:p w14:paraId="45BDFB86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35B5DF0D" w14:textId="77777777" w:rsidTr="00517956">
        <w:trPr>
          <w:trHeight w:val="457"/>
        </w:trPr>
        <w:tc>
          <w:tcPr>
            <w:tcW w:w="2895" w:type="dxa"/>
          </w:tcPr>
          <w:p w14:paraId="20EA5FC0" w14:textId="77777777" w:rsidR="00B62AE4" w:rsidRPr="000149DA" w:rsidRDefault="00B62AE4" w:rsidP="00517956">
            <w:pPr>
              <w:pStyle w:val="TableParagraph"/>
              <w:spacing w:line="230" w:lineRule="exact"/>
              <w:ind w:left="567"/>
              <w:rPr>
                <w:lang w:val="hu-HU"/>
              </w:rPr>
            </w:pPr>
            <w:r w:rsidRPr="000149DA">
              <w:rPr>
                <w:w w:val="105"/>
              </w:rPr>
              <w:t>Ischaemiás vagy nem meghatározott</w:t>
            </w:r>
          </w:p>
        </w:tc>
        <w:tc>
          <w:tcPr>
            <w:tcW w:w="1544" w:type="dxa"/>
          </w:tcPr>
          <w:p w14:paraId="5A681E8B" w14:textId="77777777" w:rsidR="00B62AE4" w:rsidRPr="000149DA" w:rsidRDefault="00B62AE4" w:rsidP="003B67D5">
            <w:pPr>
              <w:pStyle w:val="TableParagraph"/>
              <w:spacing w:line="227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43 (1,37)</w:t>
            </w:r>
          </w:p>
        </w:tc>
        <w:tc>
          <w:tcPr>
            <w:tcW w:w="1606" w:type="dxa"/>
          </w:tcPr>
          <w:p w14:paraId="67689382" w14:textId="77777777" w:rsidR="00B62AE4" w:rsidRPr="000149DA" w:rsidRDefault="00B62AE4" w:rsidP="003B67D5">
            <w:pPr>
              <w:pStyle w:val="TableParagraph"/>
              <w:spacing w:line="227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97 (3,11)</w:t>
            </w:r>
          </w:p>
        </w:tc>
        <w:tc>
          <w:tcPr>
            <w:tcW w:w="1682" w:type="dxa"/>
          </w:tcPr>
          <w:p w14:paraId="31EFDA56" w14:textId="77777777" w:rsidR="00B62AE4" w:rsidRPr="000149DA" w:rsidRDefault="00B62AE4" w:rsidP="003B67D5">
            <w:pPr>
              <w:pStyle w:val="TableParagraph"/>
              <w:spacing w:line="227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0,44 (0,31; 0,63)</w:t>
            </w:r>
          </w:p>
        </w:tc>
        <w:tc>
          <w:tcPr>
            <w:tcW w:w="1345" w:type="dxa"/>
          </w:tcPr>
          <w:p w14:paraId="5997F59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5C8EDD38" w14:textId="77777777" w:rsidTr="00517956">
        <w:trPr>
          <w:trHeight w:val="226"/>
        </w:trPr>
        <w:tc>
          <w:tcPr>
            <w:tcW w:w="2895" w:type="dxa"/>
          </w:tcPr>
          <w:p w14:paraId="1D3AC1DA" w14:textId="77777777" w:rsidR="00B62AE4" w:rsidRPr="000149DA" w:rsidRDefault="00B62AE4" w:rsidP="00517956">
            <w:pPr>
              <w:pStyle w:val="TableParagraph"/>
              <w:spacing w:line="207" w:lineRule="exact"/>
              <w:ind w:left="609" w:hanging="42"/>
              <w:rPr>
                <w:lang w:val="hu-HU"/>
              </w:rPr>
            </w:pPr>
            <w:r w:rsidRPr="000149DA">
              <w:rPr>
                <w:w w:val="105"/>
              </w:rPr>
              <w:t>Haemorrhagiás</w:t>
            </w:r>
          </w:p>
        </w:tc>
        <w:tc>
          <w:tcPr>
            <w:tcW w:w="1544" w:type="dxa"/>
          </w:tcPr>
          <w:p w14:paraId="722B90A6" w14:textId="77777777" w:rsidR="00B62AE4" w:rsidRPr="000149DA" w:rsidRDefault="00B62AE4" w:rsidP="003B67D5">
            <w:pPr>
              <w:pStyle w:val="TableParagraph"/>
              <w:spacing w:line="207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(0,19)</w:t>
            </w:r>
          </w:p>
        </w:tc>
        <w:tc>
          <w:tcPr>
            <w:tcW w:w="1606" w:type="dxa"/>
          </w:tcPr>
          <w:p w14:paraId="0C5922F3" w14:textId="77777777" w:rsidR="00B62AE4" w:rsidRPr="000149DA" w:rsidRDefault="00B62AE4" w:rsidP="003B67D5">
            <w:pPr>
              <w:pStyle w:val="TableParagraph"/>
              <w:spacing w:line="207" w:lineRule="exact"/>
              <w:ind w:left="473"/>
              <w:rPr>
                <w:lang w:val="hu-HU"/>
              </w:rPr>
            </w:pPr>
            <w:r w:rsidRPr="000149DA">
              <w:rPr>
                <w:w w:val="105"/>
              </w:rPr>
              <w:t>9 (0,28)</w:t>
            </w:r>
          </w:p>
        </w:tc>
        <w:tc>
          <w:tcPr>
            <w:tcW w:w="1682" w:type="dxa"/>
          </w:tcPr>
          <w:p w14:paraId="529E7475" w14:textId="77777777" w:rsidR="00B62AE4" w:rsidRPr="000149DA" w:rsidRDefault="00B62AE4" w:rsidP="003B67D5">
            <w:pPr>
              <w:pStyle w:val="TableParagraph"/>
              <w:spacing w:line="207" w:lineRule="exact"/>
              <w:ind w:left="114" w:right="1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0,67 (0,24; 1,88)</w:t>
            </w:r>
          </w:p>
        </w:tc>
        <w:tc>
          <w:tcPr>
            <w:tcW w:w="1345" w:type="dxa"/>
          </w:tcPr>
          <w:p w14:paraId="23E67E7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6D2CBDE6" w14:textId="77777777" w:rsidTr="00517956">
        <w:trPr>
          <w:trHeight w:val="228"/>
        </w:trPr>
        <w:tc>
          <w:tcPr>
            <w:tcW w:w="2895" w:type="dxa"/>
            <w:vAlign w:val="center"/>
          </w:tcPr>
          <w:p w14:paraId="6FC99172" w14:textId="77777777" w:rsidR="00B62AE4" w:rsidRPr="000149DA" w:rsidRDefault="00B62AE4" w:rsidP="00DA3F3C">
            <w:pPr>
              <w:pStyle w:val="TableParagraph"/>
              <w:spacing w:line="208" w:lineRule="exact"/>
              <w:ind w:firstLine="426"/>
              <w:rPr>
                <w:lang w:val="hu-HU"/>
              </w:rPr>
            </w:pPr>
            <w:r w:rsidRPr="000149DA">
              <w:t>Szisztémás embolizáció</w:t>
            </w:r>
          </w:p>
        </w:tc>
        <w:tc>
          <w:tcPr>
            <w:tcW w:w="1544" w:type="dxa"/>
          </w:tcPr>
          <w:p w14:paraId="22DDB608" w14:textId="77777777" w:rsidR="00B62AE4" w:rsidRPr="000149DA" w:rsidRDefault="00B62AE4" w:rsidP="003B67D5">
            <w:pPr>
              <w:pStyle w:val="TableParagraph"/>
              <w:spacing w:line="208" w:lineRule="exact"/>
              <w:ind w:left="311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 (0,06)</w:t>
            </w:r>
          </w:p>
        </w:tc>
        <w:tc>
          <w:tcPr>
            <w:tcW w:w="1606" w:type="dxa"/>
          </w:tcPr>
          <w:p w14:paraId="2E9D0EE0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13 (0,41)</w:t>
            </w:r>
          </w:p>
        </w:tc>
        <w:tc>
          <w:tcPr>
            <w:tcW w:w="1682" w:type="dxa"/>
          </w:tcPr>
          <w:p w14:paraId="5A50632B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0,15 (0,03; 0,68)</w:t>
            </w:r>
          </w:p>
        </w:tc>
        <w:tc>
          <w:tcPr>
            <w:tcW w:w="1345" w:type="dxa"/>
          </w:tcPr>
          <w:p w14:paraId="58F94083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552756A2" w14:textId="77777777" w:rsidTr="00DA3F3C">
        <w:trPr>
          <w:trHeight w:val="966"/>
        </w:trPr>
        <w:tc>
          <w:tcPr>
            <w:tcW w:w="2895" w:type="dxa"/>
          </w:tcPr>
          <w:p w14:paraId="487992B5" w14:textId="4966B05D" w:rsidR="00B62AE4" w:rsidRPr="000149DA" w:rsidRDefault="00B62AE4" w:rsidP="00DA3F3C">
            <w:pPr>
              <w:pStyle w:val="TableParagraph"/>
              <w:ind w:left="100" w:right="52"/>
              <w:rPr>
                <w:lang w:val="hu-HU"/>
              </w:rPr>
            </w:pPr>
            <w:r w:rsidRPr="000149DA">
              <w:rPr>
                <w:w w:val="105"/>
              </w:rPr>
              <w:t>Stroke, szisztémás embolizáció, MI vagy</w:t>
            </w:r>
            <w:r w:rsidR="00DA3F3C" w:rsidRPr="000149DA">
              <w:rPr>
                <w:w w:val="105"/>
              </w:rPr>
              <w:t xml:space="preserve"> </w:t>
            </w:r>
            <w:r w:rsidRPr="000149DA">
              <w:rPr>
                <w:w w:val="105"/>
              </w:rPr>
              <w:t>vascularis eredetű halál</w:t>
            </w:r>
            <w:r w:rsidR="00DA3F3C" w:rsidRPr="000149DA">
              <w:rPr>
                <w:b/>
              </w:rPr>
              <w:t>*</w:t>
            </w:r>
            <w:r w:rsidR="00DA3F3C" w:rsidRPr="000149DA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7AFE0B4F" w14:textId="77777777" w:rsidR="00B62AE4" w:rsidRPr="000149DA" w:rsidRDefault="00B62AE4" w:rsidP="003B67D5">
            <w:pPr>
              <w:pStyle w:val="TableParagraph"/>
              <w:spacing w:line="227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132 (4,21)</w:t>
            </w:r>
          </w:p>
        </w:tc>
        <w:tc>
          <w:tcPr>
            <w:tcW w:w="1606" w:type="dxa"/>
          </w:tcPr>
          <w:p w14:paraId="7F04C291" w14:textId="77777777" w:rsidR="00B62AE4" w:rsidRPr="000149DA" w:rsidRDefault="00B62AE4" w:rsidP="003B67D5">
            <w:pPr>
              <w:pStyle w:val="TableParagraph"/>
              <w:spacing w:line="227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197 (6,35)</w:t>
            </w:r>
          </w:p>
        </w:tc>
        <w:tc>
          <w:tcPr>
            <w:tcW w:w="1682" w:type="dxa"/>
          </w:tcPr>
          <w:p w14:paraId="74A93207" w14:textId="77777777" w:rsidR="00B62AE4" w:rsidRPr="000149DA" w:rsidRDefault="00B62AE4" w:rsidP="003B67D5">
            <w:pPr>
              <w:pStyle w:val="TableParagraph"/>
              <w:spacing w:line="227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0,66 (0,53; 0,83)</w:t>
            </w:r>
          </w:p>
        </w:tc>
        <w:tc>
          <w:tcPr>
            <w:tcW w:w="1345" w:type="dxa"/>
          </w:tcPr>
          <w:p w14:paraId="19F13267" w14:textId="77777777" w:rsidR="00B62AE4" w:rsidRPr="000149DA" w:rsidRDefault="00B62AE4" w:rsidP="003B67D5">
            <w:pPr>
              <w:pStyle w:val="TableParagraph"/>
              <w:spacing w:line="227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0,003</w:t>
            </w:r>
          </w:p>
        </w:tc>
      </w:tr>
      <w:tr w:rsidR="00B62AE4" w:rsidRPr="000149DA" w14:paraId="5AA90E8F" w14:textId="77777777" w:rsidTr="00517956">
        <w:trPr>
          <w:trHeight w:val="228"/>
        </w:trPr>
        <w:tc>
          <w:tcPr>
            <w:tcW w:w="2895" w:type="dxa"/>
          </w:tcPr>
          <w:p w14:paraId="61336E0D" w14:textId="77777777" w:rsidR="00B62AE4" w:rsidRPr="000149DA" w:rsidRDefault="00B62AE4" w:rsidP="00DA3F3C">
            <w:pPr>
              <w:pStyle w:val="TableParagraph"/>
              <w:spacing w:line="208" w:lineRule="exact"/>
              <w:ind w:left="358" w:firstLine="68"/>
              <w:rPr>
                <w:lang w:val="hu-HU"/>
              </w:rPr>
            </w:pPr>
            <w:r w:rsidRPr="000149DA">
              <w:rPr>
                <w:w w:val="105"/>
              </w:rPr>
              <w:t>Myocardialis infarctus</w:t>
            </w:r>
          </w:p>
        </w:tc>
        <w:tc>
          <w:tcPr>
            <w:tcW w:w="1544" w:type="dxa"/>
          </w:tcPr>
          <w:p w14:paraId="0D11C377" w14:textId="77777777" w:rsidR="00B62AE4" w:rsidRPr="000149DA" w:rsidRDefault="00B62AE4" w:rsidP="003B67D5">
            <w:pPr>
              <w:pStyle w:val="TableParagraph"/>
              <w:spacing w:line="208" w:lineRule="exact"/>
              <w:ind w:left="313" w:right="30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24 (0,76)</w:t>
            </w:r>
          </w:p>
        </w:tc>
        <w:tc>
          <w:tcPr>
            <w:tcW w:w="1606" w:type="dxa"/>
          </w:tcPr>
          <w:p w14:paraId="7D845E6E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28 (0,89)</w:t>
            </w:r>
          </w:p>
        </w:tc>
        <w:tc>
          <w:tcPr>
            <w:tcW w:w="1682" w:type="dxa"/>
          </w:tcPr>
          <w:p w14:paraId="5A27969F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0,86 (0,50; 1,48)</w:t>
            </w:r>
          </w:p>
        </w:tc>
        <w:tc>
          <w:tcPr>
            <w:tcW w:w="1345" w:type="dxa"/>
          </w:tcPr>
          <w:p w14:paraId="3BCA4AEC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19D90ACA" w14:textId="77777777" w:rsidTr="00DA3F3C">
        <w:trPr>
          <w:trHeight w:val="228"/>
        </w:trPr>
        <w:tc>
          <w:tcPr>
            <w:tcW w:w="2895" w:type="dxa"/>
            <w:vAlign w:val="center"/>
          </w:tcPr>
          <w:p w14:paraId="22A06116" w14:textId="77777777" w:rsidR="00B62AE4" w:rsidRPr="000149DA" w:rsidRDefault="00B62AE4" w:rsidP="00DA3F3C">
            <w:pPr>
              <w:pStyle w:val="TableParagraph"/>
              <w:tabs>
                <w:tab w:val="left" w:pos="426"/>
              </w:tabs>
              <w:spacing w:line="208" w:lineRule="exact"/>
              <w:ind w:firstLine="426"/>
              <w:rPr>
                <w:lang w:val="hu-HU"/>
              </w:rPr>
            </w:pPr>
            <w:r w:rsidRPr="000149DA">
              <w:rPr>
                <w:w w:val="105"/>
              </w:rPr>
              <w:t>Vascularis eredetű halál</w:t>
            </w:r>
          </w:p>
        </w:tc>
        <w:tc>
          <w:tcPr>
            <w:tcW w:w="1544" w:type="dxa"/>
          </w:tcPr>
          <w:p w14:paraId="7DB95A5C" w14:textId="77777777" w:rsidR="00B62AE4" w:rsidRPr="000149DA" w:rsidRDefault="00B62AE4" w:rsidP="003B67D5">
            <w:pPr>
              <w:pStyle w:val="TableParagraph"/>
              <w:spacing w:line="208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84 (2,65)</w:t>
            </w:r>
          </w:p>
        </w:tc>
        <w:tc>
          <w:tcPr>
            <w:tcW w:w="1606" w:type="dxa"/>
          </w:tcPr>
          <w:p w14:paraId="4ACC85AA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96 (3,03)</w:t>
            </w:r>
          </w:p>
        </w:tc>
        <w:tc>
          <w:tcPr>
            <w:tcW w:w="1682" w:type="dxa"/>
          </w:tcPr>
          <w:p w14:paraId="2330A98B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0,87 (0,65; 1,17)</w:t>
            </w:r>
          </w:p>
        </w:tc>
        <w:tc>
          <w:tcPr>
            <w:tcW w:w="1345" w:type="dxa"/>
          </w:tcPr>
          <w:p w14:paraId="1CE50AB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2A79F4E" w14:textId="77777777" w:rsidTr="00517956">
        <w:trPr>
          <w:trHeight w:val="266"/>
        </w:trPr>
        <w:tc>
          <w:tcPr>
            <w:tcW w:w="2895" w:type="dxa"/>
          </w:tcPr>
          <w:p w14:paraId="367FA7F9" w14:textId="71203C6D" w:rsidR="00B62AE4" w:rsidRPr="000149DA" w:rsidRDefault="000B0C84" w:rsidP="003B67D5">
            <w:pPr>
              <w:pStyle w:val="TableParagraph"/>
              <w:spacing w:before="20" w:line="226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Bármely okból bekövetkező </w:t>
            </w:r>
            <w:r w:rsidR="00B62AE4" w:rsidRPr="000149DA">
              <w:rPr>
                <w:w w:val="105"/>
              </w:rPr>
              <w:t>mortalitás</w:t>
            </w:r>
            <w:r w:rsidR="00DA3F3C" w:rsidRPr="000149DA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5A5BC4F6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111 (3,51)</w:t>
            </w:r>
          </w:p>
        </w:tc>
        <w:tc>
          <w:tcPr>
            <w:tcW w:w="1606" w:type="dxa"/>
          </w:tcPr>
          <w:p w14:paraId="0D9FF27A" w14:textId="77777777" w:rsidR="00B62AE4" w:rsidRPr="000149DA" w:rsidRDefault="00B62AE4" w:rsidP="003B67D5">
            <w:pPr>
              <w:pStyle w:val="TableParagraph"/>
              <w:spacing w:before="35" w:line="212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140 (4,42)</w:t>
            </w:r>
          </w:p>
        </w:tc>
        <w:tc>
          <w:tcPr>
            <w:tcW w:w="1682" w:type="dxa"/>
          </w:tcPr>
          <w:p w14:paraId="4C25F561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0,79 (0,62; 1,02)</w:t>
            </w:r>
          </w:p>
        </w:tc>
        <w:tc>
          <w:tcPr>
            <w:tcW w:w="1345" w:type="dxa"/>
          </w:tcPr>
          <w:p w14:paraId="674379E1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0,068</w:t>
            </w:r>
          </w:p>
        </w:tc>
      </w:tr>
    </w:tbl>
    <w:p w14:paraId="139742C3" w14:textId="6FA7A128" w:rsidR="00B62AE4" w:rsidRPr="00D15884" w:rsidRDefault="00DA3F3C" w:rsidP="00DA3F3C">
      <w:pPr>
        <w:tabs>
          <w:tab w:val="left" w:pos="368"/>
        </w:tabs>
        <w:ind w:right="974"/>
      </w:pPr>
      <w:r w:rsidRPr="00D15884">
        <w:t>*</w:t>
      </w:r>
      <w:r w:rsidR="00B62AE4" w:rsidRPr="00D15884">
        <w:rPr>
          <w:w w:val="105"/>
        </w:rPr>
        <w:t>A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vizsgálatban</w:t>
      </w:r>
      <w:r w:rsidR="00B62AE4" w:rsidRPr="00D15884">
        <w:rPr>
          <w:spacing w:val="-15"/>
          <w:w w:val="105"/>
        </w:rPr>
        <w:t xml:space="preserve"> </w:t>
      </w:r>
      <w:r w:rsidR="00B62AE4" w:rsidRPr="00D15884">
        <w:rPr>
          <w:w w:val="105"/>
        </w:rPr>
        <w:t>előforduló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általános</w:t>
      </w:r>
      <w:r w:rsidR="00B62AE4" w:rsidRPr="00D15884">
        <w:rPr>
          <w:spacing w:val="-15"/>
          <w:w w:val="105"/>
        </w:rPr>
        <w:t xml:space="preserve"> </w:t>
      </w:r>
      <w:r w:rsidR="00B62AE4" w:rsidRPr="00D15884">
        <w:rPr>
          <w:w w:val="105"/>
        </w:rPr>
        <w:t>I-es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típusú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hiba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kiküszöbölése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érdekében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egy</w:t>
      </w:r>
      <w:r w:rsidR="00B62AE4" w:rsidRPr="00D15884">
        <w:rPr>
          <w:spacing w:val="-11"/>
          <w:w w:val="105"/>
        </w:rPr>
        <w:t xml:space="preserve"> </w:t>
      </w:r>
      <w:r w:rsidR="00B62AE4" w:rsidRPr="00D15884">
        <w:rPr>
          <w:w w:val="105"/>
        </w:rPr>
        <w:t>szekvenciális vizsgálati stratégia szerint</w:t>
      </w:r>
      <w:r w:rsidR="00B62AE4" w:rsidRPr="00D15884">
        <w:rPr>
          <w:spacing w:val="-4"/>
          <w:w w:val="105"/>
        </w:rPr>
        <w:t xml:space="preserve"> </w:t>
      </w:r>
      <w:r w:rsidR="00B62AE4" w:rsidRPr="00D15884">
        <w:rPr>
          <w:w w:val="105"/>
        </w:rPr>
        <w:t>értékelték.</w:t>
      </w:r>
    </w:p>
    <w:p w14:paraId="2CE8FAFF" w14:textId="4BADA7CA" w:rsidR="00B62AE4" w:rsidRPr="00D15884" w:rsidRDefault="00DA3F3C" w:rsidP="00DA3F3C">
      <w:pPr>
        <w:pStyle w:val="Szvegtrzs"/>
        <w:spacing w:line="228" w:lineRule="exact"/>
        <w:rPr>
          <w:sz w:val="22"/>
          <w:szCs w:val="22"/>
        </w:rPr>
      </w:pPr>
      <w:r w:rsidRPr="00D15884">
        <w:rPr>
          <w:sz w:val="22"/>
          <w:szCs w:val="22"/>
        </w:rPr>
        <w:t>†</w:t>
      </w:r>
      <w:r w:rsidR="00B62AE4" w:rsidRPr="00D15884">
        <w:rPr>
          <w:w w:val="105"/>
          <w:sz w:val="22"/>
          <w:szCs w:val="22"/>
        </w:rPr>
        <w:t>Másodlagos végpont.</w:t>
      </w:r>
    </w:p>
    <w:p w14:paraId="00F1DF68" w14:textId="77777777" w:rsidR="00B62AE4" w:rsidRPr="000149DA" w:rsidRDefault="00B62AE4" w:rsidP="000B0C84">
      <w:pPr>
        <w:pStyle w:val="Nincstrkz"/>
        <w:rPr>
          <w:rFonts w:cs="Times New Roman"/>
        </w:rPr>
      </w:pPr>
    </w:p>
    <w:p w14:paraId="5A14594B" w14:textId="39948FC0" w:rsidR="00B62AE4" w:rsidRPr="000149DA" w:rsidRDefault="00B62AE4" w:rsidP="000B0C84">
      <w:pPr>
        <w:pStyle w:val="Nincstrkz"/>
        <w:rPr>
          <w:rFonts w:cs="Times New Roman"/>
          <w:w w:val="105"/>
        </w:rPr>
      </w:pPr>
      <w:r w:rsidRPr="00B50EA7">
        <w:rPr>
          <w:rFonts w:cs="Times New Roman"/>
          <w:w w:val="105"/>
        </w:rPr>
        <w:t>A</w:t>
      </w:r>
      <w:r w:rsidRPr="00A72E73">
        <w:rPr>
          <w:rFonts w:cs="Times New Roman"/>
          <w:spacing w:val="-15"/>
          <w:w w:val="105"/>
        </w:rPr>
        <w:t xml:space="preserve"> </w:t>
      </w:r>
      <w:r w:rsidRPr="00A72E73">
        <w:rPr>
          <w:rFonts w:cs="Times New Roman"/>
          <w:w w:val="105"/>
        </w:rPr>
        <w:t>nagyfokú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vérzés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előfordulási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gyakoriságában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volt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statisztikailag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szignifikáns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különbség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 xml:space="preserve">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és az acetilszalicilsav között (lásd </w:t>
      </w:r>
      <w:r w:rsidR="00326B05">
        <w:rPr>
          <w:rFonts w:cs="Times New Roman"/>
          <w:w w:val="105"/>
        </w:rPr>
        <w:t>8</w:t>
      </w:r>
      <w:r w:rsidRPr="000149DA">
        <w:rPr>
          <w:rFonts w:cs="Times New Roman"/>
          <w:w w:val="105"/>
        </w:rPr>
        <w:t>.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táblázat).</w:t>
      </w:r>
    </w:p>
    <w:p w14:paraId="59B27B25" w14:textId="77777777" w:rsidR="00B62AE4" w:rsidRPr="000149DA" w:rsidRDefault="00B62AE4" w:rsidP="000B0C84">
      <w:pPr>
        <w:pStyle w:val="Nincstrkz"/>
        <w:rPr>
          <w:rFonts w:cs="Times New Roman"/>
          <w:w w:val="105"/>
        </w:rPr>
      </w:pPr>
    </w:p>
    <w:p w14:paraId="2F2B2B23" w14:textId="6BF001FE" w:rsidR="00B62AE4" w:rsidRPr="000149DA" w:rsidRDefault="00B62AE4" w:rsidP="00304D8C">
      <w:pPr>
        <w:pStyle w:val="Nincstrkz"/>
        <w:keepNext/>
        <w:numPr>
          <w:ilvl w:val="0"/>
          <w:numId w:val="18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 Vérzéses események pitvarfibrilláló</w:t>
      </w:r>
      <w:r w:rsidR="000B0C84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Pr="000149DA">
        <w:rPr>
          <w:rFonts w:cs="Times New Roman"/>
          <w:w w:val="105"/>
        </w:rPr>
        <w:t>eknél az</w:t>
      </w:r>
      <w:r w:rsidRPr="000149DA">
        <w:rPr>
          <w:rFonts w:cs="Times New Roman"/>
          <w:spacing w:val="-32"/>
          <w:w w:val="105"/>
        </w:rPr>
        <w:t xml:space="preserve"> </w:t>
      </w:r>
      <w:r w:rsidRPr="000149DA">
        <w:rPr>
          <w:rFonts w:cs="Times New Roman"/>
          <w:w w:val="105"/>
        </w:rPr>
        <w:t>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843"/>
        <w:gridCol w:w="2126"/>
        <w:gridCol w:w="1134"/>
      </w:tblGrid>
      <w:tr w:rsidR="00B62AE4" w:rsidRPr="000149DA" w14:paraId="3CFACDC9" w14:textId="77777777" w:rsidTr="00A31F4B">
        <w:trPr>
          <w:trHeight w:val="686"/>
        </w:trPr>
        <w:tc>
          <w:tcPr>
            <w:tcW w:w="2268" w:type="dxa"/>
          </w:tcPr>
          <w:p w14:paraId="26229863" w14:textId="77777777" w:rsidR="00B62AE4" w:rsidRPr="000149DA" w:rsidRDefault="00B62AE4" w:rsidP="007F24B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0C9C7D2A" w14:textId="76D6F691" w:rsidR="00DA3F3C" w:rsidRPr="000149DA" w:rsidRDefault="00B62AE4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spacing w:val="-1"/>
                <w:lang w:val="hu-HU"/>
              </w:rPr>
            </w:pPr>
            <w:r w:rsidRPr="000149DA">
              <w:rPr>
                <w:b/>
                <w:spacing w:val="-1"/>
              </w:rPr>
              <w:t>Apixab</w:t>
            </w:r>
            <w:r w:rsidR="003C5AB7" w:rsidRPr="000149DA">
              <w:rPr>
                <w:b/>
                <w:spacing w:val="-1"/>
              </w:rPr>
              <w:t>á</w:t>
            </w:r>
            <w:r w:rsidRPr="000149DA">
              <w:rPr>
                <w:b/>
                <w:spacing w:val="-1"/>
              </w:rPr>
              <w:t xml:space="preserve">n </w:t>
            </w:r>
          </w:p>
          <w:p w14:paraId="183CCA0F" w14:textId="25E0C58F" w:rsidR="00B62AE4" w:rsidRPr="000149DA" w:rsidRDefault="007D4C4D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 = </w:t>
            </w:r>
            <w:r w:rsidR="00B62AE4" w:rsidRPr="000149DA">
              <w:rPr>
                <w:b/>
                <w:w w:val="105"/>
              </w:rPr>
              <w:t>2798</w:t>
            </w:r>
          </w:p>
          <w:p w14:paraId="6F206ED9" w14:textId="77777777" w:rsidR="00B62AE4" w:rsidRPr="000149DA" w:rsidRDefault="00B62AE4" w:rsidP="007F24BF">
            <w:pPr>
              <w:pStyle w:val="TableParagraph"/>
              <w:keepNext/>
              <w:widowControl/>
              <w:spacing w:line="209" w:lineRule="exact"/>
              <w:ind w:left="547" w:hanging="243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(%/év)</w:t>
            </w:r>
          </w:p>
        </w:tc>
        <w:tc>
          <w:tcPr>
            <w:tcW w:w="1843" w:type="dxa"/>
            <w:vAlign w:val="center"/>
          </w:tcPr>
          <w:p w14:paraId="12C1D47D" w14:textId="77777777" w:rsidR="00A31F4B" w:rsidRPr="000149DA" w:rsidRDefault="00B62AE4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0149DA">
              <w:rPr>
                <w:b/>
              </w:rPr>
              <w:t>Acetilszalicilsav</w:t>
            </w:r>
          </w:p>
          <w:p w14:paraId="4A496D06" w14:textId="3529052C" w:rsidR="00B62AE4" w:rsidRPr="000149DA" w:rsidRDefault="007D4C4D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 = </w:t>
            </w:r>
            <w:r w:rsidR="00B62AE4" w:rsidRPr="000149DA">
              <w:rPr>
                <w:b/>
                <w:w w:val="105"/>
              </w:rPr>
              <w:t>2780</w:t>
            </w:r>
          </w:p>
          <w:p w14:paraId="7DE8521F" w14:textId="77777777" w:rsidR="00B62AE4" w:rsidRPr="000149DA" w:rsidRDefault="00B62AE4" w:rsidP="007F24BF">
            <w:pPr>
              <w:pStyle w:val="TableParagraph"/>
              <w:keepNext/>
              <w:widowControl/>
              <w:spacing w:line="209" w:lineRule="exact"/>
              <w:ind w:left="103" w:right="97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(%/év)</w:t>
            </w:r>
          </w:p>
        </w:tc>
        <w:tc>
          <w:tcPr>
            <w:tcW w:w="2126" w:type="dxa"/>
            <w:vAlign w:val="center"/>
          </w:tcPr>
          <w:p w14:paraId="54A37263" w14:textId="77777777" w:rsidR="00B62AE4" w:rsidRPr="000149DA" w:rsidRDefault="00B62AE4" w:rsidP="007F24BF">
            <w:pPr>
              <w:pStyle w:val="TableParagraph"/>
              <w:keepNext/>
              <w:widowControl/>
              <w:ind w:left="428" w:right="262" w:hanging="108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Relatív hazárd (95%-os CI)</w:t>
            </w:r>
          </w:p>
        </w:tc>
        <w:tc>
          <w:tcPr>
            <w:tcW w:w="1134" w:type="dxa"/>
            <w:vAlign w:val="center"/>
          </w:tcPr>
          <w:p w14:paraId="1D681503" w14:textId="77777777" w:rsidR="00B62AE4" w:rsidRPr="000149DA" w:rsidRDefault="00B62AE4" w:rsidP="007F24BF">
            <w:pPr>
              <w:pStyle w:val="TableParagraph"/>
              <w:keepNext/>
              <w:widowControl/>
              <w:spacing w:line="228" w:lineRule="exact"/>
              <w:ind w:left="140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p-érték</w:t>
            </w:r>
          </w:p>
        </w:tc>
      </w:tr>
      <w:tr w:rsidR="00B62AE4" w:rsidRPr="000149DA" w14:paraId="0485A23B" w14:textId="77777777" w:rsidTr="00A31F4B">
        <w:trPr>
          <w:trHeight w:val="261"/>
        </w:trPr>
        <w:tc>
          <w:tcPr>
            <w:tcW w:w="2268" w:type="dxa"/>
          </w:tcPr>
          <w:p w14:paraId="7CB56C9C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Nagyfokú*</w:t>
            </w:r>
          </w:p>
        </w:tc>
        <w:tc>
          <w:tcPr>
            <w:tcW w:w="1701" w:type="dxa"/>
          </w:tcPr>
          <w:p w14:paraId="57149FA5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206" w:right="1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45 (1,41)</w:t>
            </w:r>
          </w:p>
        </w:tc>
        <w:tc>
          <w:tcPr>
            <w:tcW w:w="1843" w:type="dxa"/>
          </w:tcPr>
          <w:p w14:paraId="4D3D6A43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422"/>
              <w:rPr>
                <w:lang w:val="hu-HU"/>
              </w:rPr>
            </w:pPr>
            <w:r w:rsidRPr="000149DA">
              <w:rPr>
                <w:w w:val="105"/>
              </w:rPr>
              <w:t>29 (0,92)</w:t>
            </w:r>
          </w:p>
        </w:tc>
        <w:tc>
          <w:tcPr>
            <w:tcW w:w="2126" w:type="dxa"/>
          </w:tcPr>
          <w:p w14:paraId="482266B4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246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1,54 (0,96; 2,45)</w:t>
            </w:r>
          </w:p>
        </w:tc>
        <w:tc>
          <w:tcPr>
            <w:tcW w:w="1134" w:type="dxa"/>
          </w:tcPr>
          <w:p w14:paraId="6ACAE37A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0,0716</w:t>
            </w:r>
          </w:p>
        </w:tc>
      </w:tr>
      <w:tr w:rsidR="00B62AE4" w:rsidRPr="000149DA" w14:paraId="146C1FF1" w14:textId="77777777" w:rsidTr="00A31F4B">
        <w:trPr>
          <w:trHeight w:val="458"/>
        </w:trPr>
        <w:tc>
          <w:tcPr>
            <w:tcW w:w="2268" w:type="dxa"/>
          </w:tcPr>
          <w:p w14:paraId="15AD5BEC" w14:textId="77777777" w:rsidR="00B62AE4" w:rsidRPr="000149DA" w:rsidRDefault="00B62AE4" w:rsidP="003B67D5">
            <w:pPr>
              <w:pStyle w:val="TableParagraph"/>
              <w:spacing w:line="230" w:lineRule="exact"/>
              <w:ind w:left="438"/>
              <w:rPr>
                <w:lang w:val="hu-HU"/>
              </w:rPr>
            </w:pPr>
            <w:r w:rsidRPr="000149DA">
              <w:rPr>
                <w:w w:val="105"/>
              </w:rPr>
              <w:t>Végzetes kimenetelű, n</w:t>
            </w:r>
          </w:p>
        </w:tc>
        <w:tc>
          <w:tcPr>
            <w:tcW w:w="1701" w:type="dxa"/>
          </w:tcPr>
          <w:p w14:paraId="36AC1FD6" w14:textId="77777777" w:rsidR="00B62AE4" w:rsidRPr="000149DA" w:rsidRDefault="00B62AE4" w:rsidP="003B67D5">
            <w:pPr>
              <w:pStyle w:val="TableParagraph"/>
              <w:spacing w:line="228" w:lineRule="exact"/>
              <w:ind w:left="206" w:right="1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 (0,16)</w:t>
            </w:r>
          </w:p>
        </w:tc>
        <w:tc>
          <w:tcPr>
            <w:tcW w:w="1843" w:type="dxa"/>
          </w:tcPr>
          <w:p w14:paraId="044E29F1" w14:textId="77777777" w:rsidR="00B62AE4" w:rsidRPr="000149DA" w:rsidRDefault="00B62AE4" w:rsidP="003B67D5">
            <w:pPr>
              <w:pStyle w:val="TableParagraph"/>
              <w:spacing w:line="228" w:lineRule="exact"/>
              <w:ind w:left="475"/>
              <w:rPr>
                <w:lang w:val="hu-HU"/>
              </w:rPr>
            </w:pPr>
            <w:r w:rsidRPr="000149DA">
              <w:rPr>
                <w:w w:val="105"/>
              </w:rPr>
              <w:t>5 (0,16)</w:t>
            </w:r>
          </w:p>
        </w:tc>
        <w:tc>
          <w:tcPr>
            <w:tcW w:w="2126" w:type="dxa"/>
          </w:tcPr>
          <w:p w14:paraId="45ABA3D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64B87BA4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1DF05F5" w14:textId="77777777" w:rsidTr="00A31F4B">
        <w:trPr>
          <w:trHeight w:val="231"/>
        </w:trPr>
        <w:tc>
          <w:tcPr>
            <w:tcW w:w="2268" w:type="dxa"/>
          </w:tcPr>
          <w:p w14:paraId="13122078" w14:textId="77777777" w:rsidR="00B62AE4" w:rsidRPr="000149DA" w:rsidRDefault="00B62AE4" w:rsidP="003B67D5">
            <w:pPr>
              <w:pStyle w:val="TableParagraph"/>
              <w:spacing w:line="212" w:lineRule="exact"/>
              <w:ind w:left="438"/>
              <w:rPr>
                <w:lang w:val="hu-HU"/>
              </w:rPr>
            </w:pPr>
            <w:r w:rsidRPr="000149DA">
              <w:rPr>
                <w:w w:val="105"/>
              </w:rPr>
              <w:t>Intracranialis, n</w:t>
            </w:r>
          </w:p>
        </w:tc>
        <w:tc>
          <w:tcPr>
            <w:tcW w:w="1701" w:type="dxa"/>
          </w:tcPr>
          <w:p w14:paraId="39744CBF" w14:textId="77777777" w:rsidR="00B62AE4" w:rsidRPr="000149DA" w:rsidRDefault="00B62AE4" w:rsidP="003B67D5">
            <w:pPr>
              <w:pStyle w:val="TableParagraph"/>
              <w:spacing w:line="212" w:lineRule="exact"/>
              <w:ind w:left="206" w:right="19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 (0,34)</w:t>
            </w:r>
          </w:p>
        </w:tc>
        <w:tc>
          <w:tcPr>
            <w:tcW w:w="1843" w:type="dxa"/>
          </w:tcPr>
          <w:p w14:paraId="3DB11B38" w14:textId="77777777" w:rsidR="00B62AE4" w:rsidRPr="000149DA" w:rsidRDefault="00B62AE4" w:rsidP="003B67D5">
            <w:pPr>
              <w:pStyle w:val="TableParagraph"/>
              <w:spacing w:line="212" w:lineRule="exact"/>
              <w:ind w:left="424"/>
              <w:rPr>
                <w:lang w:val="hu-HU"/>
              </w:rPr>
            </w:pPr>
            <w:r w:rsidRPr="000149DA">
              <w:rPr>
                <w:w w:val="105"/>
              </w:rPr>
              <w:t>11 (0,35)</w:t>
            </w:r>
          </w:p>
        </w:tc>
        <w:tc>
          <w:tcPr>
            <w:tcW w:w="2126" w:type="dxa"/>
          </w:tcPr>
          <w:p w14:paraId="4E6E196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70D120A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65DE081A" w14:textId="77777777" w:rsidTr="00A31F4B">
        <w:trPr>
          <w:trHeight w:val="457"/>
        </w:trPr>
        <w:tc>
          <w:tcPr>
            <w:tcW w:w="2268" w:type="dxa"/>
          </w:tcPr>
          <w:p w14:paraId="03F44693" w14:textId="77777777" w:rsidR="00B62AE4" w:rsidRPr="000149DA" w:rsidRDefault="00B62AE4" w:rsidP="003B67D5">
            <w:pPr>
              <w:pStyle w:val="TableParagraph"/>
              <w:spacing w:line="230" w:lineRule="exact"/>
              <w:ind w:left="100" w:right="92"/>
              <w:rPr>
                <w:lang w:val="hu-HU"/>
              </w:rPr>
            </w:pPr>
            <w:r w:rsidRPr="000149DA">
              <w:rPr>
                <w:w w:val="105"/>
              </w:rPr>
              <w:t>Nagyfokú + CRNM†</w:t>
            </w:r>
          </w:p>
        </w:tc>
        <w:tc>
          <w:tcPr>
            <w:tcW w:w="1701" w:type="dxa"/>
          </w:tcPr>
          <w:p w14:paraId="4D441C37" w14:textId="77777777" w:rsidR="00B62AE4" w:rsidRPr="000149DA" w:rsidRDefault="00B62AE4" w:rsidP="003B67D5">
            <w:pPr>
              <w:pStyle w:val="TableParagraph"/>
              <w:spacing w:line="227" w:lineRule="exact"/>
              <w:ind w:left="206" w:right="2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140 (4,46)</w:t>
            </w:r>
          </w:p>
        </w:tc>
        <w:tc>
          <w:tcPr>
            <w:tcW w:w="1843" w:type="dxa"/>
          </w:tcPr>
          <w:p w14:paraId="48FB4744" w14:textId="77777777" w:rsidR="00B62AE4" w:rsidRPr="000149DA" w:rsidRDefault="00B62AE4" w:rsidP="003B67D5">
            <w:pPr>
              <w:pStyle w:val="TableParagraph"/>
              <w:spacing w:line="227" w:lineRule="exact"/>
              <w:ind w:left="371"/>
              <w:rPr>
                <w:lang w:val="hu-HU"/>
              </w:rPr>
            </w:pPr>
            <w:r w:rsidRPr="000149DA">
              <w:rPr>
                <w:w w:val="105"/>
              </w:rPr>
              <w:t>101 (3,24)</w:t>
            </w:r>
          </w:p>
        </w:tc>
        <w:tc>
          <w:tcPr>
            <w:tcW w:w="2126" w:type="dxa"/>
          </w:tcPr>
          <w:p w14:paraId="6AE9DB02" w14:textId="77777777" w:rsidR="00B62AE4" w:rsidRPr="000149DA" w:rsidRDefault="00B62AE4" w:rsidP="003B67D5">
            <w:pPr>
              <w:pStyle w:val="TableParagraph"/>
              <w:spacing w:line="227" w:lineRule="exact"/>
              <w:ind w:left="247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1,38 (1,07; 1,78)</w:t>
            </w:r>
          </w:p>
        </w:tc>
        <w:tc>
          <w:tcPr>
            <w:tcW w:w="1134" w:type="dxa"/>
          </w:tcPr>
          <w:p w14:paraId="2883DDBB" w14:textId="77777777" w:rsidR="00B62AE4" w:rsidRPr="000149DA" w:rsidRDefault="00B62AE4" w:rsidP="003B67D5">
            <w:pPr>
              <w:pStyle w:val="TableParagraph"/>
              <w:spacing w:line="227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0,0144</w:t>
            </w:r>
          </w:p>
        </w:tc>
      </w:tr>
      <w:tr w:rsidR="00B62AE4" w:rsidRPr="000149DA" w14:paraId="772CA063" w14:textId="77777777" w:rsidTr="00A31F4B">
        <w:trPr>
          <w:trHeight w:val="317"/>
        </w:trPr>
        <w:tc>
          <w:tcPr>
            <w:tcW w:w="2268" w:type="dxa"/>
          </w:tcPr>
          <w:p w14:paraId="11E9BDFE" w14:textId="77777777" w:rsidR="00B62AE4" w:rsidRPr="000149DA" w:rsidRDefault="00B62AE4" w:rsidP="003B67D5">
            <w:pPr>
              <w:pStyle w:val="TableParagraph"/>
              <w:spacing w:line="223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Összes</w:t>
            </w:r>
          </w:p>
        </w:tc>
        <w:tc>
          <w:tcPr>
            <w:tcW w:w="1701" w:type="dxa"/>
          </w:tcPr>
          <w:p w14:paraId="4F2A6601" w14:textId="77777777" w:rsidR="00B62AE4" w:rsidRPr="000149DA" w:rsidRDefault="00B62AE4" w:rsidP="003B67D5">
            <w:pPr>
              <w:pStyle w:val="TableParagraph"/>
              <w:spacing w:line="223" w:lineRule="exact"/>
              <w:ind w:left="205" w:right="2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325 (10,85)</w:t>
            </w:r>
          </w:p>
        </w:tc>
        <w:tc>
          <w:tcPr>
            <w:tcW w:w="1843" w:type="dxa"/>
          </w:tcPr>
          <w:p w14:paraId="28981F10" w14:textId="77777777" w:rsidR="00B62AE4" w:rsidRPr="000149DA" w:rsidRDefault="00B62AE4" w:rsidP="003B67D5">
            <w:pPr>
              <w:pStyle w:val="TableParagraph"/>
              <w:spacing w:line="223" w:lineRule="exact"/>
              <w:ind w:left="370"/>
              <w:rPr>
                <w:lang w:val="hu-HU"/>
              </w:rPr>
            </w:pPr>
            <w:r w:rsidRPr="000149DA">
              <w:rPr>
                <w:w w:val="105"/>
              </w:rPr>
              <w:t>250 (8,32)</w:t>
            </w:r>
          </w:p>
        </w:tc>
        <w:tc>
          <w:tcPr>
            <w:tcW w:w="2126" w:type="dxa"/>
          </w:tcPr>
          <w:p w14:paraId="6EEC7576" w14:textId="77777777" w:rsidR="00B62AE4" w:rsidRPr="000149DA" w:rsidRDefault="00B62AE4" w:rsidP="003B67D5">
            <w:pPr>
              <w:pStyle w:val="TableParagraph"/>
              <w:spacing w:line="223" w:lineRule="exact"/>
              <w:ind w:left="246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1,30 (1,10; 1,53)</w:t>
            </w:r>
          </w:p>
        </w:tc>
        <w:tc>
          <w:tcPr>
            <w:tcW w:w="1134" w:type="dxa"/>
          </w:tcPr>
          <w:p w14:paraId="0063291B" w14:textId="77777777" w:rsidR="00B62AE4" w:rsidRPr="000149DA" w:rsidRDefault="00B62AE4" w:rsidP="003B67D5">
            <w:pPr>
              <w:pStyle w:val="TableParagraph"/>
              <w:spacing w:line="223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0,0017</w:t>
            </w:r>
          </w:p>
        </w:tc>
      </w:tr>
    </w:tbl>
    <w:p w14:paraId="0611DCEC" w14:textId="10D52858" w:rsidR="00B62AE4" w:rsidRPr="00D15884" w:rsidRDefault="00DE471E" w:rsidP="00DE471E">
      <w:pPr>
        <w:pStyle w:val="Szvegtrzs"/>
        <w:rPr>
          <w:sz w:val="22"/>
          <w:szCs w:val="22"/>
        </w:rPr>
      </w:pPr>
      <w:r w:rsidRPr="00D15884">
        <w:rPr>
          <w:sz w:val="22"/>
          <w:szCs w:val="22"/>
        </w:rPr>
        <w:t>*</w:t>
      </w:r>
      <w:r w:rsidR="00B62AE4" w:rsidRPr="00D15884">
        <w:rPr>
          <w:w w:val="105"/>
          <w:sz w:val="22"/>
          <w:szCs w:val="22"/>
        </w:rPr>
        <w:t>A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nagyfokú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vérzést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az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International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Society</w:t>
      </w:r>
      <w:r w:rsidR="00B62AE4" w:rsidRPr="00D15884">
        <w:rPr>
          <w:spacing w:val="-11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on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Thrombosis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and</w:t>
      </w:r>
      <w:r w:rsidR="00B62AE4" w:rsidRPr="00D15884">
        <w:rPr>
          <w:spacing w:val="-14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Haemostasis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(ISTH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–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Nemzetközi Thrombosis és Haemostasis Társaság) kritériumai szerint</w:t>
      </w:r>
      <w:r w:rsidR="00B62AE4" w:rsidRPr="00D15884">
        <w:rPr>
          <w:spacing w:val="-19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definiálták.</w:t>
      </w:r>
    </w:p>
    <w:p w14:paraId="7654FB42" w14:textId="32BD4AB8" w:rsidR="00B62AE4" w:rsidRPr="00D15884" w:rsidRDefault="00DE471E" w:rsidP="00DE471E">
      <w:pPr>
        <w:pStyle w:val="Szvegtrzs"/>
        <w:spacing w:line="228" w:lineRule="exact"/>
        <w:rPr>
          <w:sz w:val="22"/>
          <w:szCs w:val="22"/>
        </w:rPr>
      </w:pPr>
      <w:r w:rsidRPr="00D15884">
        <w:rPr>
          <w:sz w:val="22"/>
          <w:szCs w:val="22"/>
        </w:rPr>
        <w:t>†</w:t>
      </w:r>
      <w:r w:rsidR="00B62AE4" w:rsidRPr="00D15884">
        <w:rPr>
          <w:w w:val="105"/>
          <w:sz w:val="22"/>
          <w:szCs w:val="22"/>
        </w:rPr>
        <w:t>Klinikailag jelentős, nem súlyos vérzés</w:t>
      </w:r>
    </w:p>
    <w:p w14:paraId="353815A7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43A3791D" w14:textId="6FA300CC" w:rsidR="00B62AE4" w:rsidRPr="000149DA" w:rsidRDefault="00B62AE4" w:rsidP="00350B9F">
      <w:pPr>
        <w:pStyle w:val="Nincstrkz"/>
        <w:rPr>
          <w:rFonts w:cs="Times New Roman"/>
          <w:i/>
          <w:iCs/>
          <w:u w:val="single"/>
        </w:rPr>
      </w:pPr>
      <w:r w:rsidRPr="00B50EA7">
        <w:rPr>
          <w:rFonts w:cs="Times New Roman"/>
          <w:i/>
          <w:iCs/>
          <w:u w:val="single"/>
        </w:rPr>
        <w:t>N</w:t>
      </w:r>
      <w:r w:rsidR="00DE471E" w:rsidRPr="00A72E73">
        <w:rPr>
          <w:rFonts w:cs="Times New Roman"/>
          <w:i/>
          <w:iCs/>
          <w:u w:val="single"/>
        </w:rPr>
        <w:t xml:space="preserve">em valvuláris pitvarfibrillációban </w:t>
      </w:r>
      <w:r w:rsidR="0054792A" w:rsidRPr="00A72E73">
        <w:rPr>
          <w:rFonts w:cs="Times New Roman"/>
          <w:i/>
          <w:iCs/>
          <w:u w:val="single"/>
        </w:rPr>
        <w:t>(</w:t>
      </w:r>
      <w:r w:rsidR="00DE471E" w:rsidRPr="000149DA">
        <w:rPr>
          <w:rFonts w:cs="Times New Roman"/>
          <w:i/>
          <w:iCs/>
          <w:u w:val="single"/>
        </w:rPr>
        <w:t>N</w:t>
      </w:r>
      <w:r w:rsidRPr="000149DA">
        <w:rPr>
          <w:rFonts w:cs="Times New Roman"/>
          <w:i/>
          <w:iCs/>
          <w:u w:val="single"/>
        </w:rPr>
        <w:t>V</w:t>
      </w:r>
      <w:r w:rsidR="00DE471E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</w:t>
      </w:r>
      <w:r w:rsidR="0054792A" w:rsidRPr="000149DA">
        <w:rPr>
          <w:rFonts w:cs="Times New Roman"/>
          <w:i/>
          <w:iCs/>
          <w:u w:val="single"/>
        </w:rPr>
        <w:t>) szenvedő</w:t>
      </w:r>
      <w:r w:rsidR="00DE471E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 ACS</w:t>
      </w:r>
      <w:r w:rsidR="00350B9F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sel és/vagy PCI beavatkozással</w:t>
      </w:r>
    </w:p>
    <w:p w14:paraId="716A3861" w14:textId="1083CC42" w:rsidR="00B62AE4" w:rsidRPr="00D15884" w:rsidRDefault="00B62AE4" w:rsidP="00B57529">
      <w:pPr>
        <w:pStyle w:val="Nincstrkz"/>
        <w:rPr>
          <w:rFonts w:cs="Times New Roman"/>
        </w:rPr>
      </w:pPr>
      <w:r w:rsidRPr="00053B8E">
        <w:rPr>
          <w:rFonts w:cs="Times New Roman"/>
        </w:rPr>
        <w:t>Az AUGUSTUS egy nyílt, randomizált, kontrollos, 2</w:t>
      </w:r>
      <w:r w:rsidR="00350B9F" w:rsidRPr="00053B8E">
        <w:rPr>
          <w:rFonts w:cs="Times New Roman"/>
        </w:rPr>
        <w:t> </w:t>
      </w:r>
      <w:r w:rsidRPr="00053B8E">
        <w:rPr>
          <w:rFonts w:cs="Times New Roman"/>
        </w:rPr>
        <w:t>×</w:t>
      </w:r>
      <w:r w:rsidR="00350B9F" w:rsidRPr="00053B8E">
        <w:rPr>
          <w:rFonts w:cs="Times New Roman"/>
        </w:rPr>
        <w:t> </w:t>
      </w:r>
      <w:r w:rsidR="00B57529" w:rsidRPr="00053B8E">
        <w:rPr>
          <w:rFonts w:cs="Times New Roman"/>
        </w:rPr>
        <w:t xml:space="preserve">2 </w:t>
      </w:r>
      <w:r w:rsidRPr="00053B8E">
        <w:rPr>
          <w:rFonts w:cs="Times New Roman"/>
        </w:rPr>
        <w:t>faktoriális elrendezésű vizsgálat volt, amelybe 4614</w:t>
      </w:r>
      <w:r w:rsidR="0054792A" w:rsidRPr="00053B8E">
        <w:rPr>
          <w:rFonts w:cs="Times New Roman"/>
        </w:rPr>
        <w:t>,</w:t>
      </w:r>
      <w:r w:rsidRPr="00053B8E">
        <w:rPr>
          <w:rFonts w:cs="Times New Roman"/>
        </w:rPr>
        <w:t xml:space="preserve"> NV</w:t>
      </w:r>
      <w:r w:rsidR="00DE471E" w:rsidRPr="00535848">
        <w:rPr>
          <w:rFonts w:cs="Times New Roman"/>
        </w:rPr>
        <w:t>P</w:t>
      </w:r>
      <w:r w:rsidRPr="00535848">
        <w:rPr>
          <w:rFonts w:cs="Times New Roman"/>
        </w:rPr>
        <w:t>F</w:t>
      </w:r>
      <w:r w:rsidR="00350B9F" w:rsidRPr="00BB583F">
        <w:rPr>
          <w:rFonts w:cs="Times New Roman"/>
        </w:rPr>
        <w:noBreakHyphen/>
      </w:r>
      <w:r w:rsidR="0054792A" w:rsidRPr="00BB583F">
        <w:rPr>
          <w:rFonts w:cs="Times New Roman"/>
        </w:rPr>
        <w:t>es</w:t>
      </w:r>
      <w:r w:rsidR="00DE471E" w:rsidRPr="00BB583F">
        <w:rPr>
          <w:rFonts w:cs="Times New Roman"/>
        </w:rPr>
        <w:t xml:space="preserve"> </w:t>
      </w:r>
      <w:r w:rsidR="00326B05">
        <w:rPr>
          <w:rFonts w:cs="Times New Roman"/>
        </w:rPr>
        <w:t xml:space="preserve">felnőtt </w:t>
      </w:r>
      <w:r w:rsidR="00A1416D" w:rsidRPr="00680CAA">
        <w:rPr>
          <w:rFonts w:cs="Times New Roman"/>
        </w:rPr>
        <w:t>beteg</w:t>
      </w:r>
      <w:r w:rsidRPr="00680CAA">
        <w:rPr>
          <w:rFonts w:cs="Times New Roman"/>
        </w:rPr>
        <w:t>et vontak be, akik ACS</w:t>
      </w:r>
      <w:r w:rsidR="00350B9F" w:rsidRPr="00680CAA">
        <w:rPr>
          <w:rFonts w:cs="Times New Roman"/>
        </w:rPr>
        <w:noBreakHyphen/>
      </w:r>
      <w:r w:rsidRPr="00680CAA">
        <w:rPr>
          <w:rFonts w:cs="Times New Roman"/>
        </w:rPr>
        <w:t>ben szenvedtek (43%) és/vagy akiknél PCI</w:t>
      </w:r>
      <w:r w:rsidR="00350B9F" w:rsidRPr="00680CAA">
        <w:rPr>
          <w:rFonts w:cs="Times New Roman"/>
        </w:rPr>
        <w:noBreakHyphen/>
      </w:r>
      <w:r w:rsidRPr="00680CAA">
        <w:rPr>
          <w:rFonts w:cs="Times New Roman"/>
        </w:rPr>
        <w:t>t végeztek (56%). Minden</w:t>
      </w:r>
      <w:r w:rsidR="0054792A" w:rsidRPr="00700D63">
        <w:rPr>
          <w:rFonts w:cs="Times New Roman"/>
        </w:rPr>
        <w:t xml:space="preserve"> be</w:t>
      </w:r>
      <w:r w:rsidR="00350B9F" w:rsidRPr="00700D63">
        <w:rPr>
          <w:rFonts w:cs="Times New Roman"/>
        </w:rPr>
        <w:t>t</w:t>
      </w:r>
      <w:r w:rsidR="0054792A" w:rsidRPr="00700D63">
        <w:rPr>
          <w:rFonts w:cs="Times New Roman"/>
        </w:rPr>
        <w:t>eg</w:t>
      </w:r>
      <w:r w:rsidRPr="008F17BA">
        <w:rPr>
          <w:rFonts w:cs="Times New Roman"/>
        </w:rPr>
        <w:t xml:space="preserve"> háttérkezelésként P2Y12</w:t>
      </w:r>
      <w:r w:rsidR="00350B9F" w:rsidRPr="00D15884">
        <w:rPr>
          <w:rFonts w:cs="Times New Roman"/>
        </w:rPr>
        <w:noBreakHyphen/>
      </w:r>
      <w:r w:rsidRPr="00D15884">
        <w:rPr>
          <w:rFonts w:cs="Times New Roman"/>
        </w:rPr>
        <w:t>gátló (klopidogr</w:t>
      </w:r>
      <w:r w:rsidR="00695C9C" w:rsidRPr="00D15884">
        <w:rPr>
          <w:rFonts w:cs="Times New Roman"/>
        </w:rPr>
        <w:t>e</w:t>
      </w:r>
      <w:r w:rsidRPr="00D15884">
        <w:rPr>
          <w:rFonts w:cs="Times New Roman"/>
        </w:rPr>
        <w:t xml:space="preserve">l: 90,3%) </w:t>
      </w:r>
      <w:r w:rsidR="00350B9F" w:rsidRPr="00D15884">
        <w:rPr>
          <w:rFonts w:cs="Times New Roman"/>
        </w:rPr>
        <w:t xml:space="preserve">kezelésben </w:t>
      </w:r>
      <w:r w:rsidRPr="00D15884">
        <w:rPr>
          <w:rFonts w:cs="Times New Roman"/>
        </w:rPr>
        <w:t>részesült a helyi szokásos ellátásnak megfelelően.</w:t>
      </w:r>
    </w:p>
    <w:p w14:paraId="1301E231" w14:textId="77777777" w:rsidR="00B62AE4" w:rsidRPr="00D15884" w:rsidRDefault="00B62AE4" w:rsidP="00B57529">
      <w:pPr>
        <w:pStyle w:val="Nincstrkz"/>
        <w:rPr>
          <w:rFonts w:cs="Times New Roman"/>
        </w:rPr>
      </w:pPr>
    </w:p>
    <w:p w14:paraId="4A4F3C81" w14:textId="135B9C2F" w:rsidR="00B62AE4" w:rsidRPr="00D15884" w:rsidRDefault="00B62AE4" w:rsidP="00B57529">
      <w:pPr>
        <w:pStyle w:val="Nincstrkz"/>
        <w:rPr>
          <w:rFonts w:cs="Times New Roman"/>
        </w:rPr>
      </w:pPr>
      <w:r w:rsidRPr="00D15884">
        <w:rPr>
          <w:rFonts w:cs="Times New Roman"/>
        </w:rPr>
        <w:t>A</w:t>
      </w:r>
      <w:r w:rsidR="0054792A" w:rsidRPr="00D15884">
        <w:rPr>
          <w:rFonts w:cs="Times New Roman"/>
        </w:rPr>
        <w:t xml:space="preserve"> betegeket</w:t>
      </w:r>
      <w:r w:rsidRPr="00D15884">
        <w:rPr>
          <w:rFonts w:cs="Times New Roman"/>
        </w:rPr>
        <w:t xml:space="preserve"> az ACS és/vagy PCI után legfeljebb 14</w:t>
      </w:r>
      <w:r w:rsidR="003B67D5" w:rsidRPr="00D15884">
        <w:rPr>
          <w:rFonts w:cs="Times New Roman"/>
        </w:rPr>
        <w:t> nap</w:t>
      </w:r>
      <w:r w:rsidRPr="00D15884">
        <w:rPr>
          <w:rFonts w:cs="Times New Roman"/>
        </w:rPr>
        <w:t>pal randomizáltá</w:t>
      </w:r>
      <w:r w:rsidR="0054792A" w:rsidRPr="00D15884">
        <w:rPr>
          <w:rFonts w:cs="Times New Roman"/>
        </w:rPr>
        <w:t xml:space="preserve">k </w:t>
      </w:r>
      <w:r w:rsidR="003B67D5" w:rsidRPr="00D15884">
        <w:rPr>
          <w:rFonts w:cs="Times New Roman"/>
        </w:rPr>
        <w:t>nap</w:t>
      </w:r>
      <w:r w:rsidRPr="00D15884">
        <w:rPr>
          <w:rFonts w:cs="Times New Roman"/>
        </w:rPr>
        <w:t>i kétszer 5</w:t>
      </w:r>
      <w:r w:rsidR="004C106B" w:rsidRPr="00D15884">
        <w:rPr>
          <w:rFonts w:cs="Times New Roman"/>
        </w:rPr>
        <w:t> mg</w:t>
      </w:r>
      <w:r w:rsidRPr="00D15884">
        <w:rPr>
          <w:rFonts w:cs="Times New Roman"/>
        </w:rPr>
        <w:t xml:space="preserve">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>ra (vagy</w:t>
      </w:r>
      <w:r w:rsidR="00041290" w:rsidRPr="00D15884">
        <w:rPr>
          <w:rFonts w:cs="Times New Roman"/>
        </w:rPr>
        <w:t xml:space="preserve"> </w:t>
      </w:r>
      <w:r w:rsidR="003B67D5" w:rsidRPr="00D15884">
        <w:rPr>
          <w:rFonts w:cs="Times New Roman"/>
        </w:rPr>
        <w:t>nap</w:t>
      </w:r>
      <w:r w:rsidRPr="00D15884">
        <w:rPr>
          <w:rFonts w:cs="Times New Roman"/>
        </w:rPr>
        <w:t>onta kétszer 2,5</w:t>
      </w:r>
      <w:r w:rsidR="004C106B" w:rsidRPr="00D15884">
        <w:rPr>
          <w:rFonts w:cs="Times New Roman"/>
        </w:rPr>
        <w:t> mg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 xml:space="preserve">ra, ha kettő vagy több dóziscsökkentési feltétel is teljesült; </w:t>
      </w:r>
      <w:r w:rsidR="00326B05">
        <w:rPr>
          <w:rFonts w:cs="Times New Roman"/>
        </w:rPr>
        <w:t>4,2</w:t>
      </w:r>
      <w:r w:rsidRPr="00D15884">
        <w:rPr>
          <w:rFonts w:cs="Times New Roman"/>
        </w:rPr>
        <w:t>% kapott alacsonyabb dózist) vagy K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vitamin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antagonistára, valamint acetilszalicilsavra (napi egyszer 81</w:t>
      </w:r>
      <w:r w:rsidR="004C106B" w:rsidRPr="00D15884">
        <w:rPr>
          <w:rFonts w:cs="Times New Roman"/>
        </w:rPr>
        <w:t> mg</w:t>
      </w:r>
      <w:r w:rsidRPr="00D15884">
        <w:rPr>
          <w:rFonts w:cs="Times New Roman"/>
        </w:rPr>
        <w:t>) vagy placeb</w:t>
      </w:r>
      <w:r w:rsidR="0071046D" w:rsidRPr="00D15884">
        <w:rPr>
          <w:rFonts w:cs="Times New Roman"/>
        </w:rPr>
        <w:t>ór</w:t>
      </w:r>
      <w:r w:rsidRPr="00D15884">
        <w:rPr>
          <w:rFonts w:cs="Times New Roman"/>
        </w:rPr>
        <w:t>a. Az átlagéletkor 69,9</w:t>
      </w:r>
      <w:r w:rsidR="00045408" w:rsidRPr="00D15884">
        <w:rPr>
          <w:rFonts w:cs="Times New Roman"/>
        </w:rPr>
        <w:t> év</w:t>
      </w:r>
      <w:r w:rsidRPr="00D15884">
        <w:rPr>
          <w:rFonts w:cs="Times New Roman"/>
        </w:rPr>
        <w:t xml:space="preserve"> volt, a randomizált</w:t>
      </w:r>
      <w:r w:rsidR="0054792A" w:rsidRPr="00D15884">
        <w:rPr>
          <w:rFonts w:cs="Times New Roman"/>
        </w:rPr>
        <w:t xml:space="preserve"> </w:t>
      </w:r>
      <w:r w:rsidR="00A1416D" w:rsidRPr="00D15884">
        <w:rPr>
          <w:rFonts w:cs="Times New Roman"/>
        </w:rPr>
        <w:t>beteg</w:t>
      </w:r>
      <w:r w:rsidRPr="00D15884">
        <w:rPr>
          <w:rFonts w:cs="Times New Roman"/>
        </w:rPr>
        <w:t>ek 94%-ánál a CHA</w:t>
      </w:r>
      <w:r w:rsidR="0054792A" w:rsidRPr="00D15884">
        <w:rPr>
          <w:rFonts w:cs="Times New Roman"/>
        </w:rPr>
        <w:t>2</w:t>
      </w:r>
      <w:r w:rsidRPr="00D15884">
        <w:rPr>
          <w:rFonts w:cs="Times New Roman"/>
        </w:rPr>
        <w:t>DS</w:t>
      </w:r>
      <w:r w:rsidR="0054792A" w:rsidRPr="00D15884">
        <w:rPr>
          <w:rFonts w:cs="Times New Roman"/>
        </w:rPr>
        <w:t>2</w:t>
      </w:r>
      <w:r w:rsidRPr="00D15884">
        <w:rPr>
          <w:rFonts w:cs="Times New Roman"/>
        </w:rPr>
        <w:t>-VASc</w:t>
      </w:r>
      <w:r w:rsidR="0054792A" w:rsidRPr="00D15884">
        <w:rPr>
          <w:rFonts w:cs="Times New Roman"/>
        </w:rPr>
        <w:t xml:space="preserve"> </w:t>
      </w:r>
      <w:r w:rsidR="004C106B" w:rsidRPr="00D15884">
        <w:rPr>
          <w:rFonts w:cs="Times New Roman"/>
        </w:rPr>
        <w:t>pont</w:t>
      </w:r>
      <w:r w:rsidRPr="00D15884">
        <w:rPr>
          <w:rFonts w:cs="Times New Roman"/>
        </w:rPr>
        <w:t>szám &gt;</w:t>
      </w:r>
      <w:r w:rsidR="0054792A" w:rsidRPr="00D15884">
        <w:rPr>
          <w:rFonts w:cs="Times New Roman"/>
        </w:rPr>
        <w:t> </w:t>
      </w:r>
      <w:r w:rsidRPr="00D15884">
        <w:rPr>
          <w:rFonts w:cs="Times New Roman"/>
        </w:rPr>
        <w:t>2</w:t>
      </w:r>
      <w:r w:rsidR="00041290" w:rsidRPr="00D15884">
        <w:rPr>
          <w:rFonts w:cs="Times New Roman"/>
        </w:rPr>
        <w:t>,</w:t>
      </w:r>
      <w:r w:rsidRPr="00D15884">
        <w:rPr>
          <w:rFonts w:cs="Times New Roman"/>
        </w:rPr>
        <w:t xml:space="preserve"> 47%-ánál </w:t>
      </w:r>
      <w:r w:rsidR="00041290" w:rsidRPr="00D15884">
        <w:rPr>
          <w:rFonts w:cs="Times New Roman"/>
        </w:rPr>
        <w:t xml:space="preserve">pedig </w:t>
      </w:r>
      <w:r w:rsidRPr="00D15884">
        <w:rPr>
          <w:rFonts w:cs="Times New Roman"/>
        </w:rPr>
        <w:t>a HAS</w:t>
      </w:r>
      <w:r w:rsidR="0054792A" w:rsidRPr="00D15884">
        <w:rPr>
          <w:rFonts w:cs="Times New Roman"/>
        </w:rPr>
        <w:noBreakHyphen/>
      </w:r>
      <w:r w:rsidRPr="00D15884">
        <w:rPr>
          <w:rFonts w:cs="Times New Roman"/>
        </w:rPr>
        <w:t>BLED</w:t>
      </w:r>
      <w:r w:rsidR="00041290" w:rsidRPr="00D15884">
        <w:rPr>
          <w:rFonts w:cs="Times New Roman"/>
        </w:rPr>
        <w:t xml:space="preserve"> </w:t>
      </w:r>
      <w:r w:rsidR="004C106B" w:rsidRPr="00D15884">
        <w:rPr>
          <w:rFonts w:cs="Times New Roman"/>
        </w:rPr>
        <w:t>pont</w:t>
      </w:r>
      <w:r w:rsidRPr="00D15884">
        <w:rPr>
          <w:rFonts w:cs="Times New Roman"/>
        </w:rPr>
        <w:t>szám &gt;</w:t>
      </w:r>
      <w:r w:rsidR="0054792A" w:rsidRPr="00D15884">
        <w:rPr>
          <w:rFonts w:cs="Times New Roman"/>
        </w:rPr>
        <w:t> </w:t>
      </w:r>
      <w:r w:rsidRPr="00D15884">
        <w:rPr>
          <w:rFonts w:cs="Times New Roman"/>
        </w:rPr>
        <w:t>3 volt. A K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vitamin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antagonistára randomizál</w:t>
      </w:r>
      <w:r w:rsidR="00041290" w:rsidRPr="00D15884">
        <w:rPr>
          <w:rFonts w:cs="Times New Roman"/>
        </w:rPr>
        <w:t xml:space="preserve">t </w:t>
      </w:r>
      <w:r w:rsidR="00A1416D" w:rsidRPr="00D15884">
        <w:rPr>
          <w:rFonts w:cs="Times New Roman"/>
        </w:rPr>
        <w:t>beteg</w:t>
      </w:r>
      <w:r w:rsidRPr="00D15884">
        <w:rPr>
          <w:rFonts w:cs="Times New Roman"/>
        </w:rPr>
        <w:t>ek esetében a terápiás tartományban (INR 2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3) eltöltött időtartam 56% volt, a TTR alatti idő 32%</w:t>
      </w:r>
      <w:r w:rsidR="00041290" w:rsidRPr="00D15884">
        <w:rPr>
          <w:rFonts w:cs="Times New Roman"/>
        </w:rPr>
        <w:t>, míg</w:t>
      </w:r>
      <w:r w:rsidRPr="00D15884">
        <w:rPr>
          <w:rFonts w:cs="Times New Roman"/>
        </w:rPr>
        <w:t xml:space="preserve"> a TTR feletti idő 12% volt.</w:t>
      </w:r>
    </w:p>
    <w:p w14:paraId="5CD0FE5F" w14:textId="77777777" w:rsidR="00B62AE4" w:rsidRPr="00D15884" w:rsidRDefault="00B62AE4" w:rsidP="00B57529">
      <w:pPr>
        <w:pStyle w:val="Nincstrkz"/>
        <w:rPr>
          <w:rFonts w:cs="Times New Roman"/>
        </w:rPr>
      </w:pPr>
    </w:p>
    <w:p w14:paraId="1E161B0E" w14:textId="44429543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AUGUSTUS vizsgálat elsődleges célja a biztonságosság felmérése volt, és az elsődleges végpont az ISTH szerinti súlyos vagy CRNM vérzés volt.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antagonista összehasonlításában az elsődleges biztonságossági végpont az ISTH szerinti súlyos vagy CRNM vérzés a 6. hónapra 241 (10,5%)</w:t>
      </w:r>
      <w:r w:rsidR="0054792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nél következett be az </w:t>
      </w:r>
      <w:r w:rsidR="00D6140D" w:rsidRPr="000149DA">
        <w:rPr>
          <w:rFonts w:cs="Times New Roman"/>
        </w:rPr>
        <w:t>apixabán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karon, illetve 332 (14,7%)</w:t>
      </w:r>
      <w:r w:rsidR="0054792A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betegnél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antagonista karon (relatív hazárd 0,69, 95%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os CI: 0,58, 0,82; 2 oldalas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p</w:t>
      </w:r>
      <w:r w:rsidR="00C77F20" w:rsidRPr="000149DA">
        <w:rPr>
          <w:rFonts w:cs="Times New Roman"/>
        </w:rPr>
        <w:t> </w:t>
      </w:r>
      <w:r w:rsidRPr="000149DA">
        <w:rPr>
          <w:rFonts w:cs="Times New Roman"/>
        </w:rPr>
        <w:t>&lt;</w:t>
      </w:r>
      <w:r w:rsidR="00C77F20" w:rsidRPr="000149DA">
        <w:rPr>
          <w:rFonts w:cs="Times New Roman"/>
        </w:rPr>
        <w:t> </w:t>
      </w:r>
      <w:r w:rsidRPr="000149DA">
        <w:rPr>
          <w:rFonts w:cs="Times New Roman"/>
        </w:rPr>
        <w:t>0,0001 a non-inferioritás és p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 &lt;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0,0001 a szuperioritás tekintetében).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antagonista esetén a TTR szerinti alcsoportok azt mutatták, hogy a legmagasabb vérzési arány a TTR legalacsonyabb kvartilisére volt jellemző. A vérzés aránya hasonló volt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TTR legmagasabb kvartilise esetében.</w:t>
      </w:r>
    </w:p>
    <w:p w14:paraId="38DB0C10" w14:textId="135C2305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acetilszalicilsav és a placebo összehasonlításában a 6. hónapban az ISTH szerinti súlyos vagy CRNM vérzés elsődleges biztonságossági végpontja 367 (16,1%)</w:t>
      </w:r>
      <w:r w:rsidR="0004129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következett be az acetilszalicilsav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és 204 (9,0%)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a placebo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(relatív hazárd 1,88, 95%-os CI: 1,58</w:t>
      </w:r>
      <w:r w:rsidR="0054792A" w:rsidRPr="000149DA">
        <w:rPr>
          <w:rFonts w:cs="Times New Roman"/>
        </w:rPr>
        <w:noBreakHyphen/>
      </w:r>
      <w:r w:rsidRPr="000149DA">
        <w:rPr>
          <w:rFonts w:cs="Times New Roman"/>
        </w:rPr>
        <w:t>2,23; 2 oldalas p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&lt;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0,0001).</w:t>
      </w:r>
    </w:p>
    <w:p w14:paraId="466A8B64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00726368" w14:textId="106ECF5E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Számszerűen,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04129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157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nél (13,7%) fordult elő súlyos vagy CRNM vérzés az acetilszalicilsav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és 84 (7,4%)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a placebo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karon.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antagonistával </w:t>
      </w:r>
      <w:r w:rsidR="00DF5655" w:rsidRPr="000149DA">
        <w:rPr>
          <w:rFonts w:cs="Times New Roman"/>
        </w:rPr>
        <w:t>k</w:t>
      </w:r>
      <w:r w:rsidRPr="000149DA">
        <w:rPr>
          <w:rFonts w:cs="Times New Roman"/>
        </w:rPr>
        <w:t>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208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nál (18,5%) fordult elő súlyos vagy CRNM</w:t>
      </w:r>
      <w:r w:rsidR="00A72E73">
        <w:rPr>
          <w:rFonts w:cs="Times New Roman"/>
        </w:rPr>
        <w:t>-</w:t>
      </w:r>
      <w:r w:rsidRPr="000149DA">
        <w:rPr>
          <w:rFonts w:cs="Times New Roman"/>
        </w:rPr>
        <w:t>vérzés az acetilszalicilsav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 és 122 (10,8%)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a placebo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karon.</w:t>
      </w:r>
    </w:p>
    <w:p w14:paraId="3F5C4BB9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52D1C1DD" w14:textId="77777777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egyéb kezelési hatásokat a vizsgálat másodlagos célkitűzéseként értékelték, összetett végpontokkal.</w:t>
      </w:r>
    </w:p>
    <w:p w14:paraId="228B4075" w14:textId="77777777" w:rsidR="00B57529" w:rsidRPr="000149DA" w:rsidRDefault="00B57529" w:rsidP="00350B9F">
      <w:pPr>
        <w:pStyle w:val="Nincstrkz"/>
        <w:rPr>
          <w:rFonts w:cs="Times New Roman"/>
        </w:rPr>
      </w:pPr>
    </w:p>
    <w:p w14:paraId="54070F6E" w14:textId="11B67543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antagonista összehasonlításában a halálozás és az ismételt hospitalizáció összetett végpontja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541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(23,5%), míg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antagonistával kezeltek közül 632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(27,4%)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 xml:space="preserve">. A halálozás és az ischaemiás esemény (stroke, myocardialis infarctus, stent thrombosis vagy sürgős revascularisatio) összetett végpontja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170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(7,4%), míg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antagonistával kezeltek közül 182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(7,9%)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</w:t>
      </w:r>
    </w:p>
    <w:p w14:paraId="2DE7C821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2FF5534F" w14:textId="43142579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acetilszalicilsav és a placebo összehasonlításában a halálozás és az ismételt hospitalizáció összetett végpontja az acetilszalicilsavval kezelt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604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(26,2%), míg a placebóval kezeltek közül 569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(24,7%)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 A halálozás és az ischaemiás esemény (stroke,</w:t>
      </w:r>
      <w:r w:rsidRPr="000149DA">
        <w:rPr>
          <w:rFonts w:cs="Times New Roman"/>
          <w:w w:val="105"/>
        </w:rPr>
        <w:t xml:space="preserve"> </w:t>
      </w:r>
      <w:r w:rsidRPr="000149DA">
        <w:rPr>
          <w:rFonts w:cs="Times New Roman"/>
        </w:rPr>
        <w:t>myocardialis infarctus, stent thrombosis vagy sürgős revascularisatio) összetett végpontja az acetilszalicilsavval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163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nál (7,1%), míg az placebóval kezeltek közül 189-nél (8,2%)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</w:t>
      </w:r>
    </w:p>
    <w:p w14:paraId="7189D5D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FDC7DC7" w14:textId="723B652E" w:rsidR="00B62AE4" w:rsidRPr="000149DA" w:rsidRDefault="00B62AE4" w:rsidP="00DF5655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Kardioverzióban részesülő</w:t>
      </w:r>
      <w:r w:rsidR="00674797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</w:t>
      </w:r>
    </w:p>
    <w:p w14:paraId="58D226D0" w14:textId="3C198F2A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Az EMANATE egy nyílt, multicentrikus vizsgálat volt, amelybe 1500</w:t>
      </w:r>
      <w:r w:rsidR="00A1416D" w:rsidRPr="000149DA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vontak be, akik nem kaptak korábban oralis antikoagulánst vagy kevesebb mint 48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ája kaptak előkezelést, és akiket NV</w:t>
      </w:r>
      <w:r w:rsidR="00674797" w:rsidRPr="000149DA">
        <w:rPr>
          <w:rFonts w:cs="Times New Roman"/>
        </w:rPr>
        <w:t>P</w:t>
      </w:r>
      <w:r w:rsidRPr="000149DA">
        <w:rPr>
          <w:rFonts w:cs="Times New Roman"/>
        </w:rPr>
        <w:t>F miatt 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jegyeztek elő. A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eket 1:1 arányban randomizálták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ra vagy heparinra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antagonistára a cardiovascularis események megelőzése érdekében.</w:t>
      </w:r>
    </w:p>
    <w:p w14:paraId="1127EC81" w14:textId="06160C10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Elektromos és/vagy gyógyszeres kardioverziót végeztek legalább 5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adag,</w:t>
      </w:r>
      <w:r w:rsidR="00FB7E26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kétszeri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után (vagy</w:t>
      </w:r>
      <w:r w:rsidR="00FB7E26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kétszeri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után a kiválasztott</w:t>
      </w:r>
      <w:r w:rsidR="00FB7E26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[lásd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]), illetve legalább 2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ával egy 10</w:t>
      </w:r>
      <w:r w:rsidR="004C106B" w:rsidRPr="000149DA">
        <w:rPr>
          <w:rFonts w:cs="Times New Roman"/>
        </w:rPr>
        <w:t> mg</w:t>
      </w:r>
      <w:r w:rsidR="00674797" w:rsidRPr="000149DA">
        <w:rPr>
          <w:rFonts w:cs="Times New Roman"/>
        </w:rPr>
        <w:noBreakHyphen/>
      </w:r>
      <w:r w:rsidRPr="000149DA">
        <w:rPr>
          <w:rFonts w:cs="Times New Roman"/>
        </w:rPr>
        <w:t>os feltöltő dózist követően (vagy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feltöltő dózis után a kiválasztott</w:t>
      </w:r>
      <w:r w:rsidR="0067479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[lásd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]), amennyiben hamarabb szükség volt a kardioverzió elvégzésére. Az </w:t>
      </w:r>
      <w:r w:rsidR="00D6140D" w:rsidRPr="000149DA">
        <w:rPr>
          <w:rFonts w:cs="Times New Roman"/>
        </w:rPr>
        <w:t>apixabán</w:t>
      </w:r>
      <w:r w:rsidR="00EF58D5">
        <w:rPr>
          <w:rFonts w:cs="Times New Roman"/>
        </w:rPr>
        <w:t>-</w:t>
      </w:r>
      <w:r w:rsidRPr="000149DA">
        <w:rPr>
          <w:rFonts w:cs="Times New Roman"/>
        </w:rPr>
        <w:t>csoportban 342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kapott feltöltő dózist (331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kapott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-os adagot és 11</w:t>
      </w:r>
      <w:r w:rsidR="00674797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adagot).</w:t>
      </w:r>
    </w:p>
    <w:p w14:paraId="43A8DCC4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02A251E" w14:textId="16D97D29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fordult elő stroke (0%)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-csoportban (n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753), és 6 (0,80%) stroke fordult elő a heparin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(n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747; relatív kockázat 0,00, 95%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CI: 0,00, 0,64). </w:t>
      </w:r>
      <w:r w:rsidR="00FB7E26" w:rsidRPr="000149DA">
        <w:rPr>
          <w:rFonts w:cs="Times New Roman"/>
        </w:rPr>
        <w:t>Bármely</w:t>
      </w:r>
      <w:r w:rsidRPr="000149DA">
        <w:rPr>
          <w:rFonts w:cs="Times New Roman"/>
        </w:rPr>
        <w:t xml:space="preserve"> okból </w:t>
      </w:r>
      <w:r w:rsidR="00FB7E26" w:rsidRPr="000149DA">
        <w:rPr>
          <w:rFonts w:cs="Times New Roman"/>
        </w:rPr>
        <w:t xml:space="preserve">bekövetkező </w:t>
      </w:r>
      <w:r w:rsidRPr="000149DA">
        <w:rPr>
          <w:rFonts w:cs="Times New Roman"/>
        </w:rPr>
        <w:t xml:space="preserve">elhalálozás az </w:t>
      </w:r>
      <w:r w:rsidR="00D6140D" w:rsidRPr="000149DA">
        <w:rPr>
          <w:rFonts w:cs="Times New Roman"/>
        </w:rPr>
        <w:t>apixabán</w:t>
      </w:r>
      <w:r w:rsidR="00B52858">
        <w:rPr>
          <w:rFonts w:cs="Times New Roman"/>
        </w:rPr>
        <w:t>-</w:t>
      </w:r>
      <w:r w:rsidRPr="000149DA">
        <w:rPr>
          <w:rFonts w:cs="Times New Roman"/>
        </w:rPr>
        <w:t>csoportban 2</w:t>
      </w:r>
      <w:r w:rsidR="00674797" w:rsidRPr="000149DA">
        <w:rPr>
          <w:rFonts w:cs="Times New Roman"/>
        </w:rPr>
        <w:t> betegnél</w:t>
      </w:r>
      <w:r w:rsidRPr="000149DA">
        <w:rPr>
          <w:rFonts w:cs="Times New Roman"/>
        </w:rPr>
        <w:t xml:space="preserve"> (0,27%) </w:t>
      </w:r>
      <w:r w:rsidR="00FB7E26" w:rsidRPr="000149DA">
        <w:rPr>
          <w:rFonts w:cs="Times New Roman"/>
        </w:rPr>
        <w:t>következett be</w:t>
      </w:r>
      <w:r w:rsidRPr="000149DA">
        <w:rPr>
          <w:rFonts w:cs="Times New Roman"/>
        </w:rPr>
        <w:t>, a heparin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pedig 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(0,13%). Nem jelentettek szisztémás embóliás eseményt.</w:t>
      </w:r>
    </w:p>
    <w:p w14:paraId="2BDEC88A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1CC02B67" w14:textId="30A33BFA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B52858">
        <w:rPr>
          <w:rFonts w:cs="Times New Roman"/>
        </w:rPr>
        <w:t>-</w:t>
      </w:r>
      <w:r w:rsidRPr="000149DA">
        <w:rPr>
          <w:rFonts w:cs="Times New Roman"/>
        </w:rPr>
        <w:t>csoportban 3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(0,41%) fordult elő súlyos vérzés, és 11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(1,50%) klinikailag jelentős, nem súlyos vérzési esemény, a heparin és/vagy K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pedig ezek sorrendben 6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(0,83%), illetve 13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(1,80%) fordultak elő.</w:t>
      </w:r>
    </w:p>
    <w:p w14:paraId="134DDD05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2D24D10C" w14:textId="7768CCB9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Ez a feltáró vizsgálat </w:t>
      </w:r>
      <w:r w:rsidR="00FB7E26" w:rsidRPr="000149DA">
        <w:rPr>
          <w:rFonts w:cs="Times New Roman"/>
        </w:rPr>
        <w:t xml:space="preserve">kardioverzió esetén </w:t>
      </w:r>
      <w:r w:rsidRPr="000149DA">
        <w:rPr>
          <w:rFonts w:cs="Times New Roman"/>
        </w:rPr>
        <w:t xml:space="preserve">összemérhető hatásosságot és biztonságosságot mutatott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heparin és/vagy K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csoportban.</w:t>
      </w:r>
    </w:p>
    <w:p w14:paraId="78749717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2BD5567A" w14:textId="501C59CC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  <w:i/>
          <w:iCs/>
          <w:u w:val="single"/>
        </w:rPr>
        <w:t>MVT kezelése, PE kezelése, valamint az MVT és a PE kiújulásának megelőzése (VTEt</w:t>
      </w:r>
      <w:r w:rsidRPr="000149DA">
        <w:rPr>
          <w:rFonts w:cs="Times New Roman"/>
        </w:rPr>
        <w:t xml:space="preserve">) </w:t>
      </w:r>
    </w:p>
    <w:p w14:paraId="32634962" w14:textId="714E29A8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</w:t>
      </w:r>
      <w:r w:rsidR="00326B05" w:rsidRPr="00326B05">
        <w:rPr>
          <w:rFonts w:cs="Times New Roman"/>
        </w:rPr>
        <w:t xml:space="preserve">felnőttek körében </w:t>
      </w:r>
      <w:r w:rsidR="00326B05">
        <w:rPr>
          <w:rFonts w:cs="Times New Roman"/>
        </w:rPr>
        <w:t xml:space="preserve">végzett </w:t>
      </w:r>
      <w:r w:rsidRPr="000149DA">
        <w:rPr>
          <w:rFonts w:cs="Times New Roman"/>
        </w:rPr>
        <w:t xml:space="preserve">klinikai programot (AMPLIFY: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enoxaparin/warfarin, AMPLIFY-EXT: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placebo) úgy tervezték, hogy igazolja az MVT és/vagy PE kezelésére adott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hatásosságát és biztonságosságát (AMPLIFY), illetve az MVT és/vagy PE 6-12</w:t>
      </w:r>
      <w:r w:rsidR="001E2C32" w:rsidRPr="000149DA">
        <w:rPr>
          <w:rFonts w:cs="Times New Roman"/>
        </w:rPr>
        <w:t> </w:t>
      </w:r>
      <w:r w:rsidRPr="000149DA">
        <w:rPr>
          <w:rFonts w:cs="Times New Roman"/>
        </w:rPr>
        <w:t>hónapig tartó antikoaguláns kezelése után, az MVT és/vagy a PE kiújulásának megelőzésére adott, kiterjesztett kezelés hatásosságát és biztonságosságát (AMPLIFY-EXT). Mindkét vizsgálat randomizált, párhuzamos csoportú, kettős</w:t>
      </w:r>
      <w:r w:rsidR="00A97D8D">
        <w:rPr>
          <w:rFonts w:cs="Times New Roman"/>
        </w:rPr>
        <w:t xml:space="preserve"> </w:t>
      </w:r>
      <w:r w:rsidRPr="000149DA">
        <w:rPr>
          <w:rFonts w:cs="Times New Roman"/>
        </w:rPr>
        <w:t>vak, nemzetközi vizsgálat volt, amit tünetekkel járó, proximalis típusú mélyvénás thrombosisos vagy tünetekkel járó pulmonalis emboliás</w:t>
      </w:r>
      <w:r w:rsidR="007711FF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bevonásával végeztek. </w:t>
      </w:r>
      <w:r w:rsidR="001E2C32" w:rsidRPr="000149DA">
        <w:rPr>
          <w:rFonts w:cs="Times New Roman"/>
        </w:rPr>
        <w:t xml:space="preserve">Minden </w:t>
      </w:r>
      <w:r w:rsidRPr="000149DA">
        <w:rPr>
          <w:rFonts w:cs="Times New Roman"/>
        </w:rPr>
        <w:t>fontosabb biztonságossági és hatásossági végpontot egy független bíráló bizottság</w:t>
      </w:r>
      <w:r w:rsidR="001E2C32" w:rsidRPr="000149DA">
        <w:rPr>
          <w:rFonts w:cs="Times New Roman"/>
        </w:rPr>
        <w:t xml:space="preserve"> ítélt meg</w:t>
      </w:r>
      <w:r w:rsidRPr="000149DA">
        <w:rPr>
          <w:rFonts w:cs="Times New Roman"/>
        </w:rPr>
        <w:t>, a kapott kezelést nem ismerve.</w:t>
      </w:r>
    </w:p>
    <w:p w14:paraId="2602FDE2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5BD2934D" w14:textId="3C836BF9" w:rsidR="00B62AE4" w:rsidRPr="000149DA" w:rsidRDefault="00B62AE4" w:rsidP="00DF5655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AMPLIFY</w:t>
      </w:r>
      <w:r w:rsidR="008058E5">
        <w:rPr>
          <w:rFonts w:cs="Times New Roman"/>
          <w:u w:val="single"/>
        </w:rPr>
        <w:t>-vizsgálat</w:t>
      </w:r>
    </w:p>
    <w:p w14:paraId="51C68EFF" w14:textId="4BB5A971" w:rsidR="00B62AE4" w:rsidRPr="00D15884" w:rsidRDefault="00B62AE4" w:rsidP="00B57529">
      <w:pPr>
        <w:pStyle w:val="Nincstrkz"/>
        <w:rPr>
          <w:rFonts w:cs="Times New Roman"/>
        </w:rPr>
      </w:pPr>
      <w:r w:rsidRPr="00053B8E">
        <w:rPr>
          <w:rFonts w:cs="Times New Roman"/>
        </w:rPr>
        <w:t>Az AMPLIFY</w:t>
      </w:r>
      <w:r w:rsidR="001E2C32" w:rsidRPr="00053B8E">
        <w:rPr>
          <w:rFonts w:cs="Times New Roman"/>
        </w:rPr>
        <w:noBreakHyphen/>
      </w:r>
      <w:r w:rsidRPr="00053B8E">
        <w:rPr>
          <w:rFonts w:cs="Times New Roman"/>
        </w:rPr>
        <w:t>vizsgálatba összesen 5395</w:t>
      </w:r>
      <w:r w:rsidR="00A1416D" w:rsidRPr="00053B8E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53B8E">
        <w:rPr>
          <w:rFonts w:cs="Times New Roman"/>
        </w:rPr>
        <w:t>beteg</w:t>
      </w:r>
      <w:r w:rsidRPr="00053B8E">
        <w:rPr>
          <w:rFonts w:cs="Times New Roman"/>
        </w:rPr>
        <w:t>et randomizáltak 7</w:t>
      </w:r>
      <w:r w:rsidR="003B67D5" w:rsidRPr="00053B8E">
        <w:rPr>
          <w:rFonts w:cs="Times New Roman"/>
        </w:rPr>
        <w:t> nap</w:t>
      </w:r>
      <w:r w:rsidRPr="00053B8E">
        <w:rPr>
          <w:rFonts w:cs="Times New Roman"/>
        </w:rPr>
        <w:t>ig tartó,</w:t>
      </w:r>
      <w:r w:rsidR="001E2C32" w:rsidRPr="00053B8E">
        <w:rPr>
          <w:rFonts w:cs="Times New Roman"/>
        </w:rPr>
        <w:t xml:space="preserve"> </w:t>
      </w:r>
      <w:r w:rsidR="003B67D5" w:rsidRPr="00053B8E">
        <w:rPr>
          <w:rFonts w:cs="Times New Roman"/>
        </w:rPr>
        <w:t>nap</w:t>
      </w:r>
      <w:r w:rsidRPr="00535848">
        <w:rPr>
          <w:rFonts w:cs="Times New Roman"/>
        </w:rPr>
        <w:t>onta kétszer 10</w:t>
      </w:r>
      <w:r w:rsidR="004C106B" w:rsidRPr="00535848">
        <w:rPr>
          <w:rFonts w:cs="Times New Roman"/>
        </w:rPr>
        <w:t> mg</w:t>
      </w:r>
      <w:r w:rsidRPr="00BB583F">
        <w:rPr>
          <w:rFonts w:cs="Times New Roman"/>
        </w:rPr>
        <w:t xml:space="preserve"> per os </w:t>
      </w:r>
      <w:r w:rsidR="00D6140D" w:rsidRPr="00BB583F">
        <w:rPr>
          <w:rFonts w:cs="Times New Roman"/>
        </w:rPr>
        <w:t>apixabán</w:t>
      </w:r>
      <w:r w:rsidR="001E2C32" w:rsidRPr="00680CAA">
        <w:rPr>
          <w:rFonts w:cs="Times New Roman"/>
        </w:rPr>
        <w:noBreakHyphen/>
      </w:r>
      <w:r w:rsidRPr="00680CAA">
        <w:rPr>
          <w:rFonts w:cs="Times New Roman"/>
        </w:rPr>
        <w:t>kezelésre, amit 6</w:t>
      </w:r>
      <w:r w:rsidR="009C769D">
        <w:rPr>
          <w:rFonts w:cs="Times New Roman"/>
        </w:rPr>
        <w:t> </w:t>
      </w:r>
      <w:r w:rsidRPr="00053B8E">
        <w:rPr>
          <w:rFonts w:cs="Times New Roman"/>
        </w:rPr>
        <w:t>hónapig</w:t>
      </w:r>
      <w:r w:rsidR="001E2C32" w:rsidRPr="00053B8E">
        <w:rPr>
          <w:rFonts w:cs="Times New Roman"/>
        </w:rPr>
        <w:t xml:space="preserve"> </w:t>
      </w:r>
      <w:r w:rsidR="003B67D5" w:rsidRPr="00053B8E">
        <w:rPr>
          <w:rFonts w:cs="Times New Roman"/>
        </w:rPr>
        <w:t>nap</w:t>
      </w:r>
      <w:r w:rsidRPr="00053B8E">
        <w:rPr>
          <w:rFonts w:cs="Times New Roman"/>
        </w:rPr>
        <w:t>onta kétszer 5</w:t>
      </w:r>
      <w:r w:rsidR="004C106B" w:rsidRPr="00053B8E">
        <w:rPr>
          <w:rFonts w:cs="Times New Roman"/>
        </w:rPr>
        <w:t> mg</w:t>
      </w:r>
      <w:r w:rsidRPr="00053B8E">
        <w:rPr>
          <w:rFonts w:cs="Times New Roman"/>
        </w:rPr>
        <w:t xml:space="preserve"> per 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követett, vagy pedig legalább 5</w:t>
      </w:r>
      <w:r w:rsidR="003B67D5" w:rsidRPr="00535848">
        <w:rPr>
          <w:rFonts w:cs="Times New Roman"/>
        </w:rPr>
        <w:t> nap</w:t>
      </w:r>
      <w:r w:rsidRPr="00535848">
        <w:rPr>
          <w:rFonts w:cs="Times New Roman"/>
        </w:rPr>
        <w:t>ig tartó (amíg az INR</w:t>
      </w:r>
      <w:r w:rsidR="000C6360" w:rsidRPr="00BB583F">
        <w:rPr>
          <w:rFonts w:cs="Times New Roman"/>
        </w:rPr>
        <w:t> ≥ </w:t>
      </w:r>
      <w:r w:rsidRPr="00BB583F">
        <w:rPr>
          <w:rFonts w:cs="Times New Roman"/>
        </w:rPr>
        <w:t>2),</w:t>
      </w:r>
      <w:r w:rsidR="003B67D5" w:rsidRPr="00680CAA">
        <w:rPr>
          <w:rFonts w:cs="Times New Roman"/>
        </w:rPr>
        <w:t> nap</w:t>
      </w:r>
      <w:r w:rsidRPr="00680CAA">
        <w:rPr>
          <w:rFonts w:cs="Times New Roman"/>
        </w:rPr>
        <w:t>onta kétszer 1</w:t>
      </w:r>
      <w:r w:rsidR="004C106B" w:rsidRPr="00680CAA">
        <w:rPr>
          <w:rFonts w:cs="Times New Roman"/>
        </w:rPr>
        <w:t> mg</w:t>
      </w:r>
      <w:r w:rsidRPr="00680CAA">
        <w:rPr>
          <w:rFonts w:cs="Times New Roman"/>
        </w:rPr>
        <w:t>/kg subcutan enoxaparinnal és</w:t>
      </w:r>
      <w:r w:rsidR="000C6360" w:rsidRPr="00680CAA">
        <w:rPr>
          <w:rFonts w:cs="Times New Roman"/>
        </w:rPr>
        <w:t xml:space="preserve"> </w:t>
      </w:r>
      <w:r w:rsidRPr="00700D63">
        <w:rPr>
          <w:rFonts w:cs="Times New Roman"/>
        </w:rPr>
        <w:t>6</w:t>
      </w:r>
      <w:r w:rsidR="000C6360" w:rsidRPr="00700D63">
        <w:rPr>
          <w:rFonts w:cs="Times New Roman"/>
        </w:rPr>
        <w:t> </w:t>
      </w:r>
      <w:r w:rsidRPr="00700D63">
        <w:rPr>
          <w:rFonts w:cs="Times New Roman"/>
        </w:rPr>
        <w:t>hónapig tartó per os warfarinnal (elérendő INR</w:t>
      </w:r>
      <w:r w:rsidR="000C6360" w:rsidRPr="008F17BA">
        <w:rPr>
          <w:rFonts w:cs="Times New Roman"/>
        </w:rPr>
        <w:noBreakHyphen/>
      </w:r>
      <w:r w:rsidRPr="00D15884">
        <w:rPr>
          <w:rFonts w:cs="Times New Roman"/>
        </w:rPr>
        <w:t>tartomány 2,0</w:t>
      </w:r>
      <w:r w:rsidR="001E2C32" w:rsidRPr="00D15884">
        <w:rPr>
          <w:rFonts w:cs="Times New Roman"/>
        </w:rPr>
        <w:noBreakHyphen/>
      </w:r>
      <w:r w:rsidRPr="00D15884">
        <w:rPr>
          <w:rFonts w:cs="Times New Roman"/>
        </w:rPr>
        <w:t>3,0) végzett kezelésre.</w:t>
      </w:r>
    </w:p>
    <w:p w14:paraId="4968A367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E518D4B" w14:textId="11666F7B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Az átlagéletkor 56,9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 volt, és a randomizált</w:t>
      </w:r>
      <w:r w:rsidR="000C636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89,8%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ának volt ok nélküli VTE eseménye.</w:t>
      </w:r>
    </w:p>
    <w:p w14:paraId="6E9CF3AB" w14:textId="4097FF12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 warfarinra randomizált</w:t>
      </w:r>
      <w:r w:rsidR="000C6360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 terápiás tartományban (INR 2,0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3,0) eltöltött időtartam (</w:t>
      </w:r>
      <w:r w:rsidR="001E2C32" w:rsidRPr="000149DA">
        <w:rPr>
          <w:rFonts w:cs="Times New Roman"/>
        </w:rPr>
        <w:t>TTR</w:t>
      </w:r>
      <w:r w:rsidRPr="000149DA">
        <w:rPr>
          <w:rFonts w:cs="Times New Roman"/>
        </w:rPr>
        <w:t xml:space="preserve">) átlagos aránya 60,9% volt.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a vizsgálati centrumra jellemző, különböző TTR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szintektől függetlenül csökkent a szimptomatikus VTE események kiújulása és a VTE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vel összefüggő halálozás. A centrumnak megfelelő legfelső TTR kvartilisben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0,79 (95%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os CI: 0,39; 1,61) volt a relatív kockázat az enoxaparin/warfarin kezeléshez képest.</w:t>
      </w:r>
    </w:p>
    <w:p w14:paraId="163CD02C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360AF4F0" w14:textId="18D21271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kimutatták, hogy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0C6360" w:rsidRPr="000149DA">
        <w:rPr>
          <w:rFonts w:cs="Times New Roman"/>
        </w:rPr>
        <w:t xml:space="preserve">nem volt kevésbé hatásos </w:t>
      </w:r>
      <w:r w:rsidRPr="000149DA">
        <w:rPr>
          <w:rFonts w:cs="Times New Roman"/>
        </w:rPr>
        <w:t>az enoxaparin/warfarin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kezeléshez képest a kombinált elsődleges végpontban, melynek összetevői: az igazolt, recidív szimptomatikus VTE (nem halálos MVT vagy nem halálos PE) és a VTE</w:t>
      </w:r>
      <w:r w:rsidR="00107E0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vel összefüggő halálozás (lásd </w:t>
      </w:r>
      <w:r w:rsidR="00326B05">
        <w:rPr>
          <w:rFonts w:cs="Times New Roman"/>
        </w:rPr>
        <w:t>9</w:t>
      </w:r>
      <w:r w:rsidRPr="000149DA">
        <w:rPr>
          <w:rFonts w:cs="Times New Roman"/>
        </w:rPr>
        <w:t>. táblázat).</w:t>
      </w:r>
    </w:p>
    <w:p w14:paraId="5D636391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8EF9D59" w14:textId="77777777" w:rsidR="00B62AE4" w:rsidRPr="000149DA" w:rsidRDefault="00B62AE4" w:rsidP="00304D8C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spacing w:after="5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vizsgálat hatásossági</w:t>
      </w:r>
      <w:r w:rsidRPr="000149DA">
        <w:rPr>
          <w:b w:val="0"/>
          <w:bCs w:val="0"/>
          <w:spacing w:val="-11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410"/>
        <w:gridCol w:w="2126"/>
      </w:tblGrid>
      <w:tr w:rsidR="000C6360" w:rsidRPr="000149DA" w14:paraId="70371F01" w14:textId="77777777" w:rsidTr="00107E00">
        <w:trPr>
          <w:trHeight w:val="1254"/>
        </w:trPr>
        <w:tc>
          <w:tcPr>
            <w:tcW w:w="2835" w:type="dxa"/>
          </w:tcPr>
          <w:p w14:paraId="2B7439D9" w14:textId="77777777" w:rsidR="000C6360" w:rsidRPr="000149DA" w:rsidRDefault="000C6360" w:rsidP="001E2C32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24DBFD7F" w14:textId="6FB5DBCD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</w:p>
          <w:p w14:paraId="26CBB748" w14:textId="1136B4E0" w:rsidR="000C6360" w:rsidRPr="000149DA" w:rsidRDefault="007D4C4D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0C6360" w:rsidRPr="000149DA">
              <w:rPr>
                <w:rFonts w:cs="Times New Roman"/>
                <w:b/>
                <w:bCs/>
                <w:w w:val="105"/>
              </w:rPr>
              <w:t>2609</w:t>
            </w:r>
          </w:p>
          <w:p w14:paraId="2698A570" w14:textId="70431A1F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410" w:type="dxa"/>
            <w:vAlign w:val="center"/>
          </w:tcPr>
          <w:p w14:paraId="2995248B" w14:textId="080ACD05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</w:rPr>
              <w:t>Enoxaparin/Warfar</w:t>
            </w:r>
            <w:r w:rsidRPr="000149DA">
              <w:rPr>
                <w:rFonts w:cs="Times New Roman"/>
                <w:b/>
                <w:bCs/>
                <w:w w:val="105"/>
              </w:rPr>
              <w:t>in</w:t>
            </w:r>
          </w:p>
          <w:p w14:paraId="59A7A9D5" w14:textId="0DD16604" w:rsidR="000C6360" w:rsidRPr="000149DA" w:rsidRDefault="007D4C4D" w:rsidP="001E2C32">
            <w:pPr>
              <w:pStyle w:val="TableParagraph"/>
              <w:keepNext/>
              <w:widowControl/>
              <w:spacing w:line="223" w:lineRule="exact"/>
              <w:ind w:left="581" w:right="574" w:hanging="342"/>
              <w:jc w:val="center"/>
              <w:rPr>
                <w:b/>
                <w:bCs/>
                <w:lang w:val="hu-HU"/>
              </w:rPr>
            </w:pPr>
            <w:r w:rsidRPr="000149DA">
              <w:rPr>
                <w:b/>
                <w:bCs/>
                <w:w w:val="105"/>
              </w:rPr>
              <w:t>N = </w:t>
            </w:r>
            <w:r w:rsidR="000C6360" w:rsidRPr="000149DA">
              <w:rPr>
                <w:b/>
                <w:bCs/>
                <w:w w:val="105"/>
              </w:rPr>
              <w:t>2635</w:t>
            </w:r>
          </w:p>
          <w:p w14:paraId="490F8B49" w14:textId="102B3935" w:rsidR="000C6360" w:rsidRPr="000149DA" w:rsidRDefault="000C6360" w:rsidP="001E2C32">
            <w:pPr>
              <w:pStyle w:val="TableParagraph"/>
              <w:keepNext/>
              <w:widowControl/>
              <w:spacing w:line="223" w:lineRule="exact"/>
              <w:ind w:left="581" w:right="573"/>
              <w:jc w:val="center"/>
              <w:rPr>
                <w:b/>
                <w:bCs/>
                <w:lang w:val="hu-HU"/>
              </w:rPr>
            </w:pPr>
            <w:r w:rsidRPr="000149DA">
              <w:rPr>
                <w:b/>
                <w:bCs/>
                <w:w w:val="105"/>
              </w:rPr>
              <w:t>n (%)</w:t>
            </w:r>
          </w:p>
        </w:tc>
        <w:tc>
          <w:tcPr>
            <w:tcW w:w="2126" w:type="dxa"/>
            <w:vAlign w:val="center"/>
          </w:tcPr>
          <w:p w14:paraId="745F41F0" w14:textId="77777777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Relatív kockázat</w:t>
            </w:r>
          </w:p>
          <w:p w14:paraId="05718CE7" w14:textId="77777777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(95%-os CI)</w:t>
            </w:r>
          </w:p>
        </w:tc>
      </w:tr>
      <w:tr w:rsidR="00B62AE4" w:rsidRPr="000149DA" w14:paraId="1DB27569" w14:textId="77777777" w:rsidTr="00107E00">
        <w:trPr>
          <w:trHeight w:val="570"/>
        </w:trPr>
        <w:tc>
          <w:tcPr>
            <w:tcW w:w="2835" w:type="dxa"/>
          </w:tcPr>
          <w:p w14:paraId="5362055A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VTE vagy VTE-vel összefüggő halálozás</w:t>
            </w:r>
          </w:p>
        </w:tc>
        <w:tc>
          <w:tcPr>
            <w:tcW w:w="1843" w:type="dxa"/>
            <w:vAlign w:val="center"/>
          </w:tcPr>
          <w:p w14:paraId="727431F2" w14:textId="77777777" w:rsidR="00B62AE4" w:rsidRPr="000149DA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59 (2,3)</w:t>
            </w:r>
          </w:p>
        </w:tc>
        <w:tc>
          <w:tcPr>
            <w:tcW w:w="2410" w:type="dxa"/>
            <w:vAlign w:val="center"/>
          </w:tcPr>
          <w:p w14:paraId="6EAD1276" w14:textId="77777777" w:rsidR="00B62AE4" w:rsidRPr="000149DA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71 (2,7)</w:t>
            </w:r>
          </w:p>
        </w:tc>
        <w:tc>
          <w:tcPr>
            <w:tcW w:w="2126" w:type="dxa"/>
            <w:vAlign w:val="center"/>
          </w:tcPr>
          <w:p w14:paraId="00AA3B52" w14:textId="77777777" w:rsidR="00B62AE4" w:rsidRPr="000149DA" w:rsidRDefault="00B62AE4" w:rsidP="004C4646">
            <w:pPr>
              <w:pStyle w:val="TableParagraph"/>
              <w:spacing w:before="53"/>
              <w:ind w:left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0,84 (0,60; 1,18)*</w:t>
            </w:r>
          </w:p>
        </w:tc>
      </w:tr>
      <w:tr w:rsidR="00B62AE4" w:rsidRPr="000149DA" w14:paraId="2F654E9D" w14:textId="77777777" w:rsidTr="00107E00">
        <w:trPr>
          <w:trHeight w:val="342"/>
        </w:trPr>
        <w:tc>
          <w:tcPr>
            <w:tcW w:w="2835" w:type="dxa"/>
          </w:tcPr>
          <w:p w14:paraId="624EEE99" w14:textId="77777777" w:rsidR="00B62AE4" w:rsidRPr="000149DA" w:rsidRDefault="00B62AE4" w:rsidP="003B67D5">
            <w:pPr>
              <w:pStyle w:val="TableParagraph"/>
              <w:spacing w:before="53"/>
              <w:ind w:left="438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</w:p>
        </w:tc>
        <w:tc>
          <w:tcPr>
            <w:tcW w:w="1843" w:type="dxa"/>
            <w:vAlign w:val="center"/>
          </w:tcPr>
          <w:p w14:paraId="0924446E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20 (0,7)</w:t>
            </w:r>
          </w:p>
        </w:tc>
        <w:tc>
          <w:tcPr>
            <w:tcW w:w="2410" w:type="dxa"/>
            <w:vAlign w:val="center"/>
          </w:tcPr>
          <w:p w14:paraId="4F61EDDA" w14:textId="77777777" w:rsidR="00B62AE4" w:rsidRPr="000149DA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33 (1,2)</w:t>
            </w:r>
          </w:p>
        </w:tc>
        <w:tc>
          <w:tcPr>
            <w:tcW w:w="2126" w:type="dxa"/>
            <w:vAlign w:val="center"/>
          </w:tcPr>
          <w:p w14:paraId="7AEE9F61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7BAA49E7" w14:textId="77777777" w:rsidTr="00107E00">
        <w:trPr>
          <w:trHeight w:val="340"/>
        </w:trPr>
        <w:tc>
          <w:tcPr>
            <w:tcW w:w="2835" w:type="dxa"/>
          </w:tcPr>
          <w:p w14:paraId="5C85B8F9" w14:textId="77777777" w:rsidR="00B62AE4" w:rsidRPr="000149DA" w:rsidRDefault="00B62AE4" w:rsidP="003B67D5">
            <w:pPr>
              <w:pStyle w:val="TableParagraph"/>
              <w:spacing w:before="53"/>
              <w:ind w:left="439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</w:p>
        </w:tc>
        <w:tc>
          <w:tcPr>
            <w:tcW w:w="1843" w:type="dxa"/>
            <w:vAlign w:val="center"/>
          </w:tcPr>
          <w:p w14:paraId="1115FD6E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27 (1,0)</w:t>
            </w:r>
          </w:p>
        </w:tc>
        <w:tc>
          <w:tcPr>
            <w:tcW w:w="2410" w:type="dxa"/>
            <w:vAlign w:val="center"/>
          </w:tcPr>
          <w:p w14:paraId="13A817B1" w14:textId="77777777" w:rsidR="00B62AE4" w:rsidRPr="000149DA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23 (0,9)</w:t>
            </w:r>
          </w:p>
        </w:tc>
        <w:tc>
          <w:tcPr>
            <w:tcW w:w="2126" w:type="dxa"/>
            <w:vAlign w:val="center"/>
          </w:tcPr>
          <w:p w14:paraId="32A193A7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16409DC5" w14:textId="77777777" w:rsidTr="00107E00">
        <w:trPr>
          <w:trHeight w:val="570"/>
        </w:trPr>
        <w:tc>
          <w:tcPr>
            <w:tcW w:w="2835" w:type="dxa"/>
          </w:tcPr>
          <w:p w14:paraId="4EE213C2" w14:textId="77777777" w:rsidR="00B62AE4" w:rsidRPr="000149DA" w:rsidRDefault="00B62AE4" w:rsidP="00107E00">
            <w:pPr>
              <w:pStyle w:val="TableParagraph"/>
              <w:spacing w:before="53"/>
              <w:ind w:left="426" w:firstLine="12"/>
              <w:rPr>
                <w:lang w:val="hu-HU"/>
              </w:rPr>
            </w:pPr>
            <w:r w:rsidRPr="000149DA">
              <w:rPr>
                <w:w w:val="105"/>
              </w:rPr>
              <w:t>VTE-vel összefüggő halálozás</w:t>
            </w:r>
          </w:p>
        </w:tc>
        <w:tc>
          <w:tcPr>
            <w:tcW w:w="1843" w:type="dxa"/>
            <w:vAlign w:val="center"/>
          </w:tcPr>
          <w:p w14:paraId="521CE898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 (0,4)</w:t>
            </w:r>
          </w:p>
        </w:tc>
        <w:tc>
          <w:tcPr>
            <w:tcW w:w="2410" w:type="dxa"/>
            <w:vAlign w:val="center"/>
          </w:tcPr>
          <w:p w14:paraId="3A13F75F" w14:textId="77777777" w:rsidR="00B62AE4" w:rsidRPr="000149DA" w:rsidRDefault="00B62AE4" w:rsidP="004C4646">
            <w:pPr>
              <w:pStyle w:val="TableParagraph"/>
              <w:spacing w:before="53"/>
              <w:ind w:left="580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15 (0,6)</w:t>
            </w:r>
          </w:p>
        </w:tc>
        <w:tc>
          <w:tcPr>
            <w:tcW w:w="2126" w:type="dxa"/>
            <w:vAlign w:val="center"/>
          </w:tcPr>
          <w:p w14:paraId="2B05BD6C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31AFF0F3" w14:textId="77777777" w:rsidTr="00107E00">
        <w:trPr>
          <w:trHeight w:val="571"/>
        </w:trPr>
        <w:tc>
          <w:tcPr>
            <w:tcW w:w="2835" w:type="dxa"/>
          </w:tcPr>
          <w:p w14:paraId="47F1579F" w14:textId="53B51528" w:rsidR="00B62AE4" w:rsidRPr="000149DA" w:rsidRDefault="00B62AE4" w:rsidP="003B67D5">
            <w:pPr>
              <w:pStyle w:val="TableParagraph"/>
              <w:spacing w:before="54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VTE vagy </w:t>
            </w:r>
            <w:r w:rsidR="00107E00" w:rsidRPr="000149DA">
              <w:rPr>
                <w:w w:val="105"/>
              </w:rPr>
              <w:t>bármely ok miatt bekövetkező halálozás</w:t>
            </w:r>
          </w:p>
        </w:tc>
        <w:tc>
          <w:tcPr>
            <w:tcW w:w="1843" w:type="dxa"/>
            <w:vAlign w:val="center"/>
          </w:tcPr>
          <w:p w14:paraId="10BB4C6D" w14:textId="77777777" w:rsidR="00B62AE4" w:rsidRPr="000149DA" w:rsidRDefault="00B62AE4" w:rsidP="004C4646">
            <w:pPr>
              <w:pStyle w:val="TableParagraph"/>
              <w:spacing w:before="54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84 (3,2)</w:t>
            </w:r>
          </w:p>
        </w:tc>
        <w:tc>
          <w:tcPr>
            <w:tcW w:w="2410" w:type="dxa"/>
            <w:vAlign w:val="center"/>
          </w:tcPr>
          <w:p w14:paraId="7C6FA705" w14:textId="77777777" w:rsidR="00B62AE4" w:rsidRPr="000149DA" w:rsidRDefault="00B62AE4" w:rsidP="004C4646">
            <w:pPr>
              <w:pStyle w:val="TableParagraph"/>
              <w:spacing w:before="54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104 (4,0)</w:t>
            </w:r>
          </w:p>
        </w:tc>
        <w:tc>
          <w:tcPr>
            <w:tcW w:w="2126" w:type="dxa"/>
            <w:vAlign w:val="center"/>
          </w:tcPr>
          <w:p w14:paraId="62675836" w14:textId="77777777" w:rsidR="00B62AE4" w:rsidRPr="000149DA" w:rsidRDefault="00B62AE4" w:rsidP="004C4646">
            <w:pPr>
              <w:pStyle w:val="TableParagraph"/>
              <w:spacing w:before="54"/>
              <w:ind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0,82 (0,61; 1,08)</w:t>
            </w:r>
          </w:p>
        </w:tc>
      </w:tr>
      <w:tr w:rsidR="00B62AE4" w:rsidRPr="000149DA" w14:paraId="3721250A" w14:textId="77777777" w:rsidTr="00107E00">
        <w:trPr>
          <w:trHeight w:val="570"/>
        </w:trPr>
        <w:tc>
          <w:tcPr>
            <w:tcW w:w="2835" w:type="dxa"/>
          </w:tcPr>
          <w:p w14:paraId="45BB723E" w14:textId="77777777" w:rsidR="00B62AE4" w:rsidRPr="000149DA" w:rsidRDefault="00B62AE4" w:rsidP="003B67D5">
            <w:pPr>
              <w:pStyle w:val="TableParagraph"/>
              <w:spacing w:before="52"/>
              <w:ind w:left="100" w:right="127"/>
              <w:rPr>
                <w:lang w:val="hu-HU"/>
              </w:rPr>
            </w:pPr>
            <w:r w:rsidRPr="000149DA">
              <w:rPr>
                <w:w w:val="105"/>
              </w:rPr>
              <w:t>VTE vagy CV eredetű halálozás</w:t>
            </w:r>
          </w:p>
        </w:tc>
        <w:tc>
          <w:tcPr>
            <w:tcW w:w="1843" w:type="dxa"/>
            <w:vAlign w:val="center"/>
          </w:tcPr>
          <w:p w14:paraId="431A97CE" w14:textId="77777777" w:rsidR="00B62AE4" w:rsidRPr="000149DA" w:rsidRDefault="00B62AE4" w:rsidP="004C4646">
            <w:pPr>
              <w:pStyle w:val="TableParagraph"/>
              <w:spacing w:before="52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61 (2,3)</w:t>
            </w:r>
          </w:p>
        </w:tc>
        <w:tc>
          <w:tcPr>
            <w:tcW w:w="2410" w:type="dxa"/>
            <w:vAlign w:val="center"/>
          </w:tcPr>
          <w:p w14:paraId="6E3E8729" w14:textId="77777777" w:rsidR="00B62AE4" w:rsidRPr="000149DA" w:rsidRDefault="00B62AE4" w:rsidP="004C4646">
            <w:pPr>
              <w:pStyle w:val="TableParagraph"/>
              <w:spacing w:before="52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77 (2,9)</w:t>
            </w:r>
          </w:p>
        </w:tc>
        <w:tc>
          <w:tcPr>
            <w:tcW w:w="2126" w:type="dxa"/>
            <w:vAlign w:val="center"/>
          </w:tcPr>
          <w:p w14:paraId="6FD41B1D" w14:textId="77777777" w:rsidR="00B62AE4" w:rsidRPr="000149DA" w:rsidRDefault="00B62AE4" w:rsidP="004C4646">
            <w:pPr>
              <w:pStyle w:val="TableParagraph"/>
              <w:spacing w:before="52"/>
              <w:ind w:left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0,80 (0,57; 1,11)</w:t>
            </w:r>
          </w:p>
        </w:tc>
      </w:tr>
      <w:tr w:rsidR="00B62AE4" w:rsidRPr="000149DA" w14:paraId="274C20F1" w14:textId="77777777" w:rsidTr="00107E00">
        <w:trPr>
          <w:trHeight w:val="800"/>
        </w:trPr>
        <w:tc>
          <w:tcPr>
            <w:tcW w:w="2835" w:type="dxa"/>
          </w:tcPr>
          <w:p w14:paraId="6E524513" w14:textId="3DD7F539" w:rsidR="00B62AE4" w:rsidRPr="000149DA" w:rsidRDefault="00B62AE4" w:rsidP="00107E00">
            <w:pPr>
              <w:pStyle w:val="TableParagraph"/>
              <w:spacing w:before="53" w:line="230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VTE, VTE-vel</w:t>
            </w:r>
            <w:r w:rsidR="00107E00" w:rsidRPr="000149DA">
              <w:rPr>
                <w:w w:val="105"/>
              </w:rPr>
              <w:t xml:space="preserve"> </w:t>
            </w:r>
            <w:r w:rsidRPr="000149DA">
              <w:rPr>
                <w:w w:val="105"/>
              </w:rPr>
              <w:t>összefüggő halálozás vagy nagyfokú vérzés</w:t>
            </w:r>
          </w:p>
        </w:tc>
        <w:tc>
          <w:tcPr>
            <w:tcW w:w="1843" w:type="dxa"/>
            <w:vAlign w:val="center"/>
          </w:tcPr>
          <w:p w14:paraId="6530CCE1" w14:textId="77777777" w:rsidR="00B62AE4" w:rsidRPr="000149DA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73 (2,8)</w:t>
            </w:r>
          </w:p>
        </w:tc>
        <w:tc>
          <w:tcPr>
            <w:tcW w:w="2410" w:type="dxa"/>
            <w:vAlign w:val="center"/>
          </w:tcPr>
          <w:p w14:paraId="1C30D1FF" w14:textId="77777777" w:rsidR="00B62AE4" w:rsidRPr="000149DA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118 (4,5)</w:t>
            </w:r>
          </w:p>
        </w:tc>
        <w:tc>
          <w:tcPr>
            <w:tcW w:w="2126" w:type="dxa"/>
            <w:vAlign w:val="center"/>
          </w:tcPr>
          <w:p w14:paraId="17F4D996" w14:textId="77777777" w:rsidR="00B62AE4" w:rsidRPr="000149DA" w:rsidRDefault="00B62AE4" w:rsidP="004C4646">
            <w:pPr>
              <w:pStyle w:val="TableParagraph"/>
              <w:spacing w:before="53"/>
              <w:ind w:left="1" w:hanging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0,62 (0,47; 0,83)</w:t>
            </w:r>
          </w:p>
        </w:tc>
      </w:tr>
    </w:tbl>
    <w:p w14:paraId="2E988209" w14:textId="23022558" w:rsidR="00B62AE4" w:rsidRPr="00D15884" w:rsidRDefault="00107E00" w:rsidP="00107E00">
      <w:pPr>
        <w:tabs>
          <w:tab w:val="left" w:pos="355"/>
        </w:tabs>
      </w:pPr>
      <w:r w:rsidRPr="00D15884">
        <w:t>*</w:t>
      </w:r>
      <w:r w:rsidR="00B62AE4" w:rsidRPr="00D15884">
        <w:t>N</w:t>
      </w:r>
      <w:r w:rsidR="00396DD5" w:rsidRPr="00D15884">
        <w:t>em kevésbe hatásos (n</w:t>
      </w:r>
      <w:r w:rsidR="00B62AE4" w:rsidRPr="00D15884">
        <w:t>on-inferior</w:t>
      </w:r>
      <w:r w:rsidR="00396DD5" w:rsidRPr="00D15884">
        <w:t>)</w:t>
      </w:r>
      <w:r w:rsidR="00B62AE4" w:rsidRPr="00D15884">
        <w:t xml:space="preserve"> az enoxaparin/warfarin kezeléshez képest (p-érték &lt;</w:t>
      </w:r>
      <w:r w:rsidRPr="00D15884">
        <w:t> </w:t>
      </w:r>
      <w:r w:rsidR="00B62AE4" w:rsidRPr="00D15884">
        <w:rPr>
          <w:spacing w:val="-13"/>
        </w:rPr>
        <w:t xml:space="preserve"> </w:t>
      </w:r>
      <w:r w:rsidR="00B62AE4" w:rsidRPr="00D15884">
        <w:t>0,0001)</w:t>
      </w:r>
    </w:p>
    <w:p w14:paraId="2BC16DDC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36A05B8D" w14:textId="2EBE45BA" w:rsidR="00B62AE4" w:rsidRPr="000149DA" w:rsidRDefault="00B62AE4" w:rsidP="00396DD5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D6140D" w:rsidRPr="00A72E73">
        <w:rPr>
          <w:rFonts w:cs="Times New Roman"/>
        </w:rPr>
        <w:t>apixabán</w:t>
      </w:r>
      <w:r w:rsidRPr="00A97D8D">
        <w:rPr>
          <w:rFonts w:cs="Times New Roman"/>
        </w:rPr>
        <w:t xml:space="preserve"> VTE kezdeti kezelésében mutatott hatásossága </w:t>
      </w:r>
      <w:r w:rsidR="00396DD5" w:rsidRPr="009C769D">
        <w:rPr>
          <w:rFonts w:cs="Times New Roman"/>
        </w:rPr>
        <w:t>konzisztens</w:t>
      </w:r>
      <w:r w:rsidRPr="0035314E">
        <w:rPr>
          <w:rFonts w:cs="Times New Roman"/>
        </w:rPr>
        <w:t xml:space="preserve"> volt a PE </w:t>
      </w:r>
      <w:r w:rsidR="00161D38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0,9; 95%-os CI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0,5; 1,6</w:t>
      </w:r>
      <w:r w:rsidR="00396DD5" w:rsidRPr="000149DA">
        <w:rPr>
          <w:rFonts w:cs="Times New Roman"/>
        </w:rPr>
        <w:t>])</w:t>
      </w:r>
      <w:r w:rsidRPr="000149DA">
        <w:rPr>
          <w:rFonts w:cs="Times New Roman"/>
        </w:rPr>
        <w:t xml:space="preserve"> vagy MVT </w:t>
      </w:r>
      <w:r w:rsidR="00396DD5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0,8; 95%-os CI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0,5; 1,3]</w:t>
      </w:r>
      <w:r w:rsidR="00161D38" w:rsidRPr="000149DA">
        <w:rPr>
          <w:rFonts w:cs="Times New Roman"/>
        </w:rPr>
        <w:t xml:space="preserve">) </w:t>
      </w:r>
      <w:r w:rsidRPr="000149DA">
        <w:rPr>
          <w:rFonts w:cs="Times New Roman"/>
        </w:rPr>
        <w:t>miatt kezelt</w:t>
      </w:r>
      <w:r w:rsidR="00161D3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eknél. Az egyes alcsoportokban mutatott hatásossága – így az életkor, a nem, a testtömegindex (BMI), a vesefunkció, a kezelt PE-index nagysága, a mélyvénás thrombosist okozó thrombus lokalizációja vagy a korábbi parenterális heparin</w:t>
      </w:r>
      <w:r w:rsidR="00107E00" w:rsidRPr="000149DA">
        <w:rPr>
          <w:rFonts w:cs="Times New Roman"/>
        </w:rPr>
        <w:noBreakHyphen/>
      </w:r>
      <w:r w:rsidRPr="000149DA">
        <w:rPr>
          <w:rFonts w:cs="Times New Roman"/>
        </w:rPr>
        <w:t>kezelés szerint – általában konzekvens volt.</w:t>
      </w:r>
    </w:p>
    <w:p w14:paraId="40E506C4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3FED103F" w14:textId="4E1A2A81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elsődleges biztonságossági végpont a nagyfokú vérzés volt. 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statisztikailag jobbnak bizonyult az elsődleges biztonságossági végpontban, mint az enoxaparin/warfarin </w:t>
      </w:r>
      <w:r w:rsidR="00161D38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0,31; 95%-os konfidencia intervallum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0,17; 0,55</w:t>
      </w:r>
      <w:r w:rsidR="00161D38" w:rsidRPr="000149DA">
        <w:rPr>
          <w:rFonts w:cs="Times New Roman"/>
        </w:rPr>
        <w:t>]</w:t>
      </w:r>
      <w:r w:rsidRPr="000149DA">
        <w:rPr>
          <w:rFonts w:cs="Times New Roman"/>
        </w:rPr>
        <w:t>, p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érték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&lt;</w:t>
      </w:r>
      <w:r w:rsidR="00107E00" w:rsidRPr="000149DA">
        <w:rPr>
          <w:rFonts w:cs="Times New Roman"/>
        </w:rPr>
        <w:t> </w:t>
      </w:r>
      <w:r w:rsidR="00161D38" w:rsidRPr="000149DA">
        <w:rPr>
          <w:rFonts w:cs="Times New Roman"/>
        </w:rPr>
        <w:t>0</w:t>
      </w:r>
      <w:r w:rsidRPr="000149DA">
        <w:rPr>
          <w:rFonts w:cs="Times New Roman"/>
        </w:rPr>
        <w:t>,0001</w:t>
      </w:r>
      <w:r w:rsidR="00161D38" w:rsidRPr="000149DA">
        <w:rPr>
          <w:rFonts w:cs="Times New Roman"/>
        </w:rPr>
        <w:t>)</w:t>
      </w:r>
      <w:r w:rsidRPr="000149DA">
        <w:rPr>
          <w:rFonts w:cs="Times New Roman"/>
        </w:rPr>
        <w:t xml:space="preserve"> (lásd </w:t>
      </w:r>
      <w:r w:rsidR="00326B05">
        <w:rPr>
          <w:rFonts w:cs="Times New Roman"/>
        </w:rPr>
        <w:t>10</w:t>
      </w:r>
      <w:r w:rsidRPr="000149DA">
        <w:rPr>
          <w:rFonts w:cs="Times New Roman"/>
        </w:rPr>
        <w:t>. táblázat).</w:t>
      </w:r>
    </w:p>
    <w:p w14:paraId="049524FF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68B8F186" w14:textId="77777777" w:rsidR="00B62AE4" w:rsidRPr="000149DA" w:rsidRDefault="00B62AE4" w:rsidP="00304D8C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vizsgálat vérzési</w:t>
      </w:r>
      <w:r w:rsidRPr="000149DA">
        <w:rPr>
          <w:b w:val="0"/>
          <w:bCs w:val="0"/>
          <w:spacing w:val="-10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060"/>
        <w:gridCol w:w="2059"/>
        <w:gridCol w:w="2773"/>
      </w:tblGrid>
      <w:tr w:rsidR="00107E00" w:rsidRPr="000149DA" w14:paraId="3CD69992" w14:textId="77777777" w:rsidTr="00396DD5">
        <w:trPr>
          <w:trHeight w:val="1050"/>
        </w:trPr>
        <w:tc>
          <w:tcPr>
            <w:tcW w:w="2180" w:type="dxa"/>
          </w:tcPr>
          <w:p w14:paraId="1A1685F0" w14:textId="77777777" w:rsidR="00107E00" w:rsidRPr="000149DA" w:rsidRDefault="00107E00" w:rsidP="00107E00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2060" w:type="dxa"/>
            <w:vAlign w:val="center"/>
          </w:tcPr>
          <w:p w14:paraId="4EFB23EF" w14:textId="2C14AB6C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</w:rPr>
              <w:t>Apixab</w:t>
            </w:r>
            <w:r w:rsidR="003C5AB7" w:rsidRPr="000149DA">
              <w:rPr>
                <w:rFonts w:cs="Times New Roman"/>
                <w:b/>
                <w:bCs/>
              </w:rPr>
              <w:t>á</w:t>
            </w:r>
            <w:r w:rsidRPr="000149DA">
              <w:rPr>
                <w:rFonts w:cs="Times New Roman"/>
                <w:b/>
                <w:bCs/>
              </w:rPr>
              <w:t>n</w:t>
            </w:r>
          </w:p>
          <w:p w14:paraId="139E6DA8" w14:textId="7779864C" w:rsidR="00107E00" w:rsidRPr="000149DA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107E00" w:rsidRPr="000149DA">
              <w:rPr>
                <w:rFonts w:cs="Times New Roman"/>
                <w:b/>
                <w:bCs/>
                <w:w w:val="105"/>
              </w:rPr>
              <w:t>2676</w:t>
            </w:r>
          </w:p>
          <w:p w14:paraId="6D1CFD02" w14:textId="3FE173BD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059" w:type="dxa"/>
            <w:vAlign w:val="center"/>
          </w:tcPr>
          <w:p w14:paraId="5F5FF02A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Enoxaparin/</w:t>
            </w:r>
          </w:p>
          <w:p w14:paraId="7E8D71F1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Warfarin</w:t>
            </w:r>
          </w:p>
          <w:p w14:paraId="13592B6E" w14:textId="118270C7" w:rsidR="00107E00" w:rsidRPr="000149DA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107E00" w:rsidRPr="000149DA">
              <w:rPr>
                <w:rFonts w:cs="Times New Roman"/>
                <w:b/>
                <w:bCs/>
                <w:w w:val="105"/>
              </w:rPr>
              <w:t>2689</w:t>
            </w:r>
          </w:p>
          <w:p w14:paraId="0C23381B" w14:textId="5EE3DE9F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773" w:type="dxa"/>
            <w:vAlign w:val="center"/>
          </w:tcPr>
          <w:p w14:paraId="34CFFD32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Relatív kockázat</w:t>
            </w:r>
          </w:p>
          <w:p w14:paraId="3E2C1962" w14:textId="2A312821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(95%-os CI)</w:t>
            </w:r>
          </w:p>
        </w:tc>
      </w:tr>
      <w:tr w:rsidR="00B62AE4" w:rsidRPr="000149DA" w14:paraId="5FFD2193" w14:textId="77777777" w:rsidTr="00396DD5">
        <w:trPr>
          <w:trHeight w:val="341"/>
        </w:trPr>
        <w:tc>
          <w:tcPr>
            <w:tcW w:w="2180" w:type="dxa"/>
          </w:tcPr>
          <w:p w14:paraId="47D3EBD1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Nagyfokú</w:t>
            </w:r>
          </w:p>
        </w:tc>
        <w:tc>
          <w:tcPr>
            <w:tcW w:w="2060" w:type="dxa"/>
          </w:tcPr>
          <w:p w14:paraId="280A7915" w14:textId="77777777" w:rsidR="00B62AE4" w:rsidRPr="000149DA" w:rsidRDefault="00B62AE4" w:rsidP="003B67D5">
            <w:pPr>
              <w:pStyle w:val="TableParagraph"/>
              <w:spacing w:before="53"/>
              <w:ind w:right="693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15 (0,6)</w:t>
            </w:r>
          </w:p>
        </w:tc>
        <w:tc>
          <w:tcPr>
            <w:tcW w:w="2059" w:type="dxa"/>
          </w:tcPr>
          <w:p w14:paraId="34D3F166" w14:textId="77777777" w:rsidR="00B62AE4" w:rsidRPr="000149DA" w:rsidRDefault="00B62AE4" w:rsidP="003B67D5">
            <w:pPr>
              <w:pStyle w:val="TableParagraph"/>
              <w:spacing w:before="53"/>
              <w:ind w:left="445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49 (1,8)</w:t>
            </w:r>
          </w:p>
        </w:tc>
        <w:tc>
          <w:tcPr>
            <w:tcW w:w="2773" w:type="dxa"/>
          </w:tcPr>
          <w:p w14:paraId="41E09691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0,31 (0,17; 0,55)</w:t>
            </w:r>
          </w:p>
        </w:tc>
      </w:tr>
      <w:tr w:rsidR="00B62AE4" w:rsidRPr="000149DA" w14:paraId="06419168" w14:textId="77777777" w:rsidTr="00396DD5">
        <w:trPr>
          <w:trHeight w:val="342"/>
        </w:trPr>
        <w:tc>
          <w:tcPr>
            <w:tcW w:w="2180" w:type="dxa"/>
          </w:tcPr>
          <w:p w14:paraId="0CFDE9A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Nagyfokú + CRNM</w:t>
            </w:r>
          </w:p>
        </w:tc>
        <w:tc>
          <w:tcPr>
            <w:tcW w:w="2060" w:type="dxa"/>
          </w:tcPr>
          <w:p w14:paraId="03F8AE8B" w14:textId="77777777" w:rsidR="00B62AE4" w:rsidRPr="000149DA" w:rsidRDefault="00B62AE4" w:rsidP="003B67D5">
            <w:pPr>
              <w:pStyle w:val="TableParagraph"/>
              <w:spacing w:before="53"/>
              <w:ind w:right="642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115 (4,3)</w:t>
            </w:r>
          </w:p>
        </w:tc>
        <w:tc>
          <w:tcPr>
            <w:tcW w:w="2059" w:type="dxa"/>
          </w:tcPr>
          <w:p w14:paraId="764CB0EE" w14:textId="77777777" w:rsidR="00B62AE4" w:rsidRPr="000149DA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261 (9,7)</w:t>
            </w:r>
          </w:p>
        </w:tc>
        <w:tc>
          <w:tcPr>
            <w:tcW w:w="2773" w:type="dxa"/>
          </w:tcPr>
          <w:p w14:paraId="772CA1A1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0,44 (0,36; 0,55)</w:t>
            </w:r>
          </w:p>
        </w:tc>
      </w:tr>
      <w:tr w:rsidR="00B62AE4" w:rsidRPr="000149DA" w14:paraId="1C54E895" w14:textId="77777777" w:rsidTr="00396DD5">
        <w:trPr>
          <w:trHeight w:val="340"/>
        </w:trPr>
        <w:tc>
          <w:tcPr>
            <w:tcW w:w="2180" w:type="dxa"/>
          </w:tcPr>
          <w:p w14:paraId="1C73F64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Kisfokú</w:t>
            </w:r>
          </w:p>
        </w:tc>
        <w:tc>
          <w:tcPr>
            <w:tcW w:w="2060" w:type="dxa"/>
          </w:tcPr>
          <w:p w14:paraId="27BB13A6" w14:textId="77777777" w:rsidR="00B62AE4" w:rsidRPr="000149DA" w:rsidRDefault="00B62AE4" w:rsidP="003B67D5">
            <w:pPr>
              <w:pStyle w:val="TableParagraph"/>
              <w:spacing w:before="53"/>
              <w:ind w:right="588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313 (11,7)</w:t>
            </w:r>
          </w:p>
        </w:tc>
        <w:tc>
          <w:tcPr>
            <w:tcW w:w="2059" w:type="dxa"/>
          </w:tcPr>
          <w:p w14:paraId="4EEDA0B2" w14:textId="77777777" w:rsidR="00B62AE4" w:rsidRPr="000149DA" w:rsidRDefault="00B62AE4" w:rsidP="003B67D5">
            <w:pPr>
              <w:pStyle w:val="TableParagraph"/>
              <w:spacing w:before="53"/>
              <w:ind w:left="446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505 (18,8)</w:t>
            </w:r>
          </w:p>
        </w:tc>
        <w:tc>
          <w:tcPr>
            <w:tcW w:w="2773" w:type="dxa"/>
          </w:tcPr>
          <w:p w14:paraId="0D3A9AE5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0,62 (0,54; 0,70)</w:t>
            </w:r>
          </w:p>
        </w:tc>
      </w:tr>
      <w:tr w:rsidR="00B62AE4" w:rsidRPr="000149DA" w14:paraId="6703FF0C" w14:textId="77777777" w:rsidTr="00396DD5">
        <w:trPr>
          <w:trHeight w:val="342"/>
        </w:trPr>
        <w:tc>
          <w:tcPr>
            <w:tcW w:w="2180" w:type="dxa"/>
          </w:tcPr>
          <w:p w14:paraId="006B681C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Összes</w:t>
            </w:r>
          </w:p>
        </w:tc>
        <w:tc>
          <w:tcPr>
            <w:tcW w:w="2060" w:type="dxa"/>
          </w:tcPr>
          <w:p w14:paraId="3385B4B1" w14:textId="77777777" w:rsidR="00B62AE4" w:rsidRPr="000149DA" w:rsidRDefault="00B62AE4" w:rsidP="003B67D5">
            <w:pPr>
              <w:pStyle w:val="TableParagraph"/>
              <w:spacing w:before="53"/>
              <w:ind w:right="587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402 (15,0)</w:t>
            </w:r>
          </w:p>
        </w:tc>
        <w:tc>
          <w:tcPr>
            <w:tcW w:w="2059" w:type="dxa"/>
          </w:tcPr>
          <w:p w14:paraId="2B71BED3" w14:textId="77777777" w:rsidR="00B62AE4" w:rsidRPr="000149DA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676 (25,1)</w:t>
            </w:r>
          </w:p>
        </w:tc>
        <w:tc>
          <w:tcPr>
            <w:tcW w:w="2773" w:type="dxa"/>
          </w:tcPr>
          <w:p w14:paraId="45B25F6F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0,59 (0,53; 0,66)</w:t>
            </w:r>
          </w:p>
        </w:tc>
      </w:tr>
    </w:tbl>
    <w:p w14:paraId="1F5C7017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74EA1AD4" w14:textId="3399DE8C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bármilyen anatómiai lokalizációjú, igazolt nagyfokú vérzés és a klinikailag jelentős, de nem nagyfokú (CRNM) vérzés általában alacsonyabb volt az </w:t>
      </w:r>
      <w:r w:rsidR="00D6140D" w:rsidRPr="000149DA">
        <w:rPr>
          <w:rFonts w:cs="Times New Roman"/>
        </w:rPr>
        <w:t>apixabán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csoportban, mint az enoxaparin/warfarin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csoportban. Igazolt, ISTH szerinti nagyfokú gastrointestinalis vérzés az</w:t>
      </w:r>
      <w:r w:rsidR="00C77F20"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161D38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közül 6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nál (0,2%), az enoxaparinnal/warfarinnal kezelt</w:t>
      </w:r>
      <w:r w:rsidR="00161D38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közül 17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nél (0,6%) fordult elő.</w:t>
      </w:r>
    </w:p>
    <w:p w14:paraId="541436D8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2688D1D0" w14:textId="5CDD6C35" w:rsidR="00B62AE4" w:rsidRPr="000149DA" w:rsidRDefault="00B62AE4" w:rsidP="00396DD5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AMPLIFY-EXT </w:t>
      </w:r>
      <w:r w:rsidR="008058E5">
        <w:rPr>
          <w:rFonts w:cs="Times New Roman"/>
          <w:i/>
          <w:iCs/>
          <w:u w:val="single"/>
        </w:rPr>
        <w:t>vizsgálat</w:t>
      </w:r>
    </w:p>
    <w:p w14:paraId="69E5EE21" w14:textId="1C9A2598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>Az AMPLIFY-EXT vizsgálatba összesen 2482</w:t>
      </w:r>
      <w:r w:rsidR="00A1416D" w:rsidRPr="000149DA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randomizáltak 12</w:t>
      </w:r>
      <w:r w:rsidR="00161D38" w:rsidRPr="000149DA">
        <w:rPr>
          <w:rFonts w:cs="Times New Roman"/>
        </w:rPr>
        <w:t> </w:t>
      </w:r>
      <w:r w:rsidRPr="000149DA">
        <w:rPr>
          <w:rFonts w:cs="Times New Roman"/>
        </w:rPr>
        <w:t>hónapig tartó,</w:t>
      </w:r>
      <w:r w:rsidR="00161D38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per os </w:t>
      </w:r>
      <w:r w:rsidR="00D6140D" w:rsidRPr="000149DA">
        <w:rPr>
          <w:rFonts w:cs="Times New Roman"/>
        </w:rPr>
        <w:t>apixabán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kezelésre,</w:t>
      </w:r>
      <w:r w:rsidR="00396DD5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per os </w:t>
      </w:r>
      <w:r w:rsidR="00D6140D" w:rsidRPr="000149DA">
        <w:rPr>
          <w:rFonts w:cs="Times New Roman"/>
        </w:rPr>
        <w:t>apixabán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kezelésre vagy placeb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a, a 6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12</w:t>
      </w:r>
      <w:r w:rsidR="00161D38" w:rsidRPr="000149DA">
        <w:rPr>
          <w:rFonts w:cs="Times New Roman"/>
        </w:rPr>
        <w:t> </w:t>
      </w:r>
      <w:r w:rsidRPr="000149DA">
        <w:rPr>
          <w:rFonts w:cs="Times New Roman"/>
        </w:rPr>
        <w:t>hónapig tartó, kezdeti antikoaguláns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 befejezése után. Közülük 836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(33,7%) vett részt az AMPLIFY vizsgálatban az AMPLIFY-EXT vizsgálatba történő beválogatás előtt.</w:t>
      </w:r>
    </w:p>
    <w:p w14:paraId="34ED5276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0F8156FB" w14:textId="24BC7767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>Az átlagéletkor 56,7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 volt, és a randomizált</w:t>
      </w:r>
      <w:r w:rsidR="00161D3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91,7%-ának volt ok nélküli VTE eseménye.</w:t>
      </w:r>
    </w:p>
    <w:p w14:paraId="6FF2940D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4826B1C1" w14:textId="358D02D3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mindkét dózisa statisztikailag jobb volt a placebónál az elsődleges végpontban, melynek összetevői: az ismételt szimptomatikus VTE (nem halálos MVT vagy nem halálos PE) vagy az összmortalitás (lásd 1</w:t>
      </w:r>
      <w:r w:rsidR="00326B05">
        <w:rPr>
          <w:rFonts w:cs="Times New Roman"/>
        </w:rPr>
        <w:t>1</w:t>
      </w:r>
      <w:r w:rsidRPr="000149DA">
        <w:rPr>
          <w:rFonts w:cs="Times New Roman"/>
        </w:rPr>
        <w:t>. táblázat).</w:t>
      </w:r>
    </w:p>
    <w:p w14:paraId="0F7E1CD9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74255B3D" w14:textId="7A58B027" w:rsidR="00B62AE4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 w:after="6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EXT-vizsgálat hatásossági</w:t>
      </w:r>
      <w:r w:rsidRPr="000149DA">
        <w:rPr>
          <w:b w:val="0"/>
          <w:bCs w:val="0"/>
          <w:spacing w:val="-14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277"/>
        <w:gridCol w:w="1418"/>
        <w:gridCol w:w="1276"/>
        <w:gridCol w:w="1701"/>
        <w:gridCol w:w="1663"/>
      </w:tblGrid>
      <w:tr w:rsidR="00B62AE4" w:rsidRPr="000149DA" w14:paraId="4FD708A4" w14:textId="77777777" w:rsidTr="00C72379">
        <w:trPr>
          <w:trHeight w:val="340"/>
        </w:trPr>
        <w:tc>
          <w:tcPr>
            <w:tcW w:w="1558" w:type="dxa"/>
          </w:tcPr>
          <w:p w14:paraId="582A2C0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4E79534" w14:textId="0FF52668" w:rsidR="00B62AE4" w:rsidRPr="000149DA" w:rsidRDefault="00B62AE4" w:rsidP="00600B60">
            <w:pPr>
              <w:pStyle w:val="TableParagraph"/>
              <w:spacing w:before="55"/>
              <w:ind w:left="141" w:right="138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Apixab</w:t>
            </w:r>
            <w:r w:rsidR="003C5AB7" w:rsidRPr="000149DA">
              <w:rPr>
                <w:b/>
                <w:w w:val="105"/>
              </w:rPr>
              <w:t>á</w:t>
            </w:r>
            <w:r w:rsidRPr="000149DA">
              <w:rPr>
                <w:b/>
                <w:w w:val="105"/>
              </w:rPr>
              <w:t>n</w:t>
            </w:r>
          </w:p>
        </w:tc>
        <w:tc>
          <w:tcPr>
            <w:tcW w:w="1418" w:type="dxa"/>
            <w:vAlign w:val="center"/>
          </w:tcPr>
          <w:p w14:paraId="2353E07B" w14:textId="4ACF2D96" w:rsidR="00B62AE4" w:rsidRPr="000149DA" w:rsidRDefault="00B62AE4" w:rsidP="00600B60">
            <w:pPr>
              <w:pStyle w:val="TableParagraph"/>
              <w:spacing w:before="55"/>
              <w:ind w:left="149" w:right="144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Apixab</w:t>
            </w:r>
            <w:r w:rsidR="003C5AB7" w:rsidRPr="000149DA">
              <w:rPr>
                <w:b/>
                <w:w w:val="105"/>
              </w:rPr>
              <w:t>á</w:t>
            </w:r>
            <w:r w:rsidRPr="000149DA">
              <w:rPr>
                <w:b/>
                <w:w w:val="105"/>
              </w:rPr>
              <w:t>n</w:t>
            </w:r>
          </w:p>
        </w:tc>
        <w:tc>
          <w:tcPr>
            <w:tcW w:w="1276" w:type="dxa"/>
            <w:vAlign w:val="center"/>
          </w:tcPr>
          <w:p w14:paraId="63D79A6F" w14:textId="77777777" w:rsidR="00B62AE4" w:rsidRPr="000149DA" w:rsidRDefault="00B62AE4" w:rsidP="00600B60">
            <w:pPr>
              <w:pStyle w:val="TableParagraph"/>
              <w:spacing w:before="55"/>
              <w:ind w:left="182" w:right="176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Placebo</w:t>
            </w:r>
          </w:p>
        </w:tc>
        <w:tc>
          <w:tcPr>
            <w:tcW w:w="3364" w:type="dxa"/>
            <w:gridSpan w:val="2"/>
            <w:vAlign w:val="center"/>
          </w:tcPr>
          <w:p w14:paraId="614C86AA" w14:textId="77777777" w:rsidR="00B62AE4" w:rsidRPr="000149DA" w:rsidRDefault="00B62AE4" w:rsidP="00600B60">
            <w:pPr>
              <w:pStyle w:val="TableParagraph"/>
              <w:spacing w:before="55"/>
              <w:ind w:hanging="1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Relatív kockázat (95%-os CI)</w:t>
            </w:r>
          </w:p>
        </w:tc>
      </w:tr>
      <w:tr w:rsidR="00B62AE4" w:rsidRPr="000149DA" w14:paraId="62D2EAE2" w14:textId="77777777" w:rsidTr="00C72379">
        <w:trPr>
          <w:trHeight w:val="684"/>
        </w:trPr>
        <w:tc>
          <w:tcPr>
            <w:tcW w:w="1558" w:type="dxa"/>
          </w:tcPr>
          <w:p w14:paraId="0773501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DD4A4B9" w14:textId="7C84221E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1C03EA7" w14:textId="6890D46A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840)</w:t>
            </w:r>
          </w:p>
        </w:tc>
        <w:tc>
          <w:tcPr>
            <w:tcW w:w="1418" w:type="dxa"/>
            <w:vAlign w:val="center"/>
          </w:tcPr>
          <w:p w14:paraId="17304072" w14:textId="35F6A506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31251C99" w14:textId="6C02F89D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813)</w:t>
            </w:r>
          </w:p>
        </w:tc>
        <w:tc>
          <w:tcPr>
            <w:tcW w:w="1276" w:type="dxa"/>
            <w:vAlign w:val="center"/>
          </w:tcPr>
          <w:p w14:paraId="77C6E27C" w14:textId="77777777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</w:p>
          <w:p w14:paraId="23EBA523" w14:textId="663FCD77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829)</w:t>
            </w:r>
          </w:p>
        </w:tc>
        <w:tc>
          <w:tcPr>
            <w:tcW w:w="1701" w:type="dxa"/>
            <w:vAlign w:val="center"/>
          </w:tcPr>
          <w:p w14:paraId="222AED62" w14:textId="09D9EBF1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 2,5</w:t>
            </w:r>
            <w:r w:rsidR="004C106B" w:rsidRPr="000149DA">
              <w:rPr>
                <w:rFonts w:cs="Times New Roman"/>
                <w:b/>
                <w:bCs/>
                <w:spacing w:val="-22"/>
                <w:w w:val="105"/>
              </w:rPr>
              <w:t> mg</w:t>
            </w:r>
          </w:p>
          <w:p w14:paraId="63E18EE2" w14:textId="2EB3808A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vs.</w:t>
            </w:r>
            <w:r w:rsidRPr="000149DA">
              <w:rPr>
                <w:rFonts w:cs="Times New Roman"/>
                <w:b/>
                <w:bCs/>
                <w:spacing w:val="-16"/>
                <w:w w:val="105"/>
              </w:rPr>
              <w:t xml:space="preserve"> </w:t>
            </w:r>
            <w:r w:rsidR="00600B60" w:rsidRPr="000149DA">
              <w:rPr>
                <w:rFonts w:cs="Times New Roman"/>
                <w:b/>
                <w:bCs/>
                <w:w w:val="105"/>
              </w:rPr>
              <w:t>p</w:t>
            </w:r>
            <w:r w:rsidRPr="000149DA">
              <w:rPr>
                <w:rFonts w:cs="Times New Roman"/>
                <w:b/>
                <w:bCs/>
                <w:w w:val="105"/>
              </w:rPr>
              <w:t>lacebo</w:t>
            </w:r>
          </w:p>
        </w:tc>
        <w:tc>
          <w:tcPr>
            <w:tcW w:w="1663" w:type="dxa"/>
            <w:vAlign w:val="center"/>
          </w:tcPr>
          <w:p w14:paraId="5F335C7A" w14:textId="2F54039D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 5,0</w:t>
            </w:r>
            <w:r w:rsidR="004C106B" w:rsidRPr="000149DA">
              <w:rPr>
                <w:rFonts w:cs="Times New Roman"/>
                <w:b/>
                <w:bCs/>
                <w:spacing w:val="-22"/>
                <w:w w:val="105"/>
              </w:rPr>
              <w:t> mg</w:t>
            </w:r>
          </w:p>
          <w:p w14:paraId="506F8F22" w14:textId="207AD166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vs.</w:t>
            </w:r>
            <w:r w:rsidRPr="000149DA">
              <w:rPr>
                <w:rFonts w:cs="Times New Roman"/>
                <w:b/>
                <w:bCs/>
                <w:spacing w:val="-15"/>
                <w:w w:val="105"/>
              </w:rPr>
              <w:t xml:space="preserve"> </w:t>
            </w:r>
            <w:r w:rsidR="00600B60" w:rsidRPr="000149DA">
              <w:rPr>
                <w:rFonts w:cs="Times New Roman"/>
                <w:b/>
                <w:bCs/>
                <w:w w:val="105"/>
              </w:rPr>
              <w:t>p</w:t>
            </w:r>
            <w:r w:rsidRPr="000149DA">
              <w:rPr>
                <w:rFonts w:cs="Times New Roman"/>
                <w:b/>
                <w:bCs/>
                <w:w w:val="105"/>
              </w:rPr>
              <w:t>lacebo</w:t>
            </w:r>
          </w:p>
        </w:tc>
      </w:tr>
      <w:tr w:rsidR="00B62AE4" w:rsidRPr="000149DA" w14:paraId="7193FC41" w14:textId="77777777" w:rsidTr="00C72379">
        <w:trPr>
          <w:trHeight w:val="340"/>
        </w:trPr>
        <w:tc>
          <w:tcPr>
            <w:tcW w:w="1558" w:type="dxa"/>
          </w:tcPr>
          <w:p w14:paraId="5089D0A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3971" w:type="dxa"/>
            <w:gridSpan w:val="3"/>
          </w:tcPr>
          <w:p w14:paraId="52161D09" w14:textId="77777777" w:rsidR="00B62AE4" w:rsidRPr="000149DA" w:rsidRDefault="00B62AE4" w:rsidP="003B67D5">
            <w:pPr>
              <w:pStyle w:val="TableParagraph"/>
              <w:spacing w:before="53"/>
              <w:ind w:left="1596" w:right="159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 (%)</w:t>
            </w:r>
          </w:p>
        </w:tc>
        <w:tc>
          <w:tcPr>
            <w:tcW w:w="1701" w:type="dxa"/>
          </w:tcPr>
          <w:p w14:paraId="3564CCF8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63" w:type="dxa"/>
          </w:tcPr>
          <w:p w14:paraId="771812BE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FD2360" w:rsidRPr="000149DA" w14:paraId="38F14888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554145EB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Ismételt VTE</w:t>
            </w:r>
          </w:p>
        </w:tc>
        <w:tc>
          <w:tcPr>
            <w:tcW w:w="1277" w:type="dxa"/>
            <w:vMerge w:val="restart"/>
          </w:tcPr>
          <w:p w14:paraId="44242F66" w14:textId="77777777" w:rsidR="00FD2360" w:rsidRPr="000149DA" w:rsidRDefault="00FD2360" w:rsidP="00FD2360">
            <w:pPr>
              <w:pStyle w:val="TableParagraph"/>
              <w:spacing w:before="53" w:line="212" w:lineRule="exact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19 (2,3)</w:t>
            </w:r>
          </w:p>
        </w:tc>
        <w:tc>
          <w:tcPr>
            <w:tcW w:w="1418" w:type="dxa"/>
            <w:vMerge w:val="restart"/>
          </w:tcPr>
          <w:p w14:paraId="3B3B2C87" w14:textId="77777777" w:rsidR="00FD2360" w:rsidRPr="000149DA" w:rsidRDefault="00FD2360" w:rsidP="00FD2360">
            <w:pPr>
              <w:pStyle w:val="TableParagraph"/>
              <w:spacing w:before="53" w:line="212" w:lineRule="exact"/>
              <w:ind w:right="142" w:hanging="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  <w:vMerge w:val="restart"/>
          </w:tcPr>
          <w:p w14:paraId="68281407" w14:textId="77777777" w:rsidR="00FD2360" w:rsidRPr="000149DA" w:rsidRDefault="00FD2360" w:rsidP="00FD2360">
            <w:pPr>
              <w:pStyle w:val="TableParagraph"/>
              <w:spacing w:before="53" w:line="212" w:lineRule="exact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77 (9,3)</w:t>
            </w:r>
          </w:p>
        </w:tc>
        <w:tc>
          <w:tcPr>
            <w:tcW w:w="1701" w:type="dxa"/>
            <w:vMerge w:val="restart"/>
          </w:tcPr>
          <w:p w14:paraId="67ACB5A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0,24</w:t>
            </w:r>
          </w:p>
          <w:p w14:paraId="64953A57" w14:textId="67C0F791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(0,15; 0,40)</w:t>
            </w:r>
            <w:r w:rsidRPr="000149DA">
              <w:rPr>
                <w:rFonts w:cs="Times New Roman"/>
                <w:vertAlign w:val="superscript"/>
              </w:rPr>
              <w:t xml:space="preserve"> ¥</w:t>
            </w:r>
          </w:p>
        </w:tc>
        <w:tc>
          <w:tcPr>
            <w:tcW w:w="1663" w:type="dxa"/>
            <w:vMerge w:val="restart"/>
          </w:tcPr>
          <w:p w14:paraId="64B12C5A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4BEC07BA" w14:textId="7BFF6EDB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  <w:r w:rsidRPr="000149DA">
              <w:rPr>
                <w:rFonts w:cs="Times New Roman"/>
                <w:vertAlign w:val="superscript"/>
              </w:rPr>
              <w:t xml:space="preserve"> ¥</w:t>
            </w:r>
          </w:p>
        </w:tc>
      </w:tr>
      <w:tr w:rsidR="00FD2360" w:rsidRPr="000149DA" w14:paraId="11481209" w14:textId="77777777" w:rsidTr="00C72379">
        <w:trPr>
          <w:trHeight w:val="516"/>
        </w:trPr>
        <w:tc>
          <w:tcPr>
            <w:tcW w:w="1558" w:type="dxa"/>
            <w:tcBorders>
              <w:top w:val="nil"/>
            </w:tcBorders>
          </w:tcPr>
          <w:p w14:paraId="1B785AB5" w14:textId="15550947" w:rsidR="00FD2360" w:rsidRPr="000149DA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vagy </w:t>
            </w:r>
            <w:r w:rsidR="00FF3975" w:rsidRPr="000149DA">
              <w:rPr>
                <w:w w:val="105"/>
              </w:rPr>
              <w:t>bármilyen okból bekövetkező mo</w:t>
            </w:r>
            <w:r w:rsidRPr="000149DA">
              <w:t>rtalitás</w:t>
            </w:r>
          </w:p>
        </w:tc>
        <w:tc>
          <w:tcPr>
            <w:tcW w:w="1277" w:type="dxa"/>
            <w:vMerge/>
            <w:vAlign w:val="center"/>
          </w:tcPr>
          <w:p w14:paraId="733C884D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8" w:type="dxa"/>
            <w:vMerge/>
            <w:vAlign w:val="center"/>
          </w:tcPr>
          <w:p w14:paraId="7445D4CD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76" w:type="dxa"/>
            <w:vMerge/>
            <w:vAlign w:val="center"/>
          </w:tcPr>
          <w:p w14:paraId="3601ACCB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Merge/>
            <w:vAlign w:val="center"/>
          </w:tcPr>
          <w:p w14:paraId="794EA602" w14:textId="68D8FE9D" w:rsidR="00FD2360" w:rsidRPr="000149DA" w:rsidRDefault="00FD2360" w:rsidP="00FD2360">
            <w:pPr>
              <w:pStyle w:val="TableParagraph"/>
              <w:spacing w:before="95"/>
              <w:ind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  <w:vAlign w:val="center"/>
          </w:tcPr>
          <w:p w14:paraId="594398C1" w14:textId="386A64FE" w:rsidR="00FD2360" w:rsidRPr="000149DA" w:rsidRDefault="00FD2360" w:rsidP="00FD2360">
            <w:pPr>
              <w:pStyle w:val="TableParagraph"/>
              <w:spacing w:before="95"/>
              <w:ind w:right="378"/>
              <w:jc w:val="center"/>
              <w:rPr>
                <w:lang w:val="hu-HU"/>
              </w:rPr>
            </w:pPr>
          </w:p>
        </w:tc>
      </w:tr>
      <w:tr w:rsidR="00B62AE4" w:rsidRPr="000149DA" w14:paraId="1E9F55D1" w14:textId="77777777" w:rsidTr="00C72379">
        <w:trPr>
          <w:trHeight w:val="341"/>
        </w:trPr>
        <w:tc>
          <w:tcPr>
            <w:tcW w:w="1558" w:type="dxa"/>
          </w:tcPr>
          <w:p w14:paraId="14E8A8A8" w14:textId="5AFF8EA7" w:rsidR="00B62AE4" w:rsidRPr="000149DA" w:rsidRDefault="00B62AE4" w:rsidP="00FF3975">
            <w:pPr>
              <w:pStyle w:val="TableParagraph"/>
              <w:spacing w:before="38"/>
              <w:ind w:left="284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  <w:r w:rsidR="00FD2360" w:rsidRPr="000149DA">
              <w:t>*</w:t>
            </w:r>
          </w:p>
        </w:tc>
        <w:tc>
          <w:tcPr>
            <w:tcW w:w="1277" w:type="dxa"/>
            <w:vAlign w:val="center"/>
          </w:tcPr>
          <w:p w14:paraId="3C9AF026" w14:textId="77777777" w:rsidR="00B62AE4" w:rsidRPr="000149DA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(0,7)</w:t>
            </w:r>
          </w:p>
        </w:tc>
        <w:tc>
          <w:tcPr>
            <w:tcW w:w="1418" w:type="dxa"/>
            <w:vAlign w:val="center"/>
          </w:tcPr>
          <w:p w14:paraId="1EFBC7B6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 (0,9)</w:t>
            </w:r>
          </w:p>
        </w:tc>
        <w:tc>
          <w:tcPr>
            <w:tcW w:w="1276" w:type="dxa"/>
            <w:vAlign w:val="center"/>
          </w:tcPr>
          <w:p w14:paraId="3C2945CB" w14:textId="77777777" w:rsidR="00B62AE4" w:rsidRPr="000149DA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53 (6,4)</w:t>
            </w:r>
          </w:p>
        </w:tc>
        <w:tc>
          <w:tcPr>
            <w:tcW w:w="1701" w:type="dxa"/>
            <w:vAlign w:val="center"/>
          </w:tcPr>
          <w:p w14:paraId="16674AD3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13AE3E79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0B224548" w14:textId="77777777" w:rsidTr="00C72379">
        <w:trPr>
          <w:trHeight w:val="340"/>
        </w:trPr>
        <w:tc>
          <w:tcPr>
            <w:tcW w:w="1558" w:type="dxa"/>
          </w:tcPr>
          <w:p w14:paraId="61ABECB2" w14:textId="0864C574" w:rsidR="00B62AE4" w:rsidRPr="000149DA" w:rsidRDefault="00B62AE4" w:rsidP="00FF3975">
            <w:pPr>
              <w:pStyle w:val="TableParagraph"/>
              <w:spacing w:before="39"/>
              <w:ind w:left="284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  <w:r w:rsidR="00FD2360" w:rsidRPr="000149DA">
              <w:t>*</w:t>
            </w:r>
          </w:p>
        </w:tc>
        <w:tc>
          <w:tcPr>
            <w:tcW w:w="1277" w:type="dxa"/>
            <w:vAlign w:val="center"/>
          </w:tcPr>
          <w:p w14:paraId="1BA4443B" w14:textId="77777777" w:rsidR="00B62AE4" w:rsidRPr="000149DA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 (0,8)</w:t>
            </w:r>
          </w:p>
        </w:tc>
        <w:tc>
          <w:tcPr>
            <w:tcW w:w="1418" w:type="dxa"/>
            <w:vAlign w:val="center"/>
          </w:tcPr>
          <w:p w14:paraId="07DA3D90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 (0,5)</w:t>
            </w:r>
          </w:p>
        </w:tc>
        <w:tc>
          <w:tcPr>
            <w:tcW w:w="1276" w:type="dxa"/>
            <w:vAlign w:val="center"/>
          </w:tcPr>
          <w:p w14:paraId="5A7884A5" w14:textId="77777777" w:rsidR="00B62AE4" w:rsidRPr="000149DA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 (1,6)</w:t>
            </w:r>
          </w:p>
        </w:tc>
        <w:tc>
          <w:tcPr>
            <w:tcW w:w="1701" w:type="dxa"/>
            <w:vAlign w:val="center"/>
          </w:tcPr>
          <w:p w14:paraId="5C8584C8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0943DA81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43C90EB9" w14:textId="77777777" w:rsidTr="00FF3975">
        <w:trPr>
          <w:trHeight w:val="571"/>
        </w:trPr>
        <w:tc>
          <w:tcPr>
            <w:tcW w:w="1558" w:type="dxa"/>
          </w:tcPr>
          <w:p w14:paraId="3CC89A65" w14:textId="65DF0292" w:rsidR="00B62AE4" w:rsidRPr="000149DA" w:rsidRDefault="00FF3975" w:rsidP="00FF3975">
            <w:pPr>
              <w:pStyle w:val="TableParagraph"/>
              <w:spacing w:before="54"/>
              <w:ind w:left="284"/>
              <w:rPr>
                <w:lang w:val="hu-HU"/>
              </w:rPr>
            </w:pPr>
            <w:r w:rsidRPr="000149DA">
              <w:rPr>
                <w:w w:val="105"/>
              </w:rPr>
              <w:t>Bármilyen okból bekövetkező mo</w:t>
            </w:r>
            <w:r w:rsidRPr="000149DA">
              <w:t xml:space="preserve">rtalitás </w:t>
            </w:r>
          </w:p>
        </w:tc>
        <w:tc>
          <w:tcPr>
            <w:tcW w:w="1277" w:type="dxa"/>
          </w:tcPr>
          <w:p w14:paraId="76D7FA37" w14:textId="77777777" w:rsidR="00B62AE4" w:rsidRPr="000149DA" w:rsidRDefault="00B62AE4" w:rsidP="00FF3975">
            <w:pPr>
              <w:pStyle w:val="TableParagraph"/>
              <w:spacing w:before="54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(0,7)</w:t>
            </w:r>
          </w:p>
        </w:tc>
        <w:tc>
          <w:tcPr>
            <w:tcW w:w="1418" w:type="dxa"/>
          </w:tcPr>
          <w:p w14:paraId="56A714E7" w14:textId="77777777" w:rsidR="00B62AE4" w:rsidRPr="000149DA" w:rsidRDefault="00B62AE4" w:rsidP="00FF3975">
            <w:pPr>
              <w:pStyle w:val="TableParagraph"/>
              <w:spacing w:before="54"/>
              <w:ind w:left="149" w:right="1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 (0,4)</w:t>
            </w:r>
          </w:p>
        </w:tc>
        <w:tc>
          <w:tcPr>
            <w:tcW w:w="1276" w:type="dxa"/>
          </w:tcPr>
          <w:p w14:paraId="62D9C4BF" w14:textId="77777777" w:rsidR="00B62AE4" w:rsidRPr="000149DA" w:rsidRDefault="00B62AE4" w:rsidP="00FF3975">
            <w:pPr>
              <w:pStyle w:val="TableParagraph"/>
              <w:spacing w:before="54"/>
              <w:ind w:left="182" w:right="1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 (1,3)</w:t>
            </w:r>
          </w:p>
        </w:tc>
        <w:tc>
          <w:tcPr>
            <w:tcW w:w="1701" w:type="dxa"/>
          </w:tcPr>
          <w:p w14:paraId="575DC3A1" w14:textId="77777777" w:rsidR="00B62AE4" w:rsidRPr="000149DA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</w:tcPr>
          <w:p w14:paraId="4326D513" w14:textId="77777777" w:rsidR="00B62AE4" w:rsidRPr="000149DA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1AB61861" w14:textId="77777777" w:rsidTr="00C72379">
        <w:trPr>
          <w:trHeight w:val="1028"/>
        </w:trPr>
        <w:tc>
          <w:tcPr>
            <w:tcW w:w="1558" w:type="dxa"/>
          </w:tcPr>
          <w:p w14:paraId="13469A5D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Ismételt VTE vagy VTE-vel összefüggő halálozás</w:t>
            </w:r>
          </w:p>
        </w:tc>
        <w:tc>
          <w:tcPr>
            <w:tcW w:w="1277" w:type="dxa"/>
          </w:tcPr>
          <w:p w14:paraId="169C9C62" w14:textId="77777777" w:rsidR="00B62AE4" w:rsidRPr="000149DA" w:rsidRDefault="00B62AE4" w:rsidP="00FD2360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418" w:type="dxa"/>
          </w:tcPr>
          <w:p w14:paraId="112810BB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</w:tcPr>
          <w:p w14:paraId="49168118" w14:textId="77777777" w:rsidR="00B62AE4" w:rsidRPr="000149DA" w:rsidRDefault="00B62AE4" w:rsidP="00FD2360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73 (8,8)</w:t>
            </w:r>
          </w:p>
        </w:tc>
        <w:tc>
          <w:tcPr>
            <w:tcW w:w="1701" w:type="dxa"/>
          </w:tcPr>
          <w:p w14:paraId="7F63412B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1DC80B74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</w:p>
        </w:tc>
        <w:tc>
          <w:tcPr>
            <w:tcW w:w="1663" w:type="dxa"/>
          </w:tcPr>
          <w:p w14:paraId="1E6C2C4C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0,20</w:t>
            </w:r>
          </w:p>
          <w:p w14:paraId="36EC1A34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0,34)</w:t>
            </w:r>
          </w:p>
        </w:tc>
      </w:tr>
      <w:tr w:rsidR="00B62AE4" w:rsidRPr="000149DA" w14:paraId="5955257F" w14:textId="77777777" w:rsidTr="00C72379">
        <w:trPr>
          <w:trHeight w:val="1029"/>
        </w:trPr>
        <w:tc>
          <w:tcPr>
            <w:tcW w:w="1558" w:type="dxa"/>
          </w:tcPr>
          <w:p w14:paraId="56D212C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Ismételt VTE vagy CV eredetű halálozás</w:t>
            </w:r>
          </w:p>
        </w:tc>
        <w:tc>
          <w:tcPr>
            <w:tcW w:w="1277" w:type="dxa"/>
          </w:tcPr>
          <w:p w14:paraId="54268E4B" w14:textId="77777777" w:rsidR="00B62AE4" w:rsidRPr="000149DA" w:rsidRDefault="00B62AE4" w:rsidP="003B67D5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418" w:type="dxa"/>
          </w:tcPr>
          <w:p w14:paraId="662DA9B6" w14:textId="77777777" w:rsidR="00B62AE4" w:rsidRPr="000149DA" w:rsidRDefault="00B62AE4" w:rsidP="003B67D5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</w:tcPr>
          <w:p w14:paraId="00D49C7D" w14:textId="77777777" w:rsidR="00B62AE4" w:rsidRPr="000149DA" w:rsidRDefault="00B62AE4" w:rsidP="003B67D5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76 (9,2)</w:t>
            </w:r>
          </w:p>
        </w:tc>
        <w:tc>
          <w:tcPr>
            <w:tcW w:w="1701" w:type="dxa"/>
          </w:tcPr>
          <w:p w14:paraId="77841410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0,18</w:t>
            </w:r>
          </w:p>
          <w:p w14:paraId="2102B3E9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(0,10; 0,32)</w:t>
            </w:r>
          </w:p>
        </w:tc>
        <w:tc>
          <w:tcPr>
            <w:tcW w:w="1663" w:type="dxa"/>
          </w:tcPr>
          <w:p w14:paraId="7FBCA7AA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0379238A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</w:p>
        </w:tc>
      </w:tr>
      <w:tr w:rsidR="00FD2360" w:rsidRPr="000149DA" w14:paraId="290B84FA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328C541A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4C83308D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6 (0,7)</w:t>
            </w:r>
          </w:p>
        </w:tc>
        <w:tc>
          <w:tcPr>
            <w:tcW w:w="1418" w:type="dxa"/>
            <w:vMerge w:val="restart"/>
          </w:tcPr>
          <w:p w14:paraId="5FEA7985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8 (1,0)</w:t>
            </w:r>
          </w:p>
        </w:tc>
        <w:tc>
          <w:tcPr>
            <w:tcW w:w="1276" w:type="dxa"/>
            <w:vMerge w:val="restart"/>
          </w:tcPr>
          <w:p w14:paraId="4144DD86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53 (6,4)</w:t>
            </w:r>
          </w:p>
        </w:tc>
        <w:tc>
          <w:tcPr>
            <w:tcW w:w="1701" w:type="dxa"/>
            <w:vMerge w:val="restart"/>
          </w:tcPr>
          <w:p w14:paraId="1FF91D0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0,11</w:t>
            </w:r>
          </w:p>
          <w:p w14:paraId="09F34157" w14:textId="32DA6F4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(0,05; 0,26)</w:t>
            </w:r>
          </w:p>
        </w:tc>
        <w:tc>
          <w:tcPr>
            <w:tcW w:w="1663" w:type="dxa"/>
            <w:vMerge w:val="restart"/>
          </w:tcPr>
          <w:p w14:paraId="5B85E6E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0,15</w:t>
            </w:r>
          </w:p>
          <w:p w14:paraId="541E4A0C" w14:textId="3AF8163E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(0,07; 0,32)</w:t>
            </w:r>
          </w:p>
        </w:tc>
      </w:tr>
      <w:tr w:rsidR="00FD2360" w:rsidRPr="000149DA" w14:paraId="6FC80AE5" w14:textId="77777777" w:rsidTr="00C72379">
        <w:trPr>
          <w:trHeight w:val="397"/>
        </w:trPr>
        <w:tc>
          <w:tcPr>
            <w:tcW w:w="1558" w:type="dxa"/>
            <w:tcBorders>
              <w:top w:val="nil"/>
            </w:tcBorders>
          </w:tcPr>
          <w:p w14:paraId="39F943C3" w14:textId="77777777" w:rsidR="00FD2360" w:rsidRPr="000149DA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  <w:r w:rsidRPr="000149DA">
              <w:rPr>
                <w:w w:val="105"/>
                <w:position w:val="8"/>
              </w:rPr>
              <w:t>†</w:t>
            </w:r>
          </w:p>
        </w:tc>
        <w:tc>
          <w:tcPr>
            <w:tcW w:w="1277" w:type="dxa"/>
            <w:vMerge/>
          </w:tcPr>
          <w:p w14:paraId="2AA95A9F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3E0643E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1166D879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318B433E" w14:textId="442D7BF4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469F7E96" w14:textId="6CED0280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0149DA" w14:paraId="265D6B39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6856DB31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6723C52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8 (1,0)</w:t>
            </w:r>
          </w:p>
        </w:tc>
        <w:tc>
          <w:tcPr>
            <w:tcW w:w="1418" w:type="dxa"/>
            <w:vMerge w:val="restart"/>
          </w:tcPr>
          <w:p w14:paraId="624E9D7D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4 (0,5)</w:t>
            </w:r>
          </w:p>
        </w:tc>
        <w:tc>
          <w:tcPr>
            <w:tcW w:w="1276" w:type="dxa"/>
            <w:vMerge w:val="restart"/>
          </w:tcPr>
          <w:p w14:paraId="7CFCB313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15 (1,8)</w:t>
            </w:r>
          </w:p>
        </w:tc>
        <w:tc>
          <w:tcPr>
            <w:tcW w:w="1701" w:type="dxa"/>
            <w:vMerge w:val="restart"/>
          </w:tcPr>
          <w:p w14:paraId="2C644CEC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0,51</w:t>
            </w:r>
          </w:p>
          <w:p w14:paraId="056EEAF9" w14:textId="1EE7D5C0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(0,22; 1,21)</w:t>
            </w:r>
          </w:p>
        </w:tc>
        <w:tc>
          <w:tcPr>
            <w:tcW w:w="1663" w:type="dxa"/>
            <w:vMerge w:val="restart"/>
          </w:tcPr>
          <w:p w14:paraId="3A7B9EE6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0,27</w:t>
            </w:r>
          </w:p>
          <w:p w14:paraId="0B390ABB" w14:textId="338BB825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(0,09; 0,80)</w:t>
            </w:r>
          </w:p>
        </w:tc>
      </w:tr>
      <w:tr w:rsidR="00FD2360" w:rsidRPr="000149DA" w14:paraId="33F726C0" w14:textId="77777777" w:rsidTr="00C72379">
        <w:trPr>
          <w:trHeight w:val="398"/>
        </w:trPr>
        <w:tc>
          <w:tcPr>
            <w:tcW w:w="1558" w:type="dxa"/>
            <w:tcBorders>
              <w:top w:val="nil"/>
            </w:tcBorders>
          </w:tcPr>
          <w:p w14:paraId="68E72187" w14:textId="77777777" w:rsidR="00FD2360" w:rsidRPr="000149DA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  <w:r w:rsidRPr="000149DA">
              <w:rPr>
                <w:w w:val="105"/>
                <w:position w:val="8"/>
              </w:rPr>
              <w:t>†</w:t>
            </w:r>
          </w:p>
        </w:tc>
        <w:tc>
          <w:tcPr>
            <w:tcW w:w="1277" w:type="dxa"/>
            <w:vMerge/>
          </w:tcPr>
          <w:p w14:paraId="05FE1E4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00DB277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7284B14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6791D678" w14:textId="001B24ED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60DDB1B4" w14:textId="1CCE8972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0149DA" w14:paraId="72FBCB8E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2B965DDB" w14:textId="77777777" w:rsidR="00FD2360" w:rsidRPr="000149DA" w:rsidRDefault="00FD2360" w:rsidP="003B67D5">
            <w:pPr>
              <w:pStyle w:val="TableParagraph"/>
              <w:spacing w:before="54" w:line="21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VTE-vel</w:t>
            </w:r>
          </w:p>
        </w:tc>
        <w:tc>
          <w:tcPr>
            <w:tcW w:w="1277" w:type="dxa"/>
            <w:vMerge w:val="restart"/>
          </w:tcPr>
          <w:p w14:paraId="429B66B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2 (0,2)</w:t>
            </w:r>
          </w:p>
        </w:tc>
        <w:tc>
          <w:tcPr>
            <w:tcW w:w="1418" w:type="dxa"/>
            <w:vMerge w:val="restart"/>
          </w:tcPr>
          <w:p w14:paraId="5EBF3664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3 (0,4)</w:t>
            </w:r>
          </w:p>
        </w:tc>
        <w:tc>
          <w:tcPr>
            <w:tcW w:w="1276" w:type="dxa"/>
            <w:vMerge w:val="restart"/>
          </w:tcPr>
          <w:p w14:paraId="68968CF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7 (0,8)</w:t>
            </w:r>
          </w:p>
        </w:tc>
        <w:tc>
          <w:tcPr>
            <w:tcW w:w="1701" w:type="dxa"/>
            <w:vMerge w:val="restart"/>
          </w:tcPr>
          <w:p w14:paraId="7016BD9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0,28</w:t>
            </w:r>
          </w:p>
          <w:p w14:paraId="72AADC7C" w14:textId="33738872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(0,06; 1,37)</w:t>
            </w:r>
          </w:p>
        </w:tc>
        <w:tc>
          <w:tcPr>
            <w:tcW w:w="1663" w:type="dxa"/>
            <w:vMerge w:val="restart"/>
          </w:tcPr>
          <w:p w14:paraId="6B0DAD0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0,45</w:t>
            </w:r>
          </w:p>
          <w:p w14:paraId="1FD96B73" w14:textId="06B2DFA6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(0,12; 1,71)</w:t>
            </w:r>
          </w:p>
        </w:tc>
      </w:tr>
      <w:tr w:rsidR="00FD2360" w:rsidRPr="000149DA" w14:paraId="09565C53" w14:textId="77777777" w:rsidTr="00C72379">
        <w:trPr>
          <w:trHeight w:val="514"/>
        </w:trPr>
        <w:tc>
          <w:tcPr>
            <w:tcW w:w="1558" w:type="dxa"/>
            <w:tcBorders>
              <w:top w:val="nil"/>
            </w:tcBorders>
          </w:tcPr>
          <w:p w14:paraId="40BCE9F1" w14:textId="77777777" w:rsidR="00FD2360" w:rsidRPr="000149DA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0149DA">
              <w:t xml:space="preserve">összefüggő </w:t>
            </w:r>
            <w:r w:rsidRPr="000149DA">
              <w:rPr>
                <w:w w:val="105"/>
              </w:rPr>
              <w:t>halálozás</w:t>
            </w:r>
          </w:p>
        </w:tc>
        <w:tc>
          <w:tcPr>
            <w:tcW w:w="1277" w:type="dxa"/>
            <w:vMerge/>
          </w:tcPr>
          <w:p w14:paraId="2A6796FF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418" w:type="dxa"/>
            <w:vMerge/>
          </w:tcPr>
          <w:p w14:paraId="6318834F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  <w:vMerge/>
          </w:tcPr>
          <w:p w14:paraId="3E726343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701" w:type="dxa"/>
            <w:vMerge/>
          </w:tcPr>
          <w:p w14:paraId="4556DAF4" w14:textId="6EE55C67" w:rsidR="00FD2360" w:rsidRPr="000149DA" w:rsidRDefault="00FD2360" w:rsidP="003B67D5">
            <w:pPr>
              <w:pStyle w:val="TableParagraph"/>
              <w:spacing w:before="110"/>
              <w:ind w:left="329"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</w:tcPr>
          <w:p w14:paraId="301AA5C6" w14:textId="45F1DF3B" w:rsidR="00FD2360" w:rsidRPr="000149DA" w:rsidRDefault="00FD2360" w:rsidP="003B67D5">
            <w:pPr>
              <w:pStyle w:val="TableParagraph"/>
              <w:spacing w:before="110"/>
              <w:ind w:left="384" w:right="378"/>
              <w:jc w:val="center"/>
              <w:rPr>
                <w:lang w:val="hu-HU"/>
              </w:rPr>
            </w:pPr>
          </w:p>
        </w:tc>
      </w:tr>
    </w:tbl>
    <w:p w14:paraId="512082E4" w14:textId="145C7B4C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  <w:vertAlign w:val="superscript"/>
        </w:rPr>
        <w:t>¥</w:t>
      </w:r>
      <w:r w:rsidR="00B62AE4" w:rsidRPr="00D15884">
        <w:rPr>
          <w:rFonts w:cs="Times New Roman"/>
        </w:rPr>
        <w:t>p-érték &lt; 0,0001</w:t>
      </w:r>
    </w:p>
    <w:p w14:paraId="674A3B25" w14:textId="2B625E47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</w:rPr>
        <w:t>*</w:t>
      </w:r>
      <w:r w:rsidR="00B62AE4" w:rsidRPr="00D15884">
        <w:rPr>
          <w:rFonts w:cs="Times New Roman"/>
        </w:rPr>
        <w:t>Azoknál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</w:t>
      </w:r>
      <w:r w:rsidR="00A1416D" w:rsidRPr="00D15884">
        <w:rPr>
          <w:rFonts w:cs="Times New Roman"/>
          <w:spacing w:val="-8"/>
        </w:rPr>
        <w:t> beteg</w:t>
      </w:r>
      <w:r w:rsidR="00B62AE4" w:rsidRPr="00D15884">
        <w:rPr>
          <w:rFonts w:cs="Times New Roman"/>
        </w:rPr>
        <w:t>eknél,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akiknél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az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összetett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végponthoz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számított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események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közül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több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is</w:t>
      </w:r>
      <w:r w:rsidR="00B62AE4" w:rsidRPr="00D15884">
        <w:rPr>
          <w:rFonts w:cs="Times New Roman"/>
          <w:spacing w:val="-9"/>
        </w:rPr>
        <w:t xml:space="preserve"> </w:t>
      </w:r>
      <w:r w:rsidR="00B62AE4" w:rsidRPr="00D15884">
        <w:rPr>
          <w:rFonts w:cs="Times New Roman"/>
        </w:rPr>
        <w:t>előfordult,</w:t>
      </w:r>
      <w:r w:rsidR="00B62AE4" w:rsidRPr="00D15884">
        <w:rPr>
          <w:rFonts w:cs="Times New Roman"/>
          <w:spacing w:val="-6"/>
        </w:rPr>
        <w:t xml:space="preserve"> </w:t>
      </w:r>
      <w:r w:rsidR="00B62AE4" w:rsidRPr="00D15884">
        <w:rPr>
          <w:rFonts w:cs="Times New Roman"/>
        </w:rPr>
        <w:t>csak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az első eseményt jelentették (ha például egy</w:t>
      </w:r>
      <w:r w:rsidR="00A1416D" w:rsidRPr="00D15884">
        <w:rPr>
          <w:rFonts w:cs="Times New Roman"/>
        </w:rPr>
        <w:t> beteg</w:t>
      </w:r>
      <w:r w:rsidR="00B62AE4" w:rsidRPr="00D15884">
        <w:rPr>
          <w:rFonts w:cs="Times New Roman"/>
        </w:rPr>
        <w:t>nél MVT, majd egy PE is előfordult, akkor csak az MVT-t jelentették).</w:t>
      </w:r>
    </w:p>
    <w:p w14:paraId="25CBDDE0" w14:textId="7D6B330E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</w:rPr>
        <w:t>†</w:t>
      </w:r>
      <w:r w:rsidR="00B62AE4" w:rsidRPr="00D15884">
        <w:rPr>
          <w:rFonts w:cs="Times New Roman"/>
        </w:rPr>
        <w:t>Az egyes</w:t>
      </w:r>
      <w:r w:rsidRPr="00D15884">
        <w:rPr>
          <w:rFonts w:cs="Times New Roman"/>
        </w:rPr>
        <w:t xml:space="preserve"> </w:t>
      </w:r>
      <w:r w:rsidR="00A1416D" w:rsidRPr="00D15884">
        <w:rPr>
          <w:rFonts w:cs="Times New Roman"/>
        </w:rPr>
        <w:t>beteg</w:t>
      </w:r>
      <w:r w:rsidR="00B62AE4" w:rsidRPr="00D15884">
        <w:rPr>
          <w:rFonts w:cs="Times New Roman"/>
        </w:rPr>
        <w:t>eknél több esemény is bekövetkezhetett, ezért mindkét kateg</w:t>
      </w:r>
      <w:r w:rsidR="0071046D" w:rsidRPr="00D15884">
        <w:rPr>
          <w:rFonts w:cs="Times New Roman"/>
        </w:rPr>
        <w:t>ór</w:t>
      </w:r>
      <w:r w:rsidR="00B62AE4" w:rsidRPr="00D15884">
        <w:rPr>
          <w:rFonts w:cs="Times New Roman"/>
        </w:rPr>
        <w:t>iába be lehetett sorolni őket.</w:t>
      </w:r>
    </w:p>
    <w:p w14:paraId="190B8F47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4E80BAF6" w14:textId="0914AA1D" w:rsidR="00B62AE4" w:rsidRPr="000149DA" w:rsidRDefault="00B62AE4" w:rsidP="00FF3975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D6140D" w:rsidRPr="0035314E">
        <w:rPr>
          <w:rFonts w:cs="Times New Roman"/>
        </w:rPr>
        <w:t>apixabán</w:t>
      </w:r>
      <w:r w:rsidRPr="000149DA">
        <w:rPr>
          <w:rFonts w:cs="Times New Roman"/>
        </w:rPr>
        <w:t xml:space="preserve"> megtartotta a kiújuló VTE prevenciójában mutatott hatásosságát az egyes alcsoportokban</w:t>
      </w:r>
      <w:r w:rsidR="00C72379" w:rsidRPr="000149DA">
        <w:rPr>
          <w:rFonts w:cs="Times New Roman"/>
        </w:rPr>
        <w:t xml:space="preserve">, </w:t>
      </w:r>
      <w:r w:rsidRPr="000149DA">
        <w:rPr>
          <w:rFonts w:cs="Times New Roman"/>
        </w:rPr>
        <w:t>így az életkor, a nem, a testtömegindex (BMI) vagy a vesefunkció szerinti alcsoportokban.</w:t>
      </w:r>
    </w:p>
    <w:p w14:paraId="3B9144B6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4F05CFAF" w14:textId="7DB21CC2" w:rsidR="00B62AE4" w:rsidRPr="000149DA" w:rsidRDefault="00B62AE4" w:rsidP="00FF397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elsődleges biztonságossági végpont a kezelési időszak alatti nagyfokú vérzés volt. A vizsgálatban a nagyfokú vérzés előfordulási gyakorisága egyik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 esetén sem különbözött statisztikailag a placebo esetén észlelttől. Nem volt statisztikailag szignifikáns különbség a nagyfokú klinikailag jelentős, de nem nagyfokú (CRNM), továbbá a kisfokú és az összes vérzés előfordulási gyakorisága között a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placebo terápiás csoportok között (lásd 1</w:t>
      </w:r>
      <w:r w:rsidR="00326B05">
        <w:rPr>
          <w:rFonts w:cs="Times New Roman"/>
        </w:rPr>
        <w:t>2</w:t>
      </w:r>
      <w:r w:rsidRPr="000149DA">
        <w:rPr>
          <w:rFonts w:cs="Times New Roman"/>
        </w:rPr>
        <w:t>. táblázat).</w:t>
      </w:r>
    </w:p>
    <w:p w14:paraId="2CFD570C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0E014579" w14:textId="77777777" w:rsidR="00B62AE4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AMPLIFY-EXT vizsgálat vérzési</w:t>
      </w:r>
      <w:r w:rsidRPr="000149DA">
        <w:rPr>
          <w:b w:val="0"/>
          <w:bCs w:val="0"/>
          <w:spacing w:val="-10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1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1417"/>
        <w:gridCol w:w="1276"/>
        <w:gridCol w:w="1701"/>
        <w:gridCol w:w="1601"/>
      </w:tblGrid>
      <w:tr w:rsidR="00B62AE4" w:rsidRPr="000149DA" w14:paraId="6852E8CA" w14:textId="77777777" w:rsidTr="0047354C">
        <w:trPr>
          <w:trHeight w:val="342"/>
        </w:trPr>
        <w:tc>
          <w:tcPr>
            <w:tcW w:w="1985" w:type="dxa"/>
          </w:tcPr>
          <w:p w14:paraId="61D2EBD3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3ADF8AF" w14:textId="763C8DB0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</w:p>
        </w:tc>
        <w:tc>
          <w:tcPr>
            <w:tcW w:w="1417" w:type="dxa"/>
            <w:vAlign w:val="center"/>
          </w:tcPr>
          <w:p w14:paraId="742A3527" w14:textId="0C1496F8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</w:p>
        </w:tc>
        <w:tc>
          <w:tcPr>
            <w:tcW w:w="1276" w:type="dxa"/>
            <w:vAlign w:val="center"/>
          </w:tcPr>
          <w:p w14:paraId="12460272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Placebo</w:t>
            </w:r>
          </w:p>
        </w:tc>
        <w:tc>
          <w:tcPr>
            <w:tcW w:w="3302" w:type="dxa"/>
            <w:gridSpan w:val="2"/>
            <w:vAlign w:val="center"/>
          </w:tcPr>
          <w:p w14:paraId="22D88AD6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Relatív kockázat (95%-os CI)</w:t>
            </w:r>
          </w:p>
        </w:tc>
      </w:tr>
      <w:tr w:rsidR="00B62AE4" w:rsidRPr="000149DA" w14:paraId="62C5FF76" w14:textId="77777777" w:rsidTr="0047354C">
        <w:trPr>
          <w:trHeight w:val="682"/>
        </w:trPr>
        <w:tc>
          <w:tcPr>
            <w:tcW w:w="1985" w:type="dxa"/>
          </w:tcPr>
          <w:p w14:paraId="4FB97E4D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A2F1F8D" w14:textId="09C9FDD1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CDA13F4" w14:textId="5CB37D44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840)</w:t>
            </w:r>
          </w:p>
        </w:tc>
        <w:tc>
          <w:tcPr>
            <w:tcW w:w="1417" w:type="dxa"/>
            <w:vAlign w:val="center"/>
          </w:tcPr>
          <w:p w14:paraId="753C462A" w14:textId="164CAAAD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245CA0E3" w14:textId="6D29CD8E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811)</w:t>
            </w:r>
          </w:p>
        </w:tc>
        <w:tc>
          <w:tcPr>
            <w:tcW w:w="1276" w:type="dxa"/>
            <w:vAlign w:val="center"/>
          </w:tcPr>
          <w:p w14:paraId="1094E009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  <w:p w14:paraId="3A637C42" w14:textId="0E6004A8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826)</w:t>
            </w:r>
          </w:p>
        </w:tc>
        <w:tc>
          <w:tcPr>
            <w:tcW w:w="1701" w:type="dxa"/>
            <w:vAlign w:val="center"/>
          </w:tcPr>
          <w:p w14:paraId="15A2B24A" w14:textId="29776F14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 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D9E9135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vs. Placebo</w:t>
            </w:r>
          </w:p>
        </w:tc>
        <w:tc>
          <w:tcPr>
            <w:tcW w:w="1601" w:type="dxa"/>
            <w:vAlign w:val="center"/>
          </w:tcPr>
          <w:p w14:paraId="67356D4D" w14:textId="55B96561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Apix 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07AF1504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vs. Placebo</w:t>
            </w:r>
          </w:p>
        </w:tc>
      </w:tr>
      <w:tr w:rsidR="00B62AE4" w:rsidRPr="000149DA" w14:paraId="408B9428" w14:textId="77777777" w:rsidTr="0047354C">
        <w:trPr>
          <w:trHeight w:val="341"/>
        </w:trPr>
        <w:tc>
          <w:tcPr>
            <w:tcW w:w="1985" w:type="dxa"/>
            <w:vAlign w:val="center"/>
          </w:tcPr>
          <w:p w14:paraId="60E636DE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AD3DD27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7" w:type="dxa"/>
            <w:vAlign w:val="center"/>
          </w:tcPr>
          <w:p w14:paraId="2CD820B3" w14:textId="77777777" w:rsidR="00B62AE4" w:rsidRPr="000149DA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 (%)</w:t>
            </w:r>
          </w:p>
        </w:tc>
        <w:tc>
          <w:tcPr>
            <w:tcW w:w="1276" w:type="dxa"/>
            <w:vAlign w:val="center"/>
          </w:tcPr>
          <w:p w14:paraId="7A6B2C7E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7C96EA30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01" w:type="dxa"/>
            <w:vAlign w:val="center"/>
          </w:tcPr>
          <w:p w14:paraId="44A31C90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53A57C17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45BFA630" w14:textId="77777777" w:rsidR="00B62AE4" w:rsidRPr="000149DA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Nagyfokú</w:t>
            </w:r>
          </w:p>
        </w:tc>
        <w:tc>
          <w:tcPr>
            <w:tcW w:w="1134" w:type="dxa"/>
            <w:vAlign w:val="center"/>
          </w:tcPr>
          <w:p w14:paraId="6457493D" w14:textId="77777777" w:rsidR="00B62AE4" w:rsidRPr="000149DA" w:rsidRDefault="00B62AE4" w:rsidP="001B6608">
            <w:pPr>
              <w:pStyle w:val="TableParagraph"/>
              <w:spacing w:before="55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 (0,2)</w:t>
            </w:r>
          </w:p>
        </w:tc>
        <w:tc>
          <w:tcPr>
            <w:tcW w:w="1417" w:type="dxa"/>
            <w:vAlign w:val="center"/>
          </w:tcPr>
          <w:p w14:paraId="03A1A625" w14:textId="77777777" w:rsidR="00B62AE4" w:rsidRPr="000149DA" w:rsidRDefault="00B62AE4" w:rsidP="0047354C">
            <w:pPr>
              <w:pStyle w:val="TableParagraph"/>
              <w:spacing w:before="55"/>
              <w:ind w:left="-1" w:right="176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 (0,1)</w:t>
            </w:r>
          </w:p>
        </w:tc>
        <w:tc>
          <w:tcPr>
            <w:tcW w:w="1276" w:type="dxa"/>
            <w:vAlign w:val="center"/>
          </w:tcPr>
          <w:p w14:paraId="6B6F8C04" w14:textId="77777777" w:rsidR="00B62AE4" w:rsidRPr="000149DA" w:rsidRDefault="00B62AE4" w:rsidP="0047354C">
            <w:pPr>
              <w:pStyle w:val="TableParagraph"/>
              <w:spacing w:before="55"/>
              <w:ind w:right="17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 (0,5)</w:t>
            </w:r>
          </w:p>
        </w:tc>
        <w:tc>
          <w:tcPr>
            <w:tcW w:w="1701" w:type="dxa"/>
            <w:vAlign w:val="center"/>
          </w:tcPr>
          <w:p w14:paraId="315B6699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0,49</w:t>
            </w:r>
          </w:p>
          <w:p w14:paraId="1A7BB9DA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(0,09; 2,64)</w:t>
            </w:r>
          </w:p>
        </w:tc>
        <w:tc>
          <w:tcPr>
            <w:tcW w:w="1601" w:type="dxa"/>
            <w:vAlign w:val="center"/>
          </w:tcPr>
          <w:p w14:paraId="17959180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0,25</w:t>
            </w:r>
          </w:p>
          <w:p w14:paraId="5FFBA2E8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(0,03; 2,24)</w:t>
            </w:r>
          </w:p>
        </w:tc>
      </w:tr>
      <w:tr w:rsidR="00B62AE4" w:rsidRPr="000149DA" w14:paraId="5952B902" w14:textId="77777777" w:rsidTr="0047354C">
        <w:trPr>
          <w:trHeight w:val="683"/>
        </w:trPr>
        <w:tc>
          <w:tcPr>
            <w:tcW w:w="1985" w:type="dxa"/>
            <w:vAlign w:val="center"/>
          </w:tcPr>
          <w:p w14:paraId="0E966815" w14:textId="77777777" w:rsidR="00B62AE4" w:rsidRPr="000149DA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Nagyfokú + CRNM</w:t>
            </w:r>
          </w:p>
        </w:tc>
        <w:tc>
          <w:tcPr>
            <w:tcW w:w="1134" w:type="dxa"/>
            <w:vAlign w:val="center"/>
          </w:tcPr>
          <w:p w14:paraId="3B23AC6B" w14:textId="77777777" w:rsidR="00B62AE4" w:rsidRPr="000149DA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27 (3,2)</w:t>
            </w:r>
          </w:p>
        </w:tc>
        <w:tc>
          <w:tcPr>
            <w:tcW w:w="1417" w:type="dxa"/>
            <w:vAlign w:val="center"/>
          </w:tcPr>
          <w:p w14:paraId="629A66F3" w14:textId="77777777" w:rsidR="00B62AE4" w:rsidRPr="000149DA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35 (4,3)</w:t>
            </w:r>
          </w:p>
        </w:tc>
        <w:tc>
          <w:tcPr>
            <w:tcW w:w="1276" w:type="dxa"/>
            <w:vAlign w:val="center"/>
          </w:tcPr>
          <w:p w14:paraId="586C6F90" w14:textId="77777777" w:rsidR="00B62AE4" w:rsidRPr="000149DA" w:rsidRDefault="00B62AE4" w:rsidP="0047354C">
            <w:pPr>
              <w:pStyle w:val="TableParagraph"/>
              <w:spacing w:before="53"/>
              <w:ind w:right="1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22 (2,7)</w:t>
            </w:r>
          </w:p>
        </w:tc>
        <w:tc>
          <w:tcPr>
            <w:tcW w:w="1701" w:type="dxa"/>
            <w:vAlign w:val="center"/>
          </w:tcPr>
          <w:p w14:paraId="5300C7BF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1,20</w:t>
            </w:r>
          </w:p>
          <w:p w14:paraId="5FFBBB7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(0,69; 2,10)</w:t>
            </w:r>
          </w:p>
        </w:tc>
        <w:tc>
          <w:tcPr>
            <w:tcW w:w="1601" w:type="dxa"/>
            <w:vAlign w:val="center"/>
          </w:tcPr>
          <w:p w14:paraId="575365DF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1,62</w:t>
            </w:r>
          </w:p>
          <w:p w14:paraId="35780B3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(0,96; 2,73)</w:t>
            </w:r>
          </w:p>
        </w:tc>
      </w:tr>
      <w:tr w:rsidR="00B62AE4" w:rsidRPr="000149DA" w14:paraId="1CCF2601" w14:textId="77777777" w:rsidTr="0047354C">
        <w:trPr>
          <w:trHeight w:val="682"/>
        </w:trPr>
        <w:tc>
          <w:tcPr>
            <w:tcW w:w="1985" w:type="dxa"/>
            <w:vAlign w:val="center"/>
          </w:tcPr>
          <w:p w14:paraId="559069E0" w14:textId="77777777" w:rsidR="00B62AE4" w:rsidRPr="000149DA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Kisfokú</w:t>
            </w:r>
          </w:p>
        </w:tc>
        <w:tc>
          <w:tcPr>
            <w:tcW w:w="1134" w:type="dxa"/>
            <w:vAlign w:val="center"/>
          </w:tcPr>
          <w:p w14:paraId="203AA2A6" w14:textId="77777777" w:rsidR="00B62AE4" w:rsidRPr="000149DA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75 (8,9)</w:t>
            </w:r>
          </w:p>
        </w:tc>
        <w:tc>
          <w:tcPr>
            <w:tcW w:w="1417" w:type="dxa"/>
            <w:vAlign w:val="center"/>
          </w:tcPr>
          <w:p w14:paraId="047E7FD8" w14:textId="77777777" w:rsidR="00B62AE4" w:rsidRPr="000149DA" w:rsidRDefault="00B62AE4" w:rsidP="0047354C">
            <w:pPr>
              <w:pStyle w:val="TableParagraph"/>
              <w:spacing w:before="53"/>
              <w:ind w:left="-1" w:right="173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98 (12,1)</w:t>
            </w:r>
          </w:p>
        </w:tc>
        <w:tc>
          <w:tcPr>
            <w:tcW w:w="1276" w:type="dxa"/>
            <w:vAlign w:val="center"/>
          </w:tcPr>
          <w:p w14:paraId="03FB242A" w14:textId="77777777" w:rsidR="00B62AE4" w:rsidRPr="000149DA" w:rsidRDefault="00B62AE4" w:rsidP="0047354C">
            <w:pPr>
              <w:pStyle w:val="TableParagraph"/>
              <w:spacing w:before="53"/>
              <w:ind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58 (7,0)</w:t>
            </w:r>
          </w:p>
        </w:tc>
        <w:tc>
          <w:tcPr>
            <w:tcW w:w="1701" w:type="dxa"/>
            <w:vAlign w:val="center"/>
          </w:tcPr>
          <w:p w14:paraId="54A7168E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1,26</w:t>
            </w:r>
          </w:p>
          <w:p w14:paraId="29192160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(0,91; 1,75)</w:t>
            </w:r>
          </w:p>
        </w:tc>
        <w:tc>
          <w:tcPr>
            <w:tcW w:w="1601" w:type="dxa"/>
            <w:vAlign w:val="center"/>
          </w:tcPr>
          <w:p w14:paraId="442226E8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1,70</w:t>
            </w:r>
          </w:p>
          <w:p w14:paraId="6D3B739C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(1,25; 2,31)</w:t>
            </w:r>
          </w:p>
        </w:tc>
      </w:tr>
      <w:tr w:rsidR="00B62AE4" w:rsidRPr="000149DA" w14:paraId="6DD4A0C2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51F1B16E" w14:textId="77777777" w:rsidR="00B62AE4" w:rsidRPr="000149DA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Összes</w:t>
            </w:r>
          </w:p>
        </w:tc>
        <w:tc>
          <w:tcPr>
            <w:tcW w:w="1134" w:type="dxa"/>
            <w:vAlign w:val="center"/>
          </w:tcPr>
          <w:p w14:paraId="4030A439" w14:textId="77777777" w:rsidR="00B62AE4" w:rsidRPr="000149DA" w:rsidRDefault="00B62AE4" w:rsidP="0047354C">
            <w:pPr>
              <w:pStyle w:val="TableParagraph"/>
              <w:spacing w:before="55"/>
              <w:ind w:right="17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94 (11,2)</w:t>
            </w:r>
          </w:p>
        </w:tc>
        <w:tc>
          <w:tcPr>
            <w:tcW w:w="1417" w:type="dxa"/>
            <w:vAlign w:val="center"/>
          </w:tcPr>
          <w:p w14:paraId="251901B0" w14:textId="77777777" w:rsidR="00B62AE4" w:rsidRPr="000149DA" w:rsidRDefault="00B62AE4" w:rsidP="0047354C">
            <w:pPr>
              <w:pStyle w:val="TableParagraph"/>
              <w:spacing w:before="55"/>
              <w:ind w:left="-1" w:right="177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121 (14,9)</w:t>
            </w:r>
          </w:p>
        </w:tc>
        <w:tc>
          <w:tcPr>
            <w:tcW w:w="1276" w:type="dxa"/>
            <w:vAlign w:val="center"/>
          </w:tcPr>
          <w:p w14:paraId="4B6294C1" w14:textId="77777777" w:rsidR="00B62AE4" w:rsidRPr="000149DA" w:rsidRDefault="00B62AE4" w:rsidP="0047354C">
            <w:pPr>
              <w:pStyle w:val="TableParagraph"/>
              <w:spacing w:before="55"/>
              <w:ind w:right="17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74 (9,0)</w:t>
            </w:r>
          </w:p>
        </w:tc>
        <w:tc>
          <w:tcPr>
            <w:tcW w:w="1701" w:type="dxa"/>
            <w:vAlign w:val="center"/>
          </w:tcPr>
          <w:p w14:paraId="1FF1857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1,24</w:t>
            </w:r>
          </w:p>
          <w:p w14:paraId="0F99AF13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(0,93; 1,65)</w:t>
            </w:r>
          </w:p>
        </w:tc>
        <w:tc>
          <w:tcPr>
            <w:tcW w:w="1601" w:type="dxa"/>
            <w:vAlign w:val="center"/>
          </w:tcPr>
          <w:p w14:paraId="15DE3004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1,65</w:t>
            </w:r>
          </w:p>
          <w:p w14:paraId="07E4C134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(1,26; 2,16)</w:t>
            </w:r>
          </w:p>
        </w:tc>
      </w:tr>
    </w:tbl>
    <w:p w14:paraId="11282D83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4D66B7F5" w14:textId="7EF81F0C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Igazolt, ISTH szerinti nagyfokú gastrointestinalis vérzés a</w:t>
      </w:r>
      <w:r w:rsidR="007D4C4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1-nél (0,1%), a</w:t>
      </w:r>
      <w:r w:rsidR="007D4C4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7D4C4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egynél sem, a placebóval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pedig 1-nél (0,1%) fordult elő.</w:t>
      </w:r>
    </w:p>
    <w:p w14:paraId="78AC02C6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79F35EC9" w14:textId="4F63A880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Gyermekek</w:t>
      </w:r>
      <w:r w:rsidR="0047354C" w:rsidRPr="000149DA">
        <w:rPr>
          <w:rFonts w:cs="Times New Roman"/>
          <w:u w:val="single"/>
        </w:rPr>
        <w:t xml:space="preserve"> és serdülők</w:t>
      </w:r>
    </w:p>
    <w:p w14:paraId="088844C7" w14:textId="77777777" w:rsidR="00B62AE4" w:rsidRDefault="00B62AE4" w:rsidP="007D4C4D">
      <w:pPr>
        <w:pStyle w:val="Nincstrkz"/>
        <w:rPr>
          <w:rFonts w:cs="Times New Roman"/>
        </w:rPr>
      </w:pPr>
    </w:p>
    <w:p w14:paraId="01FF2744" w14:textId="513834A1" w:rsidR="004E6ED7" w:rsidRPr="00304D8C" w:rsidRDefault="004E6ED7" w:rsidP="004E6ED7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A vénás thromboembolia (VTE) kezelése és a VTE kiújulásának megelőzése gyermekeknél és serdülőknél 28 napostól &lt; 18 éves korig</w:t>
      </w:r>
    </w:p>
    <w:p w14:paraId="249F11CB" w14:textId="16DC61BB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 CV185325 az apixabán randomizált, aktív kontrollos, nyílt, multicentrikus vizsgálata volt a VTE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kezelésére gyermekeknél és serdülőknél. Ebbe a leíró hatásossági és biztonságossági vizsgálatba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217 gyermeket és serdülőt vontak be; akik véralvadásgátló kezelést igényeltek VTE kezelése vagy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VTE kiújulásának megelőzése céljából; 137 beteget az 1. korcsoportba (12 – &lt; 18 év), 44 beteget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2. korcsoportba (2 – &lt; 12 év), 32 beteget a 3. korcsoportba (28 nap – &lt; 2 év) és 4 beteget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4. korcsoportba (születés – &lt; 28 nap). A beválasztást indokló VTE-t képalkotással igazolták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függetlenül értékelték. A randomizálás előtt a betegeket a szokásos ellátás szerinti véralvadásgátló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kezelésben részesítették legfeljebb 14 napig (a vizsgálati gyógyszer megkezdése előtti szokásos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antikoaguláns-kezelés átlagos időtartama (SD) 4,8 (2,5) nap volt, és a betegek 92,3%-a kezdte meg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kezelést ≤ 7 napon belül). A betegeket 2:1 arányban randomizálták, és az életkornak megfelelő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gyógyszerformában kaptak apixabánt (testtömeghez igazított dózisban, ami megfelelt a felnőtteknél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alkalmazott napi kétszer 10 mg feltöltő dózisnak 7 napig, amit napi kétszer 5 mg követett) vagy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szokásos ellátást. A 2 – &lt; 18 éves betegeknél a szokásos ellátás kis molekulatömegű heparinokból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(LMWH), nem frakcionált heparinokból (UFH) vagy K-vitamin-antagonistákból (VKA) állt.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28 napos – &lt; 2 éves betegeknél a szokásos ellátás csak heparinokból állt (UFH vagy LMWH). A fő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kezelési időszak 42-84 napig tartott a &lt; 2 éves betegeknél, és 84 napig a &gt; 2 éves betegeknél.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28 napos – &lt; 18 éves, apixabánra randomizált betegeknek lehetőségük volt az apixabán-kezelést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további 6-12 hétig folytatni az kiterjesztett kezelési időszakban.</w:t>
      </w:r>
    </w:p>
    <w:p w14:paraId="55CB7579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0D363927" w14:textId="4EDA3C0B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elsődleges hatásossági végpont a képalkotással megerősített és elbírált összes tünetes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tünetmentes kiújuló VTE és VTE-vel összefüggő halálozás összetett végpontja volt. Egyik kezelési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csoportban sem fordult elő VTE-vel összefüggő halálozás egy betegnél sem. Összesen 4 (2,8%) beteg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az apixabán-csoportban és 2 (2,8%) beteg a szokásos ellátás szerinti csoportban tapasztalt legalább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1 elbírált tünetes vagy tünetmentes kiújuló VTE eseményt.</w:t>
      </w:r>
    </w:p>
    <w:p w14:paraId="32574EBD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52A10ABD" w14:textId="0743F8CE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expozíció medián időtartama az apixabán-karon kezelt 143 betegnél 84,0 nap volt. Az expozíció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67 (46,9%) betegnél haladta meg a 84 napot. Az elsődleges biztonságossági végpontot, a nagyfokú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 CRNM vérzést 2 (1,4%) betegnél tapasztalták az apixabán-karon és 1 (1,4%) betegnél a szokásos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kezelést alkalmazó karon, a relatív kockázat 0,99 volt (95%-os CI: 0,1; 10,8). Ez minden esetben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CRNM vérzést jelentett. Kisfokú vérzést 51 (35,7%) betegnél jelentettek az apixabán-csoportban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21 (29,6%) betegnél a szokásos ellátás szerinti csoportban; a relatív kockázat 1,19 volt (95%-os CI: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0,8; 1,8).</w:t>
      </w:r>
    </w:p>
    <w:p w14:paraId="4A51486C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597AB224" w14:textId="1E95E62C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Súlyos vérzést olyan vérzésként határoztak meg, amely a következő kritériumok közül egynek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többnek megfelel: (i) halálos vérzés; (ii) klinikailag nyilvánvaló vérzés, amely a Hgb legalább 20 g/l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(2 g/dl) csökkenésével jár 24 órás időszak alatt; (iii) retroperitoneális, pulmonális, intrakraniális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más módon a központi idegrendszert érintő vérzés; valamint (iv) sebészeti beavatkozást igénylő vérzés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műtőben (beleértve az intervenciós radiológiát).</w:t>
      </w:r>
    </w:p>
    <w:p w14:paraId="16869977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40EEB9E" w14:textId="4C3AC284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 CRNM vérzést olyan vérzésként határozták meg, amely a következő kritériumok egyikének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mind a kettőnek megfelel: (i) nyilvánvaló vérzés, amelyre vérkészítményt adnak be, és amely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közvetlenül az alany alapbetegségének tulajdonítható, valamint (ii) olyan műtőn kívüli vérzés, amely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vérzéscsillapításhoz orvosi vagy sebészeti beavatkozást igényel.</w:t>
      </w:r>
    </w:p>
    <w:p w14:paraId="445E6E6F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BC45ED6" w14:textId="50337AE8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Kisfokú vérzésnek minősült a vérzés minden olyan nyilvánvaló vagy makroszkópos bizonyítéka,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amely nem felel meg sem a súlyos, sem a klinikailag jelentős, nem súlyos vérzés fenti kritériumainak.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 menstruációs vérzést enyhe vérzéses eseménynek minősítették, nem pedig klinikailag jelentős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súlyos vérzésnek.</w:t>
      </w:r>
    </w:p>
    <w:p w14:paraId="1476BE76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C9463ED" w14:textId="6390DF93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53 azon beteg esetén, aki belépett a kiterjesztett szakaszba és apixabán-kezelést kapott,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jelentkezett tünetes vagy tünetmentes kiújuló VTE esemény és nem jelentettek VTE-vel összefüggő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halálozást. A kiterjesztett szakaszban egy betegnél sem jelentkezett súlyos vagy CRNM vérzésnek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megítélt esemény. A kiterjesztett szakaszban nyolc (8/53; 15,1%) beteg tapasztalt kisfokú vérzéses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eseményeket.</w:t>
      </w:r>
    </w:p>
    <w:p w14:paraId="49C59F12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2D77EEB2" w14:textId="3FC6CDCA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apixabán-csoportban 3 halálozás és a szokásos ellátást alkalmazó csoportban 1 halálozás fordult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elő, melyek mindegyikét a kezeléssel nem összefüggőnek ítélte meg a vizsgáló. A független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Eseményértékelő Bizottság megítélése szerint ezen halálesetek egyike sem a VTE vagy vérzéses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 miatt következett be.</w:t>
      </w:r>
    </w:p>
    <w:p w14:paraId="35D29258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4B5A9005" w14:textId="09E7CB67" w:rsidR="004E6ED7" w:rsidRDefault="004E6ED7" w:rsidP="004E6ED7">
      <w:pPr>
        <w:pStyle w:val="Nincstrkz"/>
        <w:rPr>
          <w:rFonts w:cs="Times New Roman"/>
          <w:lang w:bidi="hu-HU"/>
        </w:rPr>
      </w:pPr>
      <w:r w:rsidRPr="004E6ED7">
        <w:rPr>
          <w:rFonts w:cs="Times New Roman"/>
        </w:rPr>
        <w:t>Az apixabán gyermekekre és serdülőkre vonatkozó biztonságossági adatbázisa a VTE kezelésére és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kiújuló VTE megelőzésére vonatkozó CV185325 vizsgálaton alapul, amit a PREVAPIX-ALL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vizsgálat és a SAXOPHONE vizsgálat egészített ki a VTE elsődleges prophylaxisára vonatkozóan,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valamint az egyetlen dózist vizsgáló CV185118 vizsgálat. 970 gyermeket és serdülőt vontak be,</w:t>
      </w:r>
      <w:r>
        <w:rPr>
          <w:rFonts w:cs="Times New Roman"/>
        </w:rPr>
        <w:t xml:space="preserve"> </w:t>
      </w:r>
      <w:r w:rsidRPr="004E6ED7">
        <w:rPr>
          <w:rFonts w:cs="Times New Roman"/>
          <w:lang w:bidi="hu-HU"/>
        </w:rPr>
        <w:t>közülük 568 beteg kapott apixabánt.</w:t>
      </w:r>
    </w:p>
    <w:p w14:paraId="094EA5B0" w14:textId="77777777" w:rsidR="004E6ED7" w:rsidRPr="000149DA" w:rsidRDefault="004E6ED7" w:rsidP="004E6ED7">
      <w:pPr>
        <w:pStyle w:val="Nincstrkz"/>
        <w:rPr>
          <w:rFonts w:cs="Times New Roman"/>
        </w:rPr>
      </w:pPr>
    </w:p>
    <w:p w14:paraId="602120C4" w14:textId="350642F3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 xml:space="preserve">Gyermekek és serdülők esetén nincs engedélyezett javallat </w:t>
      </w:r>
      <w:r w:rsidR="004E6ED7" w:rsidRPr="004E6ED7">
        <w:rPr>
          <w:rFonts w:cs="Times New Roman"/>
        </w:rPr>
        <w:t>VTE elsődleges prophylaxisában</w:t>
      </w:r>
      <w:r w:rsidRPr="00980D96">
        <w:rPr>
          <w:rFonts w:cs="Times New Roman"/>
        </w:rPr>
        <w:t>.</w:t>
      </w:r>
    </w:p>
    <w:p w14:paraId="45E6BACB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0ED331C6" w14:textId="1B5CD008" w:rsidR="00980D96" w:rsidRPr="00304D8C" w:rsidRDefault="00980D96" w:rsidP="00980D96">
      <w:pPr>
        <w:pStyle w:val="Nincstrkz"/>
        <w:rPr>
          <w:rFonts w:cs="Times New Roman"/>
          <w:i/>
          <w:iCs/>
          <w:u w:val="single"/>
        </w:rPr>
      </w:pPr>
      <w:r w:rsidRPr="00304D8C">
        <w:rPr>
          <w:rFonts w:cs="Times New Roman"/>
          <w:i/>
          <w:iCs/>
          <w:u w:val="single"/>
        </w:rPr>
        <w:t>A VTE megelőzése akut lymphoblastos leukaemiában (ALL) vagy lymphoblastos lymphomában (LL) szenvedő gyermekeknél és serdülőknél</w:t>
      </w:r>
    </w:p>
    <w:p w14:paraId="6340BE17" w14:textId="4C434383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PREVAPIX-ALL vizsgálatban összesen 512, ≥ 1 és &lt; 18 év közötti életkorú, ALL-lel vagy LL-lel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újonnan diagnosztizált, egy centrális vénás hozzáférést biztosító beültetett eszközön keresztül,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aszparaginázt tartalmazó indukciós kemoterápiát kapó beteget randomizáltak 1:1 arányban, nyílt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elrendezésben, thromboprofilaktikus kezelésre apixabánnal vagy a szokásos ellátás szerint (szisztémás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antikoaguláns-kezelés nélkül). Az apixabánt fix dózisban, a testtömeghez igazított adagolási rend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szerint kapták, amelyet úgy hoztak létre, hogy az a napi kétszer 2,5 mg-ot kapó felnőtteknél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megfigyelt expozícióval hasonló expozíciót eredményezzen (lásd 1</w:t>
      </w:r>
      <w:r w:rsidR="004E6ED7">
        <w:rPr>
          <w:rFonts w:cs="Times New Roman"/>
        </w:rPr>
        <w:t>3</w:t>
      </w:r>
      <w:r w:rsidRPr="00980D96">
        <w:rPr>
          <w:rFonts w:cs="Times New Roman"/>
        </w:rPr>
        <w:t>. táblázat). A vizsgálatban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2,5 mg-os és 0,5 mg-os tablettát vagy 0,4 mg/ml-es belsőleges oldatot alkalmaztak. Az expozíció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medián időtartama az apixabán-karon 25 nap volt.</w:t>
      </w:r>
    </w:p>
    <w:p w14:paraId="3DBB7ECC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45C967C6" w14:textId="4B81CD42" w:rsidR="00980D96" w:rsidRPr="00304D8C" w:rsidRDefault="00980D96" w:rsidP="00980D96">
      <w:pPr>
        <w:pStyle w:val="Nincstrkz"/>
        <w:rPr>
          <w:rFonts w:cs="Times New Roman"/>
          <w:b/>
          <w:bCs/>
        </w:rPr>
      </w:pPr>
      <w:r w:rsidRPr="00304D8C">
        <w:rPr>
          <w:rFonts w:cs="Times New Roman"/>
          <w:b/>
          <w:bCs/>
        </w:rPr>
        <w:t>1</w:t>
      </w:r>
      <w:r w:rsidR="004E6ED7">
        <w:rPr>
          <w:rFonts w:cs="Times New Roman"/>
          <w:b/>
          <w:bCs/>
        </w:rPr>
        <w:t>3</w:t>
      </w:r>
      <w:r w:rsidRPr="00304D8C">
        <w:rPr>
          <w:rFonts w:cs="Times New Roman"/>
          <w:b/>
          <w:bCs/>
        </w:rPr>
        <w:t>. táblázat: Az apixabán adagolása a PREVAPIX-ALL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980D96" w14:paraId="58722AAF" w14:textId="77777777" w:rsidTr="0057286C">
        <w:tc>
          <w:tcPr>
            <w:tcW w:w="2547" w:type="dxa"/>
            <w:vAlign w:val="center"/>
          </w:tcPr>
          <w:p w14:paraId="4FC75CB4" w14:textId="77777777" w:rsidR="00980D96" w:rsidRDefault="00980D96" w:rsidP="0057286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2E3C400E" w14:textId="77777777" w:rsidR="00980D96" w:rsidRDefault="00980D96" w:rsidP="0057286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980D96" w14:paraId="72BDEBEC" w14:textId="77777777" w:rsidTr="0057286C">
        <w:tc>
          <w:tcPr>
            <w:tcW w:w="2547" w:type="dxa"/>
            <w:vAlign w:val="center"/>
          </w:tcPr>
          <w:p w14:paraId="2EDC4DFF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10,5 kg</w:t>
            </w:r>
          </w:p>
        </w:tc>
        <w:tc>
          <w:tcPr>
            <w:tcW w:w="2551" w:type="dxa"/>
            <w:vAlign w:val="center"/>
          </w:tcPr>
          <w:p w14:paraId="54A901FB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733501">
              <w:rPr>
                <w:rFonts w:eastAsiaTheme="minorHAnsi"/>
                <w:lang w:eastAsia="en-US" w:bidi="ar-SA"/>
              </w:rPr>
              <w:t>0,5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0693E059" w14:textId="77777777" w:rsidTr="0057286C">
        <w:tc>
          <w:tcPr>
            <w:tcW w:w="2547" w:type="dxa"/>
            <w:vAlign w:val="center"/>
          </w:tcPr>
          <w:p w14:paraId="7B10B298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10,5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18 kg</w:t>
            </w:r>
          </w:p>
        </w:tc>
        <w:tc>
          <w:tcPr>
            <w:tcW w:w="2551" w:type="dxa"/>
            <w:vAlign w:val="center"/>
          </w:tcPr>
          <w:p w14:paraId="4AA066C8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748835BF" w14:textId="77777777" w:rsidTr="0057286C">
        <w:tc>
          <w:tcPr>
            <w:tcW w:w="2547" w:type="dxa"/>
            <w:vAlign w:val="center"/>
          </w:tcPr>
          <w:p w14:paraId="72127A11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18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25 kg</w:t>
            </w:r>
          </w:p>
        </w:tc>
        <w:tc>
          <w:tcPr>
            <w:tcW w:w="2551" w:type="dxa"/>
            <w:vAlign w:val="center"/>
          </w:tcPr>
          <w:p w14:paraId="49E1BFCF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8D38C1">
              <w:rPr>
                <w:rFonts w:eastAsiaTheme="minorHAnsi"/>
                <w:lang w:eastAsia="en-US" w:bidi="ar-SA"/>
              </w:rPr>
              <w:t>1,5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59CEB448" w14:textId="77777777" w:rsidTr="0057286C">
        <w:tc>
          <w:tcPr>
            <w:tcW w:w="2547" w:type="dxa"/>
            <w:vAlign w:val="center"/>
          </w:tcPr>
          <w:p w14:paraId="2882E084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25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35 kg</w:t>
            </w:r>
          </w:p>
        </w:tc>
        <w:tc>
          <w:tcPr>
            <w:tcW w:w="2551" w:type="dxa"/>
            <w:vAlign w:val="center"/>
          </w:tcPr>
          <w:p w14:paraId="3FEBF2CF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0F5D31">
              <w:rPr>
                <w:rFonts w:eastAsiaTheme="minorHAnsi"/>
                <w:lang w:eastAsia="en-US" w:bidi="ar-SA"/>
              </w:rPr>
              <w:t>2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3DF230A1" w14:textId="77777777" w:rsidTr="0057286C">
        <w:tc>
          <w:tcPr>
            <w:tcW w:w="2547" w:type="dxa"/>
            <w:vAlign w:val="center"/>
          </w:tcPr>
          <w:p w14:paraId="69E71A20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 w:hint="eastAsia"/>
                <w:lang w:eastAsia="en-US" w:bidi="ar-SA"/>
              </w:rPr>
              <w:t>≥</w:t>
            </w:r>
            <w:r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61E23403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2,5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159E9AFB" w14:textId="77777777" w:rsidR="00980D96" w:rsidRDefault="00980D96" w:rsidP="00980D96">
      <w:pPr>
        <w:pStyle w:val="Nincstrkz"/>
        <w:rPr>
          <w:rFonts w:cs="Times New Roman"/>
        </w:rPr>
      </w:pPr>
    </w:p>
    <w:p w14:paraId="45B7AAE8" w14:textId="29703D51" w:rsidR="00980D96" w:rsidRP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Az elsődleges hatásossági végpont az igazolt, tünetekkel járó és tünetmentes, nem halálos mélyvénás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thrombosis, tüdőembolia, cerebralis vénás sinusthrombosis és vénás thromboemboliával összefüggő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halálozás összetett végpontja volt. Az elsődleges hatásossági végpont incidenciája 31 (12,1%) volt az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apixabán-karon és 45 (17,6%) a szokásos ellátást alkalmazó karon. A relatív kockázatcsökkenés nem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ért el szignifikáns szintet.</w:t>
      </w:r>
    </w:p>
    <w:p w14:paraId="5866A99C" w14:textId="23B52FE4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biztonságossági végpontokat az ISTH kritériumai szerint ítélték meg. Az elsődleges biztonságossági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végpont, a nagyfokú vérzés az egyes kezelési karokon a betegek 0,8%-ánál jelentkezett. CRNM vérzés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11 betegnél jelentkezett (4,3%) az apixabán-karon és 3 betegnél (1,2%) a szokásos ellátást alkalmazó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karon. A kezelési különbséghez hozzájáruló leggyakoribb CRNM vérzéses esemény enyhe vagy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mérsékelt intenzitású epistaxis volt. Kisfokú vérzéses események 37 betegnél fordultak elő az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apixabán-karon (14,5%) és 20 betegnél (7,8%) a szokásos ellátást alkalmazó karon.</w:t>
      </w:r>
    </w:p>
    <w:p w14:paraId="2202AE35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259DCFB9" w14:textId="3A17CA3E" w:rsidR="00980D96" w:rsidRPr="00304D8C" w:rsidRDefault="00980D96" w:rsidP="00980D96">
      <w:pPr>
        <w:pStyle w:val="Nincstrkz"/>
        <w:rPr>
          <w:rFonts w:cs="Times New Roman"/>
          <w:i/>
          <w:iCs/>
          <w:u w:val="single"/>
        </w:rPr>
      </w:pPr>
      <w:r w:rsidRPr="00304D8C">
        <w:rPr>
          <w:rFonts w:cs="Times New Roman"/>
          <w:i/>
          <w:iCs/>
          <w:u w:val="single"/>
        </w:rPr>
        <w:t>A thromboembolia (TE) megelőzése veleszületett vagy szerzett szívbetegséggel élő gyermekeknél és</w:t>
      </w:r>
      <w:r>
        <w:rPr>
          <w:rFonts w:cs="Times New Roman"/>
          <w:i/>
          <w:iCs/>
          <w:u w:val="single"/>
        </w:rPr>
        <w:t xml:space="preserve"> </w:t>
      </w:r>
      <w:r w:rsidRPr="00304D8C">
        <w:rPr>
          <w:rFonts w:cs="Times New Roman"/>
          <w:i/>
          <w:iCs/>
          <w:u w:val="single"/>
        </w:rPr>
        <w:t>serdülőknél</w:t>
      </w:r>
    </w:p>
    <w:p w14:paraId="2BCEEF4E" w14:textId="4DAC408E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SAXOPHONE egy 2:1 arányban randomizált, nyílt elrendezésű, multicentrikus, összehasonlító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vizsgálat volt 28 nap - betöltött 18 év közötti életkorú, veleszületett vagy szerzett szívbetegségben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szenvedő, antikoagulálást igénylő betegeknél. A betegek apixabánt vagy a szokásos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thromboprofilaktikus ellátást kapták egy K-vitamin-antagonistával vagy kis molekulatömegű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heparinnal. Az apixabánt fix dózisban, a testtömeghez igazított adagolási rend szerint kapták, amelyet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úgy hoztak létre, hogy az a napi kétszer 5 mg-os adagot kapó felnőtteknél megfigyelt expozícióval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hasonló expozíciót eredményezzen (lásd 1</w:t>
      </w:r>
      <w:r w:rsidR="004E6ED7">
        <w:rPr>
          <w:rFonts w:cs="Times New Roman"/>
        </w:rPr>
        <w:t>4</w:t>
      </w:r>
      <w:r w:rsidRPr="00980D96">
        <w:rPr>
          <w:rFonts w:cs="Times New Roman"/>
        </w:rPr>
        <w:t>. táblázat). A vizsgálatban 5 mg-os és 0,5 mg-os tablettát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vagy 0,4 mg/ml-es belsőleges oldatot alkalmaztak. Az expozíció átlagos időtartama az apixabán-karon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331 nap volt.</w:t>
      </w:r>
    </w:p>
    <w:p w14:paraId="45911020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3CBF52FC" w14:textId="643570C9" w:rsidR="00980D96" w:rsidRPr="00304D8C" w:rsidRDefault="00980D96" w:rsidP="00980D96">
      <w:pPr>
        <w:pStyle w:val="Nincstrkz"/>
        <w:rPr>
          <w:rFonts w:cs="Times New Roman"/>
          <w:b/>
          <w:bCs/>
        </w:rPr>
      </w:pPr>
      <w:r w:rsidRPr="00304D8C">
        <w:rPr>
          <w:rFonts w:cs="Times New Roman"/>
          <w:b/>
          <w:bCs/>
        </w:rPr>
        <w:t>1</w:t>
      </w:r>
      <w:r w:rsidR="004E6ED7">
        <w:rPr>
          <w:rFonts w:cs="Times New Roman"/>
          <w:b/>
          <w:bCs/>
        </w:rPr>
        <w:t>4</w:t>
      </w:r>
      <w:r w:rsidRPr="00304D8C">
        <w:rPr>
          <w:rFonts w:cs="Times New Roman"/>
          <w:b/>
          <w:bCs/>
        </w:rPr>
        <w:t>. táblázat: Az apixabán adagolása a SAXOPHONE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980D96" w14:paraId="32ECAE05" w14:textId="77777777" w:rsidTr="0057286C">
        <w:tc>
          <w:tcPr>
            <w:tcW w:w="2547" w:type="dxa"/>
            <w:vAlign w:val="center"/>
          </w:tcPr>
          <w:p w14:paraId="28629EC7" w14:textId="77777777" w:rsidR="00980D96" w:rsidRDefault="00980D96" w:rsidP="0057286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6A720312" w14:textId="77777777" w:rsidR="00980D96" w:rsidRDefault="00980D96" w:rsidP="0057286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980D96" w14:paraId="3DB7B14A" w14:textId="77777777" w:rsidTr="0057286C">
        <w:tc>
          <w:tcPr>
            <w:tcW w:w="2547" w:type="dxa"/>
            <w:vAlign w:val="center"/>
          </w:tcPr>
          <w:p w14:paraId="3CDCBF8C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9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7BAD2D81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</w:t>
            </w:r>
            <w:r w:rsidRPr="0073350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3922366F" w14:textId="77777777" w:rsidTr="0057286C">
        <w:tc>
          <w:tcPr>
            <w:tcW w:w="2547" w:type="dxa"/>
            <w:vAlign w:val="center"/>
          </w:tcPr>
          <w:p w14:paraId="4B192E70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9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</w:t>
            </w:r>
            <w:r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0174E43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</w:t>
            </w:r>
            <w:r>
              <w:rPr>
                <w:rFonts w:eastAsiaTheme="minorHAnsi"/>
                <w:lang w:eastAsia="en-US" w:bidi="ar-SA"/>
              </w:rPr>
              <w:t>,5</w:t>
            </w:r>
            <w:r w:rsidRPr="00D7764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284EA470" w14:textId="77777777" w:rsidTr="0057286C">
        <w:tc>
          <w:tcPr>
            <w:tcW w:w="2547" w:type="dxa"/>
            <w:vAlign w:val="center"/>
          </w:tcPr>
          <w:p w14:paraId="708F0ED9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>1</w:t>
            </w:r>
            <w:r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18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3B398275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2</w:t>
            </w:r>
            <w:r w:rsidRPr="008D38C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6A94DF4A" w14:textId="77777777" w:rsidTr="0057286C">
        <w:tc>
          <w:tcPr>
            <w:tcW w:w="2547" w:type="dxa"/>
            <w:vAlign w:val="center"/>
          </w:tcPr>
          <w:p w14:paraId="6C071FAC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18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25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856F228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3</w:t>
            </w:r>
            <w:r w:rsidRPr="000F5D3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25E1C7DE" w14:textId="77777777" w:rsidTr="00304D8C">
        <w:tc>
          <w:tcPr>
            <w:tcW w:w="2547" w:type="dxa"/>
            <w:vAlign w:val="center"/>
          </w:tcPr>
          <w:p w14:paraId="4EE066B7" w14:textId="25D47602" w:rsidR="00980D96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>25 – &lt; 35 kg</w:t>
            </w:r>
          </w:p>
        </w:tc>
        <w:tc>
          <w:tcPr>
            <w:tcW w:w="2551" w:type="dxa"/>
            <w:vAlign w:val="center"/>
          </w:tcPr>
          <w:p w14:paraId="11D14F74" w14:textId="6B55C470" w:rsidR="00980D96" w:rsidRPr="00980D96" w:rsidRDefault="00980D96" w:rsidP="00304D8C">
            <w:pPr>
              <w:pStyle w:val="Nincstrkz"/>
              <w:jc w:val="center"/>
            </w:pPr>
            <w:r w:rsidRPr="00980D96">
              <w:rPr>
                <w:rFonts w:cs="Times New Roman"/>
              </w:rPr>
              <w:t>4 mg naponta kétszer</w:t>
            </w:r>
          </w:p>
        </w:tc>
      </w:tr>
      <w:tr w:rsidR="00980D96" w14:paraId="444D2DCC" w14:textId="77777777" w:rsidTr="0057286C">
        <w:tc>
          <w:tcPr>
            <w:tcW w:w="2547" w:type="dxa"/>
            <w:vAlign w:val="center"/>
          </w:tcPr>
          <w:p w14:paraId="6C471643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 w:hint="eastAsia"/>
                <w:lang w:eastAsia="en-US" w:bidi="ar-SA"/>
              </w:rPr>
              <w:t>≥</w:t>
            </w:r>
            <w:r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7E2DF642" w14:textId="77777777" w:rsidR="00980D96" w:rsidRPr="0057286C" w:rsidRDefault="00980D96" w:rsidP="0057286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473DE58B" w14:textId="77777777" w:rsidR="00980D96" w:rsidRDefault="00980D96" w:rsidP="00980D96">
      <w:pPr>
        <w:pStyle w:val="Nincstrkz"/>
        <w:rPr>
          <w:rFonts w:cs="Times New Roman"/>
        </w:rPr>
      </w:pPr>
    </w:p>
    <w:p w14:paraId="1004C47A" w14:textId="3FD9FE49" w:rsidR="000D2908" w:rsidRDefault="000D2908" w:rsidP="000D2908">
      <w:pPr>
        <w:pStyle w:val="Nincstrkz"/>
      </w:pPr>
      <w:r w:rsidRPr="000D2908">
        <w:t>Az els</w:t>
      </w:r>
      <w:r w:rsidRPr="000D2908">
        <w:rPr>
          <w:rFonts w:hint="eastAsia"/>
        </w:rPr>
        <w:t>ő</w:t>
      </w:r>
      <w:r w:rsidRPr="000D2908">
        <w:t>dleges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 v</w:t>
      </w:r>
      <w:r w:rsidRPr="000D2908">
        <w:rPr>
          <w:rFonts w:hint="eastAsia"/>
        </w:rPr>
        <w:t>é</w:t>
      </w:r>
      <w:r w:rsidRPr="000D2908">
        <w:t xml:space="preserve">gpont, az ISTH </w:t>
      </w:r>
      <w:r w:rsidRPr="000D2908">
        <w:rPr>
          <w:rFonts w:hint="eastAsia"/>
        </w:rPr>
        <w:t>á</w:t>
      </w:r>
      <w:r w:rsidRPr="000D2908">
        <w:t>ltal meghat</w:t>
      </w:r>
      <w:r w:rsidRPr="000D2908">
        <w:rPr>
          <w:rFonts w:hint="eastAsia"/>
        </w:rPr>
        <w:t>á</w:t>
      </w:r>
      <w:r w:rsidRPr="000D2908">
        <w:t>rozott, igazolt s</w:t>
      </w:r>
      <w:r w:rsidRPr="000D2908">
        <w:rPr>
          <w:rFonts w:hint="eastAsia"/>
        </w:rPr>
        <w:t>ú</w:t>
      </w:r>
      <w:r w:rsidRPr="000D2908">
        <w:t xml:space="preserve">lyos </w:t>
      </w:r>
      <w:r w:rsidRPr="000D2908">
        <w:rPr>
          <w:rFonts w:hint="eastAsia"/>
        </w:rPr>
        <w:t>é</w:t>
      </w:r>
      <w:r w:rsidRPr="000D2908">
        <w:t>s CRNM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</w:t>
      </w:r>
      <w:r>
        <w:t xml:space="preserve"> </w:t>
      </w:r>
      <w:r w:rsidRPr="000D2908">
        <w:rPr>
          <w:rFonts w:hint="eastAsia"/>
        </w:rPr>
        <w:t>ö</w:t>
      </w:r>
      <w:r w:rsidRPr="000D2908">
        <w:t>sszetett v</w:t>
      </w:r>
      <w:r w:rsidRPr="000D2908">
        <w:rPr>
          <w:rFonts w:hint="eastAsia"/>
        </w:rPr>
        <w:t>é</w:t>
      </w:r>
      <w:r w:rsidRPr="000D2908">
        <w:t>gpontja 126 beteg k</w:t>
      </w:r>
      <w:r w:rsidRPr="000D2908">
        <w:rPr>
          <w:rFonts w:hint="eastAsia"/>
        </w:rPr>
        <w:t>ö</w:t>
      </w:r>
      <w:r w:rsidRPr="000D2908">
        <w:t>z</w:t>
      </w:r>
      <w:r w:rsidRPr="000D2908">
        <w:rPr>
          <w:rFonts w:hint="eastAsia"/>
        </w:rPr>
        <w:t>ü</w:t>
      </w:r>
      <w:r w:rsidRPr="000D2908">
        <w:t>l 1-n</w:t>
      </w:r>
      <w:r w:rsidRPr="000D2908">
        <w:rPr>
          <w:rFonts w:hint="eastAsia"/>
        </w:rPr>
        <w:t>é</w:t>
      </w:r>
      <w:r w:rsidRPr="000D2908">
        <w:t>l (0,8%) fordult el</w:t>
      </w:r>
      <w:r w:rsidRPr="000D2908">
        <w:rPr>
          <w:rFonts w:hint="eastAsia"/>
        </w:rPr>
        <w:t>ő</w:t>
      </w:r>
      <w:r w:rsidRPr="000D2908">
        <w:t xml:space="preserve"> az apixab</w:t>
      </w:r>
      <w:r w:rsidRPr="000D2908">
        <w:rPr>
          <w:rFonts w:hint="eastAsia"/>
        </w:rPr>
        <w:t>á</w:t>
      </w:r>
      <w:r w:rsidRPr="000D2908">
        <w:t xml:space="preserve">n-karon </w:t>
      </w:r>
      <w:r w:rsidRPr="000D2908">
        <w:rPr>
          <w:rFonts w:hint="eastAsia"/>
        </w:rPr>
        <w:t>é</w:t>
      </w:r>
      <w:r w:rsidRPr="000D2908">
        <w:t>s 62 beteg k</w:t>
      </w:r>
      <w:r w:rsidRPr="000D2908">
        <w:rPr>
          <w:rFonts w:hint="eastAsia"/>
        </w:rPr>
        <w:t>ö</w:t>
      </w:r>
      <w:r w:rsidRPr="000D2908">
        <w:t>z</w:t>
      </w:r>
      <w:r w:rsidRPr="000D2908">
        <w:rPr>
          <w:rFonts w:hint="eastAsia"/>
        </w:rPr>
        <w:t>ü</w:t>
      </w:r>
      <w:r w:rsidRPr="000D2908">
        <w:t>l</w:t>
      </w:r>
      <w:r>
        <w:t xml:space="preserve"> </w:t>
      </w:r>
      <w:r w:rsidRPr="000D2908">
        <w:t>3-n</w:t>
      </w:r>
      <w:r w:rsidRPr="000D2908">
        <w:rPr>
          <w:rFonts w:hint="eastAsia"/>
        </w:rPr>
        <w:t>á</w:t>
      </w:r>
      <w:r w:rsidRPr="000D2908">
        <w:t>l (4,8%) a szok</w:t>
      </w:r>
      <w:r w:rsidRPr="000D2908">
        <w:rPr>
          <w:rFonts w:hint="eastAsia"/>
        </w:rPr>
        <w:t>á</w:t>
      </w:r>
      <w:r w:rsidRPr="000D2908">
        <w:t>sos ell</w:t>
      </w:r>
      <w:r w:rsidRPr="000D2908">
        <w:rPr>
          <w:rFonts w:hint="eastAsia"/>
        </w:rPr>
        <w:t>á</w:t>
      </w:r>
      <w:r w:rsidRPr="000D2908">
        <w:t>t</w:t>
      </w:r>
      <w:r w:rsidRPr="000D2908">
        <w:rPr>
          <w:rFonts w:hint="eastAsia"/>
        </w:rPr>
        <w:t>á</w:t>
      </w:r>
      <w:r w:rsidRPr="000D2908">
        <w:t>st alkalmaz</w:t>
      </w:r>
      <w:r w:rsidRPr="000D2908">
        <w:rPr>
          <w:rFonts w:hint="eastAsia"/>
        </w:rPr>
        <w:t>ó</w:t>
      </w:r>
      <w:r w:rsidRPr="000D2908">
        <w:t xml:space="preserve"> karon. A m</w:t>
      </w:r>
      <w:r w:rsidRPr="000D2908">
        <w:rPr>
          <w:rFonts w:hint="eastAsia"/>
        </w:rPr>
        <w:t>á</w:t>
      </w:r>
      <w:r w:rsidRPr="000D2908">
        <w:t>sodlagos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 v</w:t>
      </w:r>
      <w:r w:rsidRPr="000D2908">
        <w:rPr>
          <w:rFonts w:hint="eastAsia"/>
        </w:rPr>
        <w:t>é</w:t>
      </w:r>
      <w:r w:rsidRPr="000D2908">
        <w:t>gpontokat jelent</w:t>
      </w:r>
      <w:r w:rsidRPr="000D2908">
        <w:rPr>
          <w:rFonts w:hint="eastAsia"/>
        </w:rPr>
        <w:t>ő</w:t>
      </w:r>
      <w:r>
        <w:t xml:space="preserve"> </w:t>
      </w:r>
      <w:r w:rsidRPr="000D2908">
        <w:t>igazolt s</w:t>
      </w:r>
      <w:r w:rsidRPr="000D2908">
        <w:rPr>
          <w:rFonts w:hint="eastAsia"/>
        </w:rPr>
        <w:t>ú</w:t>
      </w:r>
      <w:r w:rsidRPr="000D2908">
        <w:t xml:space="preserve">lyos, CRNM </w:t>
      </w:r>
      <w:r w:rsidRPr="000D2908">
        <w:rPr>
          <w:rFonts w:hint="eastAsia"/>
        </w:rPr>
        <w:t>é</w:t>
      </w:r>
      <w:r w:rsidRPr="000D2908">
        <w:t xml:space="preserve">s </w:t>
      </w:r>
      <w:r w:rsidRPr="000D2908">
        <w:rPr>
          <w:rFonts w:hint="eastAsia"/>
        </w:rPr>
        <w:t>ö</w:t>
      </w:r>
      <w:r w:rsidRPr="000D2908">
        <w:t>sszes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ses esem</w:t>
      </w:r>
      <w:r w:rsidRPr="000D2908">
        <w:rPr>
          <w:rFonts w:hint="eastAsia"/>
        </w:rPr>
        <w:t>é</w:t>
      </w:r>
      <w:r w:rsidRPr="000D2908">
        <w:t>nyek incidenci</w:t>
      </w:r>
      <w:r w:rsidRPr="000D2908">
        <w:rPr>
          <w:rFonts w:hint="eastAsia"/>
        </w:rPr>
        <w:t>á</w:t>
      </w:r>
      <w:r w:rsidRPr="000D2908">
        <w:t>ja hasonl</w:t>
      </w:r>
      <w:r w:rsidRPr="000D2908">
        <w:rPr>
          <w:rFonts w:hint="eastAsia"/>
        </w:rPr>
        <w:t>ó</w:t>
      </w:r>
      <w:r w:rsidRPr="000D2908">
        <w:t xml:space="preserve"> volt a k</w:t>
      </w:r>
      <w:r w:rsidRPr="000D2908">
        <w:rPr>
          <w:rFonts w:hint="eastAsia"/>
        </w:rPr>
        <w:t>é</w:t>
      </w:r>
      <w:r w:rsidRPr="000D2908">
        <w:t>t kezel</w:t>
      </w:r>
      <w:r w:rsidRPr="000D2908">
        <w:rPr>
          <w:rFonts w:hint="eastAsia"/>
        </w:rPr>
        <w:t>é</w:t>
      </w:r>
      <w:r w:rsidRPr="000D2908">
        <w:t>si karon. A</w:t>
      </w:r>
      <w:r>
        <w:t xml:space="preserve"> </w:t>
      </w:r>
      <w:r w:rsidRPr="000D2908">
        <w:t>nemk</w:t>
      </w:r>
      <w:r w:rsidRPr="000D2908">
        <w:rPr>
          <w:rFonts w:hint="eastAsia"/>
        </w:rPr>
        <w:t>í</w:t>
      </w:r>
      <w:r w:rsidRPr="000D2908">
        <w:t>v</w:t>
      </w:r>
      <w:r w:rsidRPr="000D2908">
        <w:rPr>
          <w:rFonts w:hint="eastAsia"/>
        </w:rPr>
        <w:t>á</w:t>
      </w:r>
      <w:r w:rsidRPr="000D2908">
        <w:t>natos esem</w:t>
      </w:r>
      <w:r w:rsidRPr="000D2908">
        <w:rPr>
          <w:rFonts w:hint="eastAsia"/>
        </w:rPr>
        <w:t>é</w:t>
      </w:r>
      <w:r w:rsidRPr="000D2908">
        <w:t>ny, intolerancia vagy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 miatti kezel</w:t>
      </w:r>
      <w:r w:rsidRPr="000D2908">
        <w:rPr>
          <w:rFonts w:hint="eastAsia"/>
        </w:rPr>
        <w:t>é</w:t>
      </w:r>
      <w:r w:rsidRPr="000D2908">
        <w:t>sle</w:t>
      </w:r>
      <w:r w:rsidRPr="000D2908">
        <w:rPr>
          <w:rFonts w:hint="eastAsia"/>
        </w:rPr>
        <w:t>á</w:t>
      </w:r>
      <w:r w:rsidRPr="000D2908">
        <w:t>ll</w:t>
      </w:r>
      <w:r w:rsidRPr="000D2908">
        <w:rPr>
          <w:rFonts w:hint="eastAsia"/>
        </w:rPr>
        <w:t>í</w:t>
      </w:r>
      <w:r w:rsidRPr="000D2908">
        <w:t>t</w:t>
      </w:r>
      <w:r w:rsidRPr="000D2908">
        <w:rPr>
          <w:rFonts w:hint="eastAsia"/>
        </w:rPr>
        <w:t>á</w:t>
      </w:r>
      <w:r w:rsidRPr="000D2908">
        <w:t>s m</w:t>
      </w:r>
      <w:r w:rsidRPr="000D2908">
        <w:rPr>
          <w:rFonts w:hint="eastAsia"/>
        </w:rPr>
        <w:t>á</w:t>
      </w:r>
      <w:r w:rsidRPr="000D2908">
        <w:t>sodlagos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</w:t>
      </w:r>
      <w:r>
        <w:t xml:space="preserve"> </w:t>
      </w:r>
      <w:r w:rsidRPr="000D2908">
        <w:t>v</w:t>
      </w:r>
      <w:r w:rsidRPr="000D2908">
        <w:rPr>
          <w:rFonts w:hint="eastAsia"/>
        </w:rPr>
        <w:t>é</w:t>
      </w:r>
      <w:r w:rsidRPr="000D2908">
        <w:t>gpontot 7 alanyn</w:t>
      </w:r>
      <w:r w:rsidRPr="000D2908">
        <w:rPr>
          <w:rFonts w:hint="eastAsia"/>
        </w:rPr>
        <w:t>á</w:t>
      </w:r>
      <w:r w:rsidRPr="000D2908">
        <w:t>l (5,6%) jelentett</w:t>
      </w:r>
      <w:r w:rsidRPr="000D2908">
        <w:rPr>
          <w:rFonts w:hint="eastAsia"/>
        </w:rPr>
        <w:t>é</w:t>
      </w:r>
      <w:r w:rsidRPr="000D2908">
        <w:t>k az apixab</w:t>
      </w:r>
      <w:r w:rsidRPr="000D2908">
        <w:rPr>
          <w:rFonts w:hint="eastAsia"/>
        </w:rPr>
        <w:t>á</w:t>
      </w:r>
      <w:r w:rsidRPr="000D2908">
        <w:t xml:space="preserve">n-karon </w:t>
      </w:r>
      <w:r w:rsidRPr="000D2908">
        <w:rPr>
          <w:rFonts w:hint="eastAsia"/>
        </w:rPr>
        <w:t>é</w:t>
      </w:r>
      <w:r w:rsidRPr="000D2908">
        <w:t>s 1 alanyn</w:t>
      </w:r>
      <w:r w:rsidRPr="000D2908">
        <w:rPr>
          <w:rFonts w:hint="eastAsia"/>
        </w:rPr>
        <w:t>á</w:t>
      </w:r>
      <w:r w:rsidRPr="000D2908">
        <w:t>l (1,6%) a szok</w:t>
      </w:r>
      <w:r w:rsidRPr="000D2908">
        <w:rPr>
          <w:rFonts w:hint="eastAsia"/>
        </w:rPr>
        <w:t>á</w:t>
      </w:r>
      <w:r w:rsidRPr="000D2908">
        <w:t>sos ell</w:t>
      </w:r>
      <w:r w:rsidRPr="000D2908">
        <w:rPr>
          <w:rFonts w:hint="eastAsia"/>
        </w:rPr>
        <w:t>á</w:t>
      </w:r>
      <w:r w:rsidRPr="000D2908">
        <w:t>t</w:t>
      </w:r>
      <w:r w:rsidRPr="000D2908">
        <w:rPr>
          <w:rFonts w:hint="eastAsia"/>
        </w:rPr>
        <w:t>á</w:t>
      </w:r>
      <w:r w:rsidRPr="000D2908">
        <w:t>st</w:t>
      </w:r>
      <w:r>
        <w:t xml:space="preserve"> </w:t>
      </w:r>
      <w:r w:rsidRPr="000D2908">
        <w:t>alkalmaz</w:t>
      </w:r>
      <w:r w:rsidRPr="000D2908">
        <w:rPr>
          <w:rFonts w:hint="eastAsia"/>
        </w:rPr>
        <w:t>ó</w:t>
      </w:r>
      <w:r w:rsidRPr="000D2908">
        <w:t xml:space="preserve"> karon. Egyik kar egyik betege sem tapasztalt thromboemboli</w:t>
      </w:r>
      <w:r w:rsidRPr="000D2908">
        <w:rPr>
          <w:rFonts w:hint="eastAsia"/>
        </w:rPr>
        <w:t>á</w:t>
      </w:r>
      <w:r w:rsidRPr="000D2908">
        <w:t>s esem</w:t>
      </w:r>
      <w:r w:rsidRPr="000D2908">
        <w:rPr>
          <w:rFonts w:hint="eastAsia"/>
        </w:rPr>
        <w:t>é</w:t>
      </w:r>
      <w:r w:rsidRPr="000D2908">
        <w:t>nyt. Egyik kezel</w:t>
      </w:r>
      <w:r w:rsidRPr="000D2908">
        <w:rPr>
          <w:rFonts w:hint="eastAsia"/>
        </w:rPr>
        <w:t>é</w:t>
      </w:r>
      <w:r w:rsidRPr="000D2908">
        <w:t>si</w:t>
      </w:r>
      <w:r>
        <w:t xml:space="preserve"> </w:t>
      </w:r>
      <w:r w:rsidRPr="000D2908">
        <w:t>karon sem fordult el</w:t>
      </w:r>
      <w:r w:rsidRPr="000D2908">
        <w:rPr>
          <w:rFonts w:hint="eastAsia"/>
        </w:rPr>
        <w:t>ő</w:t>
      </w:r>
      <w:r w:rsidRPr="000D2908">
        <w:t xml:space="preserve"> hal</w:t>
      </w:r>
      <w:r w:rsidRPr="000D2908">
        <w:rPr>
          <w:rFonts w:hint="eastAsia"/>
        </w:rPr>
        <w:t>á</w:t>
      </w:r>
      <w:r w:rsidRPr="000D2908">
        <w:t>loz</w:t>
      </w:r>
      <w:r w:rsidRPr="000D2908">
        <w:rPr>
          <w:rFonts w:hint="eastAsia"/>
        </w:rPr>
        <w:t>á</w:t>
      </w:r>
      <w:r w:rsidRPr="000D2908">
        <w:t>s.</w:t>
      </w:r>
    </w:p>
    <w:p w14:paraId="22701BEE" w14:textId="77777777" w:rsidR="000D2908" w:rsidRPr="000D2908" w:rsidRDefault="000D2908" w:rsidP="000D2908">
      <w:pPr>
        <w:pStyle w:val="Nincstrkz"/>
      </w:pPr>
    </w:p>
    <w:p w14:paraId="1945C1AA" w14:textId="6354BB2B" w:rsidR="000D2908" w:rsidRPr="000D2908" w:rsidRDefault="000D2908" w:rsidP="000D2908">
      <w:pPr>
        <w:pStyle w:val="Nincstrkz"/>
      </w:pPr>
      <w:r w:rsidRPr="000D2908">
        <w:t>Ezt a vizsg</w:t>
      </w:r>
      <w:r w:rsidRPr="000D2908">
        <w:rPr>
          <w:rFonts w:hint="eastAsia"/>
        </w:rPr>
        <w:t>á</w:t>
      </w:r>
      <w:r w:rsidRPr="000D2908">
        <w:t>latot prospekt</w:t>
      </w:r>
      <w:r w:rsidRPr="000D2908">
        <w:rPr>
          <w:rFonts w:hint="eastAsia"/>
        </w:rPr>
        <w:t>í</w:t>
      </w:r>
      <w:r w:rsidRPr="000D2908">
        <w:t>ven tervezt</w:t>
      </w:r>
      <w:r w:rsidRPr="000D2908">
        <w:rPr>
          <w:rFonts w:hint="eastAsia"/>
        </w:rPr>
        <w:t>é</w:t>
      </w:r>
      <w:r w:rsidRPr="000D2908">
        <w:t>k meg a le</w:t>
      </w:r>
      <w:r w:rsidRPr="000D2908">
        <w:rPr>
          <w:rFonts w:hint="eastAsia"/>
        </w:rPr>
        <w:t>í</w:t>
      </w:r>
      <w:r w:rsidRPr="000D2908">
        <w:t>r</w:t>
      </w:r>
      <w:r w:rsidRPr="000D2908">
        <w:rPr>
          <w:rFonts w:hint="eastAsia"/>
        </w:rPr>
        <w:t>ó</w:t>
      </w:r>
      <w:r w:rsidRPr="000D2908">
        <w:t xml:space="preserve"> hat</w:t>
      </w:r>
      <w:r w:rsidRPr="000D2908">
        <w:rPr>
          <w:rFonts w:hint="eastAsia"/>
        </w:rPr>
        <w:t>á</w:t>
      </w:r>
      <w:r w:rsidRPr="000D2908">
        <w:t>soss</w:t>
      </w:r>
      <w:r w:rsidRPr="000D2908">
        <w:rPr>
          <w:rFonts w:hint="eastAsia"/>
        </w:rPr>
        <w:t>á</w:t>
      </w:r>
      <w:r w:rsidRPr="000D2908">
        <w:t xml:space="preserve">g </w:t>
      </w:r>
      <w:r w:rsidRPr="000D2908">
        <w:rPr>
          <w:rFonts w:hint="eastAsia"/>
        </w:rPr>
        <w:t>é</w:t>
      </w:r>
      <w:r w:rsidRPr="000D2908">
        <w:t>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 tekintet</w:t>
      </w:r>
      <w:r w:rsidRPr="000D2908">
        <w:rPr>
          <w:rFonts w:hint="eastAsia"/>
        </w:rPr>
        <w:t>é</w:t>
      </w:r>
      <w:r w:rsidRPr="000D2908">
        <w:t>ben, mivel</w:t>
      </w:r>
      <w:r>
        <w:t xml:space="preserve"> </w:t>
      </w:r>
      <w:r w:rsidRPr="000D2908">
        <w:t>ebben a popul</w:t>
      </w:r>
      <w:r w:rsidRPr="000D2908">
        <w:rPr>
          <w:rFonts w:hint="eastAsia"/>
        </w:rPr>
        <w:t>á</w:t>
      </w:r>
      <w:r w:rsidRPr="000D2908">
        <w:t>ci</w:t>
      </w:r>
      <w:r w:rsidRPr="000D2908">
        <w:rPr>
          <w:rFonts w:hint="eastAsia"/>
        </w:rPr>
        <w:t>ó</w:t>
      </w:r>
      <w:r w:rsidRPr="000D2908">
        <w:t xml:space="preserve">ban a TE </w:t>
      </w:r>
      <w:r w:rsidRPr="000D2908">
        <w:rPr>
          <w:rFonts w:hint="eastAsia"/>
        </w:rPr>
        <w:t>é</w:t>
      </w:r>
      <w:r w:rsidRPr="000D2908">
        <w:t>s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ses esem</w:t>
      </w:r>
      <w:r w:rsidRPr="000D2908">
        <w:rPr>
          <w:rFonts w:hint="eastAsia"/>
        </w:rPr>
        <w:t>é</w:t>
      </w:r>
      <w:r w:rsidRPr="000D2908">
        <w:t>nyek incidenci</w:t>
      </w:r>
      <w:r w:rsidRPr="000D2908">
        <w:rPr>
          <w:rFonts w:hint="eastAsia"/>
        </w:rPr>
        <w:t>á</w:t>
      </w:r>
      <w:r w:rsidRPr="000D2908">
        <w:t>ja v</w:t>
      </w:r>
      <w:r w:rsidRPr="000D2908">
        <w:rPr>
          <w:rFonts w:hint="eastAsia"/>
        </w:rPr>
        <w:t>á</w:t>
      </w:r>
      <w:r w:rsidRPr="000D2908">
        <w:t>rhat</w:t>
      </w:r>
      <w:r w:rsidRPr="000D2908">
        <w:rPr>
          <w:rFonts w:hint="eastAsia"/>
        </w:rPr>
        <w:t>ó</w:t>
      </w:r>
      <w:r w:rsidRPr="000D2908">
        <w:t>an alacsony. A TE esem</w:t>
      </w:r>
      <w:r w:rsidRPr="000D2908">
        <w:rPr>
          <w:rFonts w:hint="eastAsia"/>
        </w:rPr>
        <w:t>é</w:t>
      </w:r>
      <w:r w:rsidRPr="000D2908">
        <w:t>nyek</w:t>
      </w:r>
      <w:r>
        <w:t xml:space="preserve"> </w:t>
      </w:r>
      <w:r w:rsidRPr="000D2908">
        <w:t>vizsg</w:t>
      </w:r>
      <w:r w:rsidRPr="000D2908">
        <w:rPr>
          <w:rFonts w:hint="eastAsia"/>
        </w:rPr>
        <w:t>á</w:t>
      </w:r>
      <w:r w:rsidRPr="000D2908">
        <w:t>latban megfigyelt alacsony incidenci</w:t>
      </w:r>
      <w:r w:rsidRPr="000D2908">
        <w:rPr>
          <w:rFonts w:hint="eastAsia"/>
        </w:rPr>
        <w:t>á</w:t>
      </w:r>
      <w:r w:rsidRPr="000D2908">
        <w:t>ja miatt v</w:t>
      </w:r>
      <w:r w:rsidRPr="000D2908">
        <w:rPr>
          <w:rFonts w:hint="eastAsia"/>
        </w:rPr>
        <w:t>é</w:t>
      </w:r>
      <w:r w:rsidRPr="000D2908">
        <w:t>gs</w:t>
      </w:r>
      <w:r w:rsidRPr="000D2908">
        <w:rPr>
          <w:rFonts w:hint="eastAsia"/>
        </w:rPr>
        <w:t>ő</w:t>
      </w:r>
      <w:r w:rsidRPr="000D2908">
        <w:t xml:space="preserve"> el</w:t>
      </w:r>
      <w:r w:rsidRPr="000D2908">
        <w:rPr>
          <w:rFonts w:hint="eastAsia"/>
        </w:rPr>
        <w:t>ő</w:t>
      </w:r>
      <w:r w:rsidRPr="000D2908">
        <w:t>ny/kock</w:t>
      </w:r>
      <w:r w:rsidRPr="000D2908">
        <w:rPr>
          <w:rFonts w:hint="eastAsia"/>
        </w:rPr>
        <w:t>á</w:t>
      </w:r>
      <w:r w:rsidRPr="000D2908">
        <w:t>zat elemz</w:t>
      </w:r>
      <w:r w:rsidRPr="000D2908">
        <w:rPr>
          <w:rFonts w:hint="eastAsia"/>
        </w:rPr>
        <w:t>é</w:t>
      </w:r>
      <w:r w:rsidRPr="000D2908">
        <w:t>st nem lehetett</w:t>
      </w:r>
      <w:r>
        <w:t xml:space="preserve"> </w:t>
      </w:r>
      <w:r w:rsidRPr="000D2908">
        <w:t>v</w:t>
      </w:r>
      <w:r w:rsidRPr="000D2908">
        <w:rPr>
          <w:rFonts w:hint="eastAsia"/>
        </w:rPr>
        <w:t>é</w:t>
      </w:r>
      <w:r w:rsidRPr="000D2908">
        <w:t>gezni.</w:t>
      </w:r>
    </w:p>
    <w:p w14:paraId="24236403" w14:textId="74B841CC" w:rsidR="000D2908" w:rsidRPr="000D2908" w:rsidRDefault="000D2908" w:rsidP="000D2908">
      <w:pPr>
        <w:pStyle w:val="Nincstrkz"/>
      </w:pPr>
    </w:p>
    <w:p w14:paraId="292FF38B" w14:textId="32819A89" w:rsidR="00980D96" w:rsidRDefault="000D2908" w:rsidP="000D2908">
      <w:pPr>
        <w:pStyle w:val="Nincstrkz"/>
        <w:rPr>
          <w:rFonts w:cs="Times New Roman"/>
        </w:rPr>
      </w:pPr>
      <w:r w:rsidRPr="000D2908">
        <w:t>Az Eur</w:t>
      </w:r>
      <w:r w:rsidRPr="000D2908">
        <w:rPr>
          <w:rFonts w:hint="eastAsia"/>
        </w:rPr>
        <w:t>ó</w:t>
      </w:r>
      <w:r w:rsidRPr="000D2908">
        <w:t>pai Gy</w:t>
      </w:r>
      <w:r w:rsidRPr="000D2908">
        <w:rPr>
          <w:rFonts w:hint="eastAsia"/>
        </w:rPr>
        <w:t>ó</w:t>
      </w:r>
      <w:r w:rsidRPr="000D2908">
        <w:t>gyszer</w:t>
      </w:r>
      <w:r w:rsidRPr="000D2908">
        <w:rPr>
          <w:rFonts w:hint="eastAsia"/>
        </w:rPr>
        <w:t>ü</w:t>
      </w:r>
      <w:r w:rsidRPr="000D2908">
        <w:t>gyn</w:t>
      </w:r>
      <w:r w:rsidRPr="000D2908">
        <w:rPr>
          <w:rFonts w:hint="eastAsia"/>
        </w:rPr>
        <w:t>ö</w:t>
      </w:r>
      <w:r w:rsidRPr="000D2908">
        <w:t>ks</w:t>
      </w:r>
      <w:r w:rsidRPr="000D2908">
        <w:rPr>
          <w:rFonts w:hint="eastAsia"/>
        </w:rPr>
        <w:t>é</w:t>
      </w:r>
      <w:r w:rsidRPr="000D2908">
        <w:t xml:space="preserve">g a gyermekek </w:t>
      </w:r>
      <w:r w:rsidRPr="000D2908">
        <w:rPr>
          <w:rFonts w:hint="eastAsia"/>
        </w:rPr>
        <w:t>é</w:t>
      </w:r>
      <w:r w:rsidRPr="000D2908">
        <w:t>s serd</w:t>
      </w:r>
      <w:r w:rsidRPr="000D2908">
        <w:rPr>
          <w:rFonts w:hint="eastAsia"/>
        </w:rPr>
        <w:t>ü</w:t>
      </w:r>
      <w:r w:rsidRPr="000D2908">
        <w:t>l</w:t>
      </w:r>
      <w:r w:rsidRPr="000D2908">
        <w:rPr>
          <w:rFonts w:hint="eastAsia"/>
        </w:rPr>
        <w:t>ő</w:t>
      </w:r>
      <w:r w:rsidRPr="000D2908">
        <w:t>k eset</w:t>
      </w:r>
      <w:r w:rsidRPr="000D2908">
        <w:rPr>
          <w:rFonts w:hint="eastAsia"/>
        </w:rPr>
        <w:t>é</w:t>
      </w:r>
      <w:r w:rsidRPr="000D2908">
        <w:t>n egy vagy t</w:t>
      </w:r>
      <w:r w:rsidRPr="000D2908">
        <w:rPr>
          <w:rFonts w:hint="eastAsia"/>
        </w:rPr>
        <w:t>ö</w:t>
      </w:r>
      <w:r w:rsidRPr="000D2908">
        <w:t>bb koroszt</w:t>
      </w:r>
      <w:r w:rsidRPr="000D2908">
        <w:rPr>
          <w:rFonts w:hint="eastAsia"/>
        </w:rPr>
        <w:t>á</w:t>
      </w:r>
      <w:r w:rsidRPr="000D2908">
        <w:t>lyn</w:t>
      </w:r>
      <w:r w:rsidRPr="000D2908">
        <w:rPr>
          <w:rFonts w:hint="eastAsia"/>
        </w:rPr>
        <w:t>á</w:t>
      </w:r>
      <w:r w:rsidRPr="000D2908">
        <w:t>l</w:t>
      </w:r>
      <w:r>
        <w:t xml:space="preserve"> </w:t>
      </w:r>
      <w:r w:rsidRPr="000D2908">
        <w:t>halaszt</w:t>
      </w:r>
      <w:r w:rsidRPr="000D2908">
        <w:rPr>
          <w:rFonts w:hint="eastAsia"/>
        </w:rPr>
        <w:t>á</w:t>
      </w:r>
      <w:r w:rsidRPr="000D2908">
        <w:t>st enged</w:t>
      </w:r>
      <w:r w:rsidRPr="000D2908">
        <w:rPr>
          <w:rFonts w:hint="eastAsia"/>
        </w:rPr>
        <w:t>é</w:t>
      </w:r>
      <w:r w:rsidRPr="000D2908">
        <w:t xml:space="preserve">lyez az </w:t>
      </w:r>
      <w:r>
        <w:t>apixabán tartalmú referenciakészítmény</w:t>
      </w:r>
      <w:r w:rsidRPr="000D2908">
        <w:t xml:space="preserve"> vizsg</w:t>
      </w:r>
      <w:r w:rsidRPr="000D2908">
        <w:rPr>
          <w:rFonts w:hint="eastAsia"/>
        </w:rPr>
        <w:t>á</w:t>
      </w:r>
      <w:r w:rsidRPr="000D2908">
        <w:t>lati eredm</w:t>
      </w:r>
      <w:r w:rsidRPr="000D2908">
        <w:rPr>
          <w:rFonts w:hint="eastAsia"/>
        </w:rPr>
        <w:t>é</w:t>
      </w:r>
      <w:r w:rsidRPr="000D2908">
        <w:t>nyeinek beny</w:t>
      </w:r>
      <w:r w:rsidRPr="000D2908">
        <w:rPr>
          <w:rFonts w:hint="eastAsia"/>
        </w:rPr>
        <w:t>ú</w:t>
      </w:r>
      <w:r w:rsidRPr="000D2908">
        <w:t>jt</w:t>
      </w:r>
      <w:r w:rsidRPr="000D2908">
        <w:rPr>
          <w:rFonts w:hint="eastAsia"/>
        </w:rPr>
        <w:t>á</w:t>
      </w:r>
      <w:r w:rsidRPr="000D2908">
        <w:t>si k</w:t>
      </w:r>
      <w:r w:rsidRPr="000D2908">
        <w:rPr>
          <w:rFonts w:hint="eastAsia"/>
        </w:rPr>
        <w:t>ö</w:t>
      </w:r>
      <w:r w:rsidRPr="000D2908">
        <w:t>telezetts</w:t>
      </w:r>
      <w:r w:rsidRPr="000D2908">
        <w:rPr>
          <w:rFonts w:hint="eastAsia"/>
        </w:rPr>
        <w:t>é</w:t>
      </w:r>
      <w:r w:rsidRPr="000D2908">
        <w:t>g</w:t>
      </w:r>
      <w:r w:rsidRPr="000D2908">
        <w:rPr>
          <w:rFonts w:hint="eastAsia"/>
        </w:rPr>
        <w:t>é</w:t>
      </w:r>
      <w:r w:rsidRPr="000D2908">
        <w:t>t illet</w:t>
      </w:r>
      <w:r w:rsidRPr="000D2908">
        <w:rPr>
          <w:rFonts w:hint="eastAsia"/>
        </w:rPr>
        <w:t>ő</w:t>
      </w:r>
      <w:r w:rsidRPr="000D2908">
        <w:t>en a v</w:t>
      </w:r>
      <w:r w:rsidRPr="000D2908">
        <w:rPr>
          <w:rFonts w:hint="eastAsia"/>
        </w:rPr>
        <w:t>é</w:t>
      </w:r>
      <w:r w:rsidRPr="000D2908">
        <w:t>n</w:t>
      </w:r>
      <w:r w:rsidRPr="000D2908">
        <w:rPr>
          <w:rFonts w:hint="eastAsia"/>
        </w:rPr>
        <w:t>á</w:t>
      </w:r>
      <w:r w:rsidRPr="000D2908">
        <w:t>s</w:t>
      </w:r>
      <w:r>
        <w:t xml:space="preserve"> </w:t>
      </w:r>
      <w:r w:rsidRPr="000D2908">
        <w:t>thromboembolia kezel</w:t>
      </w:r>
      <w:r w:rsidRPr="000D2908">
        <w:rPr>
          <w:rFonts w:hint="eastAsia"/>
        </w:rPr>
        <w:t>é</w:t>
      </w:r>
      <w:r w:rsidRPr="000D2908">
        <w:t>se indik</w:t>
      </w:r>
      <w:r w:rsidRPr="000D2908">
        <w:rPr>
          <w:rFonts w:hint="eastAsia"/>
        </w:rPr>
        <w:t>á</w:t>
      </w:r>
      <w:r w:rsidRPr="000D2908">
        <w:t>ci</w:t>
      </w:r>
      <w:r w:rsidRPr="000D2908">
        <w:rPr>
          <w:rFonts w:hint="eastAsia"/>
        </w:rPr>
        <w:t>ó</w:t>
      </w:r>
      <w:r w:rsidRPr="000D2908">
        <w:t>ban (l</w:t>
      </w:r>
      <w:r w:rsidRPr="000D2908">
        <w:rPr>
          <w:rFonts w:hint="eastAsia"/>
        </w:rPr>
        <w:t>á</w:t>
      </w:r>
      <w:r w:rsidRPr="000D2908">
        <w:t>sd 4.2 pont, gyermekgy</w:t>
      </w:r>
      <w:r w:rsidRPr="000D2908">
        <w:rPr>
          <w:rFonts w:hint="eastAsia"/>
        </w:rPr>
        <w:t>ó</w:t>
      </w:r>
      <w:r w:rsidRPr="000D2908">
        <w:t>gy</w:t>
      </w:r>
      <w:r w:rsidRPr="000D2908">
        <w:rPr>
          <w:rFonts w:hint="eastAsia"/>
        </w:rPr>
        <w:t>á</w:t>
      </w:r>
      <w:r w:rsidRPr="000D2908">
        <w:t>szati alkalmaz</w:t>
      </w:r>
      <w:r w:rsidRPr="000D2908">
        <w:rPr>
          <w:rFonts w:hint="eastAsia"/>
        </w:rPr>
        <w:t>á</w:t>
      </w:r>
      <w:r w:rsidRPr="000D2908">
        <w:t>sra vonatkoz</w:t>
      </w:r>
      <w:r w:rsidRPr="000D2908">
        <w:rPr>
          <w:rFonts w:hint="eastAsia"/>
        </w:rPr>
        <w:t>ó</w:t>
      </w:r>
      <w:r>
        <w:t xml:space="preserve"> </w:t>
      </w:r>
      <w:r w:rsidRPr="000D2908">
        <w:rPr>
          <w:rFonts w:cs="Times New Roman"/>
          <w:lang w:bidi="hu-HU"/>
        </w:rPr>
        <w:t>inform</w:t>
      </w:r>
      <w:r w:rsidRPr="000D2908">
        <w:rPr>
          <w:rFonts w:cs="Times New Roman" w:hint="eastAsia"/>
          <w:lang w:bidi="hu-HU"/>
        </w:rPr>
        <w:t>á</w:t>
      </w:r>
      <w:r w:rsidRPr="000D2908">
        <w:rPr>
          <w:rFonts w:cs="Times New Roman"/>
          <w:lang w:bidi="hu-HU"/>
        </w:rPr>
        <w:t>ci</w:t>
      </w:r>
      <w:r w:rsidRPr="000D2908">
        <w:rPr>
          <w:rFonts w:cs="Times New Roman" w:hint="eastAsia"/>
          <w:lang w:bidi="hu-HU"/>
        </w:rPr>
        <w:t>ó</w:t>
      </w:r>
      <w:r w:rsidRPr="000D2908">
        <w:rPr>
          <w:rFonts w:cs="Times New Roman"/>
          <w:lang w:bidi="hu-HU"/>
        </w:rPr>
        <w:t>k).</w:t>
      </w:r>
    </w:p>
    <w:p w14:paraId="0FB972B9" w14:textId="77777777" w:rsidR="00980D96" w:rsidRDefault="00980D96" w:rsidP="00B62AE4">
      <w:pPr>
        <w:pStyle w:val="Nincstrkz"/>
        <w:rPr>
          <w:rFonts w:cs="Times New Roman"/>
        </w:rPr>
      </w:pPr>
    </w:p>
    <w:p w14:paraId="50D16027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B62A664" w14:textId="6C936B37" w:rsidR="00B62AE4" w:rsidRPr="000149DA" w:rsidRDefault="004F20CF" w:rsidP="004F20C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5.2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Farmakokinetikai tulajdonságok</w:t>
      </w:r>
    </w:p>
    <w:p w14:paraId="62960538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30532CB5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Felszívódás</w:t>
      </w:r>
    </w:p>
    <w:p w14:paraId="01E6DCCC" w14:textId="4731D9E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abszolút biohasznosulása </w:t>
      </w:r>
      <w:r w:rsidR="004E6ED7">
        <w:rPr>
          <w:rFonts w:cs="Times New Roman"/>
        </w:rPr>
        <w:t xml:space="preserve">felnőtteknél </w:t>
      </w:r>
      <w:r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dózisig körülbelül 50%.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gyorsan felszívódik, csúcskoncentrációját (C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) 3–4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ával a tabletta bevétele után éri el. Az étellel együtt történő bevétel 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 mellett nem befolyásolja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47354C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C</w:t>
      </w:r>
      <w:r w:rsidR="00C77F20" w:rsidRPr="000149DA">
        <w:rPr>
          <w:rFonts w:cs="Times New Roman"/>
          <w:vertAlign w:val="subscript"/>
        </w:rPr>
        <w:t>max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értékeket.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étkezés alatt vagy étkezéstől függetlenül is bevehető.</w:t>
      </w:r>
    </w:p>
    <w:p w14:paraId="10B124B3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76D9AF68" w14:textId="655D1680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onta 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ig növekvő, szájon át történő adagolás mellett a dózissal arányos, lineáris farmakokinetikát mutat. A 25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vagy annál nagyobb adagokban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az oldódás által korlátozott felszívódást mutat, csökkent biohasznosulással.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-expozíciós paraméterek alacsony, illetve közepes mértékű variabilitást mutatnak, amit az egyénen belüli variabilitás kb. 21%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variációs együtthatója, míg az egyének közötti variabilitás kb. 30%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variációs együtthatója jelez.</w:t>
      </w:r>
    </w:p>
    <w:p w14:paraId="182B2B75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4B2EF8F3" w14:textId="72888F05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2 db porrá tört, 30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 xml:space="preserve"> vízben szuszpendált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tabletta formájában, szájon át történő bevétele után az expozíció </w:t>
      </w:r>
      <w:r w:rsidR="00C21019" w:rsidRPr="000149DA">
        <w:rPr>
          <w:rFonts w:cs="Times New Roman"/>
        </w:rPr>
        <w:t>hasonló</w:t>
      </w:r>
      <w:r w:rsidRPr="000149DA">
        <w:rPr>
          <w:rFonts w:cs="Times New Roman"/>
        </w:rPr>
        <w:t xml:space="preserve"> volt</w:t>
      </w:r>
      <w:r w:rsidR="00C21019" w:rsidRPr="000149DA">
        <w:rPr>
          <w:rFonts w:cs="Times New Roman"/>
        </w:rPr>
        <w:t xml:space="preserve">, a </w:t>
      </w:r>
      <w:r w:rsidRPr="000149DA">
        <w:rPr>
          <w:rFonts w:cs="Times New Roman"/>
        </w:rPr>
        <w:t>2 db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szájon át, egészben történő bevétele után mért expozíció</w:t>
      </w:r>
      <w:r w:rsidR="00C21019" w:rsidRPr="000149DA">
        <w:rPr>
          <w:rFonts w:cs="Times New Roman"/>
        </w:rPr>
        <w:t>hoz</w:t>
      </w:r>
      <w:r w:rsidRPr="000149DA">
        <w:rPr>
          <w:rFonts w:cs="Times New Roman"/>
        </w:rPr>
        <w:t>.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2 db porrá tört, 30</w:t>
      </w:r>
      <w:r w:rsidR="00C21019" w:rsidRPr="000149DA">
        <w:rPr>
          <w:rFonts w:cs="Times New Roman"/>
        </w:rPr>
        <w:t> </w:t>
      </w:r>
      <w:r w:rsidRPr="000149DA">
        <w:rPr>
          <w:rFonts w:cs="Times New Roman"/>
        </w:rPr>
        <w:t>g almapüréhez kevert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formájában, szájon át történő beadása után a C</w:t>
      </w:r>
      <w:r w:rsidR="0047354C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 xml:space="preserve"> 21%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kal, az AUC pedig 16%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kal alacsonyabb volt, mint amit 2 db egészben bevett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után mértek. Az expozíció csökkenése nem minősül klinikailag jelentősnek.</w:t>
      </w:r>
    </w:p>
    <w:p w14:paraId="64116D20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0B943F38" w14:textId="7B09A8D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Egy porrá tört, 60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 xml:space="preserve"> 5%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35314E">
        <w:rPr>
          <w:rFonts w:cs="Times New Roman"/>
        </w:rPr>
        <w:t>glükóz</w:t>
      </w:r>
      <w:r w:rsidRPr="000149DA">
        <w:rPr>
          <w:rFonts w:cs="Times New Roman"/>
        </w:rPr>
        <w:t>oldatban szuszpendált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tabletta nasogastricus szondán át történő beadása után az expozíció hasonló volt olyan, más klinikai vizsgálatokban mért expozícióhoz, ahol egészséges alanyok egy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tablettát kaptak szájon át.</w:t>
      </w:r>
    </w:p>
    <w:p w14:paraId="5149EB9C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1BE09637" w14:textId="2156A56E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előre jelezhető, dózisarányos farmakokinetikai profilja miatt az elvégzett klinikai vizsgálatokból származó biohasznosulási eredmények alacsonyabb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dózisokra is érvényesek.</w:t>
      </w:r>
    </w:p>
    <w:p w14:paraId="417457F7" w14:textId="77777777" w:rsidR="00A423FC" w:rsidRPr="000149DA" w:rsidRDefault="00A423FC" w:rsidP="007D4C4D">
      <w:pPr>
        <w:pStyle w:val="Nincstrkz"/>
        <w:rPr>
          <w:rFonts w:cs="Times New Roman"/>
        </w:rPr>
      </w:pPr>
    </w:p>
    <w:p w14:paraId="4C6B714F" w14:textId="77777777" w:rsidR="00A423FC" w:rsidRPr="00304D8C" w:rsidRDefault="00A423FC" w:rsidP="00A423FC">
      <w:pPr>
        <w:pStyle w:val="Nincstrkz"/>
        <w:rPr>
          <w:rFonts w:cs="Times New Roman"/>
          <w:u w:val="single"/>
        </w:rPr>
      </w:pPr>
      <w:r w:rsidRPr="00304D8C">
        <w:rPr>
          <w:rFonts w:cs="Times New Roman"/>
          <w:u w:val="single"/>
        </w:rPr>
        <w:t>Gyermekek és serdülők</w:t>
      </w:r>
    </w:p>
    <w:p w14:paraId="11EF8DF5" w14:textId="1321A2A6" w:rsidR="00B62AE4" w:rsidRDefault="00A423FC" w:rsidP="00A423FC">
      <w:pPr>
        <w:pStyle w:val="Nincstrkz"/>
        <w:rPr>
          <w:rFonts w:cs="Times New Roman"/>
        </w:rPr>
      </w:pPr>
      <w:r w:rsidRPr="00A423FC">
        <w:rPr>
          <w:rFonts w:cs="Times New Roman"/>
        </w:rPr>
        <w:t>Az apixabán felszívódása gyors, egyetlen adag alkalmazása után körülbelül 2 órával éri el a</w:t>
      </w:r>
      <w:r>
        <w:rPr>
          <w:rFonts w:cs="Times New Roman"/>
        </w:rPr>
        <w:t xml:space="preserve"> </w:t>
      </w:r>
      <w:r w:rsidRPr="00A423FC">
        <w:rPr>
          <w:rFonts w:cs="Times New Roman"/>
        </w:rPr>
        <w:t>csúcskoncentrációját (Cmax).</w:t>
      </w:r>
    </w:p>
    <w:p w14:paraId="5D92CC60" w14:textId="77777777" w:rsidR="00A423FC" w:rsidRPr="000149DA" w:rsidRDefault="00A423FC" w:rsidP="00A423FC">
      <w:pPr>
        <w:pStyle w:val="Nincstrkz"/>
        <w:rPr>
          <w:rFonts w:cs="Times New Roman"/>
        </w:rPr>
      </w:pPr>
    </w:p>
    <w:p w14:paraId="2E25988B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Eloszlás</w:t>
      </w:r>
    </w:p>
    <w:p w14:paraId="7359CA3C" w14:textId="22E68C58" w:rsidR="00B62AE4" w:rsidRPr="000149DA" w:rsidRDefault="00A423FC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 plazmafehérjékhez való kötődése emberben hozzávetőlegesen 87%. Megoszlási térfogata (Vss) hozzávetőlegesen 21</w:t>
      </w:r>
      <w:r w:rsidR="0047354C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liter.</w:t>
      </w:r>
    </w:p>
    <w:p w14:paraId="56B05369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457CC779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Biotranszformáció és elimináció</w:t>
      </w:r>
    </w:p>
    <w:p w14:paraId="5EFD4F1D" w14:textId="07DAC62C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több útvonalon keresztül eliminálódik. </w:t>
      </w:r>
      <w:r w:rsidR="00A423FC">
        <w:rPr>
          <w:rFonts w:cs="Times New Roman"/>
        </w:rPr>
        <w:t>Felnőtteknél</w:t>
      </w:r>
      <w:r w:rsidR="00A423FC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a bejuttatott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 mintegy 25%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 volt visszanyerhető metabolitok formájában, melynek nagyobbik hányada a székletből volt </w:t>
      </w:r>
      <w:r w:rsidR="00FB0C88" w:rsidRPr="000149DA">
        <w:rPr>
          <w:rFonts w:cs="Times New Roman"/>
        </w:rPr>
        <w:t>v</w:t>
      </w:r>
      <w:r w:rsidRPr="000149DA">
        <w:rPr>
          <w:rFonts w:cs="Times New Roman"/>
        </w:rPr>
        <w:t xml:space="preserve">isszanyerhető.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renális kiválasztódása </w:t>
      </w:r>
      <w:r w:rsidR="00A423FC">
        <w:rPr>
          <w:rFonts w:cs="Times New Roman"/>
        </w:rPr>
        <w:t xml:space="preserve">felnőtteknél </w:t>
      </w:r>
      <w:r w:rsidRPr="000149DA">
        <w:rPr>
          <w:rFonts w:cs="Times New Roman"/>
        </w:rPr>
        <w:t>a teljes clearance körülbelül 27%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át teszi ki. Klinikai vizsgálatok során biliáris, illetve nem klinikai vizsgálatok során közvetlen intestinális kiválasztódást is megfigyeltek.</w:t>
      </w:r>
    </w:p>
    <w:p w14:paraId="36D0E36D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06B1A8EA" w14:textId="5FF857A6" w:rsidR="00B62AE4" w:rsidRDefault="00A423FC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teljes clearance</w:t>
      </w:r>
      <w:r w:rsidR="00FB0C88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e 3,3</w:t>
      </w:r>
      <w:r w:rsidR="00FB0C88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l/</w:t>
      </w:r>
      <w:r w:rsidR="0071046D" w:rsidRPr="000149DA">
        <w:rPr>
          <w:rFonts w:cs="Times New Roman"/>
        </w:rPr>
        <w:t>ór</w:t>
      </w:r>
      <w:r w:rsidR="00B62AE4" w:rsidRPr="000149DA">
        <w:rPr>
          <w:rFonts w:cs="Times New Roman"/>
        </w:rPr>
        <w:t>a, felezési ideje körülbelül 12</w:t>
      </w:r>
      <w:r w:rsidR="0071046D" w:rsidRPr="000149DA">
        <w:rPr>
          <w:rFonts w:cs="Times New Roman"/>
        </w:rPr>
        <w:t> ór</w:t>
      </w:r>
      <w:r w:rsidR="00B62AE4" w:rsidRPr="000149DA">
        <w:rPr>
          <w:rFonts w:cs="Times New Roman"/>
        </w:rPr>
        <w:t>a.</w:t>
      </w:r>
    </w:p>
    <w:p w14:paraId="7985D51D" w14:textId="6E1950B8" w:rsidR="00A423FC" w:rsidRPr="000149DA" w:rsidRDefault="00A423FC" w:rsidP="007D4C4D">
      <w:pPr>
        <w:pStyle w:val="Nincstrkz"/>
        <w:rPr>
          <w:rFonts w:cs="Times New Roman"/>
        </w:rPr>
      </w:pPr>
      <w:r w:rsidRPr="00A423FC">
        <w:rPr>
          <w:rFonts w:cs="Times New Roman"/>
          <w:lang w:bidi="hu-HU"/>
        </w:rPr>
        <w:t>Gyermekekn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 xml:space="preserve">l 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>s serd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</w:t>
      </w:r>
      <w:r w:rsidRPr="00A423FC">
        <w:rPr>
          <w:rFonts w:cs="Times New Roman" w:hint="eastAsia"/>
          <w:lang w:bidi="hu-HU"/>
        </w:rPr>
        <w:t>ő</w:t>
      </w:r>
      <w:r w:rsidRPr="00A423FC">
        <w:rPr>
          <w:rFonts w:cs="Times New Roman"/>
          <w:lang w:bidi="hu-HU"/>
        </w:rPr>
        <w:t>kn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>l az apixab</w:t>
      </w:r>
      <w:r w:rsidRPr="00A423FC">
        <w:rPr>
          <w:rFonts w:cs="Times New Roman" w:hint="eastAsia"/>
          <w:lang w:bidi="hu-HU"/>
        </w:rPr>
        <w:t>á</w:t>
      </w:r>
      <w:r w:rsidRPr="00A423FC">
        <w:rPr>
          <w:rFonts w:cs="Times New Roman"/>
          <w:lang w:bidi="hu-HU"/>
        </w:rPr>
        <w:t>n teljes l</w:t>
      </w:r>
      <w:r w:rsidRPr="00A423FC">
        <w:rPr>
          <w:rFonts w:cs="Times New Roman" w:hint="eastAsia"/>
          <w:lang w:bidi="hu-HU"/>
        </w:rPr>
        <w:t>á</w:t>
      </w:r>
      <w:r w:rsidRPr="00A423FC">
        <w:rPr>
          <w:rFonts w:cs="Times New Roman"/>
          <w:lang w:bidi="hu-HU"/>
        </w:rPr>
        <w:t>tsz</w:t>
      </w:r>
      <w:r w:rsidRPr="00A423FC">
        <w:rPr>
          <w:rFonts w:cs="Times New Roman" w:hint="eastAsia"/>
          <w:lang w:bidi="hu-HU"/>
        </w:rPr>
        <w:t>ó</w:t>
      </w:r>
      <w:r w:rsidRPr="00A423FC">
        <w:rPr>
          <w:rFonts w:cs="Times New Roman"/>
          <w:lang w:bidi="hu-HU"/>
        </w:rPr>
        <w:t>lagos clearance-e k</w:t>
      </w:r>
      <w:r w:rsidRPr="00A423FC">
        <w:rPr>
          <w:rFonts w:cs="Times New Roman" w:hint="eastAsia"/>
          <w:lang w:bidi="hu-HU"/>
        </w:rPr>
        <w:t>ö</w:t>
      </w:r>
      <w:r w:rsidRPr="00A423FC">
        <w:rPr>
          <w:rFonts w:cs="Times New Roman"/>
          <w:lang w:bidi="hu-HU"/>
        </w:rPr>
        <w:t>r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lbel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 3,0 l/</w:t>
      </w:r>
      <w:r w:rsidRPr="00A423FC">
        <w:rPr>
          <w:rFonts w:cs="Times New Roman" w:hint="eastAsia"/>
          <w:lang w:bidi="hu-HU"/>
        </w:rPr>
        <w:t>ó</w:t>
      </w:r>
      <w:r w:rsidRPr="00A423FC">
        <w:rPr>
          <w:rFonts w:cs="Times New Roman"/>
          <w:lang w:bidi="hu-HU"/>
        </w:rPr>
        <w:t>ra.</w:t>
      </w:r>
    </w:p>
    <w:p w14:paraId="68A9C417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53D49134" w14:textId="006FB2E8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 biotranszformáció fő támadáspontjai a 3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oxopiperidinil csoport O</w:t>
      </w:r>
      <w:r w:rsidR="009F376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demetilációja és hidroxilációja.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főként a CYP3A4/5 enzim útján metabolizálódik, a CYP1A2, 2C8, 2C9, 2C19 és 2J2 kisebb fokú részvételével. A változatlan formájú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legfontosabb, gyógyszerrel összefüggő vegyület a humán plazmában, aktív keringő metabolitok jelenléte nélkül.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szubsztrátja a transzport fehérjéknek, a P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nek és az emlő</w:t>
      </w:r>
      <w:r w:rsidR="00FB0C88" w:rsidRPr="000149DA">
        <w:rPr>
          <w:rFonts w:cs="Times New Roman"/>
        </w:rPr>
        <w:t>k</w:t>
      </w:r>
      <w:r w:rsidRPr="000149DA">
        <w:rPr>
          <w:rFonts w:cs="Times New Roman"/>
        </w:rPr>
        <w:t>arcinoma rezisztencia proteinnek (BCRP</w:t>
      </w:r>
      <w:r w:rsidR="00FB0C88" w:rsidRPr="000149DA">
        <w:rPr>
          <w:rFonts w:cs="Times New Roman"/>
        </w:rPr>
        <w:t>, breast cancer resistance protein</w:t>
      </w:r>
      <w:r w:rsidRPr="000149DA">
        <w:rPr>
          <w:rFonts w:cs="Times New Roman"/>
        </w:rPr>
        <w:t>).</w:t>
      </w:r>
    </w:p>
    <w:p w14:paraId="0AC24E4C" w14:textId="77777777" w:rsidR="00F0168B" w:rsidRPr="000149DA" w:rsidRDefault="00F0168B" w:rsidP="007D4C4D">
      <w:pPr>
        <w:pStyle w:val="Nincstrkz"/>
        <w:rPr>
          <w:rFonts w:cs="Times New Roman"/>
        </w:rPr>
      </w:pPr>
    </w:p>
    <w:p w14:paraId="1CD3527B" w14:textId="4D4C279B" w:rsidR="00B62AE4" w:rsidRDefault="00F0168B" w:rsidP="00F0168B">
      <w:pPr>
        <w:pStyle w:val="Nincstrkz"/>
        <w:rPr>
          <w:rFonts w:cs="Times New Roman"/>
          <w:lang w:bidi="hu-HU"/>
        </w:rPr>
      </w:pPr>
      <w:r w:rsidRPr="00F0168B">
        <w:t xml:space="preserve">Nem </w:t>
      </w:r>
      <w:r w:rsidRPr="00F0168B">
        <w:rPr>
          <w:rFonts w:hint="eastAsia"/>
        </w:rPr>
        <w:t>á</w:t>
      </w:r>
      <w:r w:rsidRPr="00F0168B">
        <w:t>llnak rendelkez</w:t>
      </w:r>
      <w:r w:rsidRPr="00F0168B">
        <w:rPr>
          <w:rFonts w:hint="eastAsia"/>
        </w:rPr>
        <w:t>é</w:t>
      </w:r>
      <w:r w:rsidRPr="00F0168B">
        <w:t>sre az apixab</w:t>
      </w:r>
      <w:r w:rsidRPr="00F0168B">
        <w:rPr>
          <w:rFonts w:hint="eastAsia"/>
        </w:rPr>
        <w:t>á</w:t>
      </w:r>
      <w:r w:rsidRPr="00F0168B">
        <w:t>n plazmaprotein-k</w:t>
      </w:r>
      <w:r w:rsidRPr="00F0168B">
        <w:rPr>
          <w:rFonts w:hint="eastAsia"/>
        </w:rPr>
        <w:t>ö</w:t>
      </w:r>
      <w:r w:rsidRPr="00F0168B">
        <w:t>t</w:t>
      </w:r>
      <w:r w:rsidRPr="00F0168B">
        <w:rPr>
          <w:rFonts w:hint="eastAsia"/>
        </w:rPr>
        <w:t>ő</w:t>
      </w:r>
      <w:r w:rsidRPr="00F0168B">
        <w:t>d</w:t>
      </w:r>
      <w:r w:rsidRPr="00F0168B">
        <w:rPr>
          <w:rFonts w:hint="eastAsia"/>
        </w:rPr>
        <w:t>é</w:t>
      </w:r>
      <w:r w:rsidRPr="00F0168B">
        <w:t>s</w:t>
      </w:r>
      <w:r w:rsidRPr="00F0168B">
        <w:rPr>
          <w:rFonts w:hint="eastAsia"/>
        </w:rPr>
        <w:t>é</w:t>
      </w:r>
      <w:r w:rsidRPr="00F0168B">
        <w:t>re vonatkoz</w:t>
      </w:r>
      <w:r w:rsidRPr="00F0168B">
        <w:rPr>
          <w:rFonts w:hint="eastAsia"/>
        </w:rPr>
        <w:t>ó</w:t>
      </w:r>
      <w:r w:rsidRPr="00F0168B">
        <w:t xml:space="preserve"> adatok kifejezetten</w:t>
      </w:r>
      <w:r>
        <w:t xml:space="preserve"> </w:t>
      </w:r>
      <w:r w:rsidRPr="00F0168B">
        <w:rPr>
          <w:rFonts w:cs="Times New Roman"/>
          <w:lang w:bidi="hu-HU"/>
        </w:rPr>
        <w:t xml:space="preserve">gyermekekre </w:t>
      </w:r>
      <w:r w:rsidRPr="00F0168B">
        <w:rPr>
          <w:rFonts w:cs="Times New Roman" w:hint="eastAsia"/>
          <w:lang w:bidi="hu-HU"/>
        </w:rPr>
        <w:t>é</w:t>
      </w:r>
      <w:r w:rsidRPr="00F0168B">
        <w:rPr>
          <w:rFonts w:cs="Times New Roman"/>
          <w:lang w:bidi="hu-HU"/>
        </w:rPr>
        <w:t>s serd</w:t>
      </w:r>
      <w:r w:rsidRPr="00F0168B">
        <w:rPr>
          <w:rFonts w:cs="Times New Roman" w:hint="eastAsia"/>
          <w:lang w:bidi="hu-HU"/>
        </w:rPr>
        <w:t>ü</w:t>
      </w:r>
      <w:r w:rsidRPr="00F0168B">
        <w:rPr>
          <w:rFonts w:cs="Times New Roman"/>
          <w:lang w:bidi="hu-HU"/>
        </w:rPr>
        <w:t>l</w:t>
      </w:r>
      <w:r w:rsidRPr="00F0168B">
        <w:rPr>
          <w:rFonts w:cs="Times New Roman" w:hint="eastAsia"/>
          <w:lang w:bidi="hu-HU"/>
        </w:rPr>
        <w:t>ő</w:t>
      </w:r>
      <w:r w:rsidRPr="00F0168B">
        <w:rPr>
          <w:rFonts w:cs="Times New Roman"/>
          <w:lang w:bidi="hu-HU"/>
        </w:rPr>
        <w:t>kre vonatkoz</w:t>
      </w:r>
      <w:r w:rsidRPr="00F0168B">
        <w:rPr>
          <w:rFonts w:cs="Times New Roman" w:hint="eastAsia"/>
          <w:lang w:bidi="hu-HU"/>
        </w:rPr>
        <w:t>ó</w:t>
      </w:r>
      <w:r w:rsidRPr="00F0168B">
        <w:rPr>
          <w:rFonts w:cs="Times New Roman"/>
          <w:lang w:bidi="hu-HU"/>
        </w:rPr>
        <w:t>an.</w:t>
      </w:r>
    </w:p>
    <w:p w14:paraId="23E913E8" w14:textId="77777777" w:rsidR="00F0168B" w:rsidRPr="000149DA" w:rsidRDefault="00F0168B" w:rsidP="00F0168B">
      <w:pPr>
        <w:pStyle w:val="Nincstrkz"/>
        <w:rPr>
          <w:rFonts w:cs="Times New Roman"/>
        </w:rPr>
      </w:pPr>
    </w:p>
    <w:p w14:paraId="6447B115" w14:textId="77777777" w:rsidR="00D36798" w:rsidRPr="000149DA" w:rsidRDefault="00D36798" w:rsidP="00D36798">
      <w:pPr>
        <w:pStyle w:val="Nincstrkz"/>
        <w:widowControl w:val="0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Idősek</w:t>
      </w:r>
    </w:p>
    <w:p w14:paraId="2D61669F" w14:textId="77777777" w:rsidR="00D36798" w:rsidRPr="000149DA" w:rsidRDefault="00D36798" w:rsidP="00D36798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Idős betegeknél (65 év felett) magasabb plazmakoncentrációk fordultak elő, mint a fiatal betegeknél, az átlagos AUC-értékek körülbelül 32%</w:t>
      </w:r>
      <w:r w:rsidRPr="000149DA">
        <w:rPr>
          <w:rFonts w:cs="Times New Roman"/>
        </w:rPr>
        <w:noBreakHyphen/>
        <w:t>kal voltak magasabbak és nem volt különbség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-ban.</w:t>
      </w:r>
    </w:p>
    <w:p w14:paraId="0CAA9C22" w14:textId="77777777" w:rsidR="00D36798" w:rsidRPr="000149DA" w:rsidRDefault="00D36798" w:rsidP="00D36798">
      <w:pPr>
        <w:pStyle w:val="Nincstrkz"/>
        <w:rPr>
          <w:rFonts w:cs="Times New Roman"/>
        </w:rPr>
      </w:pPr>
    </w:p>
    <w:p w14:paraId="7210034F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Vesekárosodás</w:t>
      </w:r>
    </w:p>
    <w:p w14:paraId="40440E5B" w14:textId="3C6C669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vesekárosodás nem volt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csúcskoncentrációjára. A vesefunkció</w:t>
      </w:r>
      <w:r w:rsidR="009F37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szel mért csökkenésével összefüggő, megnövekedett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-expozíciót figyeltek meg. A normál 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ű</w:t>
      </w:r>
      <w:r w:rsidR="00FB0C8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ekhez képest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plazmakoncentrációjának (AUC) növekedése enyhe vesekárosodás (kreatinin</w:t>
      </w:r>
      <w:r w:rsidR="00075CE0" w:rsidRPr="000149DA">
        <w:rPr>
          <w:rFonts w:cs="Times New Roman"/>
        </w:rPr>
        <w:noBreakHyphen/>
      </w:r>
      <w:r w:rsidRPr="000149DA">
        <w:rPr>
          <w:rFonts w:cs="Times New Roman"/>
        </w:rPr>
        <w:t>clearance 51</w:t>
      </w:r>
      <w:r w:rsidR="00075CE0" w:rsidRPr="000149DA">
        <w:rPr>
          <w:rFonts w:cs="Times New Roman"/>
        </w:rPr>
        <w:noBreakHyphen/>
      </w:r>
      <w:r w:rsidRPr="000149DA">
        <w:rPr>
          <w:rFonts w:cs="Times New Roman"/>
        </w:rPr>
        <w:t>80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) esetén 16%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os, közepes</w:t>
      </w:r>
      <w:r w:rsidR="00C651C9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vesekárosodás</w:t>
      </w:r>
      <w:r w:rsidR="00FB0C88" w:rsidRPr="000149DA">
        <w:rPr>
          <w:rFonts w:cs="Times New Roman"/>
        </w:rPr>
        <w:t>ban</w:t>
      </w:r>
      <w:r w:rsidRPr="000149DA">
        <w:rPr>
          <w:rFonts w:cs="Times New Roman"/>
        </w:rPr>
        <w:t xml:space="preserve"> (kreatinin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 30</w:t>
      </w:r>
      <w:r w:rsidR="00C651C9">
        <w:rPr>
          <w:rFonts w:cs="Times New Roman"/>
        </w:rPr>
        <w:t>–</w:t>
      </w:r>
      <w:r w:rsidRPr="000149DA">
        <w:rPr>
          <w:rFonts w:cs="Times New Roman"/>
        </w:rPr>
        <w:t>50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) 29%-os, súlyos vesekárosodás (kreatinin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 15</w:t>
      </w:r>
      <w:r w:rsidR="00C651C9">
        <w:rPr>
          <w:rFonts w:cs="Times New Roman"/>
        </w:rPr>
        <w:t>–</w:t>
      </w:r>
      <w:r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) esetén pedig 44%-os volt. A vesekárosodás nincs bizonyított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 és a Xa faktor-ellen</w:t>
      </w:r>
      <w:r w:rsidR="00FB0C8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közti összefüggésre.</w:t>
      </w:r>
    </w:p>
    <w:p w14:paraId="0DE78F01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69672F25" w14:textId="13FF44FA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Végstádiumú vesebetegségben szenvedőknél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C651C9">
        <w:rPr>
          <w:rFonts w:cs="Times New Roman"/>
        </w:rPr>
        <w:t>-</w:t>
      </w:r>
      <w:r w:rsidRPr="000149DA">
        <w:rPr>
          <w:rFonts w:cs="Times New Roman"/>
        </w:rPr>
        <w:t>értéke a normál veseműködésű egyéneknél megfigyeltekhez képest 36%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kal nőtt, amikor közvetlenül hemodial</w:t>
      </w:r>
      <w:r w:rsidR="00430FA3" w:rsidRPr="000149DA">
        <w:rPr>
          <w:rFonts w:cs="Times New Roman"/>
        </w:rPr>
        <w:t>ízis</w:t>
      </w:r>
      <w:r w:rsidRPr="000149DA">
        <w:rPr>
          <w:rFonts w:cs="Times New Roman"/>
        </w:rPr>
        <w:t xml:space="preserve"> után egyszeri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adagot alkalmaztak.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egyszeri,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-os adagjának alkalmazása után két</w:t>
      </w:r>
      <w:r w:rsidR="009F3769" w:rsidRPr="000149DA">
        <w:rPr>
          <w:rFonts w:cs="Times New Roman"/>
        </w:rPr>
        <w:t xml:space="preserve"> 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ával megkezdett hemodial</w:t>
      </w:r>
      <w:r w:rsidR="00075CE0" w:rsidRPr="000149DA">
        <w:rPr>
          <w:rFonts w:cs="Times New Roman"/>
        </w:rPr>
        <w:t>íz</w:t>
      </w:r>
      <w:r w:rsidRPr="000149DA">
        <w:rPr>
          <w:rFonts w:cs="Times New Roman"/>
        </w:rPr>
        <w:t xml:space="preserve">is 14%-kal csökkentette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C651C9">
        <w:rPr>
          <w:rFonts w:cs="Times New Roman"/>
        </w:rPr>
        <w:t>-</w:t>
      </w:r>
      <w:r w:rsidRPr="000149DA">
        <w:rPr>
          <w:rFonts w:cs="Times New Roman"/>
        </w:rPr>
        <w:t>értékét ezeknél a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végstádiumú vesebetegeknél, ami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esetében 18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 dial</w:t>
      </w:r>
      <w:r w:rsidR="00FB0C88" w:rsidRPr="000149DA">
        <w:rPr>
          <w:rFonts w:cs="Times New Roman"/>
        </w:rPr>
        <w:t>ízis</w:t>
      </w:r>
      <w:r w:rsidRPr="000149DA">
        <w:rPr>
          <w:rFonts w:cs="Times New Roman"/>
        </w:rPr>
        <w:t>-clearance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nek felel meg. Ezért a hemodial</w:t>
      </w:r>
      <w:r w:rsidR="00FB0C88" w:rsidRPr="000149DA">
        <w:rPr>
          <w:rFonts w:cs="Times New Roman"/>
        </w:rPr>
        <w:t>ízis</w:t>
      </w:r>
      <w:r w:rsidRPr="000149DA">
        <w:rPr>
          <w:rFonts w:cs="Times New Roman"/>
        </w:rPr>
        <w:t xml:space="preserve"> valószínűleg nem hatékony módszer az </w:t>
      </w:r>
      <w:r w:rsidR="00D6140D" w:rsidRPr="000149DA">
        <w:rPr>
          <w:rFonts w:cs="Times New Roman"/>
        </w:rPr>
        <w:t>apixabán</w:t>
      </w:r>
      <w:r w:rsidR="00057C0E">
        <w:rPr>
          <w:rFonts w:cs="Times New Roman"/>
        </w:rPr>
        <w:t>-</w:t>
      </w:r>
      <w:r w:rsidRPr="000149DA">
        <w:rPr>
          <w:rFonts w:cs="Times New Roman"/>
        </w:rPr>
        <w:t>túladagolás kezelésére.</w:t>
      </w:r>
    </w:p>
    <w:p w14:paraId="2C7F0A7F" w14:textId="77777777" w:rsidR="006A5740" w:rsidRPr="000149DA" w:rsidRDefault="006A5740" w:rsidP="007D4C4D">
      <w:pPr>
        <w:pStyle w:val="Nincstrkz"/>
        <w:rPr>
          <w:rFonts w:cs="Times New Roman"/>
        </w:rPr>
      </w:pPr>
    </w:p>
    <w:p w14:paraId="71B50A2E" w14:textId="2D24435F" w:rsidR="006A5740" w:rsidRDefault="006A5740" w:rsidP="006A5740">
      <w:pPr>
        <w:pStyle w:val="Nincstrkz"/>
      </w:pPr>
      <w:r w:rsidRPr="006A5740">
        <w:t xml:space="preserve">A </w:t>
      </w:r>
      <w:r w:rsidR="000F3B95" w:rsidRPr="0096382E">
        <w:rPr>
          <w:b/>
          <w:bCs/>
        </w:rPr>
        <w:t>≥</w:t>
      </w:r>
      <w:r w:rsidRPr="006A5740">
        <w:t xml:space="preserve"> 2 </w:t>
      </w:r>
      <w:r w:rsidRPr="006A5740">
        <w:rPr>
          <w:rFonts w:hint="eastAsia"/>
        </w:rPr>
        <w:t>é</w:t>
      </w:r>
      <w:r w:rsidRPr="006A5740">
        <w:t>ves kor</w:t>
      </w:r>
      <w:r w:rsidRPr="006A5740">
        <w:rPr>
          <w:rFonts w:hint="eastAsia"/>
        </w:rPr>
        <w:t>ú</w:t>
      </w:r>
      <w:r w:rsidRPr="006A5740">
        <w:t xml:space="preserve"> gyermekekn</w:t>
      </w:r>
      <w:r w:rsidRPr="006A5740">
        <w:rPr>
          <w:rFonts w:hint="eastAsia"/>
        </w:rPr>
        <w:t>é</w:t>
      </w:r>
      <w:r w:rsidRPr="006A5740">
        <w:t xml:space="preserve">l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>kn</w:t>
      </w:r>
      <w:r w:rsidRPr="006A5740">
        <w:rPr>
          <w:rFonts w:hint="eastAsia"/>
        </w:rPr>
        <w:t>é</w:t>
      </w:r>
      <w:r w:rsidRPr="006A5740">
        <w:t>l a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st 30 ml/perc/1,73 m2 testfel</w:t>
      </w:r>
      <w:r w:rsidRPr="006A5740">
        <w:rPr>
          <w:rFonts w:hint="eastAsia"/>
        </w:rPr>
        <w:t>ü</w:t>
      </w:r>
      <w:r w:rsidRPr="006A5740">
        <w:t>let</w:t>
      </w:r>
      <w:r>
        <w:t xml:space="preserve"> </w:t>
      </w:r>
      <w:r w:rsidRPr="006A5740">
        <w:t>(BSA) alatti becs</w:t>
      </w:r>
      <w:r w:rsidRPr="006A5740">
        <w:rPr>
          <w:rFonts w:hint="eastAsia"/>
        </w:rPr>
        <w:t>ü</w:t>
      </w:r>
      <w:r w:rsidRPr="006A5740">
        <w:t>lt glomerulusfiltr</w:t>
      </w:r>
      <w:r w:rsidRPr="006A5740">
        <w:rPr>
          <w:rFonts w:hint="eastAsia"/>
        </w:rPr>
        <w:t>á</w:t>
      </w:r>
      <w:r w:rsidRPr="006A5740">
        <w:t>ci</w:t>
      </w:r>
      <w:r w:rsidRPr="006A5740">
        <w:rPr>
          <w:rFonts w:hint="eastAsia"/>
        </w:rPr>
        <w:t>ó</w:t>
      </w:r>
      <w:r w:rsidRPr="006A5740">
        <w:t>s r</w:t>
      </w:r>
      <w:r w:rsidRPr="006A5740">
        <w:rPr>
          <w:rFonts w:hint="eastAsia"/>
        </w:rPr>
        <w:t>á</w:t>
      </w:r>
      <w:r w:rsidRPr="006A5740">
        <w:t>tak</w:t>
      </w:r>
      <w:r w:rsidRPr="006A5740">
        <w:rPr>
          <w:rFonts w:hint="eastAsia"/>
        </w:rPr>
        <w:t>é</w:t>
      </w:r>
      <w:r w:rsidRPr="006A5740">
        <w:t>nt (eGFR) hat</w:t>
      </w:r>
      <w:r w:rsidRPr="006A5740">
        <w:rPr>
          <w:rFonts w:hint="eastAsia"/>
        </w:rPr>
        <w:t>á</w:t>
      </w:r>
      <w:r w:rsidRPr="006A5740">
        <w:t>rozt</w:t>
      </w:r>
      <w:r w:rsidRPr="006A5740">
        <w:rPr>
          <w:rFonts w:hint="eastAsia"/>
        </w:rPr>
        <w:t>á</w:t>
      </w:r>
      <w:r w:rsidRPr="006A5740">
        <w:t>k meg. Az CV185325 vizsg</w:t>
      </w:r>
      <w:r w:rsidRPr="006A5740">
        <w:rPr>
          <w:rFonts w:hint="eastAsia"/>
        </w:rPr>
        <w:t>á</w:t>
      </w:r>
      <w:r w:rsidRPr="006A5740">
        <w:t>latban</w:t>
      </w:r>
      <w:r>
        <w:t xml:space="preserve"> </w:t>
      </w:r>
      <w:r w:rsidRPr="006A5740">
        <w:t xml:space="preserve">a 2 </w:t>
      </w:r>
      <w:r w:rsidRPr="006A5740">
        <w:rPr>
          <w:rFonts w:hint="eastAsia"/>
        </w:rPr>
        <w:t>é</w:t>
      </w:r>
      <w:r w:rsidRPr="006A5740">
        <w:t>vesn</w:t>
      </w:r>
      <w:r w:rsidRPr="006A5740">
        <w:rPr>
          <w:rFonts w:hint="eastAsia"/>
        </w:rPr>
        <w:t>é</w:t>
      </w:r>
      <w:r w:rsidRPr="006A5740">
        <w:t>l fiatalabb betegekn</w:t>
      </w:r>
      <w:r w:rsidRPr="006A5740">
        <w:rPr>
          <w:rFonts w:hint="eastAsia"/>
        </w:rPr>
        <w:t>é</w:t>
      </w:r>
      <w:r w:rsidRPr="006A5740">
        <w:t>l a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 k</w:t>
      </w:r>
      <w:r w:rsidRPr="006A5740">
        <w:rPr>
          <w:rFonts w:hint="eastAsia"/>
        </w:rPr>
        <w:t>ü</w:t>
      </w:r>
      <w:r w:rsidRPr="006A5740">
        <w:t>sz</w:t>
      </w:r>
      <w:r w:rsidRPr="006A5740">
        <w:rPr>
          <w:rFonts w:hint="eastAsia"/>
        </w:rPr>
        <w:t>ö</w:t>
      </w:r>
      <w:r w:rsidRPr="006A5740">
        <w:t>b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é</w:t>
      </w:r>
      <w:r w:rsidRPr="006A5740">
        <w:t>nek nemenk</w:t>
      </w:r>
      <w:r w:rsidRPr="006A5740">
        <w:rPr>
          <w:rFonts w:hint="eastAsia"/>
        </w:rPr>
        <w:t>é</w:t>
      </w:r>
      <w:r w:rsidRPr="006A5740">
        <w:t xml:space="preserve">nti </w:t>
      </w:r>
      <w:r w:rsidRPr="006A5740">
        <w:rPr>
          <w:rFonts w:hint="eastAsia"/>
        </w:rPr>
        <w:t>é</w:t>
      </w:r>
      <w:r w:rsidRPr="006A5740">
        <w:t>s sz</w:t>
      </w:r>
      <w:r w:rsidRPr="006A5740">
        <w:rPr>
          <w:rFonts w:hint="eastAsia"/>
        </w:rPr>
        <w:t>ü</w:t>
      </w:r>
      <w:r w:rsidRPr="006A5740">
        <w:t>let</w:t>
      </w:r>
      <w:r w:rsidRPr="006A5740">
        <w:rPr>
          <w:rFonts w:hint="eastAsia"/>
        </w:rPr>
        <w:t>é</w:t>
      </w:r>
      <w:r w:rsidRPr="006A5740">
        <w:t>s ut</w:t>
      </w:r>
      <w:r w:rsidRPr="006A5740">
        <w:rPr>
          <w:rFonts w:hint="eastAsia"/>
        </w:rPr>
        <w:t>á</w:t>
      </w:r>
      <w:r w:rsidRPr="006A5740">
        <w:t>ni</w:t>
      </w:r>
      <w:r>
        <w:t xml:space="preserve"> </w:t>
      </w:r>
      <w:r w:rsidRPr="006A5740">
        <w:rPr>
          <w:rFonts w:hint="eastAsia"/>
        </w:rPr>
        <w:t>é</w:t>
      </w:r>
      <w:r w:rsidRPr="006A5740">
        <w:t>letkoronk</w:t>
      </w:r>
      <w:r w:rsidRPr="006A5740">
        <w:rPr>
          <w:rFonts w:hint="eastAsia"/>
        </w:rPr>
        <w:t>é</w:t>
      </w:r>
      <w:r w:rsidRPr="006A5740">
        <w:t>nti meghat</w:t>
      </w:r>
      <w:r w:rsidRPr="006A5740">
        <w:rPr>
          <w:rFonts w:hint="eastAsia"/>
        </w:rPr>
        <w:t>á</w:t>
      </w:r>
      <w:r w:rsidRPr="006A5740">
        <w:t>roz</w:t>
      </w:r>
      <w:r w:rsidRPr="006A5740">
        <w:rPr>
          <w:rFonts w:hint="eastAsia"/>
        </w:rPr>
        <w:t>á</w:t>
      </w:r>
      <w:r w:rsidRPr="006A5740">
        <w:t>sa al</w:t>
      </w:r>
      <w:r w:rsidRPr="006A5740">
        <w:rPr>
          <w:rFonts w:hint="eastAsia"/>
        </w:rPr>
        <w:t>á</w:t>
      </w:r>
      <w:r w:rsidRPr="006A5740">
        <w:t>bb a 15. t</w:t>
      </w:r>
      <w:r w:rsidRPr="006A5740">
        <w:rPr>
          <w:rFonts w:hint="eastAsia"/>
        </w:rPr>
        <w:t>á</w:t>
      </w:r>
      <w:r w:rsidRPr="006A5740">
        <w:t>bl</w:t>
      </w:r>
      <w:r w:rsidRPr="006A5740">
        <w:rPr>
          <w:rFonts w:hint="eastAsia"/>
        </w:rPr>
        <w:t>á</w:t>
      </w:r>
      <w:r w:rsidRPr="006A5740">
        <w:t>zatban tal</w:t>
      </w:r>
      <w:r w:rsidRPr="006A5740">
        <w:rPr>
          <w:rFonts w:hint="eastAsia"/>
        </w:rPr>
        <w:t>á</w:t>
      </w:r>
      <w:r w:rsidRPr="006A5740">
        <w:t>lhat</w:t>
      </w:r>
      <w:r w:rsidRPr="006A5740">
        <w:rPr>
          <w:rFonts w:hint="eastAsia"/>
        </w:rPr>
        <w:t>ó</w:t>
      </w:r>
      <w:r w:rsidRPr="006A5740">
        <w:t>; mind egyen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ű</w:t>
      </w:r>
      <w:r w:rsidRPr="006A5740">
        <w:t xml:space="preserve"> a </w:t>
      </w:r>
      <w:r w:rsidR="000F3B95" w:rsidRPr="0096382E">
        <w:rPr>
          <w:b/>
          <w:bCs/>
        </w:rPr>
        <w:t>≥</w:t>
      </w:r>
      <w:r w:rsidRPr="006A5740">
        <w:t xml:space="preserve"> 2 </w:t>
      </w:r>
      <w:r w:rsidRPr="006A5740">
        <w:rPr>
          <w:rFonts w:hint="eastAsia"/>
        </w:rPr>
        <w:t>é</w:t>
      </w:r>
      <w:r w:rsidRPr="006A5740">
        <w:t>ves kor</w:t>
      </w:r>
      <w:r w:rsidRPr="006A5740">
        <w:rPr>
          <w:rFonts w:hint="eastAsia"/>
        </w:rPr>
        <w:t>ú</w:t>
      </w:r>
      <w:r w:rsidRPr="006A5740">
        <w:t>ak</w:t>
      </w:r>
      <w:r>
        <w:t xml:space="preserve"> </w:t>
      </w:r>
      <w:r w:rsidRPr="006A5740">
        <w:t xml:space="preserve">eGFR &lt; 30 ml/perc/1,73 m2 BSA 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é</w:t>
      </w:r>
      <w:r w:rsidRPr="006A5740">
        <w:t>vel.</w:t>
      </w:r>
    </w:p>
    <w:p w14:paraId="46A453C2" w14:textId="77777777" w:rsidR="006A5740" w:rsidRPr="006A5740" w:rsidRDefault="006A5740" w:rsidP="006A5740">
      <w:pPr>
        <w:pStyle w:val="Nincstrkz"/>
      </w:pPr>
    </w:p>
    <w:p w14:paraId="495472FB" w14:textId="77777777" w:rsidR="006A5740" w:rsidRDefault="006A5740" w:rsidP="006A5740">
      <w:pPr>
        <w:pStyle w:val="Nincstrkz"/>
        <w:rPr>
          <w:b/>
          <w:bCs/>
        </w:rPr>
      </w:pPr>
      <w:r w:rsidRPr="006A5740">
        <w:rPr>
          <w:b/>
          <w:bCs/>
        </w:rPr>
        <w:t>15. táblázat: A CV185325 vizsgálat eGFR alkalmassági küszöbértékei</w:t>
      </w:r>
    </w:p>
    <w:p w14:paraId="1124E327" w14:textId="77777777" w:rsidR="006A5740" w:rsidRDefault="006A5740" w:rsidP="006A5740">
      <w:pPr>
        <w:pStyle w:val="Nincstrkz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6A5740" w14:paraId="028EC094" w14:textId="77777777" w:rsidTr="00304D8C">
        <w:tc>
          <w:tcPr>
            <w:tcW w:w="3020" w:type="dxa"/>
            <w:vAlign w:val="center"/>
          </w:tcPr>
          <w:p w14:paraId="6D032A26" w14:textId="1B9B4E19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Születés utáni életkor (nem)</w:t>
            </w:r>
          </w:p>
        </w:tc>
        <w:tc>
          <w:tcPr>
            <w:tcW w:w="3020" w:type="dxa"/>
            <w:vAlign w:val="center"/>
          </w:tcPr>
          <w:p w14:paraId="2D74E21A" w14:textId="732EFA47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GFR referenciatartomány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(ml/perc/1,73 m2)</w:t>
            </w:r>
          </w:p>
        </w:tc>
        <w:tc>
          <w:tcPr>
            <w:tcW w:w="3020" w:type="dxa"/>
            <w:vAlign w:val="center"/>
          </w:tcPr>
          <w:p w14:paraId="7812C14E" w14:textId="115A1349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eGFR alkalmassági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küszöbértéke*</w:t>
            </w:r>
          </w:p>
        </w:tc>
      </w:tr>
      <w:tr w:rsidR="006A5740" w14:paraId="2136303B" w14:textId="77777777" w:rsidTr="00304D8C">
        <w:tc>
          <w:tcPr>
            <w:tcW w:w="3020" w:type="dxa"/>
          </w:tcPr>
          <w:p w14:paraId="397EAF54" w14:textId="4BF4D633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4C1900E2" w14:textId="4BE3B5A4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41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15</w:t>
            </w:r>
          </w:p>
        </w:tc>
        <w:tc>
          <w:tcPr>
            <w:tcW w:w="3020" w:type="dxa"/>
            <w:vAlign w:val="center"/>
          </w:tcPr>
          <w:p w14:paraId="7643C700" w14:textId="63395EE3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</w:t>
            </w:r>
            <w:r>
              <w:t xml:space="preserve">  </w:t>
            </w:r>
            <w:r w:rsidR="006A5740" w:rsidRPr="006A5740">
              <w:t>8</w:t>
            </w:r>
          </w:p>
        </w:tc>
      </w:tr>
      <w:tr w:rsidR="006A5740" w14:paraId="27871384" w14:textId="77777777" w:rsidTr="00304D8C">
        <w:tc>
          <w:tcPr>
            <w:tcW w:w="3020" w:type="dxa"/>
          </w:tcPr>
          <w:p w14:paraId="36E50A32" w14:textId="3900F93D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>8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BC4F3F0" w14:textId="4D866AA1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66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25</w:t>
            </w:r>
          </w:p>
        </w:tc>
        <w:tc>
          <w:tcPr>
            <w:tcW w:w="3020" w:type="dxa"/>
            <w:vAlign w:val="center"/>
          </w:tcPr>
          <w:p w14:paraId="1DCEF483" w14:textId="2AFA2054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12</w:t>
            </w:r>
          </w:p>
        </w:tc>
      </w:tr>
      <w:tr w:rsidR="006A5740" w14:paraId="1A2475D6" w14:textId="77777777" w:rsidTr="00304D8C">
        <w:tc>
          <w:tcPr>
            <w:tcW w:w="3020" w:type="dxa"/>
          </w:tcPr>
          <w:p w14:paraId="04048533" w14:textId="6D40CB9D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&gt; 8 h</w:t>
            </w:r>
            <w:r w:rsidRPr="006A5740">
              <w:rPr>
                <w:rFonts w:hint="eastAsia"/>
              </w:rPr>
              <w:t>é</w:t>
            </w:r>
            <w:r w:rsidRPr="006A5740">
              <w:t xml:space="preserve">t 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 &lt; 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3C76ABA0" w14:textId="342132BC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96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2FA2F883" w14:textId="58B705A4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22</w:t>
            </w:r>
          </w:p>
        </w:tc>
      </w:tr>
      <w:tr w:rsidR="006A5740" w14:paraId="6A159EBF" w14:textId="77777777" w:rsidTr="00304D8C">
        <w:tc>
          <w:tcPr>
            <w:tcW w:w="3020" w:type="dxa"/>
          </w:tcPr>
          <w:p w14:paraId="03C947B8" w14:textId="47427AD8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5BD1216D" w14:textId="73D8B02B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133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27</w:t>
            </w:r>
          </w:p>
        </w:tc>
        <w:tc>
          <w:tcPr>
            <w:tcW w:w="3020" w:type="dxa"/>
            <w:vAlign w:val="center"/>
          </w:tcPr>
          <w:p w14:paraId="00FC4CA9" w14:textId="0060373A" w:rsidR="006A5740" w:rsidRPr="00304D8C" w:rsidRDefault="000F3B95" w:rsidP="00304D8C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1F6D03BC" w14:textId="77777777" w:rsidTr="00304D8C">
        <w:tc>
          <w:tcPr>
            <w:tcW w:w="3020" w:type="dxa"/>
          </w:tcPr>
          <w:p w14:paraId="5A77FDCC" w14:textId="699E7A64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>k)</w:t>
            </w:r>
          </w:p>
        </w:tc>
        <w:tc>
          <w:tcPr>
            <w:tcW w:w="3020" w:type="dxa"/>
            <w:vAlign w:val="center"/>
          </w:tcPr>
          <w:p w14:paraId="48505C71" w14:textId="6D1175CD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140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30</w:t>
            </w:r>
          </w:p>
        </w:tc>
        <w:tc>
          <w:tcPr>
            <w:tcW w:w="3020" w:type="dxa"/>
            <w:vAlign w:val="center"/>
          </w:tcPr>
          <w:p w14:paraId="4DF73304" w14:textId="06336CF6" w:rsidR="006A5740" w:rsidRPr="00304D8C" w:rsidRDefault="000F3B95" w:rsidP="00304D8C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5B0AD392" w14:textId="77777777" w:rsidTr="00304D8C">
        <w:tc>
          <w:tcPr>
            <w:tcW w:w="3020" w:type="dxa"/>
          </w:tcPr>
          <w:p w14:paraId="343510A0" w14:textId="6C57D307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72CB8EFB" w14:textId="438C1AAA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126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0639309E" w14:textId="7DE7D861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48D13EDB" w14:textId="77777777" w:rsidTr="00F2504D">
        <w:tc>
          <w:tcPr>
            <w:tcW w:w="9060" w:type="dxa"/>
            <w:gridSpan w:val="3"/>
          </w:tcPr>
          <w:p w14:paraId="2FED9747" w14:textId="49A391C5" w:rsidR="006A5740" w:rsidRDefault="006A5740" w:rsidP="006A5740">
            <w:pPr>
              <w:pStyle w:val="Nincstrkz"/>
              <w:rPr>
                <w:b/>
                <w:bCs/>
              </w:rPr>
            </w:pPr>
            <w:r w:rsidRPr="005C657D">
              <w:rPr>
                <w:sz w:val="20"/>
                <w:szCs w:val="20"/>
              </w:rPr>
              <w:t>*A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 val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 xml:space="preserve">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szv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tel alkalmass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ke, amelyben a becs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lt glomerulusfiltr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s 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t (eGFR) az 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gy melletti, friss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tett Schwartz-egyenlettel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m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tott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k ki (Schwartz, GJ et al., CJASN 2009). Ez a protokoll szerinti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 megfelelt azon eGFR-nek, amely alatt a jel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 xml:space="preserve">lt beteget </w:t>
            </w:r>
            <w:r w:rsidRPr="005C657D">
              <w:rPr>
                <w:rFonts w:hint="eastAsia"/>
                <w:sz w:val="20"/>
                <w:szCs w:val="20"/>
              </w:rPr>
              <w:t>„</w:t>
            </w:r>
            <w:r w:rsidRPr="005C657D">
              <w:rPr>
                <w:sz w:val="20"/>
                <w:szCs w:val="20"/>
              </w:rPr>
              <w:t>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 vesefunkci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j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nak</w:t>
            </w:r>
            <w:r w:rsidRPr="005C657D">
              <w:rPr>
                <w:rFonts w:hint="eastAsia"/>
                <w:sz w:val="20"/>
                <w:szCs w:val="20"/>
              </w:rPr>
              <w:t>”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ltek, ami miatt nem vehetett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szt 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latban. Minden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ket eGFR &lt; 30%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kek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nt adtak meg a kornak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 nemnek megfelel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GFR referenciatartom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 alatt 1 sz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ssal (SD) 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kb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>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molva. A &lt;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 xml:space="preserve"> betegek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kei egyen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</w:t>
            </w:r>
            <w:r w:rsidRPr="005C657D">
              <w:rPr>
                <w:rFonts w:hint="eastAsia"/>
                <w:sz w:val="20"/>
                <w:szCs w:val="20"/>
              </w:rPr>
              <w:t>ű</w:t>
            </w:r>
            <w:r w:rsidRPr="005C657D">
              <w:rPr>
                <w:sz w:val="20"/>
                <w:szCs w:val="20"/>
              </w:rPr>
              <w:t xml:space="preserve">ek az eGFR &lt; 30 ml/perc/1,73 m2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kkel, ami a s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lyos veseel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gtelens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 hagyom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nyos meghat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roz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sa &gt;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 felett.</w:t>
            </w:r>
          </w:p>
        </w:tc>
      </w:tr>
    </w:tbl>
    <w:p w14:paraId="3E9DF8EF" w14:textId="77777777" w:rsidR="006A5740" w:rsidRDefault="006A5740" w:rsidP="006A5740">
      <w:pPr>
        <w:pStyle w:val="Nincstrkz"/>
        <w:rPr>
          <w:b/>
          <w:bCs/>
        </w:rPr>
      </w:pPr>
    </w:p>
    <w:p w14:paraId="0B2990A5" w14:textId="42650699" w:rsidR="006A5740" w:rsidRPr="006A5740" w:rsidRDefault="006A5740" w:rsidP="006A5740">
      <w:pPr>
        <w:pStyle w:val="Nincstrkz"/>
      </w:pPr>
      <w:r w:rsidRPr="006A5740">
        <w:rPr>
          <w:rFonts w:hint="eastAsia"/>
        </w:rPr>
        <w:t>≤</w:t>
      </w:r>
      <w:r w:rsidRPr="006A5740">
        <w:t xml:space="preserve"> 55 ml/perc/1,73 m2 glomerulusfiltr</w:t>
      </w:r>
      <w:r w:rsidRPr="006A5740">
        <w:rPr>
          <w:rFonts w:hint="eastAsia"/>
        </w:rPr>
        <w:t>á</w:t>
      </w:r>
      <w:r w:rsidRPr="006A5740">
        <w:t>ci</w:t>
      </w:r>
      <w:r w:rsidRPr="006A5740">
        <w:rPr>
          <w:rFonts w:hint="eastAsia"/>
        </w:rPr>
        <w:t>ó</w:t>
      </w:r>
      <w:r w:rsidRPr="006A5740">
        <w:t>s r</w:t>
      </w:r>
      <w:r w:rsidRPr="006A5740">
        <w:rPr>
          <w:rFonts w:hint="eastAsia"/>
        </w:rPr>
        <w:t>á</w:t>
      </w:r>
      <w:r w:rsidRPr="006A5740">
        <w:t>t</w:t>
      </w:r>
      <w:r w:rsidRPr="006A5740">
        <w:rPr>
          <w:rFonts w:hint="eastAsia"/>
        </w:rPr>
        <w:t>á</w:t>
      </w:r>
      <w:r w:rsidRPr="006A5740">
        <w:t>val rendelkez</w:t>
      </w:r>
      <w:r w:rsidRPr="006A5740">
        <w:rPr>
          <w:rFonts w:hint="eastAsia"/>
        </w:rPr>
        <w:t>ő</w:t>
      </w:r>
      <w:r w:rsidRPr="006A5740">
        <w:t xml:space="preserve"> betegek nem vettek r</w:t>
      </w:r>
      <w:r w:rsidRPr="006A5740">
        <w:rPr>
          <w:rFonts w:hint="eastAsia"/>
        </w:rPr>
        <w:t>é</w:t>
      </w:r>
      <w:r w:rsidRPr="006A5740">
        <w:t>szt a</w:t>
      </w:r>
      <w:r>
        <w:t xml:space="preserve"> </w:t>
      </w:r>
      <w:r w:rsidRPr="006A5740">
        <w:t>CV185325 vizsg</w:t>
      </w:r>
      <w:r w:rsidRPr="006A5740">
        <w:rPr>
          <w:rFonts w:hint="eastAsia"/>
        </w:rPr>
        <w:t>á</w:t>
      </w:r>
      <w:r w:rsidRPr="006A5740">
        <w:t xml:space="preserve">latban, noha az enyhe </w:t>
      </w:r>
      <w:r w:rsidRPr="006A5740">
        <w:rPr>
          <w:rFonts w:hint="eastAsia"/>
        </w:rPr>
        <w:t>é</w:t>
      </w:r>
      <w:r w:rsidRPr="006A5740">
        <w:t>s k</w:t>
      </w:r>
      <w:r w:rsidRPr="006A5740">
        <w:rPr>
          <w:rFonts w:hint="eastAsia"/>
        </w:rPr>
        <w:t>ö</w:t>
      </w:r>
      <w:r w:rsidRPr="006A5740">
        <w:t>z</w:t>
      </w:r>
      <w:r w:rsidRPr="006A5740">
        <w:rPr>
          <w:rFonts w:hint="eastAsia"/>
        </w:rPr>
        <w:t>é</w:t>
      </w:r>
      <w:r w:rsidRPr="006A5740">
        <w:t>ps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 xml:space="preserve">s (eGFR </w:t>
      </w:r>
      <w:r w:rsidR="000F3B95" w:rsidRPr="0096382E">
        <w:rPr>
          <w:b/>
          <w:bCs/>
        </w:rPr>
        <w:t>≥</w:t>
      </w:r>
      <w:r w:rsidRPr="006A5740">
        <w:t xml:space="preserve"> 30 </w:t>
      </w:r>
      <w:r w:rsidRPr="006A5740">
        <w:rPr>
          <w:rFonts w:hint="eastAsia"/>
        </w:rPr>
        <w:t>–</w:t>
      </w:r>
      <w:r>
        <w:t xml:space="preserve"> </w:t>
      </w:r>
      <w:r w:rsidRPr="006A5740">
        <w:t>&lt; 60 ml/perc/1,73 m2 BSA) alapj</w:t>
      </w:r>
      <w:r w:rsidRPr="006A5740">
        <w:rPr>
          <w:rFonts w:hint="eastAsia"/>
        </w:rPr>
        <w:t>á</w:t>
      </w:r>
      <w:r w:rsidRPr="006A5740">
        <w:t>n alkalmasak lettek volna. A feln</w:t>
      </w:r>
      <w:r w:rsidRPr="006A5740">
        <w:rPr>
          <w:rFonts w:hint="eastAsia"/>
        </w:rPr>
        <w:t>ő</w:t>
      </w:r>
      <w:r w:rsidRPr="006A5740">
        <w:t>ttekre vonatkoz</w:t>
      </w:r>
      <w:r w:rsidRPr="006A5740">
        <w:rPr>
          <w:rFonts w:hint="eastAsia"/>
        </w:rPr>
        <w:t>ó</w:t>
      </w:r>
      <w:r w:rsidRPr="006A5740">
        <w:t xml:space="preserve"> adatok, valamint</w:t>
      </w:r>
      <w:r>
        <w:t xml:space="preserve"> </w:t>
      </w:r>
      <w:r w:rsidRPr="006A5740">
        <w:t xml:space="preserve">az </w:t>
      </w:r>
      <w:r w:rsidRPr="006A5740">
        <w:rPr>
          <w:rFonts w:hint="eastAsia"/>
        </w:rPr>
        <w:t>ö</w:t>
      </w:r>
      <w:r w:rsidRPr="006A5740">
        <w:t>sszes apixab</w:t>
      </w:r>
      <w:r w:rsidRPr="006A5740">
        <w:rPr>
          <w:rFonts w:hint="eastAsia"/>
        </w:rPr>
        <w:t>á</w:t>
      </w:r>
      <w:r w:rsidRPr="006A5740">
        <w:t xml:space="preserve">nnal kezelt gyermek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 xml:space="preserve"> korl</w:t>
      </w:r>
      <w:r w:rsidRPr="006A5740">
        <w:rPr>
          <w:rFonts w:hint="eastAsia"/>
        </w:rPr>
        <w:t>á</w:t>
      </w:r>
      <w:r w:rsidRPr="006A5740">
        <w:t>tozott adatai alapj</w:t>
      </w:r>
      <w:r w:rsidRPr="006A5740">
        <w:rPr>
          <w:rFonts w:hint="eastAsia"/>
        </w:rPr>
        <w:t>á</w:t>
      </w:r>
      <w:r w:rsidRPr="006A5740">
        <w:t>n nincs sz</w:t>
      </w:r>
      <w:r w:rsidRPr="006A5740">
        <w:rPr>
          <w:rFonts w:hint="eastAsia"/>
        </w:rPr>
        <w:t>ü</w:t>
      </w:r>
      <w:r w:rsidRPr="006A5740">
        <w:t>ks</w:t>
      </w:r>
      <w:r w:rsidRPr="006A5740">
        <w:rPr>
          <w:rFonts w:hint="eastAsia"/>
        </w:rPr>
        <w:t>é</w:t>
      </w:r>
      <w:r w:rsidRPr="006A5740">
        <w:t>g</w:t>
      </w:r>
      <w:r>
        <w:t xml:space="preserve"> </w:t>
      </w:r>
      <w:r w:rsidRPr="006A5740">
        <w:t>d</w:t>
      </w:r>
      <w:r w:rsidRPr="006A5740">
        <w:rPr>
          <w:rFonts w:hint="eastAsia"/>
        </w:rPr>
        <w:t>ó</w:t>
      </w:r>
      <w:r w:rsidRPr="006A5740">
        <w:t>zism</w:t>
      </w:r>
      <w:r w:rsidRPr="006A5740">
        <w:rPr>
          <w:rFonts w:hint="eastAsia"/>
        </w:rPr>
        <w:t>ó</w:t>
      </w:r>
      <w:r w:rsidRPr="006A5740">
        <w:t>dos</w:t>
      </w:r>
      <w:r w:rsidRPr="006A5740">
        <w:rPr>
          <w:rFonts w:hint="eastAsia"/>
        </w:rPr>
        <w:t>í</w:t>
      </w:r>
      <w:r w:rsidRPr="006A5740">
        <w:t>t</w:t>
      </w:r>
      <w:r w:rsidRPr="006A5740">
        <w:rPr>
          <w:rFonts w:hint="eastAsia"/>
        </w:rPr>
        <w:t>á</w:t>
      </w:r>
      <w:r w:rsidRPr="006A5740">
        <w:t>sra gyermekekn</w:t>
      </w:r>
      <w:r w:rsidRPr="006A5740">
        <w:rPr>
          <w:rFonts w:hint="eastAsia"/>
        </w:rPr>
        <w:t>é</w:t>
      </w:r>
      <w:r w:rsidRPr="006A5740">
        <w:t xml:space="preserve">l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>kn</w:t>
      </w:r>
      <w:r w:rsidRPr="006A5740">
        <w:rPr>
          <w:rFonts w:hint="eastAsia"/>
        </w:rPr>
        <w:t>é</w:t>
      </w:r>
      <w:r w:rsidRPr="006A5740">
        <w:t>l enyhe vagy k</w:t>
      </w:r>
      <w:r w:rsidRPr="006A5740">
        <w:rPr>
          <w:rFonts w:hint="eastAsia"/>
        </w:rPr>
        <w:t>ö</w:t>
      </w:r>
      <w:r w:rsidRPr="006A5740">
        <w:t>zepesen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 eset</w:t>
      </w:r>
      <w:r w:rsidRPr="006A5740">
        <w:rPr>
          <w:rFonts w:hint="eastAsia"/>
        </w:rPr>
        <w:t>é</w:t>
      </w:r>
      <w:r w:rsidRPr="006A5740">
        <w:t>n.</w:t>
      </w:r>
    </w:p>
    <w:p w14:paraId="36887F8D" w14:textId="3BC9238E" w:rsidR="00B62AE4" w:rsidRDefault="006A5740" w:rsidP="006A5740">
      <w:pPr>
        <w:pStyle w:val="Nincstrkz"/>
        <w:rPr>
          <w:rFonts w:cs="Times New Roman"/>
          <w:lang w:bidi="hu-HU"/>
        </w:rPr>
      </w:pPr>
      <w:r w:rsidRPr="006A5740">
        <w:rPr>
          <w:rFonts w:cs="Times New Roman"/>
          <w:lang w:bidi="hu-HU"/>
        </w:rPr>
        <w:t>Az apixab</w:t>
      </w:r>
      <w:r w:rsidRPr="006A5740">
        <w:rPr>
          <w:rFonts w:cs="Times New Roman" w:hint="eastAsia"/>
          <w:lang w:bidi="hu-HU"/>
        </w:rPr>
        <w:t>á</w:t>
      </w:r>
      <w:r w:rsidRPr="006A5740">
        <w:rPr>
          <w:rFonts w:cs="Times New Roman"/>
          <w:lang w:bidi="hu-HU"/>
        </w:rPr>
        <w:t>n nem</w:t>
      </w:r>
      <w:r>
        <w:rPr>
          <w:rFonts w:cs="Times New Roman"/>
          <w:lang w:bidi="hu-HU"/>
        </w:rPr>
        <w:t xml:space="preserve"> </w:t>
      </w:r>
      <w:r w:rsidRPr="006A5740">
        <w:rPr>
          <w:lang w:bidi="hu-HU"/>
        </w:rPr>
        <w:t>javasolt s</w:t>
      </w:r>
      <w:r w:rsidRPr="006A5740">
        <w:rPr>
          <w:rFonts w:hint="eastAsia"/>
          <w:lang w:bidi="hu-HU"/>
        </w:rPr>
        <w:t>ú</w:t>
      </w:r>
      <w:r w:rsidRPr="006A5740">
        <w:rPr>
          <w:lang w:bidi="hu-HU"/>
        </w:rPr>
        <w:t>lyos vesek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rosod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sban szenved</w:t>
      </w:r>
      <w:r w:rsidRPr="006A5740">
        <w:rPr>
          <w:rFonts w:hint="eastAsia"/>
          <w:lang w:bidi="hu-HU"/>
        </w:rPr>
        <w:t>ő</w:t>
      </w:r>
      <w:r w:rsidRPr="006A5740">
        <w:rPr>
          <w:lang w:bidi="hu-HU"/>
        </w:rPr>
        <w:t xml:space="preserve"> gyermekekn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 xml:space="preserve">l 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>s serd</w:t>
      </w:r>
      <w:r w:rsidRPr="006A5740">
        <w:rPr>
          <w:rFonts w:hint="eastAsia"/>
          <w:lang w:bidi="hu-HU"/>
        </w:rPr>
        <w:t>ü</w:t>
      </w:r>
      <w:r w:rsidRPr="006A5740">
        <w:rPr>
          <w:lang w:bidi="hu-HU"/>
        </w:rPr>
        <w:t>l</w:t>
      </w:r>
      <w:r w:rsidRPr="006A5740">
        <w:rPr>
          <w:rFonts w:hint="eastAsia"/>
          <w:lang w:bidi="hu-HU"/>
        </w:rPr>
        <w:t>ő</w:t>
      </w:r>
      <w:r w:rsidRPr="006A5740">
        <w:rPr>
          <w:lang w:bidi="hu-HU"/>
        </w:rPr>
        <w:t>kn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>l (l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sd</w:t>
      </w:r>
      <w:r>
        <w:rPr>
          <w:lang w:bidi="hu-HU"/>
        </w:rPr>
        <w:t xml:space="preserve"> </w:t>
      </w:r>
      <w:r w:rsidRPr="006A5740">
        <w:rPr>
          <w:rFonts w:cs="Times New Roman"/>
          <w:lang w:bidi="hu-HU"/>
        </w:rPr>
        <w:t xml:space="preserve">4.2 </w:t>
      </w:r>
      <w:r w:rsidRPr="006A5740">
        <w:rPr>
          <w:rFonts w:cs="Times New Roman" w:hint="eastAsia"/>
          <w:lang w:bidi="hu-HU"/>
        </w:rPr>
        <w:t>é</w:t>
      </w:r>
      <w:r w:rsidRPr="006A5740">
        <w:rPr>
          <w:rFonts w:cs="Times New Roman"/>
          <w:lang w:bidi="hu-HU"/>
        </w:rPr>
        <w:t>s 4.4 pont).</w:t>
      </w:r>
    </w:p>
    <w:p w14:paraId="663AB478" w14:textId="77777777" w:rsidR="006A5740" w:rsidRPr="000149DA" w:rsidRDefault="006A5740" w:rsidP="006A5740">
      <w:pPr>
        <w:pStyle w:val="Nincstrkz"/>
        <w:rPr>
          <w:rFonts w:cs="Times New Roman"/>
        </w:rPr>
      </w:pPr>
    </w:p>
    <w:p w14:paraId="2D920749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Májkárosodás</w:t>
      </w:r>
    </w:p>
    <w:p w14:paraId="481238AD" w14:textId="72286BF1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Egy vizsgálat során, ami 8, enyhe </w:t>
      </w:r>
      <w:r w:rsidR="009F3769" w:rsidRPr="000149DA">
        <w:rPr>
          <w:rFonts w:cs="Times New Roman"/>
        </w:rPr>
        <w:t xml:space="preserve">fokú </w:t>
      </w:r>
      <w:r w:rsidRPr="000149DA">
        <w:rPr>
          <w:rFonts w:cs="Times New Roman"/>
        </w:rPr>
        <w:t>májkárosodásban szenvedő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Pugh A stádium,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5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ös</w:t>
      </w:r>
      <w:r w:rsidR="00430FA3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6] és 6-os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2]) és 8, közepes </w:t>
      </w:r>
      <w:r w:rsidR="00680CAA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szenvedő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Pugh B stádium, 7-es</w:t>
      </w:r>
      <w:r w:rsidR="00430FA3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6] és 8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as</w:t>
      </w:r>
      <w:r w:rsidR="009F3769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2]) 16, egészséges kontrollszeméllyel hasonlított össze, az egyszeri dózisú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farmakokinetikája és farmakodinámiája nem mutatott eltérést a májkárosodásban szenvedő</w:t>
      </w:r>
      <w:r w:rsidR="00430FA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eknél. A Xa faktor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ellen</w:t>
      </w:r>
      <w:r w:rsidR="00430FA3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és az INR az egészséges, illetve az enyhe és közepes</w:t>
      </w:r>
      <w:r w:rsidR="00680CAA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májkárosodásban szenvedő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eknél hasonló volt.</w:t>
      </w:r>
    </w:p>
    <w:p w14:paraId="1BD0295A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7E151445" w14:textId="24750D14" w:rsidR="00B62AE4" w:rsidRDefault="00E21A85" w:rsidP="007D4C4D">
      <w:pPr>
        <w:pStyle w:val="Nincstrkz"/>
        <w:rPr>
          <w:rFonts w:cs="Times New Roman"/>
          <w:lang w:bidi="hu-HU"/>
        </w:rPr>
      </w:pPr>
      <w:r w:rsidRPr="00E21A85">
        <w:rPr>
          <w:rFonts w:cs="Times New Roman"/>
          <w:lang w:bidi="hu-HU"/>
        </w:rPr>
        <w:t>Az apixab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nt nem vizsg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lt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k m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jk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rosod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sban szenved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 xml:space="preserve">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57367F4C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11DCA5FD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Nemek közötti különbségek</w:t>
      </w:r>
    </w:p>
    <w:p w14:paraId="58D89A26" w14:textId="67D952E0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nőknél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expozíciója 18%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magasabb volt, mint férfiaknál.</w:t>
      </w:r>
    </w:p>
    <w:p w14:paraId="22A49429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089E8956" w14:textId="01E7E00A" w:rsidR="00B62AE4" w:rsidRDefault="00E21A85" w:rsidP="007D4C4D">
      <w:pPr>
        <w:pStyle w:val="Nincstrkz"/>
        <w:rPr>
          <w:rFonts w:cs="Times New Roman"/>
          <w:lang w:bidi="hu-HU"/>
        </w:rPr>
      </w:pPr>
      <w:r w:rsidRPr="00E21A85">
        <w:rPr>
          <w:rFonts w:cs="Times New Roman"/>
          <w:lang w:bidi="hu-HU"/>
        </w:rPr>
        <w:t>A farmakokinetikai tulajdons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gokat nem vizsg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lt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k nemenk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nt a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4C344637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45076070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Etnikai hovatartozás és rassz</w:t>
      </w:r>
    </w:p>
    <w:p w14:paraId="470B8B5E" w14:textId="09A8BD84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9F3769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 </w:t>
      </w:r>
      <w:r w:rsidR="009F3769" w:rsidRPr="000149DA">
        <w:rPr>
          <w:rFonts w:cs="Times New Roman"/>
        </w:rPr>
        <w:t>I</w:t>
      </w:r>
      <w:r w:rsidR="00F258B5" w:rsidRPr="000149DA">
        <w:rPr>
          <w:rFonts w:cs="Times New Roman"/>
        </w:rPr>
        <w:t>.</w:t>
      </w:r>
      <w:r w:rsidR="009F37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fázis</w:t>
      </w:r>
      <w:r w:rsidR="009F3769" w:rsidRPr="000149DA">
        <w:rPr>
          <w:rFonts w:cs="Times New Roman"/>
        </w:rPr>
        <w:t>ú</w:t>
      </w:r>
      <w:r w:rsidRPr="000149DA">
        <w:rPr>
          <w:rFonts w:cs="Times New Roman"/>
        </w:rPr>
        <w:t xml:space="preserve"> vizsgálatok eredményei nem mutattak észrevehető különbséget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farmakokinetikájában a fehér/kaukázusi, az ázsiai és a feketebőrű/afrikai és amerikai alanyok között. Egy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körében végzett populációs farmakokinetikai elemzés eredményei általánosságban azonosak voltak a</w:t>
      </w:r>
      <w:r w:rsidR="009F3769" w:rsidRPr="000149DA">
        <w:rPr>
          <w:rFonts w:cs="Times New Roman"/>
        </w:rPr>
        <w:t>z I</w:t>
      </w:r>
      <w:r w:rsidR="007006FF" w:rsidRPr="000149DA">
        <w:rPr>
          <w:rFonts w:cs="Times New Roman"/>
        </w:rPr>
        <w:t>.</w:t>
      </w:r>
      <w:r w:rsidR="009F3769" w:rsidRPr="000149DA">
        <w:rPr>
          <w:rFonts w:cs="Times New Roman"/>
        </w:rPr>
        <w:t xml:space="preserve"> fázisú</w:t>
      </w:r>
      <w:r w:rsidRPr="000149DA">
        <w:rPr>
          <w:rFonts w:cs="Times New Roman"/>
        </w:rPr>
        <w:t xml:space="preserve"> vizsgálat eredményeivel.</w:t>
      </w:r>
    </w:p>
    <w:p w14:paraId="63AF8860" w14:textId="77777777" w:rsidR="00E21A85" w:rsidRDefault="00E21A85" w:rsidP="00E21A85">
      <w:pPr>
        <w:pStyle w:val="Nincstrkz"/>
      </w:pPr>
    </w:p>
    <w:p w14:paraId="20EE7775" w14:textId="6F712BF0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A farmakokinetikai tulajdons</w:t>
      </w:r>
      <w:r w:rsidRPr="00E21A85">
        <w:rPr>
          <w:rFonts w:hint="eastAsia"/>
        </w:rPr>
        <w:t>á</w:t>
      </w:r>
      <w:r w:rsidRPr="00E21A85">
        <w:t>gokat nem vizsg</w:t>
      </w:r>
      <w:r w:rsidRPr="00E21A85">
        <w:rPr>
          <w:rFonts w:hint="eastAsia"/>
        </w:rPr>
        <w:t>á</w:t>
      </w:r>
      <w:r w:rsidRPr="00E21A85">
        <w:t>lt</w:t>
      </w:r>
      <w:r w:rsidRPr="00E21A85">
        <w:rPr>
          <w:rFonts w:hint="eastAsia"/>
        </w:rPr>
        <w:t>á</w:t>
      </w:r>
      <w:r w:rsidRPr="00E21A85">
        <w:t>k az etnikai hovatartoz</w:t>
      </w:r>
      <w:r w:rsidRPr="00E21A85">
        <w:rPr>
          <w:rFonts w:hint="eastAsia"/>
        </w:rPr>
        <w:t>á</w:t>
      </w:r>
      <w:r w:rsidRPr="00E21A85">
        <w:t xml:space="preserve">ssal </w:t>
      </w:r>
      <w:r w:rsidRPr="00E21A85">
        <w:rPr>
          <w:rFonts w:hint="eastAsia"/>
        </w:rPr>
        <w:t>é</w:t>
      </w:r>
      <w:r w:rsidRPr="00E21A85">
        <w:t>s a rasszal</w:t>
      </w:r>
      <w:r>
        <w:t xml:space="preserve"> </w:t>
      </w:r>
      <w:r w:rsidRPr="00E21A85">
        <w:rPr>
          <w:rFonts w:cs="Times New Roman" w:hint="eastAsia"/>
          <w:lang w:bidi="hu-HU"/>
        </w:rPr>
        <w:t>ö</w:t>
      </w:r>
      <w:r w:rsidRPr="00E21A85">
        <w:rPr>
          <w:rFonts w:cs="Times New Roman"/>
          <w:lang w:bidi="hu-HU"/>
        </w:rPr>
        <w:t>sszef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gg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sben a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4AE39748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776982F7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Testtömeg</w:t>
      </w:r>
    </w:p>
    <w:p w14:paraId="25D2382A" w14:textId="297B27E1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 65-85</w:t>
      </w:r>
      <w:r w:rsidR="00B75CD6" w:rsidRPr="000149DA">
        <w:rPr>
          <w:rFonts w:cs="Times New Roman"/>
        </w:rPr>
        <w:t> kg</w:t>
      </w:r>
      <w:r w:rsidRPr="000149DA">
        <w:rPr>
          <w:rFonts w:cs="Times New Roman"/>
        </w:rPr>
        <w:t xml:space="preserve"> testtömegű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 tapasztalt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-expozícióhoz képest, a 120</w:t>
      </w:r>
      <w:r w:rsidR="00B75CD6" w:rsidRPr="000149DA">
        <w:rPr>
          <w:rFonts w:cs="Times New Roman"/>
        </w:rPr>
        <w:t> kg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nál nagyobb testtömeg körülbelül 30%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alacsonyabb, míg az 50</w:t>
      </w:r>
      <w:r w:rsidR="00B75CD6" w:rsidRPr="000149DA">
        <w:rPr>
          <w:rFonts w:cs="Times New Roman"/>
        </w:rPr>
        <w:t> kg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nál kisebb testtömeg körülbelül 30%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magasabb expozíciót eredményezett.</w:t>
      </w:r>
    </w:p>
    <w:p w14:paraId="2F03651F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0CC1759C" w14:textId="0AFD3052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Az apixab</w:t>
      </w:r>
      <w:r w:rsidRPr="00E21A85">
        <w:rPr>
          <w:rFonts w:hint="eastAsia"/>
        </w:rPr>
        <w:t>á</w:t>
      </w:r>
      <w:r w:rsidRPr="00E21A85">
        <w:t>n alkalmaz</w:t>
      </w:r>
      <w:r w:rsidRPr="00E21A85">
        <w:rPr>
          <w:rFonts w:hint="eastAsia"/>
        </w:rPr>
        <w:t>á</w:t>
      </w:r>
      <w:r w:rsidRPr="00E21A85">
        <w:t>sa gyermekekn</w:t>
      </w:r>
      <w:r w:rsidRPr="00E21A85">
        <w:rPr>
          <w:rFonts w:hint="eastAsia"/>
        </w:rPr>
        <w:t>é</w:t>
      </w:r>
      <w:r w:rsidRPr="00E21A85">
        <w:t xml:space="preserve">l </w:t>
      </w:r>
      <w:r w:rsidRPr="00E21A85">
        <w:rPr>
          <w:rFonts w:hint="eastAsia"/>
        </w:rPr>
        <w:t>é</w:t>
      </w:r>
      <w:r w:rsidRPr="00E21A85">
        <w:t>s serd</w:t>
      </w:r>
      <w:r w:rsidRPr="00E21A85">
        <w:rPr>
          <w:rFonts w:hint="eastAsia"/>
        </w:rPr>
        <w:t>ü</w:t>
      </w:r>
      <w:r w:rsidRPr="00E21A85">
        <w:t>l</w:t>
      </w:r>
      <w:r w:rsidRPr="00E21A85">
        <w:rPr>
          <w:rFonts w:hint="eastAsia"/>
        </w:rPr>
        <w:t>ő</w:t>
      </w:r>
      <w:r w:rsidRPr="00E21A85">
        <w:t>kn</w:t>
      </w:r>
      <w:r w:rsidRPr="00E21A85">
        <w:rPr>
          <w:rFonts w:hint="eastAsia"/>
        </w:rPr>
        <w:t>é</w:t>
      </w:r>
      <w:r w:rsidRPr="00E21A85">
        <w:t>l a testt</w:t>
      </w:r>
      <w:r w:rsidRPr="00E21A85">
        <w:rPr>
          <w:rFonts w:hint="eastAsia"/>
        </w:rPr>
        <w:t>ö</w:t>
      </w:r>
      <w:r w:rsidRPr="00E21A85">
        <w:t>meghez igaz</w:t>
      </w:r>
      <w:r w:rsidRPr="00E21A85">
        <w:rPr>
          <w:rFonts w:hint="eastAsia"/>
        </w:rPr>
        <w:t>í</w:t>
      </w:r>
      <w:r w:rsidRPr="00E21A85">
        <w:t>tott adagol</w:t>
      </w:r>
      <w:r w:rsidRPr="00E21A85">
        <w:rPr>
          <w:rFonts w:hint="eastAsia"/>
        </w:rPr>
        <w:t>á</w:t>
      </w:r>
      <w:r w:rsidRPr="00E21A85">
        <w:t>si rend</w:t>
      </w:r>
      <w:r>
        <w:t xml:space="preserve"> </w:t>
      </w:r>
      <w:r w:rsidRPr="00E21A85">
        <w:rPr>
          <w:rFonts w:cs="Times New Roman"/>
          <w:lang w:bidi="hu-HU"/>
        </w:rPr>
        <w:t>szerinti r</w:t>
      </w:r>
      <w:r w:rsidRPr="00E21A85">
        <w:rPr>
          <w:rFonts w:cs="Times New Roman" w:hint="eastAsia"/>
          <w:lang w:bidi="hu-HU"/>
        </w:rPr>
        <w:t>ö</w:t>
      </w:r>
      <w:r w:rsidRPr="00E21A85">
        <w:rPr>
          <w:rFonts w:cs="Times New Roman"/>
          <w:lang w:bidi="hu-HU"/>
        </w:rPr>
        <w:t>gz</w:t>
      </w:r>
      <w:r w:rsidRPr="00E21A85">
        <w:rPr>
          <w:rFonts w:cs="Times New Roman" w:hint="eastAsia"/>
          <w:lang w:bidi="hu-HU"/>
        </w:rPr>
        <w:t>í</w:t>
      </w:r>
      <w:r w:rsidRPr="00E21A85">
        <w:rPr>
          <w:rFonts w:cs="Times New Roman"/>
          <w:lang w:bidi="hu-HU"/>
        </w:rPr>
        <w:t>tett d</w:t>
      </w:r>
      <w:r w:rsidRPr="00E21A85">
        <w:rPr>
          <w:rFonts w:cs="Times New Roman" w:hint="eastAsia"/>
          <w:lang w:bidi="hu-HU"/>
        </w:rPr>
        <w:t>ó</w:t>
      </w:r>
      <w:r w:rsidRPr="00E21A85">
        <w:rPr>
          <w:rFonts w:cs="Times New Roman"/>
          <w:lang w:bidi="hu-HU"/>
        </w:rPr>
        <w:t>zison alapul.</w:t>
      </w:r>
    </w:p>
    <w:p w14:paraId="2D4C8823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74C986AF" w14:textId="29B7F599" w:rsidR="00B62AE4" w:rsidRPr="000149DA" w:rsidRDefault="00430FA3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</w:t>
      </w:r>
      <w:r w:rsidR="00B62AE4" w:rsidRPr="000149DA">
        <w:rPr>
          <w:rFonts w:cs="Times New Roman"/>
          <w:u w:val="single"/>
        </w:rPr>
        <w:t>armakokinetikai/farmakodinámiás összefüggés</w:t>
      </w:r>
    </w:p>
    <w:p w14:paraId="3D7BE0E3" w14:textId="75D39402" w:rsidR="00B62AE4" w:rsidRDefault="00E21A85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plazmakoncentrációja és különböző farmakodinámiás (FD) végpontok (Xa faktor-ellen</w:t>
      </w:r>
      <w:r w:rsidR="00430FA3" w:rsidRPr="000149DA">
        <w:rPr>
          <w:rFonts w:cs="Times New Roman"/>
        </w:rPr>
        <w:t>i</w:t>
      </w:r>
      <w:r w:rsidR="00B62AE4" w:rsidRPr="000149DA">
        <w:rPr>
          <w:rFonts w:cs="Times New Roman"/>
        </w:rPr>
        <w:t xml:space="preserve"> aktivitás </w:t>
      </w:r>
      <w:r>
        <w:rPr>
          <w:rFonts w:cs="Times New Roman"/>
        </w:rPr>
        <w:t xml:space="preserve">[AXA], </w:t>
      </w:r>
      <w:r w:rsidR="00B62AE4" w:rsidRPr="000149DA">
        <w:rPr>
          <w:rFonts w:cs="Times New Roman"/>
        </w:rPr>
        <w:t>INR, PI, aPTI) farmakokinetikai/farmakodinámiás (FK/FD) összefüggéseit széles tartományt felölelő adagok (0,5</w:t>
      </w:r>
      <w:r w:rsidR="00057C0E">
        <w:rPr>
          <w:rFonts w:cs="Times New Roman"/>
        </w:rPr>
        <w:t>–</w:t>
      </w:r>
      <w:r w:rsidR="00B62AE4" w:rsidRPr="000149DA">
        <w:rPr>
          <w:rFonts w:cs="Times New Roman"/>
        </w:rPr>
        <w:t>50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 xml:space="preserve">) beadását követően vizsgálták. Az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plazmakoncentrációja és a</w:t>
      </w:r>
      <w:r w:rsidR="009F3769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Xa faktor-ellenes aktivitása közötti kapcsolat legjobban egy lineáris modellel írható le. A</w:t>
      </w:r>
      <w:r w:rsidR="00430FA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eknél észlelt </w:t>
      </w:r>
      <w:r w:rsidR="00430FA3" w:rsidRPr="000149DA">
        <w:rPr>
          <w:rFonts w:cs="Times New Roman"/>
        </w:rPr>
        <w:t>farmakokinetikai/farmakodinámiás</w:t>
      </w:r>
      <w:r w:rsidR="00430FA3" w:rsidRPr="000149DA">
        <w:rPr>
          <w:rFonts w:cs="Times New Roman"/>
          <w:u w:val="single"/>
        </w:rPr>
        <w:t xml:space="preserve"> </w:t>
      </w:r>
      <w:r w:rsidR="00B62AE4" w:rsidRPr="000149DA">
        <w:rPr>
          <w:rFonts w:cs="Times New Roman"/>
        </w:rPr>
        <w:t>összefüggés az egészséges alanyoknál tapasztalttal azonos volt.</w:t>
      </w:r>
    </w:p>
    <w:p w14:paraId="04CE117E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546F3E27" w14:textId="4824C618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Hasonl</w:t>
      </w:r>
      <w:r w:rsidRPr="00E21A85">
        <w:rPr>
          <w:rFonts w:hint="eastAsia"/>
        </w:rPr>
        <w:t>ó</w:t>
      </w:r>
      <w:r w:rsidRPr="00E21A85">
        <w:t>k</w:t>
      </w:r>
      <w:r w:rsidRPr="00E21A85">
        <w:rPr>
          <w:rFonts w:hint="eastAsia"/>
        </w:rPr>
        <w:t>é</w:t>
      </w:r>
      <w:r w:rsidRPr="00E21A85">
        <w:t>ppen, a gyermekekn</w:t>
      </w:r>
      <w:r w:rsidRPr="00E21A85">
        <w:rPr>
          <w:rFonts w:hint="eastAsia"/>
        </w:rPr>
        <w:t>é</w:t>
      </w:r>
      <w:r w:rsidRPr="00E21A85">
        <w:t xml:space="preserve">l </w:t>
      </w:r>
      <w:r w:rsidRPr="00E21A85">
        <w:rPr>
          <w:rFonts w:hint="eastAsia"/>
        </w:rPr>
        <w:t>é</w:t>
      </w:r>
      <w:r w:rsidRPr="00E21A85">
        <w:t>s serd</w:t>
      </w:r>
      <w:r w:rsidRPr="00E21A85">
        <w:rPr>
          <w:rFonts w:hint="eastAsia"/>
        </w:rPr>
        <w:t>ü</w:t>
      </w:r>
      <w:r w:rsidRPr="00E21A85">
        <w:t>l</w:t>
      </w:r>
      <w:r w:rsidRPr="00E21A85">
        <w:rPr>
          <w:rFonts w:hint="eastAsia"/>
        </w:rPr>
        <w:t>ő</w:t>
      </w:r>
      <w:r w:rsidRPr="00E21A85">
        <w:t>kn</w:t>
      </w:r>
      <w:r w:rsidRPr="00E21A85">
        <w:rPr>
          <w:rFonts w:hint="eastAsia"/>
        </w:rPr>
        <w:t>é</w:t>
      </w:r>
      <w:r w:rsidRPr="00E21A85">
        <w:t>l v</w:t>
      </w:r>
      <w:r w:rsidRPr="00E21A85">
        <w:rPr>
          <w:rFonts w:hint="eastAsia"/>
        </w:rPr>
        <w:t>é</w:t>
      </w:r>
      <w:r w:rsidRPr="00E21A85">
        <w:t>gzett FK/FD felm</w:t>
      </w:r>
      <w:r w:rsidRPr="00E21A85">
        <w:rPr>
          <w:rFonts w:hint="eastAsia"/>
        </w:rPr>
        <w:t>é</w:t>
      </w:r>
      <w:r w:rsidRPr="00E21A85">
        <w:t>r</w:t>
      </w:r>
      <w:r w:rsidRPr="00E21A85">
        <w:rPr>
          <w:rFonts w:hint="eastAsia"/>
        </w:rPr>
        <w:t>é</w:t>
      </w:r>
      <w:r w:rsidRPr="00E21A85">
        <w:t>s line</w:t>
      </w:r>
      <w:r w:rsidRPr="00E21A85">
        <w:rPr>
          <w:rFonts w:hint="eastAsia"/>
        </w:rPr>
        <w:t>á</w:t>
      </w:r>
      <w:r w:rsidRPr="00E21A85">
        <w:t xml:space="preserve">ris </w:t>
      </w:r>
      <w:r w:rsidRPr="00E21A85">
        <w:rPr>
          <w:rFonts w:hint="eastAsia"/>
        </w:rPr>
        <w:t>ö</w:t>
      </w:r>
      <w:r w:rsidRPr="00E21A85">
        <w:t>sszef</w:t>
      </w:r>
      <w:r w:rsidRPr="00E21A85">
        <w:rPr>
          <w:rFonts w:hint="eastAsia"/>
        </w:rPr>
        <w:t>ü</w:t>
      </w:r>
      <w:r w:rsidRPr="00E21A85">
        <w:t>gg</w:t>
      </w:r>
      <w:r w:rsidRPr="00E21A85">
        <w:rPr>
          <w:rFonts w:hint="eastAsia"/>
        </w:rPr>
        <w:t>é</w:t>
      </w:r>
      <w:r w:rsidRPr="00E21A85">
        <w:t>st mutatott</w:t>
      </w:r>
      <w:r>
        <w:t xml:space="preserve"> </w:t>
      </w:r>
      <w:r w:rsidRPr="00E21A85">
        <w:t>az apixab</w:t>
      </w:r>
      <w:r w:rsidRPr="00E21A85">
        <w:rPr>
          <w:rFonts w:hint="eastAsia"/>
        </w:rPr>
        <w:t>á</w:t>
      </w:r>
      <w:r w:rsidRPr="00E21A85">
        <w:t>n koncentr</w:t>
      </w:r>
      <w:r w:rsidRPr="00E21A85">
        <w:rPr>
          <w:rFonts w:hint="eastAsia"/>
        </w:rPr>
        <w:t>á</w:t>
      </w:r>
      <w:r w:rsidRPr="00E21A85">
        <w:t>ci</w:t>
      </w:r>
      <w:r w:rsidRPr="00E21A85">
        <w:rPr>
          <w:rFonts w:hint="eastAsia"/>
        </w:rPr>
        <w:t>ó</w:t>
      </w:r>
      <w:r w:rsidRPr="00E21A85">
        <w:t xml:space="preserve">ja </w:t>
      </w:r>
      <w:r w:rsidRPr="00E21A85">
        <w:rPr>
          <w:rFonts w:hint="eastAsia"/>
        </w:rPr>
        <w:t>é</w:t>
      </w:r>
      <w:r w:rsidRPr="00E21A85">
        <w:t>s az AXA k</w:t>
      </w:r>
      <w:r w:rsidRPr="00E21A85">
        <w:rPr>
          <w:rFonts w:hint="eastAsia"/>
        </w:rPr>
        <w:t>ö</w:t>
      </w:r>
      <w:r w:rsidRPr="00E21A85">
        <w:t>z</w:t>
      </w:r>
      <w:r w:rsidRPr="00E21A85">
        <w:rPr>
          <w:rFonts w:hint="eastAsia"/>
        </w:rPr>
        <w:t>ö</w:t>
      </w:r>
      <w:r w:rsidRPr="00E21A85">
        <w:t>tt. Ez konzisztens a kor</w:t>
      </w:r>
      <w:r w:rsidRPr="00E21A85">
        <w:rPr>
          <w:rFonts w:hint="eastAsia"/>
        </w:rPr>
        <w:t>á</w:t>
      </w:r>
      <w:r w:rsidRPr="00E21A85">
        <w:t>bban feln</w:t>
      </w:r>
      <w:r w:rsidRPr="00E21A85">
        <w:rPr>
          <w:rFonts w:hint="eastAsia"/>
        </w:rPr>
        <w:t>ő</w:t>
      </w:r>
      <w:r w:rsidRPr="00E21A85">
        <w:t>ttekn</w:t>
      </w:r>
      <w:r w:rsidRPr="00E21A85">
        <w:rPr>
          <w:rFonts w:hint="eastAsia"/>
        </w:rPr>
        <w:t>é</w:t>
      </w:r>
      <w:r w:rsidRPr="00E21A85">
        <w:t>l dokument</w:t>
      </w:r>
      <w:r w:rsidRPr="00E21A85">
        <w:rPr>
          <w:rFonts w:hint="eastAsia"/>
        </w:rPr>
        <w:t>á</w:t>
      </w:r>
      <w:r w:rsidRPr="00E21A85">
        <w:t>lt</w:t>
      </w:r>
      <w:r>
        <w:t xml:space="preserve"> </w:t>
      </w:r>
      <w:r w:rsidRPr="00E21A85">
        <w:rPr>
          <w:rFonts w:cs="Times New Roman"/>
          <w:lang w:bidi="hu-HU"/>
        </w:rPr>
        <w:t>kapcsolattal.</w:t>
      </w:r>
    </w:p>
    <w:p w14:paraId="1B0313E3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4AB04844" w14:textId="0CF6193E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preklinikai biztonságossági vizsgálatok</w:t>
      </w:r>
      <w:r w:rsidR="00B62AE4" w:rsidRPr="000149DA">
        <w:rPr>
          <w:rFonts w:cs="Times New Roman"/>
          <w:b/>
          <w:bCs/>
          <w:spacing w:val="-6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eredményei</w:t>
      </w:r>
    </w:p>
    <w:p w14:paraId="67D13A55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60B7C2B7" w14:textId="044CE8F5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A hagyományos – farmakológiai biztonságossági, ismételt dózistoxicitási, genotoxicitási, karcinogenitási, reprodukci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a- és embrio-foetalis fejlődésre kifejtett és juvenilis toxicitási – vizsgálatokból származó preklinikai jellegű adatok azt igazolták, hogy a készítmény alkalmazásakor humán vonatkozásban különleges kockázat nem várható.</w:t>
      </w:r>
    </w:p>
    <w:p w14:paraId="04B5DFA5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0516567" w14:textId="4F2EE16C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ismételt dózistoxicitási vizsgálatok során megfigyelt jelentősebb hatások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véralvadásgátlási paraméterekre gyakorolt farmakodinámiás hatásával voltak összefüggésben. A toxicitási vizsgálatokban a vérzési hajlam nem változott, vagy csak kis mértékben növekedett. Mivel ez a nem klinikai vizsgálatokhoz használt fajok emberekhez képest kisebb fokú érzékenységével magyarázható, ezt az eredményt az emberekre történő extrapoláláskor óvatosan kell interpretálni.</w:t>
      </w:r>
    </w:p>
    <w:p w14:paraId="5DABFD8D" w14:textId="64864B36" w:rsidR="00B62AE4" w:rsidRPr="000149DA" w:rsidRDefault="00B62AE4" w:rsidP="00C968C6">
      <w:pPr>
        <w:pStyle w:val="Nincstrkz"/>
        <w:rPr>
          <w:rFonts w:cs="Times New Roman"/>
        </w:rPr>
      </w:pPr>
    </w:p>
    <w:p w14:paraId="5F89DA5A" w14:textId="77777777" w:rsidR="00D36798" w:rsidRPr="000149DA" w:rsidRDefault="00D36798" w:rsidP="00D36798">
      <w:pPr>
        <w:pStyle w:val="Nincstrkz"/>
        <w:rPr>
          <w:rFonts w:cs="Times New Roman"/>
        </w:rPr>
      </w:pPr>
      <w:r w:rsidRPr="000149DA">
        <w:rPr>
          <w:rFonts w:cs="Times New Roman"/>
        </w:rPr>
        <w:t>Patkánytejben – feltehetően a tejbe történő aktív transzportnak köszönhetően – magas tej/maternális plazma arányt találtak (C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 kb. 8, AUC-érték kb. 30).</w:t>
      </w:r>
    </w:p>
    <w:p w14:paraId="0F00419E" w14:textId="77777777" w:rsidR="00D36798" w:rsidRPr="000149DA" w:rsidRDefault="00D36798" w:rsidP="00C968C6">
      <w:pPr>
        <w:pStyle w:val="Nincstrkz"/>
        <w:rPr>
          <w:rFonts w:cs="Times New Roman"/>
        </w:rPr>
      </w:pPr>
    </w:p>
    <w:p w14:paraId="2A2B01F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EF6F7E2" w14:textId="569E8A87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GYÓGYSZERÉSZETI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JELLEMZŐK</w:t>
      </w:r>
    </w:p>
    <w:p w14:paraId="739077CF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085130D2" w14:textId="4C507626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</w:rPr>
      </w:pPr>
      <w:r w:rsidRPr="000149DA">
        <w:rPr>
          <w:rFonts w:cs="Times New Roman"/>
          <w:b/>
          <w:w w:val="105"/>
        </w:rPr>
        <w:t>6.1</w:t>
      </w:r>
      <w:r w:rsidRPr="000149DA">
        <w:rPr>
          <w:rFonts w:cs="Times New Roman"/>
          <w:b/>
          <w:w w:val="105"/>
        </w:rPr>
        <w:tab/>
      </w:r>
      <w:r w:rsidR="00B62AE4" w:rsidRPr="000149DA">
        <w:rPr>
          <w:rFonts w:cs="Times New Roman"/>
          <w:b/>
          <w:w w:val="105"/>
        </w:rPr>
        <w:t>Segédanyagok</w:t>
      </w:r>
      <w:r w:rsidR="00B62AE4" w:rsidRPr="000149DA">
        <w:rPr>
          <w:rFonts w:cs="Times New Roman"/>
          <w:b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w w:val="105"/>
        </w:rPr>
        <w:t>felsorolása</w:t>
      </w:r>
    </w:p>
    <w:p w14:paraId="2DCA9C11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0D1FF5B" w14:textId="14692585" w:rsidR="00B62AE4" w:rsidRPr="000149DA" w:rsidRDefault="00922899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M</w:t>
      </w:r>
      <w:r w:rsidR="00B62AE4" w:rsidRPr="000149DA">
        <w:rPr>
          <w:rFonts w:cs="Times New Roman"/>
          <w:w w:val="105"/>
          <w:u w:val="single"/>
        </w:rPr>
        <w:t>ag</w:t>
      </w:r>
      <w:r w:rsidR="00B62AE4" w:rsidRPr="000149DA">
        <w:rPr>
          <w:rFonts w:cs="Times New Roman"/>
          <w:w w:val="105"/>
        </w:rPr>
        <w:t>:</w:t>
      </w:r>
    </w:p>
    <w:p w14:paraId="55B2306A" w14:textId="2F31FBEB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laktóz </w:t>
      </w:r>
    </w:p>
    <w:p w14:paraId="2FF82BF9" w14:textId="0555C21D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mikrokristályos cellulóz </w:t>
      </w:r>
    </w:p>
    <w:p w14:paraId="5EBBC4A6" w14:textId="020E3976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kroszkarmellóz</w:t>
      </w:r>
      <w:r w:rsidRPr="000149DA">
        <w:rPr>
          <w:rFonts w:cs="Times New Roman"/>
        </w:rPr>
        <w:noBreakHyphen/>
        <w:t xml:space="preserve">nátrium </w:t>
      </w:r>
    </w:p>
    <w:p w14:paraId="6474024C" w14:textId="619A58D8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nátrium</w:t>
      </w:r>
      <w:r w:rsidRPr="000149DA">
        <w:rPr>
          <w:rFonts w:cs="Times New Roman"/>
        </w:rPr>
        <w:noBreakHyphen/>
        <w:t xml:space="preserve">laurilszulfát </w:t>
      </w:r>
    </w:p>
    <w:p w14:paraId="51891053" w14:textId="548AC64C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magnézium</w:t>
      </w:r>
      <w:r w:rsidR="00F244FB" w:rsidRPr="000149DA">
        <w:rPr>
          <w:rFonts w:cs="Times New Roman"/>
        </w:rPr>
        <w:t>-</w:t>
      </w:r>
      <w:r w:rsidRPr="000149DA">
        <w:rPr>
          <w:rFonts w:cs="Times New Roman"/>
        </w:rPr>
        <w:t xml:space="preserve">sztearát </w:t>
      </w:r>
    </w:p>
    <w:p w14:paraId="2490A73E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C6CB330" w14:textId="20D123CE" w:rsidR="00B62AE4" w:rsidRPr="000149DA" w:rsidRDefault="009B7668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B</w:t>
      </w:r>
      <w:r w:rsidR="00B62AE4" w:rsidRPr="000149DA">
        <w:rPr>
          <w:rFonts w:cs="Times New Roman"/>
          <w:w w:val="105"/>
          <w:u w:val="single"/>
        </w:rPr>
        <w:t>evonat</w:t>
      </w:r>
      <w:r w:rsidR="00B62AE4" w:rsidRPr="000149DA">
        <w:rPr>
          <w:rFonts w:cs="Times New Roman"/>
          <w:w w:val="105"/>
        </w:rPr>
        <w:t>:</w:t>
      </w:r>
    </w:p>
    <w:p w14:paraId="26365848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laktóz-monohidrát </w:t>
      </w:r>
    </w:p>
    <w:p w14:paraId="3B9BA2F3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hipromellóz (E464) </w:t>
      </w:r>
    </w:p>
    <w:p w14:paraId="5BE14D55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titán-dioxid (E171) </w:t>
      </w:r>
    </w:p>
    <w:p w14:paraId="2BDB1E80" w14:textId="6CF890D6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makrogol 3350</w:t>
      </w:r>
    </w:p>
    <w:p w14:paraId="51232515" w14:textId="6D608BAB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triacetin</w:t>
      </w:r>
    </w:p>
    <w:p w14:paraId="658F8A9D" w14:textId="1DE5A5C3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vörös vas-oxid (E172)</w:t>
      </w:r>
    </w:p>
    <w:p w14:paraId="13DF242E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727BB1E1" w14:textId="13398E06" w:rsidR="00B62AE4" w:rsidRPr="000149DA" w:rsidRDefault="0077456F" w:rsidP="00DB6F9D">
      <w:pPr>
        <w:pStyle w:val="Nincstrkz"/>
        <w:widowControl w:val="0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6.2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Inkompatibilitások</w:t>
      </w:r>
    </w:p>
    <w:p w14:paraId="0E63F549" w14:textId="77777777" w:rsidR="00B62AE4" w:rsidRPr="000149DA" w:rsidRDefault="00B62AE4" w:rsidP="00DB6F9D">
      <w:pPr>
        <w:pStyle w:val="Nincstrkz"/>
        <w:widowControl w:val="0"/>
        <w:rPr>
          <w:rFonts w:cs="Times New Roman"/>
          <w:bCs/>
        </w:rPr>
      </w:pPr>
    </w:p>
    <w:p w14:paraId="2BC59E67" w14:textId="77777777" w:rsidR="00B62AE4" w:rsidRPr="000149DA" w:rsidRDefault="00B62AE4" w:rsidP="00DB6F9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  <w:w w:val="105"/>
        </w:rPr>
        <w:t>Nem értelmezhető.</w:t>
      </w:r>
    </w:p>
    <w:p w14:paraId="575AA7B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BDFF5B6" w14:textId="79E1032A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Felhasználhatósági időtartam</w:t>
      </w:r>
    </w:p>
    <w:p w14:paraId="69E21ABC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58201C44" w14:textId="5999EA5E" w:rsidR="009B7668" w:rsidRPr="009B7668" w:rsidRDefault="0013248E" w:rsidP="00B62AE4">
      <w:pPr>
        <w:pStyle w:val="Nincstrkz"/>
        <w:rPr>
          <w:rFonts w:cs="Times New Roman"/>
          <w:w w:val="105"/>
        </w:rPr>
      </w:pPr>
      <w:r>
        <w:rPr>
          <w:rFonts w:cs="Times New Roman"/>
          <w:w w:val="105"/>
        </w:rPr>
        <w:t>3</w:t>
      </w:r>
      <w:r w:rsidR="009B7668">
        <w:rPr>
          <w:rFonts w:cs="Times New Roman"/>
          <w:w w:val="105"/>
        </w:rPr>
        <w:t> év</w:t>
      </w:r>
    </w:p>
    <w:p w14:paraId="67A00EC1" w14:textId="77777777" w:rsidR="00F12ECE" w:rsidRPr="000149DA" w:rsidRDefault="00F12ECE" w:rsidP="00B62AE4">
      <w:pPr>
        <w:pStyle w:val="Nincstrkz"/>
        <w:rPr>
          <w:rFonts w:cs="Times New Roman"/>
          <w:w w:val="105"/>
        </w:rPr>
      </w:pPr>
    </w:p>
    <w:p w14:paraId="2588478F" w14:textId="278740E5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Különleges tárolási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előírások</w:t>
      </w:r>
    </w:p>
    <w:p w14:paraId="782DF616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1646B297" w14:textId="77777777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Ez a gyógyszer nem igényel különleges tárolást.</w:t>
      </w:r>
    </w:p>
    <w:p w14:paraId="313E036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3164BC2" w14:textId="230B6C99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6.5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Csomagolás típusa és</w:t>
      </w:r>
      <w:r w:rsidR="00B62AE4" w:rsidRPr="000149DA">
        <w:rPr>
          <w:rFonts w:cs="Times New Roman"/>
          <w:b/>
          <w:bCs/>
          <w:spacing w:val="-5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kiszerelése</w:t>
      </w:r>
    </w:p>
    <w:p w14:paraId="79651F2D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41DE94ED" w14:textId="6EF13496" w:rsidR="00CD0E70" w:rsidRPr="000149DA" w:rsidRDefault="00C92A86" w:rsidP="00CD0E70">
      <w:r w:rsidRPr="00053B8E">
        <w:t xml:space="preserve">Átlátszó PVC/PE/PVDC//Al </w:t>
      </w:r>
      <w:r w:rsidR="00E247F1">
        <w:t>adagonként perforált</w:t>
      </w:r>
      <w:r w:rsidRPr="00053B8E">
        <w:t xml:space="preserve"> buborékcsomagolásban</w:t>
      </w:r>
      <w:r w:rsidR="00F12ECE" w:rsidRPr="000149DA">
        <w:rPr>
          <w:w w:val="105"/>
        </w:rPr>
        <w:t>, amely 10</w:t>
      </w:r>
      <w:r w:rsidR="00F12ECE" w:rsidRPr="000149DA">
        <w:t xml:space="preserve"> × 1, </w:t>
      </w:r>
      <w:r w:rsidR="00CD0E70" w:rsidRPr="000149DA">
        <w:rPr>
          <w:w w:val="105"/>
        </w:rPr>
        <w:t>14</w:t>
      </w:r>
      <w:r w:rsidR="00CD0E70" w:rsidRPr="000149DA">
        <w:t xml:space="preserve"> × 1, </w:t>
      </w:r>
      <w:r w:rsidR="00CD0E70" w:rsidRPr="000149DA">
        <w:rPr>
          <w:w w:val="105"/>
        </w:rPr>
        <w:t>20</w:t>
      </w:r>
      <w:r w:rsidR="00CD0E70" w:rsidRPr="000149DA">
        <w:t xml:space="preserve"> × 1, </w:t>
      </w:r>
      <w:r w:rsidR="00F258B5" w:rsidRPr="000149DA">
        <w:t xml:space="preserve">28 × 1, </w:t>
      </w:r>
      <w:r w:rsidR="00CD0E70" w:rsidRPr="000149DA">
        <w:t>3</w:t>
      </w:r>
      <w:r w:rsidR="00CD0E70" w:rsidRPr="000149DA">
        <w:rPr>
          <w:w w:val="105"/>
        </w:rPr>
        <w:t>0</w:t>
      </w:r>
      <w:r w:rsidR="00CD0E70" w:rsidRPr="000149DA">
        <w:t> × 1, 56 × 1, 6</w:t>
      </w:r>
      <w:r w:rsidR="00CD0E70" w:rsidRPr="000149DA">
        <w:rPr>
          <w:w w:val="105"/>
        </w:rPr>
        <w:t>0</w:t>
      </w:r>
      <w:r w:rsidR="00CD0E70" w:rsidRPr="000149DA">
        <w:t> × 1, 10</w:t>
      </w:r>
      <w:r w:rsidR="00CD0E70" w:rsidRPr="000149DA">
        <w:rPr>
          <w:w w:val="105"/>
        </w:rPr>
        <w:t>0</w:t>
      </w:r>
      <w:r w:rsidR="00CD0E70" w:rsidRPr="000149DA">
        <w:t xml:space="preserve"> × 1, </w:t>
      </w:r>
      <w:r w:rsidR="00CD0E70" w:rsidRPr="000149DA">
        <w:rPr>
          <w:w w:val="105"/>
        </w:rPr>
        <w:t>120</w:t>
      </w:r>
      <w:r w:rsidR="00CD0E70" w:rsidRPr="000149DA">
        <w:t xml:space="preserve"> × 1, </w:t>
      </w:r>
      <w:r w:rsidR="00CD0E70" w:rsidRPr="000149DA">
        <w:rPr>
          <w:w w:val="105"/>
        </w:rPr>
        <w:t>168</w:t>
      </w:r>
      <w:r w:rsidR="00CD0E70" w:rsidRPr="000149DA">
        <w:t> × 1, 20</w:t>
      </w:r>
      <w:r w:rsidR="00CD0E70" w:rsidRPr="000149DA">
        <w:rPr>
          <w:w w:val="105"/>
        </w:rPr>
        <w:t>0</w:t>
      </w:r>
      <w:r w:rsidR="00CD0E70" w:rsidRPr="000149DA">
        <w:t xml:space="preserve"> × 1 db filmtablettát tartalmaz. </w:t>
      </w:r>
    </w:p>
    <w:p w14:paraId="22F54A93" w14:textId="77777777" w:rsidR="00CD0E70" w:rsidRPr="000149DA" w:rsidRDefault="00CD0E70" w:rsidP="00CD0E70"/>
    <w:p w14:paraId="220219D0" w14:textId="69749CA5" w:rsidR="00CD0E70" w:rsidRPr="000149DA" w:rsidRDefault="002B54E9" w:rsidP="00CD0E70">
      <w:pPr>
        <w:pStyle w:val="Nincstrkz"/>
        <w:rPr>
          <w:rFonts w:cs="Times New Roman"/>
          <w:w w:val="105"/>
        </w:rPr>
      </w:pPr>
      <w:r w:rsidRPr="000149DA">
        <w:rPr>
          <w:rFonts w:cs="Times New Roman"/>
          <w:w w:val="105"/>
        </w:rPr>
        <w:t xml:space="preserve">Fehér, </w:t>
      </w:r>
      <w:r w:rsidRPr="00053B8E">
        <w:rPr>
          <w:rFonts w:cs="Times New Roman"/>
        </w:rPr>
        <w:t xml:space="preserve">gyermekbiztos PP csavaros tetővel ellátott fehér </w:t>
      </w:r>
      <w:r w:rsidRPr="000149DA">
        <w:rPr>
          <w:rFonts w:cs="Times New Roman"/>
          <w:w w:val="105"/>
        </w:rPr>
        <w:t>HDPE tartály</w:t>
      </w:r>
      <w:r w:rsidR="00CD0E70" w:rsidRPr="000149DA">
        <w:rPr>
          <w:rFonts w:cs="Times New Roman"/>
          <w:w w:val="105"/>
        </w:rPr>
        <w:t xml:space="preserve">, amely 180, 200 és 500 filmtablettát tartalmaz. </w:t>
      </w:r>
    </w:p>
    <w:p w14:paraId="399C500A" w14:textId="77777777" w:rsidR="00CD0E70" w:rsidRPr="000149DA" w:rsidRDefault="00CD0E70" w:rsidP="00CD0E70">
      <w:pPr>
        <w:rPr>
          <w:w w:val="105"/>
        </w:rPr>
      </w:pPr>
    </w:p>
    <w:p w14:paraId="607B8012" w14:textId="0DEEF05D" w:rsidR="00CD0E70" w:rsidRPr="000149DA" w:rsidRDefault="002B54E9" w:rsidP="00CD0E70">
      <w:r w:rsidRPr="000149DA">
        <w:rPr>
          <w:w w:val="105"/>
        </w:rPr>
        <w:t>Fehér, gyermekbiztos PP csavaros tetővel ellátott fehér HDPE tartályban, amely vattát is tartalmaz</w:t>
      </w:r>
      <w:r w:rsidR="00CD0E70" w:rsidRPr="000149DA">
        <w:rPr>
          <w:w w:val="105"/>
        </w:rPr>
        <w:t>, 180, 200 és 500 filmtablettát tartalmaz.</w:t>
      </w:r>
    </w:p>
    <w:p w14:paraId="72D2D7A5" w14:textId="77777777" w:rsidR="0077456F" w:rsidRPr="000149DA" w:rsidRDefault="0077456F" w:rsidP="00B62AE4">
      <w:pPr>
        <w:pStyle w:val="Nincstrkz"/>
        <w:rPr>
          <w:rFonts w:cs="Times New Roman"/>
          <w:w w:val="105"/>
        </w:rPr>
      </w:pPr>
    </w:p>
    <w:p w14:paraId="6931F932" w14:textId="0917D855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Nem feltétlenül mindegyik kiszerelés kerül kereskedelmi forgalomba.</w:t>
      </w:r>
    </w:p>
    <w:p w14:paraId="3D31F3E4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0664DEA" w14:textId="533D4196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6.6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megsemmisítésre vonatkozó különleges</w:t>
      </w:r>
      <w:r w:rsidR="00B62AE4" w:rsidRPr="000149DA">
        <w:rPr>
          <w:rFonts w:cs="Times New Roman"/>
          <w:b/>
          <w:bCs/>
          <w:spacing w:val="-10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óvintézkedések</w:t>
      </w:r>
      <w:r w:rsidR="00C92A86" w:rsidRPr="000149DA">
        <w:rPr>
          <w:rFonts w:cs="Times New Roman"/>
          <w:b/>
          <w:bCs/>
          <w:w w:val="105"/>
        </w:rPr>
        <w:t xml:space="preserve"> és egyéb, a készítmény kezelésével kapcsolatos információk</w:t>
      </w:r>
    </w:p>
    <w:p w14:paraId="482CB40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6031F5F" w14:textId="77777777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Bármilyen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fel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használt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gyógyszer,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illetve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hulladékanyag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megsemmisítését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gyógyszerekre vonatkozó előírások szerint kell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végrehajtani.</w:t>
      </w:r>
    </w:p>
    <w:p w14:paraId="70D76D81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16C4A21" w14:textId="77777777" w:rsidR="002B54E9" w:rsidRPr="00326982" w:rsidRDefault="002B54E9" w:rsidP="002B54E9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Megjegyzés: </w:t>
      </w:r>
      <w:r w:rsidRPr="000149DA">
        <w:rPr>
          <w:rFonts w:cs="Times New Roman"/>
          <w:b/>
          <w:lang w:val="en-GB"/>
        </w:rPr>
        <w:sym w:font="Wingdings" w:char="F058"/>
      </w:r>
      <w:r w:rsidRPr="000149DA">
        <w:rPr>
          <w:rFonts w:cs="Times New Roman"/>
        </w:rPr>
        <w:t xml:space="preserve"> (egy keresztes)</w:t>
      </w:r>
    </w:p>
    <w:p w14:paraId="326491F5" w14:textId="77777777" w:rsidR="002B54E9" w:rsidRPr="00551B22" w:rsidRDefault="002B54E9" w:rsidP="002B54E9">
      <w:pPr>
        <w:pStyle w:val="Nincstrkz"/>
        <w:rPr>
          <w:rFonts w:cs="Times New Roman"/>
        </w:rPr>
      </w:pPr>
      <w:r w:rsidRPr="00D15884">
        <w:rPr>
          <w:rFonts w:cs="Times New Roman"/>
          <w:i/>
          <w:iCs/>
        </w:rPr>
        <w:t>Osztályozás</w:t>
      </w:r>
      <w:r w:rsidRPr="00B50EA7">
        <w:rPr>
          <w:rFonts w:cs="Times New Roman"/>
        </w:rPr>
        <w:t>: II./1 csoport</w:t>
      </w:r>
    </w:p>
    <w:p w14:paraId="57401FCC" w14:textId="00C10433" w:rsidR="002B54E9" w:rsidRPr="000149DA" w:rsidRDefault="002B54E9" w:rsidP="002B54E9">
      <w:pPr>
        <w:pStyle w:val="Nincstrkz"/>
        <w:rPr>
          <w:rFonts w:cs="Times New Roman"/>
        </w:rPr>
      </w:pPr>
      <w:r w:rsidRPr="000149DA">
        <w:rPr>
          <w:rFonts w:cs="Times New Roman"/>
        </w:rPr>
        <w:t>Korlátozott érvényű orvosi rendelvényhez kötött, szakorvosi</w:t>
      </w:r>
      <w:r w:rsidR="00560BD7">
        <w:rPr>
          <w:rFonts w:cs="Times New Roman"/>
        </w:rPr>
        <w:t>/</w:t>
      </w:r>
      <w:r w:rsidRPr="000149DA">
        <w:rPr>
          <w:rFonts w:cs="Times New Roman"/>
        </w:rPr>
        <w:t>kórházi diagnózist követő járóbeteg-ellátásban alkalmazható gyógyszer (J).</w:t>
      </w:r>
    </w:p>
    <w:p w14:paraId="54DC9242" w14:textId="77777777" w:rsidR="002B54E9" w:rsidRPr="000149DA" w:rsidRDefault="002B54E9" w:rsidP="002B54E9">
      <w:pPr>
        <w:pStyle w:val="Nincstrkz"/>
        <w:rPr>
          <w:rFonts w:cs="Times New Roman"/>
        </w:rPr>
      </w:pPr>
    </w:p>
    <w:p w14:paraId="1390E095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8046B34" w14:textId="6C19A878" w:rsidR="00B62AE4" w:rsidRPr="000149DA" w:rsidRDefault="00B62AE4" w:rsidP="00CD0E70">
      <w:pPr>
        <w:pStyle w:val="Nincstrkz"/>
        <w:numPr>
          <w:ilvl w:val="0"/>
          <w:numId w:val="17"/>
        </w:numPr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A FORGALOMBA HOZATALI ENGEDÉLY</w:t>
      </w:r>
      <w:r w:rsidRPr="000149DA">
        <w:rPr>
          <w:rFonts w:cs="Times New Roman"/>
          <w:b/>
          <w:bCs/>
          <w:spacing w:val="-12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JOGOSULTJA</w:t>
      </w:r>
    </w:p>
    <w:p w14:paraId="1CB6BF2E" w14:textId="29D10E85" w:rsidR="00BB681C" w:rsidRPr="000149DA" w:rsidRDefault="00BB681C" w:rsidP="00BB681C">
      <w:pPr>
        <w:pStyle w:val="Nincstrkz"/>
        <w:rPr>
          <w:rFonts w:cs="Times New Roman"/>
          <w:b/>
          <w:bCs/>
          <w:w w:val="105"/>
        </w:rPr>
      </w:pPr>
      <w:r w:rsidRPr="000149DA">
        <w:rPr>
          <w:rFonts w:cs="Times New Roman"/>
          <w:b/>
          <w:bCs/>
          <w:w w:val="105"/>
        </w:rPr>
        <w:t xml:space="preserve"> </w:t>
      </w:r>
    </w:p>
    <w:p w14:paraId="76DC0F18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Teva Gyógyszergyár Zrt.</w:t>
      </w:r>
    </w:p>
    <w:p w14:paraId="733C016E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4042 Debrecen</w:t>
      </w:r>
    </w:p>
    <w:p w14:paraId="600FC096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Pallagi út 13.</w:t>
      </w:r>
    </w:p>
    <w:p w14:paraId="0D933BD0" w14:textId="31659F16" w:rsidR="00BB681C" w:rsidRPr="000149DA" w:rsidRDefault="00A07B70" w:rsidP="00BB681C">
      <w:pPr>
        <w:pStyle w:val="Nincstrkz"/>
        <w:rPr>
          <w:rFonts w:cs="Times New Roman"/>
          <w:b/>
          <w:bCs/>
        </w:rPr>
      </w:pPr>
      <w:r w:rsidRPr="00053B8E">
        <w:rPr>
          <w:rFonts w:cs="Times New Roman"/>
          <w:bCs/>
        </w:rPr>
        <w:t>Magyarország</w:t>
      </w:r>
    </w:p>
    <w:p w14:paraId="4F0C3F02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3DA1DC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1B5EE6F" w14:textId="66E67DBB" w:rsidR="00B62AE4" w:rsidRPr="000149DA" w:rsidRDefault="00B62AE4" w:rsidP="0077456F">
      <w:pPr>
        <w:pStyle w:val="Nincstrkz"/>
        <w:numPr>
          <w:ilvl w:val="0"/>
          <w:numId w:val="11"/>
        </w:numPr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A FORGALOMBA HOZATALI ENGEDÉLY</w:t>
      </w:r>
      <w:r w:rsidRPr="000149DA">
        <w:rPr>
          <w:rFonts w:cs="Times New Roman"/>
          <w:b/>
          <w:bCs/>
          <w:spacing w:val="-11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SZÁMA(I)</w:t>
      </w:r>
    </w:p>
    <w:p w14:paraId="3B88CB33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2F72B1B6" w14:textId="367B5DF2" w:rsidR="00B62AE4" w:rsidRPr="00D15884" w:rsidRDefault="0058032E" w:rsidP="00B62AE4">
      <w:pPr>
        <w:pStyle w:val="Nincstrkz"/>
        <w:rPr>
          <w:rFonts w:cs="Times New Roman"/>
        </w:rPr>
      </w:pPr>
      <w:r w:rsidRPr="000149DA">
        <w:rPr>
          <w:rFonts w:cs="Times New Roman"/>
        </w:rPr>
        <w:t>OGYI-T-23787/03</w:t>
      </w:r>
      <w:r w:rsidR="000149DA" w:rsidRPr="000149DA">
        <w:rPr>
          <w:rFonts w:cs="Times New Roman"/>
        </w:rPr>
        <w:tab/>
      </w:r>
      <w:r w:rsidRPr="000149DA">
        <w:rPr>
          <w:rFonts w:cs="Times New Roman"/>
        </w:rPr>
        <w:t>60×1</w:t>
      </w:r>
      <w:r w:rsidRPr="000149DA">
        <w:rPr>
          <w:rFonts w:cs="Times New Roman"/>
        </w:rPr>
        <w:tab/>
      </w:r>
      <w:r w:rsidRPr="00D15884">
        <w:rPr>
          <w:rFonts w:cs="Times New Roman"/>
        </w:rPr>
        <w:t xml:space="preserve">PVC/PE/PVDC//Al </w:t>
      </w:r>
      <w:r w:rsidR="00E247F1">
        <w:rPr>
          <w:rFonts w:cs="Times New Roman"/>
        </w:rPr>
        <w:t>adagonként perforált</w:t>
      </w:r>
      <w:r w:rsidRPr="00D15884">
        <w:rPr>
          <w:rFonts w:cs="Times New Roman"/>
        </w:rPr>
        <w:t xml:space="preserve"> buborékcsomagolásban</w:t>
      </w:r>
    </w:p>
    <w:p w14:paraId="74DE62B8" w14:textId="77777777" w:rsidR="0058032E" w:rsidRPr="000149DA" w:rsidRDefault="0058032E" w:rsidP="00B62AE4">
      <w:pPr>
        <w:pStyle w:val="Nincstrkz"/>
        <w:rPr>
          <w:rFonts w:cs="Times New Roman"/>
        </w:rPr>
      </w:pPr>
    </w:p>
    <w:p w14:paraId="5E185547" w14:textId="77777777" w:rsidR="00B62AE4" w:rsidRPr="00B50EA7" w:rsidRDefault="00B62AE4" w:rsidP="00B62AE4">
      <w:pPr>
        <w:pStyle w:val="Nincstrkz"/>
        <w:rPr>
          <w:rFonts w:cs="Times New Roman"/>
        </w:rPr>
      </w:pPr>
    </w:p>
    <w:p w14:paraId="668C6D8A" w14:textId="1D239620" w:rsidR="00B62AE4" w:rsidRPr="000149DA" w:rsidRDefault="0077456F" w:rsidP="007D7A48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9.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2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FORGALOMBA</w:t>
      </w:r>
      <w:r w:rsidR="00B62AE4" w:rsidRPr="000149DA">
        <w:rPr>
          <w:rFonts w:cs="Times New Roman"/>
          <w:b/>
          <w:bCs/>
          <w:spacing w:val="-20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HOZATALI</w:t>
      </w:r>
      <w:r w:rsidR="00B62AE4" w:rsidRPr="000149DA">
        <w:rPr>
          <w:rFonts w:cs="Times New Roman"/>
          <w:b/>
          <w:bCs/>
          <w:spacing w:val="-2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ENGEDÉLY</w:t>
      </w:r>
      <w:r w:rsidR="00B62AE4" w:rsidRPr="000149DA">
        <w:rPr>
          <w:rFonts w:cs="Times New Roman"/>
          <w:b/>
          <w:bCs/>
          <w:spacing w:val="-2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ELSŐ</w:t>
      </w:r>
      <w:r w:rsidR="00B62AE4" w:rsidRPr="000149DA">
        <w:rPr>
          <w:rFonts w:cs="Times New Roman"/>
          <w:b/>
          <w:bCs/>
          <w:spacing w:val="-2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KIADÁSÁNAK/ MEGÚJÍTÁSÁNAK</w:t>
      </w:r>
      <w:r w:rsidR="00B62AE4" w:rsidRPr="000149DA">
        <w:rPr>
          <w:rFonts w:cs="Times New Roman"/>
          <w:b/>
          <w:bCs/>
          <w:spacing w:val="-3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DÁTUMA</w:t>
      </w:r>
    </w:p>
    <w:p w14:paraId="345344CA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7982C44F" w14:textId="76402469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 xml:space="preserve">A forgalomba hozatali engedély első kiadásának dátuma: </w:t>
      </w:r>
      <w:r w:rsidR="0058032E" w:rsidRPr="000149DA">
        <w:rPr>
          <w:rFonts w:cs="Times New Roman"/>
          <w:w w:val="105"/>
        </w:rPr>
        <w:t>2020. december 3.</w:t>
      </w:r>
    </w:p>
    <w:p w14:paraId="4F48297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E6B6B3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9FDAEB2" w14:textId="427DF0B5" w:rsidR="00B62AE4" w:rsidRPr="000149DA" w:rsidRDefault="00F14D76" w:rsidP="00F14D76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10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SZÖVEG ELLENŐRZÉSÉNEK</w:t>
      </w:r>
      <w:r w:rsidR="00B62AE4" w:rsidRPr="000149DA">
        <w:rPr>
          <w:rFonts w:cs="Times New Roman"/>
          <w:b/>
          <w:bCs/>
          <w:spacing w:val="-7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DÁTUMA</w:t>
      </w:r>
    </w:p>
    <w:p w14:paraId="3423AA99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4E925D79" w14:textId="0993D8F4" w:rsidR="002D64FD" w:rsidRPr="000149DA" w:rsidRDefault="00A07B70">
      <w:r w:rsidRPr="000149DA">
        <w:t>202</w:t>
      </w:r>
      <w:r w:rsidR="0013248E">
        <w:t>6</w:t>
      </w:r>
      <w:r w:rsidRPr="000149DA">
        <w:t>.</w:t>
      </w:r>
      <w:r w:rsidR="000D71CE" w:rsidRPr="000149DA">
        <w:t xml:space="preserve"> </w:t>
      </w:r>
      <w:r w:rsidR="0013248E">
        <w:t>január 28</w:t>
      </w:r>
      <w:r w:rsidR="000D71CE" w:rsidRPr="000149DA">
        <w:t>.</w:t>
      </w:r>
    </w:p>
    <w:sectPr w:rsidR="002D64FD" w:rsidRPr="000149DA" w:rsidSect="0063279A">
      <w:headerReference w:type="default" r:id="rId8"/>
      <w:footerReference w:type="first" r:id="rId9"/>
      <w:pgSz w:w="11906" w:h="16838" w:code="9"/>
      <w:pgMar w:top="1134" w:right="1418" w:bottom="1134" w:left="1418" w:header="56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EFE72" w14:textId="77777777" w:rsidR="00D22E87" w:rsidRDefault="00D22E87" w:rsidP="00023B78">
      <w:r>
        <w:separator/>
      </w:r>
    </w:p>
  </w:endnote>
  <w:endnote w:type="continuationSeparator" w:id="0">
    <w:p w14:paraId="2A16E3F2" w14:textId="77777777" w:rsidR="00D22E87" w:rsidRDefault="00D22E87" w:rsidP="0002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5F7A9" w14:textId="07F6CA52" w:rsidR="00091260" w:rsidRPr="00471CDF" w:rsidRDefault="00560BD7">
    <w:pPr>
      <w:pStyle w:val="llb"/>
      <w:rPr>
        <w:sz w:val="18"/>
        <w:szCs w:val="18"/>
      </w:rPr>
    </w:pPr>
    <w:r>
      <w:rPr>
        <w:sz w:val="18"/>
        <w:szCs w:val="18"/>
      </w:rPr>
      <w:t>NNGYK/ETGY/3587</w:t>
    </w:r>
    <w:r w:rsidRPr="00560BD7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25679" w14:textId="77777777" w:rsidR="00D22E87" w:rsidRDefault="00D22E87" w:rsidP="00023B78">
      <w:r>
        <w:separator/>
      </w:r>
    </w:p>
  </w:footnote>
  <w:footnote w:type="continuationSeparator" w:id="0">
    <w:p w14:paraId="234DE4E2" w14:textId="77777777" w:rsidR="00D22E87" w:rsidRDefault="00D22E87" w:rsidP="0002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21563" w14:textId="0ACECA6D" w:rsidR="00091260" w:rsidRPr="00023B78" w:rsidRDefault="00091260" w:rsidP="00A6130C">
    <w:pPr>
      <w:pStyle w:val="lfej"/>
      <w:tabs>
        <w:tab w:val="clear" w:pos="4536"/>
        <w:tab w:val="center" w:pos="4535"/>
        <w:tab w:val="left" w:pos="5190"/>
      </w:tabs>
      <w:rPr>
        <w:sz w:val="20"/>
        <w:szCs w:val="20"/>
      </w:rPr>
    </w:pPr>
    <w:r>
      <w:tab/>
    </w:r>
    <w:sdt>
      <w:sdtPr>
        <w:id w:val="213934889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Pr="00023B78">
          <w:rPr>
            <w:sz w:val="20"/>
            <w:szCs w:val="20"/>
          </w:rPr>
          <w:fldChar w:fldCharType="begin"/>
        </w:r>
        <w:r w:rsidRPr="00023B78">
          <w:rPr>
            <w:sz w:val="20"/>
            <w:szCs w:val="20"/>
          </w:rPr>
          <w:instrText>PAGE   \* MERGEFORMAT</w:instrText>
        </w:r>
        <w:r w:rsidRPr="00023B78">
          <w:rPr>
            <w:sz w:val="20"/>
            <w:szCs w:val="20"/>
          </w:rPr>
          <w:fldChar w:fldCharType="separate"/>
        </w:r>
        <w:r w:rsidR="005872DE">
          <w:rPr>
            <w:noProof/>
            <w:sz w:val="20"/>
            <w:szCs w:val="20"/>
          </w:rPr>
          <w:t>32</w:t>
        </w:r>
        <w:r w:rsidRPr="00023B78">
          <w:rPr>
            <w:sz w:val="20"/>
            <w:szCs w:val="2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7A37"/>
    <w:multiLevelType w:val="hybridMultilevel"/>
    <w:tmpl w:val="C4160078"/>
    <w:lvl w:ilvl="0" w:tplc="482E6016">
      <w:start w:val="7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0"/>
        <w:szCs w:val="20"/>
        <w:lang w:val="hu-HU" w:eastAsia="hu-HU" w:bidi="hu-HU"/>
      </w:rPr>
    </w:lvl>
    <w:lvl w:ilvl="1" w:tplc="A844D17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0230674A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0A8258B8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E53A5EEE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4E64D2DE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1C00AE2E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940DD3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70CA7D2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24E69"/>
    <w:multiLevelType w:val="hybridMultilevel"/>
    <w:tmpl w:val="B3E4C848"/>
    <w:lvl w:ilvl="0" w:tplc="1FCE85D6">
      <w:start w:val="3"/>
      <w:numFmt w:val="decimal"/>
      <w:lvlText w:val="%1."/>
      <w:lvlJc w:val="left"/>
      <w:pPr>
        <w:ind w:left="2487" w:hanging="360"/>
      </w:pPr>
      <w:rPr>
        <w:rFonts w:cstheme="minorBidi"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777AA"/>
    <w:multiLevelType w:val="hybridMultilevel"/>
    <w:tmpl w:val="FE78C5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D3AB4"/>
    <w:multiLevelType w:val="hybridMultilevel"/>
    <w:tmpl w:val="9FCE3B06"/>
    <w:lvl w:ilvl="0" w:tplc="D1D2EFF4">
      <w:start w:val="3"/>
      <w:numFmt w:val="decimal"/>
      <w:lvlText w:val="%1."/>
      <w:lvlJc w:val="left"/>
      <w:pPr>
        <w:ind w:left="1625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1C121ED2">
      <w:numFmt w:val="bullet"/>
      <w:lvlText w:val="•"/>
      <w:lvlJc w:val="left"/>
      <w:pPr>
        <w:ind w:left="2501" w:hanging="207"/>
      </w:pPr>
      <w:rPr>
        <w:rFonts w:hint="default"/>
        <w:lang w:val="hu-HU" w:eastAsia="hu-HU" w:bidi="hu-HU"/>
      </w:rPr>
    </w:lvl>
    <w:lvl w:ilvl="2" w:tplc="E74253D8">
      <w:numFmt w:val="bullet"/>
      <w:lvlText w:val="•"/>
      <w:lvlJc w:val="left"/>
      <w:pPr>
        <w:ind w:left="3377" w:hanging="207"/>
      </w:pPr>
      <w:rPr>
        <w:rFonts w:hint="default"/>
        <w:lang w:val="hu-HU" w:eastAsia="hu-HU" w:bidi="hu-HU"/>
      </w:rPr>
    </w:lvl>
    <w:lvl w:ilvl="3" w:tplc="0EB4594E">
      <w:numFmt w:val="bullet"/>
      <w:lvlText w:val="•"/>
      <w:lvlJc w:val="left"/>
      <w:pPr>
        <w:ind w:left="4253" w:hanging="207"/>
      </w:pPr>
      <w:rPr>
        <w:rFonts w:hint="default"/>
        <w:lang w:val="hu-HU" w:eastAsia="hu-HU" w:bidi="hu-HU"/>
      </w:rPr>
    </w:lvl>
    <w:lvl w:ilvl="4" w:tplc="565C8ADA">
      <w:numFmt w:val="bullet"/>
      <w:lvlText w:val="•"/>
      <w:lvlJc w:val="left"/>
      <w:pPr>
        <w:ind w:left="5129" w:hanging="207"/>
      </w:pPr>
      <w:rPr>
        <w:rFonts w:hint="default"/>
        <w:lang w:val="hu-HU" w:eastAsia="hu-HU" w:bidi="hu-HU"/>
      </w:rPr>
    </w:lvl>
    <w:lvl w:ilvl="5" w:tplc="6A5A9610">
      <w:numFmt w:val="bullet"/>
      <w:lvlText w:val="•"/>
      <w:lvlJc w:val="left"/>
      <w:pPr>
        <w:ind w:left="6005" w:hanging="207"/>
      </w:pPr>
      <w:rPr>
        <w:rFonts w:hint="default"/>
        <w:lang w:val="hu-HU" w:eastAsia="hu-HU" w:bidi="hu-HU"/>
      </w:rPr>
    </w:lvl>
    <w:lvl w:ilvl="6" w:tplc="58DC808E">
      <w:numFmt w:val="bullet"/>
      <w:lvlText w:val="•"/>
      <w:lvlJc w:val="left"/>
      <w:pPr>
        <w:ind w:left="6881" w:hanging="207"/>
      </w:pPr>
      <w:rPr>
        <w:rFonts w:hint="default"/>
        <w:lang w:val="hu-HU" w:eastAsia="hu-HU" w:bidi="hu-HU"/>
      </w:rPr>
    </w:lvl>
    <w:lvl w:ilvl="7" w:tplc="4906C484">
      <w:numFmt w:val="bullet"/>
      <w:lvlText w:val="•"/>
      <w:lvlJc w:val="left"/>
      <w:pPr>
        <w:ind w:left="7757" w:hanging="207"/>
      </w:pPr>
      <w:rPr>
        <w:rFonts w:hint="default"/>
        <w:lang w:val="hu-HU" w:eastAsia="hu-HU" w:bidi="hu-HU"/>
      </w:rPr>
    </w:lvl>
    <w:lvl w:ilvl="8" w:tplc="A8C29026">
      <w:numFmt w:val="bullet"/>
      <w:lvlText w:val="•"/>
      <w:lvlJc w:val="left"/>
      <w:pPr>
        <w:ind w:left="8633" w:hanging="207"/>
      </w:pPr>
      <w:rPr>
        <w:rFonts w:hint="default"/>
        <w:lang w:val="hu-HU" w:eastAsia="hu-HU" w:bidi="hu-HU"/>
      </w:rPr>
    </w:lvl>
  </w:abstractNum>
  <w:abstractNum w:abstractNumId="5" w15:restartNumberingAfterBreak="0">
    <w:nsid w:val="1D52102A"/>
    <w:multiLevelType w:val="hybridMultilevel"/>
    <w:tmpl w:val="817CD412"/>
    <w:lvl w:ilvl="0" w:tplc="2F183414">
      <w:numFmt w:val="bullet"/>
      <w:lvlText w:val="*"/>
      <w:lvlJc w:val="left"/>
      <w:pPr>
        <w:ind w:left="3531" w:hanging="128"/>
      </w:pPr>
      <w:rPr>
        <w:rFonts w:hint="default"/>
        <w:w w:val="99"/>
        <w:lang w:val="hu-HU" w:eastAsia="hu-HU" w:bidi="hu-HU"/>
      </w:rPr>
    </w:lvl>
    <w:lvl w:ilvl="1" w:tplc="4530BB76">
      <w:numFmt w:val="bullet"/>
      <w:lvlText w:val="•"/>
      <w:lvlJc w:val="left"/>
      <w:pPr>
        <w:ind w:left="4441" w:hanging="128"/>
      </w:pPr>
      <w:rPr>
        <w:rFonts w:hint="default"/>
        <w:lang w:val="hu-HU" w:eastAsia="hu-HU" w:bidi="hu-HU"/>
      </w:rPr>
    </w:lvl>
    <w:lvl w:ilvl="2" w:tplc="17125516">
      <w:numFmt w:val="bullet"/>
      <w:lvlText w:val="•"/>
      <w:lvlJc w:val="left"/>
      <w:pPr>
        <w:ind w:left="5343" w:hanging="128"/>
      </w:pPr>
      <w:rPr>
        <w:rFonts w:hint="default"/>
        <w:lang w:val="hu-HU" w:eastAsia="hu-HU" w:bidi="hu-HU"/>
      </w:rPr>
    </w:lvl>
    <w:lvl w:ilvl="3" w:tplc="C4A44C00">
      <w:numFmt w:val="bullet"/>
      <w:lvlText w:val="•"/>
      <w:lvlJc w:val="left"/>
      <w:pPr>
        <w:ind w:left="6245" w:hanging="128"/>
      </w:pPr>
      <w:rPr>
        <w:rFonts w:hint="default"/>
        <w:lang w:val="hu-HU" w:eastAsia="hu-HU" w:bidi="hu-HU"/>
      </w:rPr>
    </w:lvl>
    <w:lvl w:ilvl="4" w:tplc="F480676A">
      <w:numFmt w:val="bullet"/>
      <w:lvlText w:val="•"/>
      <w:lvlJc w:val="left"/>
      <w:pPr>
        <w:ind w:left="7147" w:hanging="128"/>
      </w:pPr>
      <w:rPr>
        <w:rFonts w:hint="default"/>
        <w:lang w:val="hu-HU" w:eastAsia="hu-HU" w:bidi="hu-HU"/>
      </w:rPr>
    </w:lvl>
    <w:lvl w:ilvl="5" w:tplc="D3F870C4">
      <w:numFmt w:val="bullet"/>
      <w:lvlText w:val="•"/>
      <w:lvlJc w:val="left"/>
      <w:pPr>
        <w:ind w:left="8049" w:hanging="128"/>
      </w:pPr>
      <w:rPr>
        <w:rFonts w:hint="default"/>
        <w:lang w:val="hu-HU" w:eastAsia="hu-HU" w:bidi="hu-HU"/>
      </w:rPr>
    </w:lvl>
    <w:lvl w:ilvl="6" w:tplc="B0B6C80A">
      <w:numFmt w:val="bullet"/>
      <w:lvlText w:val="•"/>
      <w:lvlJc w:val="left"/>
      <w:pPr>
        <w:ind w:left="8951" w:hanging="128"/>
      </w:pPr>
      <w:rPr>
        <w:rFonts w:hint="default"/>
        <w:lang w:val="hu-HU" w:eastAsia="hu-HU" w:bidi="hu-HU"/>
      </w:rPr>
    </w:lvl>
    <w:lvl w:ilvl="7" w:tplc="AF54C1C2">
      <w:numFmt w:val="bullet"/>
      <w:lvlText w:val="•"/>
      <w:lvlJc w:val="left"/>
      <w:pPr>
        <w:ind w:left="9853" w:hanging="128"/>
      </w:pPr>
      <w:rPr>
        <w:rFonts w:hint="default"/>
        <w:lang w:val="hu-HU" w:eastAsia="hu-HU" w:bidi="hu-HU"/>
      </w:rPr>
    </w:lvl>
    <w:lvl w:ilvl="8" w:tplc="CDE8CE7E">
      <w:numFmt w:val="bullet"/>
      <w:lvlText w:val="•"/>
      <w:lvlJc w:val="left"/>
      <w:pPr>
        <w:ind w:left="10755" w:hanging="128"/>
      </w:pPr>
      <w:rPr>
        <w:rFonts w:hint="default"/>
        <w:lang w:val="hu-HU" w:eastAsia="hu-HU" w:bidi="hu-HU"/>
      </w:rPr>
    </w:lvl>
  </w:abstractNum>
  <w:abstractNum w:abstractNumId="6" w15:restartNumberingAfterBreak="0">
    <w:nsid w:val="261E7475"/>
    <w:multiLevelType w:val="hybridMultilevel"/>
    <w:tmpl w:val="40E62748"/>
    <w:lvl w:ilvl="0" w:tplc="397A7E54">
      <w:start w:val="1"/>
      <w:numFmt w:val="decimal"/>
      <w:lvlText w:val="%1."/>
      <w:lvlJc w:val="left"/>
      <w:pPr>
        <w:ind w:left="1778" w:hanging="360"/>
      </w:pPr>
      <w:rPr>
        <w:rFonts w:hint="default"/>
        <w:w w:val="105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2BA0"/>
    <w:multiLevelType w:val="hybridMultilevel"/>
    <w:tmpl w:val="B178F5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60BD4"/>
    <w:multiLevelType w:val="hybridMultilevel"/>
    <w:tmpl w:val="D49AA8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E5C61"/>
    <w:multiLevelType w:val="hybridMultilevel"/>
    <w:tmpl w:val="9AC03E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03312"/>
    <w:multiLevelType w:val="hybridMultilevel"/>
    <w:tmpl w:val="1D04AAB8"/>
    <w:lvl w:ilvl="0" w:tplc="A468CC2A">
      <w:start w:val="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144C2"/>
    <w:multiLevelType w:val="hybridMultilevel"/>
    <w:tmpl w:val="187CC79E"/>
    <w:lvl w:ilvl="0" w:tplc="56F8CA86">
      <w:start w:val="8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56B2F"/>
    <w:multiLevelType w:val="hybridMultilevel"/>
    <w:tmpl w:val="89F6377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A127C"/>
    <w:multiLevelType w:val="hybridMultilevel"/>
    <w:tmpl w:val="173A8EAA"/>
    <w:lvl w:ilvl="0" w:tplc="4EE29A4E">
      <w:start w:val="4"/>
      <w:numFmt w:val="decimal"/>
      <w:lvlText w:val="%1."/>
      <w:lvlJc w:val="left"/>
      <w:pPr>
        <w:ind w:left="2487" w:hanging="360"/>
      </w:pPr>
      <w:rPr>
        <w:rFonts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4F6A672D"/>
    <w:multiLevelType w:val="hybridMultilevel"/>
    <w:tmpl w:val="0FC09BC4"/>
    <w:lvl w:ilvl="0" w:tplc="1E90BE3C">
      <w:start w:val="6"/>
      <w:numFmt w:val="decimal"/>
      <w:lvlText w:val="%1."/>
      <w:lvlJc w:val="left"/>
      <w:pPr>
        <w:ind w:left="6728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9DFEBEA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8804218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1D1E8C9C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DAB842A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2DB879A8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B498A702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5544ED0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32CC3D4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5" w15:restartNumberingAfterBreak="0">
    <w:nsid w:val="507C5847"/>
    <w:multiLevelType w:val="hybridMultilevel"/>
    <w:tmpl w:val="C8867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4ADD"/>
    <w:multiLevelType w:val="hybridMultilevel"/>
    <w:tmpl w:val="6E1EEB0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926335"/>
    <w:multiLevelType w:val="hybridMultilevel"/>
    <w:tmpl w:val="6DBC2D6E"/>
    <w:lvl w:ilvl="0" w:tplc="39062BCC">
      <w:start w:val="1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hu-HU" w:eastAsia="hu-HU" w:bidi="hu-HU"/>
      </w:rPr>
    </w:lvl>
    <w:lvl w:ilvl="1" w:tplc="911C5B5A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37EFDD4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560C88CE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CD2ED45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5DAAAC4C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85CED06A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1C96FC5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AECC6C00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5"/>
  </w:num>
  <w:num w:numId="5">
    <w:abstractNumId w:val="17"/>
  </w:num>
  <w:num w:numId="6">
    <w:abstractNumId w:val="6"/>
  </w:num>
  <w:num w:numId="7">
    <w:abstractNumId w:val="1"/>
  </w:num>
  <w:num w:numId="8">
    <w:abstractNumId w:val="8"/>
  </w:num>
  <w:num w:numId="9">
    <w:abstractNumId w:val="9"/>
  </w:num>
  <w:num w:numId="10">
    <w:abstractNumId w:val="15"/>
  </w:num>
  <w:num w:numId="11">
    <w:abstractNumId w:val="11"/>
  </w:num>
  <w:num w:numId="12">
    <w:abstractNumId w:val="16"/>
  </w:num>
  <w:num w:numId="13">
    <w:abstractNumId w:val="2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E4"/>
    <w:rsid w:val="000066F6"/>
    <w:rsid w:val="000149DA"/>
    <w:rsid w:val="0001675D"/>
    <w:rsid w:val="0002112C"/>
    <w:rsid w:val="000217C9"/>
    <w:rsid w:val="00023B78"/>
    <w:rsid w:val="000250E3"/>
    <w:rsid w:val="00026D63"/>
    <w:rsid w:val="0003285B"/>
    <w:rsid w:val="00041290"/>
    <w:rsid w:val="00045408"/>
    <w:rsid w:val="0005010D"/>
    <w:rsid w:val="00052B39"/>
    <w:rsid w:val="00053112"/>
    <w:rsid w:val="000535F0"/>
    <w:rsid w:val="00053B8E"/>
    <w:rsid w:val="00057C0E"/>
    <w:rsid w:val="00075CE0"/>
    <w:rsid w:val="000767AE"/>
    <w:rsid w:val="00091260"/>
    <w:rsid w:val="00094100"/>
    <w:rsid w:val="000A057E"/>
    <w:rsid w:val="000A4396"/>
    <w:rsid w:val="000B0C84"/>
    <w:rsid w:val="000B2230"/>
    <w:rsid w:val="000C40E6"/>
    <w:rsid w:val="000C6360"/>
    <w:rsid w:val="000D2908"/>
    <w:rsid w:val="000D626C"/>
    <w:rsid w:val="000D71CE"/>
    <w:rsid w:val="000E4128"/>
    <w:rsid w:val="000F0C2C"/>
    <w:rsid w:val="000F2EBE"/>
    <w:rsid w:val="000F3B95"/>
    <w:rsid w:val="0010001A"/>
    <w:rsid w:val="00107E00"/>
    <w:rsid w:val="001209AF"/>
    <w:rsid w:val="001222C3"/>
    <w:rsid w:val="00124B2C"/>
    <w:rsid w:val="001307B4"/>
    <w:rsid w:val="0013248E"/>
    <w:rsid w:val="00134AB9"/>
    <w:rsid w:val="001366BB"/>
    <w:rsid w:val="001503A2"/>
    <w:rsid w:val="00155D20"/>
    <w:rsid w:val="00156430"/>
    <w:rsid w:val="00156D2D"/>
    <w:rsid w:val="00157A32"/>
    <w:rsid w:val="001605B1"/>
    <w:rsid w:val="00161D38"/>
    <w:rsid w:val="001706DF"/>
    <w:rsid w:val="00172644"/>
    <w:rsid w:val="001754BC"/>
    <w:rsid w:val="00177F33"/>
    <w:rsid w:val="001802FC"/>
    <w:rsid w:val="001840F8"/>
    <w:rsid w:val="00190E11"/>
    <w:rsid w:val="001A3B0D"/>
    <w:rsid w:val="001A49A0"/>
    <w:rsid w:val="001B11AF"/>
    <w:rsid w:val="001B6608"/>
    <w:rsid w:val="001D2D35"/>
    <w:rsid w:val="001D499A"/>
    <w:rsid w:val="001E2378"/>
    <w:rsid w:val="001E2C32"/>
    <w:rsid w:val="001F3291"/>
    <w:rsid w:val="00202C59"/>
    <w:rsid w:val="00204888"/>
    <w:rsid w:val="00205DB7"/>
    <w:rsid w:val="00217E02"/>
    <w:rsid w:val="0022418A"/>
    <w:rsid w:val="002600EB"/>
    <w:rsid w:val="00262327"/>
    <w:rsid w:val="00286291"/>
    <w:rsid w:val="002A2AFA"/>
    <w:rsid w:val="002B011B"/>
    <w:rsid w:val="002B54E9"/>
    <w:rsid w:val="002C150B"/>
    <w:rsid w:val="002C7A51"/>
    <w:rsid w:val="002D0E06"/>
    <w:rsid w:val="002D1586"/>
    <w:rsid w:val="002D64FD"/>
    <w:rsid w:val="002E16CA"/>
    <w:rsid w:val="002E1A28"/>
    <w:rsid w:val="002E5D40"/>
    <w:rsid w:val="002F1A68"/>
    <w:rsid w:val="002F3CFE"/>
    <w:rsid w:val="003029C8"/>
    <w:rsid w:val="00304D8C"/>
    <w:rsid w:val="00326982"/>
    <w:rsid w:val="00326B05"/>
    <w:rsid w:val="00332D0C"/>
    <w:rsid w:val="00333671"/>
    <w:rsid w:val="00350B9F"/>
    <w:rsid w:val="0035314E"/>
    <w:rsid w:val="00354A0E"/>
    <w:rsid w:val="00357495"/>
    <w:rsid w:val="00360F15"/>
    <w:rsid w:val="0036253B"/>
    <w:rsid w:val="003746CF"/>
    <w:rsid w:val="003807B5"/>
    <w:rsid w:val="00387C2D"/>
    <w:rsid w:val="00396DD5"/>
    <w:rsid w:val="003A7EA3"/>
    <w:rsid w:val="003B3FD6"/>
    <w:rsid w:val="003B556C"/>
    <w:rsid w:val="003B67D5"/>
    <w:rsid w:val="003C5AB7"/>
    <w:rsid w:val="003C5E73"/>
    <w:rsid w:val="003D1531"/>
    <w:rsid w:val="003D56B9"/>
    <w:rsid w:val="003D5FDF"/>
    <w:rsid w:val="00403AAD"/>
    <w:rsid w:val="00403F49"/>
    <w:rsid w:val="00425521"/>
    <w:rsid w:val="00430258"/>
    <w:rsid w:val="00430FA3"/>
    <w:rsid w:val="004400C9"/>
    <w:rsid w:val="004506AF"/>
    <w:rsid w:val="00451F5E"/>
    <w:rsid w:val="0045461C"/>
    <w:rsid w:val="00463B31"/>
    <w:rsid w:val="00471CDF"/>
    <w:rsid w:val="0047354C"/>
    <w:rsid w:val="0048138C"/>
    <w:rsid w:val="00484EA9"/>
    <w:rsid w:val="00490277"/>
    <w:rsid w:val="004A1510"/>
    <w:rsid w:val="004A1F84"/>
    <w:rsid w:val="004A5A80"/>
    <w:rsid w:val="004A7AD2"/>
    <w:rsid w:val="004B45F8"/>
    <w:rsid w:val="004B5E4F"/>
    <w:rsid w:val="004B7E5C"/>
    <w:rsid w:val="004C106B"/>
    <w:rsid w:val="004C4646"/>
    <w:rsid w:val="004C63AE"/>
    <w:rsid w:val="004D219C"/>
    <w:rsid w:val="004D3967"/>
    <w:rsid w:val="004D723B"/>
    <w:rsid w:val="004E6ED7"/>
    <w:rsid w:val="004F20CF"/>
    <w:rsid w:val="00512E3A"/>
    <w:rsid w:val="005145C2"/>
    <w:rsid w:val="00517956"/>
    <w:rsid w:val="0052297A"/>
    <w:rsid w:val="00522CA0"/>
    <w:rsid w:val="00523F8D"/>
    <w:rsid w:val="00527894"/>
    <w:rsid w:val="00533685"/>
    <w:rsid w:val="005346CC"/>
    <w:rsid w:val="00535848"/>
    <w:rsid w:val="00542CE1"/>
    <w:rsid w:val="0054792A"/>
    <w:rsid w:val="00551850"/>
    <w:rsid w:val="00551B22"/>
    <w:rsid w:val="00560BD7"/>
    <w:rsid w:val="00570997"/>
    <w:rsid w:val="005716D0"/>
    <w:rsid w:val="0058032E"/>
    <w:rsid w:val="00583CB4"/>
    <w:rsid w:val="00584814"/>
    <w:rsid w:val="005872DE"/>
    <w:rsid w:val="00590472"/>
    <w:rsid w:val="005A0CDA"/>
    <w:rsid w:val="005A6B5B"/>
    <w:rsid w:val="005A7AEB"/>
    <w:rsid w:val="005B4014"/>
    <w:rsid w:val="005E69EC"/>
    <w:rsid w:val="005F06CD"/>
    <w:rsid w:val="00600B60"/>
    <w:rsid w:val="006163CF"/>
    <w:rsid w:val="00621D02"/>
    <w:rsid w:val="00626CAD"/>
    <w:rsid w:val="0063279A"/>
    <w:rsid w:val="00634A34"/>
    <w:rsid w:val="006462CC"/>
    <w:rsid w:val="0065470C"/>
    <w:rsid w:val="00657AEB"/>
    <w:rsid w:val="0066282E"/>
    <w:rsid w:val="00666BD9"/>
    <w:rsid w:val="0067322A"/>
    <w:rsid w:val="00674797"/>
    <w:rsid w:val="006769DA"/>
    <w:rsid w:val="006771F7"/>
    <w:rsid w:val="00677AC6"/>
    <w:rsid w:val="00680A5D"/>
    <w:rsid w:val="00680CAA"/>
    <w:rsid w:val="00683FF2"/>
    <w:rsid w:val="00684F45"/>
    <w:rsid w:val="0069068F"/>
    <w:rsid w:val="00695C9C"/>
    <w:rsid w:val="006A4200"/>
    <w:rsid w:val="006A5740"/>
    <w:rsid w:val="006A7699"/>
    <w:rsid w:val="006B1187"/>
    <w:rsid w:val="006B24F6"/>
    <w:rsid w:val="006B52B1"/>
    <w:rsid w:val="006D1177"/>
    <w:rsid w:val="006E1AEA"/>
    <w:rsid w:val="006E75C9"/>
    <w:rsid w:val="007006FF"/>
    <w:rsid w:val="00700D63"/>
    <w:rsid w:val="007015D3"/>
    <w:rsid w:val="00702E57"/>
    <w:rsid w:val="007032FE"/>
    <w:rsid w:val="0071046D"/>
    <w:rsid w:val="0071156E"/>
    <w:rsid w:val="00726D70"/>
    <w:rsid w:val="007332A2"/>
    <w:rsid w:val="00741DD5"/>
    <w:rsid w:val="00745F22"/>
    <w:rsid w:val="00752FDA"/>
    <w:rsid w:val="00757152"/>
    <w:rsid w:val="00766642"/>
    <w:rsid w:val="007711FF"/>
    <w:rsid w:val="00771F32"/>
    <w:rsid w:val="00771FF4"/>
    <w:rsid w:val="0077456F"/>
    <w:rsid w:val="00776872"/>
    <w:rsid w:val="00783915"/>
    <w:rsid w:val="0078582D"/>
    <w:rsid w:val="007A6105"/>
    <w:rsid w:val="007B65B4"/>
    <w:rsid w:val="007B7B61"/>
    <w:rsid w:val="007D4C4D"/>
    <w:rsid w:val="007D7A48"/>
    <w:rsid w:val="007E03AF"/>
    <w:rsid w:val="007E5354"/>
    <w:rsid w:val="007E58EC"/>
    <w:rsid w:val="007F1F9D"/>
    <w:rsid w:val="007F24BF"/>
    <w:rsid w:val="007F3244"/>
    <w:rsid w:val="008058E5"/>
    <w:rsid w:val="00822B30"/>
    <w:rsid w:val="00827D3D"/>
    <w:rsid w:val="008326BE"/>
    <w:rsid w:val="00836A0C"/>
    <w:rsid w:val="00847342"/>
    <w:rsid w:val="008537EF"/>
    <w:rsid w:val="0086172C"/>
    <w:rsid w:val="008646A2"/>
    <w:rsid w:val="00872402"/>
    <w:rsid w:val="00890FED"/>
    <w:rsid w:val="00891125"/>
    <w:rsid w:val="00897B11"/>
    <w:rsid w:val="008A238A"/>
    <w:rsid w:val="008A41E6"/>
    <w:rsid w:val="008A7ECA"/>
    <w:rsid w:val="008B282D"/>
    <w:rsid w:val="008B3781"/>
    <w:rsid w:val="008D3D74"/>
    <w:rsid w:val="008D4094"/>
    <w:rsid w:val="008D7580"/>
    <w:rsid w:val="008E1640"/>
    <w:rsid w:val="008F17BA"/>
    <w:rsid w:val="008F3AA8"/>
    <w:rsid w:val="008F6868"/>
    <w:rsid w:val="00902383"/>
    <w:rsid w:val="009041A3"/>
    <w:rsid w:val="00910D0F"/>
    <w:rsid w:val="00922899"/>
    <w:rsid w:val="009254EC"/>
    <w:rsid w:val="00942A4F"/>
    <w:rsid w:val="00942FD4"/>
    <w:rsid w:val="0094445F"/>
    <w:rsid w:val="00947E21"/>
    <w:rsid w:val="00956D6F"/>
    <w:rsid w:val="00963A3B"/>
    <w:rsid w:val="00965147"/>
    <w:rsid w:val="0096634F"/>
    <w:rsid w:val="009806D5"/>
    <w:rsid w:val="00980D96"/>
    <w:rsid w:val="0099324B"/>
    <w:rsid w:val="00995269"/>
    <w:rsid w:val="009B524B"/>
    <w:rsid w:val="009B5E6F"/>
    <w:rsid w:val="009B7668"/>
    <w:rsid w:val="009C50C2"/>
    <w:rsid w:val="009C5C55"/>
    <w:rsid w:val="009C769D"/>
    <w:rsid w:val="009D73DD"/>
    <w:rsid w:val="009E2BD1"/>
    <w:rsid w:val="009E7B2D"/>
    <w:rsid w:val="009F3201"/>
    <w:rsid w:val="009F3769"/>
    <w:rsid w:val="009F74AD"/>
    <w:rsid w:val="00A07B70"/>
    <w:rsid w:val="00A1416D"/>
    <w:rsid w:val="00A20F5A"/>
    <w:rsid w:val="00A31F4B"/>
    <w:rsid w:val="00A423FC"/>
    <w:rsid w:val="00A52167"/>
    <w:rsid w:val="00A52A56"/>
    <w:rsid w:val="00A55457"/>
    <w:rsid w:val="00A6130C"/>
    <w:rsid w:val="00A63678"/>
    <w:rsid w:val="00A6523A"/>
    <w:rsid w:val="00A707BE"/>
    <w:rsid w:val="00A72C97"/>
    <w:rsid w:val="00A72E73"/>
    <w:rsid w:val="00A763FA"/>
    <w:rsid w:val="00A9068E"/>
    <w:rsid w:val="00A94999"/>
    <w:rsid w:val="00A97D8D"/>
    <w:rsid w:val="00AA0A28"/>
    <w:rsid w:val="00AA465D"/>
    <w:rsid w:val="00AB77EB"/>
    <w:rsid w:val="00AB7F26"/>
    <w:rsid w:val="00AD265A"/>
    <w:rsid w:val="00AD388D"/>
    <w:rsid w:val="00AD5B8D"/>
    <w:rsid w:val="00AE0D16"/>
    <w:rsid w:val="00AE6A47"/>
    <w:rsid w:val="00AF1601"/>
    <w:rsid w:val="00AF7B58"/>
    <w:rsid w:val="00B02230"/>
    <w:rsid w:val="00B1313A"/>
    <w:rsid w:val="00B22E28"/>
    <w:rsid w:val="00B35F4F"/>
    <w:rsid w:val="00B40417"/>
    <w:rsid w:val="00B44192"/>
    <w:rsid w:val="00B50EA7"/>
    <w:rsid w:val="00B51AB0"/>
    <w:rsid w:val="00B52858"/>
    <w:rsid w:val="00B55001"/>
    <w:rsid w:val="00B57529"/>
    <w:rsid w:val="00B6039A"/>
    <w:rsid w:val="00B620DE"/>
    <w:rsid w:val="00B62AE4"/>
    <w:rsid w:val="00B75CD6"/>
    <w:rsid w:val="00B81555"/>
    <w:rsid w:val="00B85B35"/>
    <w:rsid w:val="00B8657F"/>
    <w:rsid w:val="00B873E5"/>
    <w:rsid w:val="00BA5797"/>
    <w:rsid w:val="00BB3C5B"/>
    <w:rsid w:val="00BB583F"/>
    <w:rsid w:val="00BB681C"/>
    <w:rsid w:val="00BD45FF"/>
    <w:rsid w:val="00C01267"/>
    <w:rsid w:val="00C07A58"/>
    <w:rsid w:val="00C20E3F"/>
    <w:rsid w:val="00C20E59"/>
    <w:rsid w:val="00C21019"/>
    <w:rsid w:val="00C3225F"/>
    <w:rsid w:val="00C43B7E"/>
    <w:rsid w:val="00C516C0"/>
    <w:rsid w:val="00C57591"/>
    <w:rsid w:val="00C57CEA"/>
    <w:rsid w:val="00C651C9"/>
    <w:rsid w:val="00C72379"/>
    <w:rsid w:val="00C77F20"/>
    <w:rsid w:val="00C831B7"/>
    <w:rsid w:val="00C87B7D"/>
    <w:rsid w:val="00C92A86"/>
    <w:rsid w:val="00C944A7"/>
    <w:rsid w:val="00C95011"/>
    <w:rsid w:val="00C968C6"/>
    <w:rsid w:val="00CA21AA"/>
    <w:rsid w:val="00CC4648"/>
    <w:rsid w:val="00CC55AF"/>
    <w:rsid w:val="00CD0E70"/>
    <w:rsid w:val="00CD641B"/>
    <w:rsid w:val="00CF2043"/>
    <w:rsid w:val="00CF3CED"/>
    <w:rsid w:val="00D04A35"/>
    <w:rsid w:val="00D126EC"/>
    <w:rsid w:val="00D13102"/>
    <w:rsid w:val="00D15884"/>
    <w:rsid w:val="00D22E87"/>
    <w:rsid w:val="00D27252"/>
    <w:rsid w:val="00D31D0F"/>
    <w:rsid w:val="00D34BC9"/>
    <w:rsid w:val="00D36798"/>
    <w:rsid w:val="00D42AFE"/>
    <w:rsid w:val="00D4726C"/>
    <w:rsid w:val="00D60484"/>
    <w:rsid w:val="00D60609"/>
    <w:rsid w:val="00D6140D"/>
    <w:rsid w:val="00D6697A"/>
    <w:rsid w:val="00D67737"/>
    <w:rsid w:val="00D72566"/>
    <w:rsid w:val="00D72B51"/>
    <w:rsid w:val="00D73F6B"/>
    <w:rsid w:val="00D86AA7"/>
    <w:rsid w:val="00D93737"/>
    <w:rsid w:val="00DA224F"/>
    <w:rsid w:val="00DA38E7"/>
    <w:rsid w:val="00DA3F3C"/>
    <w:rsid w:val="00DA7304"/>
    <w:rsid w:val="00DB6F9D"/>
    <w:rsid w:val="00DC6B8F"/>
    <w:rsid w:val="00DC7A73"/>
    <w:rsid w:val="00DD348A"/>
    <w:rsid w:val="00DE2B1F"/>
    <w:rsid w:val="00DE3480"/>
    <w:rsid w:val="00DE471E"/>
    <w:rsid w:val="00DE5910"/>
    <w:rsid w:val="00DE7F02"/>
    <w:rsid w:val="00DF0AF9"/>
    <w:rsid w:val="00DF3253"/>
    <w:rsid w:val="00DF3BFE"/>
    <w:rsid w:val="00DF5316"/>
    <w:rsid w:val="00DF5655"/>
    <w:rsid w:val="00DF6160"/>
    <w:rsid w:val="00E0157C"/>
    <w:rsid w:val="00E149FF"/>
    <w:rsid w:val="00E21A85"/>
    <w:rsid w:val="00E247F1"/>
    <w:rsid w:val="00E3204F"/>
    <w:rsid w:val="00E35C4F"/>
    <w:rsid w:val="00E5577F"/>
    <w:rsid w:val="00E55F3F"/>
    <w:rsid w:val="00E61459"/>
    <w:rsid w:val="00E64B38"/>
    <w:rsid w:val="00E65EE3"/>
    <w:rsid w:val="00E70E17"/>
    <w:rsid w:val="00E72F27"/>
    <w:rsid w:val="00E76409"/>
    <w:rsid w:val="00E9620D"/>
    <w:rsid w:val="00EA5134"/>
    <w:rsid w:val="00EB26D3"/>
    <w:rsid w:val="00EB7D13"/>
    <w:rsid w:val="00EC0774"/>
    <w:rsid w:val="00EC2711"/>
    <w:rsid w:val="00EC3759"/>
    <w:rsid w:val="00EC4D02"/>
    <w:rsid w:val="00ED2BDE"/>
    <w:rsid w:val="00EE4084"/>
    <w:rsid w:val="00EF58D5"/>
    <w:rsid w:val="00F00454"/>
    <w:rsid w:val="00F0168B"/>
    <w:rsid w:val="00F026BF"/>
    <w:rsid w:val="00F05534"/>
    <w:rsid w:val="00F056BD"/>
    <w:rsid w:val="00F11A29"/>
    <w:rsid w:val="00F12ECE"/>
    <w:rsid w:val="00F14D76"/>
    <w:rsid w:val="00F244FB"/>
    <w:rsid w:val="00F258B5"/>
    <w:rsid w:val="00F3552E"/>
    <w:rsid w:val="00F42E67"/>
    <w:rsid w:val="00F4787E"/>
    <w:rsid w:val="00F553B3"/>
    <w:rsid w:val="00F60CDB"/>
    <w:rsid w:val="00F61E47"/>
    <w:rsid w:val="00F74813"/>
    <w:rsid w:val="00FA143E"/>
    <w:rsid w:val="00FA262B"/>
    <w:rsid w:val="00FA2868"/>
    <w:rsid w:val="00FA6282"/>
    <w:rsid w:val="00FB0C88"/>
    <w:rsid w:val="00FB7E26"/>
    <w:rsid w:val="00FD2360"/>
    <w:rsid w:val="00FE3006"/>
    <w:rsid w:val="00FF3805"/>
    <w:rsid w:val="00F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29B8843"/>
  <w15:docId w15:val="{F702AD48-8D38-4414-A6DD-C19128AC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2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62AE4"/>
    <w:pPr>
      <w:ind w:left="212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62AE4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B62A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B62AE4"/>
    <w:rPr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B62AE4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Listaszerbekezds">
    <w:name w:val="List Paragraph"/>
    <w:basedOn w:val="Norml"/>
    <w:uiPriority w:val="1"/>
    <w:qFormat/>
    <w:rsid w:val="00B62AE4"/>
    <w:pPr>
      <w:ind w:left="746" w:hanging="535"/>
    </w:pPr>
  </w:style>
  <w:style w:type="paragraph" w:customStyle="1" w:styleId="TableParagraph">
    <w:name w:val="Table Paragraph"/>
    <w:basedOn w:val="Norml"/>
    <w:uiPriority w:val="1"/>
    <w:qFormat/>
    <w:rsid w:val="00B62AE4"/>
  </w:style>
  <w:style w:type="paragraph" w:styleId="Buborkszveg">
    <w:name w:val="Balloon Text"/>
    <w:basedOn w:val="Norml"/>
    <w:link w:val="BuborkszvegChar"/>
    <w:uiPriority w:val="99"/>
    <w:semiHidden/>
    <w:unhideWhenUsed/>
    <w:rsid w:val="00B62AE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2AE4"/>
    <w:rPr>
      <w:rFonts w:ascii="Segoe UI" w:eastAsia="Times New Roman" w:hAnsi="Segoe UI" w:cs="Segoe UI"/>
      <w:sz w:val="18"/>
      <w:szCs w:val="18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134AB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bidi="ar-SA"/>
    </w:rPr>
  </w:style>
  <w:style w:type="table" w:styleId="Rcsostblzat">
    <w:name w:val="Table Grid"/>
    <w:basedOn w:val="Normltblzat"/>
    <w:uiPriority w:val="39"/>
    <w:rsid w:val="004F2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DE2B1F"/>
    <w:pPr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customStyle="1" w:styleId="Default">
    <w:name w:val="Default"/>
    <w:rsid w:val="00B50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053B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3B8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53B8E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3B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53B8E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33</Pages>
  <Words>12956</Words>
  <Characters>89404</Characters>
  <Application>Microsoft Office Word</Application>
  <DocSecurity>0</DocSecurity>
  <Lines>745</Lines>
  <Paragraphs>204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102156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Ü.J.</dc:creator>
  <cp:lastModifiedBy>HU_OGYI_7.2</cp:lastModifiedBy>
  <cp:revision>93</cp:revision>
  <dcterms:created xsi:type="dcterms:W3CDTF">2022-09-05T09:15:00Z</dcterms:created>
  <dcterms:modified xsi:type="dcterms:W3CDTF">2026-03-09T13:16:00Z</dcterms:modified>
</cp:coreProperties>
</file>