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2C241" w14:textId="77777777" w:rsidR="00755989" w:rsidRPr="001D5B8D" w:rsidRDefault="00755989" w:rsidP="001D5B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1D5B8D">
        <w:rPr>
          <w:rFonts w:ascii="Times New Roman" w:hAnsi="Times New Roman"/>
          <w:b/>
          <w:bCs/>
        </w:rPr>
        <w:t>1.</w:t>
      </w:r>
      <w:r w:rsidRPr="001D5B8D">
        <w:rPr>
          <w:rFonts w:ascii="Times New Roman" w:hAnsi="Times New Roman"/>
          <w:b/>
          <w:bCs/>
        </w:rPr>
        <w:tab/>
        <w:t>A GYÓGYSZER NEVE</w:t>
      </w:r>
    </w:p>
    <w:p w14:paraId="716308E8" w14:textId="77777777" w:rsidR="00755989" w:rsidRPr="001D5B8D" w:rsidRDefault="00755989" w:rsidP="001D5B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F59AF8D" w14:textId="77777777" w:rsidR="00755989" w:rsidRPr="001D5B8D" w:rsidRDefault="00BF16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Rewellfem</w:t>
      </w:r>
      <w:r w:rsidR="006F7CE1" w:rsidRPr="001D5B8D">
        <w:rPr>
          <w:rFonts w:ascii="Times New Roman" w:hAnsi="Times New Roman"/>
          <w:color w:val="000000"/>
        </w:rPr>
        <w:t xml:space="preserve"> 10</w:t>
      </w:r>
      <w:r w:rsidR="004C5A4D" w:rsidRPr="001D5B8D">
        <w:rPr>
          <w:rFonts w:ascii="Times New Roman" w:hAnsi="Times New Roman"/>
          <w:color w:val="000000"/>
        </w:rPr>
        <w:t> </w:t>
      </w:r>
      <w:r w:rsidR="006F7CE1" w:rsidRPr="001D5B8D">
        <w:rPr>
          <w:rFonts w:ascii="Times New Roman" w:hAnsi="Times New Roman"/>
          <w:color w:val="000000"/>
        </w:rPr>
        <w:t>mikrogramm hüvelytabletta</w:t>
      </w:r>
    </w:p>
    <w:p w14:paraId="2EB0BD6B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D5F7BD3" w14:textId="77777777" w:rsidR="004C5A4D" w:rsidRPr="001D5B8D" w:rsidRDefault="004C5A4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31E3234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1D5B8D">
        <w:rPr>
          <w:rFonts w:ascii="Times New Roman" w:hAnsi="Times New Roman"/>
          <w:b/>
          <w:bCs/>
        </w:rPr>
        <w:t>2.</w:t>
      </w:r>
      <w:r w:rsidRPr="001D5B8D">
        <w:rPr>
          <w:rFonts w:ascii="Times New Roman" w:hAnsi="Times New Roman"/>
          <w:b/>
          <w:bCs/>
        </w:rPr>
        <w:tab/>
        <w:t>MINŐSÉGI ÉS MENNYISÉGI ÖSSZETÉTEL</w:t>
      </w:r>
    </w:p>
    <w:p w14:paraId="1878EBF4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200BB2A" w14:textId="77777777" w:rsidR="00831CCA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10</w:t>
      </w:r>
      <w:r w:rsidR="004C5A4D" w:rsidRPr="001D5B8D">
        <w:rPr>
          <w:rFonts w:ascii="Times New Roman" w:hAnsi="Times New Roman"/>
          <w:color w:val="000000"/>
        </w:rPr>
        <w:t> </w:t>
      </w:r>
      <w:r w:rsidRPr="001D5B8D">
        <w:rPr>
          <w:rFonts w:ascii="Times New Roman" w:hAnsi="Times New Roman"/>
          <w:color w:val="000000"/>
        </w:rPr>
        <w:t>mikrogramm ösztradiol</w:t>
      </w:r>
      <w:r w:rsidR="007520B1">
        <w:rPr>
          <w:rFonts w:ascii="Times New Roman" w:hAnsi="Times New Roman"/>
          <w:color w:val="000000"/>
        </w:rPr>
        <w:t>t tartalmaz</w:t>
      </w:r>
      <w:r w:rsidRPr="001D5B8D">
        <w:rPr>
          <w:rFonts w:ascii="Times New Roman" w:hAnsi="Times New Roman"/>
          <w:color w:val="000000"/>
        </w:rPr>
        <w:t xml:space="preserve"> (ösztradiol</w:t>
      </w:r>
      <w:r w:rsidR="004C5A4D" w:rsidRPr="001D5B8D">
        <w:rPr>
          <w:rFonts w:ascii="Times New Roman" w:hAnsi="Times New Roman"/>
          <w:color w:val="000000"/>
        </w:rPr>
        <w:t>-</w:t>
      </w:r>
      <w:r w:rsidRPr="001D5B8D">
        <w:rPr>
          <w:rFonts w:ascii="Times New Roman" w:hAnsi="Times New Roman"/>
          <w:color w:val="000000"/>
        </w:rPr>
        <w:t>hemihidrát formájában) hüvelytablettánként.</w:t>
      </w:r>
    </w:p>
    <w:p w14:paraId="21193E0F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06E8C68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A segédanyagok teljes listáját lásd a 6.1 pontban.</w:t>
      </w:r>
    </w:p>
    <w:p w14:paraId="0C0D4C26" w14:textId="77777777" w:rsidR="00B8638B" w:rsidRPr="001D5B8D" w:rsidRDefault="00B8638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52F0386" w14:textId="77777777" w:rsidR="00B8638B" w:rsidRPr="001D5B8D" w:rsidRDefault="00B8638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7A734F3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1D5B8D">
        <w:rPr>
          <w:rFonts w:ascii="Times New Roman" w:hAnsi="Times New Roman"/>
          <w:b/>
          <w:bCs/>
        </w:rPr>
        <w:t>3.</w:t>
      </w:r>
      <w:r w:rsidRPr="001D5B8D">
        <w:rPr>
          <w:rFonts w:ascii="Times New Roman" w:hAnsi="Times New Roman"/>
          <w:b/>
          <w:bCs/>
        </w:rPr>
        <w:tab/>
        <w:t>GYÓGYSZERFORMA</w:t>
      </w:r>
    </w:p>
    <w:p w14:paraId="54A71F20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A61E817" w14:textId="77777777" w:rsidR="00755989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Hüvelytabletta.</w:t>
      </w:r>
    </w:p>
    <w:p w14:paraId="09118F8D" w14:textId="77777777" w:rsidR="006F7CE1" w:rsidRPr="001D5B8D" w:rsidRDefault="006F7CE1" w:rsidP="007520B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 xml:space="preserve">Fehér, kerek, filmbevonatú tabletta, egyik oldalán „E” </w:t>
      </w:r>
      <w:r w:rsidR="007520B1" w:rsidRPr="007520B1">
        <w:rPr>
          <w:rFonts w:ascii="Times New Roman" w:hAnsi="Times New Roman"/>
          <w:color w:val="000000"/>
        </w:rPr>
        <w:t>mélynyomású jelöléssel ellátva</w:t>
      </w:r>
      <w:r w:rsidRPr="007520B1">
        <w:rPr>
          <w:rFonts w:ascii="Times New Roman" w:hAnsi="Times New Roman"/>
          <w:color w:val="000000"/>
        </w:rPr>
        <w:t>. A tabletta átmérője körülbelül 6</w:t>
      </w:r>
      <w:r w:rsidR="004C5A4D" w:rsidRPr="001D5B8D">
        <w:rPr>
          <w:rFonts w:ascii="Times New Roman" w:hAnsi="Times New Roman"/>
          <w:color w:val="000000"/>
        </w:rPr>
        <w:t> </w:t>
      </w:r>
      <w:r w:rsidRPr="001D5B8D">
        <w:rPr>
          <w:rFonts w:ascii="Times New Roman" w:hAnsi="Times New Roman"/>
          <w:color w:val="000000"/>
        </w:rPr>
        <w:t>mm.</w:t>
      </w:r>
    </w:p>
    <w:p w14:paraId="01BCDBDC" w14:textId="77777777" w:rsidR="004C5A4D" w:rsidRPr="001D5B8D" w:rsidRDefault="004C5A4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54B2CE9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006C401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1D5B8D">
        <w:rPr>
          <w:rFonts w:ascii="Times New Roman" w:hAnsi="Times New Roman"/>
          <w:b/>
          <w:bCs/>
        </w:rPr>
        <w:t>4.</w:t>
      </w:r>
      <w:r w:rsidRPr="001D5B8D">
        <w:rPr>
          <w:rFonts w:ascii="Times New Roman" w:hAnsi="Times New Roman"/>
          <w:b/>
          <w:bCs/>
        </w:rPr>
        <w:tab/>
        <w:t>KLINIKAI JELLEMZŐK</w:t>
      </w:r>
    </w:p>
    <w:p w14:paraId="4E9A57A5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2212365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4.1</w:t>
      </w:r>
      <w:r w:rsidRPr="001D5B8D">
        <w:rPr>
          <w:rFonts w:ascii="Times New Roman" w:hAnsi="Times New Roman"/>
          <w:b/>
          <w:bCs/>
          <w:color w:val="000000"/>
        </w:rPr>
        <w:tab/>
        <w:t>Terápiás javallatok</w:t>
      </w:r>
    </w:p>
    <w:p w14:paraId="1C5793FD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66D51086" w14:textId="77777777" w:rsidR="00755989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Az ösztrogénhiány okozta hüvelyi atrophia kezelésére a menopausán már túl lévő nőknél (lásd 5.1</w:t>
      </w:r>
      <w:r w:rsidR="007520B1">
        <w:rPr>
          <w:rFonts w:ascii="Times New Roman" w:hAnsi="Times New Roman"/>
          <w:color w:val="000000"/>
        </w:rPr>
        <w:t> </w:t>
      </w:r>
      <w:r w:rsidRPr="001D5B8D">
        <w:rPr>
          <w:rFonts w:ascii="Times New Roman" w:hAnsi="Times New Roman"/>
          <w:color w:val="000000"/>
        </w:rPr>
        <w:t>pont).</w:t>
      </w:r>
    </w:p>
    <w:p w14:paraId="16E7C6B0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4BE17E4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4.2</w:t>
      </w:r>
      <w:r w:rsidRPr="001D5B8D">
        <w:rPr>
          <w:rFonts w:ascii="Times New Roman" w:hAnsi="Times New Roman"/>
          <w:b/>
          <w:bCs/>
          <w:color w:val="000000"/>
        </w:rPr>
        <w:tab/>
        <w:t>Adagolás és alkalmazás</w:t>
      </w:r>
    </w:p>
    <w:p w14:paraId="1BA76A62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0A9024E" w14:textId="77777777" w:rsidR="00F52D46" w:rsidRPr="001D5B8D" w:rsidRDefault="00F52D46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="00BF16BA" w:rsidRPr="001D5B8D">
        <w:rPr>
          <w:rFonts w:ascii="Times New Roman" w:hAnsi="Times New Roman"/>
          <w:color w:val="000000"/>
        </w:rPr>
        <w:t>Rewellfem</w:t>
      </w:r>
      <w:r w:rsidRPr="001D5B8D">
        <w:rPr>
          <w:rFonts w:ascii="Times New Roman" w:hAnsi="Times New Roman"/>
          <w:color w:val="000000"/>
        </w:rPr>
        <w:t xml:space="preserve"> </w:t>
      </w:r>
      <w:r w:rsidRPr="001D5B8D">
        <w:rPr>
          <w:rFonts w:ascii="Times New Roman" w:hAnsi="Times New Roman"/>
        </w:rPr>
        <w:t>hysterectomi</w:t>
      </w:r>
      <w:r w:rsidR="007520B1">
        <w:rPr>
          <w:rFonts w:ascii="Times New Roman" w:hAnsi="Times New Roman"/>
        </w:rPr>
        <w:t>án átesett, illetve intakt uterusszal rendelkező</w:t>
      </w:r>
      <w:r w:rsidRPr="001D5B8D">
        <w:rPr>
          <w:rFonts w:ascii="Times New Roman" w:hAnsi="Times New Roman"/>
        </w:rPr>
        <w:t xml:space="preserve"> nőknél is alkalmazható.</w:t>
      </w:r>
    </w:p>
    <w:p w14:paraId="6ECA0F7F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8C17EF0" w14:textId="77777777" w:rsidR="00F52D46" w:rsidRPr="001D5B8D" w:rsidRDefault="00F52D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1D5B8D">
        <w:rPr>
          <w:rFonts w:ascii="Times New Roman" w:hAnsi="Times New Roman"/>
          <w:color w:val="000000"/>
          <w:u w:val="single"/>
        </w:rPr>
        <w:t>Adagolás</w:t>
      </w:r>
    </w:p>
    <w:p w14:paraId="122F8FB0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5A805E4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="00BF16BA" w:rsidRPr="001D5B8D">
        <w:rPr>
          <w:rFonts w:ascii="Times New Roman" w:hAnsi="Times New Roman"/>
          <w:color w:val="000000"/>
        </w:rPr>
        <w:t>Rewellfem</w:t>
      </w:r>
      <w:r w:rsidRPr="001D5B8D">
        <w:rPr>
          <w:rFonts w:ascii="Times New Roman" w:hAnsi="Times New Roman"/>
          <w:color w:val="000000"/>
        </w:rPr>
        <w:t>-</w:t>
      </w:r>
      <w:r w:rsidRPr="001D5B8D">
        <w:rPr>
          <w:rFonts w:ascii="Times New Roman" w:hAnsi="Times New Roman"/>
        </w:rPr>
        <w:t>terápia megkezdése előtt a hüvelyfertőzéseket kezelni kell.</w:t>
      </w:r>
    </w:p>
    <w:p w14:paraId="59F6C315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AA6F2DD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kezelés bármely tetszőleges napon elkezdhető.</w:t>
      </w:r>
    </w:p>
    <w:p w14:paraId="21BFFA41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CF04DA7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1D5B8D">
        <w:rPr>
          <w:rFonts w:ascii="Times New Roman" w:hAnsi="Times New Roman"/>
          <w:i/>
        </w:rPr>
        <w:t>Kezdő adag</w:t>
      </w:r>
    </w:p>
    <w:p w14:paraId="09DFE8CC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Napi 1 hüvelytabletta 2 hétig.</w:t>
      </w:r>
    </w:p>
    <w:p w14:paraId="6DF28783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C45AFA5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1D5B8D">
        <w:rPr>
          <w:rFonts w:ascii="Times New Roman" w:hAnsi="Times New Roman"/>
          <w:i/>
        </w:rPr>
        <w:t>Fenntartó adag</w:t>
      </w:r>
    </w:p>
    <w:p w14:paraId="686FF494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1 hüvelytabletta hetente kétszer.</w:t>
      </w:r>
    </w:p>
    <w:p w14:paraId="2A06AEFA" w14:textId="77777777" w:rsidR="00F52D46" w:rsidRPr="001D5B8D" w:rsidRDefault="00F52D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D738529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postmenopausalis tünetek kezelésének elkezdésére és folytatására a legalacsonyabb </w:t>
      </w:r>
      <w:r w:rsidR="007520B1">
        <w:rPr>
          <w:rFonts w:ascii="Times New Roman" w:hAnsi="Times New Roman"/>
        </w:rPr>
        <w:t>hatásos</w:t>
      </w:r>
      <w:r w:rsidR="007520B1" w:rsidRPr="001D5B8D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adagot kell alkalmazni</w:t>
      </w:r>
      <w:r w:rsidR="007520B1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a lehető legrövidebb ideig (lásd még 4.4 pont).</w:t>
      </w:r>
    </w:p>
    <w:p w14:paraId="33C855A7" w14:textId="77777777" w:rsidR="00F52D46" w:rsidRPr="001D5B8D" w:rsidRDefault="00F52D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78AC6C1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Nem ajánlott kiegészítő progesztagén alkalmazása olyan, hüvelyi alkalmazásra való</w:t>
      </w:r>
      <w:r w:rsidR="007520B1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ösztrogéntartalmú készítmény mellé – ilyen a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 xml:space="preserve"> is –, amelynél a szisztémás ösztrogénexpozíció a kezelés során a szokásos postmenopausalis tartományon</w:t>
      </w:r>
      <w:r w:rsidRPr="00632DBE">
        <w:rPr>
          <w:rFonts w:ascii="Times New Roman" w:hAnsi="Times New Roman"/>
          <w:bCs/>
        </w:rPr>
        <w:t xml:space="preserve"> </w:t>
      </w:r>
      <w:r w:rsidRPr="001D5B8D">
        <w:rPr>
          <w:rFonts w:ascii="Times New Roman" w:hAnsi="Times New Roman"/>
          <w:i/>
        </w:rPr>
        <w:t>belül</w:t>
      </w:r>
      <w:r w:rsidRPr="00632DBE">
        <w:rPr>
          <w:rFonts w:ascii="Times New Roman" w:hAnsi="Times New Roman"/>
          <w:bCs/>
        </w:rPr>
        <w:t xml:space="preserve"> </w:t>
      </w:r>
      <w:r w:rsidRPr="001D5B8D">
        <w:rPr>
          <w:rFonts w:ascii="Times New Roman" w:hAnsi="Times New Roman"/>
        </w:rPr>
        <w:t>marad (de lásd 4.4 pont „Endometrium</w:t>
      </w:r>
      <w:r w:rsidR="007520B1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hyperplasia és carcinoma).</w:t>
      </w:r>
    </w:p>
    <w:p w14:paraId="11F7A0D9" w14:textId="77777777" w:rsidR="008B0062" w:rsidRPr="001D5B8D" w:rsidRDefault="008B006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3E26A4A" w14:textId="77777777" w:rsidR="008B0062" w:rsidRPr="001D5B8D" w:rsidRDefault="008B006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Ha a beteg elfelejtett alkalmazni egy </w:t>
      </w:r>
      <w:r w:rsidR="00785640">
        <w:rPr>
          <w:rFonts w:ascii="Times New Roman" w:hAnsi="Times New Roman"/>
        </w:rPr>
        <w:t>adagot</w:t>
      </w:r>
      <w:r w:rsidRPr="001D5B8D">
        <w:rPr>
          <w:rFonts w:ascii="Times New Roman" w:hAnsi="Times New Roman"/>
        </w:rPr>
        <w:t>, azt azonnal pótolni kell, amint eszébe jut. Kétszeres adag alkalmazását kerülni kell.</w:t>
      </w:r>
    </w:p>
    <w:p w14:paraId="00148156" w14:textId="77777777" w:rsidR="008B0062" w:rsidRPr="001D5B8D" w:rsidRDefault="008B006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DB27BA9" w14:textId="77777777" w:rsidR="008B0062" w:rsidRDefault="008B006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1D5B8D">
        <w:rPr>
          <w:rFonts w:ascii="Times New Roman" w:hAnsi="Times New Roman"/>
          <w:color w:val="000000"/>
          <w:u w:val="single"/>
        </w:rPr>
        <w:t>Az alkalmazás módja</w:t>
      </w:r>
    </w:p>
    <w:p w14:paraId="333EDDCF" w14:textId="77777777" w:rsidR="00371C5F" w:rsidRPr="001D5B8D" w:rsidRDefault="00371C5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</w:p>
    <w:p w14:paraId="0DD02665" w14:textId="77777777" w:rsidR="002C5B7F" w:rsidRPr="001D5B8D" w:rsidRDefault="002C5B7F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 xml:space="preserve"> az applikátor segítségével intravagin</w:t>
      </w:r>
      <w:r w:rsidR="00785640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>lisan alkalmazandó</w:t>
      </w:r>
      <w:r w:rsidR="007472C2" w:rsidRPr="001D5B8D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mint lokális ösztrogénterápia.</w:t>
      </w:r>
    </w:p>
    <w:p w14:paraId="055D9C27" w14:textId="77777777" w:rsidR="008B0062" w:rsidRPr="001D5B8D" w:rsidRDefault="008B006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33C4521" w14:textId="77777777" w:rsidR="002C5B7F" w:rsidRPr="001D5B8D" w:rsidRDefault="002C5B7F" w:rsidP="00632DBE">
      <w:pPr>
        <w:keepNext/>
        <w:widowControl w:val="0"/>
        <w:suppressAutoHyphens/>
        <w:spacing w:after="0" w:line="240" w:lineRule="auto"/>
        <w:rPr>
          <w:rFonts w:ascii="Times New Roman" w:hAnsi="Times New Roman"/>
          <w:i/>
          <w:u w:val="single"/>
        </w:rPr>
      </w:pPr>
      <w:r w:rsidRPr="001D5B8D">
        <w:rPr>
          <w:rFonts w:ascii="Times New Roman" w:hAnsi="Times New Roman"/>
          <w:i/>
          <w:u w:val="single"/>
        </w:rPr>
        <w:lastRenderedPageBreak/>
        <w:t xml:space="preserve">A </w:t>
      </w:r>
      <w:r w:rsidR="00BF16BA" w:rsidRPr="001D5B8D">
        <w:rPr>
          <w:rFonts w:ascii="Times New Roman" w:hAnsi="Times New Roman"/>
          <w:i/>
          <w:u w:val="single"/>
        </w:rPr>
        <w:t>Rewellfem</w:t>
      </w:r>
      <w:r w:rsidRPr="001D5B8D">
        <w:rPr>
          <w:rFonts w:ascii="Times New Roman" w:hAnsi="Times New Roman"/>
          <w:i/>
          <w:u w:val="single"/>
        </w:rPr>
        <w:t xml:space="preserve"> alkalmazása:</w:t>
      </w:r>
    </w:p>
    <w:p w14:paraId="6A34EF55" w14:textId="77777777" w:rsidR="002C5B7F" w:rsidRPr="001D5B8D" w:rsidRDefault="002C5B7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1.</w:t>
      </w:r>
      <w:r w:rsidRPr="001D5B8D">
        <w:rPr>
          <w:rFonts w:ascii="Times New Roman" w:hAnsi="Times New Roman"/>
        </w:rPr>
        <w:tab/>
        <w:t>Az applikátort ki kell venni a</w:t>
      </w:r>
      <w:r w:rsidR="00291BBC" w:rsidRPr="001D5B8D">
        <w:rPr>
          <w:rFonts w:ascii="Times New Roman" w:hAnsi="Times New Roman"/>
        </w:rPr>
        <w:t xml:space="preserve"> </w:t>
      </w:r>
      <w:r w:rsidR="00124D2C" w:rsidRPr="001D5B8D">
        <w:rPr>
          <w:rFonts w:ascii="Times New Roman" w:hAnsi="Times New Roman"/>
        </w:rPr>
        <w:t>záró</w:t>
      </w:r>
      <w:r w:rsidR="00291BBC" w:rsidRPr="001D5B8D">
        <w:rPr>
          <w:rFonts w:ascii="Times New Roman" w:hAnsi="Times New Roman"/>
        </w:rPr>
        <w:t>fóliából</w:t>
      </w:r>
      <w:r w:rsidRPr="001D5B8D">
        <w:rPr>
          <w:rFonts w:ascii="Times New Roman" w:hAnsi="Times New Roman"/>
        </w:rPr>
        <w:t>.</w:t>
      </w:r>
    </w:p>
    <w:p w14:paraId="0BCE82E6" w14:textId="77777777" w:rsidR="002C5B7F" w:rsidRPr="001D5B8D" w:rsidRDefault="002C5B7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2.</w:t>
      </w:r>
      <w:r w:rsidRPr="001D5B8D">
        <w:rPr>
          <w:rFonts w:ascii="Times New Roman" w:hAnsi="Times New Roman"/>
        </w:rPr>
        <w:tab/>
        <w:t>Az applikátort kézben fogva</w:t>
      </w:r>
      <w:r w:rsidR="00785640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a dugattyú</w:t>
      </w:r>
      <w:r w:rsidR="007472C2" w:rsidRPr="001D5B8D">
        <w:rPr>
          <w:rFonts w:ascii="Times New Roman" w:hAnsi="Times New Roman"/>
        </w:rPr>
        <w:t>já</w:t>
      </w:r>
      <w:r w:rsidRPr="001D5B8D">
        <w:rPr>
          <w:rFonts w:ascii="Times New Roman" w:hAnsi="Times New Roman"/>
        </w:rPr>
        <w:t>t ellenállásig hátra kell húzni. Egy hüvelytablettát kell pontosan az applikátorcső tablettatartójába helyezni (kiszélesedő vég).</w:t>
      </w:r>
    </w:p>
    <w:p w14:paraId="0C805E11" w14:textId="77777777" w:rsidR="002C5B7F" w:rsidRPr="001D5B8D" w:rsidRDefault="002C5B7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3.</w:t>
      </w:r>
      <w:r w:rsidRPr="001D5B8D">
        <w:rPr>
          <w:rFonts w:ascii="Times New Roman" w:hAnsi="Times New Roman"/>
        </w:rPr>
        <w:tab/>
        <w:t>Az applikátort óvatosan addig kell</w:t>
      </w:r>
      <w:r w:rsidR="007472C2" w:rsidRPr="001D5B8D">
        <w:rPr>
          <w:rFonts w:ascii="Times New Roman" w:hAnsi="Times New Roman"/>
        </w:rPr>
        <w:t xml:space="preserve"> a hüvelybe</w:t>
      </w:r>
      <w:r w:rsidRPr="001D5B8D">
        <w:rPr>
          <w:rFonts w:ascii="Times New Roman" w:hAnsi="Times New Roman"/>
        </w:rPr>
        <w:t xml:space="preserve"> bevezetni, amíg </w:t>
      </w:r>
      <w:r w:rsidR="00936504" w:rsidRPr="001D5B8D">
        <w:rPr>
          <w:rFonts w:ascii="Times New Roman" w:hAnsi="Times New Roman"/>
        </w:rPr>
        <w:t xml:space="preserve">enyhe </w:t>
      </w:r>
      <w:r w:rsidRPr="001D5B8D">
        <w:rPr>
          <w:rFonts w:ascii="Times New Roman" w:hAnsi="Times New Roman"/>
        </w:rPr>
        <w:t>ellenállás nem érezhető (8</w:t>
      </w:r>
      <w:r w:rsidRPr="001D5B8D">
        <w:rPr>
          <w:rFonts w:ascii="Times New Roman" w:hAnsi="Times New Roman"/>
        </w:rPr>
        <w:noBreakHyphen/>
        <w:t>10 cm).</w:t>
      </w:r>
    </w:p>
    <w:p w14:paraId="33A5619B" w14:textId="77777777" w:rsidR="007472C2" w:rsidRPr="001D5B8D" w:rsidRDefault="002C5B7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4.</w:t>
      </w:r>
      <w:r w:rsidRPr="001D5B8D">
        <w:rPr>
          <w:rFonts w:ascii="Times New Roman" w:hAnsi="Times New Roman"/>
        </w:rPr>
        <w:tab/>
      </w:r>
      <w:r w:rsidR="007472C2" w:rsidRPr="001D5B8D">
        <w:rPr>
          <w:rFonts w:ascii="Times New Roman" w:hAnsi="Times New Roman"/>
        </w:rPr>
        <w:t xml:space="preserve">A dugattyú ütközésig történő benyomásával </w:t>
      </w:r>
      <w:r w:rsidR="00785640">
        <w:rPr>
          <w:rFonts w:ascii="Times New Roman" w:hAnsi="Times New Roman"/>
        </w:rPr>
        <w:t xml:space="preserve">kell </w:t>
      </w:r>
      <w:r w:rsidR="007472C2" w:rsidRPr="001D5B8D">
        <w:rPr>
          <w:rFonts w:ascii="Times New Roman" w:hAnsi="Times New Roman"/>
        </w:rPr>
        <w:t>a hüvelytablett</w:t>
      </w:r>
      <w:r w:rsidR="00785640">
        <w:rPr>
          <w:rFonts w:ascii="Times New Roman" w:hAnsi="Times New Roman"/>
        </w:rPr>
        <w:t xml:space="preserve">át a hüvelybe </w:t>
      </w:r>
      <w:r w:rsidR="00351650">
        <w:rPr>
          <w:rFonts w:ascii="Times New Roman" w:hAnsi="Times New Roman"/>
        </w:rPr>
        <w:t>juttatni</w:t>
      </w:r>
      <w:r w:rsidR="007472C2" w:rsidRPr="001D5B8D">
        <w:rPr>
          <w:rFonts w:ascii="Times New Roman" w:hAnsi="Times New Roman"/>
        </w:rPr>
        <w:t>. A tabletta a hüvely falához fog tapadni, nem esik ki a beteg felállásakor vagy mozgás hatására.</w:t>
      </w:r>
    </w:p>
    <w:p w14:paraId="6A9E5052" w14:textId="77777777" w:rsidR="007472C2" w:rsidRPr="001D5B8D" w:rsidRDefault="007472C2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5.</w:t>
      </w:r>
      <w:r w:rsidRPr="001D5B8D">
        <w:rPr>
          <w:rFonts w:ascii="Times New Roman" w:hAnsi="Times New Roman"/>
        </w:rPr>
        <w:tab/>
        <w:t>Minden használat után – még a következő alkalmazás előtt – az applikátort meg kell tisztítani. Enyhén szappanos vízzel kell a csövet és a dugattyút is megmosni, majd meleg csapvízzel alaposan leöblíteni. Mindkét alkatrészt levegőn, tiszta felületen kell megszárítani (pl. papírtör</w:t>
      </w:r>
      <w:r w:rsidR="00785640">
        <w:rPr>
          <w:rFonts w:ascii="Times New Roman" w:hAnsi="Times New Roman"/>
        </w:rPr>
        <w:t>lőn</w:t>
      </w:r>
      <w:r w:rsidRPr="001D5B8D">
        <w:rPr>
          <w:rFonts w:ascii="Times New Roman" w:hAnsi="Times New Roman"/>
        </w:rPr>
        <w:t>).</w:t>
      </w:r>
    </w:p>
    <w:p w14:paraId="567C51E6" w14:textId="77777777" w:rsidR="007472C2" w:rsidRPr="001D5B8D" w:rsidRDefault="007472C2" w:rsidP="00545D6A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6.</w:t>
      </w:r>
      <w:r w:rsidRPr="001D5B8D">
        <w:rPr>
          <w:rFonts w:ascii="Times New Roman" w:hAnsi="Times New Roman"/>
        </w:rPr>
        <w:tab/>
        <w:t>Az applik</w:t>
      </w:r>
      <w:r w:rsidRPr="00545D6A">
        <w:rPr>
          <w:rFonts w:ascii="Times New Roman" w:hAnsi="Times New Roman"/>
        </w:rPr>
        <w:t xml:space="preserve">átort a </w:t>
      </w:r>
      <w:r w:rsidRPr="001D5B8D">
        <w:rPr>
          <w:rFonts w:ascii="Times New Roman" w:hAnsi="Times New Roman"/>
        </w:rPr>
        <w:t xml:space="preserve">doboz teljes kiürüléséig </w:t>
      </w:r>
      <w:r w:rsidR="00F92ED1" w:rsidRPr="001D5B8D">
        <w:rPr>
          <w:rFonts w:ascii="Times New Roman" w:hAnsi="Times New Roman"/>
        </w:rPr>
        <w:t xml:space="preserve">(18 vagy 24 alkalmazás) </w:t>
      </w:r>
      <w:r w:rsidRPr="001D5B8D">
        <w:rPr>
          <w:rFonts w:ascii="Times New Roman" w:hAnsi="Times New Roman"/>
        </w:rPr>
        <w:t>kell használatban tartani</w:t>
      </w:r>
      <w:r w:rsidR="00F92ED1" w:rsidRPr="001D5B8D">
        <w:rPr>
          <w:rFonts w:ascii="Times New Roman" w:hAnsi="Times New Roman"/>
        </w:rPr>
        <w:t>, majd ezt követően a háztartási hulladékkal kell kidobni.</w:t>
      </w:r>
    </w:p>
    <w:p w14:paraId="7A5EC4E9" w14:textId="77777777" w:rsidR="008B0062" w:rsidRPr="001D5B8D" w:rsidRDefault="008B006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0B50F1D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4.3</w:t>
      </w:r>
      <w:r w:rsidRPr="001D5B8D">
        <w:rPr>
          <w:rFonts w:ascii="Times New Roman" w:hAnsi="Times New Roman"/>
          <w:b/>
          <w:bCs/>
          <w:color w:val="000000"/>
        </w:rPr>
        <w:tab/>
        <w:t>Ellenjavallatok</w:t>
      </w:r>
    </w:p>
    <w:p w14:paraId="5D1197BC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6F6FD17" w14:textId="77777777" w:rsidR="00F92ED1" w:rsidRPr="001D5B8D" w:rsidRDefault="00F92ED1" w:rsidP="00632DBE">
      <w:pPr>
        <w:pStyle w:val="Listaszerbekezds"/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rPr>
          <w:rFonts w:ascii="Times New Roman" w:hAnsi="Times New Roman"/>
        </w:rPr>
      </w:pPr>
      <w:r w:rsidRPr="001D5B8D">
        <w:rPr>
          <w:rFonts w:ascii="Times New Roman" w:hAnsi="Times New Roman"/>
        </w:rPr>
        <w:t>Ismert, feltételezett vagy az anamnézisben szereplő emlőrák;</w:t>
      </w:r>
    </w:p>
    <w:p w14:paraId="4C57FD26" w14:textId="77777777" w:rsidR="00F92ED1" w:rsidRPr="001D5B8D" w:rsidRDefault="00F92ED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i</w:t>
      </w:r>
      <w:r w:rsidRPr="001D5B8D">
        <w:rPr>
          <w:rFonts w:ascii="Times New Roman" w:hAnsi="Times New Roman"/>
        </w:rPr>
        <w:t>smert, feltételezett vagy az anamnézisben szereplő ösztrogénfüggő malignus tumor (pl. endometriumrák);</w:t>
      </w:r>
    </w:p>
    <w:p w14:paraId="66977192" w14:textId="77777777" w:rsidR="00F92ED1" w:rsidRPr="001D5B8D" w:rsidRDefault="00F92ED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d</w:t>
      </w:r>
      <w:r w:rsidRPr="001D5B8D">
        <w:rPr>
          <w:rFonts w:ascii="Times New Roman" w:hAnsi="Times New Roman"/>
        </w:rPr>
        <w:t>iagnosztizálatlan genitális vérzés;</w:t>
      </w:r>
    </w:p>
    <w:p w14:paraId="5AECD4EA" w14:textId="77777777" w:rsidR="00F92ED1" w:rsidRPr="001D5B8D" w:rsidRDefault="00F92ED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k</w:t>
      </w:r>
      <w:r w:rsidRPr="001D5B8D">
        <w:rPr>
          <w:rFonts w:ascii="Times New Roman" w:hAnsi="Times New Roman"/>
        </w:rPr>
        <w:t>ezeletlen endometrium</w:t>
      </w:r>
      <w:r w:rsidR="00545D6A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hyperplasia;</w:t>
      </w:r>
    </w:p>
    <w:p w14:paraId="4AB0FDE8" w14:textId="77777777" w:rsidR="00F92ED1" w:rsidRPr="001D5B8D" w:rsidRDefault="00F92ED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k</w:t>
      </w:r>
      <w:r w:rsidRPr="001D5B8D">
        <w:rPr>
          <w:rFonts w:ascii="Times New Roman" w:hAnsi="Times New Roman"/>
        </w:rPr>
        <w:t>orábbi vagy jelenleg fennálló vénás thromboembolia (mélyvénás thrombosis, tüdőembólia);</w:t>
      </w:r>
    </w:p>
    <w:p w14:paraId="03099283" w14:textId="77777777" w:rsidR="00F92ED1" w:rsidRPr="001D5B8D" w:rsidRDefault="00F92ED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i</w:t>
      </w:r>
      <w:r w:rsidRPr="001D5B8D">
        <w:rPr>
          <w:rFonts w:ascii="Times New Roman" w:hAnsi="Times New Roman"/>
        </w:rPr>
        <w:t>smert thrombophili</w:t>
      </w:r>
      <w:r w:rsidR="00545D6A">
        <w:rPr>
          <w:rFonts w:ascii="Times New Roman" w:hAnsi="Times New Roman"/>
        </w:rPr>
        <w:t>á</w:t>
      </w:r>
      <w:r w:rsidRPr="001D5B8D">
        <w:rPr>
          <w:rFonts w:ascii="Times New Roman" w:hAnsi="Times New Roman"/>
        </w:rPr>
        <w:t>s betegségek [pl. protein</w:t>
      </w:r>
      <w:r w:rsidR="00545D6A">
        <w:rPr>
          <w:rFonts w:ascii="Times New Roman" w:hAnsi="Times New Roman"/>
        </w:rPr>
        <w:t> C</w:t>
      </w:r>
      <w:r w:rsidRPr="001D5B8D">
        <w:rPr>
          <w:rFonts w:ascii="Times New Roman" w:hAnsi="Times New Roman"/>
        </w:rPr>
        <w:t>-, protein</w:t>
      </w:r>
      <w:r w:rsidR="00545D6A">
        <w:rPr>
          <w:rFonts w:ascii="Times New Roman" w:hAnsi="Times New Roman"/>
        </w:rPr>
        <w:t> S</w:t>
      </w:r>
      <w:r w:rsidRPr="001D5B8D">
        <w:rPr>
          <w:rFonts w:ascii="Times New Roman" w:hAnsi="Times New Roman"/>
        </w:rPr>
        <w:t>- vagy antithrombin</w:t>
      </w:r>
      <w:r w:rsidR="00545D6A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hiány (lásd 4.4 pont)];</w:t>
      </w:r>
    </w:p>
    <w:p w14:paraId="21466E47" w14:textId="77777777" w:rsidR="00F92ED1" w:rsidRPr="001D5B8D" w:rsidRDefault="00F92ED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>ktív vagy nemrég történt arteri</w:t>
      </w:r>
      <w:r w:rsidR="00545D6A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>lis thromboemboli</w:t>
      </w:r>
      <w:r w:rsidR="00291BBC" w:rsidRPr="001D5B8D">
        <w:rPr>
          <w:rFonts w:ascii="Times New Roman" w:hAnsi="Times New Roman"/>
        </w:rPr>
        <w:t>á</w:t>
      </w:r>
      <w:r w:rsidRPr="001D5B8D">
        <w:rPr>
          <w:rFonts w:ascii="Times New Roman" w:hAnsi="Times New Roman"/>
        </w:rPr>
        <w:t>s betegség (pl. angina, myocardialis infarctus);</w:t>
      </w:r>
    </w:p>
    <w:p w14:paraId="26016699" w14:textId="77777777" w:rsidR="00F92ED1" w:rsidRPr="001D5B8D" w:rsidRDefault="00F92ED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>kut vagy az anamnézisben szereplő májbetegség, mindaddig, amíg a májfunkciós vizsgálatok eredményei nem térnek vissza a normál értékekre;</w:t>
      </w:r>
    </w:p>
    <w:p w14:paraId="1EC9CD08" w14:textId="77777777" w:rsidR="00F92ED1" w:rsidRPr="001D5B8D" w:rsidRDefault="00F92ED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 xml:space="preserve"> készítmény hatóanyagával vagy a 6.1 pontban felsorolt bármely segédanyagával szembeni túlérzékenység;</w:t>
      </w:r>
    </w:p>
    <w:p w14:paraId="3ECB7064" w14:textId="77777777" w:rsidR="00F92ED1" w:rsidRPr="001D5B8D" w:rsidRDefault="00F92ED1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p</w:t>
      </w:r>
      <w:r w:rsidRPr="001D5B8D">
        <w:rPr>
          <w:rFonts w:ascii="Times New Roman" w:hAnsi="Times New Roman"/>
        </w:rPr>
        <w:t>orphyria.</w:t>
      </w:r>
    </w:p>
    <w:p w14:paraId="1DA386EB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57BB000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4.4</w:t>
      </w:r>
      <w:r w:rsidRPr="001D5B8D">
        <w:rPr>
          <w:rFonts w:ascii="Times New Roman" w:hAnsi="Times New Roman"/>
          <w:b/>
          <w:bCs/>
          <w:color w:val="000000"/>
        </w:rPr>
        <w:tab/>
        <w:t>Különleges figyelmeztetések és az alkalmazással kapcsolatos óvintézkedések</w:t>
      </w:r>
    </w:p>
    <w:p w14:paraId="151BC68C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59C9477" w14:textId="77777777" w:rsidR="00F92ED1" w:rsidRPr="001D5B8D" w:rsidRDefault="00F92ED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Postmenopausalis tünetek kezelésére a hormonpótló kezelés csak olyan tünetek esetén kezdhető el, amelyek hátrányosan befolyásolják az életminőséget. Minden esetben</w:t>
      </w:r>
      <w:r w:rsidR="00545D6A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legalább évente</w:t>
      </w:r>
      <w:r w:rsidR="00545D6A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gondosan mérlegelni kell a kezelés kockázatait és előnyeit, és a hormonpótló kezelést csak addig szabad folytatni, amíg a kezelés előnyei felülmúlják a kockázatokat.</w:t>
      </w:r>
    </w:p>
    <w:p w14:paraId="42F88E7E" w14:textId="77777777" w:rsidR="00F92ED1" w:rsidRPr="001D5B8D" w:rsidRDefault="00F92ED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47F5BE0" w14:textId="77777777" w:rsidR="00F92ED1" w:rsidRPr="001D5B8D" w:rsidRDefault="00F92ED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  <w:u w:val="single"/>
        </w:rPr>
        <w:t>Orvosi vizsgálat/felülvizsgálat</w:t>
      </w:r>
    </w:p>
    <w:p w14:paraId="34F493FE" w14:textId="77777777" w:rsidR="00F92ED1" w:rsidRPr="001D5B8D" w:rsidRDefault="00F92ED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hormonpótló kezelés megkezdése vagy újrakezdése előtt fel kell venni a beteg teljes személyes és családi kórelőzményét. A fizikális vizsgálatokat (beleértve a kismedence és az emlők vizsgálatát) ennek, illetve az ellenjavallatoknak és a használatra vonatkozó figyelmeztetéseknek a figyelembevételével kell végezni. Javasolt a kezelés alatt a vizsgálatokat rendszeres időközönként elvégezni, amelyek gyakoriságát és </w:t>
      </w:r>
      <w:r w:rsidR="00EF73AF" w:rsidRPr="001D5B8D">
        <w:rPr>
          <w:rFonts w:ascii="Times New Roman" w:hAnsi="Times New Roman"/>
        </w:rPr>
        <w:t xml:space="preserve">természetét </w:t>
      </w:r>
      <w:r w:rsidRPr="001D5B8D">
        <w:rPr>
          <w:rFonts w:ascii="Times New Roman" w:hAnsi="Times New Roman"/>
        </w:rPr>
        <w:t>egyénenként kell meghatározni. A nőket tanácsokkal kell ellátni, hogy milyenek azok az emlőben észlelt elváltozások, amelyekről be kell számol</w:t>
      </w:r>
      <w:r w:rsidR="00EF73AF" w:rsidRPr="001D5B8D">
        <w:rPr>
          <w:rFonts w:ascii="Times New Roman" w:hAnsi="Times New Roman"/>
        </w:rPr>
        <w:t>niu</w:t>
      </w:r>
      <w:r w:rsidRPr="001D5B8D">
        <w:rPr>
          <w:rFonts w:ascii="Times New Roman" w:hAnsi="Times New Roman"/>
        </w:rPr>
        <w:t>k kezelőorvosuknak vagy a gondozásukat végző egészségügyi szakembernek (lásd alább</w:t>
      </w:r>
      <w:r w:rsidR="00545D6A">
        <w:rPr>
          <w:rFonts w:ascii="Times New Roman" w:hAnsi="Times New Roman"/>
        </w:rPr>
        <w:t>:</w:t>
      </w:r>
      <w:r w:rsidRPr="001D5B8D">
        <w:rPr>
          <w:rFonts w:ascii="Times New Roman" w:hAnsi="Times New Roman"/>
        </w:rPr>
        <w:t xml:space="preserve"> „Emlőrák”). A vizsgálatokat </w:t>
      </w:r>
      <w:r w:rsidR="00545D6A">
        <w:rPr>
          <w:rFonts w:ascii="Times New Roman" w:hAnsi="Times New Roman"/>
        </w:rPr>
        <w:t>–</w:t>
      </w:r>
      <w:r w:rsidRPr="001D5B8D">
        <w:rPr>
          <w:rFonts w:ascii="Times New Roman" w:hAnsi="Times New Roman"/>
        </w:rPr>
        <w:t xml:space="preserve"> beleértve a megfelelő képalkotó eljárásokat</w:t>
      </w:r>
      <w:r w:rsidR="00EF73AF" w:rsidRPr="001D5B8D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pl. a mammográfiát is </w:t>
      </w:r>
      <w:r w:rsidR="00545D6A">
        <w:rPr>
          <w:rFonts w:ascii="Times New Roman" w:hAnsi="Times New Roman"/>
        </w:rPr>
        <w:t>–</w:t>
      </w:r>
      <w:r w:rsidRPr="001D5B8D">
        <w:rPr>
          <w:rFonts w:ascii="Times New Roman" w:hAnsi="Times New Roman"/>
        </w:rPr>
        <w:t xml:space="preserve"> az egyén klinikai állapotának megfelelően módosított</w:t>
      </w:r>
      <w:r w:rsidR="00545D6A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jelenleg elfogadott szűrési gyakorlat szerint kell végezni.</w:t>
      </w:r>
    </w:p>
    <w:p w14:paraId="25DE352B" w14:textId="77777777" w:rsidR="00F92ED1" w:rsidRPr="001D5B8D" w:rsidRDefault="00F92ED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 xml:space="preserve"> farmakokinetikai profilja azt mutatja, hogy a kezelés alatt nagyon alacsony az ösztradiol szisztémás abszorpciója (lásd 5.2 pont), mindemellett </w:t>
      </w:r>
      <w:r w:rsidR="00545D6A">
        <w:rPr>
          <w:rFonts w:ascii="Times New Roman" w:hAnsi="Times New Roman"/>
        </w:rPr>
        <w:t>–</w:t>
      </w:r>
      <w:r w:rsidRPr="001D5B8D">
        <w:rPr>
          <w:rFonts w:ascii="Times New Roman" w:hAnsi="Times New Roman"/>
        </w:rPr>
        <w:t xml:space="preserve"> mivel egy hormonpótló készítményről van szó</w:t>
      </w:r>
      <w:r w:rsidR="00EF73AF" w:rsidRPr="001D5B8D">
        <w:rPr>
          <w:rFonts w:ascii="Times New Roman" w:hAnsi="Times New Roman"/>
        </w:rPr>
        <w:t xml:space="preserve"> </w:t>
      </w:r>
      <w:r w:rsidR="00545D6A">
        <w:rPr>
          <w:rFonts w:ascii="Times New Roman" w:hAnsi="Times New Roman"/>
        </w:rPr>
        <w:t>–</w:t>
      </w:r>
      <w:r w:rsidRPr="001D5B8D">
        <w:rPr>
          <w:rFonts w:ascii="Times New Roman" w:hAnsi="Times New Roman"/>
        </w:rPr>
        <w:t xml:space="preserve"> a következőket figyelembe </w:t>
      </w:r>
      <w:r w:rsidR="00EF73AF" w:rsidRPr="001D5B8D">
        <w:rPr>
          <w:rFonts w:ascii="Times New Roman" w:hAnsi="Times New Roman"/>
        </w:rPr>
        <w:t xml:space="preserve">kell </w:t>
      </w:r>
      <w:r w:rsidRPr="001D5B8D">
        <w:rPr>
          <w:rFonts w:ascii="Times New Roman" w:hAnsi="Times New Roman"/>
        </w:rPr>
        <w:t>venni, különösen a gyógyszer hosszan</w:t>
      </w:r>
      <w:r w:rsidR="00545D6A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tartó vagy ismételt alkalmazásakor.</w:t>
      </w:r>
    </w:p>
    <w:p w14:paraId="58AA6772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C4F5C6E" w14:textId="77777777" w:rsidR="00EF73AF" w:rsidRPr="001D5B8D" w:rsidRDefault="00EF73AF" w:rsidP="00632DBE">
      <w:pPr>
        <w:keepNext/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lastRenderedPageBreak/>
        <w:t>Ellenőrzést igénylő állapotok</w:t>
      </w:r>
    </w:p>
    <w:p w14:paraId="2B999D89" w14:textId="77777777" w:rsidR="00EF73AF" w:rsidRPr="001D5B8D" w:rsidRDefault="00EF73AF" w:rsidP="00632DBE">
      <w:pPr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Ha az alább felsoroltak bármelyike fennáll, vagy már előzőleg előfordult és/vagy súlyosbodott terhesség</w:t>
      </w:r>
      <w:r w:rsidR="00545D6A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illetve egy előző hormonkezelés alatt, a beteget fokozott gondossággal kell ellenőrizni. Figyelembe kell venni, hogy ezek a</w:t>
      </w:r>
      <w:r w:rsidR="0039666D" w:rsidRPr="001D5B8D">
        <w:rPr>
          <w:rFonts w:ascii="Times New Roman" w:hAnsi="Times New Roman"/>
        </w:rPr>
        <w:t>z állapotok</w:t>
      </w:r>
      <w:r w:rsidRPr="001D5B8D">
        <w:rPr>
          <w:rFonts w:ascii="Times New Roman" w:hAnsi="Times New Roman"/>
        </w:rPr>
        <w:t xml:space="preserve"> az ösztrogénkezelés alatt kiújulhatnak vagy súlyosbodhatnak:</w:t>
      </w:r>
    </w:p>
    <w:p w14:paraId="3F3D65BD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l</w:t>
      </w:r>
      <w:r w:rsidRPr="001D5B8D">
        <w:rPr>
          <w:rFonts w:ascii="Times New Roman" w:hAnsi="Times New Roman"/>
        </w:rPr>
        <w:t>eiomyoma (méhfibrómák) vagy endometriosis</w:t>
      </w:r>
      <w:r w:rsidR="0039666D" w:rsidRPr="001D5B8D">
        <w:rPr>
          <w:rFonts w:ascii="Times New Roman" w:hAnsi="Times New Roman"/>
        </w:rPr>
        <w:t>;</w:t>
      </w:r>
    </w:p>
    <w:p w14:paraId="3174DCC0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t</w:t>
      </w:r>
      <w:r w:rsidRPr="001D5B8D">
        <w:rPr>
          <w:rFonts w:ascii="Times New Roman" w:hAnsi="Times New Roman"/>
        </w:rPr>
        <w:t>hromboemboli</w:t>
      </w:r>
      <w:r w:rsidR="00291BBC" w:rsidRPr="001D5B8D">
        <w:rPr>
          <w:rFonts w:ascii="Times New Roman" w:hAnsi="Times New Roman"/>
        </w:rPr>
        <w:t>á</w:t>
      </w:r>
      <w:r w:rsidRPr="001D5B8D">
        <w:rPr>
          <w:rFonts w:ascii="Times New Roman" w:hAnsi="Times New Roman"/>
        </w:rPr>
        <w:t>s elváltozások rizikófaktorainak megléte (lásd alább)</w:t>
      </w:r>
      <w:r w:rsidR="0039666D" w:rsidRPr="001D5B8D">
        <w:rPr>
          <w:rFonts w:ascii="Times New Roman" w:hAnsi="Times New Roman"/>
        </w:rPr>
        <w:t>;</w:t>
      </w:r>
    </w:p>
    <w:p w14:paraId="6B458A76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ö</w:t>
      </w:r>
      <w:r w:rsidRPr="001D5B8D">
        <w:rPr>
          <w:rFonts w:ascii="Times New Roman" w:hAnsi="Times New Roman"/>
        </w:rPr>
        <w:t xml:space="preserve">sztrogénfüggő tumorok kockázati tényezői, pl. elsőfokú rokonnál emlőrák </w:t>
      </w:r>
      <w:r w:rsidR="0039666D" w:rsidRPr="001D5B8D">
        <w:rPr>
          <w:rFonts w:ascii="Times New Roman" w:hAnsi="Times New Roman"/>
        </w:rPr>
        <w:t>elő</w:t>
      </w:r>
      <w:r w:rsidRPr="001D5B8D">
        <w:rPr>
          <w:rFonts w:ascii="Times New Roman" w:hAnsi="Times New Roman"/>
        </w:rPr>
        <w:t>fordul</w:t>
      </w:r>
      <w:r w:rsidR="0039666D" w:rsidRPr="001D5B8D">
        <w:rPr>
          <w:rFonts w:ascii="Times New Roman" w:hAnsi="Times New Roman"/>
        </w:rPr>
        <w:t>ása;</w:t>
      </w:r>
    </w:p>
    <w:p w14:paraId="65DDD377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m</w:t>
      </w:r>
      <w:r w:rsidRPr="001D5B8D">
        <w:rPr>
          <w:rFonts w:ascii="Times New Roman" w:hAnsi="Times New Roman"/>
        </w:rPr>
        <w:t>agas vérnyomás</w:t>
      </w:r>
      <w:r w:rsidR="0039666D" w:rsidRPr="001D5B8D">
        <w:rPr>
          <w:rFonts w:ascii="Times New Roman" w:hAnsi="Times New Roman"/>
        </w:rPr>
        <w:t>;</w:t>
      </w:r>
    </w:p>
    <w:p w14:paraId="0A066D27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m</w:t>
      </w:r>
      <w:r w:rsidRPr="001D5B8D">
        <w:rPr>
          <w:rFonts w:ascii="Times New Roman" w:hAnsi="Times New Roman"/>
        </w:rPr>
        <w:t>ájbetegségek (pl. máj</w:t>
      </w:r>
      <w:r w:rsidR="00AC1A79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adenoma)</w:t>
      </w:r>
      <w:r w:rsidR="0039666D" w:rsidRPr="001D5B8D">
        <w:rPr>
          <w:rFonts w:ascii="Times New Roman" w:hAnsi="Times New Roman"/>
        </w:rPr>
        <w:t>;</w:t>
      </w:r>
    </w:p>
    <w:p w14:paraId="33961A61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d</w:t>
      </w:r>
      <w:r w:rsidRPr="001D5B8D">
        <w:rPr>
          <w:rFonts w:ascii="Times New Roman" w:hAnsi="Times New Roman"/>
        </w:rPr>
        <w:t>iabetes mellitus angiopathiával vagy anélkül</w:t>
      </w:r>
      <w:r w:rsidR="0039666D" w:rsidRPr="001D5B8D">
        <w:rPr>
          <w:rFonts w:ascii="Times New Roman" w:hAnsi="Times New Roman"/>
        </w:rPr>
        <w:t>;</w:t>
      </w:r>
    </w:p>
    <w:p w14:paraId="207ED155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c</w:t>
      </w:r>
      <w:r w:rsidRPr="001D5B8D">
        <w:rPr>
          <w:rFonts w:ascii="Times New Roman" w:hAnsi="Times New Roman"/>
        </w:rPr>
        <w:t>holelithiasis</w:t>
      </w:r>
      <w:r w:rsidR="0039666D" w:rsidRPr="001D5B8D">
        <w:rPr>
          <w:rFonts w:ascii="Times New Roman" w:hAnsi="Times New Roman"/>
        </w:rPr>
        <w:t>;</w:t>
      </w:r>
    </w:p>
    <w:p w14:paraId="3C317868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m</w:t>
      </w:r>
      <w:r w:rsidRPr="001D5B8D">
        <w:rPr>
          <w:rFonts w:ascii="Times New Roman" w:hAnsi="Times New Roman"/>
        </w:rPr>
        <w:t>igrén vagy (súlyos) fejfájás</w:t>
      </w:r>
      <w:r w:rsidR="0039666D" w:rsidRPr="001D5B8D">
        <w:rPr>
          <w:rFonts w:ascii="Times New Roman" w:hAnsi="Times New Roman"/>
        </w:rPr>
        <w:t>;</w:t>
      </w:r>
    </w:p>
    <w:p w14:paraId="50E4EF0B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s</w:t>
      </w:r>
      <w:r w:rsidRPr="001D5B8D">
        <w:rPr>
          <w:rFonts w:ascii="Times New Roman" w:hAnsi="Times New Roman"/>
        </w:rPr>
        <w:t>zisztémás lupus erythematosus</w:t>
      </w:r>
      <w:r w:rsidR="0039666D" w:rsidRPr="001D5B8D">
        <w:rPr>
          <w:rFonts w:ascii="Times New Roman" w:hAnsi="Times New Roman"/>
        </w:rPr>
        <w:t>;</w:t>
      </w:r>
    </w:p>
    <w:p w14:paraId="79B35AD9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e</w:t>
      </w:r>
      <w:r w:rsidRPr="001D5B8D">
        <w:rPr>
          <w:rFonts w:ascii="Times New Roman" w:hAnsi="Times New Roman"/>
        </w:rPr>
        <w:t>ndometrium</w:t>
      </w:r>
      <w:r w:rsidR="00AC1A79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hyperplasia a kórtörténetben (lásd alább)</w:t>
      </w:r>
      <w:r w:rsidR="0039666D" w:rsidRPr="001D5B8D">
        <w:rPr>
          <w:rFonts w:ascii="Times New Roman" w:hAnsi="Times New Roman"/>
        </w:rPr>
        <w:t>;</w:t>
      </w:r>
    </w:p>
    <w:p w14:paraId="70B13F93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e</w:t>
      </w:r>
      <w:r w:rsidRPr="001D5B8D">
        <w:rPr>
          <w:rFonts w:ascii="Times New Roman" w:hAnsi="Times New Roman"/>
        </w:rPr>
        <w:t>pilepszia</w:t>
      </w:r>
      <w:r w:rsidR="0039666D" w:rsidRPr="001D5B8D">
        <w:rPr>
          <w:rFonts w:ascii="Times New Roman" w:hAnsi="Times New Roman"/>
        </w:rPr>
        <w:t>;</w:t>
      </w:r>
    </w:p>
    <w:p w14:paraId="5AE0D746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>sztma</w:t>
      </w:r>
      <w:r w:rsidR="0039666D" w:rsidRPr="001D5B8D">
        <w:rPr>
          <w:rFonts w:ascii="Times New Roman" w:hAnsi="Times New Roman"/>
        </w:rPr>
        <w:t>;</w:t>
      </w:r>
    </w:p>
    <w:p w14:paraId="7EAF6F6B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o</w:t>
      </w:r>
      <w:r w:rsidRPr="001D5B8D">
        <w:rPr>
          <w:rFonts w:ascii="Times New Roman" w:hAnsi="Times New Roman"/>
        </w:rPr>
        <w:t>tosclerosis.</w:t>
      </w:r>
    </w:p>
    <w:p w14:paraId="2B5257A7" w14:textId="77777777" w:rsidR="00EF73AF" w:rsidRPr="001D5B8D" w:rsidRDefault="00EF73AF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</w:p>
    <w:p w14:paraId="10F97E35" w14:textId="77777777" w:rsidR="00EF73AF" w:rsidRPr="001D5B8D" w:rsidRDefault="00EF73AF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 xml:space="preserve"> farmakokinetikai profilja azt mutatja, hogy a kezelés alatt nagyon alacsony az ösztradiol szisztémás abszor</w:t>
      </w:r>
      <w:r w:rsidR="00291BBC" w:rsidRPr="001D5B8D">
        <w:rPr>
          <w:rFonts w:ascii="Times New Roman" w:hAnsi="Times New Roman"/>
        </w:rPr>
        <w:t>p</w:t>
      </w:r>
      <w:r w:rsidRPr="001D5B8D">
        <w:rPr>
          <w:rFonts w:ascii="Times New Roman" w:hAnsi="Times New Roman"/>
        </w:rPr>
        <w:t>ciója (lásd 5.2 pont). Emiatt a fenti állapotok kiújulása vagy súlyosbodása kevésbé valószínű, mint szisztémás ösztrogénkezelésnél.</w:t>
      </w:r>
    </w:p>
    <w:p w14:paraId="4E6B773E" w14:textId="77777777" w:rsidR="00EF73AF" w:rsidRPr="001D5B8D" w:rsidRDefault="00EF73A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BCA6403" w14:textId="77777777" w:rsidR="0039666D" w:rsidRPr="001D5B8D" w:rsidRDefault="0039666D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A kezelés azonnali leállításának indokai</w:t>
      </w:r>
    </w:p>
    <w:p w14:paraId="6E6B7C70" w14:textId="77777777" w:rsidR="0039666D" w:rsidRPr="001D5B8D" w:rsidRDefault="0039666D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kezelést le kell állítani abban az esetben, ha ellenjavallatot fedeznek fel, valamint az alábbi esetekben:</w:t>
      </w:r>
    </w:p>
    <w:p w14:paraId="2C91BB1E" w14:textId="77777777" w:rsidR="0039666D" w:rsidRPr="001D5B8D" w:rsidRDefault="0039666D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F97E59">
        <w:rPr>
          <w:rFonts w:ascii="Times New Roman" w:hAnsi="Times New Roman"/>
        </w:rPr>
        <w:t>s</w:t>
      </w:r>
      <w:r w:rsidRPr="001D5B8D">
        <w:rPr>
          <w:rFonts w:ascii="Times New Roman" w:hAnsi="Times New Roman"/>
        </w:rPr>
        <w:t>árgaság vagy a májfunkció romlása;</w:t>
      </w:r>
    </w:p>
    <w:p w14:paraId="6DC42D0F" w14:textId="77777777" w:rsidR="0039666D" w:rsidRPr="001D5B8D" w:rsidRDefault="0039666D">
      <w:pPr>
        <w:pStyle w:val="Felsorols"/>
        <w:widowControl w:val="0"/>
        <w:numPr>
          <w:ilvl w:val="0"/>
          <w:numId w:val="0"/>
        </w:numPr>
        <w:ind w:left="567" w:hanging="567"/>
        <w:rPr>
          <w:szCs w:val="22"/>
        </w:rPr>
      </w:pPr>
      <w:r w:rsidRPr="001D5B8D">
        <w:rPr>
          <w:szCs w:val="22"/>
        </w:rPr>
        <w:t>•</w:t>
      </w:r>
      <w:r w:rsidRPr="001D5B8D">
        <w:rPr>
          <w:szCs w:val="22"/>
        </w:rPr>
        <w:tab/>
      </w:r>
      <w:r w:rsidR="00F97E59">
        <w:rPr>
          <w:szCs w:val="22"/>
        </w:rPr>
        <w:t>a</w:t>
      </w:r>
      <w:r w:rsidRPr="001D5B8D">
        <w:rPr>
          <w:szCs w:val="22"/>
        </w:rPr>
        <w:t xml:space="preserve"> vérnyomás jelentős emelkedése;</w:t>
      </w:r>
    </w:p>
    <w:p w14:paraId="1A019D60" w14:textId="77777777" w:rsidR="0039666D" w:rsidRPr="001D5B8D" w:rsidRDefault="0039666D">
      <w:pPr>
        <w:pStyle w:val="Felsorols"/>
        <w:widowControl w:val="0"/>
        <w:numPr>
          <w:ilvl w:val="0"/>
          <w:numId w:val="0"/>
        </w:numPr>
        <w:ind w:left="567" w:hanging="567"/>
        <w:rPr>
          <w:szCs w:val="22"/>
        </w:rPr>
      </w:pPr>
      <w:r w:rsidRPr="001D5B8D">
        <w:rPr>
          <w:szCs w:val="22"/>
        </w:rPr>
        <w:t>•</w:t>
      </w:r>
      <w:r w:rsidRPr="001D5B8D">
        <w:rPr>
          <w:szCs w:val="22"/>
        </w:rPr>
        <w:tab/>
      </w:r>
      <w:r w:rsidR="00F97E59">
        <w:rPr>
          <w:szCs w:val="22"/>
        </w:rPr>
        <w:t>ú</w:t>
      </w:r>
      <w:r w:rsidRPr="001D5B8D">
        <w:rPr>
          <w:szCs w:val="22"/>
        </w:rPr>
        <w:t>j keletű, migrén típusú fejfájás;</w:t>
      </w:r>
    </w:p>
    <w:p w14:paraId="4AFF2857" w14:textId="77777777" w:rsidR="0039666D" w:rsidRPr="001D5B8D" w:rsidRDefault="0039666D">
      <w:pPr>
        <w:pStyle w:val="Felsorols"/>
        <w:widowControl w:val="0"/>
        <w:numPr>
          <w:ilvl w:val="0"/>
          <w:numId w:val="0"/>
        </w:numPr>
        <w:ind w:left="567" w:hanging="567"/>
        <w:rPr>
          <w:szCs w:val="22"/>
        </w:rPr>
      </w:pPr>
      <w:r w:rsidRPr="001D5B8D">
        <w:rPr>
          <w:szCs w:val="22"/>
        </w:rPr>
        <w:t>•</w:t>
      </w:r>
      <w:r w:rsidRPr="001D5B8D">
        <w:rPr>
          <w:szCs w:val="22"/>
        </w:rPr>
        <w:tab/>
      </w:r>
      <w:r w:rsidR="00F97E59">
        <w:rPr>
          <w:szCs w:val="22"/>
        </w:rPr>
        <w:t>t</w:t>
      </w:r>
      <w:r w:rsidRPr="001D5B8D">
        <w:rPr>
          <w:szCs w:val="22"/>
        </w:rPr>
        <w:t>erhesség.</w:t>
      </w:r>
    </w:p>
    <w:p w14:paraId="39BB81D9" w14:textId="77777777" w:rsidR="0039666D" w:rsidRPr="001D5B8D" w:rsidRDefault="0039666D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9713F6A" w14:textId="77777777" w:rsidR="0039666D" w:rsidRPr="001D5B8D" w:rsidRDefault="0039666D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Endometrium</w:t>
      </w:r>
      <w:r w:rsidR="00785640">
        <w:rPr>
          <w:rFonts w:ascii="Times New Roman" w:hAnsi="Times New Roman"/>
          <w:u w:val="single"/>
        </w:rPr>
        <w:t xml:space="preserve"> </w:t>
      </w:r>
      <w:r w:rsidRPr="001D5B8D">
        <w:rPr>
          <w:rFonts w:ascii="Times New Roman" w:hAnsi="Times New Roman"/>
          <w:u w:val="single"/>
        </w:rPr>
        <w:t>hyperplasia és carcinoma</w:t>
      </w:r>
    </w:p>
    <w:p w14:paraId="389AC0B1" w14:textId="77777777" w:rsidR="0039666D" w:rsidRPr="001D5B8D" w:rsidRDefault="0039666D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Azokat a</w:t>
      </w:r>
      <w:r w:rsidR="00AC1A79">
        <w:rPr>
          <w:rFonts w:ascii="Times New Roman" w:hAnsi="Times New Roman"/>
        </w:rPr>
        <w:t>z intakt uterusszal rendelkező</w:t>
      </w:r>
      <w:r w:rsidRPr="001D5B8D">
        <w:rPr>
          <w:rFonts w:ascii="Times New Roman" w:hAnsi="Times New Roman"/>
        </w:rPr>
        <w:t xml:space="preserve"> nőket, akiket korábban csak önmagában ösztrogénnel kezeltek, különösen gondosan kell kivizsgálni annak érdekében, hogy az endometrium esetleges hiperstimulációját vagy malignitását a </w:t>
      </w:r>
      <w:r w:rsidR="00BF16BA" w:rsidRPr="001D5B8D">
        <w:rPr>
          <w:rFonts w:ascii="Times New Roman" w:hAnsi="Times New Roman"/>
        </w:rPr>
        <w:t>Rewellfem</w:t>
      </w:r>
      <w:r w:rsidR="00AC1A79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terápia megkezdése előtt kizárják.</w:t>
      </w:r>
    </w:p>
    <w:p w14:paraId="23DF1175" w14:textId="77777777" w:rsidR="0039666D" w:rsidRPr="001D5B8D" w:rsidRDefault="0039666D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FAD7019" w14:textId="77777777" w:rsidR="0039666D" w:rsidRPr="001D5B8D" w:rsidRDefault="00AC1A79" w:rsidP="00AC1A79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AC1A79">
        <w:rPr>
          <w:rFonts w:ascii="Times New Roman" w:hAnsi="Times New Roman"/>
        </w:rPr>
        <w:t xml:space="preserve">Az intakt uterusszal rendelkező </w:t>
      </w:r>
      <w:r w:rsidR="0039666D" w:rsidRPr="00AC1A79">
        <w:rPr>
          <w:rFonts w:ascii="Times New Roman" w:hAnsi="Times New Roman"/>
        </w:rPr>
        <w:t>nőknél az endometrium</w:t>
      </w:r>
      <w:r>
        <w:rPr>
          <w:rFonts w:ascii="Times New Roman" w:hAnsi="Times New Roman"/>
        </w:rPr>
        <w:t xml:space="preserve"> </w:t>
      </w:r>
      <w:r w:rsidR="0039666D" w:rsidRPr="001D5B8D">
        <w:rPr>
          <w:rFonts w:ascii="Times New Roman" w:hAnsi="Times New Roman"/>
        </w:rPr>
        <w:t xml:space="preserve">hyperplasia és carcinoma kockázata fokozott, ha </w:t>
      </w:r>
      <w:r>
        <w:rPr>
          <w:rFonts w:ascii="Times New Roman" w:hAnsi="Times New Roman"/>
        </w:rPr>
        <w:t xml:space="preserve">szisztémásan, </w:t>
      </w:r>
      <w:r w:rsidR="0039666D" w:rsidRPr="001D5B8D">
        <w:rPr>
          <w:rFonts w:ascii="Times New Roman" w:hAnsi="Times New Roman"/>
        </w:rPr>
        <w:t xml:space="preserve">önmagában </w:t>
      </w:r>
      <w:r>
        <w:rPr>
          <w:rFonts w:ascii="Times New Roman" w:hAnsi="Times New Roman"/>
        </w:rPr>
        <w:t xml:space="preserve">adagolnak </w:t>
      </w:r>
      <w:r w:rsidR="0039666D" w:rsidRPr="001D5B8D">
        <w:rPr>
          <w:rFonts w:ascii="Times New Roman" w:hAnsi="Times New Roman"/>
        </w:rPr>
        <w:t>ösztrogént huzamosabb időn keresztül. Nem ajánlott kiegészítő progesztagén</w:t>
      </w:r>
      <w:r>
        <w:rPr>
          <w:rFonts w:ascii="Times New Roman" w:hAnsi="Times New Roman"/>
        </w:rPr>
        <w:t xml:space="preserve"> </w:t>
      </w:r>
      <w:r w:rsidR="0039666D" w:rsidRPr="001D5B8D">
        <w:rPr>
          <w:rFonts w:ascii="Times New Roman" w:hAnsi="Times New Roman"/>
        </w:rPr>
        <w:t>alkalmazás</w:t>
      </w:r>
      <w:r>
        <w:rPr>
          <w:rFonts w:ascii="Times New Roman" w:hAnsi="Times New Roman"/>
        </w:rPr>
        <w:t>a</w:t>
      </w:r>
      <w:r w:rsidR="0039666D" w:rsidRPr="001D5B8D">
        <w:rPr>
          <w:rFonts w:ascii="Times New Roman" w:hAnsi="Times New Roman"/>
        </w:rPr>
        <w:t xml:space="preserve"> olyan, hüvelyi alkalmazásra való ösztrogénkészítmény mellé – ilyen a </w:t>
      </w:r>
      <w:r w:rsidR="00BF16BA" w:rsidRPr="001D5B8D">
        <w:rPr>
          <w:rFonts w:ascii="Times New Roman" w:hAnsi="Times New Roman"/>
        </w:rPr>
        <w:t>Rewellfem</w:t>
      </w:r>
      <w:r w:rsidR="0039666D" w:rsidRPr="001D5B8D">
        <w:rPr>
          <w:rFonts w:ascii="Times New Roman" w:hAnsi="Times New Roman"/>
        </w:rPr>
        <w:t xml:space="preserve"> is – amelynél a szisztémás ösztrogénexpozíció a kezelés során a szokásos postmenopausalis tartományon</w:t>
      </w:r>
      <w:r w:rsidR="0039666D" w:rsidRPr="00632DBE">
        <w:rPr>
          <w:rFonts w:ascii="Times New Roman" w:hAnsi="Times New Roman"/>
          <w:bCs/>
        </w:rPr>
        <w:t xml:space="preserve"> </w:t>
      </w:r>
      <w:r w:rsidR="0039666D" w:rsidRPr="001D5B8D">
        <w:rPr>
          <w:rFonts w:ascii="Times New Roman" w:hAnsi="Times New Roman"/>
        </w:rPr>
        <w:t>belül marad.</w:t>
      </w:r>
    </w:p>
    <w:p w14:paraId="7BB24A91" w14:textId="77777777" w:rsidR="0039666D" w:rsidRPr="001D5B8D" w:rsidRDefault="0039666D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01E39491" w14:textId="77777777" w:rsidR="0039666D" w:rsidRPr="001D5B8D" w:rsidRDefault="0039666D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10 mikrogrammos ösztradiol</w:t>
      </w:r>
      <w:r w:rsidR="00AC1A79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hüvelytablettával való kezelés alatt kismértékű szisztémás abszorpció néhány betegnél előfordulhat, különösen az első két hét naponta egyszeri alkalmazása során. Mindazonáltal az átlagos plazma</w:t>
      </w:r>
      <w:r w:rsidR="00AC1A79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ösztradiolszint (C</w:t>
      </w:r>
      <w:r w:rsidRPr="001D5B8D">
        <w:rPr>
          <w:rFonts w:ascii="Times New Roman" w:hAnsi="Times New Roman"/>
          <w:vertAlign w:val="subscript"/>
        </w:rPr>
        <w:t>ave(0-24)</w:t>
      </w:r>
      <w:r w:rsidRPr="001D5B8D">
        <w:rPr>
          <w:rFonts w:ascii="Times New Roman" w:hAnsi="Times New Roman"/>
        </w:rPr>
        <w:t>) minden vizsgált napon, minden alanynál a szokásos postmenopausalis tartományon belül maradt (lásd 5.2 pont).</w:t>
      </w:r>
    </w:p>
    <w:p w14:paraId="12C723C5" w14:textId="77777777" w:rsidR="0039666D" w:rsidRPr="001D5B8D" w:rsidRDefault="0039666D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CB3ECAB" w14:textId="77777777" w:rsidR="0039666D" w:rsidRPr="001D5B8D" w:rsidRDefault="0039666D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 ösztrogén lokális</w:t>
      </w:r>
      <w:r w:rsidR="00AC1A79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hüvelyi alkalmazásának méhnyálkahártyára vonatkozó biztonságossága hosszútávú (több mint egy éves) vagy ismételt alkalmazás esetén bizonytalan. Ezért ismételt alkalmazás esetén legalább évente felül kell vizsgálni a kezelést, különös figyelmet fordítva az endometrium</w:t>
      </w:r>
      <w:r w:rsidR="00AC1A79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hyperplasia és carcinoma bármely tünetére.</w:t>
      </w:r>
    </w:p>
    <w:p w14:paraId="1D8B647E" w14:textId="77777777" w:rsidR="00EF73AF" w:rsidRPr="001D5B8D" w:rsidRDefault="00EF73A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79AFFBB" w14:textId="77777777" w:rsidR="00B97A0A" w:rsidRPr="001D5B8D" w:rsidRDefault="00B97A0A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Általános szabályként megállapítható, hogy az ösztrogénpótló kezelést nem szabad egy évnél hosszabb időszakra rendelni, csak akkor, ha más fizikális vizsgálatot szintén végeznek, beleértve a nőgyógyászati vizsgálatot is. Amennyiben a kezelés alatt bármikor áttöréses vagy pecsételő vérzés jelentkezik, az okot ki kell vizsgálni, beleértve az endometrium</w:t>
      </w:r>
      <w:r w:rsidR="00AC1A79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biopsziát is</w:t>
      </w:r>
      <w:r w:rsidR="00AC1A79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az endometrium rosszindulatú elváltozásának kizárása érdekében. A nők figyelmét fel kell hívni arra, hogy lépjenek </w:t>
      </w:r>
      <w:r w:rsidRPr="001D5B8D">
        <w:rPr>
          <w:rFonts w:ascii="Times New Roman" w:hAnsi="Times New Roman"/>
        </w:rPr>
        <w:lastRenderedPageBreak/>
        <w:t xml:space="preserve">kapcsolatba kezelőorvosukkal, amennyiben áttöréses vagy pecsételő vérzés jelentkezik a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>-kezelés során.</w:t>
      </w:r>
    </w:p>
    <w:p w14:paraId="6051671F" w14:textId="77777777" w:rsidR="00B97A0A" w:rsidRPr="001D5B8D" w:rsidRDefault="00B97A0A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DEE0753" w14:textId="77777777" w:rsidR="00B97A0A" w:rsidRPr="001D5B8D" w:rsidRDefault="00B97A0A" w:rsidP="006A52FC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Az önmagában csak ösztrogénnel történő stimuláció premalignus vagy malignus transzformációhoz vezethet az endometriosis maradványgócaiban. Ezért </w:t>
      </w:r>
      <w:r w:rsidR="006A52FC">
        <w:rPr>
          <w:rFonts w:ascii="Times New Roman" w:hAnsi="Times New Roman"/>
        </w:rPr>
        <w:t>elővigyázatossággal</w:t>
      </w:r>
      <w:r w:rsidR="006A52FC" w:rsidRPr="00FB1012">
        <w:rPr>
          <w:rFonts w:ascii="Times New Roman" w:hAnsi="Times New Roman"/>
        </w:rPr>
        <w:t xml:space="preserve"> </w:t>
      </w:r>
      <w:r w:rsidRPr="006A52FC">
        <w:rPr>
          <w:rFonts w:ascii="Times New Roman" w:hAnsi="Times New Roman"/>
        </w:rPr>
        <w:t xml:space="preserve">kell </w:t>
      </w:r>
      <w:r w:rsidRPr="001D5B8D">
        <w:rPr>
          <w:rFonts w:ascii="Times New Roman" w:hAnsi="Times New Roman"/>
        </w:rPr>
        <w:t xml:space="preserve">eljárni, amikor ezt a gyógyszert endometriosis miatt hysterectomizált nőknél alkalmazzák, különösen akkor, ha ismert </w:t>
      </w:r>
      <w:r w:rsidR="006A52FC">
        <w:rPr>
          <w:rFonts w:ascii="Times New Roman" w:hAnsi="Times New Roman"/>
        </w:rPr>
        <w:t>residualis</w:t>
      </w:r>
      <w:r w:rsidR="006A52FC" w:rsidRPr="001D5B8D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endometriosisuk van.</w:t>
      </w:r>
    </w:p>
    <w:p w14:paraId="1F9BC6AF" w14:textId="77777777" w:rsidR="00B97A0A" w:rsidRPr="001D5B8D" w:rsidRDefault="00B97A0A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621DEA6" w14:textId="77777777" w:rsidR="00B97A0A" w:rsidRPr="001D5B8D" w:rsidRDefault="00B97A0A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Az alábbi kockázatok a </w:t>
      </w:r>
      <w:r w:rsidRPr="001D5B8D">
        <w:rPr>
          <w:rFonts w:ascii="Times New Roman" w:hAnsi="Times New Roman"/>
          <w:i/>
          <w:u w:val="single"/>
        </w:rPr>
        <w:t>szisztémás</w:t>
      </w:r>
      <w:r w:rsidRPr="001D5B8D">
        <w:rPr>
          <w:rFonts w:ascii="Times New Roman" w:hAnsi="Times New Roman"/>
        </w:rPr>
        <w:t xml:space="preserve"> hormonpótló kezeléshez társulnak, és kisebb mértékűek olyan hüvelyi alkalmazásra való ösztrogénkészítmény mellett, amelynél a szisztémás ösztrogénexpozíció a kezelés során a szokásos postmenopausalis tartományon belül marad. Mindamellett ezeket tekintetbe kell venni a gyógyszer hosszan</w:t>
      </w:r>
      <w:r w:rsidR="006A52FC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tartó vagy ismételt alkalmazásakor</w:t>
      </w:r>
      <w:r w:rsidR="00166B26" w:rsidRPr="001D5B8D">
        <w:rPr>
          <w:rFonts w:ascii="Times New Roman" w:hAnsi="Times New Roman"/>
        </w:rPr>
        <w:t xml:space="preserve"> is</w:t>
      </w:r>
      <w:r w:rsidRPr="001D5B8D">
        <w:rPr>
          <w:rFonts w:ascii="Times New Roman" w:hAnsi="Times New Roman"/>
        </w:rPr>
        <w:t>.</w:t>
      </w:r>
    </w:p>
    <w:p w14:paraId="4C674D30" w14:textId="77777777" w:rsidR="00B97A0A" w:rsidRPr="001D5B8D" w:rsidRDefault="00B97A0A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208FDD5" w14:textId="77777777" w:rsidR="00DB0CD2" w:rsidRPr="00FB1012" w:rsidRDefault="00DB0CD2" w:rsidP="00DB0CD2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Emlőrák</w:t>
      </w:r>
    </w:p>
    <w:p w14:paraId="1DFEB497" w14:textId="77777777" w:rsidR="00DB0CD2" w:rsidRPr="00291BBC" w:rsidRDefault="00DB0CD2" w:rsidP="00DB0CD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5874E9">
        <w:rPr>
          <w:rFonts w:ascii="Times New Roman" w:hAnsi="Times New Roman"/>
        </w:rPr>
        <w:t>Egy nagy volumenű metaanalízisből származó epidemiológiai bizonyítékok arra utalnak, hogy a vagin</w:t>
      </w:r>
      <w:r w:rsidR="00466481">
        <w:rPr>
          <w:rFonts w:ascii="Times New Roman" w:hAnsi="Times New Roman"/>
        </w:rPr>
        <w:t>a</w:t>
      </w:r>
      <w:r w:rsidRPr="005874E9">
        <w:rPr>
          <w:rFonts w:ascii="Times New Roman" w:hAnsi="Times New Roman"/>
        </w:rPr>
        <w:t>lisan alkalmazott, kis dózisú ösztrogénnel kezelt, emlőrák szempontjából negatív anamnézisű nőknél nem növekszik az emlőrák kockázata. Nem ismert, hogy a vagin</w:t>
      </w:r>
      <w:r w:rsidR="00466481">
        <w:rPr>
          <w:rFonts w:ascii="Times New Roman" w:hAnsi="Times New Roman"/>
        </w:rPr>
        <w:t>a</w:t>
      </w:r>
      <w:r w:rsidRPr="005874E9">
        <w:rPr>
          <w:rFonts w:ascii="Times New Roman" w:hAnsi="Times New Roman"/>
        </w:rPr>
        <w:t>lisan alkalmazott, kis dózisú ösztrogének elősegítik-e az emlőrák kiújulását</w:t>
      </w:r>
      <w:r>
        <w:rPr>
          <w:rFonts w:ascii="Times New Roman" w:hAnsi="Times New Roman"/>
        </w:rPr>
        <w:t>.</w:t>
      </w:r>
    </w:p>
    <w:p w14:paraId="4F62C106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A93D78D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Petefészekrák</w:t>
      </w:r>
    </w:p>
    <w:p w14:paraId="34C103EE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petefészekrák sokkal ritkább, mint az emlőrák.</w:t>
      </w:r>
    </w:p>
    <w:p w14:paraId="6BC094C7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Egy nagy metaanalízisből származó epidemiológiai bizonyítékok enyhén meg</w:t>
      </w:r>
      <w:r w:rsidR="006A52FC">
        <w:rPr>
          <w:rFonts w:ascii="Times New Roman" w:hAnsi="Times New Roman"/>
        </w:rPr>
        <w:t>növe</w:t>
      </w:r>
      <w:r w:rsidRPr="001D5B8D">
        <w:rPr>
          <w:rFonts w:ascii="Times New Roman" w:hAnsi="Times New Roman"/>
        </w:rPr>
        <w:t xml:space="preserve">kedett kockázatra utalnak azoknál a nőknél, akik </w:t>
      </w:r>
      <w:r w:rsidRPr="001D5B8D">
        <w:rPr>
          <w:rFonts w:ascii="Times New Roman" w:hAnsi="Times New Roman"/>
          <w:i/>
          <w:u w:val="single"/>
        </w:rPr>
        <w:t>szisztémás</w:t>
      </w:r>
      <w:r w:rsidRPr="001D5B8D">
        <w:rPr>
          <w:rFonts w:ascii="Times New Roman" w:hAnsi="Times New Roman"/>
        </w:rPr>
        <w:t xml:space="preserve"> hormonpótló kezelésként ösztrogén</w:t>
      </w:r>
      <w:r w:rsidR="00C0210A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monoterápiát kapnak. Ez az enyhe kockázat</w:t>
      </w:r>
      <w:r w:rsidR="006A52FC">
        <w:rPr>
          <w:rFonts w:ascii="Times New Roman" w:hAnsi="Times New Roman"/>
        </w:rPr>
        <w:t>növe</w:t>
      </w:r>
      <w:r w:rsidRPr="001D5B8D">
        <w:rPr>
          <w:rFonts w:ascii="Times New Roman" w:hAnsi="Times New Roman"/>
        </w:rPr>
        <w:t>kedés 5 éven belül jelentkezik, és a kezelés abbahagyását követően idővel csökken.</w:t>
      </w:r>
    </w:p>
    <w:p w14:paraId="561895E5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</w:p>
    <w:p w14:paraId="083B58EC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  <w:u w:val="single"/>
        </w:rPr>
        <w:t>Vénás thromboembolia</w:t>
      </w:r>
    </w:p>
    <w:p w14:paraId="67CF0A55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  <w:i/>
          <w:u w:val="single"/>
        </w:rPr>
        <w:t>szisztémás</w:t>
      </w:r>
      <w:r w:rsidRPr="001D5B8D">
        <w:rPr>
          <w:rFonts w:ascii="Times New Roman" w:hAnsi="Times New Roman"/>
        </w:rPr>
        <w:t xml:space="preserve"> hormonpótló kezeléshez a vénás thromboembolia (VTE) </w:t>
      </w:r>
      <w:r w:rsidR="003C49BA">
        <w:rPr>
          <w:rFonts w:ascii="Times New Roman" w:hAnsi="Times New Roman"/>
        </w:rPr>
        <w:t>–</w:t>
      </w:r>
      <w:r w:rsidRPr="001D5B8D">
        <w:rPr>
          <w:rFonts w:ascii="Times New Roman" w:hAnsi="Times New Roman"/>
        </w:rPr>
        <w:t xml:space="preserve"> mint pl. mélyvénás trombózis vagy tüdőembólia </w:t>
      </w:r>
      <w:r w:rsidR="003C49BA">
        <w:rPr>
          <w:rFonts w:ascii="Times New Roman" w:hAnsi="Times New Roman"/>
        </w:rPr>
        <w:t>–</w:t>
      </w:r>
      <w:r w:rsidRPr="001D5B8D">
        <w:rPr>
          <w:rFonts w:ascii="Times New Roman" w:hAnsi="Times New Roman"/>
        </w:rPr>
        <w:t xml:space="preserve"> kialakulásának 1,3–3</w:t>
      </w:r>
      <w:r w:rsidRPr="001D5B8D">
        <w:rPr>
          <w:rFonts w:ascii="Times New Roman" w:hAnsi="Times New Roman"/>
        </w:rPr>
        <w:noBreakHyphen/>
        <w:t>szoros kockázata társul. Az ilyen esetek előfordulása valószínűbb a hormonpótló kezelés első évében, mint később (lásd 4.8 pont).</w:t>
      </w:r>
    </w:p>
    <w:p w14:paraId="0CCC4C5A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499DAA3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Fokozott a VTE kockázata ismert thrombophiliában szenvedő betegeknél, </w:t>
      </w:r>
      <w:r w:rsidR="00062594" w:rsidRPr="001D5B8D">
        <w:rPr>
          <w:rFonts w:ascii="Times New Roman" w:hAnsi="Times New Roman"/>
        </w:rPr>
        <w:t xml:space="preserve">és </w:t>
      </w:r>
      <w:r w:rsidRPr="001D5B8D">
        <w:rPr>
          <w:rFonts w:ascii="Times New Roman" w:hAnsi="Times New Roman"/>
        </w:rPr>
        <w:t>a hormonpótló kezelés tovább fokozhatja ezt a kockázatot. A hormonpótló kezelés ezért ellenjavallt ezeknél a betegeknél (lásd 4.3 pont).</w:t>
      </w:r>
    </w:p>
    <w:p w14:paraId="6D654CB2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vénás thromboembolia általánosan ismert kockázati tényezői az ösztrogének alkalmazása, az idős kor, a sebészeti nagyműtét, az elhúzódó immobilizáció, az elhízás (testtömegindex &gt; 30 kg/m</w:t>
      </w:r>
      <w:r w:rsidRPr="001D5B8D">
        <w:rPr>
          <w:rFonts w:ascii="Times New Roman" w:hAnsi="Times New Roman"/>
          <w:vertAlign w:val="superscript"/>
        </w:rPr>
        <w:t>2</w:t>
      </w:r>
      <w:r w:rsidRPr="001D5B8D">
        <w:rPr>
          <w:rFonts w:ascii="Times New Roman" w:hAnsi="Times New Roman"/>
        </w:rPr>
        <w:t>), a terhességi/gyermekágyi szakasz, a szisztémás lupus erythematosus (SLE) és a rák. Nincs konszenzus a visszértágulat lehetséges szerepéről a vénás thromboembolia kialakulásában.</w:t>
      </w:r>
    </w:p>
    <w:p w14:paraId="623C2C51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397D0FBE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Mint minden</w:t>
      </w:r>
      <w:r w:rsidR="003C49BA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</w:t>
      </w:r>
      <w:r w:rsidR="00062594" w:rsidRPr="001D5B8D">
        <w:rPr>
          <w:rFonts w:ascii="Times New Roman" w:hAnsi="Times New Roman"/>
        </w:rPr>
        <w:t xml:space="preserve">műtéten átesett </w:t>
      </w:r>
      <w:r w:rsidRPr="001D5B8D">
        <w:rPr>
          <w:rFonts w:ascii="Times New Roman" w:hAnsi="Times New Roman"/>
        </w:rPr>
        <w:t>beteg esetében, mérlegelni kell, hogy milyen megelőző intézkedésekre van szükség a műtétet követő VTE kialakulásának megelőzése érdekében. Ha a tervezett műtétet hosszantartó ágynyugalom követi, ajánlott a hormonpótló kezelést a műtét előtt 4</w:t>
      </w:r>
      <w:r w:rsidRPr="001D5B8D">
        <w:rPr>
          <w:rFonts w:ascii="Times New Roman" w:hAnsi="Times New Roman"/>
        </w:rPr>
        <w:noBreakHyphen/>
        <w:t>6 héttel átmenetileg leállítani. A kezelést csak akkor szabad ismét elkezdeni, ha a beteg teljes mobilizálása megtörtént.</w:t>
      </w:r>
    </w:p>
    <w:p w14:paraId="0DD1D095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53B8E77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Azoknál a nőknél, akik személyes anamnézisében a VTE nem szerepel, de elsőfokú rokonuk anamnézisében fiatal korban thrombosis fordult elő, fel lehet ajánlani a kivizsgálást, miután annak korlátait gondosan elmagyarázták (vizsgálatokkal csak a thrombophiliás hiányok egy részét lehet kimutatni)</w:t>
      </w:r>
      <w:r w:rsidR="003C49BA">
        <w:rPr>
          <w:rFonts w:ascii="Times New Roman" w:hAnsi="Times New Roman"/>
        </w:rPr>
        <w:t>.</w:t>
      </w:r>
    </w:p>
    <w:p w14:paraId="18D536C3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6A28DE9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hormonpótló kezelés ellenjavallt, ha olyan thrombophiliás hiányt azonosítanak, ami a családtagoknál thrombosist okozott, vagy ha a hiány súlyos (pl. antithrombin</w:t>
      </w:r>
      <w:r w:rsidR="00D90C1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, protein</w:t>
      </w:r>
      <w:r w:rsidR="00D90C1D">
        <w:rPr>
          <w:rFonts w:ascii="Times New Roman" w:hAnsi="Times New Roman"/>
        </w:rPr>
        <w:t> S</w:t>
      </w:r>
      <w:r w:rsidR="00387331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, protein</w:t>
      </w:r>
      <w:r w:rsidR="00D90C1D">
        <w:rPr>
          <w:rFonts w:ascii="Times New Roman" w:hAnsi="Times New Roman"/>
        </w:rPr>
        <w:t> C</w:t>
      </w:r>
      <w:r w:rsidR="00D90C1D">
        <w:rPr>
          <w:rFonts w:ascii="Times New Roman" w:hAnsi="Times New Roman"/>
        </w:rPr>
        <w:noBreakHyphen/>
      </w:r>
      <w:r w:rsidRPr="001D5B8D">
        <w:rPr>
          <w:rFonts w:ascii="Times New Roman" w:hAnsi="Times New Roman"/>
        </w:rPr>
        <w:t>hiány vagy több hiány kombinációja).</w:t>
      </w:r>
    </w:p>
    <w:p w14:paraId="652B10E3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033CE39" w14:textId="77777777" w:rsidR="000F5BE6" w:rsidRPr="001D5B8D" w:rsidRDefault="000F5BE6" w:rsidP="00632DBE">
      <w:pPr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Azoknál a nőknél, akik már krónikus antikoaguláns</w:t>
      </w:r>
      <w:r w:rsidR="00D90C1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kezelésben részesülnek, gondosan mérlegelni kell a hormonpótló kezelés alkalmazásának előny</w:t>
      </w:r>
      <w:r w:rsidR="00D90C1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kockázat arányát.</w:t>
      </w:r>
    </w:p>
    <w:p w14:paraId="1E7B40EB" w14:textId="77777777" w:rsidR="000F5BE6" w:rsidRPr="001D5B8D" w:rsidRDefault="000F5BE6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9763389" w14:textId="77777777" w:rsidR="00EF73AF" w:rsidRPr="001D5B8D" w:rsidRDefault="000F5BE6" w:rsidP="00767204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lastRenderedPageBreak/>
        <w:t xml:space="preserve">Ha a terápia elkezdése után </w:t>
      </w:r>
      <w:r w:rsidR="00387331" w:rsidRPr="001D5B8D">
        <w:rPr>
          <w:rFonts w:ascii="Times New Roman" w:hAnsi="Times New Roman"/>
        </w:rPr>
        <w:t xml:space="preserve">VTE </w:t>
      </w:r>
      <w:r w:rsidRPr="001D5B8D">
        <w:rPr>
          <w:rFonts w:ascii="Times New Roman" w:hAnsi="Times New Roman"/>
        </w:rPr>
        <w:t>alakulna ki, a kezelést abba kell hagyni. A betegnek meg kell mondani, hogy thromboemboliára utaló tünet észlelése esetén (pl. a láb fájdalmas duzzanata, hirtelen mellkasi fájdalom, légszomj) haladéktalanul lépjen kapcsolatba</w:t>
      </w:r>
      <w:r w:rsidR="00387331" w:rsidRPr="001D5B8D">
        <w:rPr>
          <w:rFonts w:ascii="Times New Roman" w:hAnsi="Times New Roman"/>
        </w:rPr>
        <w:t xml:space="preserve"> orvosával.</w:t>
      </w:r>
    </w:p>
    <w:p w14:paraId="46A40981" w14:textId="77777777" w:rsidR="00387331" w:rsidRPr="001D5B8D" w:rsidRDefault="0038733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E0D61B9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  <w:u w:val="single"/>
        </w:rPr>
        <w:t>Koszorúér</w:t>
      </w:r>
      <w:r w:rsidRPr="001D5B8D">
        <w:rPr>
          <w:rFonts w:ascii="Times New Roman" w:hAnsi="Times New Roman"/>
          <w:u w:val="single"/>
        </w:rPr>
        <w:noBreakHyphen/>
        <w:t>betegség</w:t>
      </w:r>
    </w:p>
    <w:p w14:paraId="026AB11B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  <w:i/>
          <w:u w:val="single"/>
        </w:rPr>
        <w:t>szisztémás</w:t>
      </w:r>
      <w:r w:rsidRPr="001D5B8D">
        <w:rPr>
          <w:rFonts w:ascii="Times New Roman" w:hAnsi="Times New Roman"/>
        </w:rPr>
        <w:t xml:space="preserve"> ösztrogén</w:t>
      </w:r>
      <w:r w:rsidR="0088574D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monoterápiát alkalmazó, hysterectomi</w:t>
      </w:r>
      <w:r w:rsidR="00D90C1D">
        <w:rPr>
          <w:rFonts w:ascii="Times New Roman" w:hAnsi="Times New Roman"/>
        </w:rPr>
        <w:t>án átesett</w:t>
      </w:r>
      <w:r w:rsidRPr="001D5B8D">
        <w:rPr>
          <w:rFonts w:ascii="Times New Roman" w:hAnsi="Times New Roman"/>
        </w:rPr>
        <w:t xml:space="preserve"> nőknél a véletlen besorolásos, kontrollos klinikai vizsgálatok adatai szerint a koszorúér</w:t>
      </w:r>
      <w:r w:rsidRPr="001D5B8D">
        <w:rPr>
          <w:rFonts w:ascii="Times New Roman" w:hAnsi="Times New Roman"/>
        </w:rPr>
        <w:noBreakHyphen/>
        <w:t>betegség kockázata nem fokozott.</w:t>
      </w:r>
    </w:p>
    <w:p w14:paraId="52190371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4A5ED75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  <w:u w:val="single"/>
        </w:rPr>
        <w:t>Ischaemi</w:t>
      </w:r>
      <w:r w:rsidR="0088574D" w:rsidRPr="001D5B8D">
        <w:rPr>
          <w:rFonts w:ascii="Times New Roman" w:hAnsi="Times New Roman"/>
          <w:u w:val="single"/>
        </w:rPr>
        <w:t>á</w:t>
      </w:r>
      <w:r w:rsidRPr="001D5B8D">
        <w:rPr>
          <w:rFonts w:ascii="Times New Roman" w:hAnsi="Times New Roman"/>
          <w:u w:val="single"/>
        </w:rPr>
        <w:t>s stroke</w:t>
      </w:r>
    </w:p>
    <w:p w14:paraId="0C935F19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  <w:i/>
          <w:u w:val="single"/>
        </w:rPr>
        <w:t>szisztémás</w:t>
      </w:r>
      <w:r w:rsidRPr="001D5B8D">
        <w:rPr>
          <w:rFonts w:ascii="Times New Roman" w:hAnsi="Times New Roman"/>
        </w:rPr>
        <w:t xml:space="preserve"> </w:t>
      </w:r>
      <w:r w:rsidR="0088574D" w:rsidRPr="001D5B8D">
        <w:rPr>
          <w:rFonts w:ascii="Times New Roman" w:hAnsi="Times New Roman"/>
        </w:rPr>
        <w:t>ösztrogén-m</w:t>
      </w:r>
      <w:r w:rsidRPr="001D5B8D">
        <w:rPr>
          <w:rFonts w:ascii="Times New Roman" w:hAnsi="Times New Roman"/>
        </w:rPr>
        <w:t xml:space="preserve">onoterápia összefüggésben áll az </w:t>
      </w:r>
      <w:r w:rsidR="0088574D" w:rsidRPr="001D5B8D">
        <w:rPr>
          <w:rFonts w:ascii="Times New Roman" w:hAnsi="Times New Roman"/>
        </w:rPr>
        <w:t xml:space="preserve">ischaemiás stroke </w:t>
      </w:r>
      <w:r w:rsidRPr="001D5B8D">
        <w:rPr>
          <w:rFonts w:ascii="Times New Roman" w:hAnsi="Times New Roman"/>
        </w:rPr>
        <w:t>kockázatának legfeljebb 1,5</w:t>
      </w:r>
      <w:r w:rsidRPr="001D5B8D">
        <w:rPr>
          <w:rFonts w:ascii="Times New Roman" w:hAnsi="Times New Roman"/>
        </w:rPr>
        <w:noBreakHyphen/>
        <w:t>szeres növekedésével. A relatív kockázat nem változik a</w:t>
      </w:r>
      <w:r w:rsidR="00D90C1D">
        <w:rPr>
          <w:rFonts w:ascii="Times New Roman" w:hAnsi="Times New Roman"/>
        </w:rPr>
        <w:t>z</w:t>
      </w:r>
      <w:r w:rsidRPr="001D5B8D">
        <w:rPr>
          <w:rFonts w:ascii="Times New Roman" w:hAnsi="Times New Roman"/>
        </w:rPr>
        <w:t xml:space="preserve"> </w:t>
      </w:r>
      <w:r w:rsidR="00D90C1D">
        <w:rPr>
          <w:rFonts w:ascii="Times New Roman" w:hAnsi="Times New Roman"/>
        </w:rPr>
        <w:t>élet</w:t>
      </w:r>
      <w:r w:rsidRPr="001D5B8D">
        <w:rPr>
          <w:rFonts w:ascii="Times New Roman" w:hAnsi="Times New Roman"/>
        </w:rPr>
        <w:t xml:space="preserve">korral vagy a menopausa óta eltelt időtartammal. Mivel az </w:t>
      </w:r>
      <w:r w:rsidR="00C0210A" w:rsidRPr="001D5B8D">
        <w:rPr>
          <w:rFonts w:ascii="Times New Roman" w:hAnsi="Times New Roman"/>
        </w:rPr>
        <w:t xml:space="preserve">ischaemiás stroke </w:t>
      </w:r>
      <w:r w:rsidRPr="001D5B8D">
        <w:rPr>
          <w:rFonts w:ascii="Times New Roman" w:hAnsi="Times New Roman"/>
        </w:rPr>
        <w:t>alapkockázata erősen függ a</w:t>
      </w:r>
      <w:r w:rsidR="00D90C1D">
        <w:rPr>
          <w:rFonts w:ascii="Times New Roman" w:hAnsi="Times New Roman"/>
        </w:rPr>
        <w:t>z</w:t>
      </w:r>
      <w:r w:rsidRPr="001D5B8D">
        <w:rPr>
          <w:rFonts w:ascii="Times New Roman" w:hAnsi="Times New Roman"/>
        </w:rPr>
        <w:t xml:space="preserve"> </w:t>
      </w:r>
      <w:r w:rsidR="00D90C1D">
        <w:rPr>
          <w:rFonts w:ascii="Times New Roman" w:hAnsi="Times New Roman"/>
        </w:rPr>
        <w:t>élet</w:t>
      </w:r>
      <w:r w:rsidRPr="001D5B8D">
        <w:rPr>
          <w:rFonts w:ascii="Times New Roman" w:hAnsi="Times New Roman"/>
        </w:rPr>
        <w:t xml:space="preserve">kortól, a hormonpótló kezelést alkalmazó nők teljes kockázata az életkorral </w:t>
      </w:r>
      <w:r w:rsidR="00D90C1D">
        <w:rPr>
          <w:rFonts w:ascii="Times New Roman" w:hAnsi="Times New Roman"/>
        </w:rPr>
        <w:t>növekszik</w:t>
      </w:r>
      <w:r w:rsidR="00D90C1D" w:rsidRPr="001D5B8D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(lásd 4.8 pont).</w:t>
      </w:r>
    </w:p>
    <w:p w14:paraId="0CB40166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70A66C2F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  <w:u w:val="single"/>
        </w:rPr>
        <w:t>Egyéb állapotok</w:t>
      </w:r>
    </w:p>
    <w:p w14:paraId="3B9147E0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Mivel az ösztrogének folyadékretenciót okozhatnak, ezért szív</w:t>
      </w:r>
      <w:r w:rsidRPr="001D5B8D">
        <w:rPr>
          <w:rFonts w:ascii="Times New Roman" w:hAnsi="Times New Roman"/>
        </w:rPr>
        <w:noBreakHyphen/>
        <w:t xml:space="preserve"> </w:t>
      </w:r>
      <w:r w:rsidR="00C0210A" w:rsidRPr="001D5B8D">
        <w:rPr>
          <w:rFonts w:ascii="Times New Roman" w:hAnsi="Times New Roman"/>
        </w:rPr>
        <w:t>vagy</w:t>
      </w:r>
      <w:r w:rsidRPr="001D5B8D">
        <w:rPr>
          <w:rFonts w:ascii="Times New Roman" w:hAnsi="Times New Roman"/>
        </w:rPr>
        <w:t xml:space="preserve"> vesekárosodás esetén a beteget gondosan </w:t>
      </w:r>
      <w:r w:rsidR="00657F9D">
        <w:rPr>
          <w:rFonts w:ascii="Times New Roman" w:hAnsi="Times New Roman"/>
        </w:rPr>
        <w:t xml:space="preserve">meg kell </w:t>
      </w:r>
      <w:r w:rsidRPr="001D5B8D">
        <w:rPr>
          <w:rFonts w:ascii="Times New Roman" w:hAnsi="Times New Roman"/>
        </w:rPr>
        <w:t>figyelni.</w:t>
      </w:r>
    </w:p>
    <w:p w14:paraId="4F7F3F81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5FB41D9D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már meglévő hypertrigliceridaemiában szenvedő nők ösztrogén</w:t>
      </w:r>
      <w:r w:rsidR="00C0210A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 xml:space="preserve"> vagy hormonpótló kezelése során szoros felügyelet szükséges, mert ösztrogénkezeléssel összefüggésben leírták, hogy ebben az állapotban a plazmatriglicerid</w:t>
      </w:r>
      <w:r w:rsidR="00C0210A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szint jelentős emelkedésének ritka esetei pancreatitishez vezettek.</w:t>
      </w:r>
    </w:p>
    <w:p w14:paraId="1BE10381" w14:textId="77777777" w:rsidR="006F6158" w:rsidRDefault="006F6158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8A3148F" w14:textId="77777777" w:rsidR="001579E4" w:rsidRPr="00AA2F86" w:rsidRDefault="001579E4" w:rsidP="001579E4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/>
        </w:rPr>
      </w:pPr>
      <w:r w:rsidRPr="00AA2F86">
        <w:rPr>
          <w:rFonts w:ascii="Times New Roman" w:eastAsia="Times New Roman" w:hAnsi="Times New Roman"/>
        </w:rPr>
        <w:t>Az exogén ösztrogének az örökletes és nem örökletes (szerzett) angiooedema tüneteinek kialakulását vagy a meglévő tüneteinek exacerbatióját okozhatják.</w:t>
      </w:r>
    </w:p>
    <w:p w14:paraId="7648045A" w14:textId="77777777" w:rsidR="000B6E99" w:rsidRPr="001D5B8D" w:rsidRDefault="000B6E99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3DBF252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 ösztrogének megnövelik a pajzsmirigyhormon</w:t>
      </w:r>
      <w:r w:rsidR="00C0210A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kötő globulin (</w:t>
      </w:r>
      <w:r w:rsidR="000C7550" w:rsidRPr="001D5B8D">
        <w:rPr>
          <w:rFonts w:ascii="Times New Roman" w:eastAsia="Times New Roman" w:hAnsi="Times New Roman"/>
          <w:lang w:eastAsia="de-DE"/>
        </w:rPr>
        <w:t>Thyroid B</w:t>
      </w:r>
      <w:r w:rsidR="00C0210A" w:rsidRPr="001D5B8D">
        <w:rPr>
          <w:rFonts w:ascii="Times New Roman" w:eastAsia="Times New Roman" w:hAnsi="Times New Roman"/>
          <w:lang w:eastAsia="de-DE"/>
        </w:rPr>
        <w:t xml:space="preserve">inding </w:t>
      </w:r>
      <w:r w:rsidR="000C7550" w:rsidRPr="001D5B8D">
        <w:rPr>
          <w:rFonts w:ascii="Times New Roman" w:eastAsia="Times New Roman" w:hAnsi="Times New Roman"/>
          <w:lang w:eastAsia="de-DE"/>
        </w:rPr>
        <w:t>Gl</w:t>
      </w:r>
      <w:r w:rsidR="00C0210A" w:rsidRPr="001D5B8D">
        <w:rPr>
          <w:rFonts w:ascii="Times New Roman" w:eastAsia="Times New Roman" w:hAnsi="Times New Roman"/>
          <w:lang w:eastAsia="de-DE"/>
        </w:rPr>
        <w:t xml:space="preserve">obulin </w:t>
      </w:r>
      <w:r w:rsidR="00657F9D">
        <w:rPr>
          <w:rFonts w:ascii="Times New Roman" w:eastAsia="Times New Roman" w:hAnsi="Times New Roman"/>
          <w:lang w:eastAsia="de-DE"/>
        </w:rPr>
        <w:t>–</w:t>
      </w:r>
      <w:r w:rsidR="00C0210A" w:rsidRPr="001D5B8D">
        <w:rPr>
          <w:rFonts w:ascii="Times New Roman" w:eastAsia="Times New Roman" w:hAnsi="Times New Roman"/>
          <w:lang w:eastAsia="de-DE"/>
        </w:rPr>
        <w:t xml:space="preserve"> </w:t>
      </w:r>
      <w:r w:rsidRPr="001D5B8D">
        <w:rPr>
          <w:rFonts w:ascii="Times New Roman" w:hAnsi="Times New Roman"/>
        </w:rPr>
        <w:t>TBG) mennyiségét, ami megnöveli a teljes keringő pajzsmirigyhormon</w:t>
      </w:r>
      <w:r w:rsidR="00657F9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 xml:space="preserve">mennyiséget </w:t>
      </w:r>
      <w:r w:rsidR="00C0210A" w:rsidRPr="001D5B8D">
        <w:rPr>
          <w:rFonts w:ascii="Times New Roman" w:hAnsi="Times New Roman"/>
        </w:rPr>
        <w:t>(</w:t>
      </w:r>
      <w:r w:rsidRPr="001D5B8D">
        <w:rPr>
          <w:rFonts w:ascii="Times New Roman" w:hAnsi="Times New Roman"/>
        </w:rPr>
        <w:t>a fehérjéhez kötött jód</w:t>
      </w:r>
      <w:r w:rsidR="00C0210A" w:rsidRPr="001D5B8D">
        <w:rPr>
          <w:rFonts w:ascii="Times New Roman" w:hAnsi="Times New Roman"/>
        </w:rPr>
        <w:t>dal</w:t>
      </w:r>
      <w:r w:rsidRPr="001D5B8D">
        <w:rPr>
          <w:rFonts w:ascii="Times New Roman" w:hAnsi="Times New Roman"/>
        </w:rPr>
        <w:t xml:space="preserve"> (</w:t>
      </w:r>
      <w:r w:rsidR="000C7550" w:rsidRPr="001D5B8D">
        <w:rPr>
          <w:rFonts w:ascii="Times New Roman" w:hAnsi="Times New Roman"/>
        </w:rPr>
        <w:t>P</w:t>
      </w:r>
      <w:r w:rsidRPr="001D5B8D">
        <w:rPr>
          <w:rFonts w:ascii="Times New Roman" w:hAnsi="Times New Roman"/>
        </w:rPr>
        <w:t>rotein-</w:t>
      </w:r>
      <w:r w:rsidR="000C7550" w:rsidRPr="001D5B8D">
        <w:rPr>
          <w:rFonts w:ascii="Times New Roman" w:hAnsi="Times New Roman"/>
        </w:rPr>
        <w:t>B</w:t>
      </w:r>
      <w:r w:rsidRPr="001D5B8D">
        <w:rPr>
          <w:rFonts w:ascii="Times New Roman" w:hAnsi="Times New Roman"/>
        </w:rPr>
        <w:t xml:space="preserve">ound </w:t>
      </w:r>
      <w:r w:rsidR="000C7550" w:rsidRPr="001D5B8D">
        <w:rPr>
          <w:rFonts w:ascii="Times New Roman" w:hAnsi="Times New Roman"/>
        </w:rPr>
        <w:t>I</w:t>
      </w:r>
      <w:r w:rsidRPr="001D5B8D">
        <w:rPr>
          <w:rFonts w:ascii="Times New Roman" w:hAnsi="Times New Roman"/>
        </w:rPr>
        <w:t xml:space="preserve">odine </w:t>
      </w:r>
      <w:r w:rsidR="00657F9D">
        <w:rPr>
          <w:rFonts w:ascii="Times New Roman" w:hAnsi="Times New Roman"/>
        </w:rPr>
        <w:t>–</w:t>
      </w:r>
      <w:r w:rsidRPr="001D5B8D">
        <w:rPr>
          <w:rFonts w:ascii="Times New Roman" w:hAnsi="Times New Roman"/>
        </w:rPr>
        <w:t xml:space="preserve"> PBI)</w:t>
      </w:r>
      <w:r w:rsidR="00C0210A" w:rsidRPr="001D5B8D">
        <w:rPr>
          <w:rFonts w:ascii="Times New Roman" w:hAnsi="Times New Roman"/>
        </w:rPr>
        <w:t xml:space="preserve"> mérve</w:t>
      </w:r>
      <w:r w:rsidR="00657F9D">
        <w:rPr>
          <w:rFonts w:ascii="Times New Roman" w:hAnsi="Times New Roman"/>
        </w:rPr>
        <w:t>)</w:t>
      </w:r>
      <w:r w:rsidRPr="001D5B8D">
        <w:rPr>
          <w:rFonts w:ascii="Times New Roman" w:hAnsi="Times New Roman"/>
        </w:rPr>
        <w:t>, a T4</w:t>
      </w:r>
      <w:r w:rsidR="00657F9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szint</w:t>
      </w:r>
      <w:r w:rsidR="00C0210A" w:rsidRPr="001D5B8D">
        <w:rPr>
          <w:rFonts w:ascii="Times New Roman" w:hAnsi="Times New Roman"/>
        </w:rPr>
        <w:t>et</w:t>
      </w:r>
      <w:r w:rsidRPr="001D5B8D">
        <w:rPr>
          <w:rFonts w:ascii="Times New Roman" w:hAnsi="Times New Roman"/>
        </w:rPr>
        <w:t xml:space="preserve"> (oszlop</w:t>
      </w:r>
      <w:r w:rsidR="00657F9D">
        <w:rPr>
          <w:rFonts w:ascii="Times New Roman" w:hAnsi="Times New Roman"/>
        </w:rPr>
        <w:t>kromatográfiával</w:t>
      </w:r>
      <w:r w:rsidRPr="001D5B8D">
        <w:rPr>
          <w:rFonts w:ascii="Times New Roman" w:hAnsi="Times New Roman"/>
        </w:rPr>
        <w:t xml:space="preserve"> vagy radioimmunoassay</w:t>
      </w:r>
      <w:r w:rsidR="00C0210A" w:rsidRPr="001D5B8D">
        <w:rPr>
          <w:rFonts w:ascii="Times New Roman" w:hAnsi="Times New Roman"/>
        </w:rPr>
        <w:t>-jel mérve</w:t>
      </w:r>
      <w:r w:rsidRPr="001D5B8D">
        <w:rPr>
          <w:rFonts w:ascii="Times New Roman" w:hAnsi="Times New Roman"/>
        </w:rPr>
        <w:t xml:space="preserve">) vagy </w:t>
      </w:r>
      <w:r w:rsidR="00C0210A"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</w:rPr>
        <w:t>T3</w:t>
      </w:r>
      <w:r w:rsidR="00657F9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szint</w:t>
      </w:r>
      <w:r w:rsidR="00C0210A" w:rsidRPr="001D5B8D">
        <w:rPr>
          <w:rFonts w:ascii="Times New Roman" w:hAnsi="Times New Roman"/>
        </w:rPr>
        <w:t>et</w:t>
      </w:r>
      <w:r w:rsidRPr="001D5B8D">
        <w:rPr>
          <w:rFonts w:ascii="Times New Roman" w:hAnsi="Times New Roman"/>
        </w:rPr>
        <w:t xml:space="preserve"> (radioimmunoassay</w:t>
      </w:r>
      <w:r w:rsidR="00C0210A" w:rsidRPr="001D5B8D">
        <w:rPr>
          <w:rFonts w:ascii="Times New Roman" w:hAnsi="Times New Roman"/>
        </w:rPr>
        <w:t xml:space="preserve"> révén mérik</w:t>
      </w:r>
      <w:r w:rsidRPr="001D5B8D">
        <w:rPr>
          <w:rFonts w:ascii="Times New Roman" w:hAnsi="Times New Roman"/>
        </w:rPr>
        <w:t>). A T3</w:t>
      </w:r>
      <w:r w:rsidR="00657F9D">
        <w:rPr>
          <w:rFonts w:ascii="Times New Roman" w:hAnsi="Times New Roman"/>
        </w:rPr>
        <w:t>-gyanta-</w:t>
      </w:r>
      <w:r w:rsidRPr="001D5B8D">
        <w:rPr>
          <w:rFonts w:ascii="Times New Roman" w:hAnsi="Times New Roman"/>
        </w:rPr>
        <w:t>felvétel csökkent, ami a megemelkedett TBG</w:t>
      </w:r>
      <w:r w:rsidRPr="001D5B8D">
        <w:rPr>
          <w:rFonts w:ascii="Times New Roman" w:hAnsi="Times New Roman"/>
        </w:rPr>
        <w:noBreakHyphen/>
        <w:t>t tükrözi. A szabad T4</w:t>
      </w:r>
      <w:r w:rsidR="000C7550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 xml:space="preserve"> és a szabad T3</w:t>
      </w:r>
      <w:r w:rsidR="000C7550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szint nem változ</w:t>
      </w:r>
      <w:r w:rsidR="00657F9D">
        <w:rPr>
          <w:rFonts w:ascii="Times New Roman" w:hAnsi="Times New Roman"/>
        </w:rPr>
        <w:t>i</w:t>
      </w:r>
      <w:r w:rsidRPr="001D5B8D">
        <w:rPr>
          <w:rFonts w:ascii="Times New Roman" w:hAnsi="Times New Roman"/>
        </w:rPr>
        <w:t>k. A szérumban megemelkedhet más kötőfehérjék szintje, pl. a kortikoidkötő globulin (Corticoid Binding Globulin – CBG) mennyiségének növekedése a keringő kortikoszteroidok</w:t>
      </w:r>
      <w:r w:rsidR="000C7550" w:rsidRPr="001D5B8D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ill</w:t>
      </w:r>
      <w:r w:rsidR="000C7550" w:rsidRPr="001D5B8D">
        <w:rPr>
          <w:rFonts w:ascii="Times New Roman" w:hAnsi="Times New Roman"/>
        </w:rPr>
        <w:t>etve</w:t>
      </w:r>
      <w:r w:rsidRPr="001D5B8D">
        <w:rPr>
          <w:rFonts w:ascii="Times New Roman" w:hAnsi="Times New Roman"/>
        </w:rPr>
        <w:t xml:space="preserve"> a nemihormonkötő globulin (Sex-Hormon Binding Globulin </w:t>
      </w:r>
      <w:r w:rsidR="00657F9D">
        <w:rPr>
          <w:rFonts w:ascii="Times New Roman" w:hAnsi="Times New Roman"/>
        </w:rPr>
        <w:t>–</w:t>
      </w:r>
      <w:r w:rsidRPr="001D5B8D">
        <w:rPr>
          <w:rFonts w:ascii="Times New Roman" w:hAnsi="Times New Roman"/>
        </w:rPr>
        <w:t xml:space="preserve"> SHBG) mennyiségének növekedése a nemi hormonok keringő mennyiségének növekedéséhez vezet. A szabad vagy biológiailag aktív hormonkoncentrációk nem változnak. Más plazmafehérjék szintje megemelkedhet (angiotenzinogén/renin</w:t>
      </w:r>
      <w:r w:rsidR="000C7550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szubsztrát, alfa</w:t>
      </w:r>
      <w:r w:rsidRPr="001D5B8D">
        <w:rPr>
          <w:rFonts w:ascii="Times New Roman" w:hAnsi="Times New Roman"/>
        </w:rPr>
        <w:noBreakHyphen/>
      </w:r>
      <w:r w:rsidR="00657F9D">
        <w:rPr>
          <w:rFonts w:ascii="Times New Roman" w:hAnsi="Times New Roman"/>
        </w:rPr>
        <w:t>1</w:t>
      </w:r>
      <w:r w:rsidRPr="001D5B8D">
        <w:rPr>
          <w:rFonts w:ascii="Times New Roman" w:hAnsi="Times New Roman"/>
        </w:rPr>
        <w:noBreakHyphen/>
        <w:t>antitripszin, cöruloplazmin).</w:t>
      </w:r>
    </w:p>
    <w:p w14:paraId="67EC16EB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67381B1F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Lokális hüvelyi kezelésnél az ösztradiol minimális szisztémás abszorpciója (lásd 5.2 pont) valószínűleg kevésbé kifejezett hatást fejt ki a plazma kötőfehérjé</w:t>
      </w:r>
      <w:r w:rsidR="000C7550" w:rsidRPr="001D5B8D">
        <w:rPr>
          <w:rFonts w:ascii="Times New Roman" w:hAnsi="Times New Roman"/>
        </w:rPr>
        <w:t>i</w:t>
      </w:r>
      <w:r w:rsidRPr="001D5B8D">
        <w:rPr>
          <w:rFonts w:ascii="Times New Roman" w:hAnsi="Times New Roman"/>
        </w:rPr>
        <w:t>re, mint a szisztémás hormonok.</w:t>
      </w:r>
    </w:p>
    <w:p w14:paraId="6E7567B9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hormonpótló kezelés alkalmazása nem javítja a kognitív funkciót. Rendelkezésre áll néhány bizonyíték a WHI</w:t>
      </w:r>
      <w:r w:rsidR="00657F9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vizsgálatból azzal kapcsolatban, hogy a 65 évesnél idősebb nőknél kezdett folyamatos</w:t>
      </w:r>
      <w:r w:rsidR="00657F9D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kombinált vagy csak ösztrogént tartalmazó hormonpótló kezelés valószínűleg növeli a demen</w:t>
      </w:r>
      <w:r w:rsidR="0065604E" w:rsidRPr="001D5B8D">
        <w:rPr>
          <w:rFonts w:ascii="Times New Roman" w:hAnsi="Times New Roman"/>
        </w:rPr>
        <w:t>c</w:t>
      </w:r>
      <w:r w:rsidRPr="001D5B8D">
        <w:rPr>
          <w:rFonts w:ascii="Times New Roman" w:hAnsi="Times New Roman"/>
        </w:rPr>
        <w:t>ia kockázatát.</w:t>
      </w:r>
    </w:p>
    <w:p w14:paraId="291920E4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440F87E5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 intravagin</w:t>
      </w:r>
      <w:r w:rsidR="00657F9D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>lis applikátor enyhe lokális traumát okozhat, különösen a súlyos vagin</w:t>
      </w:r>
      <w:r w:rsidR="00657F9D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>lis atrophiában szenvedő nőknél.</w:t>
      </w:r>
    </w:p>
    <w:p w14:paraId="22DD3775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BA54020" w14:textId="77777777" w:rsidR="00387331" w:rsidRPr="001D5B8D" w:rsidRDefault="00387331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korai menopausa kezelése során alkalmazott hormonpótló kezeléssel járó kockázatokról kevés bizonyíték áll rendelkezésre. </w:t>
      </w:r>
      <w:r w:rsidR="001A5108"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</w:rPr>
        <w:t xml:space="preserve">fiatalabb nőknél </w:t>
      </w:r>
      <w:r w:rsidR="001A5108" w:rsidRPr="001D5B8D">
        <w:rPr>
          <w:rFonts w:ascii="Times New Roman" w:hAnsi="Times New Roman"/>
        </w:rPr>
        <w:t xml:space="preserve">tapasztalható </w:t>
      </w:r>
      <w:r w:rsidRPr="001D5B8D">
        <w:rPr>
          <w:rFonts w:ascii="Times New Roman" w:hAnsi="Times New Roman"/>
        </w:rPr>
        <w:t>alacsonyabb abszolút kockázat</w:t>
      </w:r>
      <w:r w:rsidR="001A5108" w:rsidRPr="001D5B8D">
        <w:rPr>
          <w:rFonts w:ascii="Times New Roman" w:hAnsi="Times New Roman"/>
        </w:rPr>
        <w:t>i</w:t>
      </w:r>
      <w:r w:rsidRPr="001D5B8D">
        <w:rPr>
          <w:rFonts w:ascii="Times New Roman" w:hAnsi="Times New Roman"/>
        </w:rPr>
        <w:t xml:space="preserve"> szint</w:t>
      </w:r>
      <w:r w:rsidR="001A5108" w:rsidRPr="001D5B8D">
        <w:rPr>
          <w:rFonts w:ascii="Times New Roman" w:hAnsi="Times New Roman"/>
        </w:rPr>
        <w:t xml:space="preserve"> miatt</w:t>
      </w:r>
      <w:r w:rsidRPr="001D5B8D">
        <w:rPr>
          <w:rFonts w:ascii="Times New Roman" w:hAnsi="Times New Roman"/>
        </w:rPr>
        <w:t xml:space="preserve"> azonban az előnyök és kockázatok egyensúlya ezeknél a nőknél kedvezőbb lehet, mint az idősebb nőknél.</w:t>
      </w:r>
    </w:p>
    <w:p w14:paraId="2D99BD14" w14:textId="77777777" w:rsidR="00EF73AF" w:rsidRPr="001D5B8D" w:rsidRDefault="00EF73A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DF77D9B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4.5</w:t>
      </w:r>
      <w:r w:rsidRPr="001D5B8D">
        <w:rPr>
          <w:rFonts w:ascii="Times New Roman" w:hAnsi="Times New Roman"/>
          <w:b/>
          <w:bCs/>
          <w:color w:val="000000"/>
        </w:rPr>
        <w:tab/>
        <w:t>Gyógyszerkölcsönhatások és egyéb interakciók</w:t>
      </w:r>
    </w:p>
    <w:p w14:paraId="1A9A9F3E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8DBD1C9" w14:textId="77777777" w:rsidR="0064737B" w:rsidRPr="001D5B8D" w:rsidRDefault="0064737B" w:rsidP="00632DBE">
      <w:pPr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hüvelyi alkalmazás és a minimális szisztémás felszívódás miatt nem valószínű, hogy a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 xml:space="preserve"> hüvelytablettával történő kezeléssel kapcsolatban valamilyen klinikailag releváns gyógyszer-</w:t>
      </w:r>
      <w:r w:rsidRPr="001D5B8D">
        <w:rPr>
          <w:rFonts w:ascii="Times New Roman" w:hAnsi="Times New Roman"/>
        </w:rPr>
        <w:lastRenderedPageBreak/>
        <w:t>interakció jöjjön létre. Mindemellett a helyileg alkalmazott más hüvelyi kezeléseket figyelembe kell venni.</w:t>
      </w:r>
    </w:p>
    <w:p w14:paraId="640BD1B3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478BD62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4.6</w:t>
      </w:r>
      <w:r w:rsidRPr="001D5B8D">
        <w:rPr>
          <w:rFonts w:ascii="Times New Roman" w:hAnsi="Times New Roman"/>
          <w:b/>
          <w:bCs/>
          <w:color w:val="000000"/>
        </w:rPr>
        <w:tab/>
        <w:t>Termékenység, terhesség és szoptatás</w:t>
      </w:r>
    </w:p>
    <w:p w14:paraId="17062E06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320525A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1D5B8D">
        <w:rPr>
          <w:rFonts w:ascii="Times New Roman" w:hAnsi="Times New Roman"/>
          <w:color w:val="000000"/>
          <w:u w:val="single"/>
        </w:rPr>
        <w:t>Terhesség</w:t>
      </w:r>
    </w:p>
    <w:p w14:paraId="6A042D0C" w14:textId="77777777" w:rsidR="0064737B" w:rsidRPr="001D5B8D" w:rsidRDefault="0064737B">
      <w:pPr>
        <w:widowControl w:val="0"/>
        <w:suppressAutoHyphens/>
        <w:spacing w:after="0" w:line="240" w:lineRule="auto"/>
        <w:ind w:left="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Terhesség alatt a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 xml:space="preserve"> alkalmazása nem javallott.</w:t>
      </w:r>
    </w:p>
    <w:p w14:paraId="3D4103D8" w14:textId="77777777" w:rsidR="0064737B" w:rsidRPr="001D5B8D" w:rsidRDefault="0064737B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Ha a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>-kezelés alatt terhesség következik be, a kezelést azonnal meg kell szakítani. A tévedésből ösztrogéneknek kitett magzatokkal kapcsolatos legtöbb epidemiológiai vizsgálat eddigi eredményei nem utalnak teratogén vagy foetotoxicus hatásra.</w:t>
      </w:r>
    </w:p>
    <w:p w14:paraId="023D512F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5603824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1D5B8D">
        <w:rPr>
          <w:rFonts w:ascii="Times New Roman" w:hAnsi="Times New Roman"/>
          <w:color w:val="000000"/>
          <w:u w:val="single"/>
        </w:rPr>
        <w:t>Szoptatás</w:t>
      </w:r>
    </w:p>
    <w:p w14:paraId="57567C2B" w14:textId="77777777" w:rsidR="00755989" w:rsidRPr="001D5B8D" w:rsidRDefault="0064737B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Szoptatás alatt a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 xml:space="preserve"> alkalmazása nem javallott.</w:t>
      </w:r>
    </w:p>
    <w:p w14:paraId="2BE66C35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1D1FBB4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4.7</w:t>
      </w:r>
      <w:r w:rsidRPr="001D5B8D">
        <w:rPr>
          <w:rFonts w:ascii="Times New Roman" w:hAnsi="Times New Roman"/>
          <w:b/>
          <w:bCs/>
          <w:color w:val="000000"/>
        </w:rPr>
        <w:tab/>
        <w:t>A készítmény hatásai a gépjárművezetéshez és a gépek kezeléséhez szükséges képességekre</w:t>
      </w:r>
    </w:p>
    <w:p w14:paraId="2FB2090D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C11F756" w14:textId="77777777" w:rsidR="0064737B" w:rsidRPr="001D5B8D" w:rsidRDefault="0064737B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Nincs ismert hatása.</w:t>
      </w:r>
    </w:p>
    <w:p w14:paraId="384A8040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D26E135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4.8</w:t>
      </w:r>
      <w:r w:rsidRPr="001D5B8D">
        <w:rPr>
          <w:rFonts w:ascii="Times New Roman" w:hAnsi="Times New Roman"/>
          <w:b/>
          <w:bCs/>
          <w:color w:val="000000"/>
        </w:rPr>
        <w:tab/>
        <w:t>Nemkívánatos hatások, mellékhatások</w:t>
      </w:r>
    </w:p>
    <w:p w14:paraId="779A6C71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A3F221C" w14:textId="77777777" w:rsidR="0064737B" w:rsidRPr="001D5B8D" w:rsidRDefault="0064737B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  <w:u w:val="single"/>
        </w:rPr>
        <w:t xml:space="preserve">Nemkívánatos </w:t>
      </w:r>
      <w:r w:rsidR="00657F9D">
        <w:rPr>
          <w:rFonts w:ascii="Times New Roman" w:hAnsi="Times New Roman"/>
          <w:u w:val="single"/>
        </w:rPr>
        <w:t>hatások</w:t>
      </w:r>
      <w:r w:rsidR="00657F9D" w:rsidRPr="001D5B8D">
        <w:rPr>
          <w:rFonts w:ascii="Times New Roman" w:hAnsi="Times New Roman"/>
          <w:u w:val="single"/>
        </w:rPr>
        <w:t xml:space="preserve"> </w:t>
      </w:r>
      <w:r w:rsidRPr="001D5B8D">
        <w:rPr>
          <w:rFonts w:ascii="Times New Roman" w:hAnsi="Times New Roman"/>
          <w:u w:val="single"/>
        </w:rPr>
        <w:t>a klinikai vizsgálatok során</w:t>
      </w:r>
    </w:p>
    <w:p w14:paraId="4857C3E8" w14:textId="600AB11D" w:rsidR="009944EC" w:rsidRDefault="0064737B" w:rsidP="001D5B8D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Klinikai vizsgálatok során több mint 673 beteget kezeltek 10 mikrogramm ösztradioltartalmú hüvelytablettával, közülük több mint 497 beteget legfeljebb 52 hétig.</w:t>
      </w:r>
      <w:r w:rsidR="00321D2E" w:rsidRPr="001D5B8D">
        <w:rPr>
          <w:rFonts w:ascii="Times New Roman" w:hAnsi="Times New Roman"/>
        </w:rPr>
        <w:t xml:space="preserve"> </w:t>
      </w:r>
      <w:r w:rsidR="001579E4" w:rsidRPr="00291BBC">
        <w:rPr>
          <w:rFonts w:ascii="Times New Roman" w:hAnsi="Times New Roman"/>
        </w:rPr>
        <w:t xml:space="preserve">Egy 6 hetes, </w:t>
      </w:r>
      <w:r w:rsidR="001579E4">
        <w:rPr>
          <w:rFonts w:ascii="Times New Roman" w:hAnsi="Times New Roman"/>
        </w:rPr>
        <w:t>Rewellfem</w:t>
      </w:r>
      <w:r w:rsidR="001579E4" w:rsidRPr="00291BBC">
        <w:rPr>
          <w:rFonts w:ascii="Times New Roman" w:hAnsi="Times New Roman"/>
        </w:rPr>
        <w:t xml:space="preserve"> hüvelytablettával végzett klinikai vizsgálat </w:t>
      </w:r>
      <w:r w:rsidR="001579E4">
        <w:rPr>
          <w:rFonts w:ascii="Times New Roman" w:hAnsi="Times New Roman"/>
        </w:rPr>
        <w:t>–</w:t>
      </w:r>
      <w:r w:rsidR="001579E4" w:rsidRPr="00291BBC">
        <w:rPr>
          <w:rFonts w:ascii="Times New Roman" w:hAnsi="Times New Roman"/>
        </w:rPr>
        <w:t xml:space="preserve"> amibe összesen 430 beteget vontak be</w:t>
      </w:r>
      <w:r w:rsidR="001579E4">
        <w:rPr>
          <w:rFonts w:ascii="Times New Roman" w:hAnsi="Times New Roman"/>
        </w:rPr>
        <w:t xml:space="preserve"> –</w:t>
      </w:r>
      <w:r w:rsidR="001579E4" w:rsidRPr="00291BBC">
        <w:rPr>
          <w:rFonts w:ascii="Times New Roman" w:hAnsi="Times New Roman"/>
        </w:rPr>
        <w:t xml:space="preserve"> megerősítette a kezdeti klinikai vizsgálatokból ismert </w:t>
      </w:r>
      <w:r w:rsidR="001579E4">
        <w:rPr>
          <w:rFonts w:ascii="Times New Roman" w:hAnsi="Times New Roman"/>
        </w:rPr>
        <w:t>mellék</w:t>
      </w:r>
      <w:r w:rsidR="001579E4" w:rsidRPr="00291BBC">
        <w:rPr>
          <w:rFonts w:ascii="Times New Roman" w:hAnsi="Times New Roman"/>
        </w:rPr>
        <w:t>hatásprofilt.</w:t>
      </w:r>
    </w:p>
    <w:p w14:paraId="630C7E23" w14:textId="33AE7F56" w:rsidR="00321D2E" w:rsidRDefault="0064737B" w:rsidP="001D5B8D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Ösztrogénfüggő nemkívánatos </w:t>
      </w:r>
      <w:r w:rsidR="00A533C3">
        <w:rPr>
          <w:rFonts w:ascii="Times New Roman" w:hAnsi="Times New Roman"/>
        </w:rPr>
        <w:t>hatásokat</w:t>
      </w:r>
      <w:r w:rsidRPr="001D5B8D">
        <w:rPr>
          <w:rFonts w:ascii="Times New Roman" w:hAnsi="Times New Roman"/>
        </w:rPr>
        <w:t xml:space="preserve">, mint az emlőfájdalom, </w:t>
      </w:r>
      <w:r w:rsidR="00321D2E"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</w:rPr>
        <w:t xml:space="preserve">perifériás ödéma és </w:t>
      </w:r>
      <w:r w:rsidR="00321D2E"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</w:rPr>
        <w:t xml:space="preserve">postmenopausalis vérzést a 10 mikrogramm </w:t>
      </w:r>
      <w:r w:rsidR="00321D2E" w:rsidRPr="001D5B8D">
        <w:rPr>
          <w:rFonts w:ascii="Times New Roman" w:hAnsi="Times New Roman"/>
        </w:rPr>
        <w:t xml:space="preserve">ösztradioltartalmú </w:t>
      </w:r>
      <w:r w:rsidRPr="001D5B8D">
        <w:rPr>
          <w:rFonts w:ascii="Times New Roman" w:hAnsi="Times New Roman"/>
        </w:rPr>
        <w:t xml:space="preserve">hüvelytablettával történő kezelés során </w:t>
      </w:r>
      <w:r w:rsidR="00321D2E" w:rsidRPr="001D5B8D">
        <w:rPr>
          <w:rFonts w:ascii="Times New Roman" w:hAnsi="Times New Roman"/>
        </w:rPr>
        <w:t>(</w:t>
      </w:r>
      <w:r w:rsidRPr="001D5B8D">
        <w:rPr>
          <w:rFonts w:ascii="Times New Roman" w:hAnsi="Times New Roman"/>
        </w:rPr>
        <w:t>a placebóhoz hasonlóan</w:t>
      </w:r>
      <w:r w:rsidR="00321D2E" w:rsidRPr="001D5B8D">
        <w:rPr>
          <w:rFonts w:ascii="Times New Roman" w:hAnsi="Times New Roman"/>
        </w:rPr>
        <w:t>)</w:t>
      </w:r>
      <w:r w:rsidRPr="001D5B8D">
        <w:rPr>
          <w:rFonts w:ascii="Times New Roman" w:hAnsi="Times New Roman"/>
        </w:rPr>
        <w:t xml:space="preserve"> nagyon alacsony előfordulási gyakorisággal jelentettek</w:t>
      </w:r>
      <w:r w:rsidR="00321D2E" w:rsidRPr="001D5B8D">
        <w:rPr>
          <w:rFonts w:ascii="Times New Roman" w:hAnsi="Times New Roman"/>
        </w:rPr>
        <w:t>.</w:t>
      </w:r>
      <w:r w:rsidRPr="001D5B8D">
        <w:rPr>
          <w:rFonts w:ascii="Times New Roman" w:hAnsi="Times New Roman"/>
        </w:rPr>
        <w:t xml:space="preserve"> </w:t>
      </w:r>
      <w:r w:rsidR="00321D2E" w:rsidRPr="001D5B8D">
        <w:rPr>
          <w:rFonts w:ascii="Times New Roman" w:hAnsi="Times New Roman"/>
        </w:rPr>
        <w:t>H</w:t>
      </w:r>
      <w:r w:rsidRPr="001D5B8D">
        <w:rPr>
          <w:rFonts w:ascii="Times New Roman" w:hAnsi="Times New Roman"/>
        </w:rPr>
        <w:t>a viszont</w:t>
      </w:r>
      <w:r w:rsidR="00321D2E" w:rsidRPr="001D5B8D">
        <w:rPr>
          <w:rFonts w:ascii="Times New Roman" w:hAnsi="Times New Roman"/>
        </w:rPr>
        <w:t xml:space="preserve"> ilyen nemkívánatos hatások</w:t>
      </w:r>
      <w:r w:rsidRPr="001D5B8D">
        <w:rPr>
          <w:rFonts w:ascii="Times New Roman" w:hAnsi="Times New Roman"/>
        </w:rPr>
        <w:t xml:space="preserve"> jelentkeznek, a legvalószínűbb, hogy csak a kezelés elején lépnek fel.</w:t>
      </w:r>
    </w:p>
    <w:p w14:paraId="714FE931" w14:textId="77777777" w:rsidR="00A533C3" w:rsidRPr="001D5B8D" w:rsidRDefault="00A533C3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21B1ECE5" w14:textId="77777777" w:rsidR="0064737B" w:rsidRPr="001D5B8D" w:rsidRDefault="0064737B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placebocsoporthoz viszonyítva a 10 mikrogramm </w:t>
      </w:r>
      <w:r w:rsidR="00321D2E" w:rsidRPr="001D5B8D">
        <w:rPr>
          <w:rFonts w:ascii="Times New Roman" w:hAnsi="Times New Roman"/>
        </w:rPr>
        <w:t xml:space="preserve">ösztradioltartalmú </w:t>
      </w:r>
      <w:r w:rsidRPr="001D5B8D">
        <w:rPr>
          <w:rFonts w:ascii="Times New Roman" w:hAnsi="Times New Roman"/>
        </w:rPr>
        <w:t>hüvelytablettával kezelt csoportban gyakrabban megfigyelt, valószínűleg a kezeléshez kapcsolódó mellékhatások az alábbi táblázatban szerepelnek.</w:t>
      </w:r>
    </w:p>
    <w:p w14:paraId="41D9DCD7" w14:textId="77777777" w:rsidR="0064737B" w:rsidRPr="001D5B8D" w:rsidRDefault="0064737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3"/>
        <w:gridCol w:w="2694"/>
        <w:gridCol w:w="2976"/>
      </w:tblGrid>
      <w:tr w:rsidR="00321D2E" w:rsidRPr="00025B01" w14:paraId="29F30306" w14:textId="77777777" w:rsidTr="00FB1012">
        <w:trPr>
          <w:cantSplit/>
          <w:trHeight w:hRule="exact" w:val="800"/>
          <w:tblHeader/>
        </w:trPr>
        <w:tc>
          <w:tcPr>
            <w:tcW w:w="28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DFA012A" w14:textId="77777777" w:rsidR="00321D2E" w:rsidRPr="00025B01" w:rsidRDefault="00321D2E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Szervrendszer</w:t>
            </w:r>
          </w:p>
        </w:tc>
        <w:tc>
          <w:tcPr>
            <w:tcW w:w="2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B0B9906" w14:textId="77777777" w:rsidR="00321D2E" w:rsidRPr="00025B01" w:rsidRDefault="00321D2E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Gyakori</w:t>
            </w:r>
          </w:p>
          <w:p w14:paraId="66FA632E" w14:textId="77777777" w:rsidR="00321D2E" w:rsidRPr="00025B01" w:rsidRDefault="00321D2E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≥1/100 - &lt;1/10</w:t>
            </w:r>
          </w:p>
        </w:tc>
        <w:tc>
          <w:tcPr>
            <w:tcW w:w="2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2EBBBA0C" w14:textId="77777777" w:rsidR="00321D2E" w:rsidRPr="00025B01" w:rsidRDefault="00321D2E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Nem gyakori</w:t>
            </w:r>
          </w:p>
          <w:p w14:paraId="72DD2C22" w14:textId="77777777" w:rsidR="00321D2E" w:rsidRPr="00025B01" w:rsidRDefault="00321D2E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≥1/1000 - &lt;1/100</w:t>
            </w:r>
          </w:p>
        </w:tc>
      </w:tr>
      <w:tr w:rsidR="00321D2E" w:rsidRPr="00025B01" w14:paraId="4A14AC7C" w14:textId="77777777" w:rsidTr="00FB1012">
        <w:trPr>
          <w:cantSplit/>
          <w:trHeight w:hRule="exact" w:val="614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6AC7BB98" w14:textId="77777777" w:rsidR="00321D2E" w:rsidRPr="00025B01" w:rsidRDefault="00321D2E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Fertőző betegségek és parazitafertőzések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0B749BD3" w14:textId="77777777" w:rsidR="00321D2E" w:rsidRPr="00025B01" w:rsidRDefault="00321D2E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138AACD2" w14:textId="77777777" w:rsidR="00321D2E" w:rsidRPr="00025B01" w:rsidRDefault="00187B17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v</w:t>
            </w:r>
            <w:r w:rsidR="00321D2E" w:rsidRPr="00025B01">
              <w:rPr>
                <w:rFonts w:ascii="Times New Roman" w:hAnsi="Times New Roman"/>
              </w:rPr>
              <w:t>ulvovaginalis gombás fertőzés</w:t>
            </w:r>
          </w:p>
        </w:tc>
      </w:tr>
      <w:tr w:rsidR="00321D2E" w:rsidRPr="00025B01" w14:paraId="46C621F6" w14:textId="77777777" w:rsidTr="00FB1012">
        <w:trPr>
          <w:cantSplit/>
          <w:trHeight w:hRule="exact" w:val="564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1629F3BB" w14:textId="77777777" w:rsidR="00321D2E" w:rsidRPr="00025B01" w:rsidRDefault="00321D2E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Idegrendszeri betegségek és tünetek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627808E0" w14:textId="77777777" w:rsidR="00321D2E" w:rsidRPr="00025B01" w:rsidRDefault="00187B17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f</w:t>
            </w:r>
            <w:r w:rsidR="00321D2E" w:rsidRPr="00025B01">
              <w:rPr>
                <w:rFonts w:ascii="Times New Roman" w:hAnsi="Times New Roman"/>
              </w:rPr>
              <w:t>ejfájás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31F95F34" w14:textId="77777777" w:rsidR="00321D2E" w:rsidRPr="00025B01" w:rsidRDefault="00321D2E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</w:p>
        </w:tc>
      </w:tr>
      <w:tr w:rsidR="00ED2D64" w:rsidRPr="00025B01" w14:paraId="1D53F155" w14:textId="77777777" w:rsidTr="00FB1012">
        <w:trPr>
          <w:cantSplit/>
          <w:trHeight w:hRule="exact" w:val="811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3A11AC90" w14:textId="77777777" w:rsidR="00ED2D64" w:rsidRPr="00025B01" w:rsidRDefault="00ED2D64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Érbetegségek és tünetek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5315F41E" w14:textId="77777777" w:rsidR="00ED2D64" w:rsidRPr="00025B01" w:rsidRDefault="00ED2D64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0C42FAA5" w14:textId="77777777" w:rsidR="00ED2D64" w:rsidRPr="00025B01" w:rsidRDefault="00187B17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h</w:t>
            </w:r>
            <w:r w:rsidR="00ED2D64" w:rsidRPr="00025B01">
              <w:rPr>
                <w:rFonts w:ascii="Times New Roman" w:hAnsi="Times New Roman"/>
              </w:rPr>
              <w:t>őhullám</w:t>
            </w:r>
          </w:p>
          <w:p w14:paraId="009633F5" w14:textId="77777777" w:rsidR="00ED2D64" w:rsidRPr="00025B01" w:rsidRDefault="00187B17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m</w:t>
            </w:r>
            <w:r w:rsidR="00ED2D64" w:rsidRPr="00025B01">
              <w:rPr>
                <w:rFonts w:ascii="Times New Roman" w:hAnsi="Times New Roman"/>
              </w:rPr>
              <w:t>agas vérnyomás</w:t>
            </w:r>
          </w:p>
        </w:tc>
      </w:tr>
      <w:tr w:rsidR="00321D2E" w:rsidRPr="00025B01" w14:paraId="5EDD3087" w14:textId="77777777" w:rsidTr="00FB1012">
        <w:trPr>
          <w:cantSplit/>
          <w:trHeight w:hRule="exact" w:val="566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385E0D9E" w14:textId="77777777" w:rsidR="00321D2E" w:rsidRPr="00025B01" w:rsidRDefault="00321D2E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Emésztőrendszeri betegségek és tünetek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0B3D2D2C" w14:textId="77777777" w:rsidR="00321D2E" w:rsidRPr="00025B01" w:rsidRDefault="00187B17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h</w:t>
            </w:r>
            <w:r w:rsidR="00321D2E" w:rsidRPr="00025B01">
              <w:rPr>
                <w:rFonts w:ascii="Times New Roman" w:hAnsi="Times New Roman"/>
              </w:rPr>
              <w:t>asfájás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44FAA6C8" w14:textId="77777777" w:rsidR="00321D2E" w:rsidRPr="00025B01" w:rsidRDefault="00187B17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h</w:t>
            </w:r>
            <w:r w:rsidR="00ED2D64" w:rsidRPr="00025B01">
              <w:rPr>
                <w:rFonts w:ascii="Times New Roman" w:hAnsi="Times New Roman"/>
              </w:rPr>
              <w:t>ányinger</w:t>
            </w:r>
          </w:p>
        </w:tc>
      </w:tr>
      <w:tr w:rsidR="00ED2D64" w:rsidRPr="00025B01" w14:paraId="4CC2F87F" w14:textId="77777777" w:rsidTr="00321D2E">
        <w:trPr>
          <w:cantSplit/>
          <w:trHeight w:hRule="exact" w:val="842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669B9E21" w14:textId="77777777" w:rsidR="00ED2D64" w:rsidRPr="00025B01" w:rsidRDefault="00ED2D64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A bőr és a bőr alatti szövet betegségei és tünetei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7B0E5830" w14:textId="77777777" w:rsidR="00ED2D64" w:rsidRPr="00025B01" w:rsidRDefault="00ED2D64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705A2178" w14:textId="77777777" w:rsidR="00ED2D64" w:rsidRPr="00025B01" w:rsidRDefault="00187B17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b</w:t>
            </w:r>
            <w:r w:rsidR="00ED2D64" w:rsidRPr="00025B01">
              <w:rPr>
                <w:rFonts w:ascii="Times New Roman" w:hAnsi="Times New Roman"/>
              </w:rPr>
              <w:t>őrkiütés</w:t>
            </w:r>
          </w:p>
        </w:tc>
      </w:tr>
      <w:tr w:rsidR="00321D2E" w:rsidRPr="00025B01" w14:paraId="45EA33CA" w14:textId="77777777" w:rsidTr="00FB1012">
        <w:trPr>
          <w:cantSplit/>
          <w:trHeight w:hRule="exact" w:val="842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6EC3FC5F" w14:textId="77777777" w:rsidR="00321D2E" w:rsidRPr="00025B01" w:rsidRDefault="00321D2E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A nemi szervekkel és az emlőkkel kapcsolatos betegségek és tünetek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6FB5B95A" w14:textId="77777777" w:rsidR="00321D2E" w:rsidRPr="00025B01" w:rsidRDefault="00187B17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v</w:t>
            </w:r>
            <w:r w:rsidR="00321D2E" w:rsidRPr="00025B01">
              <w:rPr>
                <w:rFonts w:ascii="Times New Roman" w:hAnsi="Times New Roman"/>
              </w:rPr>
              <w:t>agin</w:t>
            </w:r>
            <w:r w:rsidR="00ED2D64" w:rsidRPr="00025B01">
              <w:rPr>
                <w:rFonts w:ascii="Times New Roman" w:hAnsi="Times New Roman"/>
              </w:rPr>
              <w:t>a</w:t>
            </w:r>
            <w:r w:rsidR="00321D2E" w:rsidRPr="00025B01">
              <w:rPr>
                <w:rFonts w:ascii="Times New Roman" w:hAnsi="Times New Roman"/>
              </w:rPr>
              <w:t>lis haemorrhagia, hüvelyfolyás vagy hüvelyi diszkomfort</w:t>
            </w: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2994A0D1" w14:textId="77777777" w:rsidR="00321D2E" w:rsidRPr="00025B01" w:rsidRDefault="00321D2E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</w:p>
        </w:tc>
      </w:tr>
      <w:tr w:rsidR="00321D2E" w:rsidRPr="00025B01" w14:paraId="6A8ACFA2" w14:textId="77777777" w:rsidTr="00FB1012">
        <w:trPr>
          <w:cantSplit/>
          <w:trHeight w:hRule="exact" w:val="580"/>
        </w:trPr>
        <w:tc>
          <w:tcPr>
            <w:tcW w:w="2833" w:type="dxa"/>
            <w:tcBorders>
              <w:left w:val="single" w:sz="1" w:space="0" w:color="000000"/>
              <w:bottom w:val="single" w:sz="1" w:space="0" w:color="000000"/>
            </w:tcBorders>
          </w:tcPr>
          <w:p w14:paraId="44D19942" w14:textId="77777777" w:rsidR="00321D2E" w:rsidRPr="00025B01" w:rsidRDefault="00321D2E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Laboratóriumi és egyéb vizsgálatok eredményei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</w:tcBorders>
          </w:tcPr>
          <w:p w14:paraId="37F160C1" w14:textId="77777777" w:rsidR="00321D2E" w:rsidRPr="00025B01" w:rsidRDefault="00321D2E" w:rsidP="001D5B8D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</w:p>
        </w:tc>
        <w:tc>
          <w:tcPr>
            <w:tcW w:w="2976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4219958B" w14:textId="77777777" w:rsidR="00321D2E" w:rsidRPr="00025B01" w:rsidRDefault="00187B17">
            <w:pPr>
              <w:widowControl w:val="0"/>
              <w:suppressAutoHyphens/>
              <w:spacing w:after="0" w:line="240" w:lineRule="auto"/>
              <w:ind w:left="57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t</w:t>
            </w:r>
            <w:r w:rsidR="00321D2E" w:rsidRPr="00025B01">
              <w:rPr>
                <w:rFonts w:ascii="Times New Roman" w:hAnsi="Times New Roman"/>
              </w:rPr>
              <w:t>est</w:t>
            </w:r>
            <w:r w:rsidR="00A533C3" w:rsidRPr="00025B01">
              <w:rPr>
                <w:rFonts w:ascii="Times New Roman" w:hAnsi="Times New Roman"/>
              </w:rPr>
              <w:t>tömeg-</w:t>
            </w:r>
            <w:r w:rsidR="00321D2E" w:rsidRPr="00025B01">
              <w:rPr>
                <w:rFonts w:ascii="Times New Roman" w:hAnsi="Times New Roman"/>
              </w:rPr>
              <w:t>növekedés</w:t>
            </w:r>
          </w:p>
        </w:tc>
      </w:tr>
    </w:tbl>
    <w:p w14:paraId="6A4C6765" w14:textId="77777777" w:rsidR="00ED2D64" w:rsidRPr="001D5B8D" w:rsidRDefault="00ED2D64" w:rsidP="001D5B8D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0277CF7" w14:textId="77777777" w:rsidR="00ED2D64" w:rsidRPr="001D5B8D" w:rsidRDefault="00ED2D64" w:rsidP="00632DBE">
      <w:pPr>
        <w:keepNext/>
        <w:widowControl w:val="0"/>
        <w:suppressAutoHyphens/>
        <w:spacing w:after="0" w:line="240" w:lineRule="auto"/>
        <w:ind w:left="-17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lastRenderedPageBreak/>
        <w:t>A forgalomba hozatalt követő tapasztalatok</w:t>
      </w:r>
    </w:p>
    <w:p w14:paraId="55F1B917" w14:textId="696436B6" w:rsidR="00ED2D64" w:rsidRPr="001D5B8D" w:rsidRDefault="00ED2D64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fent említett mellékhatásokon kívül az alábbiakban láthatók azok a spontán jelentett mellékhatások, amelyeket a </w:t>
      </w:r>
      <w:r w:rsidR="005C2664">
        <w:rPr>
          <w:rFonts w:ascii="Times New Roman" w:hAnsi="Times New Roman"/>
        </w:rPr>
        <w:t>10</w:t>
      </w:r>
      <w:r w:rsidRPr="001D5B8D">
        <w:rPr>
          <w:rFonts w:ascii="Times New Roman" w:hAnsi="Times New Roman"/>
        </w:rPr>
        <w:t xml:space="preserve"> mikrogramm ösztradioltartalmú hüvelytablettával kezelt betegeknél jelentettek és a kezeléssel valószínűleg összefüggésbe hozhatók. </w:t>
      </w:r>
      <w:r w:rsidR="00872E07" w:rsidRPr="00F02A94">
        <w:rPr>
          <w:rFonts w:ascii="Times New Roman" w:hAnsi="Times New Roman"/>
        </w:rPr>
        <w:t>Az alábbiakban felsorolt mellékhatások</w:t>
      </w:r>
      <w:r w:rsidR="001579E4">
        <w:rPr>
          <w:rFonts w:ascii="Times New Roman" w:hAnsi="Times New Roman"/>
        </w:rPr>
        <w:t xml:space="preserve"> esetében a </w:t>
      </w:r>
      <w:r w:rsidR="001579E4" w:rsidRPr="004D089C">
        <w:rPr>
          <w:rFonts w:ascii="Times New Roman" w:hAnsi="Times New Roman"/>
        </w:rPr>
        <w:t>gyakoriság nem értelmezhető</w:t>
      </w:r>
      <w:r w:rsidR="001579E4">
        <w:rPr>
          <w:rFonts w:ascii="Times New Roman" w:hAnsi="Times New Roman"/>
        </w:rPr>
        <w:t>, mert ezeket</w:t>
      </w:r>
      <w:r w:rsidR="001579E4" w:rsidRPr="00F02A94">
        <w:rPr>
          <w:rFonts w:ascii="Times New Roman" w:hAnsi="Times New Roman"/>
        </w:rPr>
        <w:t xml:space="preserve"> </w:t>
      </w:r>
      <w:r w:rsidR="00872E07" w:rsidRPr="00F02A94">
        <w:rPr>
          <w:rFonts w:ascii="Times New Roman" w:hAnsi="Times New Roman"/>
        </w:rPr>
        <w:t xml:space="preserve">önkéntes </w:t>
      </w:r>
      <w:r w:rsidR="00872E07">
        <w:rPr>
          <w:rFonts w:ascii="Times New Roman" w:hAnsi="Times New Roman"/>
        </w:rPr>
        <w:t xml:space="preserve">alapon </w:t>
      </w:r>
      <w:r w:rsidR="00872E07" w:rsidRPr="00F02A94">
        <w:rPr>
          <w:rFonts w:ascii="Times New Roman" w:hAnsi="Times New Roman"/>
        </w:rPr>
        <w:t>jelentették be</w:t>
      </w:r>
      <w:r w:rsidR="001579E4">
        <w:rPr>
          <w:rFonts w:ascii="Times New Roman" w:hAnsi="Times New Roman"/>
        </w:rPr>
        <w:t xml:space="preserve"> és</w:t>
      </w:r>
      <w:r w:rsidR="00872E07">
        <w:rPr>
          <w:rFonts w:ascii="Times New Roman" w:hAnsi="Times New Roman"/>
        </w:rPr>
        <w:t xml:space="preserve"> </w:t>
      </w:r>
      <w:r w:rsidR="00872E07" w:rsidRPr="004D089C">
        <w:rPr>
          <w:rFonts w:ascii="Times New Roman" w:hAnsi="Times New Roman"/>
        </w:rPr>
        <w:t>ismeretlen méretű populációból származnak</w:t>
      </w:r>
      <w:r w:rsidRPr="001D5B8D">
        <w:rPr>
          <w:rFonts w:ascii="Times New Roman" w:hAnsi="Times New Roman"/>
        </w:rPr>
        <w:t>.</w:t>
      </w:r>
    </w:p>
    <w:p w14:paraId="35568B63" w14:textId="5F199DAA" w:rsidR="00ED2D64" w:rsidRPr="001D5B8D" w:rsidRDefault="00ED2D64">
      <w:pPr>
        <w:widowControl w:val="0"/>
        <w:suppressAutoHyphens/>
        <w:spacing w:after="0" w:line="240" w:lineRule="auto"/>
        <w:ind w:left="567" w:hanging="582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  <w:t>Jó-</w:t>
      </w:r>
      <w:r w:rsidR="001579E4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rosszindulatú </w:t>
      </w:r>
      <w:r w:rsidR="001579E4">
        <w:rPr>
          <w:rFonts w:ascii="Times New Roman" w:hAnsi="Times New Roman"/>
        </w:rPr>
        <w:t xml:space="preserve">és nem meghatározott </w:t>
      </w:r>
      <w:r w:rsidRPr="001D5B8D">
        <w:rPr>
          <w:rFonts w:ascii="Times New Roman" w:hAnsi="Times New Roman"/>
        </w:rPr>
        <w:t>daganatok (beleértve a cisztákat és polipokat is): emlőrák, endometrium</w:t>
      </w:r>
      <w:r w:rsidR="00A32493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carcinoma;</w:t>
      </w:r>
    </w:p>
    <w:p w14:paraId="542E1B3F" w14:textId="77777777" w:rsidR="00ED2D64" w:rsidRPr="001D5B8D" w:rsidRDefault="00ED2D6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i</w:t>
      </w:r>
      <w:r w:rsidRPr="001D5B8D">
        <w:rPr>
          <w:rFonts w:ascii="Times New Roman" w:hAnsi="Times New Roman"/>
        </w:rPr>
        <w:t>mmunrendszeri betegségek és tünetek: generalizált túlérzékenységi reakciók (pl. anaphylaxiás reakció/sokk);</w:t>
      </w:r>
    </w:p>
    <w:p w14:paraId="07D82844" w14:textId="77777777" w:rsidR="00ED2D64" w:rsidRPr="001D5B8D" w:rsidRDefault="00ED2D64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a</w:t>
      </w:r>
      <w:r w:rsidRPr="00632DBE">
        <w:rPr>
          <w:rFonts w:ascii="Times New Roman" w:hAnsi="Times New Roman"/>
        </w:rPr>
        <w:t>nyagcsere- és táplálkozási betegségek és tünetek:</w:t>
      </w:r>
      <w:r w:rsidRPr="001D5B8D">
        <w:rPr>
          <w:rFonts w:ascii="Times New Roman" w:hAnsi="Times New Roman"/>
        </w:rPr>
        <w:t xml:space="preserve"> folyadék-visszatartás;</w:t>
      </w:r>
    </w:p>
    <w:p w14:paraId="0A8D6D28" w14:textId="77777777" w:rsidR="00ED2D64" w:rsidRPr="00632DBE" w:rsidRDefault="00ED2D64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p</w:t>
      </w:r>
      <w:r w:rsidRPr="001D5B8D">
        <w:rPr>
          <w:rFonts w:ascii="Times New Roman" w:hAnsi="Times New Roman"/>
        </w:rPr>
        <w:t>szichiátriai kórképek:</w:t>
      </w:r>
      <w:r w:rsidRPr="00632DBE">
        <w:rPr>
          <w:rFonts w:ascii="Times New Roman" w:hAnsi="Times New Roman"/>
        </w:rPr>
        <w:t xml:space="preserve"> insomnia;</w:t>
      </w:r>
    </w:p>
    <w:p w14:paraId="6EA150B3" w14:textId="77777777" w:rsidR="00ED2D64" w:rsidRPr="001D5B8D" w:rsidRDefault="00ED2D64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i</w:t>
      </w:r>
      <w:r w:rsidRPr="001D5B8D">
        <w:rPr>
          <w:rFonts w:ascii="Times New Roman" w:hAnsi="Times New Roman"/>
        </w:rPr>
        <w:t>degrendszeri betegségek és tünetek: súlyosbodó migrén</w:t>
      </w:r>
      <w:r w:rsidR="00205445" w:rsidRPr="001D5B8D">
        <w:rPr>
          <w:rFonts w:ascii="Times New Roman" w:hAnsi="Times New Roman"/>
        </w:rPr>
        <w:t>;</w:t>
      </w:r>
    </w:p>
    <w:p w14:paraId="3DA1D392" w14:textId="77777777" w:rsidR="00ED2D64" w:rsidRPr="001D5B8D" w:rsidRDefault="00ED2D64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é</w:t>
      </w:r>
      <w:r w:rsidRPr="001D5B8D">
        <w:rPr>
          <w:rFonts w:ascii="Times New Roman" w:hAnsi="Times New Roman"/>
        </w:rPr>
        <w:t>rbetegségek és tünetek: mélyvénás thrombosis</w:t>
      </w:r>
      <w:r w:rsidR="00205445" w:rsidRPr="001D5B8D">
        <w:rPr>
          <w:rFonts w:ascii="Times New Roman" w:hAnsi="Times New Roman"/>
        </w:rPr>
        <w:t>;</w:t>
      </w:r>
    </w:p>
    <w:p w14:paraId="043E5B4A" w14:textId="77777777" w:rsidR="00ED2D64" w:rsidRPr="001D5B8D" w:rsidRDefault="00ED2D64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e</w:t>
      </w:r>
      <w:r w:rsidRPr="001D5B8D">
        <w:rPr>
          <w:rFonts w:ascii="Times New Roman" w:hAnsi="Times New Roman"/>
        </w:rPr>
        <w:t>mésztőrendszeri betegségek és tünetek: diarrhoea</w:t>
      </w:r>
      <w:r w:rsidR="00205445" w:rsidRPr="001D5B8D">
        <w:rPr>
          <w:rFonts w:ascii="Times New Roman" w:hAnsi="Times New Roman"/>
        </w:rPr>
        <w:t>;</w:t>
      </w:r>
    </w:p>
    <w:p w14:paraId="6740D1CA" w14:textId="61F68DC4" w:rsidR="00205445" w:rsidRPr="001D5B8D" w:rsidRDefault="006B7BEF">
      <w:pPr>
        <w:pStyle w:val="Listaszerbekezds"/>
        <w:widowControl w:val="0"/>
        <w:numPr>
          <w:ilvl w:val="0"/>
          <w:numId w:val="1"/>
        </w:numPr>
        <w:suppressAutoHyphens/>
        <w:spacing w:after="0" w:line="240" w:lineRule="auto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205445" w:rsidRPr="001D5B8D">
        <w:rPr>
          <w:rFonts w:ascii="Times New Roman" w:hAnsi="Times New Roman"/>
        </w:rPr>
        <w:t xml:space="preserve"> bőr és a bőr alatti szövet betegségei és tünetei: </w:t>
      </w:r>
      <w:r w:rsidR="00DE5BF5">
        <w:rPr>
          <w:rFonts w:ascii="Times New Roman" w:hAnsi="Times New Roman"/>
        </w:rPr>
        <w:t>pruritus</w:t>
      </w:r>
      <w:r w:rsidR="00DE5BF5" w:rsidRPr="00A23096">
        <w:rPr>
          <w:rFonts w:ascii="Times New Roman" w:hAnsi="Times New Roman"/>
        </w:rPr>
        <w:t>, bőrkiütés</w:t>
      </w:r>
      <w:r w:rsidR="00DE5BF5">
        <w:rPr>
          <w:rFonts w:ascii="Times New Roman" w:hAnsi="Times New Roman"/>
        </w:rPr>
        <w:t xml:space="preserve">, </w:t>
      </w:r>
      <w:r w:rsidR="00A32493">
        <w:rPr>
          <w:rFonts w:ascii="Times New Roman" w:hAnsi="Times New Roman"/>
        </w:rPr>
        <w:t>urticaria</w:t>
      </w:r>
      <w:r w:rsidR="007B658E" w:rsidRPr="001D5B8D">
        <w:rPr>
          <w:rFonts w:ascii="Times New Roman" w:hAnsi="Times New Roman"/>
        </w:rPr>
        <w:t>;</w:t>
      </w:r>
    </w:p>
    <w:p w14:paraId="3CBD1D28" w14:textId="6468C08F" w:rsidR="00205445" w:rsidRPr="001D5B8D" w:rsidRDefault="00205445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 xml:space="preserve"> nemi szervekkel és az emlőkkel kapcsolatos betegségek és tünetek: endometrium</w:t>
      </w:r>
      <w:r w:rsidR="009F3F19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 xml:space="preserve">hyperplasia, </w:t>
      </w:r>
      <w:r w:rsidR="00913AB4" w:rsidRPr="00B27EAF">
        <w:rPr>
          <w:rFonts w:ascii="Times New Roman" w:eastAsia="Times New Roman" w:hAnsi="Times New Roman"/>
          <w:lang w:eastAsia="de-DE"/>
        </w:rPr>
        <w:t>vulvovagin</w:t>
      </w:r>
      <w:r w:rsidR="00913AB4">
        <w:rPr>
          <w:rFonts w:ascii="Times New Roman" w:eastAsia="Times New Roman" w:hAnsi="Times New Roman"/>
          <w:lang w:eastAsia="de-DE"/>
        </w:rPr>
        <w:t>alis fájdalom</w:t>
      </w:r>
      <w:r w:rsidR="00913AB4" w:rsidRPr="007B6835">
        <w:rPr>
          <w:rFonts w:ascii="Times New Roman" w:hAnsi="Times New Roman"/>
          <w:iCs/>
          <w:color w:val="000000"/>
          <w:vertAlign w:val="superscript"/>
        </w:rPr>
        <w:footnoteReference w:id="1"/>
      </w:r>
      <w:r w:rsidR="00913AB4" w:rsidRPr="00B27EAF">
        <w:rPr>
          <w:rFonts w:ascii="Times New Roman" w:eastAsia="Times New Roman" w:hAnsi="Times New Roman"/>
          <w:lang w:eastAsia="de-DE"/>
        </w:rPr>
        <w:t>, g</w:t>
      </w:r>
      <w:r w:rsidR="00913AB4">
        <w:rPr>
          <w:rFonts w:ascii="Times New Roman" w:eastAsia="Times New Roman" w:hAnsi="Times New Roman"/>
          <w:lang w:eastAsia="de-DE"/>
        </w:rPr>
        <w:t>enitális pru</w:t>
      </w:r>
      <w:r w:rsidR="00913AB4" w:rsidRPr="00B27EAF">
        <w:rPr>
          <w:rFonts w:ascii="Times New Roman" w:eastAsia="Times New Roman" w:hAnsi="Times New Roman"/>
          <w:lang w:eastAsia="de-DE"/>
        </w:rPr>
        <w:t>ritus</w:t>
      </w:r>
      <w:r w:rsidR="007B658E" w:rsidRPr="001D5B8D">
        <w:rPr>
          <w:rFonts w:ascii="Times New Roman" w:hAnsi="Times New Roman"/>
        </w:rPr>
        <w:t>;</w:t>
      </w:r>
    </w:p>
    <w:p w14:paraId="2DF9B5EB" w14:textId="65780D4A" w:rsidR="00205445" w:rsidRPr="001D5B8D" w:rsidRDefault="00205445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á</w:t>
      </w:r>
      <w:r w:rsidRPr="001D5B8D">
        <w:rPr>
          <w:rFonts w:ascii="Times New Roman" w:hAnsi="Times New Roman"/>
        </w:rPr>
        <w:t xml:space="preserve">ltalános tünetek, az alkalmazás helyén fellépő reakciók: </w:t>
      </w:r>
      <w:r w:rsidR="00770396">
        <w:rPr>
          <w:rFonts w:ascii="Times New Roman" w:hAnsi="Times New Roman"/>
        </w:rPr>
        <w:t>a</w:t>
      </w:r>
      <w:r w:rsidR="00770396" w:rsidRPr="001D4E44">
        <w:rPr>
          <w:rFonts w:ascii="Times New Roman" w:hAnsi="Times New Roman"/>
        </w:rPr>
        <w:t>z alkalmazás helyén fellépő reakció</w:t>
      </w:r>
      <w:r w:rsidR="00770396" w:rsidRPr="007B6835">
        <w:rPr>
          <w:rFonts w:ascii="Times New Roman" w:hAnsi="Times New Roman"/>
          <w:iCs/>
          <w:color w:val="000000"/>
          <w:vertAlign w:val="superscript"/>
        </w:rPr>
        <w:footnoteReference w:id="2"/>
      </w:r>
      <w:r w:rsidR="00770396">
        <w:rPr>
          <w:rFonts w:ascii="Times New Roman" w:hAnsi="Times New Roman"/>
        </w:rPr>
        <w:t xml:space="preserve">, </w:t>
      </w:r>
      <w:r w:rsidRPr="001D5B8D">
        <w:rPr>
          <w:rFonts w:ascii="Times New Roman" w:hAnsi="Times New Roman"/>
        </w:rPr>
        <w:t>g</w:t>
      </w:r>
      <w:r w:rsidR="007B658E" w:rsidRPr="001D5B8D">
        <w:rPr>
          <w:rFonts w:ascii="Times New Roman" w:hAnsi="Times New Roman"/>
        </w:rPr>
        <w:t>yógyszer-hatástalanság</w:t>
      </w:r>
      <w:r w:rsidR="00970656">
        <w:rPr>
          <w:rFonts w:ascii="Times New Roman" w:hAnsi="Times New Roman"/>
        </w:rPr>
        <w:t xml:space="preserve">, az eszköz </w:t>
      </w:r>
      <w:r w:rsidR="001579E4" w:rsidRPr="00423876">
        <w:rPr>
          <w:rFonts w:ascii="Times New Roman" w:hAnsi="Times New Roman"/>
        </w:rPr>
        <w:t xml:space="preserve">használatával összefüggő </w:t>
      </w:r>
      <w:r w:rsidR="00970656">
        <w:rPr>
          <w:rFonts w:ascii="Times New Roman" w:hAnsi="Times New Roman"/>
        </w:rPr>
        <w:t>sérülés</w:t>
      </w:r>
      <w:r w:rsidR="00970656" w:rsidRPr="007B6835">
        <w:rPr>
          <w:rFonts w:ascii="Times New Roman" w:hAnsi="Times New Roman"/>
          <w:iCs/>
          <w:color w:val="000000"/>
          <w:vertAlign w:val="superscript"/>
        </w:rPr>
        <w:footnoteReference w:id="3"/>
      </w:r>
      <w:r w:rsidRPr="001D5B8D">
        <w:rPr>
          <w:rFonts w:ascii="Times New Roman" w:hAnsi="Times New Roman"/>
        </w:rPr>
        <w:t>.</w:t>
      </w:r>
    </w:p>
    <w:p w14:paraId="5FC4CE89" w14:textId="77777777" w:rsidR="00205445" w:rsidRPr="001D5B8D" w:rsidRDefault="00205445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1C3459A1" w14:textId="77777777" w:rsidR="007B658E" w:rsidRPr="001D5B8D" w:rsidRDefault="007B658E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  <w:u w:val="single"/>
        </w:rPr>
        <w:t>szisztémás</w:t>
      </w:r>
      <w:r w:rsidRPr="001D5B8D">
        <w:rPr>
          <w:rFonts w:ascii="Times New Roman" w:hAnsi="Times New Roman"/>
        </w:rPr>
        <w:t xml:space="preserve"> ösztrogén/progesztagén</w:t>
      </w:r>
      <w:r w:rsidR="00AC581F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kezeléssel kapcsolatban egyéb mellékhatásokat is jelentettek. Mivel a kockázatbecsléseket a szisztémás expozíció alapján számolták, nem ismert, hogy ezek hogyan alkalmazhatók a lokális kezelésre:</w:t>
      </w:r>
    </w:p>
    <w:p w14:paraId="1F5F32A2" w14:textId="77777777" w:rsidR="007B658E" w:rsidRPr="001D5B8D" w:rsidRDefault="007B658E">
      <w:pPr>
        <w:widowControl w:val="0"/>
        <w:suppressAutoHyphens/>
        <w:spacing w:after="0" w:line="240" w:lineRule="auto"/>
        <w:ind w:left="567" w:hanging="567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e</w:t>
      </w:r>
      <w:r w:rsidRPr="001D5B8D">
        <w:rPr>
          <w:rFonts w:ascii="Times New Roman" w:hAnsi="Times New Roman"/>
        </w:rPr>
        <w:t>pehólyag-betegség;</w:t>
      </w:r>
    </w:p>
    <w:p w14:paraId="22262CB9" w14:textId="77777777" w:rsidR="007B658E" w:rsidRPr="001D5B8D" w:rsidRDefault="007B658E">
      <w:pPr>
        <w:widowControl w:val="0"/>
        <w:suppressAutoHyphens/>
        <w:spacing w:after="0" w:line="240" w:lineRule="auto"/>
        <w:ind w:left="567" w:hanging="582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 xml:space="preserve"> bőr és a bőr alatti szövet betegségei és tünetei: chloasma, erythema multiforme, erythema nodosum, vascularis purpura</w:t>
      </w:r>
      <w:r w:rsidR="006B7BEF">
        <w:rPr>
          <w:rFonts w:ascii="Times New Roman" w:hAnsi="Times New Roman"/>
        </w:rPr>
        <w:t>;</w:t>
      </w:r>
    </w:p>
    <w:p w14:paraId="2D8E6DB4" w14:textId="77777777" w:rsidR="007B658E" w:rsidRPr="001D5B8D" w:rsidRDefault="007B658E">
      <w:pPr>
        <w:widowControl w:val="0"/>
        <w:suppressAutoHyphens/>
        <w:spacing w:after="0" w:line="240" w:lineRule="auto"/>
        <w:ind w:left="567" w:hanging="582"/>
        <w:rPr>
          <w:rFonts w:ascii="Times New Roman" w:hAnsi="Times New Roman"/>
        </w:rPr>
      </w:pPr>
      <w:r w:rsidRPr="001D5B8D">
        <w:rPr>
          <w:rFonts w:ascii="Times New Roman" w:hAnsi="Times New Roman"/>
        </w:rPr>
        <w:t>•</w:t>
      </w:r>
      <w:r w:rsidRPr="001D5B8D">
        <w:rPr>
          <w:rFonts w:ascii="Times New Roman" w:hAnsi="Times New Roman"/>
        </w:rPr>
        <w:tab/>
      </w:r>
      <w:r w:rsidR="006B7BEF">
        <w:rPr>
          <w:rFonts w:ascii="Times New Roman" w:hAnsi="Times New Roman"/>
        </w:rPr>
        <w:t>v</w:t>
      </w:r>
      <w:r w:rsidRPr="001D5B8D">
        <w:rPr>
          <w:rFonts w:ascii="Times New Roman" w:hAnsi="Times New Roman"/>
        </w:rPr>
        <w:t>árható demen</w:t>
      </w:r>
      <w:r w:rsidR="00A00E0A" w:rsidRPr="001D5B8D">
        <w:rPr>
          <w:rFonts w:ascii="Times New Roman" w:hAnsi="Times New Roman"/>
        </w:rPr>
        <w:t>c</w:t>
      </w:r>
      <w:r w:rsidRPr="001D5B8D">
        <w:rPr>
          <w:rFonts w:ascii="Times New Roman" w:hAnsi="Times New Roman"/>
        </w:rPr>
        <w:t>ia 65 éves kor felett (lásd 4.4 pont).</w:t>
      </w:r>
    </w:p>
    <w:p w14:paraId="4C136A95" w14:textId="77777777" w:rsidR="007B658E" w:rsidRPr="001D5B8D" w:rsidRDefault="007B658E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FECA7F4" w14:textId="77777777" w:rsidR="007B658E" w:rsidRPr="001D5B8D" w:rsidRDefault="007B658E">
      <w:pPr>
        <w:widowControl w:val="0"/>
        <w:suppressAutoHyphens/>
        <w:spacing w:after="0" w:line="240" w:lineRule="auto"/>
        <w:rPr>
          <w:rFonts w:ascii="Times New Roman" w:hAnsi="Times New Roman"/>
          <w:i/>
          <w:u w:val="single"/>
        </w:rPr>
      </w:pPr>
      <w:r w:rsidRPr="001D5B8D">
        <w:rPr>
          <w:rFonts w:ascii="Times New Roman" w:hAnsi="Times New Roman"/>
          <w:i/>
          <w:u w:val="single"/>
        </w:rPr>
        <w:t>A szisztémás hormonpótló kezeléssel összefüggő, gyógyszercsoportra jellemző tulajdonságok</w:t>
      </w:r>
    </w:p>
    <w:p w14:paraId="54F3FC9A" w14:textId="77777777" w:rsidR="00DB0CD2" w:rsidRPr="00291BBC" w:rsidRDefault="007B658E" w:rsidP="00DB0CD2">
      <w:pPr>
        <w:widowControl w:val="0"/>
        <w:suppressAutoHyphens/>
        <w:spacing w:after="0" w:line="240" w:lineRule="auto"/>
        <w:rPr>
          <w:rFonts w:ascii="Times New Roman" w:hAnsi="Times New Roman"/>
          <w:i/>
        </w:rPr>
      </w:pPr>
      <w:r w:rsidRPr="001D5B8D">
        <w:rPr>
          <w:rFonts w:ascii="Times New Roman" w:hAnsi="Times New Roman"/>
          <w:i/>
        </w:rPr>
        <w:t xml:space="preserve">Az alábbi kockázatok a </w:t>
      </w:r>
      <w:r w:rsidRPr="001D5B8D">
        <w:rPr>
          <w:rFonts w:ascii="Times New Roman" w:hAnsi="Times New Roman"/>
          <w:u w:val="single"/>
        </w:rPr>
        <w:t>szisztémás</w:t>
      </w:r>
      <w:r w:rsidRPr="001D5B8D">
        <w:rPr>
          <w:rFonts w:ascii="Times New Roman" w:hAnsi="Times New Roman"/>
          <w:i/>
        </w:rPr>
        <w:t xml:space="preserve"> hormonpótló kezeléshez társulnak, és kisebb mérték</w:t>
      </w:r>
      <w:r w:rsidR="00B3438A">
        <w:rPr>
          <w:rFonts w:ascii="Times New Roman" w:hAnsi="Times New Roman"/>
          <w:i/>
        </w:rPr>
        <w:t>ben vonatkoztathatók az</w:t>
      </w:r>
      <w:r w:rsidRPr="001D5B8D">
        <w:rPr>
          <w:rFonts w:ascii="Times New Roman" w:hAnsi="Times New Roman"/>
          <w:i/>
        </w:rPr>
        <w:t xml:space="preserve"> olyan, hüvelyi alkalmazásra való ösztrogénkészítmény</w:t>
      </w:r>
      <w:r w:rsidR="00B3438A">
        <w:rPr>
          <w:rFonts w:ascii="Times New Roman" w:hAnsi="Times New Roman"/>
          <w:i/>
        </w:rPr>
        <w:t>ekre</w:t>
      </w:r>
      <w:r w:rsidRPr="001D5B8D">
        <w:rPr>
          <w:rFonts w:ascii="Times New Roman" w:hAnsi="Times New Roman"/>
          <w:i/>
        </w:rPr>
        <w:t>, amely</w:t>
      </w:r>
      <w:r w:rsidR="00B3438A">
        <w:rPr>
          <w:rFonts w:ascii="Times New Roman" w:hAnsi="Times New Roman"/>
          <w:i/>
        </w:rPr>
        <w:t>ek</w:t>
      </w:r>
      <w:r w:rsidRPr="001D5B8D">
        <w:rPr>
          <w:rFonts w:ascii="Times New Roman" w:hAnsi="Times New Roman"/>
          <w:i/>
        </w:rPr>
        <w:t xml:space="preserve">nél a szisztémás ösztrogénexpozíció a kezelés során a szokásos postmenopausalis tartományon </w:t>
      </w:r>
      <w:r w:rsidR="00DB0CD2" w:rsidRPr="00291BBC">
        <w:rPr>
          <w:rFonts w:ascii="Times New Roman" w:hAnsi="Times New Roman"/>
          <w:i/>
        </w:rPr>
        <w:t>belül marad.</w:t>
      </w:r>
    </w:p>
    <w:p w14:paraId="2F2E8C4B" w14:textId="77777777" w:rsidR="00DB0CD2" w:rsidRPr="00291BBC" w:rsidRDefault="00DB0CD2" w:rsidP="00DB0CD2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27C8E5C0" w14:textId="77777777" w:rsidR="00DB0CD2" w:rsidRPr="00FB1012" w:rsidRDefault="00DB0CD2" w:rsidP="00DB0CD2">
      <w:pPr>
        <w:widowControl w:val="0"/>
        <w:suppressAutoHyphens/>
        <w:spacing w:after="0" w:line="240" w:lineRule="auto"/>
        <w:ind w:left="-17"/>
        <w:rPr>
          <w:rFonts w:ascii="Times New Roman" w:hAnsi="Times New Roman"/>
          <w:u w:val="single"/>
        </w:rPr>
      </w:pPr>
      <w:r w:rsidRPr="00FB1012">
        <w:rPr>
          <w:rFonts w:ascii="Times New Roman" w:hAnsi="Times New Roman"/>
          <w:u w:val="single"/>
        </w:rPr>
        <w:t>Petefészekrák</w:t>
      </w:r>
    </w:p>
    <w:p w14:paraId="6122BBAF" w14:textId="77777777" w:rsidR="00997870" w:rsidRPr="001D5B8D" w:rsidRDefault="00997870" w:rsidP="00DB0CD2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  <w:i/>
          <w:u w:val="single"/>
        </w:rPr>
        <w:t>szisztémás</w:t>
      </w:r>
      <w:r w:rsidRPr="001D5B8D">
        <w:rPr>
          <w:rFonts w:ascii="Times New Roman" w:hAnsi="Times New Roman"/>
          <w:i/>
        </w:rPr>
        <w:t xml:space="preserve"> </w:t>
      </w:r>
      <w:r w:rsidRPr="001D5B8D">
        <w:rPr>
          <w:rFonts w:ascii="Times New Roman" w:hAnsi="Times New Roman"/>
        </w:rPr>
        <w:t xml:space="preserve">hormonpótló kezelés alkalmazását a petefészekrák kismértékben </w:t>
      </w:r>
      <w:r w:rsidR="00B709FE">
        <w:rPr>
          <w:rFonts w:ascii="Times New Roman" w:hAnsi="Times New Roman"/>
        </w:rPr>
        <w:t>megnövekedett</w:t>
      </w:r>
      <w:r w:rsidR="00B709FE" w:rsidRPr="001D5B8D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kockázatával hozták összefüggésbe (lásd 4.4 pont).</w:t>
      </w:r>
    </w:p>
    <w:p w14:paraId="0C87069D" w14:textId="77777777" w:rsidR="00997870" w:rsidRPr="001D5B8D" w:rsidRDefault="00997870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52 epidemiológiai vizsgálat metaanalízise a petefészekrák megnövekedett kockázatáról számolt be azoknál a nőknél, akik aktuálisan szisztémás hormonpótló kezelésben részesültek, azokhoz a nőkhöz képest, akik soha nem kaptak hormonpótló kezelést (RR</w:t>
      </w:r>
      <w:r w:rsidR="00B709FE">
        <w:rPr>
          <w:rFonts w:ascii="Times New Roman" w:hAnsi="Times New Roman"/>
        </w:rPr>
        <w:t>:</w:t>
      </w:r>
      <w:r w:rsidRPr="001D5B8D">
        <w:rPr>
          <w:rFonts w:ascii="Times New Roman" w:hAnsi="Times New Roman"/>
        </w:rPr>
        <w:t xml:space="preserve"> 1,43, 95%</w:t>
      </w:r>
      <w:r w:rsidR="00B709FE">
        <w:rPr>
          <w:rFonts w:ascii="Times New Roman" w:hAnsi="Times New Roman"/>
        </w:rPr>
        <w:t>-os</w:t>
      </w:r>
      <w:r w:rsidRPr="001D5B8D">
        <w:rPr>
          <w:rFonts w:ascii="Times New Roman" w:hAnsi="Times New Roman"/>
        </w:rPr>
        <w:t xml:space="preserve"> CI</w:t>
      </w:r>
      <w:r w:rsidR="00B709FE">
        <w:rPr>
          <w:rFonts w:ascii="Times New Roman" w:hAnsi="Times New Roman"/>
        </w:rPr>
        <w:t>:</w:t>
      </w:r>
      <w:r w:rsidRPr="001D5B8D">
        <w:rPr>
          <w:rFonts w:ascii="Times New Roman" w:hAnsi="Times New Roman"/>
        </w:rPr>
        <w:t xml:space="preserve"> 1,31–1,56). Az 5 évig hormonpótló kezelésben részesülő, 50–54 év közötti nőknél ez 2000 kezelt nőre számítva körülbelül 1</w:t>
      </w:r>
      <w:r w:rsidR="00036C81">
        <w:rPr>
          <w:rFonts w:ascii="Times New Roman" w:hAnsi="Times New Roman"/>
        </w:rPr>
        <w:t> </w:t>
      </w:r>
      <w:r w:rsidRPr="001D5B8D">
        <w:rPr>
          <w:rFonts w:ascii="Times New Roman" w:hAnsi="Times New Roman"/>
        </w:rPr>
        <w:t>új esetet eredményez. Az 50–54 év közötti, hormonpótló kezelést nem kapó nők esetében 2000-ből körülbelül 2 nőnél diagnosztizálnak petefészekrákot egy 5 éves időszak alatt.</w:t>
      </w:r>
    </w:p>
    <w:p w14:paraId="331566F0" w14:textId="77777777" w:rsidR="00997870" w:rsidRPr="001D5B8D" w:rsidRDefault="00997870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571ADDFA" w14:textId="77777777" w:rsidR="00997870" w:rsidRPr="001D5B8D" w:rsidRDefault="00997870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A vénás thromboembolia kockázata</w:t>
      </w:r>
    </w:p>
    <w:p w14:paraId="3CC2A307" w14:textId="77777777" w:rsidR="00997870" w:rsidRPr="001D5B8D" w:rsidRDefault="00997870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  <w:u w:val="single"/>
        </w:rPr>
        <w:t>szisztémás</w:t>
      </w:r>
      <w:r w:rsidRPr="001D5B8D">
        <w:rPr>
          <w:rFonts w:ascii="Times New Roman" w:hAnsi="Times New Roman"/>
        </w:rPr>
        <w:t xml:space="preserve"> hormonpótló kezeléshez a vénás thromboembolia </w:t>
      </w:r>
      <w:r w:rsidR="00E16AD3" w:rsidRPr="001D5B8D">
        <w:rPr>
          <w:rFonts w:ascii="Times New Roman" w:hAnsi="Times New Roman"/>
        </w:rPr>
        <w:t xml:space="preserve">(mint pl. mélyvénás thrombosis vagy tüdőembólia) </w:t>
      </w:r>
      <w:r w:rsidRPr="001D5B8D">
        <w:rPr>
          <w:rFonts w:ascii="Times New Roman" w:hAnsi="Times New Roman"/>
        </w:rPr>
        <w:t>kialakulásának 1,3-3-szoros</w:t>
      </w:r>
      <w:r w:rsidR="00B709FE">
        <w:rPr>
          <w:rFonts w:ascii="Times New Roman" w:hAnsi="Times New Roman"/>
        </w:rPr>
        <w:t>, megnövekedett</w:t>
      </w:r>
      <w:r w:rsidR="00E16AD3" w:rsidRPr="001D5B8D">
        <w:rPr>
          <w:rFonts w:ascii="Times New Roman" w:hAnsi="Times New Roman"/>
        </w:rPr>
        <w:t xml:space="preserve"> relatív kockázata társul</w:t>
      </w:r>
      <w:r w:rsidRPr="001D5B8D">
        <w:rPr>
          <w:rFonts w:ascii="Times New Roman" w:hAnsi="Times New Roman"/>
        </w:rPr>
        <w:t>. Egy ilyen eset előfordulása valószínűbb a hormonpótló kezelés első évében, mint később (lásd 4.4 pont). A WHI</w:t>
      </w:r>
      <w:r w:rsidR="00D27731">
        <w:rPr>
          <w:rFonts w:ascii="Times New Roman" w:hAnsi="Times New Roman"/>
        </w:rPr>
        <w:noBreakHyphen/>
      </w:r>
      <w:r w:rsidRPr="001D5B8D">
        <w:rPr>
          <w:rFonts w:ascii="Times New Roman" w:hAnsi="Times New Roman"/>
        </w:rPr>
        <w:t>vizsgálatok eredményei az alábbiakban kerülnek bemutatásra.</w:t>
      </w:r>
    </w:p>
    <w:p w14:paraId="11F509E7" w14:textId="77777777" w:rsidR="00997870" w:rsidRPr="001D5B8D" w:rsidRDefault="00997870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0089ABE7" w14:textId="77777777" w:rsidR="00997870" w:rsidRPr="000040AC" w:rsidRDefault="00997870" w:rsidP="00981FD1">
      <w:pPr>
        <w:keepNext/>
        <w:widowControl w:val="0"/>
        <w:suppressAutoHyphens/>
        <w:spacing w:after="0" w:line="240" w:lineRule="auto"/>
        <w:rPr>
          <w:rFonts w:ascii="Times New Roman" w:hAnsi="Times New Roman"/>
          <w:b/>
          <w:bCs/>
        </w:rPr>
      </w:pPr>
      <w:r w:rsidRPr="000040AC">
        <w:rPr>
          <w:rFonts w:ascii="Times New Roman" w:hAnsi="Times New Roman"/>
          <w:b/>
          <w:bCs/>
        </w:rPr>
        <w:lastRenderedPageBreak/>
        <w:t>WHI</w:t>
      </w:r>
      <w:r w:rsidR="00D27731" w:rsidRPr="000040AC">
        <w:rPr>
          <w:rFonts w:ascii="Times New Roman" w:hAnsi="Times New Roman"/>
          <w:b/>
          <w:bCs/>
        </w:rPr>
        <w:t>-</w:t>
      </w:r>
      <w:r w:rsidRPr="000040AC">
        <w:rPr>
          <w:rFonts w:ascii="Times New Roman" w:hAnsi="Times New Roman"/>
          <w:b/>
          <w:bCs/>
        </w:rPr>
        <w:t xml:space="preserve">vizsgálatok – </w:t>
      </w:r>
      <w:r w:rsidR="00D27731" w:rsidRPr="000040AC">
        <w:rPr>
          <w:rFonts w:ascii="Times New Roman" w:hAnsi="Times New Roman"/>
          <w:b/>
          <w:bCs/>
        </w:rPr>
        <w:t xml:space="preserve">A </w:t>
      </w:r>
      <w:r w:rsidRPr="000040AC">
        <w:rPr>
          <w:rFonts w:ascii="Times New Roman" w:hAnsi="Times New Roman"/>
          <w:b/>
          <w:bCs/>
        </w:rPr>
        <w:t>VTE</w:t>
      </w:r>
      <w:r w:rsidR="00D27731" w:rsidRPr="000040AC">
        <w:rPr>
          <w:rFonts w:ascii="Times New Roman" w:hAnsi="Times New Roman"/>
          <w:b/>
          <w:bCs/>
        </w:rPr>
        <w:t xml:space="preserve"> járulékos </w:t>
      </w:r>
      <w:r w:rsidRPr="000040AC">
        <w:rPr>
          <w:rFonts w:ascii="Times New Roman" w:hAnsi="Times New Roman"/>
          <w:b/>
          <w:bCs/>
        </w:rPr>
        <w:t>kockázat</w:t>
      </w:r>
      <w:r w:rsidR="00D27731" w:rsidRPr="000040AC">
        <w:rPr>
          <w:rFonts w:ascii="Times New Roman" w:hAnsi="Times New Roman"/>
          <w:b/>
          <w:bCs/>
        </w:rPr>
        <w:t>a</w:t>
      </w:r>
      <w:r w:rsidRPr="000040AC">
        <w:rPr>
          <w:rFonts w:ascii="Times New Roman" w:hAnsi="Times New Roman"/>
          <w:b/>
          <w:bCs/>
        </w:rPr>
        <w:t xml:space="preserve"> 5 éves alkalmazás</w:t>
      </w:r>
      <w:r w:rsidR="00D27731" w:rsidRPr="000040AC">
        <w:rPr>
          <w:rFonts w:ascii="Times New Roman" w:hAnsi="Times New Roman"/>
          <w:b/>
          <w:bCs/>
        </w:rPr>
        <w:t>t követően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2043"/>
        <w:gridCol w:w="1984"/>
        <w:gridCol w:w="2410"/>
      </w:tblGrid>
      <w:tr w:rsidR="00E16AD3" w:rsidRPr="00025B01" w14:paraId="16CD2377" w14:textId="77777777" w:rsidTr="006366DF">
        <w:trPr>
          <w:trHeight w:val="725"/>
        </w:trPr>
        <w:tc>
          <w:tcPr>
            <w:tcW w:w="1893" w:type="dxa"/>
            <w:tcBorders>
              <w:bottom w:val="single" w:sz="4" w:space="0" w:color="auto"/>
            </w:tcBorders>
          </w:tcPr>
          <w:p w14:paraId="3C946D3F" w14:textId="77777777" w:rsidR="00443652" w:rsidRPr="00025B01" w:rsidRDefault="00E16AD3" w:rsidP="00981FD1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Életkor</w:t>
            </w:r>
            <w:r w:rsidR="00D27731" w:rsidRPr="00025B01">
              <w:rPr>
                <w:rFonts w:ascii="Times New Roman" w:hAnsi="Times New Roman"/>
              </w:rPr>
              <w:t>-tartomány</w:t>
            </w:r>
          </w:p>
          <w:p w14:paraId="252FE9CC" w14:textId="77777777" w:rsidR="00E16AD3" w:rsidRPr="00025B01" w:rsidRDefault="00E16AD3" w:rsidP="00981FD1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(év)</w:t>
            </w:r>
          </w:p>
        </w:tc>
        <w:tc>
          <w:tcPr>
            <w:tcW w:w="2043" w:type="dxa"/>
            <w:tcBorders>
              <w:bottom w:val="single" w:sz="4" w:space="0" w:color="auto"/>
            </w:tcBorders>
          </w:tcPr>
          <w:p w14:paraId="3A29093B" w14:textId="77777777" w:rsidR="00E16AD3" w:rsidRPr="00025B01" w:rsidRDefault="00E16AD3" w:rsidP="00981FD1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Incidencia a placebokaron 5 év alatt</w:t>
            </w:r>
            <w:r w:rsidR="00D27731" w:rsidRPr="00025B01">
              <w:rPr>
                <w:rFonts w:ascii="Times New Roman" w:hAnsi="Times New Roman"/>
              </w:rPr>
              <w:t>,</w:t>
            </w:r>
            <w:r w:rsidRPr="00025B01">
              <w:rPr>
                <w:rFonts w:ascii="Times New Roman" w:hAnsi="Times New Roman"/>
              </w:rPr>
              <w:t xml:space="preserve"> 1000 nőre számítva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353F945" w14:textId="77777777" w:rsidR="00E16AD3" w:rsidRPr="00025B01" w:rsidRDefault="00E16AD3" w:rsidP="00981FD1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Kockázati arány és 95%</w:t>
            </w:r>
            <w:r w:rsidR="00D27731" w:rsidRPr="00025B01">
              <w:rPr>
                <w:rFonts w:ascii="Times New Roman" w:hAnsi="Times New Roman"/>
              </w:rPr>
              <w:t>-os</w:t>
            </w:r>
            <w:r w:rsidRPr="00025B01">
              <w:rPr>
                <w:rFonts w:ascii="Times New Roman" w:hAnsi="Times New Roman"/>
              </w:rPr>
              <w:t> CI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78EA7ED" w14:textId="77777777" w:rsidR="00E16AD3" w:rsidRPr="00025B01" w:rsidRDefault="00E16AD3" w:rsidP="00981FD1">
            <w:pPr>
              <w:keepNext/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További esetek 1000</w:t>
            </w:r>
            <w:r w:rsidR="00D27731" w:rsidRPr="00025B01">
              <w:rPr>
                <w:rFonts w:ascii="Times New Roman" w:hAnsi="Times New Roman"/>
              </w:rPr>
              <w:t>,</w:t>
            </w:r>
            <w:r w:rsidRPr="00025B01">
              <w:rPr>
                <w:rFonts w:ascii="Times New Roman" w:hAnsi="Times New Roman"/>
              </w:rPr>
              <w:t xml:space="preserve"> hormonpótló kezelésben részesülőre számítva</w:t>
            </w:r>
          </w:p>
        </w:tc>
      </w:tr>
      <w:tr w:rsidR="00E16AD3" w:rsidRPr="00025B01" w14:paraId="74D82E9A" w14:textId="77777777" w:rsidTr="006366DF">
        <w:tc>
          <w:tcPr>
            <w:tcW w:w="8330" w:type="dxa"/>
            <w:gridSpan w:val="4"/>
            <w:shd w:val="clear" w:color="auto" w:fill="E6E6E6"/>
            <w:vAlign w:val="center"/>
          </w:tcPr>
          <w:p w14:paraId="56D64314" w14:textId="77777777" w:rsidR="00E16AD3" w:rsidRPr="00025B01" w:rsidRDefault="00E16AD3" w:rsidP="00981FD1">
            <w:pPr>
              <w:keepNext/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  <w:b/>
              </w:rPr>
            </w:pPr>
            <w:r w:rsidRPr="00025B01">
              <w:rPr>
                <w:rFonts w:ascii="Times New Roman" w:hAnsi="Times New Roman"/>
                <w:b/>
              </w:rPr>
              <w:t>Orális ösztrogén-monoterápia*</w:t>
            </w:r>
          </w:p>
        </w:tc>
      </w:tr>
      <w:tr w:rsidR="00E16AD3" w:rsidRPr="00025B01" w14:paraId="38CF7805" w14:textId="77777777" w:rsidTr="006366DF">
        <w:tc>
          <w:tcPr>
            <w:tcW w:w="1893" w:type="dxa"/>
            <w:tcBorders>
              <w:bottom w:val="single" w:sz="4" w:space="0" w:color="auto"/>
            </w:tcBorders>
          </w:tcPr>
          <w:p w14:paraId="2480D012" w14:textId="77777777" w:rsidR="00E16AD3" w:rsidRPr="00025B01" w:rsidRDefault="00E16AD3" w:rsidP="00981FD1">
            <w:pPr>
              <w:keepNext/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50</w:t>
            </w:r>
            <w:r w:rsidRPr="00025B01">
              <w:rPr>
                <w:rFonts w:ascii="Times New Roman" w:hAnsi="Times New Roman"/>
              </w:rPr>
              <w:noBreakHyphen/>
              <w:t>59</w:t>
            </w:r>
          </w:p>
        </w:tc>
        <w:tc>
          <w:tcPr>
            <w:tcW w:w="2043" w:type="dxa"/>
            <w:tcBorders>
              <w:bottom w:val="single" w:sz="4" w:space="0" w:color="auto"/>
            </w:tcBorders>
          </w:tcPr>
          <w:p w14:paraId="7CBAFB68" w14:textId="77777777" w:rsidR="00E16AD3" w:rsidRPr="00025B01" w:rsidRDefault="00E16AD3" w:rsidP="00981FD1">
            <w:pPr>
              <w:keepNext/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7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C4BBFD1" w14:textId="77777777" w:rsidR="00E16AD3" w:rsidRPr="00025B01" w:rsidRDefault="00E16AD3" w:rsidP="00981FD1">
            <w:pPr>
              <w:keepNext/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1,2 (0,6</w:t>
            </w:r>
            <w:r w:rsidRPr="00025B01">
              <w:rPr>
                <w:rFonts w:ascii="Times New Roman" w:hAnsi="Times New Roman"/>
              </w:rPr>
              <w:noBreakHyphen/>
              <w:t>2,4)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10A724A" w14:textId="77777777" w:rsidR="00E16AD3" w:rsidRPr="00025B01" w:rsidRDefault="00E16AD3" w:rsidP="00981FD1">
            <w:pPr>
              <w:keepNext/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1 (-3</w:t>
            </w:r>
            <w:r w:rsidRPr="00025B01">
              <w:rPr>
                <w:rFonts w:ascii="Times New Roman" w:hAnsi="Times New Roman"/>
              </w:rPr>
              <w:noBreakHyphen/>
              <w:t>10)</w:t>
            </w:r>
          </w:p>
        </w:tc>
      </w:tr>
    </w:tbl>
    <w:p w14:paraId="0A3C2A77" w14:textId="77777777" w:rsidR="00E16AD3" w:rsidRPr="001D5B8D" w:rsidRDefault="00E16AD3" w:rsidP="001D5B8D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* Hysterectomizált nőkön végzett vizsgálat.</w:t>
      </w:r>
    </w:p>
    <w:p w14:paraId="4135D81E" w14:textId="77777777" w:rsidR="00E16AD3" w:rsidRPr="001D5B8D" w:rsidRDefault="00E16AD3" w:rsidP="001D5B8D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49B0DC47" w14:textId="77777777" w:rsidR="00E16AD3" w:rsidRPr="001D5B8D" w:rsidRDefault="00E16AD3">
      <w:pPr>
        <w:widowControl w:val="0"/>
        <w:suppressAutoHyphens/>
        <w:spacing w:after="0" w:line="240" w:lineRule="auto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Az ischaemiás stroke kockázata</w:t>
      </w:r>
    </w:p>
    <w:p w14:paraId="20FF606B" w14:textId="77777777" w:rsidR="00E16AD3" w:rsidRPr="001D5B8D" w:rsidRDefault="00E16AD3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  <w:i/>
          <w:u w:val="single"/>
        </w:rPr>
        <w:t>szisztémás</w:t>
      </w:r>
      <w:r w:rsidRPr="001D5B8D">
        <w:rPr>
          <w:rFonts w:ascii="Times New Roman" w:hAnsi="Times New Roman"/>
        </w:rPr>
        <w:t xml:space="preserve"> hormonpótló kezelés alkalmazása összefügg az ischaemiás stroke relatív kockázatának – legfeljebb 1,5</w:t>
      </w:r>
      <w:r w:rsidRPr="001D5B8D">
        <w:rPr>
          <w:rFonts w:ascii="Times New Roman" w:hAnsi="Times New Roman"/>
        </w:rPr>
        <w:noBreakHyphen/>
        <w:t>szeres – növekedésével. A haemorrhagiás stroke kockázata nem nagyobb a hormonpótló terápia alkalmazása során.</w:t>
      </w:r>
    </w:p>
    <w:p w14:paraId="0022AD6F" w14:textId="77777777" w:rsidR="00E16AD3" w:rsidRPr="001D5B8D" w:rsidRDefault="00E16AD3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4D643684" w14:textId="77777777" w:rsidR="00E16AD3" w:rsidRPr="001D5B8D" w:rsidRDefault="00E16AD3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Ez a relatív kockázat nem függ az életkortól vagy az alkalmazás időtartamától, de az alapkockázat nagymértékben életkorfüggő</w:t>
      </w:r>
      <w:r w:rsidR="00D27731">
        <w:rPr>
          <w:rFonts w:ascii="Times New Roman" w:hAnsi="Times New Roman"/>
        </w:rPr>
        <w:t>, ezért a</w:t>
      </w:r>
      <w:r w:rsidRPr="001D5B8D">
        <w:rPr>
          <w:rFonts w:ascii="Times New Roman" w:hAnsi="Times New Roman"/>
        </w:rPr>
        <w:t xml:space="preserve"> hormonpótló kezelést alkalmazó nők teljes stroke</w:t>
      </w:r>
      <w:r w:rsidR="00386055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kockázata az életkorral növekszik (lásd 4.4 pont).</w:t>
      </w:r>
    </w:p>
    <w:p w14:paraId="188C52D4" w14:textId="77777777" w:rsidR="00E16AD3" w:rsidRPr="001D5B8D" w:rsidRDefault="00E16AD3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5A524DF4" w14:textId="77777777" w:rsidR="00E16AD3" w:rsidRPr="000040AC" w:rsidRDefault="00E16AD3">
      <w:pPr>
        <w:widowControl w:val="0"/>
        <w:suppressAutoHyphens/>
        <w:spacing w:after="0" w:line="240" w:lineRule="auto"/>
        <w:ind w:left="-15"/>
        <w:rPr>
          <w:rFonts w:ascii="Times New Roman" w:hAnsi="Times New Roman"/>
          <w:b/>
          <w:bCs/>
        </w:rPr>
      </w:pPr>
      <w:r w:rsidRPr="000040AC">
        <w:rPr>
          <w:rFonts w:ascii="Times New Roman" w:hAnsi="Times New Roman"/>
          <w:b/>
          <w:bCs/>
        </w:rPr>
        <w:t>WHI</w:t>
      </w:r>
      <w:r w:rsidR="00D27731" w:rsidRPr="000040AC">
        <w:rPr>
          <w:rFonts w:ascii="Times New Roman" w:hAnsi="Times New Roman"/>
          <w:b/>
          <w:bCs/>
        </w:rPr>
        <w:t>-</w:t>
      </w:r>
      <w:r w:rsidRPr="000040AC">
        <w:rPr>
          <w:rFonts w:ascii="Times New Roman" w:hAnsi="Times New Roman"/>
          <w:b/>
          <w:bCs/>
        </w:rPr>
        <w:t xml:space="preserve">vizsgálatok </w:t>
      </w:r>
      <w:r w:rsidR="00D27731" w:rsidRPr="000040AC">
        <w:rPr>
          <w:rFonts w:ascii="Times New Roman" w:hAnsi="Times New Roman"/>
          <w:b/>
          <w:bCs/>
        </w:rPr>
        <w:t>(egyesített)</w:t>
      </w:r>
      <w:r w:rsidRPr="000040AC">
        <w:rPr>
          <w:rFonts w:ascii="Times New Roman" w:hAnsi="Times New Roman"/>
          <w:b/>
          <w:bCs/>
        </w:rPr>
        <w:t xml:space="preserve"> – </w:t>
      </w:r>
      <w:r w:rsidR="00D27731" w:rsidRPr="000040AC">
        <w:rPr>
          <w:rFonts w:ascii="Times New Roman" w:hAnsi="Times New Roman"/>
          <w:b/>
          <w:bCs/>
        </w:rPr>
        <w:t xml:space="preserve">Az </w:t>
      </w:r>
      <w:r w:rsidRPr="000040AC">
        <w:rPr>
          <w:rFonts w:ascii="Times New Roman" w:hAnsi="Times New Roman"/>
          <w:b/>
          <w:bCs/>
        </w:rPr>
        <w:t>ischaemiás stroke</w:t>
      </w:r>
      <w:r w:rsidR="00D27731" w:rsidRPr="000040AC">
        <w:rPr>
          <w:rFonts w:ascii="Times New Roman" w:hAnsi="Times New Roman"/>
          <w:b/>
          <w:bCs/>
        </w:rPr>
        <w:t xml:space="preserve"> többlet</w:t>
      </w:r>
      <w:r w:rsidRPr="000040AC">
        <w:rPr>
          <w:rFonts w:ascii="Times New Roman" w:hAnsi="Times New Roman"/>
          <w:b/>
          <w:bCs/>
        </w:rPr>
        <w:t>kockázat</w:t>
      </w:r>
      <w:r w:rsidR="00D27731" w:rsidRPr="000040AC">
        <w:rPr>
          <w:rFonts w:ascii="Times New Roman" w:hAnsi="Times New Roman"/>
          <w:b/>
          <w:bCs/>
        </w:rPr>
        <w:t>a</w:t>
      </w:r>
      <w:r w:rsidR="00386055" w:rsidRPr="000040AC">
        <w:rPr>
          <w:rFonts w:ascii="Times New Roman" w:hAnsi="Times New Roman"/>
          <w:b/>
          <w:bCs/>
        </w:rPr>
        <w:t>*</w:t>
      </w:r>
      <w:r w:rsidRPr="000040AC">
        <w:rPr>
          <w:rFonts w:ascii="Times New Roman" w:hAnsi="Times New Roman"/>
          <w:b/>
          <w:bCs/>
        </w:rPr>
        <w:t xml:space="preserve"> 5 éves alkalmazás</w:t>
      </w:r>
      <w:r w:rsidR="00D27731" w:rsidRPr="000040AC">
        <w:rPr>
          <w:rFonts w:ascii="Times New Roman" w:hAnsi="Times New Roman"/>
          <w:b/>
          <w:bCs/>
        </w:rPr>
        <w:t>t követően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3"/>
        <w:gridCol w:w="2423"/>
        <w:gridCol w:w="1624"/>
        <w:gridCol w:w="3203"/>
      </w:tblGrid>
      <w:tr w:rsidR="00E16AD3" w:rsidRPr="00025B01" w14:paraId="591CE835" w14:textId="77777777" w:rsidTr="006366DF">
        <w:trPr>
          <w:trHeight w:val="795"/>
        </w:trPr>
        <w:tc>
          <w:tcPr>
            <w:tcW w:w="1363" w:type="dxa"/>
          </w:tcPr>
          <w:p w14:paraId="228579A9" w14:textId="77777777" w:rsidR="00E16AD3" w:rsidRPr="00025B01" w:rsidRDefault="00E16AD3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Életkor</w:t>
            </w:r>
            <w:r w:rsidR="00D27731" w:rsidRPr="00025B01">
              <w:rPr>
                <w:rFonts w:ascii="Times New Roman" w:hAnsi="Times New Roman"/>
              </w:rPr>
              <w:t>-tartomány</w:t>
            </w:r>
            <w:r w:rsidRPr="00025B01">
              <w:rPr>
                <w:rFonts w:ascii="Times New Roman" w:hAnsi="Times New Roman"/>
              </w:rPr>
              <w:t xml:space="preserve"> (év)</w:t>
            </w:r>
          </w:p>
        </w:tc>
        <w:tc>
          <w:tcPr>
            <w:tcW w:w="2423" w:type="dxa"/>
          </w:tcPr>
          <w:p w14:paraId="75991112" w14:textId="77777777" w:rsidR="00E16AD3" w:rsidRPr="00025B01" w:rsidRDefault="00E16AD3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Incidencia a placebokaron 5 év alatt</w:t>
            </w:r>
            <w:r w:rsidR="00D27731" w:rsidRPr="00025B01">
              <w:rPr>
                <w:rFonts w:ascii="Times New Roman" w:hAnsi="Times New Roman"/>
              </w:rPr>
              <w:t>,</w:t>
            </w:r>
            <w:r w:rsidRPr="00025B01">
              <w:rPr>
                <w:rFonts w:ascii="Times New Roman" w:hAnsi="Times New Roman"/>
              </w:rPr>
              <w:t xml:space="preserve"> 1000 nőre számítva </w:t>
            </w:r>
          </w:p>
        </w:tc>
        <w:tc>
          <w:tcPr>
            <w:tcW w:w="1624" w:type="dxa"/>
          </w:tcPr>
          <w:p w14:paraId="0C30E716" w14:textId="77777777" w:rsidR="00E16AD3" w:rsidRPr="00025B01" w:rsidRDefault="00E16AD3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Kockázati arány és 95%</w:t>
            </w:r>
            <w:r w:rsidR="00D27731" w:rsidRPr="00025B01">
              <w:rPr>
                <w:rFonts w:ascii="Times New Roman" w:hAnsi="Times New Roman"/>
              </w:rPr>
              <w:noBreakHyphen/>
              <w:t xml:space="preserve">os </w:t>
            </w:r>
            <w:r w:rsidRPr="00025B01">
              <w:rPr>
                <w:rFonts w:ascii="Times New Roman" w:hAnsi="Times New Roman"/>
              </w:rPr>
              <w:t>CI</w:t>
            </w:r>
          </w:p>
        </w:tc>
        <w:tc>
          <w:tcPr>
            <w:tcW w:w="3203" w:type="dxa"/>
          </w:tcPr>
          <w:p w14:paraId="4B1E0119" w14:textId="77777777" w:rsidR="00E16AD3" w:rsidRPr="00025B01" w:rsidRDefault="00E16AD3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5 év alatt jelentkező további esetek 1000</w:t>
            </w:r>
            <w:r w:rsidR="00D27731" w:rsidRPr="00025B01">
              <w:rPr>
                <w:rFonts w:ascii="Times New Roman" w:hAnsi="Times New Roman"/>
              </w:rPr>
              <w:t>,</w:t>
            </w:r>
            <w:r w:rsidRPr="00025B01">
              <w:rPr>
                <w:rFonts w:ascii="Times New Roman" w:hAnsi="Times New Roman"/>
              </w:rPr>
              <w:t xml:space="preserve"> hormonpótló kezelésben részesülőre számítva </w:t>
            </w:r>
          </w:p>
        </w:tc>
      </w:tr>
      <w:tr w:rsidR="00E16AD3" w:rsidRPr="00025B01" w14:paraId="7315FC7A" w14:textId="77777777" w:rsidTr="006366DF">
        <w:tc>
          <w:tcPr>
            <w:tcW w:w="1363" w:type="dxa"/>
          </w:tcPr>
          <w:p w14:paraId="45052813" w14:textId="77777777" w:rsidR="00E16AD3" w:rsidRPr="00025B01" w:rsidRDefault="00E16AD3" w:rsidP="001D5B8D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50</w:t>
            </w:r>
            <w:r w:rsidRPr="00025B01">
              <w:rPr>
                <w:rFonts w:ascii="Times New Roman" w:hAnsi="Times New Roman"/>
              </w:rPr>
              <w:noBreakHyphen/>
              <w:t>59</w:t>
            </w:r>
          </w:p>
        </w:tc>
        <w:tc>
          <w:tcPr>
            <w:tcW w:w="2423" w:type="dxa"/>
          </w:tcPr>
          <w:p w14:paraId="71DF2D2D" w14:textId="77777777" w:rsidR="00E16AD3" w:rsidRPr="00025B01" w:rsidRDefault="00E16AD3" w:rsidP="001D5B8D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</w:tcPr>
          <w:p w14:paraId="19D5141B" w14:textId="77777777" w:rsidR="00E16AD3" w:rsidRPr="00025B01" w:rsidRDefault="00E16AD3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1,3 (1,1</w:t>
            </w:r>
            <w:r w:rsidRPr="00025B01">
              <w:rPr>
                <w:rFonts w:ascii="Times New Roman" w:hAnsi="Times New Roman"/>
              </w:rPr>
              <w:noBreakHyphen/>
              <w:t>1,6)</w:t>
            </w:r>
          </w:p>
        </w:tc>
        <w:tc>
          <w:tcPr>
            <w:tcW w:w="3203" w:type="dxa"/>
          </w:tcPr>
          <w:p w14:paraId="1E7113EC" w14:textId="77777777" w:rsidR="00E16AD3" w:rsidRPr="00025B01" w:rsidRDefault="00E16AD3">
            <w:pPr>
              <w:widowControl w:val="0"/>
              <w:suppressAutoHyphens/>
              <w:spacing w:after="0" w:line="240" w:lineRule="auto"/>
              <w:ind w:left="-15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3 (1</w:t>
            </w:r>
            <w:r w:rsidRPr="00025B01">
              <w:rPr>
                <w:rFonts w:ascii="Times New Roman" w:hAnsi="Times New Roman"/>
              </w:rPr>
              <w:noBreakHyphen/>
              <w:t>5)</w:t>
            </w:r>
          </w:p>
        </w:tc>
      </w:tr>
    </w:tbl>
    <w:p w14:paraId="2D83D9EB" w14:textId="77777777" w:rsidR="00E16AD3" w:rsidRPr="001D5B8D" w:rsidRDefault="00E16AD3" w:rsidP="001D5B8D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* Nem tettek különbséget az ischaemiás és a haemorrhagiás stroke között.</w:t>
      </w:r>
    </w:p>
    <w:p w14:paraId="364BE11E" w14:textId="77777777" w:rsidR="00997870" w:rsidRPr="001D5B8D" w:rsidRDefault="00997870" w:rsidP="001D5B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8080016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1D5B8D">
        <w:rPr>
          <w:rFonts w:ascii="Times New Roman" w:hAnsi="Times New Roman"/>
          <w:color w:val="000000"/>
          <w:u w:val="single"/>
        </w:rPr>
        <w:t>Feltételezett mellékhatások bejelentése</w:t>
      </w:r>
    </w:p>
    <w:p w14:paraId="05F80AB6" w14:textId="016143DB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0" w:history="1">
        <w:r w:rsidR="00E00D85" w:rsidRPr="00632DBE">
          <w:rPr>
            <w:rStyle w:val="llbChar"/>
            <w:rFonts w:ascii="Times New Roman" w:hAnsi="Times New Roman"/>
            <w:color w:val="0000FF"/>
            <w:u w:val="single"/>
          </w:rPr>
          <w:t>V. függelékben</w:t>
        </w:r>
      </w:hyperlink>
      <w:r w:rsidRPr="00632DBE">
        <w:rPr>
          <w:rFonts w:ascii="Times New Roman" w:hAnsi="Times New Roman"/>
          <w:color w:val="0000FF"/>
        </w:rPr>
        <w:t xml:space="preserve"> </w:t>
      </w:r>
      <w:r w:rsidRPr="00632DBE">
        <w:rPr>
          <w:rFonts w:ascii="Times New Roman" w:hAnsi="Times New Roman"/>
          <w:color w:val="000000"/>
        </w:rPr>
        <w:t>található elérhetőségek valamelyikén keresztül</w:t>
      </w:r>
      <w:r w:rsidRPr="007520B1">
        <w:rPr>
          <w:rFonts w:ascii="Times New Roman" w:hAnsi="Times New Roman"/>
          <w:color w:val="000000"/>
        </w:rPr>
        <w:t>.</w:t>
      </w:r>
    </w:p>
    <w:p w14:paraId="17BF9CDF" w14:textId="77777777" w:rsidR="001D419C" w:rsidRPr="001D5B8D" w:rsidRDefault="001D419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CF1C5B2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4.9</w:t>
      </w:r>
      <w:r w:rsidRPr="001D5B8D">
        <w:rPr>
          <w:rFonts w:ascii="Times New Roman" w:hAnsi="Times New Roman"/>
          <w:b/>
          <w:bCs/>
          <w:color w:val="000000"/>
        </w:rPr>
        <w:tab/>
        <w:t>Túladagolás</w:t>
      </w:r>
    </w:p>
    <w:p w14:paraId="5239F75C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4D35905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 xml:space="preserve"> hüvelytablettát intravagin</w:t>
      </w:r>
      <w:r w:rsidR="00D27731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 xml:space="preserve">lis </w:t>
      </w:r>
      <w:r w:rsidR="00D27731">
        <w:rPr>
          <w:rFonts w:ascii="Times New Roman" w:hAnsi="Times New Roman"/>
        </w:rPr>
        <w:t>alkalmazásra</w:t>
      </w:r>
      <w:r w:rsidR="00D27731" w:rsidRPr="001D5B8D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szánták</w:t>
      </w:r>
      <w:r w:rsidR="00D27731">
        <w:rPr>
          <w:rFonts w:ascii="Times New Roman" w:hAnsi="Times New Roman"/>
        </w:rPr>
        <w:t>;</w:t>
      </w:r>
      <w:r w:rsidRPr="001D5B8D">
        <w:rPr>
          <w:rFonts w:ascii="Times New Roman" w:hAnsi="Times New Roman"/>
        </w:rPr>
        <w:t xml:space="preserve"> az ösztradiol dózisa nagyon alacsony. Túladagolás ezért nem valószínű, de ha előfordul, tüneti kezelést kell alkalmazni.</w:t>
      </w:r>
    </w:p>
    <w:p w14:paraId="0B0ACB11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81D1222" w14:textId="77777777" w:rsidR="00393269" w:rsidRPr="001D5B8D" w:rsidRDefault="0039326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E4D7CB7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5.</w:t>
      </w:r>
      <w:r w:rsidRPr="001D5B8D">
        <w:rPr>
          <w:rFonts w:ascii="Times New Roman" w:hAnsi="Times New Roman"/>
          <w:b/>
          <w:bCs/>
          <w:color w:val="000000"/>
        </w:rPr>
        <w:tab/>
        <w:t>FARMAKOLÓGIAI TULAJDONSÁGOK</w:t>
      </w:r>
    </w:p>
    <w:p w14:paraId="0DB65492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</w:rPr>
      </w:pPr>
    </w:p>
    <w:p w14:paraId="26D72195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5.1</w:t>
      </w:r>
      <w:r w:rsidRPr="001D5B8D">
        <w:rPr>
          <w:rFonts w:ascii="Times New Roman" w:hAnsi="Times New Roman"/>
          <w:b/>
          <w:bCs/>
          <w:color w:val="000000"/>
        </w:rPr>
        <w:tab/>
        <w:t>Farmakodinámiás tulajdonságok</w:t>
      </w:r>
    </w:p>
    <w:p w14:paraId="263021FA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F944D49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Farmakoterápiás csoport: Természetes és félszintetikus ösztrogének önmagukban, ATC kód: G03CA03</w:t>
      </w:r>
    </w:p>
    <w:p w14:paraId="1765BEB7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35523A1D" w14:textId="77777777" w:rsidR="00393269" w:rsidRPr="001D5B8D" w:rsidRDefault="00393269" w:rsidP="00D27731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hatóanyag, a szintetikus 17</w:t>
      </w:r>
      <w:r w:rsidR="00105AB2" w:rsidRPr="001D5B8D">
        <w:rPr>
          <w:rFonts w:ascii="Times New Roman" w:hAnsi="Times New Roman"/>
        </w:rPr>
        <w:t>-</w:t>
      </w:r>
      <w:r w:rsidR="00D27731" w:rsidRPr="00D27731">
        <w:rPr>
          <w:rFonts w:ascii="Times New Roman" w:hAnsi="Times New Roman"/>
        </w:rPr>
        <w:t>β</w:t>
      </w:r>
      <w:r w:rsidRPr="00D27731">
        <w:rPr>
          <w:rFonts w:ascii="Times New Roman" w:hAnsi="Times New Roman"/>
        </w:rPr>
        <w:noBreakHyphen/>
        <w:t>ösztradiol, amely kémiailag és biológiailag azonos az endogén humán ösztradi</w:t>
      </w:r>
      <w:r w:rsidRPr="001D5B8D">
        <w:rPr>
          <w:rFonts w:ascii="Times New Roman" w:hAnsi="Times New Roman"/>
        </w:rPr>
        <w:t>ollal.</w:t>
      </w:r>
    </w:p>
    <w:p w14:paraId="2E8C36E3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54227FD3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 endogén 17</w:t>
      </w:r>
      <w:r w:rsidR="00105AB2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β</w:t>
      </w:r>
      <w:r w:rsidR="00D27731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ösztradiol indukálja és fenntartja az elsődleges és másodlagos női nemi jelleget. A 17</w:t>
      </w:r>
      <w:r w:rsidR="00105AB2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β</w:t>
      </w:r>
      <w:r w:rsidR="00D27731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ösztradiol biológiai hatása egy sor specifikus ösztrogénreceptoron ke</w:t>
      </w:r>
      <w:r w:rsidR="00105AB2" w:rsidRPr="001D5B8D">
        <w:rPr>
          <w:rFonts w:ascii="Times New Roman" w:hAnsi="Times New Roman"/>
        </w:rPr>
        <w:t>resztül valósul meg. A szteroid</w:t>
      </w:r>
      <w:r w:rsidRPr="001D5B8D">
        <w:rPr>
          <w:rFonts w:ascii="Times New Roman" w:hAnsi="Times New Roman"/>
        </w:rPr>
        <w:t>receptor</w:t>
      </w:r>
      <w:r w:rsidR="00D27731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komplex a sejt DNS-éhez kötődik és specifikus fehérjék szintézisét indukálja.</w:t>
      </w:r>
    </w:p>
    <w:p w14:paraId="4A8EA7EE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5DCD2CFA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hüvelyi epithelium érése ösztrogénfüggő. Az ösztrogének megnövelik a felszíni és az intermedier sejtek számát és csökkentik a bazális sejtek számát a hüvely</w:t>
      </w:r>
      <w:r w:rsidR="00105AB2" w:rsidRPr="001D5B8D">
        <w:rPr>
          <w:rFonts w:ascii="Times New Roman" w:hAnsi="Times New Roman"/>
        </w:rPr>
        <w:t>váladékba</w:t>
      </w:r>
      <w:r w:rsidRPr="001D5B8D">
        <w:rPr>
          <w:rFonts w:ascii="Times New Roman" w:hAnsi="Times New Roman"/>
        </w:rPr>
        <w:t>n.</w:t>
      </w:r>
    </w:p>
    <w:p w14:paraId="234352A8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68C6B6B8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 ösztrogének a hüvely pH</w:t>
      </w:r>
      <w:r w:rsidR="00D27731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értékét a normál tartományban tartják (4,5), ami pozitívan hat a normál baktériumflórára.</w:t>
      </w:r>
    </w:p>
    <w:p w14:paraId="2A5C99D2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3D85D31F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hüvelyi ösztrogénhiány tüneteinek kezelése: A hüvelyben alkalmazott ösztrogének</w:t>
      </w:r>
      <w:r w:rsidR="00105AB2" w:rsidRPr="001D5B8D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a menopausán már túl lévő nőknél enyhítik az ösztrogénhiány okozta hüvelyi atrophia tüneteit.</w:t>
      </w:r>
    </w:p>
    <w:p w14:paraId="52013130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12C8F1FB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10 mikrogramm </w:t>
      </w:r>
      <w:r w:rsidR="00105AB2" w:rsidRPr="001D5B8D">
        <w:rPr>
          <w:rFonts w:ascii="Times New Roman" w:hAnsi="Times New Roman"/>
        </w:rPr>
        <w:t xml:space="preserve">ösztrogéntartalmú hüvelytabletta </w:t>
      </w:r>
      <w:r w:rsidR="00D27731">
        <w:rPr>
          <w:rFonts w:ascii="Times New Roman" w:hAnsi="Times New Roman"/>
        </w:rPr>
        <w:t>hatásosságát</w:t>
      </w:r>
      <w:r w:rsidR="00D27731" w:rsidRPr="001D5B8D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és biztonságosságát a postmenopausalis hüvelyi atrophia tüneteinek kezelésénél egy 12 hónapos</w:t>
      </w:r>
      <w:r w:rsidR="00D27731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kettős</w:t>
      </w:r>
      <w:r w:rsidR="00D27731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 xml:space="preserve">vak, </w:t>
      </w:r>
      <w:r w:rsidR="001E2AE6">
        <w:rPr>
          <w:rFonts w:ascii="Times New Roman" w:hAnsi="Times New Roman"/>
        </w:rPr>
        <w:t>véletlen besorolásos</w:t>
      </w:r>
      <w:r w:rsidRPr="001D5B8D">
        <w:rPr>
          <w:rFonts w:ascii="Times New Roman" w:hAnsi="Times New Roman"/>
        </w:rPr>
        <w:t xml:space="preserve">, párhuzamos csoportelrendezésű, placebokontrollos, </w:t>
      </w:r>
      <w:r w:rsidR="001E2AE6">
        <w:rPr>
          <w:rFonts w:ascii="Times New Roman" w:hAnsi="Times New Roman"/>
        </w:rPr>
        <w:t>többcentrumos</w:t>
      </w:r>
      <w:r w:rsidRPr="001D5B8D">
        <w:rPr>
          <w:rFonts w:ascii="Times New Roman" w:hAnsi="Times New Roman"/>
        </w:rPr>
        <w:t xml:space="preserve"> klinikai vizsgálatban tanulmányozták.</w:t>
      </w:r>
    </w:p>
    <w:p w14:paraId="41F7E11B" w14:textId="77777777" w:rsidR="00393269" w:rsidRPr="001D5B8D" w:rsidRDefault="00105AB2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</w:t>
      </w:r>
      <w:r w:rsidR="00393269" w:rsidRPr="001D5B8D">
        <w:rPr>
          <w:rFonts w:ascii="Times New Roman" w:hAnsi="Times New Roman"/>
        </w:rPr>
        <w:t xml:space="preserve">12 hetes, 10 mikrogramm </w:t>
      </w:r>
      <w:r w:rsidRPr="001D5B8D">
        <w:rPr>
          <w:rFonts w:ascii="Times New Roman" w:hAnsi="Times New Roman"/>
        </w:rPr>
        <w:t xml:space="preserve">ösztrogéntartalmú </w:t>
      </w:r>
      <w:r w:rsidR="00393269" w:rsidRPr="001D5B8D">
        <w:rPr>
          <w:rFonts w:ascii="Times New Roman" w:hAnsi="Times New Roman"/>
        </w:rPr>
        <w:t>hüvelytablettával történő kezelés után</w:t>
      </w:r>
      <w:r w:rsidR="00036C81">
        <w:rPr>
          <w:rFonts w:ascii="Times New Roman" w:hAnsi="Times New Roman"/>
        </w:rPr>
        <w:t>,</w:t>
      </w:r>
      <w:r w:rsidR="00393269" w:rsidRPr="001D5B8D">
        <w:rPr>
          <w:rFonts w:ascii="Times New Roman" w:hAnsi="Times New Roman"/>
        </w:rPr>
        <w:t xml:space="preserve"> a kiindulási értékekhez képest bekövetkezett változás</w:t>
      </w:r>
      <w:r w:rsidR="00EC6FE1">
        <w:rPr>
          <w:rFonts w:ascii="Times New Roman" w:hAnsi="Times New Roman"/>
        </w:rPr>
        <w:t xml:space="preserve"> alapján</w:t>
      </w:r>
      <w:r w:rsidR="00751BB8">
        <w:rPr>
          <w:rFonts w:ascii="Times New Roman" w:hAnsi="Times New Roman"/>
        </w:rPr>
        <w:t>,</w:t>
      </w:r>
      <w:r w:rsidR="00EC6FE1">
        <w:rPr>
          <w:rFonts w:ascii="Times New Roman" w:hAnsi="Times New Roman"/>
        </w:rPr>
        <w:t xml:space="preserve"> –</w:t>
      </w:r>
      <w:r w:rsidR="00393269" w:rsidRPr="001D5B8D">
        <w:rPr>
          <w:rFonts w:ascii="Times New Roman" w:hAnsi="Times New Roman"/>
        </w:rPr>
        <w:t xml:space="preserve"> a placebokezeléssel összehasonlítva</w:t>
      </w:r>
      <w:r w:rsidR="00EC6FE1">
        <w:rPr>
          <w:rFonts w:ascii="Times New Roman" w:hAnsi="Times New Roman"/>
        </w:rPr>
        <w:t xml:space="preserve"> –</w:t>
      </w:r>
      <w:r w:rsidR="00393269" w:rsidRPr="001D5B8D">
        <w:rPr>
          <w:rFonts w:ascii="Times New Roman" w:hAnsi="Times New Roman"/>
        </w:rPr>
        <w:t xml:space="preserve"> szignifikáns javulás mutat</w:t>
      </w:r>
      <w:r w:rsidR="00EC6FE1">
        <w:rPr>
          <w:rFonts w:ascii="Times New Roman" w:hAnsi="Times New Roman"/>
        </w:rPr>
        <w:t>koz</w:t>
      </w:r>
      <w:r w:rsidR="00393269" w:rsidRPr="001D5B8D">
        <w:rPr>
          <w:rFonts w:ascii="Times New Roman" w:hAnsi="Times New Roman"/>
        </w:rPr>
        <w:t xml:space="preserve">ott a három elsődleges végpontban: </w:t>
      </w:r>
      <w:r w:rsidR="00E50F0D" w:rsidRPr="001D5B8D">
        <w:rPr>
          <w:rFonts w:ascii="Times New Roman" w:hAnsi="Times New Roman"/>
        </w:rPr>
        <w:t>vagin</w:t>
      </w:r>
      <w:r w:rsidR="00EC6FE1">
        <w:rPr>
          <w:rFonts w:ascii="Times New Roman" w:hAnsi="Times New Roman"/>
        </w:rPr>
        <w:t>a</w:t>
      </w:r>
      <w:r w:rsidR="00E50F0D" w:rsidRPr="001D5B8D">
        <w:rPr>
          <w:rFonts w:ascii="Times New Roman" w:hAnsi="Times New Roman"/>
        </w:rPr>
        <w:t>lis maturációs index és érték</w:t>
      </w:r>
      <w:r w:rsidR="00E50F0D" w:rsidRPr="00632DBE">
        <w:rPr>
          <w:rFonts w:ascii="Times New Roman" w:hAnsi="Times New Roman"/>
          <w:i/>
          <w:iCs/>
          <w:color w:val="1F497D"/>
        </w:rPr>
        <w:t xml:space="preserve"> </w:t>
      </w:r>
      <w:r w:rsidR="00551AB6" w:rsidRPr="001D5B8D">
        <w:rPr>
          <w:rFonts w:ascii="Times New Roman" w:hAnsi="Times New Roman"/>
        </w:rPr>
        <w:t>(</w:t>
      </w:r>
      <w:r w:rsidR="00551AB6" w:rsidRPr="001D5B8D">
        <w:rPr>
          <w:rFonts w:ascii="Times New Roman" w:eastAsia="Times New Roman" w:hAnsi="Times New Roman"/>
          <w:lang w:eastAsia="de-DE"/>
        </w:rPr>
        <w:t>Vaginal Maturation Index and Value – VMI és VMV)</w:t>
      </w:r>
      <w:r w:rsidR="00393269" w:rsidRPr="001D5B8D">
        <w:rPr>
          <w:rFonts w:ascii="Times New Roman" w:hAnsi="Times New Roman"/>
        </w:rPr>
        <w:t xml:space="preserve">, a hüvelyi pH normalizálódása és a </w:t>
      </w:r>
      <w:r w:rsidR="00551AB6" w:rsidRPr="001D5B8D">
        <w:rPr>
          <w:rFonts w:ascii="Times New Roman" w:hAnsi="Times New Roman"/>
        </w:rPr>
        <w:t>betegek által a legkellemetlenebbnek talált</w:t>
      </w:r>
      <w:r w:rsidR="00EC6FE1">
        <w:rPr>
          <w:rFonts w:ascii="Times New Roman" w:hAnsi="Times New Roman"/>
        </w:rPr>
        <w:t>,</w:t>
      </w:r>
      <w:r w:rsidR="00551AB6" w:rsidRPr="001D5B8D">
        <w:rPr>
          <w:rFonts w:ascii="Times New Roman" w:hAnsi="Times New Roman"/>
        </w:rPr>
        <w:t xml:space="preserve"> </w:t>
      </w:r>
      <w:r w:rsidR="00393269" w:rsidRPr="001D5B8D">
        <w:rPr>
          <w:rFonts w:ascii="Times New Roman" w:hAnsi="Times New Roman"/>
        </w:rPr>
        <w:t>mérsékelt/súlyos urogenit</w:t>
      </w:r>
      <w:r w:rsidR="00551AB6" w:rsidRPr="001D5B8D">
        <w:rPr>
          <w:rFonts w:ascii="Times New Roman" w:hAnsi="Times New Roman"/>
        </w:rPr>
        <w:t>a</w:t>
      </w:r>
      <w:r w:rsidR="00393269" w:rsidRPr="001D5B8D">
        <w:rPr>
          <w:rFonts w:ascii="Times New Roman" w:hAnsi="Times New Roman"/>
        </w:rPr>
        <w:t>lis tünetek enyhülése.</w:t>
      </w:r>
    </w:p>
    <w:p w14:paraId="5D83A81E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</w:p>
    <w:p w14:paraId="1ED5628A" w14:textId="77777777" w:rsidR="00393269" w:rsidRPr="001D5B8D" w:rsidRDefault="0039326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 xml:space="preserve">A 10 mikrogramm </w:t>
      </w:r>
      <w:r w:rsidR="00551AB6" w:rsidRPr="001D5B8D">
        <w:rPr>
          <w:rFonts w:ascii="Times New Roman" w:hAnsi="Times New Roman"/>
        </w:rPr>
        <w:t xml:space="preserve">ösztrogéntartalmú </w:t>
      </w:r>
      <w:r w:rsidRPr="001D5B8D">
        <w:rPr>
          <w:rFonts w:ascii="Times New Roman" w:hAnsi="Times New Roman"/>
        </w:rPr>
        <w:t>hüvelytabletta endometri</w:t>
      </w:r>
      <w:r w:rsidR="0059245F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 xml:space="preserve">lis biztonságosságát a fent említett vizsgálatban és egy második, nyílt, </w:t>
      </w:r>
      <w:r w:rsidR="000D1167">
        <w:rPr>
          <w:rFonts w:ascii="Times New Roman" w:hAnsi="Times New Roman"/>
        </w:rPr>
        <w:t>többcentrumos</w:t>
      </w:r>
      <w:r w:rsidR="000D1167" w:rsidRPr="001D5B8D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vizsgálat során értékelték. Összesen 386 nő esetében végeztek endometri</w:t>
      </w:r>
      <w:r w:rsidR="0059245F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>lis biopsziát az 52 hetes kezelés elején és végén. A hyperplasia</w:t>
      </w:r>
      <w:r w:rsidR="0059245F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 xml:space="preserve"> és/vagy carcinoma</w:t>
      </w:r>
      <w:r w:rsidR="00551AB6" w:rsidRPr="001D5B8D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incidencia aránya 0,52% (95%</w:t>
      </w:r>
      <w:r w:rsidR="0059245F">
        <w:rPr>
          <w:rFonts w:ascii="Times New Roman" w:hAnsi="Times New Roman"/>
        </w:rPr>
        <w:t>-os</w:t>
      </w:r>
      <w:r w:rsidRPr="001D5B8D">
        <w:rPr>
          <w:rFonts w:ascii="Times New Roman" w:hAnsi="Times New Roman"/>
        </w:rPr>
        <w:t xml:space="preserve"> CI</w:t>
      </w:r>
      <w:r w:rsidR="0059245F">
        <w:rPr>
          <w:rFonts w:ascii="Times New Roman" w:hAnsi="Times New Roman"/>
        </w:rPr>
        <w:t>:</w:t>
      </w:r>
      <w:r w:rsidRPr="001D5B8D">
        <w:rPr>
          <w:rFonts w:ascii="Times New Roman" w:hAnsi="Times New Roman"/>
        </w:rPr>
        <w:t xml:space="preserve"> 0,06%, 1,86%) volt, nem mutatva többletkockázatot.</w:t>
      </w:r>
    </w:p>
    <w:p w14:paraId="7B32013A" w14:textId="77777777" w:rsidR="00F52D46" w:rsidRPr="001D5B8D" w:rsidRDefault="00F52D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865F7A5" w14:textId="77777777" w:rsidR="00551AB6" w:rsidRPr="001D5B8D" w:rsidRDefault="00551AB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  <w:color w:val="000000"/>
        </w:rPr>
        <w:t xml:space="preserve">Egy </w:t>
      </w:r>
      <w:r w:rsidR="0059245F">
        <w:rPr>
          <w:rFonts w:ascii="Times New Roman" w:hAnsi="Times New Roman"/>
          <w:color w:val="000000"/>
        </w:rPr>
        <w:t>6</w:t>
      </w:r>
      <w:r w:rsidR="0059245F" w:rsidRPr="001D5B8D">
        <w:rPr>
          <w:rFonts w:ascii="Times New Roman" w:hAnsi="Times New Roman"/>
          <w:color w:val="000000"/>
        </w:rPr>
        <w:t xml:space="preserve"> </w:t>
      </w:r>
      <w:r w:rsidRPr="001D5B8D">
        <w:rPr>
          <w:rFonts w:ascii="Times New Roman" w:hAnsi="Times New Roman"/>
          <w:color w:val="000000"/>
        </w:rPr>
        <w:t xml:space="preserve">hetes, </w:t>
      </w:r>
      <w:r w:rsidR="00405D4D" w:rsidRPr="001D5B8D">
        <w:rPr>
          <w:rFonts w:ascii="Times New Roman" w:hAnsi="Times New Roman"/>
        </w:rPr>
        <w:t xml:space="preserve">10 mikrogramm ösztrogéntartalmú hüvelytablettával végzett, </w:t>
      </w:r>
      <w:r w:rsidRPr="001D5B8D">
        <w:rPr>
          <w:rFonts w:ascii="Times New Roman" w:hAnsi="Times New Roman"/>
        </w:rPr>
        <w:t xml:space="preserve">placebokontrollos vizsgálat megerősítette a </w:t>
      </w:r>
      <w:r w:rsidR="00E50F0D" w:rsidRPr="001D5B8D">
        <w:rPr>
          <w:rFonts w:ascii="Times New Roman" w:hAnsi="Times New Roman"/>
        </w:rPr>
        <w:t>vagin</w:t>
      </w:r>
      <w:r w:rsidR="003A22E7">
        <w:rPr>
          <w:rFonts w:ascii="Times New Roman" w:hAnsi="Times New Roman"/>
        </w:rPr>
        <w:t>a</w:t>
      </w:r>
      <w:r w:rsidR="00E50F0D" w:rsidRPr="001D5B8D">
        <w:rPr>
          <w:rFonts w:ascii="Times New Roman" w:hAnsi="Times New Roman"/>
        </w:rPr>
        <w:t>lis maturációs érték</w:t>
      </w:r>
      <w:r w:rsidR="00E50F0D" w:rsidRPr="00632DBE">
        <w:rPr>
          <w:rFonts w:ascii="Times New Roman" w:hAnsi="Times New Roman"/>
          <w:i/>
          <w:iCs/>
          <w:color w:val="1F497D"/>
        </w:rPr>
        <w:t xml:space="preserve"> </w:t>
      </w:r>
      <w:r w:rsidR="003A22E7">
        <w:rPr>
          <w:rFonts w:ascii="Times New Roman" w:hAnsi="Times New Roman"/>
        </w:rPr>
        <w:t>szignifikáns</w:t>
      </w:r>
      <w:r w:rsidR="003A22E7" w:rsidRPr="001D5B8D">
        <w:rPr>
          <w:rFonts w:ascii="Times New Roman" w:hAnsi="Times New Roman"/>
        </w:rPr>
        <w:t xml:space="preserve"> </w:t>
      </w:r>
      <w:r w:rsidR="00405D4D" w:rsidRPr="001D5B8D">
        <w:rPr>
          <w:rFonts w:ascii="Times New Roman" w:hAnsi="Times New Roman"/>
        </w:rPr>
        <w:t>javulását és a hüvely pH-értékének helyreállását.</w:t>
      </w:r>
    </w:p>
    <w:p w14:paraId="0ADA4C3D" w14:textId="77777777" w:rsidR="00405D4D" w:rsidRPr="001D5B8D" w:rsidRDefault="00405D4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3AB64B9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5.2</w:t>
      </w:r>
      <w:r w:rsidRPr="001D5B8D">
        <w:rPr>
          <w:rFonts w:ascii="Times New Roman" w:hAnsi="Times New Roman"/>
          <w:b/>
          <w:bCs/>
          <w:color w:val="000000"/>
        </w:rPr>
        <w:tab/>
        <w:t>Farmakokinetikai tulajdonságok</w:t>
      </w:r>
    </w:p>
    <w:p w14:paraId="1143FFA0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8B25EAF" w14:textId="77777777" w:rsidR="00F52D46" w:rsidRPr="001D5B8D" w:rsidRDefault="00F52D46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Felszívódás</w:t>
      </w:r>
    </w:p>
    <w:p w14:paraId="6DE75D4D" w14:textId="77777777" w:rsidR="006366DF" w:rsidRPr="001D5B8D" w:rsidRDefault="006366DF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 ösztrogének jól felszívódnak a bőrön, a nyálkahártyákon és a gastrointestin</w:t>
      </w:r>
      <w:r w:rsidR="003A22E7">
        <w:rPr>
          <w:rFonts w:ascii="Times New Roman" w:hAnsi="Times New Roman"/>
        </w:rPr>
        <w:t>a</w:t>
      </w:r>
      <w:r w:rsidRPr="001D5B8D">
        <w:rPr>
          <w:rFonts w:ascii="Times New Roman" w:hAnsi="Times New Roman"/>
        </w:rPr>
        <w:t>lis traktusban. Hüvelyi alkalmazást követően az ösztradiol felszívódik és elkerüli a first-pass metabolizmust.</w:t>
      </w:r>
    </w:p>
    <w:p w14:paraId="5FF34B61" w14:textId="77777777" w:rsidR="006366DF" w:rsidRPr="001D5B8D" w:rsidRDefault="006366DF">
      <w:pPr>
        <w:widowControl w:val="0"/>
        <w:suppressAutoHyphens/>
        <w:spacing w:after="0" w:line="240" w:lineRule="auto"/>
        <w:rPr>
          <w:rFonts w:ascii="Times New Roman" w:hAnsi="Times New Roman"/>
        </w:rPr>
      </w:pPr>
    </w:p>
    <w:p w14:paraId="139FC48C" w14:textId="77777777" w:rsidR="006366DF" w:rsidRPr="001D5B8D" w:rsidRDefault="006366DF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</w:t>
      </w:r>
      <w:r w:rsidR="003A22E7">
        <w:rPr>
          <w:rFonts w:ascii="Times New Roman" w:hAnsi="Times New Roman"/>
        </w:rPr>
        <w:t>z ösztradiol –</w:t>
      </w:r>
      <w:r w:rsidRPr="001D5B8D">
        <w:rPr>
          <w:rFonts w:ascii="Times New Roman" w:hAnsi="Times New Roman"/>
        </w:rPr>
        <w:t xml:space="preserve"> 10 mikrogramm</w:t>
      </w:r>
      <w:r w:rsidR="003A22E7">
        <w:rPr>
          <w:rFonts w:ascii="Times New Roman" w:hAnsi="Times New Roman"/>
        </w:rPr>
        <w:t xml:space="preserve">os </w:t>
      </w:r>
      <w:r w:rsidRPr="001D5B8D">
        <w:rPr>
          <w:rFonts w:ascii="Times New Roman" w:hAnsi="Times New Roman"/>
        </w:rPr>
        <w:t>hüvelytablettából</w:t>
      </w:r>
      <w:r w:rsidR="003A22E7">
        <w:rPr>
          <w:rFonts w:ascii="Times New Roman" w:hAnsi="Times New Roman"/>
        </w:rPr>
        <w:t xml:space="preserve"> történő –</w:t>
      </w:r>
      <w:r w:rsidRPr="001D5B8D">
        <w:rPr>
          <w:rFonts w:ascii="Times New Roman" w:hAnsi="Times New Roman"/>
        </w:rPr>
        <w:t xml:space="preserve"> szisztémás felszívódásának értékelésére egy egycentrum</w:t>
      </w:r>
      <w:r w:rsidR="00D230C7">
        <w:rPr>
          <w:rFonts w:ascii="Times New Roman" w:hAnsi="Times New Roman"/>
        </w:rPr>
        <w:t>os</w:t>
      </w:r>
      <w:r w:rsidRPr="001D5B8D">
        <w:rPr>
          <w:rFonts w:ascii="Times New Roman" w:hAnsi="Times New Roman"/>
        </w:rPr>
        <w:t xml:space="preserve">, </w:t>
      </w:r>
      <w:r w:rsidR="004375CA">
        <w:rPr>
          <w:rFonts w:ascii="Times New Roman" w:hAnsi="Times New Roman"/>
        </w:rPr>
        <w:t>véletlen besorolásos</w:t>
      </w:r>
      <w:r w:rsidRPr="001D5B8D">
        <w:rPr>
          <w:rFonts w:ascii="Times New Roman" w:hAnsi="Times New Roman"/>
        </w:rPr>
        <w:t>, nyílt, több adagot alkalmazó, párhuzamos csoportelrendezésű, 12 hétig tartó vizsgálatot végeztek. A betegeket véletlenszerűen, 1:1 arányban vagy a 10 mikrogramm ösztr</w:t>
      </w:r>
      <w:r w:rsidR="003A22E7">
        <w:rPr>
          <w:rFonts w:ascii="Times New Roman" w:hAnsi="Times New Roman"/>
        </w:rPr>
        <w:t>adiol</w:t>
      </w:r>
      <w:r w:rsidRPr="001D5B8D">
        <w:rPr>
          <w:rFonts w:ascii="Times New Roman" w:hAnsi="Times New Roman"/>
        </w:rPr>
        <w:t>tartalmú hüvelytablettát, vagy a 25 mikrogramm ösztr</w:t>
      </w:r>
      <w:r w:rsidR="003A22E7">
        <w:rPr>
          <w:rFonts w:ascii="Times New Roman" w:hAnsi="Times New Roman"/>
        </w:rPr>
        <w:t>adiol</w:t>
      </w:r>
      <w:r w:rsidRPr="001D5B8D">
        <w:rPr>
          <w:rFonts w:ascii="Times New Roman" w:hAnsi="Times New Roman"/>
        </w:rPr>
        <w:t>tartalmú hüvelytablettát alkalmazó csoportba sorolták be. Az ösztradiol (E2), az ösztron (E1) és az ösztron-szulfát (E1S) plazmaszintjét határozták meg. A plazma ösztradiol (E2)-szintjének AUC</w:t>
      </w:r>
      <w:r w:rsidRPr="001D5B8D">
        <w:rPr>
          <w:rFonts w:ascii="Times New Roman" w:hAnsi="Times New Roman"/>
          <w:vertAlign w:val="subscript"/>
        </w:rPr>
        <w:t>(0-24)</w:t>
      </w:r>
      <w:r w:rsidR="003A22E7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értéke majdnem arányosan nőtt a 10 mikrogramm és a 25 mikrogramm ösztr</w:t>
      </w:r>
      <w:r w:rsidR="003A22E7">
        <w:rPr>
          <w:rFonts w:ascii="Times New Roman" w:hAnsi="Times New Roman"/>
        </w:rPr>
        <w:t>adiol</w:t>
      </w:r>
      <w:r w:rsidRPr="001D5B8D">
        <w:rPr>
          <w:rFonts w:ascii="Times New Roman" w:hAnsi="Times New Roman"/>
        </w:rPr>
        <w:t>tartalmú hüvelytabletta alkalmazása után. Az AUC</w:t>
      </w:r>
      <w:r w:rsidRPr="001D5B8D">
        <w:rPr>
          <w:rFonts w:ascii="Times New Roman" w:hAnsi="Times New Roman"/>
          <w:vertAlign w:val="subscript"/>
        </w:rPr>
        <w:t>(0-24)</w:t>
      </w:r>
      <w:r w:rsidR="00E56084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paraméter a 10 mikrogramm ösztradiol</w:t>
      </w:r>
      <w:r w:rsidR="00E56084">
        <w:rPr>
          <w:rFonts w:ascii="Times New Roman" w:hAnsi="Times New Roman"/>
        </w:rPr>
        <w:t>t</w:t>
      </w:r>
      <w:r w:rsidRPr="001D5B8D">
        <w:rPr>
          <w:rFonts w:ascii="Times New Roman" w:hAnsi="Times New Roman"/>
        </w:rPr>
        <w:t xml:space="preserve"> (E2</w:t>
      </w:r>
      <w:r w:rsidR="00E56084">
        <w:rPr>
          <w:rFonts w:ascii="Times New Roman" w:hAnsi="Times New Roman"/>
        </w:rPr>
        <w:t>-t</w:t>
      </w:r>
      <w:r w:rsidRPr="001D5B8D">
        <w:rPr>
          <w:rFonts w:ascii="Times New Roman" w:hAnsi="Times New Roman"/>
        </w:rPr>
        <w:t>)</w:t>
      </w:r>
      <w:r w:rsidR="00E56084">
        <w:rPr>
          <w:rFonts w:ascii="Times New Roman" w:hAnsi="Times New Roman"/>
        </w:rPr>
        <w:t xml:space="preserve"> tartalmazó</w:t>
      </w:r>
      <w:r w:rsidRPr="001D5B8D">
        <w:rPr>
          <w:rFonts w:ascii="Times New Roman" w:hAnsi="Times New Roman"/>
        </w:rPr>
        <w:t xml:space="preserve"> hüvelytabletta esetében a kiindulási értékhez képest magasabb szisztémás ösztradiolszintet jelzett az 1., a 14. és a 83. napon, ami statisztikailag szignifikáns volt az 1. és 14. napon (lásd 1. táblázat). Mindazonáltal az átlagos plazma</w:t>
      </w:r>
      <w:r w:rsidR="00E56084">
        <w:rPr>
          <w:rFonts w:ascii="Times New Roman" w:hAnsi="Times New Roman"/>
        </w:rPr>
        <w:t>-</w:t>
      </w:r>
      <w:r w:rsidRPr="001D5B8D">
        <w:rPr>
          <w:rFonts w:ascii="Times New Roman" w:hAnsi="Times New Roman"/>
        </w:rPr>
        <w:t>ösztradiol-koncentrációk (C</w:t>
      </w:r>
      <w:r w:rsidRPr="001D5B8D">
        <w:rPr>
          <w:rFonts w:ascii="Times New Roman" w:hAnsi="Times New Roman"/>
          <w:vertAlign w:val="subscript"/>
        </w:rPr>
        <w:t>ave(0-24)</w:t>
      </w:r>
      <w:r w:rsidRPr="001D5B8D">
        <w:rPr>
          <w:rFonts w:ascii="Times New Roman" w:hAnsi="Times New Roman"/>
        </w:rPr>
        <w:t>) végig, mindegyik értékelt napon a normális postmenopausalis tartományon belül maradtak az összes betegnél. A 82. és a 83. nap adatait a kiindulási értékekkel összehasonlítva az adatok azt mutatják, hogy a</w:t>
      </w:r>
      <w:r w:rsidR="00E56084">
        <w:rPr>
          <w:rFonts w:ascii="Times New Roman" w:hAnsi="Times New Roman"/>
        </w:rPr>
        <w:t>z</w:t>
      </w:r>
      <w:r w:rsidRPr="001D5B8D">
        <w:rPr>
          <w:rFonts w:ascii="Times New Roman" w:hAnsi="Times New Roman"/>
        </w:rPr>
        <w:t xml:space="preserve"> ösztradiol hosszú</w:t>
      </w:r>
      <w:r w:rsidR="00E56084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távon</w:t>
      </w:r>
      <w:r w:rsidR="00E56084">
        <w:rPr>
          <w:rFonts w:ascii="Times New Roman" w:hAnsi="Times New Roman"/>
        </w:rPr>
        <w:t>, szisztémásan</w:t>
      </w:r>
      <w:r w:rsidRPr="001D5B8D">
        <w:rPr>
          <w:rFonts w:ascii="Times New Roman" w:hAnsi="Times New Roman"/>
        </w:rPr>
        <w:t xml:space="preserve"> nem akkumulálódik </w:t>
      </w:r>
      <w:r w:rsidR="00E56084">
        <w:rPr>
          <w:rFonts w:ascii="Times New Roman" w:hAnsi="Times New Roman"/>
        </w:rPr>
        <w:t xml:space="preserve">a </w:t>
      </w:r>
      <w:r w:rsidRPr="001D5B8D">
        <w:rPr>
          <w:rFonts w:ascii="Times New Roman" w:hAnsi="Times New Roman"/>
        </w:rPr>
        <w:t xml:space="preserve">heti kétszeri </w:t>
      </w:r>
      <w:r w:rsidR="00E56084">
        <w:rPr>
          <w:rFonts w:ascii="Times New Roman" w:hAnsi="Times New Roman"/>
        </w:rPr>
        <w:t>(</w:t>
      </w:r>
      <w:r w:rsidRPr="001D5B8D">
        <w:rPr>
          <w:rFonts w:ascii="Times New Roman" w:hAnsi="Times New Roman"/>
        </w:rPr>
        <w:t>fenntartó</w:t>
      </w:r>
      <w:r w:rsidR="00E56084">
        <w:rPr>
          <w:rFonts w:ascii="Times New Roman" w:hAnsi="Times New Roman"/>
        </w:rPr>
        <w:t>)</w:t>
      </w:r>
      <w:r w:rsidRPr="001D5B8D">
        <w:rPr>
          <w:rFonts w:ascii="Times New Roman" w:hAnsi="Times New Roman"/>
        </w:rPr>
        <w:t xml:space="preserve"> kezelés esetén.</w:t>
      </w:r>
    </w:p>
    <w:p w14:paraId="7343EF72" w14:textId="77777777" w:rsidR="006366DF" w:rsidRPr="001D5B8D" w:rsidRDefault="006366DF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1045D849" w14:textId="77777777" w:rsidR="00BE1C8F" w:rsidRPr="00632DBE" w:rsidRDefault="00BE1C8F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</w:rPr>
      </w:pPr>
      <w:r w:rsidRPr="00632DBE">
        <w:rPr>
          <w:rFonts w:ascii="Times New Roman" w:hAnsi="Times New Roman"/>
          <w:b/>
          <w:bCs/>
        </w:rPr>
        <w:t>1. táblázat A plazma</w:t>
      </w:r>
      <w:r w:rsidR="00BB46AA">
        <w:rPr>
          <w:rFonts w:ascii="Times New Roman" w:hAnsi="Times New Roman"/>
          <w:b/>
          <w:bCs/>
        </w:rPr>
        <w:t>-</w:t>
      </w:r>
      <w:r w:rsidRPr="00632DBE">
        <w:rPr>
          <w:rFonts w:ascii="Times New Roman" w:hAnsi="Times New Roman"/>
          <w:b/>
          <w:bCs/>
        </w:rPr>
        <w:t>ösztradiol-koncentrációk farmakokinetikai paraméterei: 10 mikrogramm ösztr</w:t>
      </w:r>
      <w:r w:rsidR="00BB46AA">
        <w:rPr>
          <w:rFonts w:ascii="Times New Roman" w:hAnsi="Times New Roman"/>
          <w:b/>
          <w:bCs/>
        </w:rPr>
        <w:t>adiol</w:t>
      </w:r>
      <w:r w:rsidRPr="00632DBE">
        <w:rPr>
          <w:rFonts w:ascii="Times New Roman" w:hAnsi="Times New Roman"/>
          <w:b/>
          <w:bCs/>
        </w:rPr>
        <w:t xml:space="preserve">tartalmú </w:t>
      </w:r>
      <w:r w:rsidR="00887787" w:rsidRPr="00632DBE">
        <w:rPr>
          <w:rFonts w:ascii="Times New Roman" w:hAnsi="Times New Roman"/>
          <w:b/>
          <w:bCs/>
        </w:rPr>
        <w:t>hüvelytabletta</w:t>
      </w:r>
    </w:p>
    <w:tbl>
      <w:tblPr>
        <w:tblW w:w="752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204"/>
        <w:gridCol w:w="3299"/>
        <w:gridCol w:w="3021"/>
      </w:tblGrid>
      <w:tr w:rsidR="00BE1C8F" w:rsidRPr="00025B01" w14:paraId="39CA3428" w14:textId="77777777" w:rsidTr="00FB1012">
        <w:trPr>
          <w:trHeight w:val="522"/>
        </w:trPr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872356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75638AA2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vertAlign w:val="subscript"/>
              </w:rPr>
            </w:pPr>
            <w:r w:rsidRPr="00025B01">
              <w:rPr>
                <w:rFonts w:ascii="Times New Roman" w:hAnsi="Times New Roman"/>
              </w:rPr>
              <w:t>AUC</w:t>
            </w:r>
            <w:r w:rsidRPr="00025B01">
              <w:rPr>
                <w:rFonts w:ascii="Times New Roman" w:hAnsi="Times New Roman"/>
                <w:vertAlign w:val="subscript"/>
              </w:rPr>
              <w:t>(0-24)</w:t>
            </w:r>
          </w:p>
          <w:p w14:paraId="06CA5461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pg</w:t>
            </w:r>
            <w:r w:rsidR="00BB46AA" w:rsidRPr="00025B01">
              <w:rPr>
                <w:rFonts w:ascii="Times New Roman" w:hAnsi="Times New Roman"/>
                <w:b/>
              </w:rPr>
              <w:t>‧</w:t>
            </w:r>
            <w:r w:rsidRPr="00025B01">
              <w:rPr>
                <w:rFonts w:ascii="Times New Roman" w:hAnsi="Times New Roman"/>
              </w:rPr>
              <w:t>h/ml</w:t>
            </w:r>
          </w:p>
          <w:p w14:paraId="1B13B387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(geom. átlag)</w:t>
            </w:r>
          </w:p>
        </w:tc>
        <w:tc>
          <w:tcPr>
            <w:tcW w:w="30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5DDB14EA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vertAlign w:val="subscript"/>
              </w:rPr>
            </w:pPr>
            <w:r w:rsidRPr="00025B01">
              <w:rPr>
                <w:rFonts w:ascii="Times New Roman" w:hAnsi="Times New Roman"/>
              </w:rPr>
              <w:t>C</w:t>
            </w:r>
            <w:r w:rsidRPr="00025B01">
              <w:rPr>
                <w:rFonts w:ascii="Times New Roman" w:hAnsi="Times New Roman"/>
                <w:vertAlign w:val="subscript"/>
              </w:rPr>
              <w:t>ave(0-24)</w:t>
            </w:r>
          </w:p>
          <w:p w14:paraId="38BE2ACD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pg/ml</w:t>
            </w:r>
          </w:p>
          <w:p w14:paraId="727CD37C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(geom. átlag)</w:t>
            </w:r>
          </w:p>
        </w:tc>
      </w:tr>
      <w:tr w:rsidR="00BE1C8F" w:rsidRPr="00025B01" w14:paraId="0C1EB34D" w14:textId="77777777" w:rsidTr="00FB1012">
        <w:trPr>
          <w:trHeight w:val="170"/>
        </w:trPr>
        <w:tc>
          <w:tcPr>
            <w:tcW w:w="1204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D3FC2F7" w14:textId="77777777" w:rsidR="00BE1C8F" w:rsidRPr="00025B01" w:rsidRDefault="00BE1C8F" w:rsidP="001D5B8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-1. nap</w:t>
            </w:r>
          </w:p>
        </w:tc>
        <w:tc>
          <w:tcPr>
            <w:tcW w:w="3299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2274ECE" w14:textId="77777777" w:rsidR="00BE1C8F" w:rsidRPr="00025B01" w:rsidRDefault="00BE1C8F" w:rsidP="001D5B8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75,65</w:t>
            </w:r>
          </w:p>
        </w:tc>
        <w:tc>
          <w:tcPr>
            <w:tcW w:w="3021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906FCD8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3,15</w:t>
            </w:r>
          </w:p>
        </w:tc>
      </w:tr>
      <w:tr w:rsidR="00BE1C8F" w:rsidRPr="00025B01" w14:paraId="1F2F636F" w14:textId="77777777" w:rsidTr="00FB1012">
        <w:trPr>
          <w:trHeight w:val="170"/>
        </w:trPr>
        <w:tc>
          <w:tcPr>
            <w:tcW w:w="1204" w:type="dxa"/>
            <w:shd w:val="clear" w:color="auto" w:fill="auto"/>
            <w:tcMar>
              <w:left w:w="57" w:type="dxa"/>
              <w:right w:w="57" w:type="dxa"/>
            </w:tcMar>
          </w:tcPr>
          <w:p w14:paraId="10D159BB" w14:textId="77777777" w:rsidR="00BE1C8F" w:rsidRPr="00025B01" w:rsidRDefault="00BE1C8F" w:rsidP="001D5B8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1. nap</w:t>
            </w:r>
          </w:p>
        </w:tc>
        <w:tc>
          <w:tcPr>
            <w:tcW w:w="3299" w:type="dxa"/>
            <w:shd w:val="clear" w:color="auto" w:fill="auto"/>
            <w:tcMar>
              <w:left w:w="57" w:type="dxa"/>
              <w:right w:w="57" w:type="dxa"/>
            </w:tcMar>
          </w:tcPr>
          <w:p w14:paraId="4A6C1CB8" w14:textId="77777777" w:rsidR="00BE1C8F" w:rsidRPr="00025B01" w:rsidRDefault="00BE1C8F" w:rsidP="001D5B8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225,35</w:t>
            </w:r>
          </w:p>
        </w:tc>
        <w:tc>
          <w:tcPr>
            <w:tcW w:w="3021" w:type="dxa"/>
            <w:shd w:val="clear" w:color="auto" w:fill="auto"/>
            <w:tcMar>
              <w:left w:w="57" w:type="dxa"/>
              <w:right w:w="57" w:type="dxa"/>
            </w:tcMar>
          </w:tcPr>
          <w:p w14:paraId="3096AB1E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9,39</w:t>
            </w:r>
          </w:p>
        </w:tc>
      </w:tr>
      <w:tr w:rsidR="00BE1C8F" w:rsidRPr="00025B01" w14:paraId="3923DDBE" w14:textId="77777777" w:rsidTr="00FB1012">
        <w:trPr>
          <w:trHeight w:val="181"/>
        </w:trPr>
        <w:tc>
          <w:tcPr>
            <w:tcW w:w="1204" w:type="dxa"/>
            <w:shd w:val="clear" w:color="auto" w:fill="auto"/>
            <w:tcMar>
              <w:left w:w="57" w:type="dxa"/>
              <w:right w:w="57" w:type="dxa"/>
            </w:tcMar>
          </w:tcPr>
          <w:p w14:paraId="78066260" w14:textId="77777777" w:rsidR="00BE1C8F" w:rsidRPr="00025B01" w:rsidRDefault="00BE1C8F" w:rsidP="001D5B8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14. nap</w:t>
            </w:r>
          </w:p>
        </w:tc>
        <w:tc>
          <w:tcPr>
            <w:tcW w:w="3299" w:type="dxa"/>
            <w:shd w:val="clear" w:color="auto" w:fill="auto"/>
            <w:tcMar>
              <w:left w:w="57" w:type="dxa"/>
              <w:right w:w="57" w:type="dxa"/>
            </w:tcMar>
          </w:tcPr>
          <w:p w14:paraId="27F900E7" w14:textId="77777777" w:rsidR="00BE1C8F" w:rsidRPr="00025B01" w:rsidRDefault="00BE1C8F" w:rsidP="001D5B8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157,47</w:t>
            </w:r>
          </w:p>
        </w:tc>
        <w:tc>
          <w:tcPr>
            <w:tcW w:w="3021" w:type="dxa"/>
            <w:shd w:val="clear" w:color="auto" w:fill="auto"/>
            <w:tcMar>
              <w:left w:w="57" w:type="dxa"/>
              <w:right w:w="57" w:type="dxa"/>
            </w:tcMar>
          </w:tcPr>
          <w:p w14:paraId="16A4537F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6,56</w:t>
            </w:r>
          </w:p>
        </w:tc>
      </w:tr>
      <w:tr w:rsidR="00BE1C8F" w:rsidRPr="00025B01" w14:paraId="6216CCE3" w14:textId="77777777" w:rsidTr="00FB1012">
        <w:trPr>
          <w:trHeight w:val="170"/>
        </w:trPr>
        <w:tc>
          <w:tcPr>
            <w:tcW w:w="1204" w:type="dxa"/>
            <w:shd w:val="clear" w:color="auto" w:fill="auto"/>
            <w:tcMar>
              <w:left w:w="57" w:type="dxa"/>
              <w:right w:w="57" w:type="dxa"/>
            </w:tcMar>
          </w:tcPr>
          <w:p w14:paraId="2FFE9B1D" w14:textId="77777777" w:rsidR="00BE1C8F" w:rsidRPr="00025B01" w:rsidRDefault="00BE1C8F" w:rsidP="001D5B8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82. nap</w:t>
            </w:r>
          </w:p>
        </w:tc>
        <w:tc>
          <w:tcPr>
            <w:tcW w:w="3299" w:type="dxa"/>
            <w:shd w:val="clear" w:color="auto" w:fill="auto"/>
            <w:tcMar>
              <w:left w:w="57" w:type="dxa"/>
              <w:right w:w="57" w:type="dxa"/>
            </w:tcMar>
          </w:tcPr>
          <w:p w14:paraId="55918040" w14:textId="77777777" w:rsidR="00BE1C8F" w:rsidRPr="00025B01" w:rsidRDefault="00BE1C8F" w:rsidP="001D5B8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44,95</w:t>
            </w:r>
          </w:p>
        </w:tc>
        <w:tc>
          <w:tcPr>
            <w:tcW w:w="3021" w:type="dxa"/>
            <w:shd w:val="clear" w:color="auto" w:fill="auto"/>
            <w:tcMar>
              <w:left w:w="57" w:type="dxa"/>
              <w:right w:w="57" w:type="dxa"/>
            </w:tcMar>
          </w:tcPr>
          <w:p w14:paraId="49F1F37D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1,87</w:t>
            </w:r>
          </w:p>
        </w:tc>
      </w:tr>
      <w:tr w:rsidR="00BE1C8F" w:rsidRPr="00025B01" w14:paraId="40CF6861" w14:textId="77777777" w:rsidTr="00FB1012">
        <w:trPr>
          <w:trHeight w:val="181"/>
        </w:trPr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bottom w:w="57" w:type="dxa"/>
              <w:right w:w="57" w:type="dxa"/>
            </w:tcMar>
          </w:tcPr>
          <w:p w14:paraId="1FBF0F70" w14:textId="77777777" w:rsidR="00BE1C8F" w:rsidRPr="00025B01" w:rsidRDefault="00BE1C8F" w:rsidP="001D5B8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83. nap</w:t>
            </w:r>
          </w:p>
        </w:tc>
        <w:tc>
          <w:tcPr>
            <w:tcW w:w="3299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bottom w:w="57" w:type="dxa"/>
              <w:right w:w="57" w:type="dxa"/>
            </w:tcMar>
          </w:tcPr>
          <w:p w14:paraId="7FBFEF89" w14:textId="77777777" w:rsidR="00BE1C8F" w:rsidRPr="00025B01" w:rsidRDefault="00BE1C8F" w:rsidP="001D5B8D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111,41</w:t>
            </w:r>
          </w:p>
        </w:tc>
        <w:tc>
          <w:tcPr>
            <w:tcW w:w="3021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bottom w:w="57" w:type="dxa"/>
              <w:right w:w="57" w:type="dxa"/>
            </w:tcMar>
          </w:tcPr>
          <w:p w14:paraId="01554F4A" w14:textId="77777777" w:rsidR="00BE1C8F" w:rsidRPr="00025B01" w:rsidRDefault="00BE1C8F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025B01">
              <w:rPr>
                <w:rFonts w:ascii="Times New Roman" w:hAnsi="Times New Roman"/>
              </w:rPr>
              <w:t>4,64</w:t>
            </w:r>
          </w:p>
        </w:tc>
      </w:tr>
    </w:tbl>
    <w:p w14:paraId="6FE4284E" w14:textId="77777777" w:rsidR="00BE1C8F" w:rsidRPr="001D5B8D" w:rsidRDefault="00BE1C8F" w:rsidP="001D5B8D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10 mikrogramm ösztr</w:t>
      </w:r>
      <w:r w:rsidR="00BB46AA">
        <w:rPr>
          <w:rFonts w:ascii="Times New Roman" w:hAnsi="Times New Roman"/>
        </w:rPr>
        <w:t>adiol</w:t>
      </w:r>
      <w:r w:rsidRPr="001D5B8D">
        <w:rPr>
          <w:rFonts w:ascii="Times New Roman" w:hAnsi="Times New Roman"/>
        </w:rPr>
        <w:t xml:space="preserve">tartalmú hüvelytabletta </w:t>
      </w:r>
      <w:r w:rsidR="00BB46AA" w:rsidRPr="001D5B8D">
        <w:rPr>
          <w:rFonts w:ascii="Times New Roman" w:hAnsi="Times New Roman"/>
        </w:rPr>
        <w:t xml:space="preserve">12 hétig tartó </w:t>
      </w:r>
      <w:r w:rsidRPr="001D5B8D">
        <w:rPr>
          <w:rFonts w:ascii="Times New Roman" w:hAnsi="Times New Roman"/>
        </w:rPr>
        <w:t>alkalmazás</w:t>
      </w:r>
      <w:r w:rsidR="00BB46AA">
        <w:rPr>
          <w:rFonts w:ascii="Times New Roman" w:hAnsi="Times New Roman"/>
        </w:rPr>
        <w:t>át követően</w:t>
      </w:r>
      <w:r w:rsidRPr="001D5B8D">
        <w:rPr>
          <w:rFonts w:ascii="Times New Roman" w:hAnsi="Times New Roman"/>
        </w:rPr>
        <w:t xml:space="preserve"> mért ösztron- és ösztron-szulfát-szintek nem haladják meg a kiindulási értékeket, azaz nem figyeltek meg ösztron- vagy ösztron-szulfát-felhalmozódást.</w:t>
      </w:r>
    </w:p>
    <w:p w14:paraId="1EEB2030" w14:textId="77777777" w:rsidR="006366DF" w:rsidRPr="001D5B8D" w:rsidRDefault="00BE1C8F" w:rsidP="00981FD1">
      <w:pPr>
        <w:numPr>
          <w:ilvl w:val="12"/>
          <w:numId w:val="0"/>
        </w:numPr>
        <w:suppressAutoHyphens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lastRenderedPageBreak/>
        <w:t xml:space="preserve">Egy további, 14 napos, </w:t>
      </w:r>
      <w:r w:rsidR="00BF16BA" w:rsidRPr="001D5B8D">
        <w:rPr>
          <w:rFonts w:ascii="Times New Roman" w:hAnsi="Times New Roman"/>
        </w:rPr>
        <w:t>Rewellfem</w:t>
      </w:r>
      <w:r w:rsidRPr="001D5B8D">
        <w:rPr>
          <w:rFonts w:ascii="Times New Roman" w:hAnsi="Times New Roman"/>
        </w:rPr>
        <w:t xml:space="preserve"> 10 mikrogramm hüvelytablettával végzett vizsgálat megerősítette ezeket az eredményeket.</w:t>
      </w:r>
    </w:p>
    <w:p w14:paraId="3D3EA1FC" w14:textId="77777777" w:rsidR="00BE1C8F" w:rsidRPr="001D5B8D" w:rsidRDefault="00BE1C8F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26D92481" w14:textId="77777777" w:rsidR="00F52D46" w:rsidRPr="001D5B8D" w:rsidRDefault="00F52D46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Eloszlás</w:t>
      </w:r>
    </w:p>
    <w:p w14:paraId="735A282D" w14:textId="77777777" w:rsidR="005E4D56" w:rsidRPr="001D5B8D" w:rsidRDefault="005E4D56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 exogén ösztrogének eloszlása hasonló az endogén ösztrogénekéhez. Az ösztrogének eloszlása a szervezetben széleskörű és általában nagyobb koncentrációban találhatók meg a nemi hormonok célszerveiben. Az ösztrogének a vérben nagyrészt a nemihormonkötő globulinhoz (SHBG</w:t>
      </w:r>
      <w:r w:rsidR="00BB46AA">
        <w:rPr>
          <w:rFonts w:ascii="Times New Roman" w:hAnsi="Times New Roman"/>
        </w:rPr>
        <w:t>-hez</w:t>
      </w:r>
      <w:r w:rsidRPr="001D5B8D">
        <w:rPr>
          <w:rFonts w:ascii="Times New Roman" w:hAnsi="Times New Roman"/>
        </w:rPr>
        <w:t>) és az albuminhoz kötődve keringenek.</w:t>
      </w:r>
    </w:p>
    <w:p w14:paraId="64C432D8" w14:textId="77777777" w:rsidR="00317117" w:rsidRPr="001D5B8D" w:rsidRDefault="00317117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55DF62E8" w14:textId="77777777" w:rsidR="00F52D46" w:rsidRPr="001D5B8D" w:rsidRDefault="00F52D46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Biotranszformáció</w:t>
      </w:r>
    </w:p>
    <w:p w14:paraId="75E24155" w14:textId="77777777" w:rsidR="00EA0BF5" w:rsidRPr="001D5B8D" w:rsidRDefault="00EA0BF5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 exogén ösztrogének azonos módon metabolizálódnak, mint az endogén ösztrogének. A metabolikus átalakulás főként a májban történik. Az ösztradiol reverzibilisen ösztronná alakul és mindkettő ösztriollá alakulhat, ami a fő</w:t>
      </w:r>
      <w:r w:rsidR="00BB46AA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vizeletbe kiválasztódó metabolit. A menopausán már túl lévő nőknél a keringő ösztrogének jelentős része szulfát-konjugátumként fordul elő, különösen ösztron-szulfátként, ami az aktívabb ösztrogének képzéséhez keringő tartalékot biztosít.</w:t>
      </w:r>
    </w:p>
    <w:p w14:paraId="03F15F08" w14:textId="77777777" w:rsidR="00EA0BF5" w:rsidRPr="001D5B8D" w:rsidRDefault="00EA0BF5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</w:rPr>
      </w:pPr>
    </w:p>
    <w:p w14:paraId="5DD760D7" w14:textId="77777777" w:rsidR="00F52D46" w:rsidRPr="001D5B8D" w:rsidRDefault="00EA0BF5">
      <w:pPr>
        <w:widowControl w:val="0"/>
        <w:numPr>
          <w:ilvl w:val="12"/>
          <w:numId w:val="0"/>
        </w:numPr>
        <w:suppressAutoHyphens/>
        <w:spacing w:after="0" w:line="240" w:lineRule="auto"/>
        <w:ind w:right="-2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Elimináció</w:t>
      </w:r>
    </w:p>
    <w:p w14:paraId="2AAAF505" w14:textId="77777777" w:rsidR="00944BC9" w:rsidRPr="001D5B8D" w:rsidRDefault="00944BC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Az ösztradiol, az ösztron és az ösztriol a glükuronid- és szulfát-konjugátumokkal együtt a vizeletbe választód</w:t>
      </w:r>
      <w:r w:rsidR="00BB46AA">
        <w:rPr>
          <w:rFonts w:ascii="Times New Roman" w:hAnsi="Times New Roman"/>
        </w:rPr>
        <w:t>ik</w:t>
      </w:r>
      <w:r w:rsidRPr="001D5B8D">
        <w:rPr>
          <w:rFonts w:ascii="Times New Roman" w:hAnsi="Times New Roman"/>
        </w:rPr>
        <w:t xml:space="preserve"> ki.</w:t>
      </w:r>
    </w:p>
    <w:p w14:paraId="7B867D48" w14:textId="77777777" w:rsidR="00F52D46" w:rsidRPr="001D5B8D" w:rsidRDefault="00F52D4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1812365" w14:textId="77777777" w:rsidR="00944BC9" w:rsidRPr="001D5B8D" w:rsidRDefault="00944BC9">
      <w:pPr>
        <w:widowControl w:val="0"/>
        <w:suppressAutoHyphens/>
        <w:spacing w:after="0" w:line="240" w:lineRule="auto"/>
        <w:ind w:left="-15"/>
        <w:rPr>
          <w:rFonts w:ascii="Times New Roman" w:hAnsi="Times New Roman"/>
          <w:u w:val="single"/>
        </w:rPr>
      </w:pPr>
      <w:r w:rsidRPr="001D5B8D">
        <w:rPr>
          <w:rFonts w:ascii="Times New Roman" w:hAnsi="Times New Roman"/>
          <w:u w:val="single"/>
        </w:rPr>
        <w:t>Különleges betegcsoportok</w:t>
      </w:r>
    </w:p>
    <w:p w14:paraId="0237DDCB" w14:textId="77777777" w:rsidR="00944BC9" w:rsidRPr="001D5B8D" w:rsidRDefault="00944BC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10 mikrogramm ösztrogéntartalmú hüvelytablettával történő kezelés során az ösztradiol szisztémás abszorpciójának mértékét csak a 60</w:t>
      </w:r>
      <w:r w:rsidRPr="001D5B8D">
        <w:rPr>
          <w:rFonts w:ascii="Times New Roman" w:hAnsi="Times New Roman"/>
        </w:rPr>
        <w:noBreakHyphen/>
        <w:t>70 év közötti (átlagéletkor 65,4)</w:t>
      </w:r>
      <w:r w:rsidR="00BB46AA">
        <w:rPr>
          <w:rFonts w:ascii="Times New Roman" w:hAnsi="Times New Roman"/>
        </w:rPr>
        <w:t>,</w:t>
      </w:r>
      <w:r w:rsidRPr="001D5B8D">
        <w:rPr>
          <w:rFonts w:ascii="Times New Roman" w:hAnsi="Times New Roman"/>
        </w:rPr>
        <w:t xml:space="preserve"> menopausán már túl lévő nőknél vizsgálták.</w:t>
      </w:r>
    </w:p>
    <w:p w14:paraId="34447137" w14:textId="77777777" w:rsidR="00944BC9" w:rsidRPr="001D5B8D" w:rsidRDefault="00944BC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0B814DD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5.3</w:t>
      </w:r>
      <w:r w:rsidRPr="001D5B8D">
        <w:rPr>
          <w:rFonts w:ascii="Times New Roman" w:hAnsi="Times New Roman"/>
          <w:b/>
          <w:bCs/>
          <w:color w:val="000000"/>
        </w:rPr>
        <w:tab/>
        <w:t>A preklinikai biztonságossági vizsgálatok eredményei</w:t>
      </w:r>
    </w:p>
    <w:p w14:paraId="71053082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F22DD57" w14:textId="77777777" w:rsidR="00944BC9" w:rsidRPr="001D5B8D" w:rsidRDefault="00944BC9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17-β</w:t>
      </w:r>
      <w:r w:rsidRPr="001D5B8D">
        <w:rPr>
          <w:rFonts w:ascii="Times New Roman" w:hAnsi="Times New Roman"/>
        </w:rPr>
        <w:noBreakHyphen/>
        <w:t>ösztradiol jól ismert vegyület. A nem</w:t>
      </w:r>
      <w:r w:rsidR="00586F48" w:rsidRPr="001D5B8D">
        <w:rPr>
          <w:rFonts w:ascii="Times New Roman" w:hAnsi="Times New Roman"/>
        </w:rPr>
        <w:t xml:space="preserve"> </w:t>
      </w:r>
      <w:r w:rsidRPr="001D5B8D">
        <w:rPr>
          <w:rFonts w:ascii="Times New Roman" w:hAnsi="Times New Roman"/>
        </w:rPr>
        <w:t>klinikai vizsgálatok nem nyújtottak további releváns adatokat a klinikai biztonságossággal kapcsolatban azon felül, amiket az alkalmazási előírás más pontjai már tartalmaznak.</w:t>
      </w:r>
    </w:p>
    <w:p w14:paraId="27924506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16EB8BE" w14:textId="77777777" w:rsidR="00944BC9" w:rsidRPr="001D5B8D" w:rsidRDefault="00944BC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FB22863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6.</w:t>
      </w:r>
      <w:r w:rsidRPr="001D5B8D">
        <w:rPr>
          <w:rFonts w:ascii="Times New Roman" w:hAnsi="Times New Roman"/>
          <w:b/>
          <w:bCs/>
          <w:color w:val="000000"/>
        </w:rPr>
        <w:tab/>
        <w:t>GYÓGYSZERÉSZETI JELLEMZŐK</w:t>
      </w:r>
    </w:p>
    <w:p w14:paraId="70C45639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72CB714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6.1</w:t>
      </w:r>
      <w:r w:rsidRPr="001D5B8D">
        <w:rPr>
          <w:rFonts w:ascii="Times New Roman" w:hAnsi="Times New Roman"/>
          <w:b/>
          <w:bCs/>
          <w:color w:val="000000"/>
        </w:rPr>
        <w:tab/>
        <w:t>Segédanyagok felsorolása</w:t>
      </w:r>
    </w:p>
    <w:p w14:paraId="4978432C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5B5BEB6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632DBE">
        <w:rPr>
          <w:rFonts w:ascii="Times New Roman" w:hAnsi="Times New Roman"/>
          <w:i/>
          <w:iCs/>
          <w:color w:val="000000"/>
        </w:rPr>
        <w:t>Tablettamag</w:t>
      </w:r>
      <w:r w:rsidRPr="001D5B8D">
        <w:rPr>
          <w:rFonts w:ascii="Times New Roman" w:hAnsi="Times New Roman"/>
          <w:color w:val="000000"/>
        </w:rPr>
        <w:t xml:space="preserve">: </w:t>
      </w:r>
    </w:p>
    <w:p w14:paraId="486209C8" w14:textId="77777777" w:rsidR="006F7CE1" w:rsidRPr="001D5B8D" w:rsidRDefault="00E96DD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h</w:t>
      </w:r>
      <w:r w:rsidR="006F7CE1" w:rsidRPr="001D5B8D">
        <w:rPr>
          <w:rFonts w:ascii="Times New Roman" w:hAnsi="Times New Roman"/>
          <w:color w:val="000000"/>
        </w:rPr>
        <w:t>ipromellóz</w:t>
      </w:r>
    </w:p>
    <w:p w14:paraId="741E2A4D" w14:textId="77777777" w:rsidR="006F7CE1" w:rsidRPr="001D5B8D" w:rsidRDefault="00E96DD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l</w:t>
      </w:r>
      <w:r w:rsidR="006F7CE1" w:rsidRPr="001D5B8D">
        <w:rPr>
          <w:rFonts w:ascii="Times New Roman" w:hAnsi="Times New Roman"/>
          <w:color w:val="000000"/>
        </w:rPr>
        <w:t>aktóz-monohidrát</w:t>
      </w:r>
    </w:p>
    <w:p w14:paraId="4449B459" w14:textId="77777777" w:rsidR="006F7CE1" w:rsidRPr="001D5B8D" w:rsidRDefault="00E96DD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</w:t>
      </w:r>
      <w:r w:rsidR="006F7CE1" w:rsidRPr="001D5B8D">
        <w:rPr>
          <w:rFonts w:ascii="Times New Roman" w:hAnsi="Times New Roman"/>
          <w:color w:val="000000"/>
        </w:rPr>
        <w:t>ukoricakeményítő</w:t>
      </w:r>
    </w:p>
    <w:p w14:paraId="5A989538" w14:textId="77777777" w:rsidR="006F7CE1" w:rsidRPr="001D5B8D" w:rsidRDefault="00E96DD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m</w:t>
      </w:r>
      <w:r w:rsidR="006F7CE1" w:rsidRPr="001D5B8D">
        <w:rPr>
          <w:rFonts w:ascii="Times New Roman" w:hAnsi="Times New Roman"/>
          <w:color w:val="000000"/>
        </w:rPr>
        <w:t>agnézium-sztearát</w:t>
      </w:r>
    </w:p>
    <w:p w14:paraId="2AA16BD9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DB329E5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632DBE">
        <w:rPr>
          <w:rFonts w:ascii="Times New Roman" w:hAnsi="Times New Roman"/>
          <w:i/>
          <w:iCs/>
          <w:color w:val="000000"/>
        </w:rPr>
        <w:t>Filmbevonat</w:t>
      </w:r>
      <w:r w:rsidRPr="001D5B8D">
        <w:rPr>
          <w:rFonts w:ascii="Times New Roman" w:hAnsi="Times New Roman"/>
          <w:color w:val="000000"/>
        </w:rPr>
        <w:t>:</w:t>
      </w:r>
    </w:p>
    <w:p w14:paraId="2D5AE34D" w14:textId="77777777" w:rsidR="006F7CE1" w:rsidRPr="001D5B8D" w:rsidRDefault="00E96DD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h</w:t>
      </w:r>
      <w:r w:rsidR="006F7CE1" w:rsidRPr="001D5B8D">
        <w:rPr>
          <w:rFonts w:ascii="Times New Roman" w:hAnsi="Times New Roman"/>
          <w:color w:val="000000"/>
        </w:rPr>
        <w:t>ipromellóz</w:t>
      </w:r>
    </w:p>
    <w:p w14:paraId="12CEC1CA" w14:textId="77777777" w:rsidR="006F7CE1" w:rsidRPr="001D5B8D" w:rsidRDefault="00E96DD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m</w:t>
      </w:r>
      <w:r w:rsidR="006F7CE1" w:rsidRPr="001D5B8D">
        <w:rPr>
          <w:rFonts w:ascii="Times New Roman" w:hAnsi="Times New Roman"/>
          <w:color w:val="000000"/>
        </w:rPr>
        <w:t>akrogol</w:t>
      </w:r>
    </w:p>
    <w:p w14:paraId="20ED1A6E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31BC2B4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6.2</w:t>
      </w:r>
      <w:r w:rsidRPr="001D5B8D">
        <w:rPr>
          <w:rFonts w:ascii="Times New Roman" w:hAnsi="Times New Roman"/>
          <w:b/>
          <w:bCs/>
          <w:color w:val="000000"/>
        </w:rPr>
        <w:tab/>
        <w:t>Inkompatibilitások</w:t>
      </w:r>
    </w:p>
    <w:p w14:paraId="1B095DF1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5165A544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Nem értelmezhető.</w:t>
      </w:r>
    </w:p>
    <w:p w14:paraId="4381FCD1" w14:textId="77777777" w:rsidR="005C7B04" w:rsidRPr="001D5B8D" w:rsidRDefault="005C7B0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CCCB2F8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6.3</w:t>
      </w:r>
      <w:r w:rsidRPr="001D5B8D">
        <w:rPr>
          <w:rFonts w:ascii="Times New Roman" w:hAnsi="Times New Roman"/>
          <w:b/>
          <w:bCs/>
          <w:color w:val="000000"/>
        </w:rPr>
        <w:tab/>
        <w:t>Felhasználhatósági időtartam</w:t>
      </w:r>
    </w:p>
    <w:p w14:paraId="03FAB428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3DE10E9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2 év</w:t>
      </w:r>
    </w:p>
    <w:p w14:paraId="393BA531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03D2DE1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6.4</w:t>
      </w:r>
      <w:r w:rsidRPr="001D5B8D">
        <w:rPr>
          <w:rFonts w:ascii="Times New Roman" w:hAnsi="Times New Roman"/>
          <w:b/>
          <w:bCs/>
          <w:color w:val="000000"/>
        </w:rPr>
        <w:tab/>
        <w:t>Különleges tárolási előírások</w:t>
      </w:r>
    </w:p>
    <w:p w14:paraId="0615EBDB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205DF3E" w14:textId="77777777" w:rsidR="006F7CE1" w:rsidRPr="001D5B8D" w:rsidRDefault="007369E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fénytől való védelem érdekében a buborékcsomagolás</w:t>
      </w:r>
      <w:r w:rsidR="00362C51">
        <w:rPr>
          <w:rFonts w:ascii="Times New Roman" w:hAnsi="Times New Roman"/>
        </w:rPr>
        <w:t>t tartsa a dobozában</w:t>
      </w:r>
      <w:r w:rsidRPr="001D5B8D">
        <w:rPr>
          <w:rFonts w:ascii="Times New Roman" w:hAnsi="Times New Roman"/>
        </w:rPr>
        <w:t>.</w:t>
      </w:r>
    </w:p>
    <w:p w14:paraId="06520739" w14:textId="77777777" w:rsidR="007369EB" w:rsidRPr="001D5B8D" w:rsidRDefault="007369E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3EBC3F1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6.5</w:t>
      </w:r>
      <w:r w:rsidRPr="001D5B8D">
        <w:rPr>
          <w:rFonts w:ascii="Times New Roman" w:hAnsi="Times New Roman"/>
          <w:b/>
          <w:bCs/>
          <w:color w:val="000000"/>
        </w:rPr>
        <w:tab/>
        <w:t>Csomagolás típusa és kiszerelése</w:t>
      </w:r>
    </w:p>
    <w:p w14:paraId="56C8AACC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B4D416D" w14:textId="77777777" w:rsidR="006F7CE1" w:rsidRPr="001D5B8D" w:rsidRDefault="00BF16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Rewellfem</w:t>
      </w:r>
      <w:r w:rsidR="00944BC9" w:rsidRPr="001D5B8D">
        <w:rPr>
          <w:rFonts w:ascii="Times New Roman" w:hAnsi="Times New Roman"/>
          <w:color w:val="000000"/>
        </w:rPr>
        <w:t xml:space="preserve"> </w:t>
      </w:r>
      <w:r w:rsidR="00944BC9" w:rsidRPr="001D5B8D">
        <w:rPr>
          <w:rFonts w:ascii="Times New Roman" w:hAnsi="Times New Roman"/>
        </w:rPr>
        <w:t xml:space="preserve">10 mikrogramm </w:t>
      </w:r>
      <w:r w:rsidR="006F7CE1" w:rsidRPr="001D5B8D">
        <w:rPr>
          <w:rFonts w:ascii="Times New Roman" w:hAnsi="Times New Roman"/>
          <w:color w:val="000000"/>
        </w:rPr>
        <w:t>hüvelytablett</w:t>
      </w:r>
      <w:r w:rsidR="00944BC9" w:rsidRPr="001D5B8D">
        <w:rPr>
          <w:rFonts w:ascii="Times New Roman" w:hAnsi="Times New Roman"/>
          <w:color w:val="000000"/>
        </w:rPr>
        <w:t>ák</w:t>
      </w:r>
      <w:r w:rsidR="006F7CE1" w:rsidRPr="001D5B8D">
        <w:rPr>
          <w:rFonts w:ascii="Times New Roman" w:hAnsi="Times New Roman"/>
          <w:color w:val="000000"/>
        </w:rPr>
        <w:t xml:space="preserve"> </w:t>
      </w:r>
      <w:r w:rsidR="001F466F" w:rsidRPr="001D5B8D">
        <w:rPr>
          <w:rFonts w:ascii="Times New Roman" w:hAnsi="Times New Roman"/>
          <w:color w:val="000000"/>
        </w:rPr>
        <w:t>PVC/PV</w:t>
      </w:r>
      <w:r w:rsidR="00362C51">
        <w:rPr>
          <w:rFonts w:ascii="Times New Roman" w:hAnsi="Times New Roman"/>
          <w:color w:val="000000"/>
        </w:rPr>
        <w:t>d</w:t>
      </w:r>
      <w:r w:rsidR="001F466F" w:rsidRPr="001D5B8D">
        <w:rPr>
          <w:rFonts w:ascii="Times New Roman" w:hAnsi="Times New Roman"/>
          <w:color w:val="000000"/>
        </w:rPr>
        <w:t>C/</w:t>
      </w:r>
      <w:r w:rsidR="00362C51">
        <w:rPr>
          <w:rFonts w:ascii="Times New Roman" w:hAnsi="Times New Roman"/>
          <w:color w:val="000000"/>
        </w:rPr>
        <w:t>/</w:t>
      </w:r>
      <w:r w:rsidR="001F466F" w:rsidRPr="001D5B8D">
        <w:rPr>
          <w:rFonts w:ascii="Times New Roman" w:hAnsi="Times New Roman"/>
          <w:color w:val="000000"/>
        </w:rPr>
        <w:t xml:space="preserve">Al </w:t>
      </w:r>
      <w:r w:rsidR="0008777C" w:rsidRPr="001D5B8D">
        <w:rPr>
          <w:rFonts w:ascii="Times New Roman" w:hAnsi="Times New Roman"/>
          <w:color w:val="000000"/>
        </w:rPr>
        <w:t>buborékcsomagolásban</w:t>
      </w:r>
      <w:r w:rsidR="006F7CE1" w:rsidRPr="001D5B8D">
        <w:rPr>
          <w:rFonts w:ascii="Times New Roman" w:hAnsi="Times New Roman"/>
          <w:color w:val="000000"/>
        </w:rPr>
        <w:t xml:space="preserve">. </w:t>
      </w:r>
      <w:r w:rsidR="00362C51">
        <w:rPr>
          <w:rFonts w:ascii="Times New Roman" w:hAnsi="Times New Roman"/>
          <w:color w:val="000000"/>
        </w:rPr>
        <w:t>Buborékcsomagolás</w:t>
      </w:r>
      <w:r w:rsidR="0008777C" w:rsidRPr="001D5B8D">
        <w:rPr>
          <w:rFonts w:ascii="Times New Roman" w:hAnsi="Times New Roman"/>
          <w:color w:val="000000"/>
        </w:rPr>
        <w:t xml:space="preserve"> és </w:t>
      </w:r>
      <w:r w:rsidR="00362C51">
        <w:rPr>
          <w:rFonts w:ascii="Times New Roman" w:hAnsi="Times New Roman"/>
          <w:color w:val="000000"/>
        </w:rPr>
        <w:t>egy</w:t>
      </w:r>
      <w:r w:rsidR="006F7CE1" w:rsidRPr="001D5B8D">
        <w:rPr>
          <w:rFonts w:ascii="Times New Roman" w:hAnsi="Times New Roman"/>
          <w:color w:val="000000"/>
        </w:rPr>
        <w:t xml:space="preserve"> </w:t>
      </w:r>
      <w:r w:rsidR="00362C51">
        <w:rPr>
          <w:rFonts w:ascii="Times New Roman" w:hAnsi="Times New Roman"/>
          <w:color w:val="000000"/>
        </w:rPr>
        <w:t xml:space="preserve">külön csomagolt </w:t>
      </w:r>
      <w:r w:rsidR="006F7CE1" w:rsidRPr="001D5B8D">
        <w:rPr>
          <w:rFonts w:ascii="Times New Roman" w:hAnsi="Times New Roman"/>
          <w:color w:val="000000"/>
        </w:rPr>
        <w:t>applikátor</w:t>
      </w:r>
      <w:r w:rsidR="0008777C" w:rsidRPr="001D5B8D">
        <w:rPr>
          <w:rFonts w:ascii="Times New Roman" w:hAnsi="Times New Roman"/>
          <w:color w:val="000000"/>
        </w:rPr>
        <w:t>,</w:t>
      </w:r>
      <w:r w:rsidR="00C07E62" w:rsidRPr="001D5B8D">
        <w:rPr>
          <w:rFonts w:ascii="Times New Roman" w:hAnsi="Times New Roman"/>
          <w:color w:val="000000"/>
        </w:rPr>
        <w:t xml:space="preserve"> </w:t>
      </w:r>
      <w:r w:rsidR="006F7CE1" w:rsidRPr="001D5B8D">
        <w:rPr>
          <w:rFonts w:ascii="Times New Roman" w:hAnsi="Times New Roman"/>
          <w:color w:val="000000"/>
        </w:rPr>
        <w:t>dobozban</w:t>
      </w:r>
      <w:r w:rsidR="00944BC9" w:rsidRPr="001D5B8D">
        <w:rPr>
          <w:rFonts w:ascii="Times New Roman" w:hAnsi="Times New Roman"/>
          <w:color w:val="000000"/>
        </w:rPr>
        <w:t>.</w:t>
      </w:r>
    </w:p>
    <w:p w14:paraId="0DD3F354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72A9364" w14:textId="77777777" w:rsidR="00362C51" w:rsidRDefault="00362C51" w:rsidP="001D5B8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Kiszerelések:</w:t>
      </w:r>
    </w:p>
    <w:p w14:paraId="57652DCE" w14:textId="77777777" w:rsidR="006F7CE1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18 db</w:t>
      </w:r>
      <w:r w:rsidR="001F466F" w:rsidRPr="001D5B8D">
        <w:rPr>
          <w:rFonts w:ascii="Times New Roman" w:hAnsi="Times New Roman"/>
          <w:color w:val="000000"/>
        </w:rPr>
        <w:t xml:space="preserve"> vagy 24 db </w:t>
      </w:r>
      <w:r w:rsidRPr="001D5B8D">
        <w:rPr>
          <w:rFonts w:ascii="Times New Roman" w:hAnsi="Times New Roman"/>
          <w:color w:val="000000"/>
        </w:rPr>
        <w:t xml:space="preserve">hüvelytabletta </w:t>
      </w:r>
      <w:r w:rsidR="00362C51">
        <w:rPr>
          <w:rFonts w:ascii="Times New Roman" w:hAnsi="Times New Roman"/>
          <w:color w:val="000000"/>
        </w:rPr>
        <w:t xml:space="preserve">(és </w:t>
      </w:r>
      <w:r w:rsidR="007369EB" w:rsidRPr="001D5B8D">
        <w:rPr>
          <w:rFonts w:ascii="Times New Roman" w:hAnsi="Times New Roman"/>
          <w:color w:val="000000"/>
        </w:rPr>
        <w:t xml:space="preserve">1 db </w:t>
      </w:r>
      <w:r w:rsidRPr="001D5B8D">
        <w:rPr>
          <w:rFonts w:ascii="Times New Roman" w:hAnsi="Times New Roman"/>
          <w:color w:val="000000"/>
        </w:rPr>
        <w:t>applikátor</w:t>
      </w:r>
      <w:r w:rsidR="00362C51">
        <w:rPr>
          <w:rFonts w:ascii="Times New Roman" w:hAnsi="Times New Roman"/>
          <w:color w:val="000000"/>
        </w:rPr>
        <w:t>)</w:t>
      </w:r>
      <w:r w:rsidR="001F466F" w:rsidRPr="001D5B8D">
        <w:rPr>
          <w:rFonts w:ascii="Times New Roman" w:hAnsi="Times New Roman"/>
          <w:color w:val="000000"/>
        </w:rPr>
        <w:t xml:space="preserve"> doboz</w:t>
      </w:r>
      <w:r w:rsidR="00362C51">
        <w:rPr>
          <w:rFonts w:ascii="Times New Roman" w:hAnsi="Times New Roman"/>
          <w:color w:val="000000"/>
        </w:rPr>
        <w:t>onként</w:t>
      </w:r>
      <w:r w:rsidR="001F466F" w:rsidRPr="001D5B8D">
        <w:rPr>
          <w:rFonts w:ascii="Times New Roman" w:hAnsi="Times New Roman"/>
          <w:color w:val="000000"/>
        </w:rPr>
        <w:t>.</w:t>
      </w:r>
    </w:p>
    <w:p w14:paraId="5F9B26CE" w14:textId="77777777" w:rsidR="000876A2" w:rsidRPr="001D5B8D" w:rsidRDefault="006F7CE1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Nem feltétlenül mindegyik kiszerelés kerül kereskedelmi forgalomba.</w:t>
      </w:r>
    </w:p>
    <w:p w14:paraId="5E2C870C" w14:textId="77777777" w:rsidR="000876A2" w:rsidRPr="001D5B8D" w:rsidRDefault="000876A2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D45CBDF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6.6</w:t>
      </w:r>
      <w:r w:rsidRPr="001D5B8D">
        <w:rPr>
          <w:rFonts w:ascii="Times New Roman" w:hAnsi="Times New Roman"/>
          <w:b/>
          <w:bCs/>
          <w:color w:val="000000"/>
        </w:rPr>
        <w:tab/>
        <w:t>A megsemmisítésre vonatkozó különleges óvintézkedések</w:t>
      </w:r>
      <w:r w:rsidR="00F52D46" w:rsidRPr="001D5B8D">
        <w:rPr>
          <w:rFonts w:ascii="Times New Roman" w:hAnsi="Times New Roman"/>
          <w:b/>
          <w:bCs/>
        </w:rPr>
        <w:t xml:space="preserve"> és egyéb, a készítmény kezelésével kapcsolatos információk</w:t>
      </w:r>
    </w:p>
    <w:p w14:paraId="29AB1529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3579625" w14:textId="77777777" w:rsidR="0008777C" w:rsidRPr="001D5B8D" w:rsidRDefault="0008777C">
      <w:pPr>
        <w:widowControl w:val="0"/>
        <w:suppressAutoHyphens/>
        <w:spacing w:after="0" w:line="240" w:lineRule="auto"/>
        <w:ind w:left="-15"/>
        <w:rPr>
          <w:rFonts w:ascii="Times New Roman" w:hAnsi="Times New Roman"/>
        </w:rPr>
      </w:pPr>
      <w:r w:rsidRPr="001D5B8D">
        <w:rPr>
          <w:rFonts w:ascii="Times New Roman" w:hAnsi="Times New Roman"/>
        </w:rPr>
        <w:t>A 17-</w:t>
      </w:r>
      <w:r w:rsidR="00362C51" w:rsidRPr="00291BBC">
        <w:rPr>
          <w:rFonts w:ascii="Times New Roman" w:hAnsi="Times New Roman"/>
        </w:rPr>
        <w:t>β</w:t>
      </w:r>
      <w:r w:rsidRPr="001D5B8D">
        <w:rPr>
          <w:rFonts w:ascii="Times New Roman" w:hAnsi="Times New Roman"/>
        </w:rPr>
        <w:noBreakHyphen/>
        <w:t>ösztradiol várhatóan veszélyt jelent a vízi élővilágra, különösen a halpopulációkra. Az applikátor tisztítására és kidobására vonatkozó utasításokat lásd a 4.2 pontban.</w:t>
      </w:r>
    </w:p>
    <w:p w14:paraId="7227D185" w14:textId="77777777" w:rsidR="0008777C" w:rsidRPr="001D5B8D" w:rsidRDefault="000877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7C9DD17A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D5B8D">
        <w:rPr>
          <w:rFonts w:ascii="Times New Roman" w:hAnsi="Times New Roman"/>
          <w:color w:val="000000"/>
        </w:rPr>
        <w:t>Bármilyen fel nem használt gyógyszer, illetve hulladékanyag megsemmisítését a gyógyszerekre vonatkozó előírások szerint kell végrehajtani.</w:t>
      </w:r>
    </w:p>
    <w:p w14:paraId="4D7A2064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1398BE5" w14:textId="77777777" w:rsidR="00755989" w:rsidRPr="00E51916" w:rsidRDefault="00755989">
      <w:pPr>
        <w:widowControl w:val="0"/>
        <w:suppressAutoHyphens/>
        <w:spacing w:after="0" w:line="240" w:lineRule="auto"/>
        <w:ind w:left="1"/>
        <w:rPr>
          <w:rFonts w:ascii="Times New Roman" w:hAnsi="Times New Roman"/>
          <w:lang w:eastAsia="ar-SA"/>
        </w:rPr>
      </w:pPr>
      <w:r w:rsidRPr="00E51916">
        <w:rPr>
          <w:rFonts w:ascii="Times New Roman" w:hAnsi="Times New Roman"/>
          <w:b/>
          <w:lang w:eastAsia="ar-SA"/>
        </w:rPr>
        <w:t>Megjegyzés:</w:t>
      </w:r>
      <w:r w:rsidR="00195278" w:rsidRPr="00632DBE">
        <w:rPr>
          <w:rFonts w:ascii="Times New Roman" w:hAnsi="Times New Roman"/>
        </w:rPr>
        <w:t xml:space="preserve"> </w:t>
      </w:r>
      <w:r w:rsidR="00195278" w:rsidRPr="00632DBE">
        <w:rPr>
          <w:rFonts w:ascii="Times New Roman" w:hAnsi="Times New Roman"/>
        </w:rPr>
        <w:sym w:font="Wingdings" w:char="F058"/>
      </w:r>
      <w:r w:rsidR="001F466F" w:rsidRPr="00E51916">
        <w:rPr>
          <w:rFonts w:ascii="Times New Roman" w:eastAsia="Wingdings" w:hAnsi="Times New Roman"/>
          <w:lang w:eastAsia="ar-SA"/>
        </w:rPr>
        <w:t xml:space="preserve"> </w:t>
      </w:r>
      <w:r w:rsidRPr="00E51916">
        <w:rPr>
          <w:rFonts w:ascii="Times New Roman" w:hAnsi="Times New Roman"/>
          <w:lang w:eastAsia="ar-SA"/>
        </w:rPr>
        <w:t>(egy kereszt)</w:t>
      </w:r>
    </w:p>
    <w:p w14:paraId="77B8BBC9" w14:textId="77777777" w:rsidR="00755989" w:rsidRPr="00E51916" w:rsidRDefault="00755989">
      <w:pPr>
        <w:widowControl w:val="0"/>
        <w:suppressAutoHyphens/>
        <w:spacing w:after="0" w:line="240" w:lineRule="auto"/>
        <w:ind w:left="1"/>
        <w:rPr>
          <w:rFonts w:ascii="Times New Roman" w:hAnsi="Times New Roman"/>
          <w:b/>
          <w:lang w:eastAsia="ar-SA"/>
        </w:rPr>
      </w:pPr>
      <w:r w:rsidRPr="00E51916">
        <w:rPr>
          <w:rFonts w:ascii="Times New Roman" w:hAnsi="Times New Roman"/>
          <w:lang w:eastAsia="ar-SA"/>
        </w:rPr>
        <w:t xml:space="preserve">Osztályozás: </w:t>
      </w:r>
      <w:r w:rsidRPr="00E51916">
        <w:rPr>
          <w:rFonts w:ascii="Times New Roman" w:hAnsi="Times New Roman"/>
          <w:b/>
          <w:lang w:eastAsia="ar-SA"/>
        </w:rPr>
        <w:t>II.</w:t>
      </w:r>
      <w:r w:rsidR="00362C51" w:rsidRPr="00E51916">
        <w:rPr>
          <w:rFonts w:ascii="Times New Roman" w:hAnsi="Times New Roman"/>
          <w:b/>
          <w:lang w:eastAsia="ar-SA"/>
        </w:rPr>
        <w:t>/1</w:t>
      </w:r>
      <w:r w:rsidRPr="00E51916">
        <w:rPr>
          <w:rFonts w:ascii="Times New Roman" w:hAnsi="Times New Roman"/>
          <w:b/>
          <w:lang w:eastAsia="ar-SA"/>
        </w:rPr>
        <w:t> csoport</w:t>
      </w:r>
    </w:p>
    <w:p w14:paraId="050907EF" w14:textId="0B74DBF7" w:rsidR="00362C51" w:rsidRPr="00291BBC" w:rsidRDefault="00362C51" w:rsidP="00362C51">
      <w:pPr>
        <w:widowControl w:val="0"/>
        <w:suppressAutoHyphens/>
        <w:spacing w:after="0" w:line="240" w:lineRule="auto"/>
        <w:ind w:left="1"/>
        <w:rPr>
          <w:rFonts w:ascii="Times New Roman" w:hAnsi="Times New Roman"/>
          <w:lang w:eastAsia="ar-SA"/>
        </w:rPr>
      </w:pPr>
      <w:r w:rsidRPr="00632DBE">
        <w:rPr>
          <w:rFonts w:ascii="Times New Roman" w:hAnsi="Times New Roman"/>
          <w:lang w:eastAsia="ar-SA"/>
        </w:rPr>
        <w:t>Korlátozott érvényű orvosi rendelvényhez kötött, szakorvosi</w:t>
      </w:r>
      <w:r w:rsidR="001579E4">
        <w:rPr>
          <w:rFonts w:ascii="Times New Roman" w:hAnsi="Times New Roman"/>
          <w:lang w:eastAsia="ar-SA"/>
        </w:rPr>
        <w:t>/</w:t>
      </w:r>
      <w:r w:rsidRPr="00632DBE">
        <w:rPr>
          <w:rFonts w:ascii="Times New Roman" w:hAnsi="Times New Roman"/>
          <w:lang w:eastAsia="ar-SA"/>
        </w:rPr>
        <w:t>kórházi diagnózist követő járóbeteg-ellátásban alkalmazható gyógyszer (J).</w:t>
      </w:r>
    </w:p>
    <w:p w14:paraId="4681FD51" w14:textId="77777777" w:rsidR="001F466F" w:rsidRPr="001D5B8D" w:rsidRDefault="001F466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3DFEDB0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0AE2392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7.</w:t>
      </w:r>
      <w:r w:rsidRPr="001D5B8D">
        <w:rPr>
          <w:rFonts w:ascii="Times New Roman" w:hAnsi="Times New Roman"/>
          <w:b/>
          <w:bCs/>
          <w:color w:val="000000"/>
        </w:rPr>
        <w:tab/>
        <w:t>A FORGALOMBA HOZATALI ENGEDÉLY JOGOSULTJA</w:t>
      </w:r>
    </w:p>
    <w:p w14:paraId="73977F70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600DF01" w14:textId="77777777" w:rsidR="00A731B2" w:rsidRPr="001D5B8D" w:rsidRDefault="00A731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Richter Gedeon Nyrt.</w:t>
      </w:r>
    </w:p>
    <w:p w14:paraId="3A77F1D2" w14:textId="77777777" w:rsidR="00A731B2" w:rsidRPr="001D5B8D" w:rsidRDefault="00A731B2">
      <w:pPr>
        <w:widowControl w:val="0"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H-1103 Budapest</w:t>
      </w:r>
    </w:p>
    <w:p w14:paraId="2684D191" w14:textId="77777777" w:rsidR="00A731B2" w:rsidRPr="001D5B8D" w:rsidRDefault="00A731B2">
      <w:pPr>
        <w:widowControl w:val="0"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Gyömrői út 19-21.</w:t>
      </w:r>
    </w:p>
    <w:p w14:paraId="50687E11" w14:textId="77777777" w:rsidR="00A731B2" w:rsidRPr="001D5B8D" w:rsidRDefault="00A731B2">
      <w:pPr>
        <w:widowControl w:val="0"/>
        <w:spacing w:after="0" w:line="240" w:lineRule="auto"/>
        <w:rPr>
          <w:rFonts w:ascii="Times New Roman" w:hAnsi="Times New Roman"/>
        </w:rPr>
      </w:pPr>
      <w:r w:rsidRPr="001D5B8D">
        <w:rPr>
          <w:rFonts w:ascii="Times New Roman" w:hAnsi="Times New Roman"/>
        </w:rPr>
        <w:t>Magyarország</w:t>
      </w:r>
    </w:p>
    <w:p w14:paraId="53B93C93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455AA8C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657C79D9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8.</w:t>
      </w:r>
      <w:r w:rsidRPr="001D5B8D">
        <w:rPr>
          <w:rFonts w:ascii="Times New Roman" w:hAnsi="Times New Roman"/>
          <w:b/>
          <w:bCs/>
          <w:color w:val="000000"/>
        </w:rPr>
        <w:tab/>
        <w:t>A FORGALOMBA HOZATALI ENGEDÉLY SZÁMA(I)</w:t>
      </w:r>
    </w:p>
    <w:p w14:paraId="735B747D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690C684" w14:textId="77777777" w:rsidR="00F4391F" w:rsidRPr="00F4391F" w:rsidRDefault="00F4391F" w:rsidP="00F4391F">
      <w:pPr>
        <w:widowControl w:val="0"/>
        <w:tabs>
          <w:tab w:val="left" w:pos="2127"/>
          <w:tab w:val="left" w:pos="297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OGYI-T-23728/01</w:t>
      </w:r>
      <w:r>
        <w:rPr>
          <w:rFonts w:ascii="Times New Roman" w:hAnsi="Times New Roman"/>
        </w:rPr>
        <w:tab/>
        <w:t>18×</w:t>
      </w:r>
      <w:r>
        <w:rPr>
          <w:rFonts w:ascii="Times New Roman" w:hAnsi="Times New Roman"/>
        </w:rPr>
        <w:tab/>
      </w:r>
      <w:r w:rsidRPr="00F4391F">
        <w:rPr>
          <w:rFonts w:ascii="Times New Roman" w:hAnsi="Times New Roman"/>
        </w:rPr>
        <w:t>PVC/PVdC/</w:t>
      </w:r>
      <w:r>
        <w:rPr>
          <w:rFonts w:ascii="Times New Roman" w:hAnsi="Times New Roman"/>
        </w:rPr>
        <w:t xml:space="preserve">/Al buborékcsomagolás, </w:t>
      </w:r>
      <w:r w:rsidRPr="00F4391F">
        <w:rPr>
          <w:rFonts w:ascii="Times New Roman" w:hAnsi="Times New Roman"/>
        </w:rPr>
        <w:t>külön csomagolt applikátor</w:t>
      </w:r>
      <w:r>
        <w:rPr>
          <w:rFonts w:ascii="Times New Roman" w:hAnsi="Times New Roman"/>
        </w:rPr>
        <w:t>ral</w:t>
      </w:r>
    </w:p>
    <w:p w14:paraId="4B1C6708" w14:textId="77777777" w:rsidR="00F4391F" w:rsidRDefault="00F4391F" w:rsidP="00F4391F">
      <w:pPr>
        <w:widowControl w:val="0"/>
        <w:tabs>
          <w:tab w:val="left" w:pos="2127"/>
          <w:tab w:val="left" w:pos="2977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OGYI-T-23728/02</w:t>
      </w:r>
      <w:r>
        <w:rPr>
          <w:rFonts w:ascii="Times New Roman" w:hAnsi="Times New Roman"/>
        </w:rPr>
        <w:tab/>
        <w:t>24×</w:t>
      </w:r>
      <w:r>
        <w:rPr>
          <w:rFonts w:ascii="Times New Roman" w:hAnsi="Times New Roman"/>
        </w:rPr>
        <w:tab/>
      </w:r>
      <w:r w:rsidRPr="00F4391F">
        <w:rPr>
          <w:rFonts w:ascii="Times New Roman" w:hAnsi="Times New Roman"/>
        </w:rPr>
        <w:t>PVC/PVdC/</w:t>
      </w:r>
      <w:r>
        <w:rPr>
          <w:rFonts w:ascii="Times New Roman" w:hAnsi="Times New Roman"/>
        </w:rPr>
        <w:t xml:space="preserve">/Al buborékcsomagolás, </w:t>
      </w:r>
      <w:r w:rsidRPr="00F4391F">
        <w:rPr>
          <w:rFonts w:ascii="Times New Roman" w:hAnsi="Times New Roman"/>
        </w:rPr>
        <w:t>külön csomagolt applikátor</w:t>
      </w:r>
      <w:r>
        <w:rPr>
          <w:rFonts w:ascii="Times New Roman" w:hAnsi="Times New Roman"/>
        </w:rPr>
        <w:t>ral</w:t>
      </w:r>
    </w:p>
    <w:p w14:paraId="1BA976C6" w14:textId="77777777" w:rsidR="00F4391F" w:rsidRPr="001D5B8D" w:rsidRDefault="00F4391F" w:rsidP="00F4391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F3E4DBD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4393443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b/>
          <w:bCs/>
          <w:color w:val="000000"/>
        </w:rPr>
      </w:pPr>
      <w:r w:rsidRPr="001D5B8D">
        <w:rPr>
          <w:rFonts w:ascii="Times New Roman" w:hAnsi="Times New Roman"/>
          <w:b/>
          <w:bCs/>
          <w:color w:val="000000"/>
        </w:rPr>
        <w:t>9.</w:t>
      </w:r>
      <w:r w:rsidRPr="001D5B8D">
        <w:rPr>
          <w:rFonts w:ascii="Times New Roman" w:hAnsi="Times New Roman"/>
          <w:b/>
          <w:bCs/>
          <w:color w:val="000000"/>
        </w:rPr>
        <w:tab/>
        <w:t>A FORGALOMBA HOZATALI ENGEDÉLY ELSŐ KIADÁSÁNAK/ MEGÚJÍTÁSÁNAK DÁTUMA</w:t>
      </w:r>
    </w:p>
    <w:p w14:paraId="4196B7B2" w14:textId="77777777" w:rsidR="00755989" w:rsidRPr="001D5B8D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4E11FAD5" w14:textId="77777777" w:rsidR="00755989" w:rsidRPr="00F4391F" w:rsidRDefault="000877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F4391F">
        <w:rPr>
          <w:rFonts w:ascii="Times New Roman" w:hAnsi="Times New Roman"/>
        </w:rPr>
        <w:t>A forgalomba hozatali engedély első kiadásának dátuma:</w:t>
      </w:r>
      <w:r w:rsidR="00362C51" w:rsidRPr="00F4391F">
        <w:rPr>
          <w:rFonts w:ascii="Times New Roman" w:hAnsi="Times New Roman"/>
        </w:rPr>
        <w:t xml:space="preserve"> 2020. </w:t>
      </w:r>
      <w:r w:rsidR="00F4391F" w:rsidRPr="00F4391F">
        <w:rPr>
          <w:rFonts w:ascii="Times New Roman" w:hAnsi="Times New Roman"/>
        </w:rPr>
        <w:t>augusztus 12</w:t>
      </w:r>
      <w:r w:rsidR="00362C51" w:rsidRPr="00F4391F">
        <w:rPr>
          <w:rFonts w:ascii="Times New Roman" w:hAnsi="Times New Roman"/>
        </w:rPr>
        <w:t>.</w:t>
      </w:r>
    </w:p>
    <w:p w14:paraId="1C15B98D" w14:textId="3A6E1FAF" w:rsidR="001579E4" w:rsidRDefault="001579E4" w:rsidP="001579E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6576D8">
        <w:rPr>
          <w:rFonts w:ascii="Times New Roman" w:hAnsi="Times New Roman"/>
        </w:rPr>
        <w:t>A forgalomba hozatali engedély</w:t>
      </w:r>
      <w:r>
        <w:rPr>
          <w:rFonts w:ascii="Times New Roman" w:hAnsi="Times New Roman"/>
        </w:rPr>
        <w:t xml:space="preserve"> legutóbbi megújításának dátuma: 2025. március 12.</w:t>
      </w:r>
    </w:p>
    <w:p w14:paraId="22D0AF0C" w14:textId="77777777" w:rsidR="0008777C" w:rsidRPr="00F4391F" w:rsidRDefault="0008777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3AD827E4" w14:textId="77777777" w:rsidR="00755989" w:rsidRPr="00F4391F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117F2914" w14:textId="77777777" w:rsidR="00755989" w:rsidRPr="00F4391F" w:rsidRDefault="0075598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 w:rsidRPr="00F4391F">
        <w:rPr>
          <w:rFonts w:ascii="Times New Roman" w:hAnsi="Times New Roman"/>
          <w:b/>
          <w:bCs/>
          <w:color w:val="000000"/>
        </w:rPr>
        <w:t>10.</w:t>
      </w:r>
      <w:r w:rsidRPr="00F4391F">
        <w:rPr>
          <w:rFonts w:ascii="Times New Roman" w:hAnsi="Times New Roman"/>
          <w:b/>
          <w:bCs/>
          <w:color w:val="000000"/>
        </w:rPr>
        <w:tab/>
        <w:t>A SZÖVEG ELLENŐRZÉSÉNEK DÁTUMA</w:t>
      </w:r>
    </w:p>
    <w:p w14:paraId="5657902C" w14:textId="77777777" w:rsidR="00755989" w:rsidRPr="00F4391F" w:rsidRDefault="00755989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</w:rPr>
      </w:pPr>
    </w:p>
    <w:p w14:paraId="4BC5449D" w14:textId="49426CB3" w:rsidR="001579E4" w:rsidRPr="00291BBC" w:rsidRDefault="0064068E" w:rsidP="001579E4">
      <w:pPr>
        <w:widowControl w:val="0"/>
        <w:suppressAutoHyphens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2026. július 8</w:t>
      </w:r>
      <w:r w:rsidR="001579E4">
        <w:rPr>
          <w:rFonts w:ascii="Times New Roman" w:hAnsi="Times New Roman"/>
        </w:rPr>
        <w:t>.</w:t>
      </w:r>
    </w:p>
    <w:p w14:paraId="7842D2C1" w14:textId="1D273713" w:rsidR="006366DF" w:rsidRDefault="006366DF" w:rsidP="00F4391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bookmarkStart w:id="0" w:name="_GoBack"/>
      <w:bookmarkEnd w:id="0"/>
    </w:p>
    <w:p w14:paraId="369C3019" w14:textId="77777777" w:rsidR="00F4391F" w:rsidRPr="001D5B8D" w:rsidRDefault="00F4391F" w:rsidP="00F4391F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sectPr w:rsidR="00F4391F" w:rsidRPr="001D5B8D" w:rsidSect="00632DBE"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90D969" w14:textId="77777777" w:rsidR="00EF2750" w:rsidRDefault="00EF2750">
      <w:pPr>
        <w:spacing w:after="0" w:line="240" w:lineRule="auto"/>
      </w:pPr>
      <w:r>
        <w:separator/>
      </w:r>
    </w:p>
  </w:endnote>
  <w:endnote w:type="continuationSeparator" w:id="0">
    <w:p w14:paraId="4D6E2E09" w14:textId="77777777" w:rsidR="00EF2750" w:rsidRDefault="00EF2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19EAA" w14:textId="0478968E" w:rsidR="00AC1A79" w:rsidRPr="00B2366F" w:rsidRDefault="001579E4">
    <w:pPr>
      <w:pStyle w:val="llb"/>
      <w:rPr>
        <w:rFonts w:ascii="Times New Roman" w:hAnsi="Times New Roman"/>
        <w:sz w:val="18"/>
        <w:szCs w:val="18"/>
      </w:rPr>
    </w:pPr>
    <w:r w:rsidRPr="001579E4">
      <w:rPr>
        <w:rFonts w:ascii="Times New Roman" w:hAnsi="Times New Roman"/>
        <w:sz w:val="18"/>
        <w:szCs w:val="18"/>
      </w:rPr>
      <w:t>NNGYK/ETGY/10618/2026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FAA8B" w14:textId="77777777" w:rsidR="00EF2750" w:rsidRDefault="00EF2750">
      <w:pPr>
        <w:spacing w:after="0" w:line="240" w:lineRule="auto"/>
      </w:pPr>
      <w:r>
        <w:separator/>
      </w:r>
    </w:p>
  </w:footnote>
  <w:footnote w:type="continuationSeparator" w:id="0">
    <w:p w14:paraId="74316A32" w14:textId="77777777" w:rsidR="00EF2750" w:rsidRDefault="00EF2750">
      <w:pPr>
        <w:spacing w:after="0" w:line="240" w:lineRule="auto"/>
      </w:pPr>
      <w:r>
        <w:continuationSeparator/>
      </w:r>
    </w:p>
  </w:footnote>
  <w:footnote w:id="1">
    <w:p w14:paraId="23AA39C5" w14:textId="77777777" w:rsidR="00913AB4" w:rsidRPr="00A25DE5" w:rsidRDefault="00913AB4" w:rsidP="00913AB4">
      <w:pPr>
        <w:pStyle w:val="Lbjegyzetszveg"/>
      </w:pPr>
      <w:r w:rsidRPr="007B6835">
        <w:rPr>
          <w:rStyle w:val="Lbjegyzet-hivatkozs"/>
          <w:rFonts w:ascii="Times New Roman" w:hAnsi="Times New Roman"/>
        </w:rPr>
        <w:footnoteRef/>
      </w:r>
      <w:r w:rsidRPr="00A25DE5">
        <w:t xml:space="preserve"> </w:t>
      </w:r>
      <w:r w:rsidRPr="00CC787D">
        <w:t>Beleértve a vulvovagin</w:t>
      </w:r>
      <w:r>
        <w:t>a</w:t>
      </w:r>
      <w:r w:rsidRPr="00CC787D">
        <w:t>lis égő érzést</w:t>
      </w:r>
      <w:r w:rsidRPr="00A25DE5">
        <w:t>.</w:t>
      </w:r>
    </w:p>
  </w:footnote>
  <w:footnote w:id="2">
    <w:p w14:paraId="6414AC90" w14:textId="77777777" w:rsidR="00770396" w:rsidRPr="00A25DE5" w:rsidRDefault="00770396" w:rsidP="00770396">
      <w:pPr>
        <w:pStyle w:val="Lbjegyzetszveg"/>
      </w:pPr>
      <w:r w:rsidRPr="007B6835">
        <w:rPr>
          <w:rStyle w:val="Lbjegyzet-hivatkozs"/>
          <w:rFonts w:ascii="Times New Roman" w:hAnsi="Times New Roman"/>
        </w:rPr>
        <w:footnoteRef/>
      </w:r>
      <w:r w:rsidRPr="00A25DE5">
        <w:t xml:space="preserve"> </w:t>
      </w:r>
      <w:r>
        <w:t>H</w:t>
      </w:r>
      <w:r w:rsidRPr="00193FCD">
        <w:t>elyi allergiás reakciók, beleértve a vulvovagin</w:t>
      </w:r>
      <w:r>
        <w:t>a</w:t>
      </w:r>
      <w:r w:rsidRPr="00193FCD">
        <w:t>lis erythemát, genitális erythemát, vulvovagin</w:t>
      </w:r>
      <w:r>
        <w:t>a</w:t>
      </w:r>
      <w:r w:rsidRPr="00193FCD">
        <w:t>lis kiütést, genitális kiütést</w:t>
      </w:r>
      <w:r w:rsidRPr="00A25DE5">
        <w:t>.</w:t>
      </w:r>
    </w:p>
  </w:footnote>
  <w:footnote w:id="3">
    <w:p w14:paraId="3BC1C94D" w14:textId="77777777" w:rsidR="00970656" w:rsidRPr="00A25DE5" w:rsidRDefault="00970656" w:rsidP="00970656">
      <w:pPr>
        <w:pStyle w:val="Lbjegyzetszveg"/>
      </w:pPr>
      <w:r w:rsidRPr="007B6835">
        <w:rPr>
          <w:rStyle w:val="Lbjegyzet-hivatkozs"/>
          <w:rFonts w:ascii="Times New Roman" w:hAnsi="Times New Roman"/>
        </w:rPr>
        <w:footnoteRef/>
      </w:r>
      <w:r w:rsidRPr="00A25DE5">
        <w:t xml:space="preserve"> </w:t>
      </w:r>
      <w:r w:rsidRPr="00F12685">
        <w:t>Az intravaginális applikátor által okozott kisebb helyi traumák</w:t>
      </w:r>
      <w:r w:rsidRPr="00A25DE5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5770EC" w14:textId="79F6B250" w:rsidR="00AC1A79" w:rsidRPr="00B2366F" w:rsidRDefault="00AC1A79" w:rsidP="006366DF">
    <w:pPr>
      <w:pStyle w:val="lfej"/>
      <w:jc w:val="center"/>
      <w:rPr>
        <w:rFonts w:ascii="Times New Roman" w:hAnsi="Times New Roman"/>
        <w:sz w:val="18"/>
        <w:szCs w:val="18"/>
      </w:rPr>
    </w:pPr>
    <w:r w:rsidRPr="00B2366F">
      <w:rPr>
        <w:rFonts w:ascii="Times New Roman" w:hAnsi="Times New Roman"/>
        <w:sz w:val="18"/>
        <w:szCs w:val="18"/>
      </w:rPr>
      <w:fldChar w:fldCharType="begin"/>
    </w:r>
    <w:r w:rsidRPr="00B2366F">
      <w:rPr>
        <w:rFonts w:ascii="Times New Roman" w:hAnsi="Times New Roman"/>
        <w:sz w:val="18"/>
        <w:szCs w:val="18"/>
      </w:rPr>
      <w:instrText>PAGE   \* MERGEFORMAT</w:instrText>
    </w:r>
    <w:r w:rsidRPr="00B2366F">
      <w:rPr>
        <w:rFonts w:ascii="Times New Roman" w:hAnsi="Times New Roman"/>
        <w:sz w:val="18"/>
        <w:szCs w:val="18"/>
      </w:rPr>
      <w:fldChar w:fldCharType="separate"/>
    </w:r>
    <w:r w:rsidR="0064068E">
      <w:rPr>
        <w:rFonts w:ascii="Times New Roman" w:hAnsi="Times New Roman"/>
        <w:noProof/>
        <w:sz w:val="18"/>
        <w:szCs w:val="18"/>
      </w:rPr>
      <w:t>11</w:t>
    </w:r>
    <w:r w:rsidRPr="00B2366F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0E26B9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"/>
      <w:lvlJc w:val="left"/>
      <w:pPr>
        <w:tabs>
          <w:tab w:val="num" w:pos="570"/>
        </w:tabs>
      </w:pPr>
    </w:lvl>
    <w:lvl w:ilvl="1">
      <w:start w:val="3"/>
      <w:numFmt w:val="decimal"/>
      <w:lvlText w:val="%1.%2"/>
      <w:lvlJc w:val="left"/>
      <w:pPr>
        <w:tabs>
          <w:tab w:val="num" w:pos="57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2" w15:restartNumberingAfterBreak="0">
    <w:nsid w:val="180522FE"/>
    <w:multiLevelType w:val="hybridMultilevel"/>
    <w:tmpl w:val="2862BD1E"/>
    <w:lvl w:ilvl="0" w:tplc="BA086B8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A6C2C"/>
    <w:multiLevelType w:val="hybridMultilevel"/>
    <w:tmpl w:val="4750411C"/>
    <w:lvl w:ilvl="0" w:tplc="6C4AB030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B1E96"/>
    <w:multiLevelType w:val="hybridMultilevel"/>
    <w:tmpl w:val="2E04ADBE"/>
    <w:lvl w:ilvl="0" w:tplc="FDC865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5402F6"/>
    <w:multiLevelType w:val="hybridMultilevel"/>
    <w:tmpl w:val="F522B75E"/>
    <w:lvl w:ilvl="0" w:tplc="BB2C148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567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989"/>
    <w:rsid w:val="00002282"/>
    <w:rsid w:val="000040AC"/>
    <w:rsid w:val="00007DFB"/>
    <w:rsid w:val="00013A92"/>
    <w:rsid w:val="00025B01"/>
    <w:rsid w:val="00036C81"/>
    <w:rsid w:val="0004654D"/>
    <w:rsid w:val="00050087"/>
    <w:rsid w:val="00062594"/>
    <w:rsid w:val="0006654F"/>
    <w:rsid w:val="00070FB9"/>
    <w:rsid w:val="00071F1B"/>
    <w:rsid w:val="000876A2"/>
    <w:rsid w:val="0008777C"/>
    <w:rsid w:val="0009304B"/>
    <w:rsid w:val="000B01C5"/>
    <w:rsid w:val="000B6E99"/>
    <w:rsid w:val="000C7550"/>
    <w:rsid w:val="000D1167"/>
    <w:rsid w:val="000F5BE6"/>
    <w:rsid w:val="0010250B"/>
    <w:rsid w:val="00105AB2"/>
    <w:rsid w:val="00116696"/>
    <w:rsid w:val="00124D2C"/>
    <w:rsid w:val="001579E4"/>
    <w:rsid w:val="00166B26"/>
    <w:rsid w:val="00170895"/>
    <w:rsid w:val="00187B17"/>
    <w:rsid w:val="00195278"/>
    <w:rsid w:val="001A5108"/>
    <w:rsid w:val="001C5BEB"/>
    <w:rsid w:val="001D419C"/>
    <w:rsid w:val="001D5B8D"/>
    <w:rsid w:val="001E2AE6"/>
    <w:rsid w:val="001F466F"/>
    <w:rsid w:val="001F71AD"/>
    <w:rsid w:val="00205445"/>
    <w:rsid w:val="00211A51"/>
    <w:rsid w:val="00212762"/>
    <w:rsid w:val="002276DD"/>
    <w:rsid w:val="002342D6"/>
    <w:rsid w:val="00264436"/>
    <w:rsid w:val="00271016"/>
    <w:rsid w:val="002775EF"/>
    <w:rsid w:val="00283EFE"/>
    <w:rsid w:val="00291BBC"/>
    <w:rsid w:val="002952A5"/>
    <w:rsid w:val="002A2A82"/>
    <w:rsid w:val="002C5B7F"/>
    <w:rsid w:val="002D5867"/>
    <w:rsid w:val="002E26F1"/>
    <w:rsid w:val="00310A6A"/>
    <w:rsid w:val="00317117"/>
    <w:rsid w:val="00321D2E"/>
    <w:rsid w:val="00323041"/>
    <w:rsid w:val="00323D30"/>
    <w:rsid w:val="00336260"/>
    <w:rsid w:val="003369C4"/>
    <w:rsid w:val="00340AA8"/>
    <w:rsid w:val="00350023"/>
    <w:rsid w:val="00351650"/>
    <w:rsid w:val="00362C51"/>
    <w:rsid w:val="00371C5F"/>
    <w:rsid w:val="00386055"/>
    <w:rsid w:val="00387331"/>
    <w:rsid w:val="00393269"/>
    <w:rsid w:val="0039666D"/>
    <w:rsid w:val="003A22E7"/>
    <w:rsid w:val="003C49BA"/>
    <w:rsid w:val="003E4F68"/>
    <w:rsid w:val="003F7884"/>
    <w:rsid w:val="00404E9E"/>
    <w:rsid w:val="00405D4D"/>
    <w:rsid w:val="004375CA"/>
    <w:rsid w:val="00443652"/>
    <w:rsid w:val="00453BFC"/>
    <w:rsid w:val="00466481"/>
    <w:rsid w:val="004678A2"/>
    <w:rsid w:val="00486F45"/>
    <w:rsid w:val="00497F13"/>
    <w:rsid w:val="004C45E3"/>
    <w:rsid w:val="004C5A4D"/>
    <w:rsid w:val="004D2FA4"/>
    <w:rsid w:val="004D7CD3"/>
    <w:rsid w:val="004F7F4A"/>
    <w:rsid w:val="0050575B"/>
    <w:rsid w:val="00511278"/>
    <w:rsid w:val="00513F21"/>
    <w:rsid w:val="00520FAB"/>
    <w:rsid w:val="005453D5"/>
    <w:rsid w:val="00545D6A"/>
    <w:rsid w:val="00551AB6"/>
    <w:rsid w:val="00560085"/>
    <w:rsid w:val="00563EB6"/>
    <w:rsid w:val="00585016"/>
    <w:rsid w:val="00586F48"/>
    <w:rsid w:val="0059245F"/>
    <w:rsid w:val="00593BE5"/>
    <w:rsid w:val="005C2664"/>
    <w:rsid w:val="005C7B04"/>
    <w:rsid w:val="005E4D56"/>
    <w:rsid w:val="00602B72"/>
    <w:rsid w:val="00632DBE"/>
    <w:rsid w:val="006366DF"/>
    <w:rsid w:val="0064068E"/>
    <w:rsid w:val="00641D9A"/>
    <w:rsid w:val="0064737B"/>
    <w:rsid w:val="0065604E"/>
    <w:rsid w:val="00657F9D"/>
    <w:rsid w:val="00660975"/>
    <w:rsid w:val="00684F7B"/>
    <w:rsid w:val="006A1531"/>
    <w:rsid w:val="006A3E1C"/>
    <w:rsid w:val="006A52FC"/>
    <w:rsid w:val="006B0F79"/>
    <w:rsid w:val="006B38A7"/>
    <w:rsid w:val="006B7BEF"/>
    <w:rsid w:val="006F6158"/>
    <w:rsid w:val="006F761A"/>
    <w:rsid w:val="006F7CE1"/>
    <w:rsid w:val="00722DD9"/>
    <w:rsid w:val="00730048"/>
    <w:rsid w:val="007369EB"/>
    <w:rsid w:val="007472C2"/>
    <w:rsid w:val="00751BB8"/>
    <w:rsid w:val="007520B1"/>
    <w:rsid w:val="00755989"/>
    <w:rsid w:val="00767204"/>
    <w:rsid w:val="00770396"/>
    <w:rsid w:val="00776E9E"/>
    <w:rsid w:val="00785640"/>
    <w:rsid w:val="00797A9D"/>
    <w:rsid w:val="007A4E0C"/>
    <w:rsid w:val="007B658E"/>
    <w:rsid w:val="007B7DBE"/>
    <w:rsid w:val="007C7774"/>
    <w:rsid w:val="007E0B6F"/>
    <w:rsid w:val="00800E57"/>
    <w:rsid w:val="008053D0"/>
    <w:rsid w:val="008064C3"/>
    <w:rsid w:val="0083083B"/>
    <w:rsid w:val="00831CCA"/>
    <w:rsid w:val="008454FB"/>
    <w:rsid w:val="0084695D"/>
    <w:rsid w:val="00850F6D"/>
    <w:rsid w:val="00866699"/>
    <w:rsid w:val="00872E07"/>
    <w:rsid w:val="008801F2"/>
    <w:rsid w:val="0088574D"/>
    <w:rsid w:val="00887787"/>
    <w:rsid w:val="008B0062"/>
    <w:rsid w:val="008D0EE1"/>
    <w:rsid w:val="008D7F55"/>
    <w:rsid w:val="0091157B"/>
    <w:rsid w:val="00913AB4"/>
    <w:rsid w:val="00920644"/>
    <w:rsid w:val="00936504"/>
    <w:rsid w:val="00944BC9"/>
    <w:rsid w:val="00970656"/>
    <w:rsid w:val="00981FD1"/>
    <w:rsid w:val="009944EC"/>
    <w:rsid w:val="00997870"/>
    <w:rsid w:val="009A0F28"/>
    <w:rsid w:val="009B2186"/>
    <w:rsid w:val="009E1214"/>
    <w:rsid w:val="009F3F19"/>
    <w:rsid w:val="00A00E0A"/>
    <w:rsid w:val="00A027A6"/>
    <w:rsid w:val="00A21522"/>
    <w:rsid w:val="00A32493"/>
    <w:rsid w:val="00A34327"/>
    <w:rsid w:val="00A35D8F"/>
    <w:rsid w:val="00A36FBC"/>
    <w:rsid w:val="00A43E52"/>
    <w:rsid w:val="00A533C3"/>
    <w:rsid w:val="00A61BA0"/>
    <w:rsid w:val="00A731B2"/>
    <w:rsid w:val="00A75BB9"/>
    <w:rsid w:val="00A9542E"/>
    <w:rsid w:val="00AC06A6"/>
    <w:rsid w:val="00AC1A79"/>
    <w:rsid w:val="00AC581F"/>
    <w:rsid w:val="00AE6C54"/>
    <w:rsid w:val="00AE7745"/>
    <w:rsid w:val="00B014AA"/>
    <w:rsid w:val="00B07AB4"/>
    <w:rsid w:val="00B07F2E"/>
    <w:rsid w:val="00B3438A"/>
    <w:rsid w:val="00B66106"/>
    <w:rsid w:val="00B709FE"/>
    <w:rsid w:val="00B8638B"/>
    <w:rsid w:val="00B918F8"/>
    <w:rsid w:val="00B97A0A"/>
    <w:rsid w:val="00BB46AA"/>
    <w:rsid w:val="00BD5B9B"/>
    <w:rsid w:val="00BE1C8F"/>
    <w:rsid w:val="00BF16BA"/>
    <w:rsid w:val="00C0210A"/>
    <w:rsid w:val="00C06471"/>
    <w:rsid w:val="00C07E62"/>
    <w:rsid w:val="00C22E33"/>
    <w:rsid w:val="00C24574"/>
    <w:rsid w:val="00C24EA0"/>
    <w:rsid w:val="00C40F6E"/>
    <w:rsid w:val="00C532E1"/>
    <w:rsid w:val="00C64F60"/>
    <w:rsid w:val="00CA7BE5"/>
    <w:rsid w:val="00CC1069"/>
    <w:rsid w:val="00CD36CC"/>
    <w:rsid w:val="00CE0F56"/>
    <w:rsid w:val="00CE6ABE"/>
    <w:rsid w:val="00CE722A"/>
    <w:rsid w:val="00D0746C"/>
    <w:rsid w:val="00D17281"/>
    <w:rsid w:val="00D17F32"/>
    <w:rsid w:val="00D230C7"/>
    <w:rsid w:val="00D25BDB"/>
    <w:rsid w:val="00D27731"/>
    <w:rsid w:val="00D507F8"/>
    <w:rsid w:val="00D71DD1"/>
    <w:rsid w:val="00D90C1D"/>
    <w:rsid w:val="00DB0CD2"/>
    <w:rsid w:val="00DC0098"/>
    <w:rsid w:val="00DE4F44"/>
    <w:rsid w:val="00DE5BF5"/>
    <w:rsid w:val="00DF3C71"/>
    <w:rsid w:val="00E00D85"/>
    <w:rsid w:val="00E0484A"/>
    <w:rsid w:val="00E11266"/>
    <w:rsid w:val="00E1624F"/>
    <w:rsid w:val="00E16AD3"/>
    <w:rsid w:val="00E50F0D"/>
    <w:rsid w:val="00E51916"/>
    <w:rsid w:val="00E56084"/>
    <w:rsid w:val="00E73C1D"/>
    <w:rsid w:val="00E96DDC"/>
    <w:rsid w:val="00EA0BF5"/>
    <w:rsid w:val="00EC3F84"/>
    <w:rsid w:val="00EC6FE1"/>
    <w:rsid w:val="00ED2D64"/>
    <w:rsid w:val="00EF2750"/>
    <w:rsid w:val="00EF73AF"/>
    <w:rsid w:val="00F014BB"/>
    <w:rsid w:val="00F16B7A"/>
    <w:rsid w:val="00F4391F"/>
    <w:rsid w:val="00F52D46"/>
    <w:rsid w:val="00F6053A"/>
    <w:rsid w:val="00F846B5"/>
    <w:rsid w:val="00F92ED1"/>
    <w:rsid w:val="00F93D5A"/>
    <w:rsid w:val="00F95143"/>
    <w:rsid w:val="00F96FCC"/>
    <w:rsid w:val="00F97E59"/>
    <w:rsid w:val="00FB1012"/>
    <w:rsid w:val="00FC32B3"/>
    <w:rsid w:val="00FC6BCD"/>
    <w:rsid w:val="00FF25C6"/>
    <w:rsid w:val="00FF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57D315BA"/>
  <w15:chartTrackingRefBased/>
  <w15:docId w15:val="{760D889D-FD67-4D08-B554-9E8FB14F1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55989"/>
    <w:pPr>
      <w:spacing w:after="160" w:line="259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55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55989"/>
  </w:style>
  <w:style w:type="paragraph" w:styleId="llb">
    <w:name w:val="footer"/>
    <w:basedOn w:val="Norml"/>
    <w:link w:val="llbChar"/>
    <w:uiPriority w:val="99"/>
    <w:unhideWhenUsed/>
    <w:rsid w:val="007559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55989"/>
  </w:style>
  <w:style w:type="paragraph" w:styleId="Buborkszveg">
    <w:name w:val="Balloon Text"/>
    <w:basedOn w:val="Norml"/>
    <w:link w:val="BuborkszvegChar"/>
    <w:uiPriority w:val="99"/>
    <w:semiHidden/>
    <w:unhideWhenUsed/>
    <w:rsid w:val="00B86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B8638B"/>
    <w:rPr>
      <w:rFonts w:ascii="Segoe UI" w:hAnsi="Segoe UI" w:cs="Segoe UI"/>
      <w:sz w:val="18"/>
      <w:szCs w:val="18"/>
    </w:rPr>
  </w:style>
  <w:style w:type="paragraph" w:customStyle="1" w:styleId="EMEAEnBodyText">
    <w:name w:val="EMEA En Body Text"/>
    <w:basedOn w:val="Norml"/>
    <w:rsid w:val="00B8638B"/>
    <w:pPr>
      <w:spacing w:before="120" w:after="120" w:line="240" w:lineRule="auto"/>
      <w:jc w:val="both"/>
    </w:pPr>
    <w:rPr>
      <w:rFonts w:ascii="Times New Roman" w:eastAsia="Times New Roman" w:hAnsi="Times New Roman"/>
      <w:szCs w:val="20"/>
      <w:lang w:val="en-US"/>
    </w:rPr>
  </w:style>
  <w:style w:type="paragraph" w:customStyle="1" w:styleId="Default">
    <w:name w:val="Default"/>
    <w:rsid w:val="00B8638B"/>
    <w:pPr>
      <w:autoSpaceDE w:val="0"/>
      <w:autoSpaceDN w:val="0"/>
      <w:adjustRightInd w:val="0"/>
    </w:pPr>
    <w:rPr>
      <w:rFonts w:ascii="Times New Roman" w:eastAsia="Times New Roman" w:hAnsi="Times New Roman"/>
      <w:lang w:val="en-US" w:eastAsia="en-US"/>
    </w:rPr>
  </w:style>
  <w:style w:type="character" w:styleId="Hiperhivatkozs">
    <w:name w:val="Hyperlink"/>
    <w:rsid w:val="001D419C"/>
    <w:rPr>
      <w:color w:val="0000FF"/>
      <w:u w:val="single"/>
    </w:rPr>
  </w:style>
  <w:style w:type="character" w:styleId="Jegyzethivatkozs">
    <w:name w:val="annotation reference"/>
    <w:uiPriority w:val="99"/>
    <w:unhideWhenUsed/>
    <w:rsid w:val="00453BFC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453BF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rsid w:val="00453BF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53BFC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53BFC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F92ED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39666D"/>
    <w:pPr>
      <w:numPr>
        <w:numId w:val="2"/>
      </w:numPr>
      <w:tabs>
        <w:tab w:val="left" w:pos="567"/>
      </w:tabs>
      <w:suppressAutoHyphens/>
      <w:spacing w:after="0" w:line="240" w:lineRule="auto"/>
      <w:contextualSpacing/>
    </w:pPr>
    <w:rPr>
      <w:rFonts w:ascii="Times New Roman" w:eastAsia="Times New Roman" w:hAnsi="Times New Roman"/>
      <w:noProof/>
      <w:szCs w:val="24"/>
    </w:rPr>
  </w:style>
  <w:style w:type="paragraph" w:styleId="Szvegtrzs2">
    <w:name w:val="Body Text 2"/>
    <w:basedOn w:val="Norml"/>
    <w:link w:val="Szvegtrzs2Char"/>
    <w:rsid w:val="0064737B"/>
    <w:pPr>
      <w:tabs>
        <w:tab w:val="left" w:pos="567"/>
      </w:tabs>
      <w:suppressAutoHyphens/>
      <w:spacing w:after="0" w:line="240" w:lineRule="auto"/>
    </w:pPr>
    <w:rPr>
      <w:rFonts w:ascii="Times New Roman" w:eastAsia="Times New Roman" w:hAnsi="Times New Roman"/>
      <w:noProof/>
    </w:rPr>
  </w:style>
  <w:style w:type="character" w:customStyle="1" w:styleId="Szvegtrzs2Char">
    <w:name w:val="Szövegtörzs 2 Char"/>
    <w:link w:val="Szvegtrzs2"/>
    <w:rsid w:val="0064737B"/>
    <w:rPr>
      <w:rFonts w:ascii="Times New Roman" w:eastAsia="Times New Roman" w:hAnsi="Times New Roman" w:cs="Times New Roman"/>
      <w:noProof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E00D85"/>
    <w:pPr>
      <w:tabs>
        <w:tab w:val="left" w:pos="567"/>
        <w:tab w:val="center" w:pos="4536"/>
        <w:tab w:val="right" w:pos="8306"/>
      </w:tabs>
      <w:spacing w:after="0" w:line="260" w:lineRule="exact"/>
    </w:pPr>
    <w:rPr>
      <w:rFonts w:ascii="Times New Roman" w:eastAsia="Times New Roman" w:hAnsi="Times New Roman"/>
      <w:lang w:val="en-GB" w:eastAsia="hu-HU"/>
    </w:rPr>
  </w:style>
  <w:style w:type="paragraph" w:styleId="Vltozat">
    <w:name w:val="Revision"/>
    <w:hidden/>
    <w:uiPriority w:val="99"/>
    <w:semiHidden/>
    <w:rsid w:val="009944EC"/>
    <w:rPr>
      <w:sz w:val="22"/>
      <w:szCs w:val="22"/>
      <w:lang w:eastAsia="en-US"/>
    </w:rPr>
  </w:style>
  <w:style w:type="paragraph" w:styleId="Lbjegyzetszveg">
    <w:name w:val="footnote text"/>
    <w:basedOn w:val="Norml"/>
    <w:link w:val="LbjegyzetszvegChar"/>
    <w:uiPriority w:val="99"/>
    <w:unhideWhenUsed/>
    <w:rsid w:val="00913AB4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913AB4"/>
    <w:rPr>
      <w:rFonts w:ascii="Times New Roman" w:eastAsia="Times New Roman" w:hAnsi="Times New Roman"/>
      <w:lang w:eastAsia="zh-CN"/>
    </w:rPr>
  </w:style>
  <w:style w:type="character" w:styleId="Lbjegyzet-hivatkozs">
    <w:name w:val="footnote reference"/>
    <w:uiPriority w:val="99"/>
    <w:rsid w:val="00913AB4"/>
    <w:rPr>
      <w:rFonts w:ascii="Verdana" w:hAnsi="Verdana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ma.europa.eu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084F70368A43ACFF256674715ABA" ma:contentTypeVersion="10" ma:contentTypeDescription="Create a new document." ma:contentTypeScope="" ma:versionID="47020912535af86e2cb1b333c5a70c5c">
  <xsd:schema xmlns:xsd="http://www.w3.org/2001/XMLSchema" xmlns:xs="http://www.w3.org/2001/XMLSchema" xmlns:p="http://schemas.microsoft.com/office/2006/metadata/properties" xmlns:ns3="3502d38c-dfe1-41f5-820a-3a1de1c4a1f2" targetNamespace="http://schemas.microsoft.com/office/2006/metadata/properties" ma:root="true" ma:fieldsID="c6c0b416ab368734919af80e7a7e327c" ns3:_="">
    <xsd:import namespace="3502d38c-dfe1-41f5-820a-3a1de1c4a1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02d38c-dfe1-41f5-820a-3a1de1c4a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FCDCBA-0EF5-4650-80CB-D92D251129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4FFBDE-7F8E-4C07-ACFD-325F69D6AC3B}">
  <ds:schemaRefs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3502d38c-dfe1-41f5-820a-3a1de1c4a1f2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2317424-61C1-488E-AA61-54AAF4444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02d38c-dfe1-41f5-820a-3a1de1c4a1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3908</Words>
  <Characters>26973</Characters>
  <Application>Microsoft Office Word</Application>
  <DocSecurity>0</DocSecurity>
  <Lines>224</Lines>
  <Paragraphs>61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RG</Company>
  <LinksUpToDate>false</LinksUpToDate>
  <CharactersWithSpaces>30820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Ferencné Dr. Sziksz Erna</dc:creator>
  <cp:keywords/>
  <dc:description/>
  <cp:lastModifiedBy>HU_OGYI_45.1</cp:lastModifiedBy>
  <cp:revision>4</cp:revision>
  <dcterms:created xsi:type="dcterms:W3CDTF">2026-07-03T08:57:00Z</dcterms:created>
  <dcterms:modified xsi:type="dcterms:W3CDTF">2026-07-28T19:18:00Z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0x0101004C00084F70368A43ACFF256674715ABA</vt:lpwstr>
  </property>
</Properties>
</file>