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9E027F" w14:textId="77777777" w:rsidR="002A479B" w:rsidRPr="002A479B" w:rsidRDefault="002A479B" w:rsidP="002A479B">
      <w:pPr>
        <w:numPr>
          <w:ilvl w:val="0"/>
          <w:numId w:val="1"/>
        </w:numPr>
        <w:tabs>
          <w:tab w:val="left" w:pos="561"/>
        </w:tabs>
        <w:spacing w:after="0" w:line="240" w:lineRule="auto"/>
        <w:ind w:left="561" w:hanging="561"/>
        <w:rPr>
          <w:rFonts w:ascii="Times New Roman" w:eastAsia="Times New Roman" w:hAnsi="Times New Roman" w:cs="Times New Roman"/>
          <w:b/>
          <w:bCs/>
          <w:lang w:eastAsia="hu-HU"/>
        </w:rPr>
      </w:pPr>
      <w:bookmarkStart w:id="0" w:name="_GoBack"/>
      <w:bookmarkEnd w:id="0"/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A GYÓGYSZER NEVE</w:t>
      </w:r>
    </w:p>
    <w:p w14:paraId="6CD2BDFE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BCF9CDA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Deferasirox MSN 90 mg filmtabletta</w:t>
      </w:r>
    </w:p>
    <w:p w14:paraId="16C14079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Deferasirox MSN 180 mg filmtabletta</w:t>
      </w:r>
    </w:p>
    <w:p w14:paraId="0ED31D61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Deferasirox MSN 360 mg filmtabletta</w:t>
      </w:r>
    </w:p>
    <w:p w14:paraId="541AC749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25C2C70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5219443" w14:textId="77777777" w:rsidR="002A479B" w:rsidRPr="002A479B" w:rsidRDefault="002A479B" w:rsidP="002A479B">
      <w:pPr>
        <w:numPr>
          <w:ilvl w:val="0"/>
          <w:numId w:val="2"/>
        </w:numPr>
        <w:tabs>
          <w:tab w:val="left" w:pos="561"/>
        </w:tabs>
        <w:spacing w:after="0" w:line="240" w:lineRule="auto"/>
        <w:ind w:left="561" w:hanging="561"/>
        <w:rPr>
          <w:rFonts w:ascii="Times New Roman" w:eastAsia="Times New Roman" w:hAnsi="Times New Roman" w:cs="Times New Roman"/>
          <w:b/>
          <w:bCs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MINŐSÉGI ÉS MENNYISÉGI ÖSSZETÉTEL</w:t>
      </w:r>
    </w:p>
    <w:p w14:paraId="3441A46F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54E04D9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Deferasirox MSN 90 mg filmtabletta</w:t>
      </w:r>
    </w:p>
    <w:p w14:paraId="2D1CE076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90 mg deferazirox</w:t>
      </w:r>
      <w:r w:rsidR="00F627EB">
        <w:rPr>
          <w:rFonts w:ascii="Times New Roman" w:eastAsia="Times New Roman" w:hAnsi="Times New Roman" w:cs="Times New Roman"/>
          <w:lang w:eastAsia="hu-HU"/>
        </w:rPr>
        <w:t>ot tartalmaz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filmtablettánként.</w:t>
      </w:r>
    </w:p>
    <w:p w14:paraId="47DBCA5C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5EF0DCD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Deferasirox MSN 180 mg filmtabletta</w:t>
      </w:r>
    </w:p>
    <w:p w14:paraId="4EF15E45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180 mg deferazirox</w:t>
      </w:r>
      <w:r w:rsidR="00F627EB">
        <w:rPr>
          <w:rFonts w:ascii="Times New Roman" w:eastAsia="Times New Roman" w:hAnsi="Times New Roman" w:cs="Times New Roman"/>
          <w:lang w:eastAsia="hu-HU"/>
        </w:rPr>
        <w:t>ot tartalmaz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filmtablettánként.</w:t>
      </w:r>
    </w:p>
    <w:p w14:paraId="1CBA4D04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2296506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Deferasirox MSN 360 mg filmtabletta</w:t>
      </w:r>
    </w:p>
    <w:p w14:paraId="79157776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360 mg deferazirox</w:t>
      </w:r>
      <w:r w:rsidR="00F627EB">
        <w:rPr>
          <w:rFonts w:ascii="Times New Roman" w:eastAsia="Times New Roman" w:hAnsi="Times New Roman" w:cs="Times New Roman"/>
          <w:lang w:eastAsia="hu-HU"/>
        </w:rPr>
        <w:t>ot tartalmaz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filmtablettánként.</w:t>
      </w:r>
    </w:p>
    <w:p w14:paraId="4794D35E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37D8D66" w14:textId="77777777" w:rsidR="002A479B" w:rsidRPr="002A479B" w:rsidRDefault="002A479B" w:rsidP="002A479B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u w:val="single"/>
        </w:rPr>
      </w:pPr>
      <w:r w:rsidRPr="002A479B">
        <w:rPr>
          <w:rFonts w:ascii="Times New Roman" w:eastAsia="Times New Roman" w:hAnsi="Times New Roman" w:cs="Times New Roman"/>
          <w:bCs/>
          <w:noProof/>
          <w:u w:val="single"/>
        </w:rPr>
        <w:t>Ismert hatású segédanyag</w:t>
      </w:r>
      <w:r w:rsidRPr="002A479B">
        <w:rPr>
          <w:rFonts w:ascii="Times New Roman" w:eastAsia="Times New Roman" w:hAnsi="Times New Roman" w:cs="Times New Roman"/>
          <w:szCs w:val="20"/>
          <w:u w:val="single"/>
        </w:rPr>
        <w:t>ok</w:t>
      </w:r>
    </w:p>
    <w:p w14:paraId="72A64A22" w14:textId="259443E9" w:rsidR="002A479B" w:rsidRPr="00F11AF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2A479B" w:rsidRPr="00F11AFB" w14:paraId="77538EF6" w14:textId="77777777" w:rsidTr="002B7B6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6F083" w14:textId="77777777" w:rsidR="002A479B" w:rsidRPr="009C6547" w:rsidRDefault="002A479B" w:rsidP="002A47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9C6547">
              <w:rPr>
                <w:rFonts w:ascii="Times New Roman" w:eastAsia="Calibri" w:hAnsi="Times New Roman" w:cs="Times New Roman"/>
              </w:rPr>
              <w:t>90 mg-os filmtabletta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5BCAA" w14:textId="43FE07C7" w:rsidR="002A479B" w:rsidRPr="009C6547" w:rsidRDefault="002A479B" w:rsidP="002A47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9C6547">
              <w:rPr>
                <w:rFonts w:ascii="Times New Roman" w:eastAsia="Calibri" w:hAnsi="Times New Roman" w:cs="Times New Roman"/>
              </w:rPr>
              <w:t>27 mg laktóz-monohidrát</w:t>
            </w:r>
          </w:p>
        </w:tc>
      </w:tr>
      <w:tr w:rsidR="002A479B" w:rsidRPr="00F11AFB" w14:paraId="5A6C5493" w14:textId="77777777" w:rsidTr="002B7B6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05EF6" w14:textId="77777777" w:rsidR="002A479B" w:rsidRPr="009C6547" w:rsidRDefault="002A479B" w:rsidP="002A47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9C6547">
              <w:rPr>
                <w:rFonts w:ascii="Times New Roman" w:eastAsia="Calibri" w:hAnsi="Times New Roman" w:cs="Times New Roman"/>
              </w:rPr>
              <w:t>180 mg-os filmtabletta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7FD47" w14:textId="037D37BC" w:rsidR="002A479B" w:rsidRPr="009C6547" w:rsidRDefault="002A479B" w:rsidP="002A47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9C6547">
              <w:rPr>
                <w:rFonts w:ascii="Times New Roman" w:eastAsia="Calibri" w:hAnsi="Times New Roman" w:cs="Times New Roman"/>
                <w:lang w:eastAsia="cs-CZ"/>
              </w:rPr>
              <w:t>54</w:t>
            </w:r>
            <w:r w:rsidRPr="009C6547">
              <w:rPr>
                <w:rFonts w:ascii="Times New Roman" w:eastAsia="Calibri" w:hAnsi="Times New Roman" w:cs="Times New Roman"/>
              </w:rPr>
              <w:t> mg laktóz-monohidrát</w:t>
            </w:r>
          </w:p>
        </w:tc>
      </w:tr>
      <w:tr w:rsidR="002A479B" w:rsidRPr="00F11AFB" w14:paraId="5F284BE5" w14:textId="77777777" w:rsidTr="002B7B6F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565B2" w14:textId="77777777" w:rsidR="002A479B" w:rsidRPr="009C6547" w:rsidRDefault="002A479B" w:rsidP="002A47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9C6547">
              <w:rPr>
                <w:rFonts w:ascii="Times New Roman" w:eastAsia="Calibri" w:hAnsi="Times New Roman" w:cs="Times New Roman"/>
              </w:rPr>
              <w:t>360 mg-os filmtabletta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B0C6B" w14:textId="75CFE3FC" w:rsidR="002A479B" w:rsidRPr="009C6547" w:rsidRDefault="002A479B" w:rsidP="002A47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9C6547">
              <w:rPr>
                <w:rFonts w:ascii="Times New Roman" w:eastAsia="Calibri" w:hAnsi="Times New Roman" w:cs="Times New Roman"/>
                <w:lang w:eastAsia="cs-CZ"/>
              </w:rPr>
              <w:t>108</w:t>
            </w:r>
            <w:r w:rsidRPr="009C6547">
              <w:rPr>
                <w:rFonts w:ascii="Times New Roman" w:eastAsia="Calibri" w:hAnsi="Times New Roman" w:cs="Times New Roman"/>
              </w:rPr>
              <w:t> mg laktóz-monohidrát</w:t>
            </w:r>
          </w:p>
        </w:tc>
      </w:tr>
    </w:tbl>
    <w:p w14:paraId="6F91CC2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7521DBB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segédanyagok teljes listáját lásd a 6.1 pontban.</w:t>
      </w:r>
    </w:p>
    <w:p w14:paraId="344B6ADF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C4FC1FB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AD19346" w14:textId="77777777" w:rsidR="002A479B" w:rsidRPr="002A479B" w:rsidRDefault="002A479B" w:rsidP="002A479B">
      <w:pPr>
        <w:keepNext/>
        <w:numPr>
          <w:ilvl w:val="0"/>
          <w:numId w:val="3"/>
        </w:numPr>
        <w:tabs>
          <w:tab w:val="left" w:pos="561"/>
        </w:tabs>
        <w:spacing w:after="0" w:line="240" w:lineRule="auto"/>
        <w:ind w:left="561" w:hanging="561"/>
        <w:rPr>
          <w:rFonts w:ascii="Times New Roman" w:eastAsia="Times New Roman" w:hAnsi="Times New Roman" w:cs="Times New Roman"/>
          <w:b/>
          <w:bCs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GYÓGYSZERFORMA</w:t>
      </w:r>
    </w:p>
    <w:p w14:paraId="450BBD25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E6410AD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Filmtabletta</w:t>
      </w:r>
    </w:p>
    <w:p w14:paraId="0FE0ADB1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974280F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Deferasirox MSN 90 mg filmtabletta</w:t>
      </w:r>
    </w:p>
    <w:p w14:paraId="3831893D" w14:textId="5959789F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Sárga színű, ovális (</w:t>
      </w:r>
      <w:r w:rsidR="00854A8F">
        <w:rPr>
          <w:rFonts w:ascii="Times New Roman" w:eastAsia="Times New Roman" w:hAnsi="Times New Roman" w:cs="Times New Roman"/>
          <w:lang w:eastAsia="hu-HU"/>
        </w:rPr>
        <w:t xml:space="preserve">kb. 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11 mm × 4 mm), mindkét oldalán domború, metszett élű filmtabletta, egyik oldalon „D”, másik oldalon „90” mélynyomású </w:t>
      </w:r>
      <w:r w:rsidR="00F627EB">
        <w:rPr>
          <w:rFonts w:ascii="Times New Roman" w:eastAsia="Times New Roman" w:hAnsi="Times New Roman" w:cs="Times New Roman"/>
          <w:lang w:eastAsia="hu-HU"/>
        </w:rPr>
        <w:t>jelöléssel ellátva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. </w:t>
      </w:r>
    </w:p>
    <w:p w14:paraId="5F6AAF11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ACB0B13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Deferasirox MSN 180 mg filmtabletta</w:t>
      </w:r>
    </w:p>
    <w:p w14:paraId="7A74A0F4" w14:textId="29576FF3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Sárga színű, ovális (</w:t>
      </w:r>
      <w:r w:rsidR="00854A8F">
        <w:rPr>
          <w:rFonts w:ascii="Times New Roman" w:eastAsia="Times New Roman" w:hAnsi="Times New Roman" w:cs="Times New Roman"/>
          <w:lang w:eastAsia="hu-HU"/>
        </w:rPr>
        <w:t xml:space="preserve">kb. 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14 mm × 5,5 mm), mindkét oldalán domború, metszett élű filmtabletta, egyik oldalon „D”, másik oldalon „180” mélynyomású </w:t>
      </w:r>
      <w:r w:rsidR="00F627EB">
        <w:rPr>
          <w:rFonts w:ascii="Times New Roman" w:eastAsia="Times New Roman" w:hAnsi="Times New Roman" w:cs="Times New Roman"/>
          <w:lang w:eastAsia="hu-HU"/>
        </w:rPr>
        <w:t>jelöléssel ellátva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. </w:t>
      </w:r>
    </w:p>
    <w:p w14:paraId="674FB4AA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7D2B9B1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Deferasirox MSN 360 mg filmtabletta</w:t>
      </w:r>
    </w:p>
    <w:p w14:paraId="6A2AB6A1" w14:textId="1EE7943D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Sárga színű, ovális (</w:t>
      </w:r>
      <w:r w:rsidR="00854A8F">
        <w:rPr>
          <w:rFonts w:ascii="Times New Roman" w:eastAsia="Times New Roman" w:hAnsi="Times New Roman" w:cs="Times New Roman"/>
          <w:lang w:eastAsia="hu-HU"/>
        </w:rPr>
        <w:t xml:space="preserve">kb. 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17 mm × </w:t>
      </w:r>
      <w:r w:rsidR="00854A8F">
        <w:rPr>
          <w:rFonts w:ascii="Times New Roman" w:eastAsia="Times New Roman" w:hAnsi="Times New Roman" w:cs="Times New Roman"/>
          <w:lang w:eastAsia="hu-HU"/>
        </w:rPr>
        <w:t>7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 mm), mindkét oldalán domború, metszett élű filmtabletta, egyik oldalon „D”, másik oldalon „360” mélynyomású </w:t>
      </w:r>
      <w:r w:rsidR="00F627EB">
        <w:rPr>
          <w:rFonts w:ascii="Times New Roman" w:eastAsia="Times New Roman" w:hAnsi="Times New Roman" w:cs="Times New Roman"/>
          <w:lang w:eastAsia="hu-HU"/>
        </w:rPr>
        <w:t>jelöléssel ellátva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. </w:t>
      </w:r>
    </w:p>
    <w:p w14:paraId="03AD3E1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833DF02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8FF23B8" w14:textId="77777777" w:rsidR="002A479B" w:rsidRPr="002A479B" w:rsidRDefault="002A479B" w:rsidP="00306B2D">
      <w:pPr>
        <w:numPr>
          <w:ilvl w:val="0"/>
          <w:numId w:val="4"/>
        </w:numPr>
        <w:tabs>
          <w:tab w:val="left" w:pos="568"/>
        </w:tabs>
        <w:spacing w:after="0" w:line="240" w:lineRule="auto"/>
        <w:ind w:left="1" w:hanging="1"/>
        <w:rPr>
          <w:rFonts w:ascii="Times New Roman" w:eastAsia="Times New Roman" w:hAnsi="Times New Roman" w:cs="Times New Roman"/>
          <w:b/>
          <w:bCs/>
          <w:lang w:eastAsia="hu-HU"/>
        </w:rPr>
      </w:pPr>
      <w:bookmarkStart w:id="1" w:name="page24"/>
      <w:bookmarkEnd w:id="1"/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KLINIKAI JELLEMZŐK</w:t>
      </w:r>
    </w:p>
    <w:p w14:paraId="1F0A3B70" w14:textId="77777777" w:rsidR="002A479B" w:rsidRPr="002A479B" w:rsidRDefault="002A479B" w:rsidP="00306B2D">
      <w:pPr>
        <w:tabs>
          <w:tab w:val="left" w:pos="568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</w:p>
    <w:p w14:paraId="6696F93F" w14:textId="77777777" w:rsidR="002A479B" w:rsidRPr="002A479B" w:rsidRDefault="002A479B" w:rsidP="00306B2D">
      <w:pPr>
        <w:tabs>
          <w:tab w:val="left" w:pos="568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4.1</w:t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ab/>
        <w:t>Terápiás javallatok</w:t>
      </w:r>
    </w:p>
    <w:p w14:paraId="48E4E39E" w14:textId="77777777" w:rsidR="002A479B" w:rsidRPr="002A479B" w:rsidRDefault="002A479B" w:rsidP="00306B2D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FFCF64C" w14:textId="688EF4B1" w:rsidR="002A479B" w:rsidRPr="002A479B" w:rsidRDefault="002A479B" w:rsidP="00306B2D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Deferasirox MSN a gyakori vértranszfúziók (≥ 7 ml/</w:t>
      </w:r>
      <w:r w:rsidR="00E32D5F">
        <w:rPr>
          <w:rFonts w:ascii="Times New Roman" w:eastAsia="Times New Roman" w:hAnsi="Times New Roman" w:cs="Times New Roman"/>
          <w:lang w:eastAsia="hu-HU"/>
        </w:rPr>
        <w:t>tt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kg/hónap vörösvértest-koncentrátum) okozta krónikus vastúlterhelés kezelésére javallott 6 éves </w:t>
      </w:r>
      <w:r w:rsidR="002B7B6F">
        <w:rPr>
          <w:rFonts w:ascii="Times New Roman" w:eastAsia="Times New Roman" w:hAnsi="Times New Roman" w:cs="Times New Roman"/>
          <w:lang w:eastAsia="hu-HU"/>
        </w:rPr>
        <w:t>vagy</w:t>
      </w:r>
      <w:r w:rsidR="002B7B6F"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annál idősebb, béta-thalassaemia majorban szenvedő betegek számára.</w:t>
      </w:r>
    </w:p>
    <w:p w14:paraId="7681898A" w14:textId="77777777" w:rsidR="002A479B" w:rsidRPr="002A479B" w:rsidRDefault="002A479B" w:rsidP="00306B2D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2865B5B" w14:textId="6055F4D6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Deferasirox MSN</w:t>
      </w:r>
      <w:r w:rsidR="00CD131C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 javallott továbbá a gyakori vértranszfúziók okozta krónikus vastúlterhelés kezelésére az alábbi betegcsoportok számára, ha a deferoxamin</w:t>
      </w:r>
      <w:r w:rsidR="00CD131C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 ellenjavallt vagy elégtelen:</w:t>
      </w:r>
    </w:p>
    <w:p w14:paraId="576BA55F" w14:textId="558662ED" w:rsidR="002A479B" w:rsidRPr="002A479B" w:rsidRDefault="002A479B" w:rsidP="002A479B">
      <w:pPr>
        <w:numPr>
          <w:ilvl w:val="0"/>
          <w:numId w:val="5"/>
        </w:numPr>
        <w:tabs>
          <w:tab w:val="left" w:pos="561"/>
        </w:tabs>
        <w:spacing w:after="0" w:line="240" w:lineRule="auto"/>
        <w:ind w:left="561" w:hanging="561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lastRenderedPageBreak/>
        <w:t>béta-thalassaemia majorban szenvedő, 2</w:t>
      </w:r>
      <w:r w:rsidR="00CD131C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5 év közötti gyermekek, akiknél gyakori vértranszfúziók (≥ 7 ml/</w:t>
      </w:r>
      <w:r w:rsidR="00E32D5F">
        <w:rPr>
          <w:rFonts w:ascii="Times New Roman" w:eastAsia="Times New Roman" w:hAnsi="Times New Roman" w:cs="Times New Roman"/>
          <w:lang w:eastAsia="hu-HU"/>
        </w:rPr>
        <w:t>tt</w:t>
      </w:r>
      <w:r w:rsidRPr="002A479B">
        <w:rPr>
          <w:rFonts w:ascii="Times New Roman" w:eastAsia="Times New Roman" w:hAnsi="Times New Roman" w:cs="Times New Roman"/>
          <w:lang w:eastAsia="hu-HU"/>
        </w:rPr>
        <w:t>kg/hónap vörösvértest-koncentrátum) okozta krónikus vastúlterhelés áll fenn,</w:t>
      </w:r>
    </w:p>
    <w:p w14:paraId="57B41C41" w14:textId="0681A8A3" w:rsidR="002A479B" w:rsidRPr="002A479B" w:rsidRDefault="002A479B" w:rsidP="002A479B">
      <w:pPr>
        <w:numPr>
          <w:ilvl w:val="0"/>
          <w:numId w:val="5"/>
        </w:numPr>
        <w:tabs>
          <w:tab w:val="left" w:pos="561"/>
        </w:tabs>
        <w:spacing w:after="0" w:line="240" w:lineRule="auto"/>
        <w:ind w:left="561" w:hanging="561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béta-thalassaemia majorban szenvedő, 2 éves </w:t>
      </w:r>
      <w:r w:rsidR="002B7B6F">
        <w:rPr>
          <w:rFonts w:ascii="Times New Roman" w:eastAsia="Times New Roman" w:hAnsi="Times New Roman" w:cs="Times New Roman"/>
          <w:lang w:eastAsia="hu-HU"/>
        </w:rPr>
        <w:t>vagy</w:t>
      </w:r>
      <w:r w:rsidR="002B7B6F"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annál idősebb </w:t>
      </w:r>
      <w:r w:rsidR="002B7B6F">
        <w:rPr>
          <w:rFonts w:ascii="Times New Roman" w:eastAsia="Times New Roman" w:hAnsi="Times New Roman" w:cs="Times New Roman"/>
          <w:lang w:eastAsia="hu-HU"/>
        </w:rPr>
        <w:t>gyermekek</w:t>
      </w:r>
      <w:r w:rsidR="002C51F4">
        <w:rPr>
          <w:rFonts w:ascii="Times New Roman" w:eastAsia="Times New Roman" w:hAnsi="Times New Roman" w:cs="Times New Roman"/>
          <w:lang w:eastAsia="hu-HU"/>
        </w:rPr>
        <w:t>, illetve serdülők vagy</w:t>
      </w:r>
      <w:r w:rsidR="002B7B6F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felnőttek, akiknél nem gyakori vértranszfúziók (&lt; 7 ml/</w:t>
      </w:r>
      <w:r w:rsidR="00E32D5F">
        <w:rPr>
          <w:rFonts w:ascii="Times New Roman" w:eastAsia="Times New Roman" w:hAnsi="Times New Roman" w:cs="Times New Roman"/>
          <w:lang w:eastAsia="hu-HU"/>
        </w:rPr>
        <w:t>tt</w:t>
      </w:r>
      <w:r w:rsidRPr="002A479B">
        <w:rPr>
          <w:rFonts w:ascii="Times New Roman" w:eastAsia="Times New Roman" w:hAnsi="Times New Roman" w:cs="Times New Roman"/>
          <w:lang w:eastAsia="hu-HU"/>
        </w:rPr>
        <w:t>kg/hónap vörösvértest-koncentrátum) okozta krónikus vastúlterhelés áll fenn,</w:t>
      </w:r>
    </w:p>
    <w:p w14:paraId="33ACD549" w14:textId="77777777" w:rsidR="002A479B" w:rsidRPr="002A479B" w:rsidRDefault="002A479B" w:rsidP="002A479B">
      <w:pPr>
        <w:numPr>
          <w:ilvl w:val="0"/>
          <w:numId w:val="5"/>
        </w:numPr>
        <w:tabs>
          <w:tab w:val="left" w:pos="561"/>
        </w:tabs>
        <w:spacing w:after="0" w:line="240" w:lineRule="auto"/>
        <w:ind w:left="561" w:hanging="561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egyéb típusú vérszegénységben szenvedő, 2 éves </w:t>
      </w:r>
      <w:r w:rsidR="002C51F4">
        <w:rPr>
          <w:rFonts w:ascii="Times New Roman" w:eastAsia="Times New Roman" w:hAnsi="Times New Roman" w:cs="Times New Roman"/>
          <w:lang w:eastAsia="hu-HU"/>
        </w:rPr>
        <w:t>vagy</w:t>
      </w:r>
      <w:r w:rsidR="002C51F4"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annál idősebb </w:t>
      </w:r>
      <w:r w:rsidR="002C51F4">
        <w:rPr>
          <w:rFonts w:ascii="Times New Roman" w:eastAsia="Times New Roman" w:hAnsi="Times New Roman" w:cs="Times New Roman"/>
          <w:lang w:eastAsia="hu-HU"/>
        </w:rPr>
        <w:t xml:space="preserve">gyermekek, illetve serdülők </w:t>
      </w:r>
      <w:r w:rsidR="00413ED6">
        <w:rPr>
          <w:rFonts w:ascii="Times New Roman" w:eastAsia="Times New Roman" w:hAnsi="Times New Roman" w:cs="Times New Roman"/>
          <w:lang w:eastAsia="hu-HU"/>
        </w:rPr>
        <w:t>vagy</w:t>
      </w:r>
      <w:r w:rsidR="002C51F4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felnőttek.</w:t>
      </w:r>
    </w:p>
    <w:p w14:paraId="087F2C09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1C918EF" w14:textId="4AA670E9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Deferasirox MSN a kelátképző</w:t>
      </w:r>
      <w:r w:rsidR="00112374">
        <w:rPr>
          <w:rFonts w:ascii="Times New Roman" w:eastAsia="Times New Roman" w:hAnsi="Times New Roman" w:cs="Times New Roman"/>
          <w:lang w:eastAsia="hu-HU"/>
        </w:rPr>
        <w:t>t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igénylő krónikus vastúlterhelés kezelésére is javallott a 10 éves </w:t>
      </w:r>
      <w:r w:rsidR="002C51F4">
        <w:rPr>
          <w:rFonts w:ascii="Times New Roman" w:eastAsia="Times New Roman" w:hAnsi="Times New Roman" w:cs="Times New Roman"/>
          <w:lang w:eastAsia="hu-HU"/>
        </w:rPr>
        <w:t>vagy</w:t>
      </w:r>
      <w:r w:rsidR="002C51F4"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annál idősebb, vértranszfúziótól nem függő thalassaemia szindrómákban szenvedő betegeknek, ha a deferoxamin</w:t>
      </w:r>
      <w:r w:rsidR="00CD131C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 ellenjavallt vagy inadekvát.</w:t>
      </w:r>
    </w:p>
    <w:p w14:paraId="6ACE3D1F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50BC63A" w14:textId="77777777" w:rsidR="002A479B" w:rsidRPr="002A479B" w:rsidRDefault="002A479B" w:rsidP="002A479B">
      <w:pPr>
        <w:keepNext/>
        <w:tabs>
          <w:tab w:val="left" w:pos="541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4.2</w:t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ab/>
        <w:t>Adagolás és alkalmazás</w:t>
      </w:r>
    </w:p>
    <w:p w14:paraId="2FC04B34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F11E334" w14:textId="6E468531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</w:t>
      </w:r>
      <w:r w:rsidR="00CD131C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kezelést a krónikus vastúlterhelés kezelésében jártas orvosnak kell megkezdenie és folytatnia.</w:t>
      </w:r>
    </w:p>
    <w:p w14:paraId="6C462F82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B998489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Adagolás</w:t>
      </w:r>
    </w:p>
    <w:p w14:paraId="2B7E74C8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D52DD8C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i/>
          <w:u w:val="single"/>
          <w:lang w:eastAsia="hu-HU"/>
        </w:rPr>
        <w:t xml:space="preserve">Vértranszfúziók okozta </w:t>
      </w:r>
      <w:r w:rsidRPr="002A479B">
        <w:rPr>
          <w:rFonts w:ascii="Times New Roman" w:eastAsia="Times New Roman" w:hAnsi="Times New Roman" w:cs="Times New Roman"/>
          <w:i/>
          <w:iCs/>
          <w:u w:val="single"/>
          <w:lang w:eastAsia="hu-HU"/>
        </w:rPr>
        <w:t>vastúlterhelés</w:t>
      </w:r>
    </w:p>
    <w:p w14:paraId="5F0A02DF" w14:textId="28B859CC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kezelést körülbelül 20 egységnyi (megközelítőleg 100 ml/</w:t>
      </w:r>
      <w:r w:rsidR="00E32D5F">
        <w:rPr>
          <w:rFonts w:ascii="Times New Roman" w:eastAsia="Times New Roman" w:hAnsi="Times New Roman" w:cs="Times New Roman"/>
          <w:lang w:eastAsia="hu-HU"/>
        </w:rPr>
        <w:t>tt</w:t>
      </w:r>
      <w:r w:rsidRPr="002A479B">
        <w:rPr>
          <w:rFonts w:ascii="Times New Roman" w:eastAsia="Times New Roman" w:hAnsi="Times New Roman" w:cs="Times New Roman"/>
          <w:lang w:eastAsia="hu-HU"/>
        </w:rPr>
        <w:t>kg) vörösvértest-koncentrátum transzfúzióját követően, illetve abban az esetben javasolt megkezdeni, ha a klinikai monitorozás krónikus vastúlterhelésre utal (pl. szérumferritin &gt; 1000 mikrogramm/l). A szükséges dózist meg kell határozni (mg/ttkg-ban), majd a legközelebbi, egész tablettában megadható mennyiségre kell kerekíteni.</w:t>
      </w:r>
    </w:p>
    <w:p w14:paraId="1E1D1C00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DC7F08F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vaskelátképző</w:t>
      </w:r>
      <w:r w:rsidR="008824E9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kezelés célja a transzfúziók során a szervezetbe kerülő vas eltávolítása és a vastúlterhelés szükség szerinti csökkentése.</w:t>
      </w:r>
    </w:p>
    <w:p w14:paraId="5A647F81" w14:textId="77777777" w:rsid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C7C64BC" w14:textId="77777777" w:rsidR="00EB2D9D" w:rsidRPr="009C6547" w:rsidRDefault="00EB2D9D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9C6547">
        <w:rPr>
          <w:rFonts w:ascii="Times New Roman" w:eastAsia="Times New Roman" w:hAnsi="Times New Roman" w:cs="Times New Roman"/>
          <w:lang w:eastAsia="hu-HU"/>
        </w:rPr>
        <w:t>A túlzott kelátképzés kockázatának minimálisra csökkentése érdekében minden betegnél elővigyázatosság szükséges a kelátképző</w:t>
      </w:r>
      <w:r>
        <w:rPr>
          <w:rFonts w:ascii="Times New Roman" w:eastAsia="Times New Roman" w:hAnsi="Times New Roman" w:cs="Times New Roman"/>
          <w:lang w:eastAsia="hu-HU"/>
        </w:rPr>
        <w:t xml:space="preserve"> kezelés alatt (lásd 4.4 </w:t>
      </w:r>
      <w:r w:rsidRPr="009C6547">
        <w:rPr>
          <w:rFonts w:ascii="Times New Roman" w:eastAsia="Times New Roman" w:hAnsi="Times New Roman" w:cs="Times New Roman"/>
          <w:lang w:eastAsia="hu-HU"/>
        </w:rPr>
        <w:t>pont).</w:t>
      </w:r>
    </w:p>
    <w:p w14:paraId="2B315737" w14:textId="2D754E83" w:rsidR="00EB2D9D" w:rsidRDefault="00EB2D9D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851C153" w14:textId="6F6A4A6F" w:rsidR="00854A8F" w:rsidRDefault="00854A8F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854A8F">
        <w:rPr>
          <w:rFonts w:ascii="Times New Roman" w:eastAsiaTheme="minorEastAsia" w:hAnsi="Times New Roman" w:cs="Times New Roman"/>
          <w:lang w:eastAsia="hu-HU"/>
        </w:rPr>
        <w:t>Az EU-ban filmtabletta és diszpergálódó tabletta formájában érhetők el deferaziroxot tartalmazó gyógyszerek, amelyek különféle márkanevek alatt</w:t>
      </w:r>
      <w:r>
        <w:rPr>
          <w:rFonts w:ascii="Times New Roman" w:eastAsiaTheme="minorEastAsia" w:hAnsi="Times New Roman" w:cs="Times New Roman"/>
          <w:lang w:eastAsia="hu-HU"/>
        </w:rPr>
        <w:t xml:space="preserve"> kerülnek forgalomba.</w:t>
      </w:r>
      <w:r w:rsidRPr="00854A8F">
        <w:rPr>
          <w:rFonts w:ascii="Times New Roman" w:eastAsiaTheme="minorEastAsia" w:hAnsi="Times New Roman" w:cs="Times New Roman"/>
          <w:lang w:eastAsia="hu-HU"/>
        </w:rPr>
        <w:t xml:space="preserve"> A farmakokinetikai profilok eltérései miatt a</w:t>
      </w:r>
      <w:r>
        <w:rPr>
          <w:rFonts w:ascii="Times New Roman" w:eastAsiaTheme="minorEastAsia" w:hAnsi="Times New Roman" w:cs="Times New Roman"/>
          <w:lang w:eastAsia="hu-HU"/>
        </w:rPr>
        <w:t xml:space="preserve"> </w:t>
      </w:r>
      <w:r w:rsidR="00E400E5">
        <w:rPr>
          <w:rFonts w:ascii="Times New Roman" w:eastAsiaTheme="minorEastAsia" w:hAnsi="Times New Roman" w:cs="Times New Roman"/>
          <w:lang w:eastAsia="hu-HU"/>
        </w:rPr>
        <w:t xml:space="preserve">deferazirox </w:t>
      </w:r>
      <w:r w:rsidRPr="00854A8F">
        <w:rPr>
          <w:rFonts w:ascii="Times New Roman" w:eastAsiaTheme="minorEastAsia" w:hAnsi="Times New Roman" w:cs="Times New Roman"/>
          <w:lang w:eastAsia="hu-HU"/>
        </w:rPr>
        <w:t xml:space="preserve">filmtablettából 30%-kal kisebb dózis szükséges </w:t>
      </w:r>
      <w:r>
        <w:rPr>
          <w:rFonts w:ascii="Times New Roman" w:eastAsiaTheme="minorEastAsia" w:hAnsi="Times New Roman" w:cs="Times New Roman"/>
          <w:lang w:eastAsia="hu-HU"/>
        </w:rPr>
        <w:t xml:space="preserve">a </w:t>
      </w:r>
      <w:r w:rsidR="00E400E5">
        <w:rPr>
          <w:rFonts w:ascii="Times New Roman" w:eastAsiaTheme="minorEastAsia" w:hAnsi="Times New Roman" w:cs="Times New Roman"/>
          <w:lang w:eastAsia="hu-HU"/>
        </w:rPr>
        <w:t xml:space="preserve">deferazirox </w:t>
      </w:r>
      <w:r w:rsidRPr="00854A8F">
        <w:rPr>
          <w:rFonts w:ascii="Times New Roman" w:eastAsiaTheme="minorEastAsia" w:hAnsi="Times New Roman" w:cs="Times New Roman"/>
          <w:lang w:eastAsia="hu-HU"/>
        </w:rPr>
        <w:t>diszpergálódó tabletta javasolt adagjához képest (lásd 5.1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854A8F">
        <w:rPr>
          <w:rFonts w:ascii="Times New Roman" w:eastAsiaTheme="minorEastAsia" w:hAnsi="Times New Roman" w:cs="Times New Roman"/>
          <w:lang w:eastAsia="hu-HU"/>
        </w:rPr>
        <w:t>pont).</w:t>
      </w:r>
    </w:p>
    <w:p w14:paraId="5BB689C5" w14:textId="77777777" w:rsidR="00E32D5F" w:rsidRDefault="00E32D5F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773EA0E" w14:textId="4F8FDFD3" w:rsidR="002A479B" w:rsidRDefault="002A479B" w:rsidP="00E32D5F">
      <w:pPr>
        <w:keepNext/>
        <w:tabs>
          <w:tab w:val="left" w:pos="1140"/>
        </w:tabs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bookmarkStart w:id="2" w:name="page25"/>
      <w:bookmarkEnd w:id="2"/>
      <w:r w:rsidRPr="002A479B">
        <w:rPr>
          <w:rFonts w:ascii="Times New Roman" w:eastAsia="Times New Roman" w:hAnsi="Times New Roman" w:cs="Times New Roman"/>
          <w:u w:val="single"/>
          <w:lang w:eastAsia="hu-HU"/>
        </w:rPr>
        <w:t>1.</w:t>
      </w:r>
      <w:r w:rsidR="00E32D5F">
        <w:rPr>
          <w:rFonts w:ascii="Times New Roman" w:eastAsia="Times New Roman" w:hAnsi="Times New Roman" w:cs="Times New Roman"/>
          <w:u w:val="single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u w:val="single"/>
          <w:lang w:eastAsia="hu-HU"/>
        </w:rPr>
        <w:t>táblázat</w:t>
      </w:r>
      <w:r w:rsidRPr="002A479B">
        <w:rPr>
          <w:rFonts w:ascii="Times New Roman" w:eastAsiaTheme="minorEastAsia" w:hAnsi="Times New Roman" w:cs="Times New Roman"/>
          <w:lang w:eastAsia="hu-HU"/>
        </w:rPr>
        <w:tab/>
      </w:r>
      <w:r w:rsidRPr="002A479B">
        <w:rPr>
          <w:rFonts w:ascii="Times New Roman" w:eastAsia="Times New Roman" w:hAnsi="Times New Roman" w:cs="Times New Roman"/>
          <w:lang w:eastAsia="hu-HU"/>
        </w:rPr>
        <w:t>Javasolt dózisok a transzfúzió okozta vastúlterhelés esetén</w:t>
      </w:r>
    </w:p>
    <w:p w14:paraId="1C59CB28" w14:textId="77777777" w:rsidR="00E32D5F" w:rsidRPr="002A479B" w:rsidRDefault="00E32D5F" w:rsidP="00E32D5F">
      <w:pPr>
        <w:keepNext/>
        <w:tabs>
          <w:tab w:val="left" w:pos="1140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tbl>
      <w:tblPr>
        <w:tblW w:w="96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1600"/>
        <w:gridCol w:w="1900"/>
        <w:gridCol w:w="1980"/>
        <w:gridCol w:w="1920"/>
        <w:gridCol w:w="2220"/>
      </w:tblGrid>
      <w:tr w:rsidR="002A479B" w:rsidRPr="002A479B" w14:paraId="1FBAB100" w14:textId="77777777" w:rsidTr="002B7B6F">
        <w:trPr>
          <w:trHeight w:val="251"/>
        </w:trPr>
        <w:tc>
          <w:tcPr>
            <w:tcW w:w="20" w:type="dxa"/>
            <w:vAlign w:val="center"/>
          </w:tcPr>
          <w:p w14:paraId="74E6FFA3" w14:textId="77777777" w:rsidR="002A479B" w:rsidRPr="002A479B" w:rsidRDefault="002A479B" w:rsidP="00CE18F9">
            <w:pPr>
              <w:keepNext/>
              <w:keepLine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 w:val="restart"/>
            <w:tcBorders>
              <w:top w:val="single" w:sz="8" w:space="0" w:color="auto"/>
            </w:tcBorders>
            <w:vAlign w:val="center"/>
          </w:tcPr>
          <w:p w14:paraId="5CEA0746" w14:textId="77777777" w:rsidR="002A479B" w:rsidRPr="002A479B" w:rsidRDefault="002A479B" w:rsidP="00CE18F9">
            <w:pPr>
              <w:keepNext/>
              <w:keepLine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 w:val="restart"/>
            <w:tcBorders>
              <w:top w:val="single" w:sz="8" w:space="0" w:color="auto"/>
            </w:tcBorders>
            <w:vAlign w:val="center"/>
          </w:tcPr>
          <w:p w14:paraId="1925FA66" w14:textId="3CA83E41" w:rsidR="002A479B" w:rsidRPr="002A479B" w:rsidRDefault="002A479B" w:rsidP="00CE18F9">
            <w:pPr>
              <w:keepNext/>
              <w:keepLine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Filmtabletta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</w:tcBorders>
            <w:vAlign w:val="center"/>
          </w:tcPr>
          <w:p w14:paraId="6103D918" w14:textId="77777777" w:rsidR="002A479B" w:rsidRPr="002A479B" w:rsidRDefault="002A479B" w:rsidP="00CE18F9">
            <w:pPr>
              <w:keepNext/>
              <w:keepLine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Diszpergálódó tabletta</w:t>
            </w:r>
          </w:p>
        </w:tc>
        <w:tc>
          <w:tcPr>
            <w:tcW w:w="1920" w:type="dxa"/>
            <w:vMerge w:val="restart"/>
            <w:tcBorders>
              <w:top w:val="single" w:sz="8" w:space="0" w:color="auto"/>
            </w:tcBorders>
            <w:vAlign w:val="center"/>
          </w:tcPr>
          <w:p w14:paraId="6BAC56D7" w14:textId="77777777" w:rsidR="002A479B" w:rsidRPr="002A479B" w:rsidRDefault="002A479B" w:rsidP="00CE18F9">
            <w:pPr>
              <w:keepNext/>
              <w:keepLine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Transzfúzió</w:t>
            </w:r>
          </w:p>
        </w:tc>
        <w:tc>
          <w:tcPr>
            <w:tcW w:w="2220" w:type="dxa"/>
            <w:vMerge w:val="restart"/>
            <w:tcBorders>
              <w:top w:val="single" w:sz="8" w:space="0" w:color="auto"/>
            </w:tcBorders>
            <w:vAlign w:val="center"/>
          </w:tcPr>
          <w:p w14:paraId="4D8C703D" w14:textId="77777777" w:rsidR="002A479B" w:rsidRPr="002A479B" w:rsidRDefault="002A479B" w:rsidP="00CE18F9">
            <w:pPr>
              <w:keepNext/>
              <w:keepLine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Szérumferritin</w:t>
            </w:r>
          </w:p>
        </w:tc>
      </w:tr>
      <w:tr w:rsidR="002A479B" w:rsidRPr="002A479B" w14:paraId="4A6B3812" w14:textId="77777777" w:rsidTr="002B7B6F">
        <w:trPr>
          <w:trHeight w:val="245"/>
        </w:trPr>
        <w:tc>
          <w:tcPr>
            <w:tcW w:w="20" w:type="dxa"/>
            <w:vAlign w:val="bottom"/>
          </w:tcPr>
          <w:p w14:paraId="5825027F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tcBorders>
              <w:bottom w:val="single" w:sz="8" w:space="0" w:color="auto"/>
            </w:tcBorders>
            <w:vAlign w:val="bottom"/>
          </w:tcPr>
          <w:p w14:paraId="1EDDB681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tcBorders>
              <w:bottom w:val="single" w:sz="8" w:space="0" w:color="auto"/>
            </w:tcBorders>
            <w:vAlign w:val="bottom"/>
          </w:tcPr>
          <w:p w14:paraId="3AAF29B6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tcBorders>
              <w:bottom w:val="single" w:sz="8" w:space="0" w:color="auto"/>
            </w:tcBorders>
            <w:vAlign w:val="bottom"/>
          </w:tcPr>
          <w:p w14:paraId="6CE00375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tcBorders>
              <w:bottom w:val="single" w:sz="8" w:space="0" w:color="auto"/>
            </w:tcBorders>
            <w:vAlign w:val="bottom"/>
          </w:tcPr>
          <w:p w14:paraId="68F17F43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</w:tcBorders>
            <w:vAlign w:val="bottom"/>
          </w:tcPr>
          <w:p w14:paraId="13AC0C94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72ACA85D" w14:textId="77777777" w:rsidTr="002B7B6F">
        <w:trPr>
          <w:trHeight w:val="230"/>
        </w:trPr>
        <w:tc>
          <w:tcPr>
            <w:tcW w:w="20" w:type="dxa"/>
            <w:vAlign w:val="bottom"/>
          </w:tcPr>
          <w:p w14:paraId="0E52EE1F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 w:val="restart"/>
          </w:tcPr>
          <w:p w14:paraId="1E85DE1A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Kezdő dózis</w:t>
            </w:r>
          </w:p>
        </w:tc>
        <w:tc>
          <w:tcPr>
            <w:tcW w:w="1900" w:type="dxa"/>
            <w:vMerge w:val="restart"/>
          </w:tcPr>
          <w:p w14:paraId="10A63FD3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14 mg/ttkg/nap</w:t>
            </w:r>
          </w:p>
        </w:tc>
        <w:tc>
          <w:tcPr>
            <w:tcW w:w="1980" w:type="dxa"/>
            <w:vMerge w:val="restart"/>
          </w:tcPr>
          <w:p w14:paraId="54EB33DA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20 mg/ttkg/nap</w:t>
            </w:r>
          </w:p>
        </w:tc>
        <w:tc>
          <w:tcPr>
            <w:tcW w:w="1920" w:type="dxa"/>
            <w:vMerge w:val="restart"/>
          </w:tcPr>
          <w:p w14:paraId="5E3126DB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20 egység (körülbelül 100 ml/ttkg) vörösvértest-koncentrátum után</w:t>
            </w:r>
          </w:p>
        </w:tc>
        <w:tc>
          <w:tcPr>
            <w:tcW w:w="2220" w:type="dxa"/>
            <w:vMerge w:val="restart"/>
          </w:tcPr>
          <w:p w14:paraId="1EAC98A5" w14:textId="77777777" w:rsidR="002A479B" w:rsidRPr="002A479B" w:rsidRDefault="002A479B" w:rsidP="00CE18F9">
            <w:pPr>
              <w:keepNext/>
              <w:keepLines/>
              <w:spacing w:after="0" w:line="240" w:lineRule="auto"/>
              <w:ind w:left="88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vagy &gt; 1000 </w:t>
            </w:r>
            <w:r w:rsidR="00C45C06">
              <w:rPr>
                <w:rFonts w:ascii="Times New Roman" w:eastAsia="Times New Roman" w:hAnsi="Times New Roman" w:cs="Times New Roman"/>
                <w:lang w:eastAsia="hu-HU"/>
              </w:rPr>
              <w:t>mikrogramm</w:t>
            </w: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/l</w:t>
            </w:r>
          </w:p>
          <w:p w14:paraId="5E68B9CC" w14:textId="77777777" w:rsidR="002A479B" w:rsidRPr="002A479B" w:rsidRDefault="002A479B" w:rsidP="00CE18F9">
            <w:pPr>
              <w:keepNext/>
              <w:keepLines/>
              <w:spacing w:after="0" w:line="240" w:lineRule="auto"/>
              <w:ind w:left="88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3BBA80A2" w14:textId="77777777" w:rsidTr="002B7B6F">
        <w:trPr>
          <w:trHeight w:val="241"/>
        </w:trPr>
        <w:tc>
          <w:tcPr>
            <w:tcW w:w="20" w:type="dxa"/>
            <w:vAlign w:val="bottom"/>
          </w:tcPr>
          <w:p w14:paraId="64C3EF25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4BBA45EB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vAlign w:val="bottom"/>
          </w:tcPr>
          <w:p w14:paraId="44191C4A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vAlign w:val="bottom"/>
          </w:tcPr>
          <w:p w14:paraId="125F2D82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vAlign w:val="bottom"/>
          </w:tcPr>
          <w:p w14:paraId="686199E8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vAlign w:val="bottom"/>
          </w:tcPr>
          <w:p w14:paraId="035A56A4" w14:textId="77777777" w:rsidR="002A479B" w:rsidRPr="002A479B" w:rsidRDefault="002A479B" w:rsidP="00CE18F9">
            <w:pPr>
              <w:keepNext/>
              <w:keepLines/>
              <w:spacing w:after="0" w:line="240" w:lineRule="auto"/>
              <w:ind w:left="230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54F13DD4" w14:textId="77777777" w:rsidTr="002B7B6F">
        <w:trPr>
          <w:trHeight w:val="242"/>
        </w:trPr>
        <w:tc>
          <w:tcPr>
            <w:tcW w:w="20" w:type="dxa"/>
            <w:vAlign w:val="bottom"/>
          </w:tcPr>
          <w:p w14:paraId="7CE5A362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10B9F352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vAlign w:val="bottom"/>
          </w:tcPr>
          <w:p w14:paraId="48B8490F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vAlign w:val="bottom"/>
          </w:tcPr>
          <w:p w14:paraId="60D7AE19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vAlign w:val="bottom"/>
          </w:tcPr>
          <w:p w14:paraId="4D3ED344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vAlign w:val="bottom"/>
          </w:tcPr>
          <w:p w14:paraId="7E3BBDE7" w14:textId="77777777" w:rsidR="002A479B" w:rsidRPr="002A479B" w:rsidRDefault="002A479B" w:rsidP="00CE18F9">
            <w:pPr>
              <w:keepNext/>
              <w:keepLines/>
              <w:spacing w:after="0" w:line="240" w:lineRule="auto"/>
              <w:ind w:left="230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6CAA91A3" w14:textId="77777777" w:rsidTr="002B7B6F">
        <w:trPr>
          <w:trHeight w:val="245"/>
        </w:trPr>
        <w:tc>
          <w:tcPr>
            <w:tcW w:w="20" w:type="dxa"/>
            <w:vAlign w:val="bottom"/>
          </w:tcPr>
          <w:p w14:paraId="45DDD20B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69CFDCA4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vAlign w:val="bottom"/>
          </w:tcPr>
          <w:p w14:paraId="665067F4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vAlign w:val="bottom"/>
          </w:tcPr>
          <w:p w14:paraId="35B0D674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vAlign w:val="bottom"/>
          </w:tcPr>
          <w:p w14:paraId="5C1FFFAC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vAlign w:val="bottom"/>
          </w:tcPr>
          <w:p w14:paraId="52A05A07" w14:textId="77777777" w:rsidR="002A479B" w:rsidRPr="002A479B" w:rsidRDefault="002A479B" w:rsidP="00CE18F9">
            <w:pPr>
              <w:keepNext/>
              <w:keepLines/>
              <w:spacing w:after="0" w:line="240" w:lineRule="auto"/>
              <w:ind w:left="230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6F0AC0C5" w14:textId="77777777" w:rsidTr="002B7B6F">
        <w:trPr>
          <w:trHeight w:val="242"/>
        </w:trPr>
        <w:tc>
          <w:tcPr>
            <w:tcW w:w="20" w:type="dxa"/>
            <w:vAlign w:val="bottom"/>
          </w:tcPr>
          <w:p w14:paraId="66A204E9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70A351A8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vAlign w:val="bottom"/>
          </w:tcPr>
          <w:p w14:paraId="44809344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vAlign w:val="bottom"/>
          </w:tcPr>
          <w:p w14:paraId="139E6DA6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vAlign w:val="bottom"/>
          </w:tcPr>
          <w:p w14:paraId="3FE139E5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vAlign w:val="bottom"/>
          </w:tcPr>
          <w:p w14:paraId="3E76CFB2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236F1919" w14:textId="77777777" w:rsidTr="002B7B6F">
        <w:trPr>
          <w:trHeight w:val="246"/>
        </w:trPr>
        <w:tc>
          <w:tcPr>
            <w:tcW w:w="20" w:type="dxa"/>
            <w:vAlign w:val="bottom"/>
          </w:tcPr>
          <w:p w14:paraId="0A922EFE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 w:val="restart"/>
          </w:tcPr>
          <w:p w14:paraId="25218FA1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Alternatív</w:t>
            </w:r>
          </w:p>
          <w:p w14:paraId="138FE6A9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kezdő dózisok</w:t>
            </w:r>
          </w:p>
        </w:tc>
        <w:tc>
          <w:tcPr>
            <w:tcW w:w="1900" w:type="dxa"/>
            <w:vMerge w:val="restart"/>
          </w:tcPr>
          <w:p w14:paraId="1290ACB3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21 mg/ttkg/nap</w:t>
            </w:r>
          </w:p>
        </w:tc>
        <w:tc>
          <w:tcPr>
            <w:tcW w:w="1980" w:type="dxa"/>
            <w:vMerge w:val="restart"/>
          </w:tcPr>
          <w:p w14:paraId="533E178F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30 mg/ttkg/nap</w:t>
            </w:r>
          </w:p>
        </w:tc>
        <w:tc>
          <w:tcPr>
            <w:tcW w:w="1920" w:type="dxa"/>
            <w:vMerge w:val="restart"/>
          </w:tcPr>
          <w:p w14:paraId="101A9C33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&gt; 14 ml/ttkg/hónap vörösvértest-koncentrátum (kb. &gt; 4 egység/hónap egy felnőtt esetén)</w:t>
            </w:r>
          </w:p>
        </w:tc>
        <w:tc>
          <w:tcPr>
            <w:tcW w:w="2220" w:type="dxa"/>
            <w:vMerge w:val="restart"/>
            <w:vAlign w:val="bottom"/>
          </w:tcPr>
          <w:p w14:paraId="67E6FC6F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1F084ED8" w14:textId="77777777" w:rsidTr="002B7B6F">
        <w:trPr>
          <w:trHeight w:val="245"/>
        </w:trPr>
        <w:tc>
          <w:tcPr>
            <w:tcW w:w="20" w:type="dxa"/>
            <w:vAlign w:val="bottom"/>
          </w:tcPr>
          <w:p w14:paraId="7822A7B3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64887323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vAlign w:val="bottom"/>
          </w:tcPr>
          <w:p w14:paraId="61B60252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vAlign w:val="bottom"/>
          </w:tcPr>
          <w:p w14:paraId="1E83E041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vAlign w:val="bottom"/>
          </w:tcPr>
          <w:p w14:paraId="443ED6A2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vAlign w:val="bottom"/>
          </w:tcPr>
          <w:p w14:paraId="39BCE775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16B63017" w14:textId="77777777" w:rsidTr="002B7B6F">
        <w:trPr>
          <w:trHeight w:val="241"/>
        </w:trPr>
        <w:tc>
          <w:tcPr>
            <w:tcW w:w="20" w:type="dxa"/>
            <w:vAlign w:val="bottom"/>
          </w:tcPr>
          <w:p w14:paraId="1CC5780E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5E9B84C8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vAlign w:val="bottom"/>
          </w:tcPr>
          <w:p w14:paraId="0F41C261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vAlign w:val="bottom"/>
          </w:tcPr>
          <w:p w14:paraId="68CAAEEB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vAlign w:val="bottom"/>
          </w:tcPr>
          <w:p w14:paraId="42A5699A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vAlign w:val="bottom"/>
          </w:tcPr>
          <w:p w14:paraId="5ED118ED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27501876" w14:textId="77777777" w:rsidTr="002B7B6F">
        <w:trPr>
          <w:trHeight w:val="242"/>
        </w:trPr>
        <w:tc>
          <w:tcPr>
            <w:tcW w:w="20" w:type="dxa"/>
            <w:vAlign w:val="bottom"/>
          </w:tcPr>
          <w:p w14:paraId="665F9CB9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7D0C5226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vAlign w:val="bottom"/>
          </w:tcPr>
          <w:p w14:paraId="5CB8800D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vAlign w:val="bottom"/>
          </w:tcPr>
          <w:p w14:paraId="2D15637E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vAlign w:val="bottom"/>
          </w:tcPr>
          <w:p w14:paraId="28969A6A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vAlign w:val="bottom"/>
          </w:tcPr>
          <w:p w14:paraId="34AE8C7B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52ECC5C7" w14:textId="77777777" w:rsidTr="002B7B6F">
        <w:trPr>
          <w:trHeight w:val="245"/>
        </w:trPr>
        <w:tc>
          <w:tcPr>
            <w:tcW w:w="20" w:type="dxa"/>
            <w:vAlign w:val="bottom"/>
          </w:tcPr>
          <w:p w14:paraId="46C72F2C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62698FB0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vAlign w:val="bottom"/>
          </w:tcPr>
          <w:p w14:paraId="06BA3193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vAlign w:val="bottom"/>
          </w:tcPr>
          <w:p w14:paraId="300C97B0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vAlign w:val="bottom"/>
          </w:tcPr>
          <w:p w14:paraId="6E24191F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vAlign w:val="bottom"/>
          </w:tcPr>
          <w:p w14:paraId="79E4A076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45C0B592" w14:textId="77777777" w:rsidTr="002B7B6F">
        <w:trPr>
          <w:trHeight w:val="245"/>
        </w:trPr>
        <w:tc>
          <w:tcPr>
            <w:tcW w:w="20" w:type="dxa"/>
            <w:vAlign w:val="bottom"/>
          </w:tcPr>
          <w:p w14:paraId="606C4752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 w:val="restart"/>
          </w:tcPr>
          <w:p w14:paraId="34F90170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 w:val="restart"/>
          </w:tcPr>
          <w:p w14:paraId="4FB8E7B3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7 mg/ttkg/nap</w:t>
            </w:r>
          </w:p>
        </w:tc>
        <w:tc>
          <w:tcPr>
            <w:tcW w:w="1980" w:type="dxa"/>
            <w:vMerge w:val="restart"/>
          </w:tcPr>
          <w:p w14:paraId="039D98D8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10 mg/ttkg/nap</w:t>
            </w:r>
          </w:p>
        </w:tc>
        <w:tc>
          <w:tcPr>
            <w:tcW w:w="1920" w:type="dxa"/>
            <w:vMerge w:val="restart"/>
          </w:tcPr>
          <w:p w14:paraId="4FFD4FA3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&lt; 7 ml/ttkg/hónap vörösvértest-koncentrátum (kb. &lt; 2 egység/hónap egy felnőtt esetén)</w:t>
            </w:r>
          </w:p>
        </w:tc>
        <w:tc>
          <w:tcPr>
            <w:tcW w:w="2220" w:type="dxa"/>
            <w:vMerge w:val="restart"/>
          </w:tcPr>
          <w:p w14:paraId="43E510C2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4AD9D3F9" w14:textId="77777777" w:rsidTr="002B7B6F">
        <w:trPr>
          <w:trHeight w:val="242"/>
        </w:trPr>
        <w:tc>
          <w:tcPr>
            <w:tcW w:w="20" w:type="dxa"/>
            <w:vAlign w:val="bottom"/>
          </w:tcPr>
          <w:p w14:paraId="0D028CBE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35DDFB50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vAlign w:val="bottom"/>
          </w:tcPr>
          <w:p w14:paraId="1FFEFEEF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vAlign w:val="bottom"/>
          </w:tcPr>
          <w:p w14:paraId="1486EC9F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vAlign w:val="bottom"/>
          </w:tcPr>
          <w:p w14:paraId="1730426B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vAlign w:val="bottom"/>
          </w:tcPr>
          <w:p w14:paraId="3170AE41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07D4E870" w14:textId="77777777" w:rsidTr="002B7B6F">
        <w:trPr>
          <w:trHeight w:val="245"/>
        </w:trPr>
        <w:tc>
          <w:tcPr>
            <w:tcW w:w="20" w:type="dxa"/>
            <w:vAlign w:val="bottom"/>
          </w:tcPr>
          <w:p w14:paraId="21A5C190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6EFF7D70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vAlign w:val="bottom"/>
          </w:tcPr>
          <w:p w14:paraId="5A7C2081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vAlign w:val="bottom"/>
          </w:tcPr>
          <w:p w14:paraId="66F7E794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vAlign w:val="bottom"/>
          </w:tcPr>
          <w:p w14:paraId="4F7BF620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vAlign w:val="bottom"/>
          </w:tcPr>
          <w:p w14:paraId="619E0FE7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0EF35CB5" w14:textId="77777777" w:rsidTr="002B7B6F">
        <w:trPr>
          <w:trHeight w:val="242"/>
        </w:trPr>
        <w:tc>
          <w:tcPr>
            <w:tcW w:w="20" w:type="dxa"/>
            <w:vAlign w:val="bottom"/>
          </w:tcPr>
          <w:p w14:paraId="0DE5CA29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43894695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vAlign w:val="bottom"/>
          </w:tcPr>
          <w:p w14:paraId="0465AB1B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vAlign w:val="bottom"/>
          </w:tcPr>
          <w:p w14:paraId="4B61F0A4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vAlign w:val="bottom"/>
          </w:tcPr>
          <w:p w14:paraId="0759A883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vAlign w:val="bottom"/>
          </w:tcPr>
          <w:p w14:paraId="15A25068" w14:textId="77777777" w:rsidR="002A479B" w:rsidRPr="002A479B" w:rsidRDefault="002A479B" w:rsidP="00CE18F9">
            <w:pPr>
              <w:keepNext/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5121FA94" w14:textId="77777777" w:rsidTr="002B7B6F">
        <w:trPr>
          <w:trHeight w:val="245"/>
        </w:trPr>
        <w:tc>
          <w:tcPr>
            <w:tcW w:w="20" w:type="dxa"/>
            <w:vAlign w:val="bottom"/>
          </w:tcPr>
          <w:p w14:paraId="293844B3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6EB062AA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vAlign w:val="bottom"/>
          </w:tcPr>
          <w:p w14:paraId="7FC5F337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vAlign w:val="bottom"/>
          </w:tcPr>
          <w:p w14:paraId="68106EB4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vAlign w:val="bottom"/>
          </w:tcPr>
          <w:p w14:paraId="5973D49E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vAlign w:val="bottom"/>
          </w:tcPr>
          <w:p w14:paraId="4BB09A73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0F4C110C" w14:textId="77777777" w:rsidTr="002B7B6F">
        <w:trPr>
          <w:trHeight w:val="242"/>
        </w:trPr>
        <w:tc>
          <w:tcPr>
            <w:tcW w:w="20" w:type="dxa"/>
            <w:vAlign w:val="bottom"/>
          </w:tcPr>
          <w:p w14:paraId="1F96E093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7A3234F3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vAlign w:val="bottom"/>
          </w:tcPr>
          <w:p w14:paraId="73264E67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vAlign w:val="bottom"/>
          </w:tcPr>
          <w:p w14:paraId="1F9AB6A3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vAlign w:val="bottom"/>
          </w:tcPr>
          <w:p w14:paraId="0D5D5061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vAlign w:val="bottom"/>
          </w:tcPr>
          <w:p w14:paraId="4FE13F73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4D3A292B" w14:textId="77777777" w:rsidTr="002B7B6F">
        <w:trPr>
          <w:trHeight w:val="245"/>
        </w:trPr>
        <w:tc>
          <w:tcPr>
            <w:tcW w:w="20" w:type="dxa"/>
            <w:vAlign w:val="bottom"/>
          </w:tcPr>
          <w:p w14:paraId="7436ACE8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Align w:val="bottom"/>
          </w:tcPr>
          <w:p w14:paraId="70943F48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A</w:t>
            </w:r>
          </w:p>
        </w:tc>
        <w:tc>
          <w:tcPr>
            <w:tcW w:w="1900" w:type="dxa"/>
            <w:vAlign w:val="bottom"/>
          </w:tcPr>
          <w:p w14:paraId="024CA8DE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A deferoxamin</w:t>
            </w:r>
          </w:p>
        </w:tc>
        <w:tc>
          <w:tcPr>
            <w:tcW w:w="1980" w:type="dxa"/>
            <w:vAlign w:val="bottom"/>
          </w:tcPr>
          <w:p w14:paraId="51F6FBE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A deferoxamin</w:t>
            </w:r>
          </w:p>
        </w:tc>
        <w:tc>
          <w:tcPr>
            <w:tcW w:w="1920" w:type="dxa"/>
            <w:vAlign w:val="bottom"/>
          </w:tcPr>
          <w:p w14:paraId="0B2BA48C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Align w:val="bottom"/>
          </w:tcPr>
          <w:p w14:paraId="24543320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75833D70" w14:textId="77777777" w:rsidTr="002B7B6F">
        <w:trPr>
          <w:trHeight w:val="242"/>
        </w:trPr>
        <w:tc>
          <w:tcPr>
            <w:tcW w:w="20" w:type="dxa"/>
            <w:vAlign w:val="bottom"/>
          </w:tcPr>
          <w:p w14:paraId="4B4A2898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Align w:val="bottom"/>
          </w:tcPr>
          <w:p w14:paraId="77041E1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deferoxaminnal</w:t>
            </w:r>
          </w:p>
        </w:tc>
        <w:tc>
          <w:tcPr>
            <w:tcW w:w="1900" w:type="dxa"/>
            <w:vAlign w:val="bottom"/>
          </w:tcPr>
          <w:p w14:paraId="74044900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dózis egyharmada</w:t>
            </w:r>
          </w:p>
        </w:tc>
        <w:tc>
          <w:tcPr>
            <w:tcW w:w="1980" w:type="dxa"/>
            <w:vAlign w:val="bottom"/>
          </w:tcPr>
          <w:p w14:paraId="6371789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dózis fele</w:t>
            </w:r>
          </w:p>
        </w:tc>
        <w:tc>
          <w:tcPr>
            <w:tcW w:w="1920" w:type="dxa"/>
            <w:vAlign w:val="bottom"/>
          </w:tcPr>
          <w:p w14:paraId="132D035E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Align w:val="bottom"/>
          </w:tcPr>
          <w:p w14:paraId="40E6E8F1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14ACAC9C" w14:textId="77777777" w:rsidTr="002B7B6F">
        <w:trPr>
          <w:trHeight w:val="245"/>
        </w:trPr>
        <w:tc>
          <w:tcPr>
            <w:tcW w:w="20" w:type="dxa"/>
            <w:vAlign w:val="bottom"/>
          </w:tcPr>
          <w:p w14:paraId="46D8F45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Align w:val="bottom"/>
          </w:tcPr>
          <w:p w14:paraId="0C23653C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jól kezelt</w:t>
            </w:r>
          </w:p>
        </w:tc>
        <w:tc>
          <w:tcPr>
            <w:tcW w:w="1900" w:type="dxa"/>
            <w:vAlign w:val="bottom"/>
          </w:tcPr>
          <w:p w14:paraId="44EF7348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Align w:val="bottom"/>
          </w:tcPr>
          <w:p w14:paraId="31266BBF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Align w:val="bottom"/>
          </w:tcPr>
          <w:p w14:paraId="2A004904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Align w:val="bottom"/>
          </w:tcPr>
          <w:p w14:paraId="67FDF4FE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555ECB7D" w14:textId="77777777" w:rsidTr="002B7B6F">
        <w:trPr>
          <w:trHeight w:val="246"/>
        </w:trPr>
        <w:tc>
          <w:tcPr>
            <w:tcW w:w="20" w:type="dxa"/>
            <w:vAlign w:val="bottom"/>
          </w:tcPr>
          <w:p w14:paraId="3F66AB92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vAlign w:val="bottom"/>
          </w:tcPr>
          <w:p w14:paraId="60D0E424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betegeknél</w:t>
            </w:r>
          </w:p>
        </w:tc>
        <w:tc>
          <w:tcPr>
            <w:tcW w:w="1900" w:type="dxa"/>
            <w:tcBorders>
              <w:bottom w:val="single" w:sz="8" w:space="0" w:color="auto"/>
            </w:tcBorders>
            <w:vAlign w:val="bottom"/>
          </w:tcPr>
          <w:p w14:paraId="48CD2CB1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14:paraId="0238668F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tcBorders>
              <w:bottom w:val="single" w:sz="8" w:space="0" w:color="auto"/>
            </w:tcBorders>
            <w:vAlign w:val="bottom"/>
          </w:tcPr>
          <w:p w14:paraId="48C330C6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tcBorders>
              <w:bottom w:val="single" w:sz="8" w:space="0" w:color="auto"/>
            </w:tcBorders>
            <w:vAlign w:val="bottom"/>
          </w:tcPr>
          <w:p w14:paraId="0332F7F3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55E73120" w14:textId="77777777" w:rsidTr="002B7B6F">
        <w:trPr>
          <w:trHeight w:val="237"/>
        </w:trPr>
        <w:tc>
          <w:tcPr>
            <w:tcW w:w="20" w:type="dxa"/>
            <w:vAlign w:val="bottom"/>
          </w:tcPr>
          <w:p w14:paraId="30B16CAE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vAlign w:val="bottom"/>
          </w:tcPr>
          <w:p w14:paraId="21A319C4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Monitorozás</w:t>
            </w:r>
          </w:p>
        </w:tc>
        <w:tc>
          <w:tcPr>
            <w:tcW w:w="1900" w:type="dxa"/>
            <w:tcBorders>
              <w:bottom w:val="single" w:sz="8" w:space="0" w:color="auto"/>
            </w:tcBorders>
            <w:vAlign w:val="bottom"/>
          </w:tcPr>
          <w:p w14:paraId="092043C8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14:paraId="35D4FF63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tcBorders>
              <w:bottom w:val="single" w:sz="8" w:space="0" w:color="auto"/>
            </w:tcBorders>
            <w:vAlign w:val="bottom"/>
          </w:tcPr>
          <w:p w14:paraId="4756477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tcBorders>
              <w:bottom w:val="single" w:sz="8" w:space="0" w:color="auto"/>
            </w:tcBorders>
            <w:vAlign w:val="bottom"/>
          </w:tcPr>
          <w:p w14:paraId="54016E09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Havonta</w:t>
            </w:r>
          </w:p>
        </w:tc>
      </w:tr>
      <w:tr w:rsidR="002A479B" w:rsidRPr="002A479B" w14:paraId="2523777A" w14:textId="77777777" w:rsidTr="002B7B6F">
        <w:trPr>
          <w:trHeight w:val="233"/>
        </w:trPr>
        <w:tc>
          <w:tcPr>
            <w:tcW w:w="20" w:type="dxa"/>
            <w:vAlign w:val="bottom"/>
          </w:tcPr>
          <w:p w14:paraId="21547B02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Align w:val="bottom"/>
          </w:tcPr>
          <w:p w14:paraId="40FFC229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Kitűzött</w:t>
            </w:r>
          </w:p>
        </w:tc>
        <w:tc>
          <w:tcPr>
            <w:tcW w:w="1900" w:type="dxa"/>
            <w:vAlign w:val="bottom"/>
          </w:tcPr>
          <w:p w14:paraId="2EC86ED8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Align w:val="bottom"/>
          </w:tcPr>
          <w:p w14:paraId="5A51270A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Align w:val="bottom"/>
          </w:tcPr>
          <w:p w14:paraId="76538AEA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Align w:val="bottom"/>
          </w:tcPr>
          <w:p w14:paraId="7E051C81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500 – 1000 </w:t>
            </w:r>
            <w:r w:rsidR="00C45C06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mikro</w:t>
            </w:r>
            <w:r w:rsidR="00C45C06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softHyphen/>
              <w:t>gramm</w:t>
            </w: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/l</w:t>
            </w:r>
          </w:p>
        </w:tc>
      </w:tr>
      <w:tr w:rsidR="002A479B" w:rsidRPr="002A479B" w14:paraId="0F6C4CCD" w14:textId="77777777" w:rsidTr="002B7B6F">
        <w:trPr>
          <w:trHeight w:val="244"/>
        </w:trPr>
        <w:tc>
          <w:tcPr>
            <w:tcW w:w="20" w:type="dxa"/>
            <w:vAlign w:val="bottom"/>
          </w:tcPr>
          <w:p w14:paraId="5CAB4B7A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vAlign w:val="bottom"/>
          </w:tcPr>
          <w:p w14:paraId="327B5E17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tartomány</w:t>
            </w:r>
          </w:p>
        </w:tc>
        <w:tc>
          <w:tcPr>
            <w:tcW w:w="1900" w:type="dxa"/>
            <w:tcBorders>
              <w:bottom w:val="single" w:sz="8" w:space="0" w:color="auto"/>
            </w:tcBorders>
            <w:vAlign w:val="bottom"/>
          </w:tcPr>
          <w:p w14:paraId="41D558DE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14:paraId="30BF258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tcBorders>
              <w:bottom w:val="single" w:sz="8" w:space="0" w:color="auto"/>
            </w:tcBorders>
            <w:vAlign w:val="bottom"/>
          </w:tcPr>
          <w:p w14:paraId="30105117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tcBorders>
              <w:bottom w:val="single" w:sz="8" w:space="0" w:color="auto"/>
            </w:tcBorders>
            <w:vAlign w:val="bottom"/>
          </w:tcPr>
          <w:p w14:paraId="7D03A20A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0ADF562E" w14:textId="77777777" w:rsidTr="002B7B6F">
        <w:trPr>
          <w:trHeight w:val="235"/>
        </w:trPr>
        <w:tc>
          <w:tcPr>
            <w:tcW w:w="20" w:type="dxa"/>
            <w:vAlign w:val="bottom"/>
          </w:tcPr>
          <w:p w14:paraId="48CB0EFE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tcBorders>
              <w:bottom w:val="single" w:sz="8" w:space="0" w:color="auto"/>
            </w:tcBorders>
            <w:vAlign w:val="bottom"/>
          </w:tcPr>
          <w:p w14:paraId="310AFACB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3880" w:type="dxa"/>
            <w:gridSpan w:val="2"/>
            <w:tcBorders>
              <w:bottom w:val="single" w:sz="8" w:space="0" w:color="auto"/>
            </w:tcBorders>
            <w:vAlign w:val="bottom"/>
          </w:tcPr>
          <w:p w14:paraId="0D441364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tcBorders>
              <w:bottom w:val="single" w:sz="8" w:space="0" w:color="auto"/>
            </w:tcBorders>
            <w:vAlign w:val="bottom"/>
          </w:tcPr>
          <w:p w14:paraId="07A8AE69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tcBorders>
              <w:bottom w:val="single" w:sz="8" w:space="0" w:color="auto"/>
            </w:tcBorders>
            <w:vAlign w:val="bottom"/>
          </w:tcPr>
          <w:p w14:paraId="6D37A5C5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46829830" w14:textId="77777777" w:rsidTr="002B7B6F">
        <w:trPr>
          <w:trHeight w:val="229"/>
        </w:trPr>
        <w:tc>
          <w:tcPr>
            <w:tcW w:w="20" w:type="dxa"/>
            <w:vAlign w:val="bottom"/>
          </w:tcPr>
          <w:p w14:paraId="34F9CD7F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 w:val="restart"/>
          </w:tcPr>
          <w:p w14:paraId="61D534A7" w14:textId="77777777" w:rsidR="005255F0" w:rsidRDefault="002A479B" w:rsidP="00CE18F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Korrigáló lépések</w:t>
            </w: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 xml:space="preserve"> </w:t>
            </w:r>
          </w:p>
          <w:p w14:paraId="6E4D501C" w14:textId="22708DE2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(3</w:t>
            </w:r>
            <w:r w:rsidR="005255F0">
              <w:rPr>
                <w:rFonts w:ascii="Times New Roman" w:eastAsia="Times New Roman" w:hAnsi="Times New Roman" w:cs="Times New Roman"/>
                <w:lang w:eastAsia="hu-HU"/>
              </w:rPr>
              <w:t>–</w:t>
            </w: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6 havonta)</w:t>
            </w:r>
          </w:p>
        </w:tc>
        <w:tc>
          <w:tcPr>
            <w:tcW w:w="3880" w:type="dxa"/>
            <w:gridSpan w:val="2"/>
            <w:vAlign w:val="bottom"/>
          </w:tcPr>
          <w:p w14:paraId="27072D3F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Növelés</w:t>
            </w:r>
          </w:p>
        </w:tc>
        <w:tc>
          <w:tcPr>
            <w:tcW w:w="1920" w:type="dxa"/>
            <w:vAlign w:val="bottom"/>
          </w:tcPr>
          <w:p w14:paraId="595F9317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Align w:val="bottom"/>
          </w:tcPr>
          <w:p w14:paraId="429AC4F4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&gt; 2500 </w:t>
            </w:r>
            <w:r w:rsidR="008F3D90">
              <w:rPr>
                <w:rFonts w:ascii="Times New Roman" w:eastAsia="Times New Roman" w:hAnsi="Times New Roman" w:cs="Times New Roman"/>
                <w:lang w:eastAsia="hu-HU"/>
              </w:rPr>
              <w:t>mikrogramm</w:t>
            </w: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/l</w:t>
            </w:r>
          </w:p>
        </w:tc>
      </w:tr>
      <w:tr w:rsidR="002A479B" w:rsidRPr="002A479B" w14:paraId="40EA64F5" w14:textId="77777777" w:rsidTr="002B7B6F">
        <w:trPr>
          <w:trHeight w:val="242"/>
        </w:trPr>
        <w:tc>
          <w:tcPr>
            <w:tcW w:w="20" w:type="dxa"/>
            <w:vAlign w:val="bottom"/>
          </w:tcPr>
          <w:p w14:paraId="1B153139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170E0BA3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Align w:val="bottom"/>
          </w:tcPr>
          <w:p w14:paraId="10E11AF9" w14:textId="52FFCBED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3,5</w:t>
            </w:r>
            <w:r w:rsidR="00CD131C">
              <w:rPr>
                <w:rFonts w:ascii="Times New Roman" w:eastAsia="Times New Roman" w:hAnsi="Times New Roman" w:cs="Times New Roman"/>
                <w:lang w:eastAsia="hu-HU"/>
              </w:rPr>
              <w:t>–</w:t>
            </w: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7 mg/ttkg/nap</w:t>
            </w:r>
          </w:p>
        </w:tc>
        <w:tc>
          <w:tcPr>
            <w:tcW w:w="1980" w:type="dxa"/>
            <w:vAlign w:val="bottom"/>
          </w:tcPr>
          <w:p w14:paraId="26D4831F" w14:textId="751F6716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Align w:val="bottom"/>
          </w:tcPr>
          <w:p w14:paraId="41B70CBC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Align w:val="bottom"/>
          </w:tcPr>
          <w:p w14:paraId="26706549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46C600A6" w14:textId="77777777" w:rsidTr="002B7B6F">
        <w:trPr>
          <w:trHeight w:val="241"/>
        </w:trPr>
        <w:tc>
          <w:tcPr>
            <w:tcW w:w="20" w:type="dxa"/>
            <w:vAlign w:val="bottom"/>
          </w:tcPr>
          <w:p w14:paraId="7B2FD0C2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7468A6CC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Align w:val="bottom"/>
          </w:tcPr>
          <w:p w14:paraId="6DD3D7EB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legfeljebb</w:t>
            </w:r>
          </w:p>
        </w:tc>
        <w:tc>
          <w:tcPr>
            <w:tcW w:w="1980" w:type="dxa"/>
            <w:vAlign w:val="bottom"/>
          </w:tcPr>
          <w:p w14:paraId="730F3D4A" w14:textId="50C2A85C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Align w:val="bottom"/>
          </w:tcPr>
          <w:p w14:paraId="2AAF47E1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Align w:val="bottom"/>
          </w:tcPr>
          <w:p w14:paraId="2165504B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74D7A6A8" w14:textId="77777777" w:rsidTr="002B7B6F">
        <w:trPr>
          <w:trHeight w:val="248"/>
        </w:trPr>
        <w:tc>
          <w:tcPr>
            <w:tcW w:w="20" w:type="dxa"/>
            <w:vAlign w:val="bottom"/>
          </w:tcPr>
          <w:p w14:paraId="3513AB02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4E94493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tcBorders>
              <w:bottom w:val="single" w:sz="8" w:space="0" w:color="auto"/>
            </w:tcBorders>
            <w:vAlign w:val="bottom"/>
          </w:tcPr>
          <w:p w14:paraId="29CA7703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28 mg/ttkg/nap</w:t>
            </w:r>
          </w:p>
        </w:tc>
        <w:tc>
          <w:tcPr>
            <w:tcW w:w="1980" w:type="dxa"/>
            <w:tcBorders>
              <w:bottom w:val="single" w:sz="8" w:space="0" w:color="auto"/>
            </w:tcBorders>
            <w:vAlign w:val="bottom"/>
          </w:tcPr>
          <w:p w14:paraId="57447D5D" w14:textId="56C1A484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tcBorders>
              <w:bottom w:val="single" w:sz="8" w:space="0" w:color="auto"/>
            </w:tcBorders>
            <w:vAlign w:val="bottom"/>
          </w:tcPr>
          <w:p w14:paraId="798A395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tcBorders>
              <w:bottom w:val="single" w:sz="8" w:space="0" w:color="auto"/>
            </w:tcBorders>
            <w:vAlign w:val="bottom"/>
          </w:tcPr>
          <w:p w14:paraId="46C7AA28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6CC2E75F" w14:textId="77777777" w:rsidTr="002B7B6F">
        <w:trPr>
          <w:trHeight w:val="232"/>
        </w:trPr>
        <w:tc>
          <w:tcPr>
            <w:tcW w:w="20" w:type="dxa"/>
            <w:vAlign w:val="bottom"/>
          </w:tcPr>
          <w:p w14:paraId="10216AFA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6D11BAAE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3880" w:type="dxa"/>
            <w:gridSpan w:val="2"/>
            <w:vAlign w:val="bottom"/>
          </w:tcPr>
          <w:p w14:paraId="5C339873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Csökken</w:t>
            </w:r>
            <w:r w:rsidR="008F3D90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t</w:t>
            </w: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és</w:t>
            </w:r>
          </w:p>
        </w:tc>
        <w:tc>
          <w:tcPr>
            <w:tcW w:w="1920" w:type="dxa"/>
            <w:vAlign w:val="bottom"/>
          </w:tcPr>
          <w:p w14:paraId="426C5BB4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Align w:val="bottom"/>
          </w:tcPr>
          <w:p w14:paraId="5206DFC2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69109E17" w14:textId="77777777" w:rsidTr="002B7B6F">
        <w:trPr>
          <w:trHeight w:val="241"/>
        </w:trPr>
        <w:tc>
          <w:tcPr>
            <w:tcW w:w="20" w:type="dxa"/>
            <w:vAlign w:val="bottom"/>
          </w:tcPr>
          <w:p w14:paraId="0C3315CF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1ED86810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Align w:val="bottom"/>
          </w:tcPr>
          <w:p w14:paraId="6F1CFAB0" w14:textId="2299511C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3,5</w:t>
            </w:r>
            <w:r w:rsidR="00CD131C">
              <w:rPr>
                <w:rFonts w:ascii="Times New Roman" w:eastAsia="Times New Roman" w:hAnsi="Times New Roman" w:cs="Times New Roman"/>
                <w:lang w:eastAsia="hu-HU"/>
              </w:rPr>
              <w:t>–</w:t>
            </w: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7 mg/ttkg/nap</w:t>
            </w:r>
          </w:p>
        </w:tc>
        <w:tc>
          <w:tcPr>
            <w:tcW w:w="1980" w:type="dxa"/>
            <w:vAlign w:val="bottom"/>
          </w:tcPr>
          <w:p w14:paraId="45CA19B7" w14:textId="7926B9A8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Align w:val="bottom"/>
          </w:tcPr>
          <w:p w14:paraId="75494AFB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Align w:val="bottom"/>
          </w:tcPr>
          <w:p w14:paraId="17CE86A8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&lt; 2500 </w:t>
            </w:r>
            <w:r w:rsidR="008F3D90">
              <w:rPr>
                <w:rFonts w:ascii="Times New Roman" w:eastAsia="Times New Roman" w:hAnsi="Times New Roman" w:cs="Times New Roman"/>
                <w:lang w:eastAsia="hu-HU"/>
              </w:rPr>
              <w:t>mikrogramm</w:t>
            </w: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/l</w:t>
            </w:r>
          </w:p>
        </w:tc>
      </w:tr>
      <w:tr w:rsidR="002A479B" w:rsidRPr="002A479B" w14:paraId="62737882" w14:textId="77777777" w:rsidTr="002B7B6F">
        <w:trPr>
          <w:trHeight w:val="245"/>
        </w:trPr>
        <w:tc>
          <w:tcPr>
            <w:tcW w:w="20" w:type="dxa"/>
            <w:vAlign w:val="bottom"/>
          </w:tcPr>
          <w:p w14:paraId="3D8DC800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033E7435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Align w:val="bottom"/>
          </w:tcPr>
          <w:p w14:paraId="0DFCBE51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A &gt; 21 mg/ttkg/nap</w:t>
            </w:r>
          </w:p>
        </w:tc>
        <w:tc>
          <w:tcPr>
            <w:tcW w:w="1980" w:type="dxa"/>
            <w:vAlign w:val="bottom"/>
          </w:tcPr>
          <w:p w14:paraId="341DF196" w14:textId="5DAD5E30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Align w:val="bottom"/>
          </w:tcPr>
          <w:p w14:paraId="7BC9CEE5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Align w:val="bottom"/>
          </w:tcPr>
          <w:p w14:paraId="08132B5E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1830847B" w14:textId="77777777" w:rsidTr="002B7B6F">
        <w:trPr>
          <w:trHeight w:val="242"/>
        </w:trPr>
        <w:tc>
          <w:tcPr>
            <w:tcW w:w="20" w:type="dxa"/>
            <w:vAlign w:val="bottom"/>
          </w:tcPr>
          <w:p w14:paraId="02E2F862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585F8351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Align w:val="bottom"/>
          </w:tcPr>
          <w:p w14:paraId="633DB1B6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dózisokkal kezelt</w:t>
            </w:r>
          </w:p>
        </w:tc>
        <w:tc>
          <w:tcPr>
            <w:tcW w:w="1980" w:type="dxa"/>
            <w:vAlign w:val="bottom"/>
          </w:tcPr>
          <w:p w14:paraId="50D78A8D" w14:textId="5F03308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Align w:val="bottom"/>
          </w:tcPr>
          <w:p w14:paraId="77EB3197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Align w:val="bottom"/>
          </w:tcPr>
          <w:p w14:paraId="14DA5D0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52239F7E" w14:textId="77777777" w:rsidTr="002B7B6F">
        <w:trPr>
          <w:trHeight w:val="245"/>
        </w:trPr>
        <w:tc>
          <w:tcPr>
            <w:tcW w:w="20" w:type="dxa"/>
            <w:vAlign w:val="bottom"/>
          </w:tcPr>
          <w:p w14:paraId="18572479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bottom"/>
          </w:tcPr>
          <w:p w14:paraId="621EFBD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Align w:val="bottom"/>
          </w:tcPr>
          <w:p w14:paraId="59B1392E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betegeknél</w:t>
            </w:r>
          </w:p>
        </w:tc>
        <w:tc>
          <w:tcPr>
            <w:tcW w:w="1980" w:type="dxa"/>
            <w:vAlign w:val="bottom"/>
          </w:tcPr>
          <w:p w14:paraId="7EEB8920" w14:textId="186983C3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Align w:val="bottom"/>
          </w:tcPr>
          <w:p w14:paraId="2CF894A6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Align w:val="bottom"/>
          </w:tcPr>
          <w:p w14:paraId="576B803E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66E5DB49" w14:textId="77777777" w:rsidTr="002B7B6F">
        <w:trPr>
          <w:trHeight w:val="246"/>
        </w:trPr>
        <w:tc>
          <w:tcPr>
            <w:tcW w:w="20" w:type="dxa"/>
            <w:vAlign w:val="bottom"/>
          </w:tcPr>
          <w:p w14:paraId="3BAA7DD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tcBorders>
              <w:bottom w:val="single" w:sz="8" w:space="0" w:color="auto"/>
            </w:tcBorders>
            <w:vAlign w:val="bottom"/>
          </w:tcPr>
          <w:p w14:paraId="16AB6001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3880" w:type="dxa"/>
            <w:gridSpan w:val="2"/>
            <w:tcBorders>
              <w:bottom w:val="single" w:sz="8" w:space="0" w:color="auto"/>
            </w:tcBorders>
            <w:vAlign w:val="bottom"/>
          </w:tcPr>
          <w:p w14:paraId="478EBC3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- A célérték elérésekor</w:t>
            </w:r>
          </w:p>
        </w:tc>
        <w:tc>
          <w:tcPr>
            <w:tcW w:w="1920" w:type="dxa"/>
            <w:tcBorders>
              <w:bottom w:val="single" w:sz="8" w:space="0" w:color="auto"/>
            </w:tcBorders>
            <w:vAlign w:val="bottom"/>
          </w:tcPr>
          <w:p w14:paraId="49D83AA3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tcBorders>
              <w:bottom w:val="single" w:sz="8" w:space="0" w:color="auto"/>
            </w:tcBorders>
            <w:vAlign w:val="bottom"/>
          </w:tcPr>
          <w:p w14:paraId="074E6E30" w14:textId="4179622B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500</w:t>
            </w:r>
            <w:r w:rsidR="00CD131C">
              <w:rPr>
                <w:rFonts w:ascii="Times New Roman" w:eastAsia="Times New Roman" w:hAnsi="Times New Roman" w:cs="Times New Roman"/>
                <w:lang w:eastAsia="hu-HU"/>
              </w:rPr>
              <w:t>–</w:t>
            </w: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1000 </w:t>
            </w:r>
            <w:r w:rsidR="008F3D90">
              <w:rPr>
                <w:rFonts w:ascii="Times New Roman" w:eastAsia="Times New Roman" w:hAnsi="Times New Roman" w:cs="Times New Roman"/>
                <w:lang w:eastAsia="hu-HU"/>
              </w:rPr>
              <w:t>mikrogramm</w:t>
            </w:r>
            <w:r w:rsidRPr="002A479B">
              <w:rPr>
                <w:rFonts w:ascii="Times New Roman" w:eastAsia="Times New Roman" w:hAnsi="Times New Roman" w:cs="Times New Roman"/>
                <w:lang w:eastAsia="hu-HU"/>
              </w:rPr>
              <w:t>/l</w:t>
            </w:r>
          </w:p>
        </w:tc>
      </w:tr>
      <w:tr w:rsidR="002A479B" w:rsidRPr="002A479B" w14:paraId="02329ABB" w14:textId="77777777" w:rsidTr="002B7B6F">
        <w:trPr>
          <w:trHeight w:val="236"/>
        </w:trPr>
        <w:tc>
          <w:tcPr>
            <w:tcW w:w="20" w:type="dxa"/>
            <w:vAlign w:val="center"/>
          </w:tcPr>
          <w:p w14:paraId="1B1A7409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 w:val="restart"/>
            <w:vAlign w:val="center"/>
          </w:tcPr>
          <w:p w14:paraId="60E2420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Maximális</w:t>
            </w:r>
          </w:p>
          <w:p w14:paraId="630CE32F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dózis</w:t>
            </w:r>
          </w:p>
        </w:tc>
        <w:tc>
          <w:tcPr>
            <w:tcW w:w="1900" w:type="dxa"/>
            <w:vMerge w:val="restart"/>
            <w:vAlign w:val="center"/>
          </w:tcPr>
          <w:p w14:paraId="00746296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28 mg/ttkg/nap</w:t>
            </w:r>
          </w:p>
        </w:tc>
        <w:tc>
          <w:tcPr>
            <w:tcW w:w="1980" w:type="dxa"/>
            <w:vMerge w:val="restart"/>
            <w:vAlign w:val="center"/>
          </w:tcPr>
          <w:p w14:paraId="0BF6C62C" w14:textId="22F085B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 w:val="restart"/>
            <w:vAlign w:val="center"/>
          </w:tcPr>
          <w:p w14:paraId="151D49E0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 w:val="restart"/>
            <w:vAlign w:val="center"/>
          </w:tcPr>
          <w:p w14:paraId="1FA7C4B8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69AD542C" w14:textId="77777777" w:rsidTr="002B7B6F">
        <w:trPr>
          <w:trHeight w:val="243"/>
        </w:trPr>
        <w:tc>
          <w:tcPr>
            <w:tcW w:w="20" w:type="dxa"/>
            <w:vAlign w:val="bottom"/>
          </w:tcPr>
          <w:p w14:paraId="6A66A586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tcBorders>
              <w:bottom w:val="single" w:sz="8" w:space="0" w:color="auto"/>
            </w:tcBorders>
            <w:vAlign w:val="bottom"/>
          </w:tcPr>
          <w:p w14:paraId="7EE906F8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tcBorders>
              <w:bottom w:val="single" w:sz="8" w:space="0" w:color="auto"/>
            </w:tcBorders>
            <w:vAlign w:val="bottom"/>
          </w:tcPr>
          <w:p w14:paraId="4CBD45D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tcBorders>
              <w:bottom w:val="single" w:sz="8" w:space="0" w:color="auto"/>
            </w:tcBorders>
            <w:vAlign w:val="bottom"/>
          </w:tcPr>
          <w:p w14:paraId="142E0D2C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tcBorders>
              <w:bottom w:val="single" w:sz="8" w:space="0" w:color="auto"/>
            </w:tcBorders>
            <w:vAlign w:val="bottom"/>
          </w:tcPr>
          <w:p w14:paraId="45BC1B50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</w:tcBorders>
            <w:vAlign w:val="bottom"/>
          </w:tcPr>
          <w:p w14:paraId="5C70AD18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52213F14" w14:textId="77777777" w:rsidTr="002B7B6F">
        <w:trPr>
          <w:trHeight w:val="234"/>
        </w:trPr>
        <w:tc>
          <w:tcPr>
            <w:tcW w:w="20" w:type="dxa"/>
            <w:vAlign w:val="bottom"/>
          </w:tcPr>
          <w:p w14:paraId="39830FC0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 w:val="restart"/>
            <w:vAlign w:val="center"/>
          </w:tcPr>
          <w:p w14:paraId="74000493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A kezelés</w:t>
            </w:r>
          </w:p>
          <w:p w14:paraId="3FBC74B6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megszakítása</w:t>
            </w:r>
          </w:p>
          <w:p w14:paraId="3BD646F4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mérlegelendő</w:t>
            </w:r>
          </w:p>
        </w:tc>
        <w:tc>
          <w:tcPr>
            <w:tcW w:w="1900" w:type="dxa"/>
            <w:vMerge w:val="restart"/>
            <w:vAlign w:val="center"/>
          </w:tcPr>
          <w:p w14:paraId="266CDA81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 w:val="restart"/>
            <w:vAlign w:val="center"/>
          </w:tcPr>
          <w:p w14:paraId="390754D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 w:val="restart"/>
            <w:vAlign w:val="center"/>
          </w:tcPr>
          <w:p w14:paraId="694F7F7E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 w:val="restart"/>
            <w:vAlign w:val="center"/>
          </w:tcPr>
          <w:p w14:paraId="29DB037B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&lt; 500 </w:t>
            </w:r>
            <w:r w:rsidR="00AF1A09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mikrogramm</w:t>
            </w:r>
            <w:r w:rsidRPr="002A479B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/l</w:t>
            </w:r>
          </w:p>
        </w:tc>
      </w:tr>
      <w:tr w:rsidR="002A479B" w:rsidRPr="002A479B" w14:paraId="0330B57B" w14:textId="77777777" w:rsidTr="002B7B6F">
        <w:trPr>
          <w:trHeight w:val="245"/>
        </w:trPr>
        <w:tc>
          <w:tcPr>
            <w:tcW w:w="20" w:type="dxa"/>
            <w:vAlign w:val="center"/>
          </w:tcPr>
          <w:p w14:paraId="607DC159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vAlign w:val="center"/>
          </w:tcPr>
          <w:p w14:paraId="536F606D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vAlign w:val="center"/>
          </w:tcPr>
          <w:p w14:paraId="72D3216B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vAlign w:val="center"/>
          </w:tcPr>
          <w:p w14:paraId="28B5EE53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vAlign w:val="center"/>
          </w:tcPr>
          <w:p w14:paraId="6684A1B8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vAlign w:val="center"/>
          </w:tcPr>
          <w:p w14:paraId="093CF932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  <w:tr w:rsidR="002A479B" w:rsidRPr="002A479B" w14:paraId="375F59C9" w14:textId="77777777" w:rsidTr="002B7B6F">
        <w:trPr>
          <w:trHeight w:val="243"/>
        </w:trPr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14:paraId="7EAED9A4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600" w:type="dxa"/>
            <w:vMerge/>
            <w:tcBorders>
              <w:bottom w:val="single" w:sz="8" w:space="0" w:color="auto"/>
            </w:tcBorders>
            <w:vAlign w:val="bottom"/>
          </w:tcPr>
          <w:p w14:paraId="14E05DFF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00" w:type="dxa"/>
            <w:vMerge/>
            <w:tcBorders>
              <w:bottom w:val="single" w:sz="8" w:space="0" w:color="auto"/>
            </w:tcBorders>
            <w:vAlign w:val="bottom"/>
          </w:tcPr>
          <w:p w14:paraId="7E82BBF3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80" w:type="dxa"/>
            <w:vMerge/>
            <w:tcBorders>
              <w:bottom w:val="single" w:sz="8" w:space="0" w:color="auto"/>
            </w:tcBorders>
            <w:vAlign w:val="bottom"/>
          </w:tcPr>
          <w:p w14:paraId="787161F2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1920" w:type="dxa"/>
            <w:vMerge/>
            <w:tcBorders>
              <w:bottom w:val="single" w:sz="8" w:space="0" w:color="auto"/>
            </w:tcBorders>
            <w:vAlign w:val="bottom"/>
          </w:tcPr>
          <w:p w14:paraId="30C766BE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  <w:tc>
          <w:tcPr>
            <w:tcW w:w="2220" w:type="dxa"/>
            <w:vMerge/>
            <w:tcBorders>
              <w:bottom w:val="single" w:sz="8" w:space="0" w:color="auto"/>
            </w:tcBorders>
            <w:vAlign w:val="bottom"/>
          </w:tcPr>
          <w:p w14:paraId="6CBD5B2A" w14:textId="77777777" w:rsidR="002A479B" w:rsidRPr="002A479B" w:rsidRDefault="002A479B" w:rsidP="00CE18F9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lang w:eastAsia="hu-HU"/>
              </w:rPr>
            </w:pPr>
          </w:p>
        </w:tc>
      </w:tr>
    </w:tbl>
    <w:p w14:paraId="600453DA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111B840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Kezdő dózis</w:t>
      </w:r>
    </w:p>
    <w:p w14:paraId="3FD631DD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filmtabletta javasolt napi kezdő dózisa 14 mg/testtömegkilogramm.</w:t>
      </w:r>
    </w:p>
    <w:p w14:paraId="1743B11F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AEEB0D4" w14:textId="41EE92DC" w:rsidR="002A479B" w:rsidRPr="002A479B" w:rsidRDefault="00E400E5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A deferazirox filmtabletta 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>21 mg/ttkg</w:t>
      </w:r>
      <w:r>
        <w:rPr>
          <w:rFonts w:ascii="Times New Roman" w:eastAsia="Times New Roman" w:hAnsi="Times New Roman" w:cs="Times New Roman"/>
          <w:lang w:eastAsia="hu-HU"/>
        </w:rPr>
        <w:t>-os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 xml:space="preserve"> kezdő dózis</w:t>
      </w:r>
      <w:r>
        <w:rPr>
          <w:rFonts w:ascii="Times New Roman" w:eastAsia="Times New Roman" w:hAnsi="Times New Roman" w:cs="Times New Roman"/>
          <w:lang w:eastAsia="hu-HU"/>
        </w:rPr>
        <w:t>ának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 xml:space="preserve"> alkalmazása megfontolandó olyan betegek esetében, akiknél a cél az emelkedett vasszint csökkentése, és akik havonta több mint 14 ml/</w:t>
      </w:r>
      <w:r>
        <w:rPr>
          <w:rFonts w:ascii="Times New Roman" w:eastAsia="Times New Roman" w:hAnsi="Times New Roman" w:cs="Times New Roman"/>
          <w:lang w:eastAsia="hu-HU"/>
        </w:rPr>
        <w:t>tt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>kg vörösvértestkoncentrátum</w:t>
      </w:r>
      <w:r w:rsidR="008F3D90">
        <w:rPr>
          <w:rFonts w:ascii="Times New Roman" w:eastAsia="Times New Roman" w:hAnsi="Times New Roman" w:cs="Times New Roman"/>
          <w:lang w:eastAsia="hu-HU"/>
        </w:rPr>
        <w:t>-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>transzfúziót kapnak (felnőtt beteg esetében ez megközelítőleg havonta &gt; 4 egységnek felel meg).</w:t>
      </w:r>
    </w:p>
    <w:p w14:paraId="52028231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5496F16" w14:textId="004687F7" w:rsidR="002A479B" w:rsidRPr="002A479B" w:rsidRDefault="00E400E5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bookmarkStart w:id="3" w:name="page26"/>
      <w:bookmarkEnd w:id="3"/>
      <w:r>
        <w:rPr>
          <w:rFonts w:ascii="Times New Roman" w:eastAsia="Times New Roman" w:hAnsi="Times New Roman" w:cs="Times New Roman"/>
          <w:lang w:eastAsia="hu-HU"/>
        </w:rPr>
        <w:t xml:space="preserve">A deferazirox filmtabletta 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>7 mg/ttkg</w:t>
      </w:r>
      <w:r>
        <w:rPr>
          <w:rFonts w:ascii="Times New Roman" w:eastAsia="Times New Roman" w:hAnsi="Times New Roman" w:cs="Times New Roman"/>
          <w:lang w:eastAsia="hu-HU"/>
        </w:rPr>
        <w:t>-os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 xml:space="preserve"> kezdő dózis</w:t>
      </w:r>
      <w:r>
        <w:rPr>
          <w:rFonts w:ascii="Times New Roman" w:eastAsia="Times New Roman" w:hAnsi="Times New Roman" w:cs="Times New Roman"/>
          <w:lang w:eastAsia="hu-HU"/>
        </w:rPr>
        <w:t>ának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 xml:space="preserve"> alkalmazása megfontolandó olyan betegek esetében, akiknél nem szükséges a vasszint csökkentése, és akik havonta kevesebb mint 7 ml/</w:t>
      </w:r>
      <w:r>
        <w:rPr>
          <w:rFonts w:ascii="Times New Roman" w:eastAsia="Times New Roman" w:hAnsi="Times New Roman" w:cs="Times New Roman"/>
          <w:lang w:eastAsia="hu-HU"/>
        </w:rPr>
        <w:t>tt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>kg vörösvértestkoncentrátum</w:t>
      </w:r>
      <w:r w:rsidR="008F3D90">
        <w:rPr>
          <w:rFonts w:ascii="Times New Roman" w:eastAsia="Times New Roman" w:hAnsi="Times New Roman" w:cs="Times New Roman"/>
          <w:lang w:eastAsia="hu-HU"/>
        </w:rPr>
        <w:t>-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>transzfúziót kapnak (felnőtt beteg esetében ez megközelítőleg havonta &lt; 2 egységnek felel meg). A kezelésre adott választ monitorozni kell, és elégtelen hatásosság esetén a dózis emelése megfontolandó (lásd 5.1 pont).</w:t>
      </w:r>
    </w:p>
    <w:p w14:paraId="2D377E4D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4F52B9C" w14:textId="2CDAB0F9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deferoxamin</w:t>
      </w:r>
      <w:r w:rsidR="005255F0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kezeléssel jól karbantartott betegek számára a deferazirox filmtabletta javasolt kezdő dózisa a deferoxamin dózisának az egyharmada (pl. ha egy beteg hetente 5 napig 40 mg/ttkg/nap deferoxamint (vagy annak megfelelő adagot) kap, a deferazirox filmtablettára való átállításkor a javasolt kezdő dózis 14 mg/ttkg/nap lenne). Amennyiben ez alapján a napi dózis kevesebb</w:t>
      </w:r>
      <w:r w:rsidRPr="002A479B">
        <w:rPr>
          <w:rFonts w:ascii="Times New Roman" w:eastAsiaTheme="minorEastAsia" w:hAnsi="Times New Roman" w:cs="Times New Roman"/>
          <w:lang w:eastAsia="hu-HU"/>
        </w:rPr>
        <w:t xml:space="preserve"> mint </w:t>
      </w:r>
      <w:r w:rsidRPr="002A479B">
        <w:rPr>
          <w:rFonts w:ascii="Times New Roman" w:eastAsia="Times New Roman" w:hAnsi="Times New Roman" w:cs="Times New Roman"/>
          <w:lang w:eastAsia="hu-HU"/>
        </w:rPr>
        <w:t>14 mg/testtömegkilogramm, a kezelésre adott választ monitorozni kell, és elégtelen hatásosság esetén a dózis emelése megfontolandó (lásd 5.1 pont).</w:t>
      </w:r>
    </w:p>
    <w:p w14:paraId="0C96DF22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2FADE91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F14E4C">
        <w:rPr>
          <w:rFonts w:ascii="Times New Roman" w:eastAsia="Times New Roman" w:hAnsi="Times New Roman" w:cs="Times New Roman"/>
          <w:i/>
          <w:iCs/>
          <w:lang w:eastAsia="hu-HU"/>
        </w:rPr>
        <w:t>Dózismódosítás</w:t>
      </w:r>
    </w:p>
    <w:p w14:paraId="3D391188" w14:textId="6A401505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Javasolt a szérumferritin</w:t>
      </w:r>
      <w:r w:rsidR="00F14E4C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szint</w:t>
      </w:r>
      <w:r w:rsidR="00F14E4C">
        <w:rPr>
          <w:rFonts w:ascii="Times New Roman" w:eastAsia="Times New Roman" w:hAnsi="Times New Roman" w:cs="Times New Roman"/>
          <w:lang w:eastAsia="hu-HU"/>
        </w:rPr>
        <w:t>jé</w:t>
      </w:r>
      <w:r w:rsidRPr="002A479B">
        <w:rPr>
          <w:rFonts w:ascii="Times New Roman" w:eastAsia="Times New Roman" w:hAnsi="Times New Roman" w:cs="Times New Roman"/>
          <w:lang w:eastAsia="hu-HU"/>
        </w:rPr>
        <w:t>t havonta ellenőrizni, és a deferazirox</w:t>
      </w:r>
      <w:r w:rsidR="00062EE6">
        <w:rPr>
          <w:rFonts w:ascii="Times New Roman" w:eastAsia="Times New Roman" w:hAnsi="Times New Roman" w:cs="Times New Roman"/>
          <w:lang w:eastAsia="hu-HU"/>
        </w:rPr>
        <w:t xml:space="preserve"> filmtabletta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dózisát szükség esetén 3</w:t>
      </w:r>
      <w:r w:rsidR="007B51BD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6 havonta módosítani kell a szérumferritinszint függvényében. A dózismódosítást 3,5</w:t>
      </w:r>
      <w:r w:rsidR="00CD131C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7 mg/ttkg</w:t>
      </w:r>
      <w:r w:rsidR="00F14E4C">
        <w:rPr>
          <w:rFonts w:ascii="Times New Roman" w:eastAsia="Times New Roman" w:hAnsi="Times New Roman" w:cs="Times New Roman"/>
          <w:lang w:eastAsia="hu-HU"/>
        </w:rPr>
        <w:t>-os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lépésenként lehet elvégezni, és az adott beteg kezelésre adott válaszához, valamint a terápiás célkitűzéshez (a vastartalom fenntartása vagy a vastúlterhelés csökkentése) kell igazítani. A</w:t>
      </w:r>
      <w:r w:rsidR="00F14E4C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21 mg/ttkg-os dózis</w:t>
      </w:r>
      <w:r w:rsidR="00F14E4C">
        <w:rPr>
          <w:rFonts w:ascii="Times New Roman" w:eastAsia="Times New Roman" w:hAnsi="Times New Roman" w:cs="Times New Roman"/>
          <w:lang w:eastAsia="hu-HU"/>
        </w:rPr>
        <w:t>sal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nem megfelelően kontrollált betegeknél (pl. a szérumferritinszint tartósan</w:t>
      </w:r>
      <w:r w:rsidR="00F14E4C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2500 </w:t>
      </w:r>
      <w:r w:rsidR="00F14E4C">
        <w:rPr>
          <w:rFonts w:ascii="Times New Roman" w:eastAsia="Times New Roman" w:hAnsi="Times New Roman" w:cs="Times New Roman"/>
          <w:lang w:eastAsia="hu-HU"/>
        </w:rPr>
        <w:t>mikrogramm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/l felett van, és az idő múlásával nem mutat csökkenő tendenciát) </w:t>
      </w:r>
      <w:r w:rsidR="00F14E4C" w:rsidRPr="002A479B">
        <w:rPr>
          <w:rFonts w:ascii="Times New Roman" w:eastAsia="Times New Roman" w:hAnsi="Times New Roman" w:cs="Times New Roman"/>
          <w:lang w:eastAsia="hu-HU"/>
        </w:rPr>
        <w:t xml:space="preserve">mérlegelhető </w:t>
      </w:r>
      <w:r w:rsidRPr="002A479B">
        <w:rPr>
          <w:rFonts w:ascii="Times New Roman" w:eastAsia="Times New Roman" w:hAnsi="Times New Roman" w:cs="Times New Roman"/>
          <w:lang w:eastAsia="hu-HU"/>
        </w:rPr>
        <w:t>a legfeljebb 28 mg/ttkg-os dózis</w:t>
      </w:r>
      <w:r w:rsidR="00F14E4C">
        <w:rPr>
          <w:rFonts w:ascii="Times New Roman" w:eastAsia="Times New Roman" w:hAnsi="Times New Roman" w:cs="Times New Roman"/>
          <w:lang w:eastAsia="hu-HU"/>
        </w:rPr>
        <w:t xml:space="preserve"> alkalmazása</w:t>
      </w:r>
      <w:r w:rsidRPr="002A479B">
        <w:rPr>
          <w:rFonts w:ascii="Times New Roman" w:eastAsia="Times New Roman" w:hAnsi="Times New Roman" w:cs="Times New Roman"/>
          <w:lang w:eastAsia="hu-HU"/>
        </w:rPr>
        <w:t>. A 30 mg/ttkg-ot meghaladó</w:t>
      </w:r>
      <w:r w:rsidR="00F14E4C">
        <w:rPr>
          <w:rFonts w:ascii="Times New Roman" w:eastAsia="Times New Roman" w:hAnsi="Times New Roman" w:cs="Times New Roman"/>
          <w:lang w:eastAsia="hu-HU"/>
        </w:rPr>
        <w:t>,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diszpergálódó tabletta </w:t>
      </w:r>
      <w:r w:rsidR="00F14E4C">
        <w:rPr>
          <w:rFonts w:ascii="Times New Roman" w:eastAsia="Times New Roman" w:hAnsi="Times New Roman" w:cs="Times New Roman"/>
          <w:lang w:eastAsia="hu-HU"/>
        </w:rPr>
        <w:t>formájában adott deferazirox-</w:t>
      </w:r>
      <w:r w:rsidRPr="002A479B">
        <w:rPr>
          <w:rFonts w:ascii="Times New Roman" w:eastAsia="Times New Roman" w:hAnsi="Times New Roman" w:cs="Times New Roman"/>
          <w:lang w:eastAsia="hu-HU"/>
        </w:rPr>
        <w:t>dózis hosszú távú alkalmazásának hatásosságával és biztonságosságával kapcsolatban a lefolytatott klinikai vizsgálatokból származó, rendelkezésre álló adatok jelenleg korlátozottak (</w:t>
      </w:r>
      <w:r w:rsidR="0039305A" w:rsidRPr="002A479B">
        <w:rPr>
          <w:rFonts w:ascii="Times New Roman" w:eastAsia="Times New Roman" w:hAnsi="Times New Roman" w:cs="Times New Roman"/>
          <w:lang w:eastAsia="hu-HU"/>
        </w:rPr>
        <w:t>264 beteg</w:t>
      </w:r>
      <w:r w:rsidR="0039305A">
        <w:rPr>
          <w:rFonts w:ascii="Times New Roman" w:eastAsia="Times New Roman" w:hAnsi="Times New Roman" w:cs="Times New Roman"/>
          <w:lang w:eastAsia="hu-HU"/>
        </w:rPr>
        <w:t>, akiket</w:t>
      </w:r>
      <w:r w:rsidR="0039305A"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a dózis emelése után átlagosan 1 éven át követt</w:t>
      </w:r>
      <w:r w:rsidR="0039305A">
        <w:rPr>
          <w:rFonts w:ascii="Times New Roman" w:eastAsia="Times New Roman" w:hAnsi="Times New Roman" w:cs="Times New Roman"/>
          <w:lang w:eastAsia="hu-HU"/>
        </w:rPr>
        <w:t>ek</w:t>
      </w:r>
      <w:r w:rsidRPr="002A479B">
        <w:rPr>
          <w:rFonts w:ascii="Times New Roman" w:eastAsia="Times New Roman" w:hAnsi="Times New Roman" w:cs="Times New Roman"/>
          <w:lang w:eastAsia="hu-HU"/>
        </w:rPr>
        <w:t>). Ha a legfeljebb 21 mg/ttkg-os dózis</w:t>
      </w:r>
      <w:r w:rsidR="0039305A">
        <w:rPr>
          <w:rFonts w:ascii="Times New Roman" w:eastAsia="Times New Roman" w:hAnsi="Times New Roman" w:cs="Times New Roman"/>
          <w:lang w:eastAsia="hu-HU"/>
        </w:rPr>
        <w:t>sal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="00062EE6" w:rsidRPr="00062EE6">
        <w:rPr>
          <w:rFonts w:ascii="Times New Roman" w:eastAsia="Times New Roman" w:hAnsi="Times New Roman" w:cs="Times New Roman"/>
          <w:lang w:eastAsia="hu-HU"/>
        </w:rPr>
        <w:t>(a filmtabletta azon dózisa, amely egyenértékű a diszpergálódó tabletta 30</w:t>
      </w:r>
      <w:r w:rsidR="00062EE6">
        <w:rPr>
          <w:rFonts w:ascii="Times New Roman" w:eastAsia="Times New Roman" w:hAnsi="Times New Roman" w:cs="Times New Roman"/>
          <w:lang w:eastAsia="hu-HU"/>
        </w:rPr>
        <w:t> </w:t>
      </w:r>
      <w:r w:rsidR="00062EE6" w:rsidRPr="00062EE6">
        <w:rPr>
          <w:rFonts w:ascii="Times New Roman" w:eastAsia="Times New Roman" w:hAnsi="Times New Roman" w:cs="Times New Roman"/>
          <w:lang w:eastAsia="hu-HU"/>
        </w:rPr>
        <w:t xml:space="preserve">mg/ttkg-os dózisával) </w:t>
      </w:r>
      <w:r w:rsidRPr="002A479B">
        <w:rPr>
          <w:rFonts w:ascii="Times New Roman" w:eastAsia="Times New Roman" w:hAnsi="Times New Roman" w:cs="Times New Roman"/>
          <w:lang w:eastAsia="hu-HU"/>
        </w:rPr>
        <w:t>a haemosiderosis csak nagyon csekély mértékben javul, akkor vélhetően a dózis további emelésével (maximum 28 mg/ttkg-ig) sem érhető el megfelelő hatás, és alternatív terápiás lehetőségek mérlegelhetők. Ha a 21 mg/ttkg-nál magasabb dózis</w:t>
      </w:r>
      <w:r w:rsidR="0039305A">
        <w:rPr>
          <w:rFonts w:ascii="Times New Roman" w:eastAsia="Times New Roman" w:hAnsi="Times New Roman" w:cs="Times New Roman"/>
          <w:lang w:eastAsia="hu-HU"/>
        </w:rPr>
        <w:t>sal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nem érhető el kielégítő hatás, akkor a kezelést ez</w:t>
      </w:r>
      <w:r w:rsidR="0039305A">
        <w:rPr>
          <w:rFonts w:ascii="Times New Roman" w:eastAsia="Times New Roman" w:hAnsi="Times New Roman" w:cs="Times New Roman"/>
          <w:lang w:eastAsia="hu-HU"/>
        </w:rPr>
        <w:t>zel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a dózis</w:t>
      </w:r>
      <w:r w:rsidR="0039305A">
        <w:rPr>
          <w:rFonts w:ascii="Times New Roman" w:eastAsia="Times New Roman" w:hAnsi="Times New Roman" w:cs="Times New Roman"/>
          <w:lang w:eastAsia="hu-HU"/>
        </w:rPr>
        <w:t>sal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nem szabad folytatni, és amennyiben lehetséges, alternatív terápiás lehetőségeket kell mérlegelni. 28 mg/ttkg feletti dózisok alkalmazása nem javasolt, mivel ennél magasabb dózisok mellett korlátozott tapasztalat áll rendelkezésre (lásd 5.1 pont).</w:t>
      </w:r>
    </w:p>
    <w:p w14:paraId="5162525E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3FEB052" w14:textId="3773472B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21 mg/ttkg-nál nagyobb dózisokkal kezelt betegeknél a dóziscsökkentés 3,5</w:t>
      </w:r>
      <w:r w:rsidR="005255F0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7 mg/ttkg-os lépésekben mérlegelendő, ha a beállítás sikerült (pl. a szérumferritinszint tartósan </w:t>
      </w:r>
      <w:r w:rsidR="00062EE6">
        <w:rPr>
          <w:rFonts w:ascii="Times New Roman" w:eastAsia="Times New Roman" w:hAnsi="Times New Roman" w:cs="Times New Roman"/>
          <w:lang w:eastAsia="hu-HU"/>
        </w:rPr>
        <w:t xml:space="preserve">legfeljebb </w:t>
      </w:r>
      <w:r w:rsidRPr="002A479B">
        <w:rPr>
          <w:rFonts w:ascii="Times New Roman" w:eastAsia="Times New Roman" w:hAnsi="Times New Roman" w:cs="Times New Roman"/>
          <w:lang w:eastAsia="hu-HU"/>
        </w:rPr>
        <w:t>2500 </w:t>
      </w:r>
      <w:r w:rsidR="00530C51">
        <w:rPr>
          <w:rFonts w:ascii="Times New Roman" w:eastAsia="Times New Roman" w:hAnsi="Times New Roman" w:cs="Times New Roman"/>
          <w:lang w:eastAsia="hu-HU"/>
        </w:rPr>
        <w:t>mikrogramm</w:t>
      </w:r>
      <w:r w:rsidRPr="002A479B">
        <w:rPr>
          <w:rFonts w:ascii="Times New Roman" w:eastAsia="Times New Roman" w:hAnsi="Times New Roman" w:cs="Times New Roman"/>
          <w:lang w:eastAsia="hu-HU"/>
        </w:rPr>
        <w:t>/l, és az idő múlásával csökkenő tendenciát mutat). Azoknál a betegeknél, akiknek a szérumferritinszintje elérte a célértéket (ez rendszerint 500 és 1000 </w:t>
      </w:r>
      <w:r w:rsidR="00530C51">
        <w:rPr>
          <w:rFonts w:ascii="Times New Roman" w:eastAsia="Times New Roman" w:hAnsi="Times New Roman" w:cs="Times New Roman"/>
          <w:lang w:eastAsia="hu-HU"/>
        </w:rPr>
        <w:t>mikrogramm</w:t>
      </w:r>
      <w:r w:rsidRPr="002A479B">
        <w:rPr>
          <w:rFonts w:ascii="Times New Roman" w:eastAsia="Times New Roman" w:hAnsi="Times New Roman" w:cs="Times New Roman"/>
          <w:lang w:eastAsia="hu-HU"/>
        </w:rPr>
        <w:t>/l között van), azoknál a szérumferritinszint kitűzött tartományon belül tartásához</w:t>
      </w:r>
      <w:r w:rsidR="00EB2D9D">
        <w:rPr>
          <w:rFonts w:ascii="Times New Roman" w:eastAsia="Times New Roman" w:hAnsi="Times New Roman" w:cs="Times New Roman"/>
          <w:lang w:eastAsia="hu-HU"/>
        </w:rPr>
        <w:t xml:space="preserve"> </w:t>
      </w:r>
      <w:r w:rsidR="00EB2D9D" w:rsidRPr="009C6547">
        <w:rPr>
          <w:rFonts w:ascii="Times New Roman" w:eastAsia="Times New Roman" w:hAnsi="Times New Roman" w:cs="Times New Roman"/>
          <w:lang w:eastAsia="hu-HU"/>
        </w:rPr>
        <w:t>és a túlzott kelátképzés kockázatának minimálisra csökkentése érdekében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a dóziscsökkentés 3,5</w:t>
      </w:r>
      <w:r w:rsidR="00CD131C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7</w:t>
      </w:r>
      <w:r w:rsidR="00530C51">
        <w:rPr>
          <w:rFonts w:ascii="Times New Roman" w:eastAsia="Times New Roman" w:hAnsi="Times New Roman" w:cs="Times New Roman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lang w:eastAsia="hu-HU"/>
        </w:rPr>
        <w:t>mg/ttkg</w:t>
      </w:r>
      <w:r w:rsidR="005255F0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os lépésekben mérlegelendő. Amennyiben a szérumferritin</w:t>
      </w:r>
      <w:r w:rsidR="00530C51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szintje következetesen 500 </w:t>
      </w:r>
      <w:r w:rsidR="00530C51">
        <w:rPr>
          <w:rFonts w:ascii="Times New Roman" w:eastAsia="Times New Roman" w:hAnsi="Times New Roman" w:cs="Times New Roman"/>
          <w:lang w:eastAsia="hu-HU"/>
        </w:rPr>
        <w:t>mikrogramm</w:t>
      </w:r>
      <w:r w:rsidRPr="002A479B">
        <w:rPr>
          <w:rFonts w:ascii="Times New Roman" w:eastAsia="Times New Roman" w:hAnsi="Times New Roman" w:cs="Times New Roman"/>
          <w:lang w:eastAsia="hu-HU"/>
        </w:rPr>
        <w:t>/l alatti, meg kell fontolni a kezelés megszakítását (lásd 4.4 pont).</w:t>
      </w:r>
    </w:p>
    <w:p w14:paraId="1CBF2144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B6C019F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i/>
          <w:iCs/>
          <w:u w:val="single"/>
          <w:lang w:eastAsia="hu-HU"/>
        </w:rPr>
        <w:t>Vértranszfúziótól nem függő thalassaemia szindrómák</w:t>
      </w:r>
    </w:p>
    <w:p w14:paraId="29871B63" w14:textId="3D9ACC88" w:rsidR="002A479B" w:rsidRPr="002A479B" w:rsidRDefault="002A479B" w:rsidP="002A479B">
      <w:pPr>
        <w:tabs>
          <w:tab w:val="left" w:pos="181"/>
        </w:tabs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kelátképző</w:t>
      </w:r>
      <w:r w:rsidR="008824E9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kezelést csak akkor szabad elkezdeni, amikor bizonyíték van a vastúlterhelésre (a máj vaskoncentrációja [LIC] ≥ 5 mg Fe/g száraz tömeg [dw] vagy a szérumferritin következetesen &gt; 800 </w:t>
      </w:r>
      <w:r w:rsidR="00530C51">
        <w:rPr>
          <w:rFonts w:ascii="Times New Roman" w:eastAsia="Times New Roman" w:hAnsi="Times New Roman" w:cs="Times New Roman"/>
          <w:lang w:eastAsia="hu-HU"/>
        </w:rPr>
        <w:t>mikrogramm</w:t>
      </w:r>
      <w:r w:rsidRPr="002A479B">
        <w:rPr>
          <w:rFonts w:ascii="Times New Roman" w:eastAsia="Times New Roman" w:hAnsi="Times New Roman" w:cs="Times New Roman"/>
          <w:lang w:eastAsia="hu-HU"/>
        </w:rPr>
        <w:t>/l). A máj vaskoncentrációja a vastúlterhelés meghatározásának preferált módszere, és amikor csak lehetséges, ez használandó. A fokozott kelátképzés kockázatának minimálisra csökkentése érdekében a kelátképző</w:t>
      </w:r>
      <w:r w:rsidR="008824E9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kezelés alatt minden betegnél elővigyázatosság szükséges</w:t>
      </w:r>
      <w:r w:rsidR="00EB2D9D">
        <w:rPr>
          <w:rFonts w:ascii="Times New Roman" w:eastAsia="Times New Roman" w:hAnsi="Times New Roman" w:cs="Times New Roman"/>
          <w:lang w:eastAsia="hu-HU"/>
        </w:rPr>
        <w:t xml:space="preserve"> </w:t>
      </w:r>
      <w:r w:rsidR="00EB2D9D" w:rsidRPr="009C6547">
        <w:rPr>
          <w:rFonts w:ascii="Times New Roman" w:eastAsia="Times New Roman" w:hAnsi="Times New Roman" w:cs="Times New Roman"/>
          <w:lang w:eastAsia="hu-HU"/>
        </w:rPr>
        <w:t>(lásd 4.4</w:t>
      </w:r>
      <w:r w:rsidR="00D06F85">
        <w:rPr>
          <w:rFonts w:ascii="Times New Roman" w:eastAsia="Times New Roman" w:hAnsi="Times New Roman" w:cs="Times New Roman"/>
          <w:lang w:eastAsia="hu-HU"/>
        </w:rPr>
        <w:t> </w:t>
      </w:r>
      <w:r w:rsidR="00EB2D9D" w:rsidRPr="009C6547">
        <w:rPr>
          <w:rFonts w:ascii="Times New Roman" w:eastAsia="Times New Roman" w:hAnsi="Times New Roman" w:cs="Times New Roman"/>
          <w:lang w:eastAsia="hu-HU"/>
        </w:rPr>
        <w:t>pont)</w:t>
      </w:r>
      <w:r w:rsidRPr="002A479B">
        <w:rPr>
          <w:rFonts w:ascii="Times New Roman" w:eastAsia="Times New Roman" w:hAnsi="Times New Roman" w:cs="Times New Roman"/>
          <w:lang w:eastAsia="hu-HU"/>
        </w:rPr>
        <w:t>.</w:t>
      </w:r>
    </w:p>
    <w:p w14:paraId="3F326AB9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102B734" w14:textId="5080F2BE" w:rsidR="008629E1" w:rsidRDefault="00062EE6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062EE6">
        <w:rPr>
          <w:rFonts w:ascii="Times New Roman" w:eastAsia="Times New Roman" w:hAnsi="Times New Roman" w:cs="Times New Roman"/>
          <w:lang w:eastAsia="hu-HU"/>
        </w:rPr>
        <w:t>Az EU-ban filmtabletta és diszpergálódó tabletta formájában érhetők el deferaziroxot tartalmazó gyógyszerek, amelyek különféle márkanevek alatt kerülnek forgalomba. A farmakokinetikai profilok eltérései miatt a</w:t>
      </w:r>
      <w:r>
        <w:rPr>
          <w:rFonts w:ascii="Times New Roman" w:eastAsia="Times New Roman" w:hAnsi="Times New Roman" w:cs="Times New Roman"/>
          <w:lang w:eastAsia="hu-HU"/>
        </w:rPr>
        <w:t xml:space="preserve"> deferazirox </w:t>
      </w:r>
      <w:r w:rsidRPr="00062EE6">
        <w:rPr>
          <w:rFonts w:ascii="Times New Roman" w:eastAsia="Times New Roman" w:hAnsi="Times New Roman" w:cs="Times New Roman"/>
          <w:lang w:eastAsia="hu-HU"/>
        </w:rPr>
        <w:t>filmtablettából 30%-kal kisebb dózis szükséges a</w:t>
      </w:r>
      <w:r>
        <w:rPr>
          <w:rFonts w:ascii="Times New Roman" w:eastAsia="Times New Roman" w:hAnsi="Times New Roman" w:cs="Times New Roman"/>
          <w:lang w:eastAsia="hu-HU"/>
        </w:rPr>
        <w:t xml:space="preserve"> deferazirox</w:t>
      </w:r>
      <w:r w:rsidRPr="00062EE6">
        <w:rPr>
          <w:rFonts w:ascii="Times New Roman" w:eastAsia="Times New Roman" w:hAnsi="Times New Roman" w:cs="Times New Roman"/>
          <w:lang w:eastAsia="hu-HU"/>
        </w:rPr>
        <w:t xml:space="preserve"> diszpergálódó tabletta javasolt adagjához képest (lásd 5.1</w:t>
      </w:r>
      <w:r>
        <w:rPr>
          <w:rFonts w:ascii="Times New Roman" w:eastAsia="Times New Roman" w:hAnsi="Times New Roman" w:cs="Times New Roman"/>
          <w:lang w:eastAsia="hu-HU"/>
        </w:rPr>
        <w:t> </w:t>
      </w:r>
      <w:r w:rsidRPr="00062EE6">
        <w:rPr>
          <w:rFonts w:ascii="Times New Roman" w:eastAsia="Times New Roman" w:hAnsi="Times New Roman" w:cs="Times New Roman"/>
          <w:lang w:eastAsia="hu-HU"/>
        </w:rPr>
        <w:t>pont).</w:t>
      </w:r>
    </w:p>
    <w:p w14:paraId="1189A79D" w14:textId="77777777" w:rsidR="008629E1" w:rsidRPr="002A479B" w:rsidRDefault="008629E1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273096CB" w14:textId="33C1BADB" w:rsidR="002A479B" w:rsidRDefault="002A479B" w:rsidP="002A479B">
      <w:pPr>
        <w:keepNext/>
        <w:tabs>
          <w:tab w:val="left" w:pos="1121"/>
        </w:tabs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2. táblázat</w:t>
      </w:r>
      <w:r w:rsidRPr="002A479B">
        <w:rPr>
          <w:rFonts w:ascii="Times New Roman" w:eastAsiaTheme="minorEastAsia" w:hAnsi="Times New Roman" w:cs="Times New Roman"/>
          <w:lang w:eastAsia="hu-HU"/>
        </w:rPr>
        <w:tab/>
      </w:r>
      <w:r w:rsidRPr="002A479B">
        <w:rPr>
          <w:rFonts w:ascii="Times New Roman" w:eastAsia="Times New Roman" w:hAnsi="Times New Roman" w:cs="Times New Roman"/>
          <w:lang w:eastAsia="hu-HU"/>
        </w:rPr>
        <w:t>Javasolt dózisok a nem transzfúzió-dependens thalassaemia szindrómák esetén</w:t>
      </w:r>
    </w:p>
    <w:p w14:paraId="2A2A3F6C" w14:textId="73307D0C" w:rsidR="008629E1" w:rsidRDefault="008629E1" w:rsidP="002A479B">
      <w:pPr>
        <w:keepNext/>
        <w:tabs>
          <w:tab w:val="left" w:pos="1121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tbl>
      <w:tblPr>
        <w:tblStyle w:val="Rcsostblzat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8"/>
        <w:gridCol w:w="2046"/>
        <w:gridCol w:w="2033"/>
        <w:gridCol w:w="265"/>
        <w:gridCol w:w="789"/>
        <w:gridCol w:w="265"/>
        <w:gridCol w:w="2161"/>
      </w:tblGrid>
      <w:tr w:rsidR="00135ABB" w14:paraId="79A39E39" w14:textId="77777777" w:rsidTr="00CE18F9">
        <w:tc>
          <w:tcPr>
            <w:tcW w:w="1508" w:type="dxa"/>
            <w:tcBorders>
              <w:top w:val="single" w:sz="4" w:space="0" w:color="auto"/>
              <w:bottom w:val="single" w:sz="4" w:space="0" w:color="auto"/>
            </w:tcBorders>
          </w:tcPr>
          <w:p w14:paraId="63214460" w14:textId="77777777" w:rsidR="00206E09" w:rsidRDefault="00206E09" w:rsidP="002A479B">
            <w:pPr>
              <w:keepNext/>
              <w:tabs>
                <w:tab w:val="left" w:pos="1121"/>
              </w:tabs>
            </w:pPr>
          </w:p>
        </w:tc>
        <w:tc>
          <w:tcPr>
            <w:tcW w:w="2046" w:type="dxa"/>
            <w:tcBorders>
              <w:top w:val="single" w:sz="4" w:space="0" w:color="auto"/>
              <w:bottom w:val="single" w:sz="4" w:space="0" w:color="auto"/>
            </w:tcBorders>
          </w:tcPr>
          <w:p w14:paraId="0E48FA15" w14:textId="263A18B7" w:rsidR="00206E09" w:rsidRDefault="00206E09" w:rsidP="002A479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  <w:b/>
                <w:bCs/>
              </w:rPr>
              <w:t>Filmtabletta</w:t>
            </w: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</w:tcPr>
          <w:p w14:paraId="20AEBDFD" w14:textId="130527C9" w:rsidR="00206E09" w:rsidRDefault="00206E09" w:rsidP="00780586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  <w:b/>
                <w:bCs/>
              </w:rPr>
              <w:t>A máj vaskoncentrációja (LIC)*</w:t>
            </w:r>
          </w:p>
        </w:tc>
        <w:tc>
          <w:tcPr>
            <w:tcW w:w="265" w:type="dxa"/>
            <w:tcBorders>
              <w:top w:val="single" w:sz="4" w:space="0" w:color="auto"/>
              <w:bottom w:val="single" w:sz="4" w:space="0" w:color="auto"/>
            </w:tcBorders>
          </w:tcPr>
          <w:p w14:paraId="6ABB5BE3" w14:textId="77777777" w:rsidR="00206E09" w:rsidRDefault="00206E09" w:rsidP="002A479B">
            <w:pPr>
              <w:keepNext/>
              <w:tabs>
                <w:tab w:val="left" w:pos="1121"/>
              </w:tabs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</w:tcPr>
          <w:p w14:paraId="558488ED" w14:textId="77777777" w:rsidR="00206E09" w:rsidRDefault="00206E09" w:rsidP="002A479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  <w:tcBorders>
              <w:top w:val="single" w:sz="4" w:space="0" w:color="auto"/>
              <w:bottom w:val="single" w:sz="4" w:space="0" w:color="auto"/>
            </w:tcBorders>
          </w:tcPr>
          <w:p w14:paraId="34139A40" w14:textId="77777777" w:rsidR="00206E09" w:rsidRDefault="00206E09" w:rsidP="002A479B">
            <w:pPr>
              <w:keepNext/>
              <w:tabs>
                <w:tab w:val="left" w:pos="1121"/>
              </w:tabs>
            </w:pPr>
          </w:p>
        </w:tc>
        <w:tc>
          <w:tcPr>
            <w:tcW w:w="2161" w:type="dxa"/>
            <w:tcBorders>
              <w:top w:val="single" w:sz="4" w:space="0" w:color="auto"/>
              <w:bottom w:val="single" w:sz="4" w:space="0" w:color="auto"/>
            </w:tcBorders>
          </w:tcPr>
          <w:p w14:paraId="30C11085" w14:textId="47D4067D" w:rsidR="00206E09" w:rsidRDefault="00206E09" w:rsidP="002A479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  <w:b/>
                <w:bCs/>
              </w:rPr>
              <w:t>Szérumferritin</w:t>
            </w:r>
          </w:p>
        </w:tc>
      </w:tr>
      <w:tr w:rsidR="00135ABB" w14:paraId="5D670808" w14:textId="77777777" w:rsidTr="00CE18F9">
        <w:tc>
          <w:tcPr>
            <w:tcW w:w="1508" w:type="dxa"/>
            <w:tcBorders>
              <w:top w:val="single" w:sz="4" w:space="0" w:color="auto"/>
              <w:bottom w:val="single" w:sz="4" w:space="0" w:color="auto"/>
            </w:tcBorders>
          </w:tcPr>
          <w:p w14:paraId="14F9DDBB" w14:textId="5E4D0219" w:rsidR="00206E09" w:rsidRDefault="00206E09" w:rsidP="002A479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  <w:b/>
                <w:bCs/>
              </w:rPr>
              <w:t>Kezdő dózis</w:t>
            </w:r>
          </w:p>
        </w:tc>
        <w:tc>
          <w:tcPr>
            <w:tcW w:w="2046" w:type="dxa"/>
            <w:tcBorders>
              <w:top w:val="single" w:sz="4" w:space="0" w:color="auto"/>
              <w:bottom w:val="single" w:sz="4" w:space="0" w:color="auto"/>
            </w:tcBorders>
          </w:tcPr>
          <w:p w14:paraId="50BC0D7F" w14:textId="0D36EC7B" w:rsidR="00206E09" w:rsidRDefault="00206E09" w:rsidP="002A479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  <w:b/>
                <w:bCs/>
              </w:rPr>
              <w:t>7 mg/ttkg/nap</w:t>
            </w: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</w:tcPr>
          <w:p w14:paraId="595EB4AD" w14:textId="5FF28BE7" w:rsidR="00206E09" w:rsidRDefault="00206E09" w:rsidP="002A479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</w:rPr>
              <w:t>≥ 5 mg Fe/g dw</w:t>
            </w:r>
          </w:p>
        </w:tc>
        <w:tc>
          <w:tcPr>
            <w:tcW w:w="265" w:type="dxa"/>
            <w:tcBorders>
              <w:top w:val="single" w:sz="4" w:space="0" w:color="auto"/>
              <w:bottom w:val="single" w:sz="4" w:space="0" w:color="auto"/>
            </w:tcBorders>
          </w:tcPr>
          <w:p w14:paraId="21462E23" w14:textId="77777777" w:rsidR="00206E09" w:rsidRDefault="00206E09" w:rsidP="002A479B">
            <w:pPr>
              <w:keepNext/>
              <w:tabs>
                <w:tab w:val="left" w:pos="1121"/>
              </w:tabs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</w:tcPr>
          <w:p w14:paraId="1F469704" w14:textId="26603701" w:rsidR="00206E09" w:rsidRDefault="00206E09" w:rsidP="002A479B">
            <w:pPr>
              <w:keepNext/>
              <w:tabs>
                <w:tab w:val="left" w:pos="1121"/>
              </w:tabs>
            </w:pPr>
            <w:r>
              <w:rPr>
                <w:rFonts w:eastAsia="Times New Roman"/>
              </w:rPr>
              <w:t>vagy</w:t>
            </w:r>
          </w:p>
        </w:tc>
        <w:tc>
          <w:tcPr>
            <w:tcW w:w="265" w:type="dxa"/>
            <w:tcBorders>
              <w:top w:val="single" w:sz="4" w:space="0" w:color="auto"/>
              <w:bottom w:val="single" w:sz="4" w:space="0" w:color="auto"/>
            </w:tcBorders>
          </w:tcPr>
          <w:p w14:paraId="094CB872" w14:textId="77777777" w:rsidR="00206E09" w:rsidRDefault="00206E09" w:rsidP="002A479B">
            <w:pPr>
              <w:keepNext/>
              <w:tabs>
                <w:tab w:val="left" w:pos="1121"/>
              </w:tabs>
            </w:pPr>
          </w:p>
        </w:tc>
        <w:tc>
          <w:tcPr>
            <w:tcW w:w="2161" w:type="dxa"/>
            <w:tcBorders>
              <w:top w:val="single" w:sz="4" w:space="0" w:color="auto"/>
              <w:bottom w:val="single" w:sz="4" w:space="0" w:color="auto"/>
            </w:tcBorders>
          </w:tcPr>
          <w:p w14:paraId="1C64ADAA" w14:textId="0047DD94" w:rsidR="00206E09" w:rsidRDefault="00206E09" w:rsidP="002A479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</w:rPr>
              <w:t>&gt; 800 </w:t>
            </w:r>
            <w:r>
              <w:rPr>
                <w:rFonts w:eastAsia="Times New Roman"/>
              </w:rPr>
              <w:t>mikrogramm</w:t>
            </w:r>
            <w:r w:rsidRPr="002A479B">
              <w:rPr>
                <w:rFonts w:eastAsia="Times New Roman"/>
              </w:rPr>
              <w:t>/l</w:t>
            </w:r>
          </w:p>
        </w:tc>
      </w:tr>
      <w:tr w:rsidR="00135ABB" w14:paraId="171167F7" w14:textId="77777777" w:rsidTr="00CE18F9">
        <w:tc>
          <w:tcPr>
            <w:tcW w:w="1508" w:type="dxa"/>
            <w:tcBorders>
              <w:top w:val="single" w:sz="4" w:space="0" w:color="auto"/>
              <w:bottom w:val="single" w:sz="4" w:space="0" w:color="auto"/>
            </w:tcBorders>
          </w:tcPr>
          <w:p w14:paraId="54ABFA5D" w14:textId="0324F9C8" w:rsidR="00206E09" w:rsidRDefault="00206E09" w:rsidP="002A479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  <w:b/>
                <w:bCs/>
              </w:rPr>
              <w:t>Monitorozás</w:t>
            </w:r>
          </w:p>
        </w:tc>
        <w:tc>
          <w:tcPr>
            <w:tcW w:w="2046" w:type="dxa"/>
            <w:tcBorders>
              <w:top w:val="single" w:sz="4" w:space="0" w:color="auto"/>
              <w:bottom w:val="single" w:sz="4" w:space="0" w:color="auto"/>
            </w:tcBorders>
          </w:tcPr>
          <w:p w14:paraId="64B0AB5B" w14:textId="77777777" w:rsidR="00206E09" w:rsidRDefault="00206E09" w:rsidP="002A479B">
            <w:pPr>
              <w:keepNext/>
              <w:tabs>
                <w:tab w:val="left" w:pos="1121"/>
              </w:tabs>
            </w:pP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</w:tcPr>
          <w:p w14:paraId="68AABFA3" w14:textId="77777777" w:rsidR="00206E09" w:rsidRDefault="00206E09" w:rsidP="002A479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  <w:tcBorders>
              <w:top w:val="single" w:sz="4" w:space="0" w:color="auto"/>
              <w:bottom w:val="single" w:sz="4" w:space="0" w:color="auto"/>
            </w:tcBorders>
          </w:tcPr>
          <w:p w14:paraId="7986BA89" w14:textId="77777777" w:rsidR="00206E09" w:rsidRDefault="00206E09" w:rsidP="002A479B">
            <w:pPr>
              <w:keepNext/>
              <w:tabs>
                <w:tab w:val="left" w:pos="1121"/>
              </w:tabs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</w:tcPr>
          <w:p w14:paraId="40CC7DC0" w14:textId="77777777" w:rsidR="00206E09" w:rsidRDefault="00206E09" w:rsidP="002A479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  <w:tcBorders>
              <w:top w:val="single" w:sz="4" w:space="0" w:color="auto"/>
              <w:bottom w:val="single" w:sz="4" w:space="0" w:color="auto"/>
            </w:tcBorders>
          </w:tcPr>
          <w:p w14:paraId="18DF26D9" w14:textId="77777777" w:rsidR="00206E09" w:rsidRDefault="00206E09" w:rsidP="002A479B">
            <w:pPr>
              <w:keepNext/>
              <w:tabs>
                <w:tab w:val="left" w:pos="1121"/>
              </w:tabs>
            </w:pPr>
          </w:p>
        </w:tc>
        <w:tc>
          <w:tcPr>
            <w:tcW w:w="2161" w:type="dxa"/>
            <w:tcBorders>
              <w:top w:val="single" w:sz="4" w:space="0" w:color="auto"/>
              <w:bottom w:val="single" w:sz="4" w:space="0" w:color="auto"/>
            </w:tcBorders>
          </w:tcPr>
          <w:p w14:paraId="40AF104E" w14:textId="1D2F7D12" w:rsidR="00206E09" w:rsidRDefault="00135ABB" w:rsidP="002A479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  <w:b/>
                <w:bCs/>
              </w:rPr>
              <w:t>Havonta</w:t>
            </w:r>
          </w:p>
        </w:tc>
      </w:tr>
      <w:tr w:rsidR="00135ABB" w14:paraId="32148310" w14:textId="77777777" w:rsidTr="00CE18F9">
        <w:tc>
          <w:tcPr>
            <w:tcW w:w="15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3347A38" w14:textId="77777777" w:rsidR="00135ABB" w:rsidRDefault="00135ABB" w:rsidP="00135ABB">
            <w:pPr>
              <w:keepNext/>
              <w:rPr>
                <w:rFonts w:eastAsia="Times New Roman"/>
              </w:rPr>
            </w:pPr>
            <w:r w:rsidRPr="002A479B">
              <w:rPr>
                <w:rFonts w:eastAsia="Times New Roman"/>
                <w:b/>
                <w:bCs/>
              </w:rPr>
              <w:t>Korrigáló lépések</w:t>
            </w:r>
          </w:p>
          <w:p w14:paraId="11CE2A3A" w14:textId="2F417702" w:rsidR="00135ABB" w:rsidRDefault="00135ABB" w:rsidP="00135AB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</w:rPr>
              <w:t>(3</w:t>
            </w:r>
            <w:r>
              <w:rPr>
                <w:rFonts w:eastAsia="Times New Roman"/>
              </w:rPr>
              <w:t>–</w:t>
            </w:r>
            <w:r w:rsidRPr="002A479B">
              <w:rPr>
                <w:rFonts w:eastAsia="Times New Roman"/>
              </w:rPr>
              <w:t>6 havonta)</w:t>
            </w:r>
          </w:p>
        </w:tc>
        <w:tc>
          <w:tcPr>
            <w:tcW w:w="2046" w:type="dxa"/>
            <w:tcBorders>
              <w:top w:val="single" w:sz="4" w:space="0" w:color="auto"/>
            </w:tcBorders>
          </w:tcPr>
          <w:p w14:paraId="2D36AF17" w14:textId="5B9C12FF" w:rsidR="00135ABB" w:rsidRDefault="00135ABB" w:rsidP="00CE18F9">
            <w:pPr>
              <w:keepNext/>
              <w:tabs>
                <w:tab w:val="left" w:pos="1121"/>
              </w:tabs>
              <w:jc w:val="center"/>
            </w:pPr>
            <w:r w:rsidRPr="002A479B">
              <w:rPr>
                <w:rFonts w:eastAsia="Times New Roman"/>
                <w:b/>
                <w:bCs/>
              </w:rPr>
              <w:t>Növelés</w:t>
            </w:r>
          </w:p>
        </w:tc>
        <w:tc>
          <w:tcPr>
            <w:tcW w:w="2033" w:type="dxa"/>
            <w:tcBorders>
              <w:top w:val="single" w:sz="4" w:space="0" w:color="auto"/>
            </w:tcBorders>
            <w:vAlign w:val="bottom"/>
          </w:tcPr>
          <w:p w14:paraId="25E7CBCA" w14:textId="3FEC9027" w:rsidR="00135ABB" w:rsidRDefault="00135ABB" w:rsidP="00135AB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</w:rPr>
              <w:t>≥ 7 mg Fe/g dw</w:t>
            </w:r>
          </w:p>
        </w:tc>
        <w:tc>
          <w:tcPr>
            <w:tcW w:w="265" w:type="dxa"/>
            <w:tcBorders>
              <w:top w:val="single" w:sz="4" w:space="0" w:color="auto"/>
            </w:tcBorders>
          </w:tcPr>
          <w:p w14:paraId="4881D455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789" w:type="dxa"/>
            <w:tcBorders>
              <w:top w:val="single" w:sz="4" w:space="0" w:color="auto"/>
            </w:tcBorders>
          </w:tcPr>
          <w:p w14:paraId="407FF3E0" w14:textId="34F41C15" w:rsidR="00135ABB" w:rsidRDefault="00135ABB" w:rsidP="00135ABB">
            <w:pPr>
              <w:keepNext/>
              <w:tabs>
                <w:tab w:val="left" w:pos="1121"/>
              </w:tabs>
            </w:pPr>
            <w:r>
              <w:t>vagy</w:t>
            </w:r>
          </w:p>
        </w:tc>
        <w:tc>
          <w:tcPr>
            <w:tcW w:w="265" w:type="dxa"/>
            <w:tcBorders>
              <w:top w:val="single" w:sz="4" w:space="0" w:color="auto"/>
            </w:tcBorders>
          </w:tcPr>
          <w:p w14:paraId="54716FD5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14:paraId="37BB9373" w14:textId="575C4C9C" w:rsidR="00135ABB" w:rsidRDefault="00135ABB" w:rsidP="00135AB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</w:rPr>
              <w:t>&gt; 2000 </w:t>
            </w:r>
            <w:r>
              <w:rPr>
                <w:rFonts w:eastAsia="Times New Roman"/>
              </w:rPr>
              <w:t>mikrogramm</w:t>
            </w:r>
            <w:r w:rsidRPr="002A479B">
              <w:rPr>
                <w:rFonts w:eastAsia="Times New Roman"/>
              </w:rPr>
              <w:t>/l</w:t>
            </w:r>
          </w:p>
        </w:tc>
      </w:tr>
      <w:tr w:rsidR="00135ABB" w14:paraId="342220F6" w14:textId="77777777" w:rsidTr="00CE18F9">
        <w:tc>
          <w:tcPr>
            <w:tcW w:w="1508" w:type="dxa"/>
            <w:vMerge/>
            <w:tcBorders>
              <w:bottom w:val="single" w:sz="4" w:space="0" w:color="auto"/>
            </w:tcBorders>
          </w:tcPr>
          <w:p w14:paraId="57F4BFF2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046" w:type="dxa"/>
          </w:tcPr>
          <w:p w14:paraId="63749D86" w14:textId="7D51ED45" w:rsidR="00135ABB" w:rsidRDefault="00135ABB" w:rsidP="00135AB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</w:rPr>
              <w:t>3,5</w:t>
            </w:r>
            <w:r>
              <w:rPr>
                <w:rFonts w:eastAsia="Times New Roman"/>
              </w:rPr>
              <w:t>–</w:t>
            </w:r>
            <w:r w:rsidRPr="002A479B">
              <w:rPr>
                <w:rFonts w:eastAsia="Times New Roman"/>
              </w:rPr>
              <w:t>7 mg/ttkg/nap</w:t>
            </w:r>
          </w:p>
        </w:tc>
        <w:tc>
          <w:tcPr>
            <w:tcW w:w="2033" w:type="dxa"/>
          </w:tcPr>
          <w:p w14:paraId="0BCC0C21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</w:tcPr>
          <w:p w14:paraId="2DF9F76D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789" w:type="dxa"/>
          </w:tcPr>
          <w:p w14:paraId="46F004AB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</w:tcPr>
          <w:p w14:paraId="7C776F90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161" w:type="dxa"/>
          </w:tcPr>
          <w:p w14:paraId="6995D53B" w14:textId="1EDC1752" w:rsidR="00135ABB" w:rsidRDefault="00135ABB" w:rsidP="00135ABB">
            <w:pPr>
              <w:keepNext/>
              <w:tabs>
                <w:tab w:val="left" w:pos="1121"/>
              </w:tabs>
            </w:pPr>
          </w:p>
        </w:tc>
      </w:tr>
      <w:tr w:rsidR="00135ABB" w14:paraId="7440CF81" w14:textId="77777777" w:rsidTr="00CE18F9">
        <w:tc>
          <w:tcPr>
            <w:tcW w:w="1508" w:type="dxa"/>
            <w:vMerge/>
            <w:tcBorders>
              <w:bottom w:val="single" w:sz="4" w:space="0" w:color="auto"/>
            </w:tcBorders>
          </w:tcPr>
          <w:p w14:paraId="1C573FC2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046" w:type="dxa"/>
          </w:tcPr>
          <w:p w14:paraId="5A35A667" w14:textId="5EC3623B" w:rsidR="00135ABB" w:rsidRDefault="00135ABB" w:rsidP="00CE18F9">
            <w:pPr>
              <w:keepNext/>
              <w:tabs>
                <w:tab w:val="left" w:pos="1121"/>
              </w:tabs>
              <w:jc w:val="center"/>
            </w:pPr>
            <w:r w:rsidRPr="002A479B">
              <w:rPr>
                <w:rFonts w:eastAsia="Times New Roman"/>
                <w:b/>
                <w:bCs/>
              </w:rPr>
              <w:t>Csökken</w:t>
            </w:r>
            <w:r>
              <w:rPr>
                <w:rFonts w:eastAsia="Times New Roman"/>
                <w:b/>
                <w:bCs/>
              </w:rPr>
              <w:t>t</w:t>
            </w:r>
            <w:r w:rsidRPr="002A479B">
              <w:rPr>
                <w:rFonts w:eastAsia="Times New Roman"/>
                <w:b/>
                <w:bCs/>
              </w:rPr>
              <w:t>és</w:t>
            </w:r>
          </w:p>
        </w:tc>
        <w:tc>
          <w:tcPr>
            <w:tcW w:w="2033" w:type="dxa"/>
          </w:tcPr>
          <w:p w14:paraId="573DAEB5" w14:textId="6117B2C6" w:rsidR="00135ABB" w:rsidRDefault="00135ABB" w:rsidP="00135AB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</w:rPr>
              <w:t>&lt; 7 mg Fe/g dw</w:t>
            </w:r>
          </w:p>
        </w:tc>
        <w:tc>
          <w:tcPr>
            <w:tcW w:w="265" w:type="dxa"/>
          </w:tcPr>
          <w:p w14:paraId="7464482B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789" w:type="dxa"/>
          </w:tcPr>
          <w:p w14:paraId="10D918E9" w14:textId="14C63403" w:rsidR="00135ABB" w:rsidRDefault="00135ABB" w:rsidP="00135ABB">
            <w:pPr>
              <w:keepNext/>
              <w:tabs>
                <w:tab w:val="left" w:pos="1121"/>
              </w:tabs>
            </w:pPr>
            <w:r>
              <w:t>vagy</w:t>
            </w:r>
          </w:p>
        </w:tc>
        <w:tc>
          <w:tcPr>
            <w:tcW w:w="265" w:type="dxa"/>
          </w:tcPr>
          <w:p w14:paraId="51F9B256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161" w:type="dxa"/>
            <w:vAlign w:val="bottom"/>
          </w:tcPr>
          <w:p w14:paraId="46318179" w14:textId="721AFE86" w:rsidR="00135ABB" w:rsidRDefault="00135ABB" w:rsidP="00135ABB">
            <w:pPr>
              <w:keepNext/>
              <w:tabs>
                <w:tab w:val="left" w:pos="1121"/>
              </w:tabs>
            </w:pPr>
            <w:r w:rsidRPr="002A479B">
              <w:rPr>
                <w:rFonts w:eastAsia="Arial"/>
              </w:rPr>
              <w:t>≤ </w:t>
            </w:r>
            <w:r w:rsidRPr="002A479B">
              <w:rPr>
                <w:rFonts w:eastAsia="Times New Roman"/>
              </w:rPr>
              <w:t>2000 </w:t>
            </w:r>
            <w:r>
              <w:rPr>
                <w:rFonts w:eastAsia="Times New Roman"/>
              </w:rPr>
              <w:t>mikrogramm</w:t>
            </w:r>
            <w:r w:rsidRPr="002A479B">
              <w:rPr>
                <w:rFonts w:eastAsia="Times New Roman"/>
              </w:rPr>
              <w:t>/l</w:t>
            </w:r>
          </w:p>
        </w:tc>
      </w:tr>
      <w:tr w:rsidR="00135ABB" w14:paraId="5AD09FB2" w14:textId="77777777" w:rsidTr="00CE18F9">
        <w:tc>
          <w:tcPr>
            <w:tcW w:w="1508" w:type="dxa"/>
            <w:vMerge/>
            <w:tcBorders>
              <w:bottom w:val="single" w:sz="4" w:space="0" w:color="auto"/>
            </w:tcBorders>
          </w:tcPr>
          <w:p w14:paraId="75656BD1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046" w:type="dxa"/>
            <w:tcBorders>
              <w:bottom w:val="single" w:sz="4" w:space="0" w:color="auto"/>
            </w:tcBorders>
          </w:tcPr>
          <w:p w14:paraId="4EE616C1" w14:textId="6D0FEE51" w:rsidR="00135ABB" w:rsidRDefault="00135ABB" w:rsidP="00135AB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</w:rPr>
              <w:t>3,5</w:t>
            </w:r>
            <w:r>
              <w:rPr>
                <w:rFonts w:eastAsia="Times New Roman"/>
              </w:rPr>
              <w:t>–</w:t>
            </w:r>
            <w:r w:rsidRPr="002A479B">
              <w:rPr>
                <w:rFonts w:eastAsia="Times New Roman"/>
              </w:rPr>
              <w:t>7 mg/ttkg/nap</w:t>
            </w:r>
          </w:p>
        </w:tc>
        <w:tc>
          <w:tcPr>
            <w:tcW w:w="2033" w:type="dxa"/>
            <w:tcBorders>
              <w:bottom w:val="single" w:sz="4" w:space="0" w:color="auto"/>
            </w:tcBorders>
          </w:tcPr>
          <w:p w14:paraId="6C03BE41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  <w:tcBorders>
              <w:bottom w:val="single" w:sz="4" w:space="0" w:color="auto"/>
            </w:tcBorders>
          </w:tcPr>
          <w:p w14:paraId="66A6C324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789" w:type="dxa"/>
            <w:tcBorders>
              <w:bottom w:val="single" w:sz="4" w:space="0" w:color="auto"/>
            </w:tcBorders>
          </w:tcPr>
          <w:p w14:paraId="7867C4A0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  <w:tcBorders>
              <w:bottom w:val="single" w:sz="4" w:space="0" w:color="auto"/>
            </w:tcBorders>
          </w:tcPr>
          <w:p w14:paraId="4872C7DD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14:paraId="26991BEA" w14:textId="733B63DB" w:rsidR="00135ABB" w:rsidRDefault="00135ABB" w:rsidP="00135ABB">
            <w:pPr>
              <w:keepNext/>
              <w:tabs>
                <w:tab w:val="left" w:pos="1121"/>
              </w:tabs>
            </w:pPr>
          </w:p>
        </w:tc>
      </w:tr>
      <w:tr w:rsidR="00135ABB" w14:paraId="4FA88888" w14:textId="77777777" w:rsidTr="00CE18F9">
        <w:tc>
          <w:tcPr>
            <w:tcW w:w="1508" w:type="dxa"/>
            <w:vMerge w:val="restart"/>
            <w:tcBorders>
              <w:top w:val="single" w:sz="4" w:space="0" w:color="auto"/>
            </w:tcBorders>
          </w:tcPr>
          <w:p w14:paraId="108B58A4" w14:textId="578CB90D" w:rsidR="00135ABB" w:rsidRDefault="00135ABB" w:rsidP="00135AB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  <w:b/>
                <w:bCs/>
              </w:rPr>
              <w:t>Maximális dózis</w:t>
            </w:r>
          </w:p>
        </w:tc>
        <w:tc>
          <w:tcPr>
            <w:tcW w:w="2046" w:type="dxa"/>
            <w:tcBorders>
              <w:top w:val="single" w:sz="4" w:space="0" w:color="auto"/>
            </w:tcBorders>
          </w:tcPr>
          <w:p w14:paraId="4CD45169" w14:textId="2F0E427E" w:rsidR="00135ABB" w:rsidRDefault="00135ABB" w:rsidP="00135ABB">
            <w:pPr>
              <w:keepNext/>
              <w:tabs>
                <w:tab w:val="left" w:pos="1121"/>
              </w:tabs>
            </w:pPr>
            <w:r w:rsidRPr="00AF1A09">
              <w:rPr>
                <w:rFonts w:eastAsia="Times New Roman"/>
                <w:b/>
                <w:bCs/>
              </w:rPr>
              <w:t>14 mg/ttkg/nap</w:t>
            </w:r>
          </w:p>
        </w:tc>
        <w:tc>
          <w:tcPr>
            <w:tcW w:w="2033" w:type="dxa"/>
            <w:tcBorders>
              <w:top w:val="single" w:sz="4" w:space="0" w:color="auto"/>
            </w:tcBorders>
          </w:tcPr>
          <w:p w14:paraId="08440E14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  <w:tcBorders>
              <w:top w:val="single" w:sz="4" w:space="0" w:color="auto"/>
            </w:tcBorders>
          </w:tcPr>
          <w:p w14:paraId="35DCBC14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789" w:type="dxa"/>
            <w:tcBorders>
              <w:top w:val="single" w:sz="4" w:space="0" w:color="auto"/>
            </w:tcBorders>
          </w:tcPr>
          <w:p w14:paraId="57694BE6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  <w:tcBorders>
              <w:top w:val="single" w:sz="4" w:space="0" w:color="auto"/>
            </w:tcBorders>
          </w:tcPr>
          <w:p w14:paraId="635F0E29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14:paraId="7028288C" w14:textId="766A3423" w:rsidR="00135ABB" w:rsidRDefault="00135ABB" w:rsidP="00135ABB">
            <w:pPr>
              <w:keepNext/>
              <w:tabs>
                <w:tab w:val="left" w:pos="1121"/>
              </w:tabs>
            </w:pPr>
          </w:p>
        </w:tc>
      </w:tr>
      <w:tr w:rsidR="00135ABB" w14:paraId="1E26312F" w14:textId="77777777" w:rsidTr="00CE18F9">
        <w:tc>
          <w:tcPr>
            <w:tcW w:w="1508" w:type="dxa"/>
            <w:vMerge/>
          </w:tcPr>
          <w:p w14:paraId="7D85AE0D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046" w:type="dxa"/>
            <w:tcBorders>
              <w:bottom w:val="single" w:sz="4" w:space="0" w:color="auto"/>
            </w:tcBorders>
          </w:tcPr>
          <w:p w14:paraId="0C731393" w14:textId="0420C7B5" w:rsidR="00135ABB" w:rsidRDefault="00135ABB" w:rsidP="00135AB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</w:rPr>
              <w:t>Felnőttek esetén</w:t>
            </w:r>
          </w:p>
        </w:tc>
        <w:tc>
          <w:tcPr>
            <w:tcW w:w="2033" w:type="dxa"/>
            <w:tcBorders>
              <w:bottom w:val="single" w:sz="4" w:space="0" w:color="auto"/>
            </w:tcBorders>
          </w:tcPr>
          <w:p w14:paraId="35C2A2C7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  <w:tcBorders>
              <w:bottom w:val="single" w:sz="4" w:space="0" w:color="auto"/>
            </w:tcBorders>
          </w:tcPr>
          <w:p w14:paraId="06EB84DD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789" w:type="dxa"/>
            <w:tcBorders>
              <w:bottom w:val="single" w:sz="4" w:space="0" w:color="auto"/>
            </w:tcBorders>
          </w:tcPr>
          <w:p w14:paraId="1454BA3A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  <w:tcBorders>
              <w:bottom w:val="single" w:sz="4" w:space="0" w:color="auto"/>
            </w:tcBorders>
          </w:tcPr>
          <w:p w14:paraId="1178EF6E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14:paraId="678616D1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</w:tr>
      <w:tr w:rsidR="00135ABB" w14:paraId="42681492" w14:textId="77777777" w:rsidTr="00CE18F9">
        <w:tc>
          <w:tcPr>
            <w:tcW w:w="1508" w:type="dxa"/>
            <w:vMerge/>
          </w:tcPr>
          <w:p w14:paraId="0618055B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046" w:type="dxa"/>
            <w:tcBorders>
              <w:top w:val="single" w:sz="4" w:space="0" w:color="auto"/>
            </w:tcBorders>
          </w:tcPr>
          <w:p w14:paraId="62922788" w14:textId="027A26EC" w:rsidR="00135ABB" w:rsidRDefault="00135ABB" w:rsidP="00135AB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  <w:b/>
                <w:bCs/>
              </w:rPr>
              <w:t>7 mg/ttkg/nap</w:t>
            </w:r>
          </w:p>
        </w:tc>
        <w:tc>
          <w:tcPr>
            <w:tcW w:w="2033" w:type="dxa"/>
            <w:tcBorders>
              <w:top w:val="single" w:sz="4" w:space="0" w:color="auto"/>
            </w:tcBorders>
          </w:tcPr>
          <w:p w14:paraId="1C038472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  <w:tcBorders>
              <w:top w:val="single" w:sz="4" w:space="0" w:color="auto"/>
            </w:tcBorders>
          </w:tcPr>
          <w:p w14:paraId="4DFCBC71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789" w:type="dxa"/>
            <w:tcBorders>
              <w:top w:val="single" w:sz="4" w:space="0" w:color="auto"/>
            </w:tcBorders>
          </w:tcPr>
          <w:p w14:paraId="73D60946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  <w:tcBorders>
              <w:top w:val="single" w:sz="4" w:space="0" w:color="auto"/>
            </w:tcBorders>
          </w:tcPr>
          <w:p w14:paraId="752EB48B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161" w:type="dxa"/>
            <w:tcBorders>
              <w:top w:val="single" w:sz="4" w:space="0" w:color="auto"/>
            </w:tcBorders>
          </w:tcPr>
          <w:p w14:paraId="1BD12AEA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</w:tr>
      <w:tr w:rsidR="00135ABB" w14:paraId="41F866A2" w14:textId="77777777" w:rsidTr="00CE18F9">
        <w:tc>
          <w:tcPr>
            <w:tcW w:w="1508" w:type="dxa"/>
            <w:vMerge/>
          </w:tcPr>
          <w:p w14:paraId="2955A7A6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046" w:type="dxa"/>
          </w:tcPr>
          <w:p w14:paraId="560D5C4D" w14:textId="1EB8D7CE" w:rsidR="00135ABB" w:rsidRDefault="00135ABB" w:rsidP="00135AB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</w:rPr>
              <w:t>Gyermek</w:t>
            </w:r>
            <w:r>
              <w:rPr>
                <w:rFonts w:eastAsia="Times New Roman"/>
              </w:rPr>
              <w:t>ek és serdülők</w:t>
            </w:r>
            <w:r w:rsidRPr="002A479B">
              <w:rPr>
                <w:rFonts w:eastAsia="Times New Roman"/>
              </w:rPr>
              <w:t xml:space="preserve"> esetén</w:t>
            </w:r>
          </w:p>
        </w:tc>
        <w:tc>
          <w:tcPr>
            <w:tcW w:w="2033" w:type="dxa"/>
          </w:tcPr>
          <w:p w14:paraId="599ADD5F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</w:tcPr>
          <w:p w14:paraId="252B78D4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789" w:type="dxa"/>
          </w:tcPr>
          <w:p w14:paraId="0FC72566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</w:tcPr>
          <w:p w14:paraId="65F27F5D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161" w:type="dxa"/>
          </w:tcPr>
          <w:p w14:paraId="230CED4D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</w:tr>
      <w:tr w:rsidR="00135ABB" w14:paraId="6D1ABD5A" w14:textId="77777777" w:rsidTr="00CE18F9">
        <w:tc>
          <w:tcPr>
            <w:tcW w:w="1508" w:type="dxa"/>
            <w:vMerge/>
          </w:tcPr>
          <w:p w14:paraId="03BC28ED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046" w:type="dxa"/>
          </w:tcPr>
          <w:p w14:paraId="647AC737" w14:textId="7BB82EE1" w:rsidR="00135ABB" w:rsidRPr="00CE18F9" w:rsidRDefault="00135ABB" w:rsidP="00CE18F9">
            <w:pPr>
              <w:keepNext/>
              <w:rPr>
                <w:rFonts w:eastAsia="Times New Roman"/>
              </w:rPr>
            </w:pPr>
            <w:r w:rsidRPr="002A479B">
              <w:rPr>
                <w:rFonts w:eastAsia="Times New Roman"/>
                <w:b/>
                <w:bCs/>
              </w:rPr>
              <w:t>7 mg/ttkg/nap</w:t>
            </w:r>
          </w:p>
        </w:tc>
        <w:tc>
          <w:tcPr>
            <w:tcW w:w="2033" w:type="dxa"/>
          </w:tcPr>
          <w:p w14:paraId="55396EE2" w14:textId="41D41B0D" w:rsidR="00135ABB" w:rsidRDefault="00135ABB" w:rsidP="00135ABB">
            <w:pPr>
              <w:keepNext/>
              <w:tabs>
                <w:tab w:val="left" w:pos="1121"/>
              </w:tabs>
            </w:pPr>
            <w:r>
              <w:t>nem mérték</w:t>
            </w:r>
          </w:p>
        </w:tc>
        <w:tc>
          <w:tcPr>
            <w:tcW w:w="265" w:type="dxa"/>
          </w:tcPr>
          <w:p w14:paraId="175FAF24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789" w:type="dxa"/>
          </w:tcPr>
          <w:p w14:paraId="4CCEC627" w14:textId="6CD62468" w:rsidR="00135ABB" w:rsidRDefault="00135ABB" w:rsidP="00135ABB">
            <w:pPr>
              <w:keepNext/>
              <w:tabs>
                <w:tab w:val="left" w:pos="1121"/>
              </w:tabs>
            </w:pPr>
            <w:r>
              <w:t>és</w:t>
            </w:r>
          </w:p>
        </w:tc>
        <w:tc>
          <w:tcPr>
            <w:tcW w:w="265" w:type="dxa"/>
          </w:tcPr>
          <w:p w14:paraId="3394AA59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161" w:type="dxa"/>
          </w:tcPr>
          <w:p w14:paraId="6957EC8D" w14:textId="06D02EA0" w:rsidR="00135ABB" w:rsidRDefault="00135ABB" w:rsidP="00135ABB">
            <w:pPr>
              <w:keepNext/>
              <w:tabs>
                <w:tab w:val="left" w:pos="1121"/>
              </w:tabs>
            </w:pPr>
            <w:r w:rsidRPr="002A479B">
              <w:rPr>
                <w:rFonts w:eastAsia="Arial"/>
              </w:rPr>
              <w:t>≤ </w:t>
            </w:r>
            <w:r w:rsidRPr="002A479B">
              <w:rPr>
                <w:rFonts w:eastAsia="Times New Roman"/>
              </w:rPr>
              <w:t>2000 </w:t>
            </w:r>
            <w:r>
              <w:rPr>
                <w:rFonts w:eastAsia="Times New Roman"/>
              </w:rPr>
              <w:t>mikrogramm</w:t>
            </w:r>
            <w:r w:rsidRPr="002A479B">
              <w:rPr>
                <w:rFonts w:eastAsia="Times New Roman"/>
              </w:rPr>
              <w:t>/l</w:t>
            </w:r>
          </w:p>
        </w:tc>
      </w:tr>
      <w:tr w:rsidR="00135ABB" w14:paraId="5801F742" w14:textId="77777777" w:rsidTr="00CE18F9">
        <w:tc>
          <w:tcPr>
            <w:tcW w:w="1508" w:type="dxa"/>
            <w:vMerge/>
            <w:tcBorders>
              <w:bottom w:val="single" w:sz="4" w:space="0" w:color="auto"/>
            </w:tcBorders>
          </w:tcPr>
          <w:p w14:paraId="5D80F229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046" w:type="dxa"/>
            <w:tcBorders>
              <w:bottom w:val="single" w:sz="4" w:space="0" w:color="auto"/>
            </w:tcBorders>
          </w:tcPr>
          <w:p w14:paraId="36D6FA6B" w14:textId="221D506B" w:rsidR="00135ABB" w:rsidRDefault="00135ABB" w:rsidP="00135ABB">
            <w:pPr>
              <w:keepNext/>
              <w:tabs>
                <w:tab w:val="left" w:pos="1121"/>
              </w:tabs>
            </w:pPr>
            <w:r>
              <w:rPr>
                <w:rFonts w:eastAsia="Times New Roman"/>
              </w:rPr>
              <w:t>Felnőttek, valamint g</w:t>
            </w:r>
            <w:r w:rsidRPr="002A479B">
              <w:rPr>
                <w:rFonts w:eastAsia="Times New Roman"/>
              </w:rPr>
              <w:t>yermek</w:t>
            </w:r>
            <w:r>
              <w:rPr>
                <w:rFonts w:eastAsia="Times New Roman"/>
              </w:rPr>
              <w:t>ek és serdülők</w:t>
            </w:r>
            <w:r w:rsidRPr="002A479B">
              <w:rPr>
                <w:rFonts w:eastAsia="Times New Roman"/>
              </w:rPr>
              <w:t xml:space="preserve"> esetén</w:t>
            </w:r>
            <w:r>
              <w:rPr>
                <w:rFonts w:eastAsia="Times New Roman"/>
              </w:rPr>
              <w:t xml:space="preserve"> egyaránt</w:t>
            </w:r>
          </w:p>
        </w:tc>
        <w:tc>
          <w:tcPr>
            <w:tcW w:w="2033" w:type="dxa"/>
            <w:tcBorders>
              <w:bottom w:val="single" w:sz="4" w:space="0" w:color="auto"/>
            </w:tcBorders>
          </w:tcPr>
          <w:p w14:paraId="7051A772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  <w:tcBorders>
              <w:bottom w:val="single" w:sz="4" w:space="0" w:color="auto"/>
            </w:tcBorders>
          </w:tcPr>
          <w:p w14:paraId="0791B2AF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789" w:type="dxa"/>
            <w:tcBorders>
              <w:bottom w:val="single" w:sz="4" w:space="0" w:color="auto"/>
            </w:tcBorders>
          </w:tcPr>
          <w:p w14:paraId="7B809732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65" w:type="dxa"/>
            <w:tcBorders>
              <w:bottom w:val="single" w:sz="4" w:space="0" w:color="auto"/>
            </w:tcBorders>
          </w:tcPr>
          <w:p w14:paraId="0F355F24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161" w:type="dxa"/>
            <w:tcBorders>
              <w:bottom w:val="single" w:sz="4" w:space="0" w:color="auto"/>
            </w:tcBorders>
          </w:tcPr>
          <w:p w14:paraId="0D8F92DE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</w:tr>
      <w:tr w:rsidR="00135ABB" w14:paraId="21666766" w14:textId="77777777" w:rsidTr="00CE18F9">
        <w:tc>
          <w:tcPr>
            <w:tcW w:w="1508" w:type="dxa"/>
            <w:tcBorders>
              <w:top w:val="single" w:sz="4" w:space="0" w:color="auto"/>
              <w:bottom w:val="single" w:sz="4" w:space="0" w:color="auto"/>
            </w:tcBorders>
          </w:tcPr>
          <w:p w14:paraId="28F3B9DB" w14:textId="25E5DB8A" w:rsidR="00135ABB" w:rsidRDefault="00135ABB" w:rsidP="00135AB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  <w:b/>
                <w:bCs/>
              </w:rPr>
              <w:t>A kezelés megszakítása</w:t>
            </w:r>
          </w:p>
        </w:tc>
        <w:tc>
          <w:tcPr>
            <w:tcW w:w="2046" w:type="dxa"/>
            <w:tcBorders>
              <w:top w:val="single" w:sz="4" w:space="0" w:color="auto"/>
              <w:bottom w:val="single" w:sz="4" w:space="0" w:color="auto"/>
            </w:tcBorders>
          </w:tcPr>
          <w:p w14:paraId="292DBC22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033" w:type="dxa"/>
            <w:tcBorders>
              <w:top w:val="single" w:sz="4" w:space="0" w:color="auto"/>
              <w:bottom w:val="single" w:sz="4" w:space="0" w:color="auto"/>
            </w:tcBorders>
          </w:tcPr>
          <w:p w14:paraId="5A973952" w14:textId="6C7BFB98" w:rsidR="00135ABB" w:rsidRDefault="00135ABB" w:rsidP="00135AB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  <w:b/>
                <w:bCs/>
              </w:rPr>
              <w:t>&lt; 3 mg Fe/g dw</w:t>
            </w:r>
          </w:p>
        </w:tc>
        <w:tc>
          <w:tcPr>
            <w:tcW w:w="265" w:type="dxa"/>
            <w:tcBorders>
              <w:top w:val="single" w:sz="4" w:space="0" w:color="auto"/>
              <w:bottom w:val="single" w:sz="4" w:space="0" w:color="auto"/>
            </w:tcBorders>
          </w:tcPr>
          <w:p w14:paraId="767ED7E0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</w:tcPr>
          <w:p w14:paraId="7B2CAB73" w14:textId="511C06F7" w:rsidR="00135ABB" w:rsidRDefault="00135ABB" w:rsidP="00135ABB">
            <w:pPr>
              <w:keepNext/>
              <w:tabs>
                <w:tab w:val="left" w:pos="1121"/>
              </w:tabs>
            </w:pPr>
            <w:r>
              <w:t>vagy</w:t>
            </w:r>
          </w:p>
        </w:tc>
        <w:tc>
          <w:tcPr>
            <w:tcW w:w="265" w:type="dxa"/>
            <w:tcBorders>
              <w:top w:val="single" w:sz="4" w:space="0" w:color="auto"/>
              <w:bottom w:val="single" w:sz="4" w:space="0" w:color="auto"/>
            </w:tcBorders>
          </w:tcPr>
          <w:p w14:paraId="7BBA5D60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21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D1CCB" w14:textId="44E54686" w:rsidR="00135ABB" w:rsidRDefault="00135ABB" w:rsidP="00CE18F9">
            <w:pPr>
              <w:keepNext/>
            </w:pPr>
            <w:r w:rsidRPr="002A479B">
              <w:rPr>
                <w:rFonts w:eastAsia="Times New Roman"/>
                <w:b/>
                <w:bCs/>
              </w:rPr>
              <w:t xml:space="preserve">&lt;300 </w:t>
            </w:r>
            <w:r>
              <w:rPr>
                <w:rFonts w:eastAsia="Times New Roman"/>
                <w:b/>
                <w:bCs/>
              </w:rPr>
              <w:t>mikrogramm</w:t>
            </w:r>
            <w:r w:rsidRPr="002A479B">
              <w:rPr>
                <w:rFonts w:eastAsia="Times New Roman"/>
                <w:b/>
                <w:bCs/>
              </w:rPr>
              <w:t>/l</w:t>
            </w:r>
          </w:p>
        </w:tc>
      </w:tr>
      <w:tr w:rsidR="00135ABB" w14:paraId="46D8D514" w14:textId="77777777" w:rsidTr="00CE18F9">
        <w:tc>
          <w:tcPr>
            <w:tcW w:w="1508" w:type="dxa"/>
            <w:tcBorders>
              <w:top w:val="single" w:sz="4" w:space="0" w:color="auto"/>
              <w:bottom w:val="single" w:sz="4" w:space="0" w:color="auto"/>
            </w:tcBorders>
          </w:tcPr>
          <w:p w14:paraId="05D2387A" w14:textId="3CC12FF1" w:rsidR="00135ABB" w:rsidRDefault="00135ABB" w:rsidP="00135ABB">
            <w:pPr>
              <w:keepNext/>
              <w:tabs>
                <w:tab w:val="left" w:pos="1121"/>
              </w:tabs>
            </w:pPr>
            <w:r w:rsidRPr="002A479B">
              <w:rPr>
                <w:rFonts w:eastAsia="Times New Roman"/>
                <w:b/>
                <w:bCs/>
              </w:rPr>
              <w:t>Ismételt kezelés</w:t>
            </w:r>
          </w:p>
        </w:tc>
        <w:tc>
          <w:tcPr>
            <w:tcW w:w="2046" w:type="dxa"/>
            <w:tcBorders>
              <w:top w:val="single" w:sz="4" w:space="0" w:color="auto"/>
              <w:bottom w:val="single" w:sz="4" w:space="0" w:color="auto"/>
            </w:tcBorders>
          </w:tcPr>
          <w:p w14:paraId="6CCD5F7C" w14:textId="77777777" w:rsidR="00135ABB" w:rsidRDefault="00135ABB" w:rsidP="00135ABB">
            <w:pPr>
              <w:keepNext/>
              <w:tabs>
                <w:tab w:val="left" w:pos="1121"/>
              </w:tabs>
            </w:pPr>
          </w:p>
        </w:tc>
        <w:tc>
          <w:tcPr>
            <w:tcW w:w="551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8DBEAD" w14:textId="032C893A" w:rsidR="00135ABB" w:rsidRDefault="00135ABB" w:rsidP="00CE18F9">
            <w:pPr>
              <w:keepNext/>
              <w:tabs>
                <w:tab w:val="left" w:pos="1121"/>
              </w:tabs>
              <w:jc w:val="center"/>
            </w:pPr>
            <w:r w:rsidRPr="002A479B">
              <w:rPr>
                <w:rFonts w:eastAsia="Times New Roman"/>
                <w:b/>
                <w:bCs/>
              </w:rPr>
              <w:t>Nem javasolt</w:t>
            </w:r>
          </w:p>
        </w:tc>
      </w:tr>
    </w:tbl>
    <w:p w14:paraId="32FC01DA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Theme="minorEastAsia" w:hAnsi="Times New Roman" w:cs="Times New Roman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37591A0" wp14:editId="1060731B">
                <wp:simplePos x="0" y="0"/>
                <wp:positionH relativeFrom="column">
                  <wp:posOffset>-8890</wp:posOffset>
                </wp:positionH>
                <wp:positionV relativeFrom="paragraph">
                  <wp:posOffset>3810</wp:posOffset>
                </wp:positionV>
                <wp:extent cx="6040120" cy="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401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167F5FC" id="Shape 19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pt,.3pt" to="474.9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* A vastúlterhelés meghatározására a máj vaskoncentrációja </w:t>
      </w:r>
      <w:r w:rsidR="00D4564A">
        <w:rPr>
          <w:rFonts w:ascii="Times New Roman" w:eastAsia="Times New Roman" w:hAnsi="Times New Roman" w:cs="Times New Roman"/>
          <w:lang w:eastAsia="hu-HU"/>
        </w:rPr>
        <w:t xml:space="preserve">(LIC) </w:t>
      </w:r>
      <w:r w:rsidRPr="002A479B">
        <w:rPr>
          <w:rFonts w:ascii="Times New Roman" w:eastAsia="Times New Roman" w:hAnsi="Times New Roman" w:cs="Times New Roman"/>
          <w:lang w:eastAsia="hu-HU"/>
        </w:rPr>
        <w:t>a preferált módszer.</w:t>
      </w:r>
    </w:p>
    <w:p w14:paraId="08DFD24E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D93A01A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Kezdő dózis</w:t>
      </w:r>
    </w:p>
    <w:p w14:paraId="7371CDE6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filmtabletta javasolt kezdő napi dózisa a vértranszfúziótól nem függő thalassaemia szindrómákban szenvedő betegeknél 7 mg/ttkg.</w:t>
      </w:r>
    </w:p>
    <w:p w14:paraId="6FF4E331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0BCCBB5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Dózismódosítás</w:t>
      </w:r>
    </w:p>
    <w:p w14:paraId="05DFB0CE" w14:textId="0B2FFB79" w:rsidR="002A479B" w:rsidRPr="002A479B" w:rsidRDefault="006248E2" w:rsidP="002A479B">
      <w:pPr>
        <w:tabs>
          <w:tab w:val="left" w:pos="179"/>
        </w:tabs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9C6547">
        <w:rPr>
          <w:rFonts w:ascii="Times New Roman" w:eastAsia="Times New Roman" w:hAnsi="Times New Roman" w:cs="Times New Roman"/>
          <w:lang w:eastAsia="hu-HU"/>
        </w:rPr>
        <w:t>A beteg kezelésre adott válaszreakciójának értékelése és a túlzott kelátképzés kockázatának minimálisra csökkentése érdekében a szérumferritin havonkénti monitor</w:t>
      </w:r>
      <w:r>
        <w:rPr>
          <w:rFonts w:ascii="Times New Roman" w:eastAsia="Times New Roman" w:hAnsi="Times New Roman" w:cs="Times New Roman"/>
          <w:lang w:eastAsia="hu-HU"/>
        </w:rPr>
        <w:t>ozása javasolt (lásd 4.4 </w:t>
      </w:r>
      <w:r w:rsidRPr="009C6547">
        <w:rPr>
          <w:rFonts w:ascii="Times New Roman" w:eastAsia="Times New Roman" w:hAnsi="Times New Roman" w:cs="Times New Roman"/>
          <w:lang w:eastAsia="hu-HU"/>
        </w:rPr>
        <w:t>pont).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 xml:space="preserve"> A kezelés minden 3</w:t>
      </w:r>
      <w:r w:rsidR="00CD131C">
        <w:rPr>
          <w:rFonts w:ascii="Times New Roman" w:eastAsia="Times New Roman" w:hAnsi="Times New Roman" w:cs="Times New Roman"/>
          <w:lang w:eastAsia="hu-HU"/>
        </w:rPr>
        <w:t>–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>6.</w:t>
      </w:r>
      <w:r w:rsidR="007B51BD">
        <w:rPr>
          <w:rFonts w:ascii="Times New Roman" w:eastAsia="Times New Roman" w:hAnsi="Times New Roman" w:cs="Times New Roman"/>
          <w:lang w:eastAsia="hu-HU"/>
        </w:rPr>
        <w:t> 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>hónapja után a dózis 3,5</w:t>
      </w:r>
      <w:r w:rsidR="00CD131C">
        <w:rPr>
          <w:rFonts w:ascii="Times New Roman" w:eastAsia="Times New Roman" w:hAnsi="Times New Roman" w:cs="Times New Roman"/>
          <w:lang w:eastAsia="hu-HU"/>
        </w:rPr>
        <w:t>–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>7 mg/ttkg-os lépésekben történő emelését kell mérlegelni, ha a betegnél a máj vaskoncentrációja 7 mg Fe/g száraz tömeg, vagy ha a szérumferritin következetesen &gt; 2000 </w:t>
      </w:r>
      <w:r w:rsidR="00AF1A09">
        <w:rPr>
          <w:rFonts w:ascii="Times New Roman" w:eastAsia="Times New Roman" w:hAnsi="Times New Roman" w:cs="Times New Roman"/>
          <w:lang w:eastAsia="hu-HU"/>
        </w:rPr>
        <w:t>mikrogramm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 xml:space="preserve">/l, és nem mutat csökkenő tendenciát, valamint a beteg jól tolerálja a gyógyszert. A </w:t>
      </w:r>
      <w:r w:rsidR="003B3A6C">
        <w:rPr>
          <w:rFonts w:ascii="Times New Roman" w:eastAsia="Times New Roman" w:hAnsi="Times New Roman" w:cs="Times New Roman"/>
          <w:lang w:eastAsia="hu-HU"/>
        </w:rPr>
        <w:t xml:space="preserve">deferazirox filmtabletta 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>14 mg/ttkg-nál magasabb dózis</w:t>
      </w:r>
      <w:r w:rsidR="003B3A6C">
        <w:rPr>
          <w:rFonts w:ascii="Times New Roman" w:eastAsia="Times New Roman" w:hAnsi="Times New Roman" w:cs="Times New Roman"/>
          <w:lang w:eastAsia="hu-HU"/>
        </w:rPr>
        <w:t>ai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 xml:space="preserve"> nem javasoltak, mivel az ezt a szintet meghaladó dózisokkal a vértranszfúziótól nem függő thalassaemia szindrómákban szenvedő betegekkel nincs tapasztalat.</w:t>
      </w:r>
    </w:p>
    <w:p w14:paraId="718E7E56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291AF98" w14:textId="4ACEFF6A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Azoknál a </w:t>
      </w:r>
      <w:r w:rsidR="003B3A6C">
        <w:rPr>
          <w:rFonts w:ascii="Times New Roman" w:eastAsia="Times New Roman" w:hAnsi="Times New Roman" w:cs="Times New Roman"/>
          <w:lang w:eastAsia="hu-HU"/>
        </w:rPr>
        <w:t>gyermekeknél, serdülőknél és felnőtteknél</w:t>
      </w:r>
      <w:r w:rsidRPr="002A479B">
        <w:rPr>
          <w:rFonts w:ascii="Times New Roman" w:eastAsia="Times New Roman" w:hAnsi="Times New Roman" w:cs="Times New Roman"/>
          <w:lang w:eastAsia="hu-HU"/>
        </w:rPr>
        <w:t>, akiknél nem történt meg a máj vaskoncentrációjának a mérése, és a szérumferritin ≤ 2000 </w:t>
      </w:r>
      <w:r w:rsidR="00AF1A09">
        <w:rPr>
          <w:rFonts w:ascii="Times New Roman" w:eastAsia="Times New Roman" w:hAnsi="Times New Roman" w:cs="Times New Roman"/>
          <w:lang w:eastAsia="hu-HU"/>
        </w:rPr>
        <w:t>mikrogramm</w:t>
      </w:r>
      <w:r w:rsidRPr="002A479B">
        <w:rPr>
          <w:rFonts w:ascii="Times New Roman" w:eastAsia="Times New Roman" w:hAnsi="Times New Roman" w:cs="Times New Roman"/>
          <w:lang w:eastAsia="hu-HU"/>
        </w:rPr>
        <w:t>/l, a</w:t>
      </w:r>
      <w:r w:rsidR="00E4086F">
        <w:rPr>
          <w:rFonts w:ascii="Times New Roman" w:eastAsia="Times New Roman" w:hAnsi="Times New Roman" w:cs="Times New Roman"/>
          <w:lang w:eastAsia="hu-HU"/>
        </w:rPr>
        <w:t xml:space="preserve"> deferazirox filmtabletta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dózis nem haladhatja meg a 7 mg/ttkg-ot.</w:t>
      </w:r>
    </w:p>
    <w:p w14:paraId="2A0A018F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CEA8C4A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Azoknál a betegeknél, akiknél a dózist &gt; 7 mg/ttkg-ra emelték, a dózis 7 mg/</w:t>
      </w:r>
      <w:r w:rsidR="00D4564A">
        <w:rPr>
          <w:rFonts w:ascii="Times New Roman" w:eastAsia="Times New Roman" w:hAnsi="Times New Roman" w:cs="Times New Roman"/>
          <w:lang w:eastAsia="hu-HU"/>
        </w:rPr>
        <w:t>tt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kg-ra vagy az alá történő csökkentése javasolt, ha a máj vaskoncentrációja &lt; 7 mg Fe/g száraz tömeg vagy a szérumferritin </w:t>
      </w:r>
      <w:r w:rsidR="00120C49" w:rsidRPr="00306B2D">
        <w:rPr>
          <w:rFonts w:ascii="Times New Roman" w:eastAsia="Arial" w:hAnsi="Times New Roman" w:cs="Times New Roman"/>
        </w:rPr>
        <w:t>≤ </w:t>
      </w:r>
      <w:r w:rsidRPr="002A479B">
        <w:rPr>
          <w:rFonts w:ascii="Times New Roman" w:eastAsia="Times New Roman" w:hAnsi="Times New Roman" w:cs="Times New Roman"/>
          <w:lang w:eastAsia="hu-HU"/>
        </w:rPr>
        <w:t>2000 </w:t>
      </w:r>
      <w:r w:rsidR="00AF1A09">
        <w:rPr>
          <w:rFonts w:ascii="Times New Roman" w:eastAsia="Times New Roman" w:hAnsi="Times New Roman" w:cs="Times New Roman"/>
          <w:lang w:eastAsia="hu-HU"/>
        </w:rPr>
        <w:t>mikrogramm</w:t>
      </w:r>
      <w:r w:rsidRPr="002A479B">
        <w:rPr>
          <w:rFonts w:ascii="Times New Roman" w:eastAsia="Times New Roman" w:hAnsi="Times New Roman" w:cs="Times New Roman"/>
          <w:lang w:eastAsia="hu-HU"/>
        </w:rPr>
        <w:t>/l.</w:t>
      </w:r>
    </w:p>
    <w:p w14:paraId="2D14CC59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1F04787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A kezelés abbahagyása</w:t>
      </w:r>
    </w:p>
    <w:p w14:paraId="49F4CDAD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Amikor sikerült kielégítő vasszintet elérni a szervezetben (a máj vaskoncentrációja &lt; 3 mg Fe/g száraz tömeg vagy a szérumferritin &lt; 300 </w:t>
      </w:r>
      <w:r w:rsidR="00AF1A09">
        <w:rPr>
          <w:rFonts w:ascii="Times New Roman" w:eastAsia="Times New Roman" w:hAnsi="Times New Roman" w:cs="Times New Roman"/>
          <w:lang w:eastAsia="hu-HU"/>
        </w:rPr>
        <w:t>mikrogramm</w:t>
      </w:r>
      <w:r w:rsidRPr="002A479B">
        <w:rPr>
          <w:rFonts w:ascii="Times New Roman" w:eastAsia="Times New Roman" w:hAnsi="Times New Roman" w:cs="Times New Roman"/>
          <w:lang w:eastAsia="hu-HU"/>
        </w:rPr>
        <w:t>/l), akkor a kezelést le kell állítani. A szervezet megfelelő vasszintjének elérése utáni, a vas ismételt felhalmozódását követő, újabb kezelésre vonatkozó adatok nem állnak rendelkezésre, ezért az ismételt kezelés nem javasolható.</w:t>
      </w:r>
    </w:p>
    <w:p w14:paraId="4F833233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729ABE3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i/>
          <w:iCs/>
          <w:u w:val="single"/>
          <w:lang w:eastAsia="hu-HU"/>
        </w:rPr>
        <w:t>Különleges betegcsoportok</w:t>
      </w:r>
    </w:p>
    <w:p w14:paraId="14B409BF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9E6959D" w14:textId="022950AA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Idősek (≥ 65</w:t>
      </w:r>
      <w:r w:rsidR="007B51BD">
        <w:rPr>
          <w:rFonts w:ascii="Times New Roman" w:eastAsia="Times New Roman" w:hAnsi="Times New Roman" w:cs="Times New Roman"/>
          <w:i/>
          <w:iCs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év)</w:t>
      </w:r>
    </w:p>
    <w:p w14:paraId="7E068ED5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Idősek esetében a javasolt adagolás megfelel a fent leírtaknak. A klinikai vizsgálatokban az időseknél nagyobb gyakorisággal észleltek mellékhatásokat, mint a fiatalabb betegeknél (különösen hasmenést), és náluk gondosan monitorozni kell a mellékhatásokat, amelyek dózismódosítást is szükségessé tehetnek.</w:t>
      </w:r>
    </w:p>
    <w:p w14:paraId="5CA289AC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28874E8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bookmarkStart w:id="4" w:name="page28"/>
      <w:bookmarkEnd w:id="4"/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Gyermekek és serdülők</w:t>
      </w:r>
    </w:p>
    <w:p w14:paraId="27F9D7ED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Vértranszfúziók okozta vastúlterhelés:</w:t>
      </w:r>
    </w:p>
    <w:p w14:paraId="36DD6B4D" w14:textId="06330C30" w:rsidR="002A479B" w:rsidRPr="002A479B" w:rsidRDefault="007B51BD" w:rsidP="00306B2D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Gyermek</w:t>
      </w:r>
      <w:r>
        <w:rPr>
          <w:rFonts w:ascii="Times New Roman" w:eastAsia="Times New Roman" w:hAnsi="Times New Roman" w:cs="Times New Roman"/>
          <w:lang w:eastAsia="hu-HU"/>
        </w:rPr>
        <w:t>- és serdülőkorú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>(2</w:t>
      </w:r>
      <w:r w:rsidR="00CD131C">
        <w:rPr>
          <w:rFonts w:ascii="Times New Roman" w:eastAsia="Times New Roman" w:hAnsi="Times New Roman" w:cs="Times New Roman"/>
          <w:lang w:eastAsia="hu-HU"/>
        </w:rPr>
        <w:t>–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 xml:space="preserve">17 éves), vértranszfúziók okozta vastúlterheléses betegek esetében a javasolt adagolás ugyanaz, mint a felnőtteknél </w:t>
      </w:r>
      <w:r w:rsidR="006248E2" w:rsidRPr="009C6547">
        <w:rPr>
          <w:rFonts w:ascii="Times New Roman" w:eastAsia="Times New Roman" w:hAnsi="Times New Roman" w:cs="Times New Roman"/>
          <w:lang w:eastAsia="hu-HU"/>
        </w:rPr>
        <w:t>(lásd 4.2</w:t>
      </w:r>
      <w:r w:rsidR="00D06F85">
        <w:rPr>
          <w:rFonts w:ascii="Times New Roman" w:eastAsia="Times New Roman" w:hAnsi="Times New Roman" w:cs="Times New Roman"/>
          <w:lang w:eastAsia="hu-HU"/>
        </w:rPr>
        <w:t> </w:t>
      </w:r>
      <w:r w:rsidR="006248E2" w:rsidRPr="009C6547">
        <w:rPr>
          <w:rFonts w:ascii="Times New Roman" w:eastAsia="Times New Roman" w:hAnsi="Times New Roman" w:cs="Times New Roman"/>
          <w:lang w:eastAsia="hu-HU"/>
        </w:rPr>
        <w:t xml:space="preserve">pont). A beteg kezelésre adott válaszreakciójának értékelése és a túlzott kelátképzés kockázatának minimálisra csökkentése érdekében a szérumferritinszint havonkénti </w:t>
      </w:r>
      <w:r w:rsidR="006248E2">
        <w:rPr>
          <w:rFonts w:ascii="Times New Roman" w:eastAsia="Times New Roman" w:hAnsi="Times New Roman" w:cs="Times New Roman"/>
          <w:lang w:eastAsia="hu-HU"/>
        </w:rPr>
        <w:t>monitorozása javasolt (lásd 4.4 </w:t>
      </w:r>
      <w:r w:rsidR="006248E2" w:rsidRPr="009C6547">
        <w:rPr>
          <w:rFonts w:ascii="Times New Roman" w:eastAsia="Times New Roman" w:hAnsi="Times New Roman" w:cs="Times New Roman"/>
          <w:lang w:eastAsia="hu-HU"/>
        </w:rPr>
        <w:t>pont).</w:t>
      </w:r>
      <w:r w:rsidR="006248E2">
        <w:t xml:space="preserve"> 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>A gyermekek</w:t>
      </w:r>
      <w:r w:rsidR="0087668C">
        <w:rPr>
          <w:rFonts w:ascii="Times New Roman" w:eastAsia="Times New Roman" w:hAnsi="Times New Roman" w:cs="Times New Roman"/>
          <w:lang w:eastAsia="hu-HU"/>
        </w:rPr>
        <w:t>, illetve serdülők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 xml:space="preserve"> test</w:t>
      </w:r>
      <w:r w:rsidR="00944597">
        <w:rPr>
          <w:rFonts w:ascii="Times New Roman" w:eastAsia="Times New Roman" w:hAnsi="Times New Roman" w:cs="Times New Roman"/>
          <w:lang w:eastAsia="hu-HU"/>
        </w:rPr>
        <w:t>tömegének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 xml:space="preserve"> időbeni változását figyelembe kell venni az alkalmazott dózis kiszámításakor.</w:t>
      </w:r>
    </w:p>
    <w:p w14:paraId="676A3865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1026935" w14:textId="6B6CC7FF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2</w:t>
      </w:r>
      <w:r w:rsidR="00CD131C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5 éves, vértranszfúziók okozta vastúlterheléses gyermekek esetén az expozíció alacsonyabb, mint felnőtteknél (lásd 5.2 pont). Ebben a betegcsoportban ezért nagyobb dózisokra lehet szükség, mint a felnőtteknél. A kezdő dózis azonban megfelel a felnőtteknél alkalmazandónak, majd a dózist egyedileg kell titrálni.</w:t>
      </w:r>
    </w:p>
    <w:p w14:paraId="048B1363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6737DA0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Vértranszfúziótól nem függő thalassaemia szindrómák:</w:t>
      </w:r>
    </w:p>
    <w:p w14:paraId="77A759F5" w14:textId="4400E478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Vértranszfúziótól nem függő thalassaemia szindrómákban szenvedő gyermek</w:t>
      </w:r>
      <w:r w:rsidR="0087668C">
        <w:rPr>
          <w:rFonts w:ascii="Times New Roman" w:eastAsia="Times New Roman" w:hAnsi="Times New Roman" w:cs="Times New Roman"/>
          <w:lang w:eastAsia="hu-HU"/>
        </w:rPr>
        <w:t>eknél és serdülőknél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a </w:t>
      </w:r>
      <w:r w:rsidR="00E4086F">
        <w:rPr>
          <w:rFonts w:ascii="Times New Roman" w:eastAsia="Times New Roman" w:hAnsi="Times New Roman" w:cs="Times New Roman"/>
          <w:lang w:eastAsia="hu-HU"/>
        </w:rPr>
        <w:t xml:space="preserve">deferazirox filmtabletta </w:t>
      </w:r>
      <w:r w:rsidRPr="002A479B">
        <w:rPr>
          <w:rFonts w:ascii="Times New Roman" w:eastAsia="Times New Roman" w:hAnsi="Times New Roman" w:cs="Times New Roman"/>
          <w:lang w:eastAsia="hu-HU"/>
        </w:rPr>
        <w:t>dózis</w:t>
      </w:r>
      <w:r w:rsidR="00E4086F">
        <w:rPr>
          <w:rFonts w:ascii="Times New Roman" w:eastAsia="Times New Roman" w:hAnsi="Times New Roman" w:cs="Times New Roman"/>
          <w:lang w:eastAsia="hu-HU"/>
        </w:rPr>
        <w:t>a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nem haladhatja meg a 7 mg/ttkg-ot. Ezeknél a betegeknél a fokozott kelátképzés elkerülése érdekében a hepaticus vaskoncentrációk és a szérumferritinszint szorosabb monitorozása feltétlenül szükséges</w:t>
      </w:r>
      <w:r w:rsidR="006248E2">
        <w:rPr>
          <w:rFonts w:ascii="Times New Roman" w:eastAsia="Times New Roman" w:hAnsi="Times New Roman" w:cs="Times New Roman"/>
          <w:lang w:eastAsia="hu-HU"/>
        </w:rPr>
        <w:t xml:space="preserve"> </w:t>
      </w:r>
      <w:r w:rsidR="006248E2" w:rsidRPr="009C6547">
        <w:rPr>
          <w:rFonts w:ascii="Times New Roman" w:eastAsia="Times New Roman" w:hAnsi="Times New Roman" w:cs="Times New Roman"/>
          <w:lang w:eastAsia="hu-HU"/>
        </w:rPr>
        <w:t>(lásd 4.4</w:t>
      </w:r>
      <w:r w:rsidR="00D06F85">
        <w:rPr>
          <w:rFonts w:ascii="Times New Roman" w:eastAsia="Times New Roman" w:hAnsi="Times New Roman" w:cs="Times New Roman"/>
          <w:lang w:eastAsia="hu-HU"/>
        </w:rPr>
        <w:t> </w:t>
      </w:r>
      <w:r w:rsidR="006248E2" w:rsidRPr="009C6547">
        <w:rPr>
          <w:rFonts w:ascii="Times New Roman" w:eastAsia="Times New Roman" w:hAnsi="Times New Roman" w:cs="Times New Roman"/>
          <w:lang w:eastAsia="hu-HU"/>
        </w:rPr>
        <w:t>pont).</w:t>
      </w:r>
      <w:r w:rsidR="006248E2">
        <w:rPr>
          <w:rFonts w:ascii="Times New Roman" w:eastAsia="Times New Roman" w:hAnsi="Times New Roman" w:cs="Times New Roman"/>
          <w:lang w:eastAsia="hu-HU"/>
        </w:rPr>
        <w:t xml:space="preserve"> E</w:t>
      </w:r>
      <w:r w:rsidRPr="002A479B">
        <w:rPr>
          <w:rFonts w:ascii="Times New Roman" w:eastAsia="Times New Roman" w:hAnsi="Times New Roman" w:cs="Times New Roman"/>
          <w:lang w:eastAsia="hu-HU"/>
        </w:rPr>
        <w:t>zen kívül, amikor a szérumferritin ≤ 800 </w:t>
      </w:r>
      <w:r w:rsidR="00AF1A09">
        <w:rPr>
          <w:rFonts w:ascii="Times New Roman" w:eastAsia="Times New Roman" w:hAnsi="Times New Roman" w:cs="Times New Roman"/>
          <w:lang w:eastAsia="hu-HU"/>
        </w:rPr>
        <w:t>mikrogramm</w:t>
      </w:r>
      <w:r w:rsidRPr="002A479B">
        <w:rPr>
          <w:rFonts w:ascii="Times New Roman" w:eastAsia="Times New Roman" w:hAnsi="Times New Roman" w:cs="Times New Roman"/>
          <w:lang w:eastAsia="hu-HU"/>
        </w:rPr>
        <w:t>/l, a szérumferritin havi mérése mellett a máj vaskoncentrációját háromhavonta kell ellenőrizni.</w:t>
      </w:r>
    </w:p>
    <w:p w14:paraId="6A330F5A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3E0D992" w14:textId="1A0AD3BE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0</w:t>
      </w:r>
      <w:r w:rsidR="00CD131C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23 hónapos korú gyermekek:</w:t>
      </w:r>
    </w:p>
    <w:p w14:paraId="240782C5" w14:textId="2C69E2A3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biztonságosságát és hatásosságát 0</w:t>
      </w:r>
      <w:r w:rsidR="00CD131C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23 hónapos korú gyermekek esetében nem igazolták. Nincsenek rendelkezésre álló adatok.</w:t>
      </w:r>
    </w:p>
    <w:p w14:paraId="4F30730B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0BA3EAC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Vesekárosodás</w:t>
      </w:r>
    </w:p>
    <w:p w14:paraId="5402FF82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alkalmazását nem vizsgálták vesekárosodásban szenvedő betegeknél, így ellenjavallt azoknál a betegnél, akiknél a kreatinin-clearance becsült értéke &lt; 60 ml/perc (lásd 4.3 és 4.4 pont).</w:t>
      </w:r>
    </w:p>
    <w:p w14:paraId="121112D1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340BA7AE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Májkárosodás</w:t>
      </w:r>
    </w:p>
    <w:p w14:paraId="3E2C8A30" w14:textId="6F674F96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nem javasolt súlyos májkárosodásban szenvedő betegeknek (Child</w:t>
      </w:r>
      <w:r w:rsidR="00CD131C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Pugh osztályozás szerinti C stádium). A közepesen súlyos májkárosodásban szenvedő (Child</w:t>
      </w:r>
      <w:r w:rsidR="00CD131C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Pugh osztályozás szerinti B stádium) betegeknél a dózist jelentősen csökkenteni kell, majd ez fokozatosan növelhető </w:t>
      </w:r>
      <w:r w:rsidR="00E4086F">
        <w:rPr>
          <w:rFonts w:ascii="Times New Roman" w:eastAsia="Times New Roman" w:hAnsi="Times New Roman" w:cs="Times New Roman"/>
          <w:lang w:eastAsia="hu-HU"/>
        </w:rPr>
        <w:t>a normál májfunkcióval rendelkező betegek számára javasolt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kezelési dózis 50%-áig (lásd 4.4 és 5.2 pont)</w:t>
      </w:r>
      <w:r w:rsidR="007E4440">
        <w:rPr>
          <w:rFonts w:ascii="Times New Roman" w:eastAsia="Times New Roman" w:hAnsi="Times New Roman" w:cs="Times New Roman"/>
          <w:lang w:eastAsia="hu-HU"/>
        </w:rPr>
        <w:t>.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="007E4440">
        <w:rPr>
          <w:rFonts w:ascii="Times New Roman" w:eastAsia="Times New Roman" w:hAnsi="Times New Roman" w:cs="Times New Roman"/>
          <w:lang w:eastAsia="hu-HU"/>
        </w:rPr>
        <w:t>A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deferazirox ezeknél a betegeknél körültekintéssel alkalmazandó. A májfunkciót minden betegnél monitorozni kell a kezelés megkezdése előtt, az első hónap alatt kéthetente, majd azt követően havonta (lásd 4.4 pont).</w:t>
      </w:r>
    </w:p>
    <w:p w14:paraId="4DBE3452" w14:textId="61DDD3A3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4EA0250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Az alkalmazás módja</w:t>
      </w:r>
    </w:p>
    <w:p w14:paraId="70676657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Szájon át történő alkalmazásra.</w:t>
      </w:r>
    </w:p>
    <w:p w14:paraId="49CE090C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03DEB81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filmtablettát egészben, vízzel kell lenyelni. Azoknak a betegeknek, akik nem képesek egészben lenyelni a tablettákat, a filmtabletta összetörhető, és beadható a teljes adag lágy ételre, pl. joghurtra vagy almaszószra (almapürére) rászórva. Az adagot azonnal és teljes egészében el kell fogyasztani, és nem szabad későbbi felhasználásra tárolni.</w:t>
      </w:r>
    </w:p>
    <w:p w14:paraId="628054AE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03D867A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filmtablettát naponta egyszer, lehetőség szerint minden nap ugyanabban az időben kell bevenni, és bevehető éhgyomorra vagy könnyű étkezés során is (lásd 4.5 és 5.2 pont).</w:t>
      </w:r>
    </w:p>
    <w:p w14:paraId="035CFACC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10E1CFB" w14:textId="77777777" w:rsidR="002A479B" w:rsidRPr="002A479B" w:rsidRDefault="002A479B" w:rsidP="002A479B">
      <w:pPr>
        <w:keepNext/>
        <w:tabs>
          <w:tab w:val="left" w:pos="540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4.3</w:t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ab/>
        <w:t>Ellenjavallatok</w:t>
      </w:r>
    </w:p>
    <w:p w14:paraId="357A9DDB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C0697C7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készítmény hatóanyagával vagy a 6.1 pontban felsorolt bármely segédanyagával szembeni túlérzékenység.</w:t>
      </w:r>
    </w:p>
    <w:p w14:paraId="63F97021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34F7CB9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Kombináció egyéb vaskelátképző</w:t>
      </w:r>
      <w:r w:rsidR="007C542E">
        <w:rPr>
          <w:rFonts w:ascii="Times New Roman" w:eastAsia="Times New Roman" w:hAnsi="Times New Roman" w:cs="Times New Roman"/>
          <w:lang w:eastAsia="hu-HU"/>
        </w:rPr>
        <w:t>vel történő</w:t>
      </w:r>
      <w:r w:rsidR="008824E9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kezeléssel, mivel az ilyen kombinációk biztonságossága nem bizonyított (lásd 4.5 pont).</w:t>
      </w:r>
    </w:p>
    <w:p w14:paraId="4B70C423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021412A" w14:textId="4E31A622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kreatinin</w:t>
      </w:r>
      <w:r w:rsidR="005255F0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clearance becsült értéke &lt; 60 ml/perc.</w:t>
      </w:r>
    </w:p>
    <w:p w14:paraId="56CDC8EA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FA19EFD" w14:textId="77777777" w:rsidR="002A479B" w:rsidRPr="002A479B" w:rsidRDefault="002A479B" w:rsidP="002A479B">
      <w:pPr>
        <w:keepNext/>
        <w:tabs>
          <w:tab w:val="left" w:pos="541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bookmarkStart w:id="5" w:name="page29"/>
      <w:bookmarkEnd w:id="5"/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4.4</w:t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ab/>
        <w:t>Különleges figyelmeztetések és az alkalmazással kapcsolatos óvintézkedések</w:t>
      </w:r>
    </w:p>
    <w:p w14:paraId="665D0B8D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tbl>
      <w:tblPr>
        <w:tblStyle w:val="Rcsostblzat"/>
        <w:tblW w:w="9204" w:type="dxa"/>
        <w:tblInd w:w="108" w:type="dxa"/>
        <w:tblLook w:val="04A0" w:firstRow="1" w:lastRow="0" w:firstColumn="1" w:lastColumn="0" w:noHBand="0" w:noVBand="1"/>
      </w:tblPr>
      <w:tblGrid>
        <w:gridCol w:w="9204"/>
      </w:tblGrid>
      <w:tr w:rsidR="002A479B" w:rsidRPr="002A479B" w14:paraId="01BD8369" w14:textId="77777777" w:rsidTr="002B7B6F">
        <w:tc>
          <w:tcPr>
            <w:tcW w:w="9204" w:type="dxa"/>
          </w:tcPr>
          <w:p w14:paraId="1A91108B" w14:textId="77777777" w:rsidR="002A479B" w:rsidRPr="002A479B" w:rsidRDefault="002A479B" w:rsidP="002A479B">
            <w:r w:rsidRPr="002A479B">
              <w:rPr>
                <w:rFonts w:eastAsia="Times New Roman"/>
                <w:u w:val="single"/>
              </w:rPr>
              <w:t>Vesefunkció</w:t>
            </w:r>
          </w:p>
          <w:p w14:paraId="4A3462B0" w14:textId="77777777" w:rsidR="002A479B" w:rsidRPr="002A479B" w:rsidRDefault="002A479B" w:rsidP="002A479B">
            <w:r w:rsidRPr="002A479B">
              <w:rPr>
                <w:rFonts w:eastAsia="Times New Roman"/>
              </w:rPr>
              <w:t>A deferazirox alkalmazását csak olyan betegeknél vizsgálták, akiknek a kiindulási szérumkreatinin</w:t>
            </w:r>
            <w:r w:rsidR="007C542E"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>szintje az életkorspecifikus normáltartományon belül volt.</w:t>
            </w:r>
          </w:p>
          <w:p w14:paraId="56BACAA2" w14:textId="77777777" w:rsidR="002A479B" w:rsidRPr="002A479B" w:rsidRDefault="002A479B" w:rsidP="002A479B"/>
          <w:p w14:paraId="56FC9ABE" w14:textId="029DF780" w:rsidR="002A479B" w:rsidRPr="002A479B" w:rsidRDefault="002A479B" w:rsidP="002A479B">
            <w:pPr>
              <w:tabs>
                <w:tab w:val="left" w:pos="181"/>
              </w:tabs>
              <w:rPr>
                <w:rFonts w:eastAsia="Times New Roman"/>
              </w:rPr>
            </w:pPr>
            <w:r w:rsidRPr="002A479B">
              <w:rPr>
                <w:rFonts w:eastAsia="Times New Roman"/>
              </w:rPr>
              <w:t>Klinikai vizsgálatok során a betegek körülbelül 36%-ánál beszámoltak a szérumkreatinin-szint 33%</w:t>
            </w:r>
            <w:r w:rsidR="00F95289">
              <w:rPr>
                <w:rFonts w:eastAsia="Times New Roman"/>
              </w:rPr>
              <w:noBreakHyphen/>
            </w:r>
            <w:r w:rsidRPr="002A479B">
              <w:rPr>
                <w:rFonts w:eastAsia="Times New Roman"/>
              </w:rPr>
              <w:t>os, ≥ 2 egymást követő alkalommal észlelt, esetenként a normáltartomány felső határát meghaladó mértékű emelkedéséről. Ezen változások dózisfüggők voltak. A kreatininszint emelkedését mutató betegek körülbelül kétharmadánál a kreatininszint a gyógyszer adagjának módosítása nélkül a 33%-os szint alá csökkent. A betegek fennmaradó egyharmadánál a szérumkreatinin-szint emelkedése nem minden esetben reagált jól a dózis csökkentésére vagy a kezelés megszakítására. Bizonyos esetekben a dóziscsökkentés után mindössze a szérumkreatinin-szint stabilizálódását figyelték meg. A forgalomba hozatalt követően a deferazirox alkalmazásakor beszámoltak akut veseelégtelenség előfordulásáról (lásd 4.8 pont). A forgalomba hozatalt követően a vesefunkció romlása néhány esetben átmeneti vagy tartós dialízist igénylő veseelégtelenséghez vezetett.</w:t>
            </w:r>
          </w:p>
          <w:p w14:paraId="33C94876" w14:textId="77777777" w:rsidR="002A479B" w:rsidRPr="002A479B" w:rsidRDefault="002A479B" w:rsidP="002A479B"/>
          <w:p w14:paraId="4BED9DC0" w14:textId="69652D59" w:rsidR="002A479B" w:rsidRPr="002A479B" w:rsidRDefault="002A479B" w:rsidP="002A479B">
            <w:pPr>
              <w:tabs>
                <w:tab w:val="left" w:pos="215"/>
              </w:tabs>
              <w:rPr>
                <w:rFonts w:eastAsia="Times New Roman"/>
              </w:rPr>
            </w:pPr>
            <w:r w:rsidRPr="002A479B">
              <w:rPr>
                <w:rFonts w:eastAsia="Times New Roman"/>
              </w:rPr>
              <w:t>A szérumkreatinin-szint emelkedésének oka nem tisztázott. A szérumkreatinin-szint monitorozására különös figyelmet kell fordítani az olyan betegeknél, akik egyidejűleg a veseműködést rontó gyógyszereket kapnak, és azoknál a betegeknél, akik nagy dózisban kapnak deferaziroxot, és/vagy kis mennyiségű transzfúziót kapnak (havonta &lt; 7 ml/</w:t>
            </w:r>
            <w:r w:rsidR="002E75B7">
              <w:rPr>
                <w:rFonts w:eastAsia="Times New Roman"/>
              </w:rPr>
              <w:t>tt</w:t>
            </w:r>
            <w:r w:rsidRPr="002A479B">
              <w:rPr>
                <w:rFonts w:eastAsia="Times New Roman"/>
              </w:rPr>
              <w:t>kg vörösvértest-koncentrátum vagy havonta &lt; 2 egység felnőtt beteg esetében). Bár a klinikai vizsgálatokban a deferazirox diszpergálódó tabletta 30 mg/ttkg-ot meghaladó dózisokra történő dózisemelése után nem észleltek gyakoribb renalis nemkívánatos eseményeket, a 21 mg/ttkg-ot meghaladó filmtablettadózisok esetén a renalis nemkívánatos események fokozott kockázata nem zárható ki.</w:t>
            </w:r>
          </w:p>
          <w:p w14:paraId="75C9A224" w14:textId="77777777" w:rsidR="002A479B" w:rsidRPr="002A479B" w:rsidRDefault="002A479B" w:rsidP="002A479B"/>
          <w:p w14:paraId="535E45A6" w14:textId="304074FE" w:rsidR="002A479B" w:rsidRPr="002A479B" w:rsidRDefault="002A479B" w:rsidP="002A479B">
            <w:r w:rsidRPr="002A479B">
              <w:rPr>
                <w:rFonts w:eastAsia="Times New Roman"/>
              </w:rPr>
              <w:t xml:space="preserve">A szérumkreatinin-szintet javasolt két alkalommal megmérni a kezelés megkezdése előtt. </w:t>
            </w:r>
            <w:r w:rsidRPr="002A479B">
              <w:rPr>
                <w:rFonts w:eastAsia="Times New Roman"/>
                <w:b/>
                <w:bCs/>
              </w:rPr>
              <w:t>A</w:t>
            </w:r>
            <w:r w:rsidRPr="002A479B">
              <w:rPr>
                <w:rFonts w:eastAsia="Times New Roman"/>
              </w:rPr>
              <w:t xml:space="preserve"> </w:t>
            </w:r>
            <w:r w:rsidRPr="002A479B">
              <w:rPr>
                <w:rFonts w:eastAsia="Times New Roman"/>
                <w:b/>
                <w:bCs/>
              </w:rPr>
              <w:t xml:space="preserve">szérumkreatinin-szintet, a kreatinin-clearance-t </w:t>
            </w:r>
            <w:r w:rsidRPr="002A479B">
              <w:rPr>
                <w:rFonts w:eastAsia="Times New Roman"/>
              </w:rPr>
              <w:t>(amelyet felnőtteknél a Cockcroft</w:t>
            </w:r>
            <w:r w:rsidR="002E75B7">
              <w:rPr>
                <w:rFonts w:eastAsia="Times New Roman"/>
              </w:rPr>
              <w:t>–</w:t>
            </w:r>
            <w:r w:rsidRPr="002A479B">
              <w:rPr>
                <w:rFonts w:eastAsia="Times New Roman"/>
              </w:rPr>
              <w:t>Gault</w:t>
            </w:r>
            <w:r w:rsidR="002E75B7"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 xml:space="preserve"> vagy</w:t>
            </w:r>
            <w:r w:rsidRPr="00306B2D">
              <w:rPr>
                <w:rFonts w:eastAsia="Times New Roman"/>
                <w:bCs/>
              </w:rPr>
              <w:t xml:space="preserve"> </w:t>
            </w:r>
            <w:r w:rsidR="002E75B7" w:rsidRPr="00306B2D">
              <w:rPr>
                <w:rFonts w:eastAsia="Times New Roman"/>
                <w:bCs/>
              </w:rPr>
              <w:t xml:space="preserve">az </w:t>
            </w:r>
            <w:r w:rsidRPr="002A479B">
              <w:rPr>
                <w:rFonts w:eastAsia="Times New Roman"/>
              </w:rPr>
              <w:t>MDRD</w:t>
            </w:r>
            <w:r w:rsidR="00CD131C"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>képlet, míg gyermekeknél a Schwartz</w:t>
            </w:r>
            <w:r w:rsidR="00CD131C"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 xml:space="preserve">képlet alapján kell számolni) és/vagy a cisztatin C plazmaszintjét </w:t>
            </w:r>
            <w:r w:rsidRPr="002A479B">
              <w:rPr>
                <w:rFonts w:eastAsia="Times New Roman"/>
                <w:b/>
                <w:bCs/>
              </w:rPr>
              <w:t>a</w:t>
            </w:r>
            <w:r w:rsidRPr="002A479B">
              <w:rPr>
                <w:rFonts w:eastAsia="Times New Roman"/>
              </w:rPr>
              <w:t xml:space="preserve"> </w:t>
            </w:r>
            <w:r w:rsidRPr="002A479B">
              <w:rPr>
                <w:rFonts w:eastAsia="Times New Roman"/>
                <w:b/>
                <w:bCs/>
              </w:rPr>
              <w:t>kezelés előtt,</w:t>
            </w:r>
            <w:r w:rsidRPr="002A479B">
              <w:rPr>
                <w:rFonts w:eastAsia="Times New Roman"/>
              </w:rPr>
              <w:t xml:space="preserve"> </w:t>
            </w:r>
            <w:r w:rsidRPr="002A479B">
              <w:rPr>
                <w:rFonts w:eastAsia="Times New Roman"/>
                <w:b/>
                <w:bCs/>
              </w:rPr>
              <w:t>a deferazirox</w:t>
            </w:r>
            <w:r w:rsidR="005255F0">
              <w:rPr>
                <w:rFonts w:eastAsia="Times New Roman"/>
                <w:b/>
                <w:bCs/>
              </w:rPr>
              <w:t>-</w:t>
            </w:r>
            <w:r w:rsidRPr="002A479B">
              <w:rPr>
                <w:rFonts w:eastAsia="Times New Roman"/>
                <w:b/>
                <w:bCs/>
              </w:rPr>
              <w:t>kezelés megkezdése vagy módosítása</w:t>
            </w:r>
            <w:r w:rsidR="006E611B">
              <w:rPr>
                <w:rFonts w:eastAsia="Times New Roman"/>
                <w:b/>
                <w:bCs/>
              </w:rPr>
              <w:t xml:space="preserve"> (ideértendő a gyógyszerformaváltás is)</w:t>
            </w:r>
            <w:r w:rsidRPr="002A479B">
              <w:rPr>
                <w:rFonts w:eastAsia="Times New Roman"/>
                <w:b/>
                <w:bCs/>
              </w:rPr>
              <w:t xml:space="preserve"> utáni első</w:t>
            </w:r>
            <w:r w:rsidRPr="002A479B">
              <w:rPr>
                <w:rFonts w:eastAsia="Times New Roman"/>
              </w:rPr>
              <w:t xml:space="preserve"> </w:t>
            </w:r>
            <w:r w:rsidRPr="002A479B">
              <w:rPr>
                <w:rFonts w:eastAsia="Times New Roman"/>
                <w:b/>
                <w:bCs/>
              </w:rPr>
              <w:t xml:space="preserve">hónapban hetente, a későbbiekben pedig havonta monitorozni kell. </w:t>
            </w:r>
            <w:r w:rsidRPr="002A479B">
              <w:rPr>
                <w:rFonts w:eastAsia="Times New Roman"/>
              </w:rPr>
              <w:t>Előzetesen fennálló</w:t>
            </w:r>
            <w:r w:rsidRPr="002A479B">
              <w:rPr>
                <w:rFonts w:eastAsia="Times New Roman"/>
                <w:b/>
                <w:bCs/>
              </w:rPr>
              <w:t xml:space="preserve"> </w:t>
            </w:r>
            <w:r w:rsidRPr="002A479B">
              <w:rPr>
                <w:rFonts w:eastAsia="Times New Roman"/>
              </w:rPr>
              <w:t>vesebetegségben szenvedő, illetve a vesefunkciókat csökkentő gyógyszereket kapó betegek esetében a szövődmények kockázata fokozódhat. Hasmenés vagy hányás kialakulása esetén gondot kell fordítani a betegek megfelelő hidráltságának fenntartására.</w:t>
            </w:r>
          </w:p>
          <w:p w14:paraId="62A2D3D5" w14:textId="77777777" w:rsidR="002A479B" w:rsidRPr="002A479B" w:rsidRDefault="002A479B" w:rsidP="002A479B"/>
          <w:p w14:paraId="1BA58D1D" w14:textId="6EDC2BE6" w:rsidR="002A479B" w:rsidRPr="002A479B" w:rsidRDefault="002A479B" w:rsidP="002A479B">
            <w:r w:rsidRPr="002A479B">
              <w:rPr>
                <w:rFonts w:eastAsia="Times New Roman"/>
              </w:rPr>
              <w:t>A forgalomba hozatalt követően a deferazirox</w:t>
            </w:r>
            <w:r w:rsidR="00CD131C"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>kezelés során előforduló metabolikus acidózisról számoltak be. Ezeknek a betegeknek a többsége vesekárosodásban, renalis tubulopathiában (Fanconi</w:t>
            </w:r>
            <w:r w:rsidR="00CD131C"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>szindrómában) vagy hasmenésben, illetve olyan betegségben szenvedett, amelyben a sav-bázis egyensúly zavara ismert szövődmény. Ezeknél a betegcsoportoknál klinikailag indokolt esetben monitorozni kell a sav-bázis egyensúlyt. A deferazirox</w:t>
            </w:r>
            <w:r w:rsidR="00CD131C"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>kezelés abbahagyását mérlegelni kell azoknál a betegeknél, akiknél metabolikus acidózis alakul ki.</w:t>
            </w:r>
          </w:p>
          <w:p w14:paraId="3923593E" w14:textId="77777777" w:rsidR="002A479B" w:rsidRPr="002A479B" w:rsidRDefault="002A479B" w:rsidP="002A479B"/>
          <w:p w14:paraId="1C2372D9" w14:textId="2C791254" w:rsidR="002A479B" w:rsidRPr="002A479B" w:rsidRDefault="002A479B" w:rsidP="002A479B">
            <w:r w:rsidRPr="002A479B">
              <w:rPr>
                <w:rFonts w:eastAsia="Times New Roman"/>
              </w:rPr>
              <w:t>A forgalomba hozatalt követően a deferazirox</w:t>
            </w:r>
            <w:r w:rsidR="00CD131C"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>kezelésben részesülő betegeknél, elsősorban gyermekeknél, beszámoltak súlyos renalis tubulopathia (Fanconi</w:t>
            </w:r>
            <w:r w:rsidR="00CD131C"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>szindróma), illetve veseelégtelenség előfordulásáról, amelyek a hyperammon</w:t>
            </w:r>
            <w:r w:rsidR="009E2B9E">
              <w:rPr>
                <w:rFonts w:eastAsia="Times New Roman"/>
              </w:rPr>
              <w:t>a</w:t>
            </w:r>
            <w:r w:rsidRPr="002A479B">
              <w:rPr>
                <w:rFonts w:eastAsia="Times New Roman"/>
              </w:rPr>
              <w:t>emiás encephalopathia révén a tudatállapot változását idézték elő. Amennyiben a deferazirox</w:t>
            </w:r>
            <w:r w:rsidR="00CD131C"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>kezelés mellett mással nem magyarázható mentális állapotváltozás alakul ki, fontos, hogy felmerüljön a hyperammon</w:t>
            </w:r>
            <w:r w:rsidR="009E2B9E">
              <w:rPr>
                <w:rFonts w:eastAsia="Times New Roman"/>
              </w:rPr>
              <w:t>a</w:t>
            </w:r>
            <w:r w:rsidRPr="002A479B">
              <w:rPr>
                <w:rFonts w:eastAsia="Times New Roman"/>
              </w:rPr>
              <w:t>emiás encephalopathia lehetősége, és készüljön ammóniaszint</w:t>
            </w:r>
            <w:r w:rsidR="00CD131C"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>vizsgálat.</w:t>
            </w:r>
          </w:p>
          <w:p w14:paraId="6FD5DFE4" w14:textId="77777777" w:rsidR="002A479B" w:rsidRDefault="002A479B" w:rsidP="002A479B"/>
          <w:p w14:paraId="4FC9F223" w14:textId="27875AD4" w:rsidR="00944597" w:rsidRDefault="00944597" w:rsidP="00944597">
            <w:pPr>
              <w:keepNext/>
              <w:tabs>
                <w:tab w:val="left" w:pos="221"/>
              </w:tabs>
              <w:rPr>
                <w:rFonts w:eastAsia="Times New Roman"/>
              </w:rPr>
            </w:pPr>
            <w:r w:rsidRPr="002A479B">
              <w:rPr>
                <w:rFonts w:eastAsia="Times New Roman"/>
                <w:u w:val="single"/>
              </w:rPr>
              <w:t>3. táblázat</w:t>
            </w:r>
            <w:r w:rsidRPr="002A479B">
              <w:rPr>
                <w:rFonts w:eastAsia="Times New Roman"/>
              </w:rPr>
              <w:tab/>
              <w:t>Dózismódosítás és a kezelés megszakítása a veseműködés monitorozása esetén</w:t>
            </w:r>
          </w:p>
          <w:p w14:paraId="0EB434C3" w14:textId="77777777" w:rsidR="00944597" w:rsidRPr="002A479B" w:rsidRDefault="00944597" w:rsidP="00944597">
            <w:pPr>
              <w:keepNext/>
              <w:tabs>
                <w:tab w:val="left" w:pos="221"/>
              </w:tabs>
            </w:pPr>
          </w:p>
          <w:tbl>
            <w:tblPr>
              <w:tblW w:w="0" w:type="auto"/>
              <w:tblInd w:w="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6"/>
              <w:gridCol w:w="2038"/>
              <w:gridCol w:w="2524"/>
              <w:gridCol w:w="1034"/>
              <w:gridCol w:w="3025"/>
            </w:tblGrid>
            <w:tr w:rsidR="00944597" w:rsidRPr="002A479B" w14:paraId="31CD88D0" w14:textId="77777777" w:rsidTr="00780586">
              <w:trPr>
                <w:trHeight w:val="269"/>
              </w:trPr>
              <w:tc>
                <w:tcPr>
                  <w:tcW w:w="320" w:type="dxa"/>
                  <w:vAlign w:val="bottom"/>
                </w:tcPr>
                <w:p w14:paraId="115B0495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</w:p>
              </w:tc>
              <w:tc>
                <w:tcPr>
                  <w:tcW w:w="2040" w:type="dxa"/>
                  <w:vAlign w:val="bottom"/>
                </w:tcPr>
                <w:p w14:paraId="6BCB6FC3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</w:p>
              </w:tc>
              <w:tc>
                <w:tcPr>
                  <w:tcW w:w="2540" w:type="dxa"/>
                  <w:vAlign w:val="bottom"/>
                </w:tcPr>
                <w:p w14:paraId="768B8F69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b/>
                      <w:bCs/>
                      <w:lang w:eastAsia="hu-HU"/>
                    </w:rPr>
                    <w:t>Szérumkreatinin-szint</w:t>
                  </w:r>
                </w:p>
              </w:tc>
              <w:tc>
                <w:tcPr>
                  <w:tcW w:w="1040" w:type="dxa"/>
                  <w:vAlign w:val="bottom"/>
                </w:tcPr>
                <w:p w14:paraId="6309ADD9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</w:p>
              </w:tc>
              <w:tc>
                <w:tcPr>
                  <w:tcW w:w="3060" w:type="dxa"/>
                  <w:vAlign w:val="bottom"/>
                </w:tcPr>
                <w:p w14:paraId="055F3DAB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b/>
                      <w:bCs/>
                      <w:lang w:eastAsia="hu-HU"/>
                    </w:rPr>
                    <w:t>Kreatinin-clearance</w:t>
                  </w:r>
                </w:p>
              </w:tc>
            </w:tr>
            <w:tr w:rsidR="00944597" w:rsidRPr="002A479B" w14:paraId="02334467" w14:textId="77777777" w:rsidTr="00780586">
              <w:trPr>
                <w:trHeight w:val="247"/>
              </w:trPr>
              <w:tc>
                <w:tcPr>
                  <w:tcW w:w="2360" w:type="dxa"/>
                  <w:gridSpan w:val="2"/>
                  <w:vAlign w:val="center"/>
                </w:tcPr>
                <w:p w14:paraId="3506562D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b/>
                      <w:bCs/>
                      <w:lang w:eastAsia="hu-HU"/>
                    </w:rPr>
                    <w:t>A kezelés megkezdése előtt</w:t>
                  </w:r>
                </w:p>
              </w:tc>
              <w:tc>
                <w:tcPr>
                  <w:tcW w:w="2540" w:type="dxa"/>
                  <w:vAlign w:val="center"/>
                </w:tcPr>
                <w:p w14:paraId="4F24C22E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kétszer (2×)</w:t>
                  </w:r>
                </w:p>
              </w:tc>
              <w:tc>
                <w:tcPr>
                  <w:tcW w:w="1040" w:type="dxa"/>
                  <w:vAlign w:val="center"/>
                </w:tcPr>
                <w:p w14:paraId="503A43A4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b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b/>
                      <w:lang w:eastAsia="hu-HU"/>
                    </w:rPr>
                    <w:t>és</w:t>
                  </w:r>
                </w:p>
              </w:tc>
              <w:tc>
                <w:tcPr>
                  <w:tcW w:w="3060" w:type="dxa"/>
                  <w:vAlign w:val="center"/>
                </w:tcPr>
                <w:p w14:paraId="6641B7C1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egyszer (1×)</w:t>
                  </w:r>
                </w:p>
              </w:tc>
            </w:tr>
            <w:tr w:rsidR="00944597" w:rsidRPr="002A479B" w14:paraId="576447C8" w14:textId="77777777" w:rsidTr="00780586">
              <w:trPr>
                <w:trHeight w:val="250"/>
              </w:trPr>
              <w:tc>
                <w:tcPr>
                  <w:tcW w:w="2360" w:type="dxa"/>
                  <w:gridSpan w:val="2"/>
                  <w:vAlign w:val="bottom"/>
                </w:tcPr>
                <w:p w14:paraId="03D3DC5E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b/>
                      <w:bCs/>
                      <w:lang w:eastAsia="hu-HU"/>
                    </w:rPr>
                    <w:t>Ellenjavallt</w:t>
                  </w:r>
                </w:p>
              </w:tc>
              <w:tc>
                <w:tcPr>
                  <w:tcW w:w="2540" w:type="dxa"/>
                  <w:tcBorders>
                    <w:bottom w:val="single" w:sz="4" w:space="0" w:color="auto"/>
                  </w:tcBorders>
                  <w:vAlign w:val="bottom"/>
                </w:tcPr>
                <w:p w14:paraId="71B9B76C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</w:p>
              </w:tc>
              <w:tc>
                <w:tcPr>
                  <w:tcW w:w="1040" w:type="dxa"/>
                  <w:vAlign w:val="bottom"/>
                </w:tcPr>
                <w:p w14:paraId="7CBEA0AF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b/>
                      <w:lang w:eastAsia="hu-HU"/>
                    </w:rPr>
                  </w:pPr>
                </w:p>
              </w:tc>
              <w:tc>
                <w:tcPr>
                  <w:tcW w:w="3060" w:type="dxa"/>
                  <w:vAlign w:val="bottom"/>
                </w:tcPr>
                <w:p w14:paraId="3827513C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b/>
                      <w:bCs/>
                      <w:lang w:eastAsia="hu-HU"/>
                    </w:rPr>
                    <w:t>&lt; 60 ml/perc</w:t>
                  </w:r>
                </w:p>
              </w:tc>
            </w:tr>
            <w:tr w:rsidR="00944597" w:rsidRPr="002A479B" w14:paraId="522DEDB8" w14:textId="77777777" w:rsidTr="00780586">
              <w:trPr>
                <w:trHeight w:val="247"/>
              </w:trPr>
              <w:tc>
                <w:tcPr>
                  <w:tcW w:w="2360" w:type="dxa"/>
                  <w:gridSpan w:val="2"/>
                  <w:tcBorders>
                    <w:bottom w:val="nil"/>
                  </w:tcBorders>
                  <w:vAlign w:val="bottom"/>
                </w:tcPr>
                <w:p w14:paraId="3D22AD75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b/>
                      <w:bCs/>
                      <w:lang w:eastAsia="hu-HU"/>
                    </w:rPr>
                    <w:t>Monitorozás</w:t>
                  </w:r>
                </w:p>
              </w:tc>
              <w:tc>
                <w:tcPr>
                  <w:tcW w:w="2540" w:type="dxa"/>
                  <w:tcBorders>
                    <w:bottom w:val="nil"/>
                  </w:tcBorders>
                  <w:vAlign w:val="bottom"/>
                </w:tcPr>
                <w:p w14:paraId="76652742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</w:p>
              </w:tc>
              <w:tc>
                <w:tcPr>
                  <w:tcW w:w="1040" w:type="dxa"/>
                  <w:tcBorders>
                    <w:bottom w:val="nil"/>
                  </w:tcBorders>
                  <w:vAlign w:val="bottom"/>
                </w:tcPr>
                <w:p w14:paraId="21A0134D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b/>
                      <w:lang w:eastAsia="hu-HU"/>
                    </w:rPr>
                  </w:pPr>
                </w:p>
              </w:tc>
              <w:tc>
                <w:tcPr>
                  <w:tcW w:w="3060" w:type="dxa"/>
                  <w:tcBorders>
                    <w:bottom w:val="nil"/>
                  </w:tcBorders>
                  <w:vAlign w:val="bottom"/>
                </w:tcPr>
                <w:p w14:paraId="1511426C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</w:p>
              </w:tc>
            </w:tr>
            <w:tr w:rsidR="00944597" w:rsidRPr="002A479B" w14:paraId="4B95D915" w14:textId="77777777" w:rsidTr="00780586">
              <w:trPr>
                <w:trHeight w:val="262"/>
              </w:trPr>
              <w:tc>
                <w:tcPr>
                  <w:tcW w:w="32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4705866F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-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3A031AF4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Első hónap a kezelés elkezdése vagy a dózis módosítása után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 xml:space="preserve"> (továbbá gyógyszerformaváltás után is)</w:t>
                  </w:r>
                </w:p>
              </w:tc>
              <w:tc>
                <w:tcPr>
                  <w:tcW w:w="25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242DD92F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hetente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DF1B20D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b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b/>
                      <w:lang w:eastAsia="hu-HU"/>
                    </w:rPr>
                    <w:t>és</w:t>
                  </w:r>
                </w:p>
              </w:tc>
              <w:tc>
                <w:tcPr>
                  <w:tcW w:w="30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C484543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hetente</w:t>
                  </w:r>
                </w:p>
              </w:tc>
            </w:tr>
            <w:tr w:rsidR="00944597" w:rsidRPr="002A479B" w14:paraId="222DDFD2" w14:textId="77777777" w:rsidTr="00780586">
              <w:trPr>
                <w:trHeight w:val="261"/>
              </w:trPr>
              <w:tc>
                <w:tcPr>
                  <w:tcW w:w="3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vAlign w:val="bottom"/>
                </w:tcPr>
                <w:p w14:paraId="4EB5C7E1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-</w:t>
                  </w:r>
                </w:p>
              </w:tc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EC1E6FE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Azt követően</w:t>
                  </w:r>
                </w:p>
              </w:tc>
              <w:tc>
                <w:tcPr>
                  <w:tcW w:w="2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FC77976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havonta</w:t>
                  </w:r>
                </w:p>
              </w:tc>
              <w:tc>
                <w:tcPr>
                  <w:tcW w:w="10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28B7FE2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b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b/>
                      <w:lang w:eastAsia="hu-HU"/>
                    </w:rPr>
                    <w:t>és</w:t>
                  </w:r>
                </w:p>
              </w:tc>
              <w:tc>
                <w:tcPr>
                  <w:tcW w:w="3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CB5B6AD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havonta</w:t>
                  </w:r>
                </w:p>
              </w:tc>
            </w:tr>
            <w:tr w:rsidR="00944597" w:rsidRPr="002A479B" w14:paraId="2094A078" w14:textId="77777777" w:rsidTr="00780586">
              <w:trPr>
                <w:trHeight w:val="261"/>
              </w:trPr>
              <w:tc>
                <w:tcPr>
                  <w:tcW w:w="900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4F04504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b/>
                      <w:bCs/>
                      <w:lang w:eastAsia="hu-HU"/>
                    </w:rPr>
                    <w:t xml:space="preserve">A napi adag 7 mg/ttkg/nap-pal történő csökkentése 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 xml:space="preserve">(filmtabletta 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>esetén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 xml:space="preserve">), </w:t>
                  </w:r>
                  <w:r w:rsidRPr="002A479B">
                    <w:rPr>
                      <w:rFonts w:ascii="Times New Roman" w:eastAsia="Times New Roman" w:hAnsi="Times New Roman" w:cs="Times New Roman"/>
                      <w:i/>
                      <w:iCs/>
                      <w:lang w:eastAsia="hu-HU"/>
                    </w:rPr>
                    <w:t xml:space="preserve">ha az alábbi renalis paraméterek észlelhetők </w:t>
                  </w:r>
                  <w:r w:rsidRPr="00CE18F9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hu-HU"/>
                    </w:rPr>
                    <w:t>két</w:t>
                  </w:r>
                  <w:r w:rsidRPr="002A479B">
                    <w:rPr>
                      <w:rFonts w:ascii="Times New Roman" w:eastAsia="Times New Roman" w:hAnsi="Times New Roman" w:cs="Times New Roman"/>
                      <w:i/>
                      <w:iCs/>
                      <w:lang w:eastAsia="hu-HU"/>
                    </w:rPr>
                    <w:t>, egymást követő kontrollvizsgálat alkalmával, és nem tulajdoníthatók más okoknak</w:t>
                  </w:r>
                </w:p>
              </w:tc>
            </w:tr>
            <w:tr w:rsidR="00944597" w:rsidRPr="002A479B" w14:paraId="65E70372" w14:textId="77777777" w:rsidTr="00780586">
              <w:trPr>
                <w:trHeight w:val="261"/>
              </w:trPr>
              <w:tc>
                <w:tcPr>
                  <w:tcW w:w="23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DCD24C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Felnőttek</w:t>
                  </w:r>
                </w:p>
              </w:tc>
              <w:tc>
                <w:tcPr>
                  <w:tcW w:w="2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C51A7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&gt; 33%-kal a kezelés előtti átlag felett</w:t>
                  </w:r>
                </w:p>
              </w:tc>
              <w:tc>
                <w:tcPr>
                  <w:tcW w:w="1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5354E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b/>
                      <w:lang w:eastAsia="hu-HU"/>
                    </w:rPr>
                    <w:t>és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ADB2B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Az LLN* (90 ml/perc) alá történő csökkenése</w:t>
                  </w:r>
                </w:p>
              </w:tc>
            </w:tr>
            <w:tr w:rsidR="00944597" w:rsidRPr="002A479B" w14:paraId="6E7980CE" w14:textId="77777777" w:rsidTr="00780586">
              <w:trPr>
                <w:trHeight w:val="261"/>
              </w:trPr>
              <w:tc>
                <w:tcPr>
                  <w:tcW w:w="23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C0BF2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Gyermek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>ek és serdülők</w:t>
                  </w:r>
                </w:p>
              </w:tc>
              <w:tc>
                <w:tcPr>
                  <w:tcW w:w="2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E33375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Nagyobb, mint az életkornak megfelelő ULN**</w:t>
                  </w:r>
                </w:p>
              </w:tc>
              <w:tc>
                <w:tcPr>
                  <w:tcW w:w="1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9E29A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b/>
                      <w:lang w:eastAsia="hu-HU"/>
                    </w:rPr>
                    <w:t>és/vagy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6F247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Az LLN* (90 ml/perc) alá történő csökkenése</w:t>
                  </w:r>
                </w:p>
              </w:tc>
            </w:tr>
            <w:tr w:rsidR="00944597" w:rsidRPr="002A479B" w14:paraId="6CF56046" w14:textId="77777777" w:rsidTr="00780586">
              <w:trPr>
                <w:trHeight w:val="261"/>
              </w:trPr>
              <w:tc>
                <w:tcPr>
                  <w:tcW w:w="900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64F5825" w14:textId="77777777" w:rsidR="00944597" w:rsidRPr="001E2991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306B2D">
                    <w:rPr>
                      <w:rFonts w:ascii="Times New Roman" w:eastAsia="Times New Roman" w:hAnsi="Times New Roman" w:cs="Times New Roman"/>
                      <w:b/>
                      <w:bCs/>
                      <w:lang w:eastAsia="hu-HU"/>
                    </w:rPr>
                    <w:t>A dózis csökkentése után a kezelés megszakítása, ha</w:t>
                  </w:r>
                </w:p>
              </w:tc>
            </w:tr>
            <w:tr w:rsidR="00944597" w:rsidRPr="002A479B" w14:paraId="72874565" w14:textId="77777777" w:rsidTr="00780586">
              <w:trPr>
                <w:trHeight w:val="261"/>
              </w:trPr>
              <w:tc>
                <w:tcPr>
                  <w:tcW w:w="23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B5FA8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Felnőttek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>, valamint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 xml:space="preserve"> gyermek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>ek és serdülők</w:t>
                  </w:r>
                </w:p>
              </w:tc>
              <w:tc>
                <w:tcPr>
                  <w:tcW w:w="2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17E2E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&gt; 33%-kal a kezelés előtti átlag felett marad</w:t>
                  </w:r>
                </w:p>
              </w:tc>
              <w:tc>
                <w:tcPr>
                  <w:tcW w:w="1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295DB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b/>
                      <w:lang w:eastAsia="hu-HU"/>
                    </w:rPr>
                    <w:t>és/vagy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BE905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Az LLN* (90 ml/perc) alá történő csökkenése</w:t>
                  </w:r>
                </w:p>
              </w:tc>
            </w:tr>
          </w:tbl>
          <w:p w14:paraId="4A7E3910" w14:textId="77777777" w:rsidR="00944597" w:rsidRPr="002A479B" w:rsidRDefault="00944597" w:rsidP="00944597">
            <w:pPr>
              <w:keepNext/>
            </w:pPr>
            <w:r w:rsidRPr="002A479B">
              <w:rPr>
                <w:rFonts w:eastAsia="Times New Roman"/>
              </w:rPr>
              <w:t>*LLN: a normálérték alsó határa (lower limit of the normal range)</w:t>
            </w:r>
          </w:p>
          <w:p w14:paraId="676000F0" w14:textId="77777777" w:rsidR="00944597" w:rsidRPr="002A479B" w:rsidRDefault="00944597" w:rsidP="00944597">
            <w:r w:rsidRPr="002A479B">
              <w:rPr>
                <w:rFonts w:eastAsia="Times New Roman"/>
              </w:rPr>
              <w:t>**ULN: a normálérték felső határa (upper limit of the normal range)</w:t>
            </w:r>
          </w:p>
          <w:p w14:paraId="6910E721" w14:textId="77777777" w:rsidR="00944597" w:rsidRPr="002A479B" w:rsidRDefault="00944597" w:rsidP="00944597"/>
          <w:p w14:paraId="487FC510" w14:textId="77777777" w:rsidR="00944597" w:rsidRPr="002A479B" w:rsidRDefault="00944597" w:rsidP="00944597">
            <w:r w:rsidRPr="002A479B">
              <w:rPr>
                <w:rFonts w:eastAsia="Times New Roman"/>
              </w:rPr>
              <w:t>Az egyéni klinikai körülményektől függően a kezelés újraindítható.</w:t>
            </w:r>
          </w:p>
          <w:p w14:paraId="68B7DC1D" w14:textId="77777777" w:rsidR="00944597" w:rsidRPr="002A479B" w:rsidRDefault="00944597" w:rsidP="00944597">
            <w:pPr>
              <w:jc w:val="both"/>
              <w:rPr>
                <w:rFonts w:eastAsia="Times New Roman"/>
              </w:rPr>
            </w:pPr>
          </w:p>
          <w:p w14:paraId="7084348D" w14:textId="77777777" w:rsidR="00944597" w:rsidRPr="002A479B" w:rsidRDefault="00944597" w:rsidP="00944597">
            <w:pPr>
              <w:jc w:val="both"/>
            </w:pPr>
            <w:r w:rsidRPr="002A479B">
              <w:rPr>
                <w:rFonts w:eastAsia="Times New Roman"/>
              </w:rPr>
              <w:t>A dózis csökkentése vagy az adagolás felfüggesztése is mérlegelhető, ha kóros értékek jelennek meg a renalis tubularis funkciót jelző markerek szintjében, és/vagy ha az klinikailag indokolt:</w:t>
            </w:r>
          </w:p>
          <w:p w14:paraId="1AE0F445" w14:textId="77777777" w:rsidR="00944597" w:rsidRPr="002A479B" w:rsidRDefault="00944597" w:rsidP="00944597">
            <w:pPr>
              <w:numPr>
                <w:ilvl w:val="0"/>
                <w:numId w:val="6"/>
              </w:numPr>
              <w:tabs>
                <w:tab w:val="left" w:pos="561"/>
              </w:tabs>
              <w:rPr>
                <w:rFonts w:eastAsia="Times New Roman"/>
              </w:rPr>
            </w:pPr>
            <w:r w:rsidRPr="002A479B">
              <w:rPr>
                <w:rFonts w:eastAsia="Times New Roman"/>
              </w:rPr>
              <w:t>proteinuria (a kezelés elkezdése előtt, majd azt követően havonta kell vizsgálatot végezni),</w:t>
            </w:r>
          </w:p>
          <w:p w14:paraId="4307B609" w14:textId="77777777" w:rsidR="00944597" w:rsidRPr="002A479B" w:rsidRDefault="00944597" w:rsidP="00944597">
            <w:pPr>
              <w:numPr>
                <w:ilvl w:val="0"/>
                <w:numId w:val="6"/>
              </w:numPr>
              <w:tabs>
                <w:tab w:val="left" w:pos="568"/>
              </w:tabs>
              <w:rPr>
                <w:rFonts w:eastAsia="Times New Roman"/>
              </w:rPr>
            </w:pPr>
            <w:r w:rsidRPr="002A479B">
              <w:rPr>
                <w:rFonts w:eastAsia="Times New Roman"/>
              </w:rPr>
              <w:t xml:space="preserve">glycosuria a nem cukorbetegeknél, és alacsony kálium-, foszfát-, magnézium- vagy húgysavszint a szérumban, phosphaturia, aminoaciduria (szükség szerint monitorozni kell). </w:t>
            </w:r>
          </w:p>
          <w:p w14:paraId="19DF4F3D" w14:textId="77777777" w:rsidR="00944597" w:rsidRPr="002A479B" w:rsidRDefault="00944597" w:rsidP="00944597">
            <w:pPr>
              <w:tabs>
                <w:tab w:val="left" w:pos="568"/>
              </w:tabs>
              <w:rPr>
                <w:rFonts w:eastAsia="Times New Roman"/>
              </w:rPr>
            </w:pPr>
          </w:p>
          <w:p w14:paraId="26EF9414" w14:textId="77777777" w:rsidR="00944597" w:rsidRPr="002A479B" w:rsidRDefault="00944597" w:rsidP="00944597">
            <w:pPr>
              <w:tabs>
                <w:tab w:val="left" w:pos="568"/>
              </w:tabs>
              <w:rPr>
                <w:rFonts w:eastAsia="Times New Roman"/>
              </w:rPr>
            </w:pPr>
            <w:r w:rsidRPr="002A479B">
              <w:rPr>
                <w:rFonts w:eastAsia="Times New Roman"/>
              </w:rPr>
              <w:t>Renalis tubulopathiát elsősorban a deferaziroxszal kezelt, béta-thalassaemiás gyermekeknél és serdülőknél jelentettek.</w:t>
            </w:r>
          </w:p>
          <w:p w14:paraId="50109097" w14:textId="77777777" w:rsidR="00944597" w:rsidRPr="002A479B" w:rsidRDefault="00944597" w:rsidP="00944597"/>
          <w:p w14:paraId="2687DC14" w14:textId="77777777" w:rsidR="00944597" w:rsidRPr="002A479B" w:rsidRDefault="00944597" w:rsidP="00944597">
            <w:r w:rsidRPr="002A479B">
              <w:rPr>
                <w:rFonts w:eastAsia="Times New Roman"/>
              </w:rPr>
              <w:t>A betegeket nefrológushoz kell utalni, és további speciális vizsgálatok (például vesebiopszia) mérlegelhetők, ha a dóziscsökkentés és a kezelés megszakítása ellenére az alábbiak jelentkeznek:</w:t>
            </w:r>
          </w:p>
          <w:p w14:paraId="4512C255" w14:textId="77777777" w:rsidR="00944597" w:rsidRPr="002A479B" w:rsidRDefault="00944597" w:rsidP="00944597">
            <w:pPr>
              <w:numPr>
                <w:ilvl w:val="0"/>
                <w:numId w:val="7"/>
              </w:numPr>
              <w:tabs>
                <w:tab w:val="left" w:pos="561"/>
              </w:tabs>
              <w:rPr>
                <w:rFonts w:eastAsia="Times New Roman"/>
              </w:rPr>
            </w:pPr>
            <w:r w:rsidRPr="002A479B">
              <w:rPr>
                <w:rFonts w:eastAsia="Times New Roman"/>
              </w:rPr>
              <w:t>a szérumkreatinin-szint jelentősen emelkedett marad, és</w:t>
            </w:r>
          </w:p>
          <w:p w14:paraId="7BB61343" w14:textId="77777777" w:rsidR="00944597" w:rsidRPr="002A479B" w:rsidRDefault="00944597" w:rsidP="00944597">
            <w:pPr>
              <w:numPr>
                <w:ilvl w:val="0"/>
                <w:numId w:val="7"/>
              </w:numPr>
              <w:tabs>
                <w:tab w:val="left" w:pos="561"/>
              </w:tabs>
              <w:ind w:left="567" w:hanging="567"/>
              <w:rPr>
                <w:rFonts w:eastAsia="Times New Roman"/>
              </w:rPr>
            </w:pPr>
            <w:r w:rsidRPr="002A479B">
              <w:rPr>
                <w:rFonts w:eastAsia="Times New Roman"/>
              </w:rPr>
              <w:t>a vesefunkció egyéb markerében bekövetkező tartós eltérés (pl. proteinuria,</w:t>
            </w:r>
            <w:r>
              <w:rPr>
                <w:rFonts w:eastAsia="Times New Roman"/>
              </w:rPr>
              <w:t xml:space="preserve"> </w:t>
            </w:r>
            <w:r w:rsidRPr="002A479B">
              <w:rPr>
                <w:rFonts w:eastAsia="Times New Roman"/>
              </w:rPr>
              <w:t>Fanconi</w:t>
            </w:r>
            <w:r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>szindróma).</w:t>
            </w:r>
          </w:p>
          <w:p w14:paraId="130DF01F" w14:textId="77777777" w:rsidR="00944597" w:rsidRPr="002A479B" w:rsidRDefault="00944597" w:rsidP="00944597">
            <w:pPr>
              <w:rPr>
                <w:rFonts w:eastAsia="Times New Roman"/>
                <w:u w:val="single"/>
              </w:rPr>
            </w:pPr>
          </w:p>
          <w:p w14:paraId="18C195A1" w14:textId="77777777" w:rsidR="00944597" w:rsidRPr="002A479B" w:rsidRDefault="00944597" w:rsidP="00944597">
            <w:r w:rsidRPr="002A479B">
              <w:rPr>
                <w:rFonts w:eastAsia="Times New Roman"/>
                <w:u w:val="single"/>
              </w:rPr>
              <w:t>Májfunkció</w:t>
            </w:r>
          </w:p>
          <w:p w14:paraId="5595F616" w14:textId="77777777" w:rsidR="00944597" w:rsidRPr="002A479B" w:rsidRDefault="00944597" w:rsidP="00944597">
            <w:r w:rsidRPr="002A479B">
              <w:rPr>
                <w:rFonts w:eastAsia="Times New Roman"/>
              </w:rPr>
              <w:t>A deferazirox</w:t>
            </w:r>
            <w:r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>kezelésben részesülő betegeknél megfigyelték a májfunkciós laborvizsgálatok eredményeinek emelkedését. A forgalomba hozatalt követően májelégtelenség eseteit jelentették, ami néhány esetben halálos kimenetelű volt. A deferazirox</w:t>
            </w:r>
            <w:r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>kezelésben részesülő betegeknél, különösen a gyermekeknél előfordulhatnak a hyperammon</w:t>
            </w:r>
            <w:r>
              <w:rPr>
                <w:rFonts w:eastAsia="Times New Roman"/>
              </w:rPr>
              <w:t>a</w:t>
            </w:r>
            <w:r w:rsidRPr="002A479B">
              <w:rPr>
                <w:rFonts w:eastAsia="Times New Roman"/>
              </w:rPr>
              <w:t>emiás encephalopathia révén kialakuló tudatállapot-változással járó súlyos formák is. Amennyiben a deferazirox</w:t>
            </w:r>
            <w:r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>kezelés alatt mással nem magyarázható mentális állapotváltozás alakul ki, fontos, hogy felmerüljön a hyperammonemiás encephalopathia</w:t>
            </w:r>
            <w:r w:rsidRPr="002A479B" w:rsidDel="00C66D5B">
              <w:rPr>
                <w:rFonts w:eastAsia="Times New Roman"/>
              </w:rPr>
              <w:t xml:space="preserve"> </w:t>
            </w:r>
            <w:r w:rsidRPr="002A479B">
              <w:rPr>
                <w:rFonts w:eastAsia="Times New Roman"/>
              </w:rPr>
              <w:t xml:space="preserve">lehetősége, és készüljön ammóniaszint-vizsgálat. Folyadékvesztéssel járó események (például hasmenés vagy hányás) esetén ügyelni kell a betegek megfelelő hidrálására, különösen akut megbetegedésben szenvedő gyermekek esetében. A májelégtelenségről szóló jelentések többsége olyan betegeket érintett, akiknek komoly </w:t>
            </w:r>
            <w:r>
              <w:rPr>
                <w:rFonts w:eastAsia="Times New Roman"/>
              </w:rPr>
              <w:t>társ</w:t>
            </w:r>
            <w:r w:rsidRPr="002A479B">
              <w:rPr>
                <w:rFonts w:eastAsia="Times New Roman"/>
              </w:rPr>
              <w:t xml:space="preserve">betegségük volt, beleértve a korábbi </w:t>
            </w:r>
            <w:r>
              <w:rPr>
                <w:rFonts w:eastAsia="Times New Roman"/>
              </w:rPr>
              <w:t xml:space="preserve">krónikus májbetegségeket (beleértve a </w:t>
            </w:r>
            <w:r w:rsidRPr="002A479B">
              <w:rPr>
                <w:rFonts w:eastAsia="Times New Roman"/>
              </w:rPr>
              <w:t xml:space="preserve">cirrhosist </w:t>
            </w:r>
            <w:r>
              <w:rPr>
                <w:rFonts w:eastAsia="Times New Roman"/>
              </w:rPr>
              <w:t xml:space="preserve">és a hepatitis C-t </w:t>
            </w:r>
            <w:r w:rsidRPr="002A479B">
              <w:rPr>
                <w:rFonts w:eastAsia="Times New Roman"/>
              </w:rPr>
              <w:t>is</w:t>
            </w:r>
            <w:r>
              <w:rPr>
                <w:rFonts w:eastAsia="Times New Roman"/>
              </w:rPr>
              <w:t>) és a többszervi elégtelenséget</w:t>
            </w:r>
            <w:r w:rsidRPr="002A479B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A</w:t>
            </w:r>
            <w:r w:rsidRPr="002A479B">
              <w:rPr>
                <w:rFonts w:eastAsia="Times New Roman"/>
              </w:rPr>
              <w:t xml:space="preserve"> deferazirox elősegítő vagy súlyosbító tényezőként játszott szerepe nem zárható ki (lásd 4.8 pont).</w:t>
            </w:r>
          </w:p>
          <w:p w14:paraId="750E9776" w14:textId="77777777" w:rsidR="00944597" w:rsidRDefault="00944597" w:rsidP="00944597">
            <w:pPr>
              <w:rPr>
                <w:rFonts w:eastAsia="Times New Roman"/>
              </w:rPr>
            </w:pPr>
          </w:p>
          <w:p w14:paraId="4BD5722B" w14:textId="77777777" w:rsidR="00944597" w:rsidRPr="002A479B" w:rsidRDefault="00944597" w:rsidP="00944597">
            <w:r w:rsidRPr="002A479B">
              <w:rPr>
                <w:rFonts w:eastAsia="Times New Roman"/>
              </w:rPr>
              <w:t>A kezelés megkezdése előtt, az első hónapban kéthetente és utána havonta a szérumtranszaminázok, a bilirubin és az alkalikus</w:t>
            </w:r>
            <w:r>
              <w:rPr>
                <w:rFonts w:eastAsia="Times New Roman"/>
              </w:rPr>
              <w:t xml:space="preserve"> </w:t>
            </w:r>
            <w:r w:rsidRPr="002A479B">
              <w:rPr>
                <w:rFonts w:eastAsia="Times New Roman"/>
              </w:rPr>
              <w:t>foszfatáz szintjének ellenőrzése javasolt. A szérumtranszamináz-szint más okkal nem magyarázható, tartós és progresszív emelkedése esetén a deferazirox</w:t>
            </w:r>
            <w:r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>kezelést meg kell szakítani. A kóros májfunkciós eredmények okának azonosítását követően, illetve</w:t>
            </w:r>
            <w:r>
              <w:rPr>
                <w:rFonts w:eastAsia="Times New Roman"/>
              </w:rPr>
              <w:t>,</w:t>
            </w:r>
            <w:r w:rsidRPr="002A479B">
              <w:rPr>
                <w:rFonts w:eastAsia="Times New Roman"/>
              </w:rPr>
              <w:t xml:space="preserve"> ha a kóros értékek rendeződnek, megfontolható a kezelés körültekintő újraindítása alacsonyabb dózissal, és fokozatos dózisemeléssel.</w:t>
            </w:r>
          </w:p>
          <w:p w14:paraId="5689AF77" w14:textId="77777777" w:rsidR="00944597" w:rsidRPr="002A479B" w:rsidRDefault="00944597" w:rsidP="00944597"/>
          <w:p w14:paraId="7B1D4BE2" w14:textId="77777777" w:rsidR="00944597" w:rsidRPr="002A479B" w:rsidRDefault="00944597" w:rsidP="00944597">
            <w:r w:rsidRPr="002A479B">
              <w:rPr>
                <w:rFonts w:eastAsia="Times New Roman"/>
              </w:rPr>
              <w:t>A deferazirox alkalmazása nem javasolt súlyos májkárosodásban szenvedő (Child</w:t>
            </w:r>
            <w:r>
              <w:rPr>
                <w:rFonts w:eastAsia="Times New Roman"/>
              </w:rPr>
              <w:t>–</w:t>
            </w:r>
            <w:r w:rsidRPr="002A479B">
              <w:rPr>
                <w:rFonts w:eastAsia="Times New Roman"/>
              </w:rPr>
              <w:t>Pugh osztályozás szerinti C stádium) betegeknél (lásd 5.2 pont).</w:t>
            </w:r>
          </w:p>
          <w:p w14:paraId="2DF50D45" w14:textId="77777777" w:rsidR="00944597" w:rsidRPr="002A479B" w:rsidRDefault="00944597" w:rsidP="00944597"/>
          <w:p w14:paraId="2D0AE6C3" w14:textId="77777777" w:rsidR="00944597" w:rsidRPr="002A479B" w:rsidRDefault="00944597" w:rsidP="00944597">
            <w:pPr>
              <w:keepNext/>
            </w:pPr>
            <w:r w:rsidRPr="002A479B">
              <w:rPr>
                <w:rFonts w:eastAsia="Times New Roman"/>
                <w:u w:val="single"/>
              </w:rPr>
              <w:t>4. táblázat</w:t>
            </w:r>
            <w:r w:rsidRPr="002A479B">
              <w:rPr>
                <w:rFonts w:eastAsia="Times New Roman"/>
                <w:u w:val="single"/>
              </w:rPr>
              <w:tab/>
              <w:t xml:space="preserve">A javasolt biztonságossági </w:t>
            </w:r>
            <w:r>
              <w:rPr>
                <w:rFonts w:eastAsia="Times New Roman"/>
                <w:u w:val="single"/>
              </w:rPr>
              <w:t>monitorozás</w:t>
            </w:r>
            <w:r w:rsidRPr="002A479B">
              <w:rPr>
                <w:rFonts w:eastAsia="Times New Roman"/>
                <w:u w:val="single"/>
              </w:rPr>
              <w:t xml:space="preserve"> összegzése</w:t>
            </w:r>
          </w:p>
          <w:tbl>
            <w:tblPr>
              <w:tblW w:w="0" w:type="auto"/>
              <w:tblInd w:w="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20"/>
              <w:gridCol w:w="5011"/>
            </w:tblGrid>
            <w:tr w:rsidR="00944597" w:rsidRPr="002A479B" w14:paraId="5DD3E49D" w14:textId="77777777" w:rsidTr="00780586">
              <w:trPr>
                <w:trHeight w:val="253"/>
              </w:trPr>
              <w:tc>
                <w:tcPr>
                  <w:tcW w:w="3920" w:type="dxa"/>
                  <w:vAlign w:val="bottom"/>
                </w:tcPr>
                <w:p w14:paraId="16438063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b/>
                      <w:bCs/>
                      <w:lang w:eastAsia="hu-HU"/>
                    </w:rPr>
                    <w:t>Vizsgálat</w:t>
                  </w:r>
                </w:p>
              </w:tc>
              <w:tc>
                <w:tcPr>
                  <w:tcW w:w="5011" w:type="dxa"/>
                  <w:vAlign w:val="bottom"/>
                </w:tcPr>
                <w:p w14:paraId="36A11CA0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b/>
                      <w:bCs/>
                      <w:lang w:eastAsia="hu-HU"/>
                    </w:rPr>
                    <w:t>Gyakoriság</w:t>
                  </w:r>
                </w:p>
              </w:tc>
            </w:tr>
            <w:tr w:rsidR="00944597" w:rsidRPr="002A479B" w14:paraId="61ADEBD2" w14:textId="77777777" w:rsidTr="00780586">
              <w:trPr>
                <w:trHeight w:val="230"/>
              </w:trPr>
              <w:tc>
                <w:tcPr>
                  <w:tcW w:w="3920" w:type="dxa"/>
                </w:tcPr>
                <w:p w14:paraId="24F6479C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Szérumkreatinin</w:t>
                  </w:r>
                </w:p>
              </w:tc>
              <w:tc>
                <w:tcPr>
                  <w:tcW w:w="5011" w:type="dxa"/>
                </w:tcPr>
                <w:p w14:paraId="1725E6B8" w14:textId="20CD4A0B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 kezelés megkezdése előtt két alkalommal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  <w:p w14:paraId="2410D96B" w14:textId="54C5BC2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 kezelés első hónapjában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>, valamint a dózismódosítás után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 xml:space="preserve">(beleértve a gyógyszerforma-váltást is) 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hetente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  <w:p w14:paraId="357196AB" w14:textId="191B7F2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 későbbiekben havonta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</w:tc>
            </w:tr>
            <w:tr w:rsidR="00944597" w:rsidRPr="002A479B" w14:paraId="3C0694B8" w14:textId="77777777" w:rsidTr="00780586">
              <w:trPr>
                <w:trHeight w:val="232"/>
              </w:trPr>
              <w:tc>
                <w:tcPr>
                  <w:tcW w:w="3920" w:type="dxa"/>
                </w:tcPr>
                <w:p w14:paraId="683CBEFD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Kreatinin-clearance és/vagy cisztatin C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>-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 xml:space="preserve"> plazmaszint</w:t>
                  </w:r>
                </w:p>
              </w:tc>
              <w:tc>
                <w:tcPr>
                  <w:tcW w:w="5011" w:type="dxa"/>
                </w:tcPr>
                <w:p w14:paraId="7D77D8BB" w14:textId="4F5E7444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 kezelés megkezdése előtt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  <w:p w14:paraId="79C2828E" w14:textId="7426A9CF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 kezelés első hónapjában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>, valamint a dózismódosítás után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>(beleértve a gyógyszerforma-váltást is)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 xml:space="preserve"> hetente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  <w:p w14:paraId="36176EE8" w14:textId="508BC468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 későbbiekben havonta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</w:tc>
            </w:tr>
            <w:tr w:rsidR="00944597" w:rsidRPr="002A479B" w14:paraId="77B26FF5" w14:textId="77777777" w:rsidTr="00780586">
              <w:trPr>
                <w:trHeight w:val="234"/>
              </w:trPr>
              <w:tc>
                <w:tcPr>
                  <w:tcW w:w="3920" w:type="dxa"/>
                </w:tcPr>
                <w:p w14:paraId="638439E6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Proteinuria</w:t>
                  </w:r>
                </w:p>
              </w:tc>
              <w:tc>
                <w:tcPr>
                  <w:tcW w:w="5011" w:type="dxa"/>
                </w:tcPr>
                <w:p w14:paraId="62AE0B56" w14:textId="02B5A38F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 kezelés megkezdése előtt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  <w:p w14:paraId="49F5D9D4" w14:textId="495CB7B5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 későbbiekben havonta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</w:tc>
            </w:tr>
            <w:tr w:rsidR="00944597" w:rsidRPr="002A479B" w14:paraId="1A631616" w14:textId="77777777" w:rsidTr="00780586">
              <w:trPr>
                <w:trHeight w:val="232"/>
              </w:trPr>
              <w:tc>
                <w:tcPr>
                  <w:tcW w:w="3920" w:type="dxa"/>
                </w:tcPr>
                <w:p w14:paraId="137DF0F5" w14:textId="77777777" w:rsidR="00944597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Ren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>a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lis tubul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>a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ris funkciók egyéb markerei (mint például: glycosuria nem cukorbetegeknél és alacsony szérumkálium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>szint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noBreakHyphen/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foszfát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>szint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,</w:t>
                  </w:r>
                </w:p>
                <w:p w14:paraId="6191B0A8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noBreakHyphen/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magnézium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>szint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 xml:space="preserve">, illetve 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noBreakHyphen/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húgysavszint, phosphaturia, aminoaciduria)</w:t>
                  </w:r>
                </w:p>
              </w:tc>
              <w:tc>
                <w:tcPr>
                  <w:tcW w:w="5011" w:type="dxa"/>
                </w:tcPr>
                <w:p w14:paraId="2D330C14" w14:textId="1AB4BD90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Szükség szerint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</w:tc>
            </w:tr>
            <w:tr w:rsidR="00944597" w:rsidRPr="002A479B" w14:paraId="042DBFBD" w14:textId="77777777" w:rsidTr="00780586">
              <w:trPr>
                <w:trHeight w:val="232"/>
              </w:trPr>
              <w:tc>
                <w:tcPr>
                  <w:tcW w:w="3920" w:type="dxa"/>
                </w:tcPr>
                <w:p w14:paraId="66531405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 xml:space="preserve">Szérumtranszamináz, 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>-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bilirubin, alkalikus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 xml:space="preserve"> 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foszfatáz</w:t>
                  </w:r>
                </w:p>
              </w:tc>
              <w:tc>
                <w:tcPr>
                  <w:tcW w:w="5011" w:type="dxa"/>
                </w:tcPr>
                <w:p w14:paraId="1C33EF57" w14:textId="759F3129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 kezelés megkezdése előtt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  <w:p w14:paraId="0F71A92F" w14:textId="772DF7A3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 kezelés első hónapjában kéthetente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  <w:p w14:paraId="16743BFB" w14:textId="0C57EE76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 későbbiekben havonta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</w:tc>
            </w:tr>
            <w:tr w:rsidR="00944597" w:rsidRPr="002A479B" w14:paraId="1A0B9E0B" w14:textId="77777777" w:rsidTr="00780586">
              <w:trPr>
                <w:trHeight w:val="232"/>
              </w:trPr>
              <w:tc>
                <w:tcPr>
                  <w:tcW w:w="3920" w:type="dxa"/>
                </w:tcPr>
                <w:p w14:paraId="6A2167EF" w14:textId="77777777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Hallás-</w:t>
                  </w:r>
                  <w:r>
                    <w:rPr>
                      <w:rFonts w:ascii="Times New Roman" w:eastAsia="Times New Roman" w:hAnsi="Times New Roman" w:cs="Times New Roman"/>
                      <w:lang w:eastAsia="hu-HU"/>
                    </w:rPr>
                    <w:t xml:space="preserve"> 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és szemészeti vizsgálat</w:t>
                  </w:r>
                </w:p>
              </w:tc>
              <w:tc>
                <w:tcPr>
                  <w:tcW w:w="5011" w:type="dxa"/>
                </w:tcPr>
                <w:p w14:paraId="1E9D3775" w14:textId="137924D1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 kezelés megkezdése előtt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  <w:p w14:paraId="1065521B" w14:textId="5C06A2F0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 későbbiekben évente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</w:tc>
            </w:tr>
            <w:tr w:rsidR="00944597" w:rsidRPr="002A479B" w14:paraId="59A4CB95" w14:textId="77777777" w:rsidTr="00780586">
              <w:trPr>
                <w:trHeight w:val="232"/>
              </w:trPr>
              <w:tc>
                <w:tcPr>
                  <w:tcW w:w="3920" w:type="dxa"/>
                </w:tcPr>
                <w:p w14:paraId="4ABAC35E" w14:textId="39823142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Test</w:t>
                  </w:r>
                  <w:r w:rsidR="004B2115">
                    <w:rPr>
                      <w:rFonts w:ascii="Times New Roman" w:eastAsia="Times New Roman" w:hAnsi="Times New Roman" w:cs="Times New Roman"/>
                      <w:lang w:eastAsia="hu-HU"/>
                    </w:rPr>
                    <w:t>tömeg</w:t>
                  </w: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, testmagasság és a nemi érés</w:t>
                  </w:r>
                </w:p>
              </w:tc>
              <w:tc>
                <w:tcPr>
                  <w:tcW w:w="5011" w:type="dxa"/>
                </w:tcPr>
                <w:p w14:paraId="79E5CFE7" w14:textId="52A8935B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A kezelés megkezdése előtt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  <w:p w14:paraId="0065BA32" w14:textId="2829F6DB" w:rsidR="00944597" w:rsidRPr="002A479B" w:rsidRDefault="00944597" w:rsidP="00944597">
                  <w:pPr>
                    <w:keepNext/>
                    <w:spacing w:after="0" w:line="240" w:lineRule="auto"/>
                    <w:rPr>
                      <w:rFonts w:ascii="Times New Roman" w:eastAsiaTheme="minorEastAsia" w:hAnsi="Times New Roman" w:cs="Times New Roman"/>
                      <w:lang w:eastAsia="hu-HU"/>
                    </w:rPr>
                  </w:pPr>
                  <w:r w:rsidRPr="002A479B">
                    <w:rPr>
                      <w:rFonts w:ascii="Times New Roman" w:eastAsia="Times New Roman" w:hAnsi="Times New Roman" w:cs="Times New Roman"/>
                      <w:lang w:eastAsia="hu-HU"/>
                    </w:rPr>
                    <w:t>Gyermekek esetében évent</w:t>
                  </w:r>
                  <w:r w:rsidR="00FC1FC7">
                    <w:rPr>
                      <w:rFonts w:ascii="Times New Roman" w:eastAsia="Times New Roman" w:hAnsi="Times New Roman" w:cs="Times New Roman"/>
                      <w:lang w:eastAsia="hu-HU"/>
                    </w:rPr>
                    <w:t>e</w:t>
                  </w:r>
                  <w:r w:rsidR="007D507F">
                    <w:rPr>
                      <w:rFonts w:ascii="Times New Roman" w:eastAsia="Times New Roman" w:hAnsi="Times New Roman" w:cs="Times New Roman"/>
                      <w:lang w:eastAsia="hu-HU"/>
                    </w:rPr>
                    <w:t>.</w:t>
                  </w:r>
                </w:p>
              </w:tc>
            </w:tr>
          </w:tbl>
          <w:p w14:paraId="16F9A1B6" w14:textId="45923130" w:rsidR="00944597" w:rsidRPr="002A479B" w:rsidRDefault="00944597" w:rsidP="002A479B"/>
        </w:tc>
      </w:tr>
    </w:tbl>
    <w:p w14:paraId="5E6700C6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9AD79B4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bookmarkStart w:id="6" w:name="page30"/>
      <w:bookmarkStart w:id="7" w:name="page32"/>
      <w:bookmarkEnd w:id="6"/>
      <w:bookmarkEnd w:id="7"/>
      <w:r w:rsidRPr="002A479B">
        <w:rPr>
          <w:rFonts w:ascii="Times New Roman" w:eastAsia="Times New Roman" w:hAnsi="Times New Roman" w:cs="Times New Roman"/>
          <w:lang w:eastAsia="hu-HU"/>
        </w:rPr>
        <w:t>Rövid életkilátással rendelkező betegeknél (pl. nagy</w:t>
      </w:r>
      <w:r w:rsidR="00907E86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kockázatú myelodysplasticus szindróma), különösen, ha a társbetegségek megnövelhetik a nemkívánatos események kockázatát, a deferazirox előnye korlátozott és kisebb lehet a kockázathoz képest, ezért a deferazirox nem ajánlott ezen betegek esetében.</w:t>
      </w:r>
    </w:p>
    <w:p w14:paraId="6F22E573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8C95EAC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Idősek esetében körültekintőnek kell lenni a mellékhatások (különösen a hasmenés) magasabb előfordulási gyakorisága miatt.</w:t>
      </w:r>
    </w:p>
    <w:p w14:paraId="5041A38E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12C6BD6" w14:textId="6CEFFF81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vértranszfúziótól nem függő thalassaemia szindrómákban szenvedő gyermek</w:t>
      </w:r>
      <w:r w:rsidR="00907E86">
        <w:rPr>
          <w:rFonts w:ascii="Times New Roman" w:eastAsia="Times New Roman" w:hAnsi="Times New Roman" w:cs="Times New Roman"/>
          <w:lang w:eastAsia="hu-HU"/>
        </w:rPr>
        <w:t>ek és serdülők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esetében az adatok nagyon korlátozottak (lásd 5.1 pont). Következésképp gyermek</w:t>
      </w:r>
      <w:r w:rsidR="00907E86">
        <w:rPr>
          <w:rFonts w:ascii="Times New Roman" w:eastAsia="Times New Roman" w:hAnsi="Times New Roman" w:cs="Times New Roman"/>
          <w:lang w:eastAsia="hu-HU"/>
        </w:rPr>
        <w:t>eknél és sedülőknél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a deferazirox</w:t>
      </w:r>
      <w:r w:rsidR="005255F0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kezelést a mellékhatások észlelése, és a vasterhelés követése érdekében szorosan monitorozni kell. Ezen felül, mielőtt a vértranszfúziótól nem függő thalassaemia szindrómákban szenvedő, erősen vastúlterhelt gyermek</w:t>
      </w:r>
      <w:r w:rsidR="007D507F">
        <w:rPr>
          <w:rFonts w:ascii="Times New Roman" w:eastAsia="Times New Roman" w:hAnsi="Times New Roman" w:cs="Times New Roman"/>
          <w:lang w:eastAsia="hu-HU"/>
        </w:rPr>
        <w:t>- vagy serdülőkorú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beteg deferazirox</w:t>
      </w:r>
      <w:r w:rsidR="00CD131C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kezelést kap, a kezelőorvosnak tisztában kell lennie azzal, hogy az ilyen betegeknél a hosszú távú kezelés következményei jelenleg nem ismertek.</w:t>
      </w:r>
    </w:p>
    <w:p w14:paraId="20319DC7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A7E9524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FB69E1">
        <w:rPr>
          <w:rFonts w:ascii="Times New Roman" w:eastAsia="Times New Roman" w:hAnsi="Times New Roman" w:cs="Times New Roman"/>
          <w:u w:val="single"/>
          <w:lang w:eastAsia="hu-HU"/>
        </w:rPr>
        <w:t>Az emésztőrendszer betegségei</w:t>
      </w:r>
    </w:p>
    <w:p w14:paraId="552C4DBF" w14:textId="4E29F0CC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deferaziroxot kapó betegeknél, köztük gyermekeknél és serdülőknél is beszámoltak a tápcsatorna felső szakaszán kialakuló fekélyről és vérzésről. Néhány betegnél multiplex fekélyeket észleltek (lásd 4.8</w:t>
      </w:r>
      <w:r w:rsidR="00CD131C">
        <w:rPr>
          <w:rFonts w:ascii="Times New Roman" w:eastAsia="Times New Roman" w:hAnsi="Times New Roman" w:cs="Times New Roman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lang w:eastAsia="hu-HU"/>
        </w:rPr>
        <w:t>pont). Beszámoltak emésztőrendszeri perforációval szövődött fekélyek előfordulásáról. Emellett vannak halálos kimenetelű gastrointestinalis vérzésekről szóló beszámolók, főként olyan idős betegeknél, akik malignus haematológiai betegségben szenvedtek és/vagy a thrombocytaszámuk alacsony volt. A deferazirox</w:t>
      </w:r>
      <w:r w:rsidR="00CD131C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 alatt az orvosoknak és a betegeknek is folyamatosan figyelniük kell a gastrointestin</w:t>
      </w:r>
      <w:r w:rsidR="009066FD">
        <w:rPr>
          <w:rFonts w:ascii="Times New Roman" w:eastAsia="Times New Roman" w:hAnsi="Times New Roman" w:cs="Times New Roman"/>
          <w:lang w:eastAsia="hu-HU"/>
        </w:rPr>
        <w:t>a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lis fekélyekre és vérzésre utaló </w:t>
      </w:r>
      <w:r w:rsidR="00FB69E1">
        <w:rPr>
          <w:rFonts w:ascii="Times New Roman" w:eastAsia="Times New Roman" w:hAnsi="Times New Roman" w:cs="Times New Roman"/>
          <w:lang w:eastAsia="hu-HU"/>
        </w:rPr>
        <w:t xml:space="preserve">jeleket és </w:t>
      </w:r>
      <w:r w:rsidRPr="002A479B">
        <w:rPr>
          <w:rFonts w:ascii="Times New Roman" w:eastAsia="Times New Roman" w:hAnsi="Times New Roman" w:cs="Times New Roman"/>
          <w:lang w:eastAsia="hu-HU"/>
        </w:rPr>
        <w:t>tüneteket</w:t>
      </w:r>
      <w:r w:rsidR="00727E84">
        <w:rPr>
          <w:rFonts w:ascii="Times New Roman" w:eastAsia="Times New Roman" w:hAnsi="Times New Roman" w:cs="Times New Roman"/>
          <w:lang w:eastAsia="hu-HU"/>
        </w:rPr>
        <w:t>.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="00727E84" w:rsidRPr="001F6F90">
        <w:rPr>
          <w:rFonts w:ascii="Times New Roman" w:eastAsia="Times New Roman" w:hAnsi="Times New Roman" w:cs="Times New Roman"/>
          <w:lang w:eastAsia="hu-HU"/>
        </w:rPr>
        <w:t xml:space="preserve">Ha emésztőrendszeri fekély vagy vérzés fordulna elő, a </w:t>
      </w:r>
      <w:r w:rsidR="00727E84">
        <w:rPr>
          <w:rFonts w:ascii="Times New Roman" w:eastAsia="Times New Roman" w:hAnsi="Times New Roman" w:cs="Times New Roman"/>
          <w:lang w:eastAsia="hu-HU"/>
        </w:rPr>
        <w:t>deferazirox</w:t>
      </w:r>
      <w:r w:rsidR="00727E84" w:rsidRPr="001F6F90">
        <w:rPr>
          <w:rFonts w:ascii="Times New Roman" w:eastAsia="Times New Roman" w:hAnsi="Times New Roman" w:cs="Times New Roman"/>
          <w:lang w:eastAsia="hu-HU"/>
        </w:rPr>
        <w:t>-kezelést le kell állítani és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azonnal további vizsgálatot és kezelést kell kezdeni. Elővigyázatosság szükséges azoknál a betegeknél, akik a deferaziroxot olyan hatóanyagokkal szedik együtt, amelyeknek ismert az ulcerogén potenciálja, például a nem</w:t>
      </w:r>
      <w:r w:rsidR="007D507F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szteroid gyulladáscsökkentők, a kortikoszteroidok vagy a szájon át alkalmazott biszfoszfonátok az antikoagulánsokat kapó és az olyan betegeknél, akiknek a thrombocytaszáma 50 000/mm</w:t>
      </w:r>
      <w:r w:rsidRPr="002A479B">
        <w:rPr>
          <w:rFonts w:ascii="Times New Roman" w:eastAsia="Times New Roman" w:hAnsi="Times New Roman" w:cs="Times New Roman"/>
          <w:vertAlign w:val="superscript"/>
          <w:lang w:eastAsia="hu-HU"/>
        </w:rPr>
        <w:t>3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(50 ×</w:t>
      </w:r>
      <w:r w:rsidRPr="002A479B">
        <w:rPr>
          <w:rFonts w:ascii="Times New Roman" w:eastAsiaTheme="minorEastAsia" w:hAnsi="Times New Roman" w:cs="Times New Roman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lang w:eastAsia="hu-HU"/>
        </w:rPr>
        <w:t>10</w:t>
      </w:r>
      <w:r w:rsidRPr="002A479B">
        <w:rPr>
          <w:rFonts w:ascii="Times New Roman" w:eastAsia="Times New Roman" w:hAnsi="Times New Roman" w:cs="Times New Roman"/>
          <w:vertAlign w:val="superscript"/>
          <w:lang w:eastAsia="hu-HU"/>
        </w:rPr>
        <w:t>9</w:t>
      </w:r>
      <w:r w:rsidRPr="002A479B">
        <w:rPr>
          <w:rFonts w:ascii="Times New Roman" w:eastAsia="Times New Roman" w:hAnsi="Times New Roman" w:cs="Times New Roman"/>
          <w:lang w:eastAsia="hu-HU"/>
        </w:rPr>
        <w:t>/l) alatt van (lásd 4.5 pont).</w:t>
      </w:r>
    </w:p>
    <w:p w14:paraId="1FAF7B6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A1E0CDD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Bőrbetegségek</w:t>
      </w:r>
    </w:p>
    <w:p w14:paraId="5DE04A15" w14:textId="180873E9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</w:t>
      </w:r>
      <w:r w:rsidR="00CD131C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 során bőrkiütések jelentkezhetnek. A bőrkiütés az esetek többségében spontán megszűnik. Amennyiben szükségessé válik a kezelés megszakítása, a bőrkiütés megszűnése után a kezelést újra lehet indítani, alacsonyabb dózissal és fokozatos dózisemeléssel. Súlyos esetekben a kezelés újraindításakor egyidejűleg, rövid ideig orális szteroid</w:t>
      </w:r>
      <w:r w:rsidR="005255F0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kezelést is lehet alkalmazni. Súlyos cutan mellékhatásokat, köztük Stevens</w:t>
      </w:r>
      <w:r w:rsidR="000A1B87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Johnson</w:t>
      </w:r>
      <w:r w:rsidR="000A1B87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szindrómát (SJS), toxicus epidermalis necrolysist (TEN) és eosinophiliával és szisztémás tünetekkel járó gyógyszerreakciót (DRESS) jelentettek, ami életveszélyes vagy halálos kimenetelű lehet. Ha valamilyen súlyos cutan mellékhatás gyanúja áll fenn, a deferazirox adását azonnal </w:t>
      </w:r>
      <w:r w:rsidR="000A1B87">
        <w:rPr>
          <w:rFonts w:ascii="Times New Roman" w:eastAsia="Times New Roman" w:hAnsi="Times New Roman" w:cs="Times New Roman"/>
          <w:lang w:eastAsia="hu-HU"/>
        </w:rPr>
        <w:t xml:space="preserve">le 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kell </w:t>
      </w:r>
      <w:r w:rsidR="000A1B87">
        <w:rPr>
          <w:rFonts w:ascii="Times New Roman" w:eastAsia="Times New Roman" w:hAnsi="Times New Roman" w:cs="Times New Roman"/>
          <w:lang w:eastAsia="hu-HU"/>
        </w:rPr>
        <w:t>állítani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, és azt nem szabad újra elkezdeni. A gyógyszerfelírás időpontjában a betegeket tájékoztatni kell a súlyos bőrreakciók okozta </w:t>
      </w:r>
      <w:r w:rsidR="000A1B87">
        <w:rPr>
          <w:rFonts w:ascii="Times New Roman" w:eastAsia="Times New Roman" w:hAnsi="Times New Roman" w:cs="Times New Roman"/>
          <w:lang w:eastAsia="hu-HU"/>
        </w:rPr>
        <w:t>jelekről</w:t>
      </w:r>
      <w:r w:rsidR="000A1B87"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és tünetekről, és szorosan monitorozni kell őket.</w:t>
      </w:r>
    </w:p>
    <w:p w14:paraId="0086F2A1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416CCA6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Túlérzékenységi reakciók</w:t>
      </w:r>
    </w:p>
    <w:p w14:paraId="09B5E50F" w14:textId="78E77F10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</w:t>
      </w:r>
      <w:r w:rsidR="00CD131C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kezelésben részesülő betegeknél ritka esetekben beszámoltak súlyos túlérzékenységi reakciókról (úgymint anafilaxia vagy angioödéma), a reakciók az esetek többségében a kezelés megkezdését követő első hónapon belül jelentkeztek (lásd 4.8 pont). Amennyiben ilyen reakciók lépnek fel, a deferazirox</w:t>
      </w:r>
      <w:r w:rsidR="00CD131C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kezelést fel kell függeszteni, és a beteget megfelelő orvosi ellátásban kell részesíteni. Az ana</w:t>
      </w:r>
      <w:r w:rsidR="008C40A6">
        <w:rPr>
          <w:rFonts w:ascii="Times New Roman" w:eastAsia="Times New Roman" w:hAnsi="Times New Roman" w:cs="Times New Roman"/>
          <w:lang w:eastAsia="hu-HU"/>
        </w:rPr>
        <w:t>fi</w:t>
      </w:r>
      <w:r w:rsidRPr="002A479B">
        <w:rPr>
          <w:rFonts w:ascii="Times New Roman" w:eastAsia="Times New Roman" w:hAnsi="Times New Roman" w:cs="Times New Roman"/>
          <w:lang w:eastAsia="hu-HU"/>
        </w:rPr>
        <w:t>laxiás so</w:t>
      </w:r>
      <w:r w:rsidR="008C40A6">
        <w:rPr>
          <w:rFonts w:ascii="Times New Roman" w:eastAsia="Times New Roman" w:hAnsi="Times New Roman" w:cs="Times New Roman"/>
          <w:lang w:eastAsia="hu-HU"/>
        </w:rPr>
        <w:t>k</w:t>
      </w:r>
      <w:r w:rsidRPr="002A479B">
        <w:rPr>
          <w:rFonts w:ascii="Times New Roman" w:eastAsia="Times New Roman" w:hAnsi="Times New Roman" w:cs="Times New Roman"/>
          <w:lang w:eastAsia="hu-HU"/>
        </w:rPr>
        <w:t>k kockázata miatt a deferaziroxot nem szabad újra elkezdeni azoknál a betegeknél, akiknél túlérzékenységi reakciót tapasztaltak (lásd 4.3 pont).</w:t>
      </w:r>
    </w:p>
    <w:p w14:paraId="22212CD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DC21D61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5E4EC1">
        <w:rPr>
          <w:rFonts w:ascii="Times New Roman" w:eastAsia="Times New Roman" w:hAnsi="Times New Roman" w:cs="Times New Roman"/>
          <w:u w:val="single"/>
          <w:lang w:eastAsia="hu-HU"/>
        </w:rPr>
        <w:t>Látás és hallás</w:t>
      </w:r>
    </w:p>
    <w:p w14:paraId="4AEDF3F2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Beszámoltak a hallószervet (halláscsökkenés) és a látószervet (lencsehomály) érintő zavarokról (lásd 4.8 pont). A kezelés megkezdése előtt, majd rendszeres időközönként (12 havonta) hallás- és szemészeti vizsgálat (beleértve a szemfenékvizsgálatot is) elvégzése javasolt. Amennyiben a kezelés során bármilyen zavart észlelnek, megfontolandó a dózis csökkentése vagy a kezelés megszakítása.</w:t>
      </w:r>
    </w:p>
    <w:p w14:paraId="25B45F5C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3BB1B1A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bookmarkStart w:id="8" w:name="page33"/>
      <w:bookmarkEnd w:id="8"/>
      <w:r w:rsidRPr="002A479B">
        <w:rPr>
          <w:rFonts w:ascii="Times New Roman" w:eastAsia="Times New Roman" w:hAnsi="Times New Roman" w:cs="Times New Roman"/>
          <w:u w:val="single"/>
          <w:lang w:eastAsia="hu-HU"/>
        </w:rPr>
        <w:t>Vérképzőszervi betegségek</w:t>
      </w:r>
    </w:p>
    <w:p w14:paraId="0C0B5D49" w14:textId="083A475F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deferaziroxszal kezelt betegeknél a forgalomba hozatalt követően leukopeniáról, thrombocytopeniáról vagy pancytopeniáról (illetve ezeknek a cytopeniáknak a súlyosbodásáról)</w:t>
      </w:r>
      <w:r w:rsidR="00937061">
        <w:rPr>
          <w:rFonts w:ascii="Times New Roman" w:eastAsia="Times New Roman" w:hAnsi="Times New Roman" w:cs="Times New Roman"/>
          <w:lang w:eastAsia="hu-HU"/>
        </w:rPr>
        <w:t>,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és súlyosbodó anaemiáról számoltak be. A betegek többségének korábban </w:t>
      </w:r>
      <w:r w:rsidR="005E4EC1">
        <w:rPr>
          <w:rFonts w:ascii="Times New Roman" w:eastAsia="Times New Roman" w:hAnsi="Times New Roman" w:cs="Times New Roman"/>
          <w:lang w:eastAsia="hu-HU"/>
        </w:rPr>
        <w:t xml:space="preserve">olyan </w:t>
      </w:r>
      <w:r w:rsidRPr="002A479B">
        <w:rPr>
          <w:rFonts w:ascii="Times New Roman" w:eastAsia="Times New Roman" w:hAnsi="Times New Roman" w:cs="Times New Roman"/>
          <w:lang w:eastAsia="hu-HU"/>
        </w:rPr>
        <w:t>hematológiai betegsége</w:t>
      </w:r>
      <w:r w:rsidR="005E4EC1" w:rsidRPr="005E4EC1">
        <w:rPr>
          <w:rFonts w:ascii="Times New Roman" w:eastAsia="Times New Roman" w:hAnsi="Times New Roman" w:cs="Times New Roman"/>
          <w:lang w:eastAsia="hu-HU"/>
        </w:rPr>
        <w:t xml:space="preserve"> </w:t>
      </w:r>
      <w:r w:rsidR="005E4EC1" w:rsidRPr="002A479B">
        <w:rPr>
          <w:rFonts w:ascii="Times New Roman" w:eastAsia="Times New Roman" w:hAnsi="Times New Roman" w:cs="Times New Roman"/>
          <w:lang w:eastAsia="hu-HU"/>
        </w:rPr>
        <w:t>volt</w:t>
      </w:r>
      <w:r w:rsidRPr="002A479B">
        <w:rPr>
          <w:rFonts w:ascii="Times New Roman" w:eastAsia="Times New Roman" w:hAnsi="Times New Roman" w:cs="Times New Roman"/>
          <w:lang w:eastAsia="hu-HU"/>
        </w:rPr>
        <w:t>, amely gyakran csontvelő-elégtelenséggel jár. Mindazonáltal nem zárható ki, hogy a kezelés hozzájárul vagy súlyosbítja ezt az állapotot. Azoknál a betegeknél, akiknél tisztázatlan eredetű cytopenia alakul ki, mérlegelni kell a kezelés megszakítását.</w:t>
      </w:r>
    </w:p>
    <w:p w14:paraId="2B066CC6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087A4B3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További szempontok</w:t>
      </w:r>
    </w:p>
    <w:p w14:paraId="5EC6266A" w14:textId="508E6D5B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A szérumferritinszintet havonta javasolt ellenőrizni a kezelésre adott válasz értékelése </w:t>
      </w:r>
      <w:r w:rsidR="00A124BC" w:rsidRPr="009C6547">
        <w:rPr>
          <w:rFonts w:ascii="Times New Roman" w:eastAsia="Times New Roman" w:hAnsi="Times New Roman" w:cs="Times New Roman"/>
          <w:lang w:eastAsia="hu-HU"/>
        </w:rPr>
        <w:t xml:space="preserve">és a túlzott kelátképzés elkerülése 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céljából (lásd 4.2 pont). </w:t>
      </w:r>
      <w:r w:rsidR="00A124BC" w:rsidRPr="009C6547">
        <w:rPr>
          <w:rFonts w:ascii="Times New Roman" w:eastAsia="Times New Roman" w:hAnsi="Times New Roman" w:cs="Times New Roman"/>
          <w:lang w:eastAsia="hu-HU"/>
        </w:rPr>
        <w:t>A dózis csökkentése vagy a vese- és májfunkció és a szérumferritinszint szorosabb monitorozása javasolt a nagyobb dózisokkal végzett kezelési periódusok alatt, valamint akkor, amikor a szérumferritinszint közel van a kitűzött tartományhoz.</w:t>
      </w:r>
      <w:r w:rsidR="00A124BC"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Amennyiben a szérumferritinszint következetesen alacsonyabb, mint 500 </w:t>
      </w:r>
      <w:r w:rsidR="00AF1A09">
        <w:rPr>
          <w:rFonts w:ascii="Times New Roman" w:eastAsia="Times New Roman" w:hAnsi="Times New Roman" w:cs="Times New Roman"/>
          <w:lang w:eastAsia="hu-HU"/>
        </w:rPr>
        <w:t>mikrogramm</w:t>
      </w:r>
      <w:r w:rsidRPr="002A479B">
        <w:rPr>
          <w:rFonts w:ascii="Times New Roman" w:eastAsia="Times New Roman" w:hAnsi="Times New Roman" w:cs="Times New Roman"/>
          <w:lang w:eastAsia="hu-HU"/>
        </w:rPr>
        <w:t>/l (vértranszfúziók okozta vastúlterhelésben) vagy alacsonyabb, mint 300 </w:t>
      </w:r>
      <w:r w:rsidR="00AF1A09">
        <w:rPr>
          <w:rFonts w:ascii="Times New Roman" w:eastAsia="Times New Roman" w:hAnsi="Times New Roman" w:cs="Times New Roman"/>
          <w:lang w:eastAsia="hu-HU"/>
        </w:rPr>
        <w:t>mikrogramm</w:t>
      </w:r>
      <w:r w:rsidRPr="002A479B">
        <w:rPr>
          <w:rFonts w:ascii="Times New Roman" w:eastAsia="Times New Roman" w:hAnsi="Times New Roman" w:cs="Times New Roman"/>
          <w:lang w:eastAsia="hu-HU"/>
        </w:rPr>
        <w:t>/l (vértranszfúziótól nem függő thalassaemia szindrómákban), megfontolandó a kezelés megszakítása.</w:t>
      </w:r>
    </w:p>
    <w:p w14:paraId="72BCA3F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9EB5DC6" w14:textId="77777777" w:rsidR="002A479B" w:rsidRPr="002A479B" w:rsidRDefault="002A479B" w:rsidP="002A479B">
      <w:pPr>
        <w:tabs>
          <w:tab w:val="left" w:pos="215"/>
        </w:tabs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szérumkreatinin-</w:t>
      </w:r>
      <w:r w:rsidR="003423F1">
        <w:rPr>
          <w:rFonts w:ascii="Times New Roman" w:eastAsia="Times New Roman" w:hAnsi="Times New Roman" w:cs="Times New Roman"/>
          <w:lang w:eastAsia="hu-HU"/>
        </w:rPr>
        <w:t xml:space="preserve"> és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szérumferritin</w:t>
      </w:r>
      <w:r w:rsidR="003423F1">
        <w:rPr>
          <w:rFonts w:ascii="Times New Roman" w:eastAsia="Times New Roman" w:hAnsi="Times New Roman" w:cs="Times New Roman"/>
          <w:lang w:eastAsia="hu-HU"/>
        </w:rPr>
        <w:t xml:space="preserve">szint, valamint a 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szérumtranszamináz-szintek ellenőrzéseinek eredményeit fel kell jegyezni, és rendszeresen értékelni kell </w:t>
      </w:r>
      <w:r w:rsidR="00B901D4">
        <w:rPr>
          <w:rFonts w:ascii="Times New Roman" w:eastAsia="Times New Roman" w:hAnsi="Times New Roman" w:cs="Times New Roman"/>
          <w:lang w:eastAsia="hu-HU"/>
        </w:rPr>
        <w:t xml:space="preserve">a </w:t>
      </w:r>
      <w:r w:rsidRPr="002A479B">
        <w:rPr>
          <w:rFonts w:ascii="Times New Roman" w:eastAsia="Times New Roman" w:hAnsi="Times New Roman" w:cs="Times New Roman"/>
          <w:lang w:eastAsia="hu-HU"/>
        </w:rPr>
        <w:t>tendenci</w:t>
      </w:r>
      <w:r w:rsidR="00B901D4">
        <w:rPr>
          <w:rFonts w:ascii="Times New Roman" w:eastAsia="Times New Roman" w:hAnsi="Times New Roman" w:cs="Times New Roman"/>
          <w:lang w:eastAsia="hu-HU"/>
        </w:rPr>
        <w:t>ák észrevétele érdekében</w:t>
      </w:r>
      <w:r w:rsidRPr="002A479B">
        <w:rPr>
          <w:rFonts w:ascii="Times New Roman" w:eastAsia="Times New Roman" w:hAnsi="Times New Roman" w:cs="Times New Roman"/>
          <w:lang w:eastAsia="hu-HU"/>
        </w:rPr>
        <w:t>.</w:t>
      </w:r>
    </w:p>
    <w:p w14:paraId="6579585C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B3F9CAE" w14:textId="3A07A28B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Két klinikai vizsgálatban a legfeljebb 5 évig tartó deferazirox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 nem befolyásolta a kezelt gyermekek növekedését és nemi érését (lásd 4.8 pont). Mindamellett általános óvintézkedésként, a transzfúziós vastúlterhelés miatt kezelt gyermekek gondozása során a kezelés előtt és rendszeres időközönként (12 havonta) javasolt ellenőrizni a test</w:t>
      </w:r>
      <w:r w:rsidR="00937061">
        <w:rPr>
          <w:rFonts w:ascii="Times New Roman" w:eastAsia="Times New Roman" w:hAnsi="Times New Roman" w:cs="Times New Roman"/>
          <w:lang w:eastAsia="hu-HU"/>
        </w:rPr>
        <w:t>tömeget</w:t>
      </w:r>
      <w:r w:rsidRPr="002A479B">
        <w:rPr>
          <w:rFonts w:ascii="Times New Roman" w:eastAsia="Times New Roman" w:hAnsi="Times New Roman" w:cs="Times New Roman"/>
          <w:lang w:eastAsia="hu-HU"/>
        </w:rPr>
        <w:t>, a testmagasságot és a nemi érést.</w:t>
      </w:r>
    </w:p>
    <w:p w14:paraId="526AC88E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59CC77A" w14:textId="1A665708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A szívműködés rendellenességei a súlyos vastúlterhelés ismert szövődményei. </w:t>
      </w:r>
      <w:r w:rsidR="00B901D4">
        <w:rPr>
          <w:rFonts w:ascii="Times New Roman" w:eastAsia="Times New Roman" w:hAnsi="Times New Roman" w:cs="Times New Roman"/>
          <w:lang w:eastAsia="hu-HU"/>
        </w:rPr>
        <w:t>H</w:t>
      </w:r>
      <w:r w:rsidR="00B901D4" w:rsidRPr="002A479B">
        <w:rPr>
          <w:rFonts w:ascii="Times New Roman" w:eastAsia="Times New Roman" w:hAnsi="Times New Roman" w:cs="Times New Roman"/>
          <w:lang w:eastAsia="hu-HU"/>
        </w:rPr>
        <w:t>osszú távú deferazirox</w:t>
      </w:r>
      <w:r w:rsidR="005255F0">
        <w:rPr>
          <w:rFonts w:ascii="Times New Roman" w:eastAsia="Times New Roman" w:hAnsi="Times New Roman" w:cs="Times New Roman"/>
          <w:lang w:eastAsia="hu-HU"/>
        </w:rPr>
        <w:t>-</w:t>
      </w:r>
      <w:r w:rsidR="00B901D4" w:rsidRPr="002A479B">
        <w:rPr>
          <w:rFonts w:ascii="Times New Roman" w:eastAsia="Times New Roman" w:hAnsi="Times New Roman" w:cs="Times New Roman"/>
          <w:lang w:eastAsia="hu-HU"/>
        </w:rPr>
        <w:t xml:space="preserve">kezelés esetén </w:t>
      </w:r>
      <w:r w:rsidR="00B901D4">
        <w:rPr>
          <w:rFonts w:ascii="Times New Roman" w:eastAsia="Times New Roman" w:hAnsi="Times New Roman" w:cs="Times New Roman"/>
          <w:lang w:eastAsia="hu-HU"/>
        </w:rPr>
        <w:t>a s</w:t>
      </w:r>
      <w:r w:rsidRPr="002A479B">
        <w:rPr>
          <w:rFonts w:ascii="Times New Roman" w:eastAsia="Times New Roman" w:hAnsi="Times New Roman" w:cs="Times New Roman"/>
          <w:lang w:eastAsia="hu-HU"/>
        </w:rPr>
        <w:t>úlyos vastúlterhelésben szenvedő betegeknél monitorozni kell a szívműködést.</w:t>
      </w:r>
    </w:p>
    <w:p w14:paraId="4A9D6FA2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14D06B4D" w14:textId="3D8F7171" w:rsidR="002A479B" w:rsidRPr="002A479B" w:rsidRDefault="002A479B" w:rsidP="002A479B">
      <w:pPr>
        <w:keepNext/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  <w:r w:rsidRPr="002A479B">
        <w:rPr>
          <w:rFonts w:ascii="Times New Roman" w:eastAsia="Times New Roman" w:hAnsi="Times New Roman" w:cs="Times New Roman"/>
          <w:b/>
          <w:lang w:eastAsia="hu-HU"/>
        </w:rPr>
        <w:t xml:space="preserve">A Deferasirox MSN filmtabletta laktózt </w:t>
      </w:r>
      <w:r w:rsidR="00E4086F">
        <w:rPr>
          <w:rFonts w:ascii="Times New Roman" w:eastAsia="Times New Roman" w:hAnsi="Times New Roman" w:cs="Times New Roman"/>
          <w:b/>
          <w:lang w:eastAsia="hu-HU"/>
        </w:rPr>
        <w:t xml:space="preserve">és nátriumot </w:t>
      </w:r>
      <w:r w:rsidRPr="002A479B">
        <w:rPr>
          <w:rFonts w:ascii="Times New Roman" w:eastAsia="Times New Roman" w:hAnsi="Times New Roman" w:cs="Times New Roman"/>
          <w:b/>
          <w:lang w:eastAsia="hu-HU"/>
        </w:rPr>
        <w:t>tartalmaz.</w:t>
      </w:r>
    </w:p>
    <w:p w14:paraId="1AB12D76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</w:p>
    <w:p w14:paraId="1A29BC18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="Times New Roman" w:hAnsi="Times New Roman" w:cs="Times New Roman"/>
          <w:b/>
          <w:lang w:eastAsia="hu-HU"/>
        </w:rPr>
      </w:pPr>
      <w:r w:rsidRPr="002A479B">
        <w:rPr>
          <w:rFonts w:ascii="Times New Roman" w:eastAsia="Times New Roman" w:hAnsi="Times New Roman" w:cs="Times New Roman"/>
          <w:b/>
          <w:lang w:eastAsia="hu-HU"/>
        </w:rPr>
        <w:t>Laktóz</w:t>
      </w:r>
    </w:p>
    <w:p w14:paraId="4E21AF59" w14:textId="4E645EDA" w:rsidR="002A479B" w:rsidRDefault="002A479B" w:rsidP="002A47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Ritkán előforduló, örökletes galaktózintoleranciában, teljes laktáz-hiányban vagy glükóz</w:t>
      </w:r>
      <w:r w:rsidR="00B901D4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galaktóz malabszorpcióban a készítmény nem szedhető.</w:t>
      </w:r>
    </w:p>
    <w:p w14:paraId="7B97BB4A" w14:textId="6A921F5A" w:rsidR="00E4086F" w:rsidRDefault="00E4086F" w:rsidP="002A47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02C9B70F" w14:textId="338A9BBF" w:rsidR="00E4086F" w:rsidRPr="00CE18F9" w:rsidRDefault="00E4086F" w:rsidP="002A47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 w:rsidRPr="00CE18F9">
        <w:rPr>
          <w:rFonts w:ascii="Times New Roman" w:eastAsia="Times New Roman" w:hAnsi="Times New Roman" w:cs="Times New Roman"/>
          <w:b/>
          <w:bCs/>
          <w:lang w:eastAsia="hu-HU"/>
        </w:rPr>
        <w:t>Nátrium</w:t>
      </w:r>
    </w:p>
    <w:p w14:paraId="6785C1EE" w14:textId="67D26F83" w:rsidR="00E4086F" w:rsidRPr="002A479B" w:rsidRDefault="00E4086F" w:rsidP="002A47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Ez a gyógyszer kevesebb mint 1 mmol (23 mg) nátriumot tartalmaz filmtablettánként, azaz gyakorlatilag „nátriummentes”.</w:t>
      </w:r>
    </w:p>
    <w:p w14:paraId="7D50BFDF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1DDDC659" w14:textId="77777777" w:rsidR="002A479B" w:rsidRPr="002A479B" w:rsidRDefault="002A479B" w:rsidP="002A479B">
      <w:pPr>
        <w:keepNext/>
        <w:tabs>
          <w:tab w:val="left" w:pos="541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4.5</w:t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ab/>
        <w:t>Gyógyszerkölcsönhatások és egyéb interakciók</w:t>
      </w:r>
    </w:p>
    <w:p w14:paraId="600F1361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D676248" w14:textId="63259949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biztonságossága egyéb vaskelátorokkal kombinációban alkalmazva nem bizonyított, ezért nem alkalmazható egyéb vaskelátor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kezeléssel kombinációban (lásd 4.3 pont).</w:t>
      </w:r>
    </w:p>
    <w:p w14:paraId="4232292A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9621544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Kölcsönhatás étellel</w:t>
      </w:r>
    </w:p>
    <w:p w14:paraId="62D67F7C" w14:textId="77777777" w:rsidR="002A479B" w:rsidRPr="002A479B" w:rsidRDefault="002A479B" w:rsidP="002A479B">
      <w:pPr>
        <w:tabs>
          <w:tab w:val="left" w:pos="215"/>
        </w:tabs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filmtabletta C</w:t>
      </w:r>
      <w:r w:rsidRPr="002A479B">
        <w:rPr>
          <w:rFonts w:ascii="Times" w:eastAsia="Times New Roman" w:hAnsi="Times" w:cs="Times New Roman"/>
          <w:vertAlign w:val="subscript"/>
          <w:lang w:eastAsia="hu-HU"/>
        </w:rPr>
        <w:t>max</w:t>
      </w:r>
      <w:r w:rsidR="00982A7E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értéke emelkedett (29%-kal) a</w:t>
      </w:r>
      <w:r w:rsidR="00982A7E">
        <w:rPr>
          <w:rFonts w:ascii="Times New Roman" w:eastAsia="Times New Roman" w:hAnsi="Times New Roman" w:cs="Times New Roman"/>
          <w:lang w:eastAsia="hu-HU"/>
        </w:rPr>
        <w:t>z olyan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étkezés során történő bevétellel</w:t>
      </w:r>
      <w:r w:rsidR="00982A7E">
        <w:rPr>
          <w:rFonts w:ascii="Times New Roman" w:eastAsia="Times New Roman" w:hAnsi="Times New Roman" w:cs="Times New Roman"/>
          <w:lang w:eastAsia="hu-HU"/>
        </w:rPr>
        <w:t>, amikor magas zsírtartalmú ételeket fogyasztottak</w:t>
      </w:r>
      <w:r w:rsidRPr="002A479B">
        <w:rPr>
          <w:rFonts w:ascii="Times New Roman" w:eastAsia="Times New Roman" w:hAnsi="Times New Roman" w:cs="Times New Roman"/>
          <w:lang w:eastAsia="hu-HU"/>
        </w:rPr>
        <w:t>. A deferazirox filmtabletta bevehető éhgyomorra vagy könnyű étkezés közben, lehetőleg minden nap azonos időpontban (lásd 4.2 és 5.2 pont).</w:t>
      </w:r>
    </w:p>
    <w:p w14:paraId="59E59136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700A44D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A deferazirox szisztémás expozícióját vélhetőleg csökkentő szerek</w:t>
      </w:r>
    </w:p>
    <w:p w14:paraId="4EABF616" w14:textId="3E1AE83D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metabolizmusa az UGT</w:t>
      </w:r>
      <w:r w:rsidR="00982A7E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enzimektől függ. Egy egészséges önkéntesekkel végzett vizsgálatban a deferazirox (egyetlen 30 mg/</w:t>
      </w:r>
      <w:r w:rsidR="00CE7FBA">
        <w:rPr>
          <w:rFonts w:ascii="Times New Roman" w:eastAsia="Times New Roman" w:hAnsi="Times New Roman" w:cs="Times New Roman"/>
          <w:lang w:eastAsia="hu-HU"/>
        </w:rPr>
        <w:t>tt</w:t>
      </w:r>
      <w:r w:rsidRPr="002A479B">
        <w:rPr>
          <w:rFonts w:ascii="Times New Roman" w:eastAsia="Times New Roman" w:hAnsi="Times New Roman" w:cs="Times New Roman"/>
          <w:lang w:eastAsia="hu-HU"/>
        </w:rPr>
        <w:t>kg-os dózis, diszpergálódó tabletta form</w:t>
      </w:r>
      <w:r w:rsidR="00CE7FBA">
        <w:rPr>
          <w:rFonts w:ascii="Times New Roman" w:eastAsia="Times New Roman" w:hAnsi="Times New Roman" w:cs="Times New Roman"/>
          <w:lang w:eastAsia="hu-HU"/>
        </w:rPr>
        <w:t>ájában</w:t>
      </w:r>
      <w:r w:rsidRPr="002A479B">
        <w:rPr>
          <w:rFonts w:ascii="Times New Roman" w:eastAsia="Times New Roman" w:hAnsi="Times New Roman" w:cs="Times New Roman"/>
          <w:lang w:eastAsia="hu-HU"/>
        </w:rPr>
        <w:t>) és az erős UGT-induktor rifampicin (napi 600 mg-os ismételt dózis) együttes alkalmazása a deferazirox</w:t>
      </w:r>
      <w:r w:rsidR="005255F0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expozíció 44%-os csökkenését eredményezte (90%-os CI: 37%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51%). Ezért a deferazirox és az erős UGT</w:t>
      </w:r>
      <w:r w:rsidR="00CE7FBA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induktorok (pl. rifampicin, </w:t>
      </w:r>
      <w:r w:rsidR="00CE7FBA" w:rsidRPr="002A479B">
        <w:rPr>
          <w:rFonts w:ascii="Times New Roman" w:eastAsia="Times New Roman" w:hAnsi="Times New Roman" w:cs="Times New Roman"/>
          <w:lang w:eastAsia="hu-HU"/>
        </w:rPr>
        <w:t>kar</w:t>
      </w:r>
      <w:r w:rsidR="00CE7FBA">
        <w:rPr>
          <w:rFonts w:ascii="Times New Roman" w:eastAsia="Times New Roman" w:hAnsi="Times New Roman" w:cs="Times New Roman"/>
          <w:lang w:eastAsia="hu-HU"/>
        </w:rPr>
        <w:t>bam</w:t>
      </w:r>
      <w:r w:rsidR="00CE7FBA" w:rsidRPr="002A479B">
        <w:rPr>
          <w:rFonts w:ascii="Times New Roman" w:eastAsia="Times New Roman" w:hAnsi="Times New Roman" w:cs="Times New Roman"/>
          <w:lang w:eastAsia="hu-HU"/>
        </w:rPr>
        <w:t>azepin</w:t>
      </w:r>
      <w:r w:rsidRPr="002A479B">
        <w:rPr>
          <w:rFonts w:ascii="Times New Roman" w:eastAsia="Times New Roman" w:hAnsi="Times New Roman" w:cs="Times New Roman"/>
          <w:lang w:eastAsia="hu-HU"/>
        </w:rPr>
        <w:t>, fenitoin, fenobarbitál, ritonavir) egyidejű alkalmazása a deferazirox hatásosságának csökkenését eredményezheti. Ilyen kombinációs kezelés során és után monitorozni kell a</w:t>
      </w:r>
      <w:r w:rsidR="00CE7FBA">
        <w:rPr>
          <w:rFonts w:ascii="Times New Roman" w:eastAsia="Times New Roman" w:hAnsi="Times New Roman" w:cs="Times New Roman"/>
          <w:lang w:eastAsia="hu-HU"/>
        </w:rPr>
        <w:t xml:space="preserve"> beteg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szérumferritinszintjét, és a deferazirox dózisát szükség szerint módosítani kell.</w:t>
      </w:r>
    </w:p>
    <w:p w14:paraId="360C9B36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CAB2BB4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Az enterohepatikus körforgás mértékének megállapítására irányuló mechanisztikus vizsgálatban a kolesztiramin szignifikánsan csökkentette a deferazirox-expozíciót (lásd 5.2 pont).</w:t>
      </w:r>
    </w:p>
    <w:p w14:paraId="6DB85DFF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4FAF606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="Times New Roman" w:hAnsi="Times New Roman" w:cs="Times New Roman"/>
          <w:u w:val="single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Kölcsönhatás midazolámmal és más, a CYP3A4-en keresztül metabolizálódó gyógyszerekkel</w:t>
      </w:r>
    </w:p>
    <w:p w14:paraId="3ABD1DB8" w14:textId="21B4ACBE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Egy egészséges önkénteseken végzett vizsgálatban a deferazirox diszpergálódó tabletta és a midazolám (egy CYP3A4</w:t>
      </w:r>
      <w:r w:rsidR="00370388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tesztszubsztrát) együttes alkalmazása a midazolám-expozíció 17%-os csökkenését eredményezte (90%-os CI: 8%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26%). Klinikai körülmények között ez a hatás még kifejezettebb lehet. Ezért a hatékonyság csökkenésének lehetősége miatt körültekintően kell eljárni, ha a deferaziroxot a CYP3A4-en keresztül metabolizálódó hatóanyagokkal kombinálják (pl. ciklosporin, szimvasztatin, hormonális fogamzásgátló </w:t>
      </w:r>
      <w:r w:rsidR="00937061">
        <w:rPr>
          <w:rFonts w:ascii="Times New Roman" w:eastAsia="Times New Roman" w:hAnsi="Times New Roman" w:cs="Times New Roman"/>
          <w:lang w:eastAsia="hu-HU"/>
        </w:rPr>
        <w:t>gyógy</w:t>
      </w:r>
      <w:r w:rsidRPr="002A479B">
        <w:rPr>
          <w:rFonts w:ascii="Times New Roman" w:eastAsia="Times New Roman" w:hAnsi="Times New Roman" w:cs="Times New Roman"/>
          <w:lang w:eastAsia="hu-HU"/>
        </w:rPr>
        <w:t>szerek, bepridil, ergotamin).</w:t>
      </w:r>
    </w:p>
    <w:p w14:paraId="0429F802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91C283C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bookmarkStart w:id="9" w:name="page34"/>
      <w:bookmarkEnd w:id="9"/>
      <w:r w:rsidRPr="002A479B">
        <w:rPr>
          <w:rFonts w:ascii="Times New Roman" w:eastAsia="Times New Roman" w:hAnsi="Times New Roman" w:cs="Times New Roman"/>
          <w:u w:val="single"/>
          <w:lang w:eastAsia="hu-HU"/>
        </w:rPr>
        <w:t>Kölcsönhatás repagliniddel és más, a CYP2C8-on keresztül metabolizálódó gyógyszerekkel</w:t>
      </w:r>
    </w:p>
    <w:p w14:paraId="284078E3" w14:textId="51F37F91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Egy egészséges önkéntesekkel végzett vizsgálatban, a deferazirox mint mérsékelt CYP2C8-gátló (30 mg/ttkg/nap, diszpergálódó tabletta form</w:t>
      </w:r>
      <w:r w:rsidR="00370388">
        <w:rPr>
          <w:rFonts w:ascii="Times New Roman" w:eastAsia="Times New Roman" w:hAnsi="Times New Roman" w:cs="Times New Roman"/>
          <w:lang w:eastAsia="hu-HU"/>
        </w:rPr>
        <w:t>ájában</w:t>
      </w:r>
      <w:r w:rsidRPr="002A479B">
        <w:rPr>
          <w:rFonts w:ascii="Times New Roman" w:eastAsia="Times New Roman" w:hAnsi="Times New Roman" w:cs="Times New Roman"/>
          <w:lang w:eastAsia="hu-HU"/>
        </w:rPr>
        <w:t>), és a CYP2C8 szubsztrátjának, a repaglinidnek egyetlen 0,5 mg-os dózisban történő együttes alkalmazása a repaglinid AUC</w:t>
      </w:r>
      <w:r w:rsidR="00370388">
        <w:rPr>
          <w:rFonts w:ascii="Times New Roman" w:eastAsia="Times New Roman" w:hAnsi="Times New Roman" w:cs="Times New Roman"/>
          <w:lang w:eastAsia="hu-HU"/>
        </w:rPr>
        <w:t xml:space="preserve">-értékének </w:t>
      </w:r>
      <w:r w:rsidRPr="002A479B">
        <w:rPr>
          <w:rFonts w:ascii="Times New Roman" w:eastAsia="Times New Roman" w:hAnsi="Times New Roman" w:cs="Times New Roman"/>
          <w:lang w:eastAsia="hu-HU"/>
        </w:rPr>
        <w:t>2,3-sz</w:t>
      </w:r>
      <w:r w:rsidR="00370388">
        <w:rPr>
          <w:rFonts w:ascii="Times New Roman" w:eastAsia="Times New Roman" w:hAnsi="Times New Roman" w:cs="Times New Roman"/>
          <w:lang w:eastAsia="hu-HU"/>
        </w:rPr>
        <w:t>e</w:t>
      </w:r>
      <w:r w:rsidRPr="002A479B">
        <w:rPr>
          <w:rFonts w:ascii="Times New Roman" w:eastAsia="Times New Roman" w:hAnsi="Times New Roman" w:cs="Times New Roman"/>
          <w:lang w:eastAsia="hu-HU"/>
        </w:rPr>
        <w:t>r</w:t>
      </w:r>
      <w:r w:rsidR="00370388">
        <w:rPr>
          <w:rFonts w:ascii="Times New Roman" w:eastAsia="Times New Roman" w:hAnsi="Times New Roman" w:cs="Times New Roman"/>
          <w:lang w:eastAsia="hu-HU"/>
        </w:rPr>
        <w:t>e</w:t>
      </w:r>
      <w:r w:rsidRPr="002A479B">
        <w:rPr>
          <w:rFonts w:ascii="Times New Roman" w:eastAsia="Times New Roman" w:hAnsi="Times New Roman" w:cs="Times New Roman"/>
          <w:lang w:eastAsia="hu-HU"/>
        </w:rPr>
        <w:t>s</w:t>
      </w:r>
      <w:r w:rsidR="00370388">
        <w:rPr>
          <w:rFonts w:ascii="Times New Roman" w:eastAsia="Times New Roman" w:hAnsi="Times New Roman" w:cs="Times New Roman"/>
          <w:lang w:eastAsia="hu-HU"/>
        </w:rPr>
        <w:t>é</w:t>
      </w:r>
      <w:r w:rsidRPr="002A479B">
        <w:rPr>
          <w:rFonts w:ascii="Times New Roman" w:eastAsia="Times New Roman" w:hAnsi="Times New Roman" w:cs="Times New Roman"/>
          <w:lang w:eastAsia="hu-HU"/>
        </w:rPr>
        <w:t>r</w:t>
      </w:r>
      <w:r w:rsidR="00370388">
        <w:rPr>
          <w:rFonts w:ascii="Times New Roman" w:eastAsia="Times New Roman" w:hAnsi="Times New Roman" w:cs="Times New Roman"/>
          <w:lang w:eastAsia="hu-HU"/>
        </w:rPr>
        <w:t>e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(90%-os CI [2,03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2,63]) és C</w:t>
      </w:r>
      <w:r w:rsidRPr="002A479B">
        <w:rPr>
          <w:rFonts w:ascii="Times" w:eastAsia="Times New Roman" w:hAnsi="Times" w:cs="Times New Roman"/>
          <w:vertAlign w:val="subscript"/>
          <w:lang w:eastAsia="hu-HU"/>
        </w:rPr>
        <w:t>max</w:t>
      </w:r>
      <w:r w:rsidR="00370388" w:rsidRPr="00306B2D">
        <w:rPr>
          <w:rFonts w:ascii="Times" w:eastAsia="Times New Roman" w:hAnsi="Times" w:cs="Times New Roman"/>
          <w:lang w:eastAsia="hu-HU"/>
        </w:rPr>
        <w:t>-</w:t>
      </w:r>
      <w:r w:rsidR="00370388">
        <w:rPr>
          <w:rFonts w:ascii="Times New Roman" w:eastAsia="Times New Roman" w:hAnsi="Times New Roman" w:cs="Times New Roman"/>
          <w:lang w:eastAsia="hu-HU"/>
        </w:rPr>
        <w:t>értékének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1,6-</w:t>
      </w:r>
      <w:r w:rsidR="00370388">
        <w:rPr>
          <w:rFonts w:ascii="Times New Roman" w:eastAsia="Times New Roman" w:hAnsi="Times New Roman" w:cs="Times New Roman"/>
          <w:lang w:eastAsia="hu-HU"/>
        </w:rPr>
        <w:t>szeresére</w:t>
      </w:r>
      <w:r w:rsidR="00370388"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(90%-os CI [1,42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1,84]) történő emelkedését eredményezte. Mivel 0,5 mg repaglinidnél magasabb dózis</w:t>
      </w:r>
      <w:r w:rsidR="003F19D7">
        <w:rPr>
          <w:rFonts w:ascii="Times New Roman" w:eastAsia="Times New Roman" w:hAnsi="Times New Roman" w:cs="Times New Roman"/>
          <w:lang w:eastAsia="hu-HU"/>
        </w:rPr>
        <w:t xml:space="preserve"> esetén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kölcsönhatást nem vizsgáltak, a deferazirox repagliniddel történő együtt</w:t>
      </w:r>
      <w:r w:rsidR="007C5420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adását kerülni kell. Amennyiben az együttadás elkerülhetetlen, gondos klinikai követés és vércukorszint</w:t>
      </w:r>
      <w:r w:rsidR="003F19D7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ellenőrzés szükséges (lásd 4.4 pont). Nem zárható ki gyógyszerkölcsönhatás a deferazirox és más CYP2C8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szubsztrátok (pl. paklitaxel) között.</w:t>
      </w:r>
    </w:p>
    <w:p w14:paraId="4C6A764E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B496002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Kölcsönhatás teofillinnel és más, a CYP1A2-n keresztül metabolizálódó gyógyszerekkel</w:t>
      </w:r>
    </w:p>
    <w:p w14:paraId="38F5061E" w14:textId="0571CC0D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Egy egészséges önkéntesekkel végzett vizsgálatban a deferazirox mint CYP1A2-gátló (30 mg/ttkg/nap ismételt dózisa, diszpergálódó tabletta </w:t>
      </w:r>
      <w:r w:rsidR="003F19D7">
        <w:rPr>
          <w:rFonts w:ascii="Times New Roman" w:eastAsia="Times New Roman" w:hAnsi="Times New Roman" w:cs="Times New Roman"/>
          <w:lang w:eastAsia="hu-HU"/>
        </w:rPr>
        <w:t>formájában</w:t>
      </w:r>
      <w:r w:rsidRPr="002A479B">
        <w:rPr>
          <w:rFonts w:ascii="Times New Roman" w:eastAsia="Times New Roman" w:hAnsi="Times New Roman" w:cs="Times New Roman"/>
          <w:lang w:eastAsia="hu-HU"/>
        </w:rPr>
        <w:t>) és a CYP1A2-szubsztrát teofillin (egyszeri, 120 mg-os dózis) együttes alkalmazása a teofillin AUC-értékének 84%-os emelkedését eredményezte (90%-os CI: 73%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95%). Az egyszeri dózis C</w:t>
      </w:r>
      <w:r w:rsidRPr="002A479B">
        <w:rPr>
          <w:rFonts w:ascii="Times" w:eastAsia="Times New Roman" w:hAnsi="Times" w:cs="Times New Roman"/>
          <w:vertAlign w:val="subscript"/>
          <w:lang w:eastAsia="hu-HU"/>
        </w:rPr>
        <w:t>max</w:t>
      </w:r>
      <w:r w:rsidR="003F19D7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értéke változatlan volt, de tartós adagolás mellett a teofillin C</w:t>
      </w:r>
      <w:r w:rsidRPr="002A479B">
        <w:rPr>
          <w:rFonts w:ascii="Times" w:eastAsia="Times New Roman" w:hAnsi="Times" w:cs="Times New Roman"/>
          <w:vertAlign w:val="subscript"/>
          <w:lang w:eastAsia="hu-HU"/>
        </w:rPr>
        <w:t>max</w:t>
      </w:r>
      <w:r w:rsidR="003F19D7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értékének emelkedése várható. Ezért a deferazirox teofillinnel történő együttadása nem javasolt. A deferazirox és a teofillin együttes alkalmazásakor mérlegelni kell a teofillin-koncentráció monitorozását és a teofillin dózisának a csökkentését. A deferazirox és más CYP1A2-szubsztrátok között</w:t>
      </w:r>
      <w:r w:rsidR="003F19D7">
        <w:rPr>
          <w:rFonts w:ascii="Times New Roman" w:eastAsia="Times New Roman" w:hAnsi="Times New Roman" w:cs="Times New Roman"/>
          <w:lang w:eastAsia="hu-HU"/>
        </w:rPr>
        <w:t>i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interakció nem zárható ki. Az elsősorban a CYP1A2 által metabolizált, valamint a szűk terápiás indexű hatóanyagok (pl. klozapin, tizanidin) esetén ugyanazok a javaslatok alkalmazandók, mint a teofillin esetén.</w:t>
      </w:r>
    </w:p>
    <w:p w14:paraId="2AF87B20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9984661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További információk</w:t>
      </w:r>
    </w:p>
    <w:p w14:paraId="01D0C33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Nem végeztek szabályos vizsgálatokat a deferazirox és az alumíniumtartalmú savkötő készítmények egyidejű alkalmazására vonatkozóan. Bár a deferazirox affinitása az alumíniumhoz kisebb, mint a vashoz, a deferaziroxot nem javasolt alumíniumtartalmú savkötő készítményekkel együtt szedni (lásd 4.4 pont).</w:t>
      </w:r>
    </w:p>
    <w:p w14:paraId="40DDF5DD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E2DF3CF" w14:textId="79ADB130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közismerten ulcerogén potenciállal rendelkező hatóanyagokkal, mint például nem</w:t>
      </w:r>
      <w:r w:rsidR="00937061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szteroid gyulladáscsökkentőkkel (beleértve a nagy dózisban adott acetilszalicilsavat is), kortikoszteroidokkal vagy szájon át alkalmazott biszfoszfonátokkal történő egyidejű alkalmazása növelheti a gastrointestinalis toxicitás kockázatát (lásd 4.4 pont) A deferazirox antikoagulánsokkal történő együtt</w:t>
      </w:r>
      <w:r w:rsidR="007C5420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adása fokozhatja a gastrointestinalis vérzés kockázatát. A deferazirox ezen hatóanyagokkal történő kombinációjakor szoros klinikai monitorozás szükséges.</w:t>
      </w:r>
    </w:p>
    <w:p w14:paraId="63EF127B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5A4E10F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és a buszulfán egyidejű alkalmazása a buszulfán-expozíció növekedéséhez (görbe alatti terület, AUC) vezetett, de a kölcsönhatás mechanizmusa jelenleg még nem ismert. Amennyiben lehetséges, az esetleges dózismódosítás érdekében el kell végezni a buszulfán tesztdózisának farmakokinetikai értékelését (AUC, clearance).</w:t>
      </w:r>
    </w:p>
    <w:p w14:paraId="015AD744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50104E0" w14:textId="77777777" w:rsidR="002A479B" w:rsidRPr="002A479B" w:rsidRDefault="002A479B" w:rsidP="002A479B">
      <w:pPr>
        <w:keepNext/>
        <w:tabs>
          <w:tab w:val="left" w:pos="540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4.6</w:t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ab/>
        <w:t>Termékenység, terhesség és szoptatás</w:t>
      </w:r>
    </w:p>
    <w:p w14:paraId="6324CF8E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63B5930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Terhesség</w:t>
      </w:r>
    </w:p>
    <w:p w14:paraId="7DD93317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terhesség</w:t>
      </w:r>
      <w:r w:rsidR="007C5420">
        <w:rPr>
          <w:rFonts w:ascii="Times New Roman" w:eastAsia="Times New Roman" w:hAnsi="Times New Roman" w:cs="Times New Roman"/>
          <w:lang w:eastAsia="hu-HU"/>
        </w:rPr>
        <w:t xml:space="preserve"> során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történő alkalmazására vonatkozóan nem állnak rendelkezésre klinikai adatok. Állatkísérletek során bizonyos mértékű reproduktív toxicitást igazoltak az anya számára toxikus szintek mellett (lásd 5.3 pont). Embernél a potenciális kockázat nem ismert.</w:t>
      </w:r>
    </w:p>
    <w:p w14:paraId="108A0374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9B323A1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Elővigyázatosságból a deferazirox alkalmazása terhességben csak akkor javasolt, ha egyértelműen szükséges.</w:t>
      </w:r>
    </w:p>
    <w:p w14:paraId="086A8A9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A53980C" w14:textId="266C8BF6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csökkentheti a hormonális fogamzásgátlók hatékonyságát (lásd 4.5 pont). A fogamzóképes korú nőknek javasolt kiegészítő vagy alternatív, nem hormonális fogamzásgátló módszer alkalmazása a deferazirox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 alatt.</w:t>
      </w:r>
    </w:p>
    <w:p w14:paraId="73FCF25A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9EA5969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Szoptatás</w:t>
      </w:r>
    </w:p>
    <w:p w14:paraId="3E74EE95" w14:textId="2D42111E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Állatkísérletekben a deferazirox gyorsan és nagy</w:t>
      </w:r>
      <w:r w:rsidR="007C5420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mértékben kiválasztódott az anyatejbe. Nem figyeltek meg az utódokra gyakorolt hatásokat. Nem ismert, hogy a deferazirox kiválasztódik-e a humán anyatejbe. A deferazirox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 alatt nem javasolt a szoptatás.</w:t>
      </w:r>
    </w:p>
    <w:p w14:paraId="26F19103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C54F37D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bookmarkStart w:id="10" w:name="page35"/>
      <w:bookmarkEnd w:id="10"/>
      <w:r w:rsidRPr="002A479B">
        <w:rPr>
          <w:rFonts w:ascii="Times New Roman" w:eastAsia="Times New Roman" w:hAnsi="Times New Roman" w:cs="Times New Roman"/>
          <w:u w:val="single"/>
          <w:lang w:eastAsia="hu-HU"/>
        </w:rPr>
        <w:t>Termékenység</w:t>
      </w:r>
    </w:p>
    <w:p w14:paraId="020DBC42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Nem állnak rendelkezésre </w:t>
      </w:r>
      <w:r w:rsidR="00793E29">
        <w:rPr>
          <w:rFonts w:ascii="Times New Roman" w:eastAsia="Times New Roman" w:hAnsi="Times New Roman" w:cs="Times New Roman"/>
          <w:lang w:eastAsia="hu-HU"/>
        </w:rPr>
        <w:t>termékenységre vonatkozó humán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adatok. Állatoknál nem figyeltek meg a hím</w:t>
      </w:r>
      <w:r w:rsidR="00793E29">
        <w:rPr>
          <w:rFonts w:ascii="Times New Roman" w:eastAsia="Times New Roman" w:hAnsi="Times New Roman" w:cs="Times New Roman"/>
          <w:lang w:eastAsia="hu-HU"/>
        </w:rPr>
        <w:t>ek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vagy nőstény</w:t>
      </w:r>
      <w:r w:rsidR="00793E29">
        <w:rPr>
          <w:rFonts w:ascii="Times New Roman" w:eastAsia="Times New Roman" w:hAnsi="Times New Roman" w:cs="Times New Roman"/>
          <w:lang w:eastAsia="hu-HU"/>
        </w:rPr>
        <w:t>ek termékenységére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gyakorolt nemkívánatos hatásokat (lásd 5.3 pont). </w:t>
      </w:r>
    </w:p>
    <w:p w14:paraId="63FBEC24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29F1BD0" w14:textId="77777777" w:rsidR="002A479B" w:rsidRPr="002A479B" w:rsidRDefault="002A479B" w:rsidP="002A479B">
      <w:pPr>
        <w:keepNext/>
        <w:tabs>
          <w:tab w:val="left" w:pos="540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4.7</w:t>
      </w:r>
      <w:r w:rsidRPr="002A479B">
        <w:rPr>
          <w:rFonts w:ascii="Times New Roman" w:eastAsiaTheme="minorEastAsia" w:hAnsi="Times New Roman" w:cs="Times New Roman"/>
          <w:lang w:eastAsia="hu-HU"/>
        </w:rPr>
        <w:tab/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A készítmény hatásai a gépjárművezetéshez és a gépek kezeléséhez szükséges képességekre</w:t>
      </w:r>
    </w:p>
    <w:p w14:paraId="3CFAD946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E6E1CAE" w14:textId="77777777" w:rsidR="002A479B" w:rsidRPr="002A479B" w:rsidRDefault="002A479B" w:rsidP="009C6547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kismértékben befolyásolja a gépjárművezetéshez és a gépek kezeléséhez szükséges képességeket. Azon betegek számára, akiknél nem gyakori mellékhatásként szédülés jelentkezik, óvatosság javasolt gépjárművezetés, illetve gépek kezelése esetén (lásd 4.8 pont).</w:t>
      </w:r>
    </w:p>
    <w:p w14:paraId="614F3FA3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84936F1" w14:textId="77777777" w:rsidR="002A479B" w:rsidRPr="002A479B" w:rsidRDefault="002A479B" w:rsidP="002A479B">
      <w:pPr>
        <w:keepNext/>
        <w:tabs>
          <w:tab w:val="left" w:pos="540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4.8</w:t>
      </w:r>
      <w:r w:rsidRPr="002A479B">
        <w:rPr>
          <w:rFonts w:ascii="Times New Roman" w:eastAsiaTheme="minorEastAsia" w:hAnsi="Times New Roman" w:cs="Times New Roman"/>
          <w:lang w:eastAsia="hu-HU"/>
        </w:rPr>
        <w:tab/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Nemkívánatos hatások, mellékhatások</w:t>
      </w:r>
    </w:p>
    <w:p w14:paraId="6BCD9683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9140D0F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A biztonságossági profil összefoglalása</w:t>
      </w:r>
    </w:p>
    <w:p w14:paraId="2145E0D4" w14:textId="17736D8F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felnőtt</w:t>
      </w:r>
      <w:r w:rsidR="007737DA">
        <w:rPr>
          <w:rFonts w:ascii="Times New Roman" w:eastAsia="Times New Roman" w:hAnsi="Times New Roman" w:cs="Times New Roman"/>
          <w:lang w:eastAsia="hu-HU"/>
        </w:rPr>
        <w:t xml:space="preserve">, valamint a </w:t>
      </w:r>
      <w:r w:rsidR="00FC1DB7">
        <w:rPr>
          <w:rFonts w:ascii="Times New Roman" w:eastAsia="Times New Roman" w:hAnsi="Times New Roman" w:cs="Times New Roman"/>
          <w:lang w:eastAsia="hu-HU"/>
        </w:rPr>
        <w:t>gyermek- és serdülőkorú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betegek hosszú távú, a deferazirox diszpergálódó tablettával</w:t>
      </w:r>
      <w:r w:rsidR="007737DA">
        <w:rPr>
          <w:rFonts w:ascii="Times New Roman" w:eastAsia="Times New Roman" w:hAnsi="Times New Roman" w:cs="Times New Roman"/>
          <w:lang w:eastAsia="hu-HU"/>
        </w:rPr>
        <w:t>,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a lefolytatott klinikai vizsgálatok során végzett kezelése kapcsán leggyakrabban jelentett mellékhatások többek között az emésztőrendszeri zavarok (elsősorban hányinger, hányás, hasmenés vagy hasfájás), valamint a bőrkiütés. Hasmenésről gyakrabban számoltak be a 2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5 éves </w:t>
      </w:r>
      <w:r w:rsidR="007737DA">
        <w:rPr>
          <w:rFonts w:ascii="Times New Roman" w:eastAsia="Times New Roman" w:hAnsi="Times New Roman" w:cs="Times New Roman"/>
          <w:lang w:eastAsia="hu-HU"/>
        </w:rPr>
        <w:t xml:space="preserve">kor </w:t>
      </w:r>
      <w:r w:rsidRPr="002A479B">
        <w:rPr>
          <w:rFonts w:ascii="Times New Roman" w:eastAsia="Times New Roman" w:hAnsi="Times New Roman" w:cs="Times New Roman"/>
          <w:lang w:eastAsia="hu-HU"/>
        </w:rPr>
        <w:t>közötti gyermekeknél és időseknél. Ezek a mellékhatások dózisfüggők, rendszerint enyhék vagy közepesen súlyosak, általában átmenetiek, és rendszerint a kezelés folytatása esetén is rendeződnek.</w:t>
      </w:r>
    </w:p>
    <w:p w14:paraId="10CED97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A7989C3" w14:textId="423EC8D0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klinikai vizsgálatok alatt a szérumkreatinin</w:t>
      </w:r>
      <w:r w:rsidR="005255F0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szint dózisfüggő emelkedése fordult elő a betegek megközelítőleg 36%-ánál, mindazonáltal a legtöbb a normál tartományon belül maradt. A kezelés első éve alatt mind a </w:t>
      </w:r>
      <w:r w:rsidR="00FC1DB7" w:rsidRPr="002A479B">
        <w:rPr>
          <w:rFonts w:ascii="Times New Roman" w:eastAsia="Times New Roman" w:hAnsi="Times New Roman" w:cs="Times New Roman"/>
          <w:lang w:eastAsia="hu-HU"/>
        </w:rPr>
        <w:t>gyermek</w:t>
      </w:r>
      <w:r w:rsidR="00FC1DB7">
        <w:rPr>
          <w:rFonts w:ascii="Times New Roman" w:eastAsia="Times New Roman" w:hAnsi="Times New Roman" w:cs="Times New Roman"/>
          <w:lang w:eastAsia="hu-HU"/>
        </w:rPr>
        <w:t>- és serdülőkorú</w:t>
      </w:r>
      <w:r w:rsidRPr="002A479B">
        <w:rPr>
          <w:rFonts w:ascii="Times New Roman" w:eastAsia="Times New Roman" w:hAnsi="Times New Roman" w:cs="Times New Roman"/>
          <w:lang w:eastAsia="hu-HU"/>
        </w:rPr>
        <w:t>, mind a felnőtt, béta-thalassaemiában és vastúlterhelésben szenvedő betegeknél az átlagos kreatinin-clearance csökkentését figyelték meg, de bizonyíték van arra, hogy a kezelés későbbi éveiben ez nem csökken tovább. A hepaticus transzaminázok szintjének emelkedéséről számoltak be. A renalis és hepaticus paraméterek tervezett biztonságossági monitorozása javasolt. A</w:t>
      </w:r>
      <w:r w:rsidR="00A615EC">
        <w:rPr>
          <w:rFonts w:ascii="Times New Roman" w:eastAsia="Times New Roman" w:hAnsi="Times New Roman" w:cs="Times New Roman"/>
          <w:lang w:eastAsia="hu-HU"/>
        </w:rPr>
        <w:t xml:space="preserve"> hallást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(csökkent hallás) és </w:t>
      </w:r>
      <w:r w:rsidR="00A615EC">
        <w:rPr>
          <w:rFonts w:ascii="Times New Roman" w:eastAsia="Times New Roman" w:hAnsi="Times New Roman" w:cs="Times New Roman"/>
          <w:lang w:eastAsia="hu-HU"/>
        </w:rPr>
        <w:t>a látást érintő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zavarok</w:t>
      </w:r>
      <w:r w:rsidR="00A615EC">
        <w:rPr>
          <w:rFonts w:ascii="Times New Roman" w:eastAsia="Times New Roman" w:hAnsi="Times New Roman" w:cs="Times New Roman"/>
          <w:lang w:eastAsia="hu-HU"/>
        </w:rPr>
        <w:t xml:space="preserve"> </w:t>
      </w:r>
      <w:r w:rsidR="00A615EC" w:rsidRPr="002A479B">
        <w:rPr>
          <w:rFonts w:ascii="Times New Roman" w:eastAsia="Times New Roman" w:hAnsi="Times New Roman" w:cs="Times New Roman"/>
          <w:lang w:eastAsia="hu-HU"/>
        </w:rPr>
        <w:t>(lencsehomály)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nem gyakoriak, és az évenkénti vizsgálatuk szintén javasolt (lásd 4.4 pont).</w:t>
      </w:r>
    </w:p>
    <w:p w14:paraId="53A6EE62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613F8B2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alkalmazása mellett súlyos cutan mellékhatásokat, köztük Stevens</w:t>
      </w:r>
      <w:r w:rsidR="00A615EC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Johnson</w:t>
      </w:r>
      <w:r w:rsidR="00A615EC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szindrómát (SJS), toxicus epidermalis necrolysist (TEN) és eosinophiliával és szisztémás tünetekkel járó gyógyszerreakciót (DRESS) jelentettek (lásd 4.4</w:t>
      </w:r>
      <w:r w:rsidRPr="002A479B">
        <w:rPr>
          <w:rFonts w:ascii="Times New Roman" w:eastAsiaTheme="minorEastAsia" w:hAnsi="Times New Roman" w:cs="Times New Roman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lang w:eastAsia="hu-HU"/>
        </w:rPr>
        <w:t>pont).</w:t>
      </w:r>
    </w:p>
    <w:p w14:paraId="0738AF5E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4AC4F70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4E190F">
        <w:rPr>
          <w:rFonts w:ascii="Times New Roman" w:eastAsia="Times New Roman" w:hAnsi="Times New Roman" w:cs="Times New Roman"/>
          <w:u w:val="single"/>
          <w:lang w:eastAsia="hu-HU"/>
        </w:rPr>
        <w:t>A mellékhatások táblázatos felsorolása</w:t>
      </w:r>
    </w:p>
    <w:p w14:paraId="01704E90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mellékhatások az alábbi táblázatban a következő kategóriák szerint vannak felsorolva: nagyon gyakori (≥ 1/10); gyakori (</w:t>
      </w:r>
      <w:r w:rsidR="004E190F" w:rsidRPr="004E190F">
        <w:rPr>
          <w:rFonts w:ascii="Times New Roman" w:eastAsia="Times New Roman" w:hAnsi="Times New Roman" w:cs="Times New Roman"/>
          <w:lang w:eastAsia="hu-HU"/>
        </w:rPr>
        <w:t>≥</w:t>
      </w:r>
      <w:r w:rsidRPr="002A479B">
        <w:rPr>
          <w:rFonts w:ascii="Times New Roman" w:eastAsia="Times New Roman" w:hAnsi="Times New Roman" w:cs="Times New Roman"/>
          <w:lang w:eastAsia="hu-HU"/>
        </w:rPr>
        <w:t>1/100 – &lt; 1/10); nem gyakori (</w:t>
      </w:r>
      <w:r w:rsidR="004E190F" w:rsidRPr="004E190F">
        <w:rPr>
          <w:rFonts w:ascii="Times New Roman" w:eastAsia="Times New Roman" w:hAnsi="Times New Roman" w:cs="Times New Roman"/>
          <w:lang w:eastAsia="hu-HU"/>
        </w:rPr>
        <w:t>≥</w:t>
      </w:r>
      <w:r w:rsidRPr="002A479B">
        <w:rPr>
          <w:rFonts w:ascii="Times New Roman" w:eastAsia="Times New Roman" w:hAnsi="Times New Roman" w:cs="Times New Roman"/>
          <w:lang w:eastAsia="hu-HU"/>
        </w:rPr>
        <w:t>1/1000 – &lt; 1/100); ritka</w:t>
      </w:r>
      <w:r w:rsidR="004E190F">
        <w:rPr>
          <w:rFonts w:ascii="Times New Roman" w:eastAsia="Times New Roman" w:hAnsi="Times New Roman" w:cs="Times New Roman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lang w:eastAsia="hu-HU"/>
        </w:rPr>
        <w:t>(</w:t>
      </w:r>
      <w:r w:rsidR="004E190F" w:rsidRPr="004E190F">
        <w:rPr>
          <w:rFonts w:ascii="Times New Roman" w:eastAsia="Times New Roman" w:hAnsi="Times New Roman" w:cs="Times New Roman"/>
          <w:lang w:eastAsia="hu-HU"/>
        </w:rPr>
        <w:t>≥</w:t>
      </w:r>
      <w:r w:rsidRPr="002A479B">
        <w:rPr>
          <w:rFonts w:ascii="Times New Roman" w:eastAsia="Times New Roman" w:hAnsi="Times New Roman" w:cs="Times New Roman"/>
          <w:lang w:eastAsia="hu-HU"/>
        </w:rPr>
        <w:t>1/10</w:t>
      </w:r>
      <w:r w:rsidR="004E190F">
        <w:rPr>
          <w:rFonts w:ascii="Times New Roman" w:eastAsia="Times New Roman" w:hAnsi="Times New Roman" w:cs="Times New Roman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lang w:eastAsia="hu-HU"/>
        </w:rPr>
        <w:t>000 – &lt; 1/1000); nagyon ritka (&lt; 1/10 000); nem ismert (a gyakoriság a rendelkezésre álló adatokból nem állapítható meg). Az egyes gyakorisági kategóriákon belül a mellékhatások csökkenő súlyosság szerint kerülnek megadásra.</w:t>
      </w:r>
    </w:p>
    <w:p w14:paraId="4C8299BE" w14:textId="280DC186" w:rsid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32C5EA07" w14:textId="63743A6B" w:rsidR="00FC1DB7" w:rsidRPr="00CE18F9" w:rsidRDefault="00FC1DB7" w:rsidP="00CE18F9">
      <w:pPr>
        <w:pStyle w:val="Listaszerbekezds"/>
        <w:ind w:left="0"/>
        <w:rPr>
          <w:rFonts w:eastAsia="Times New Roman"/>
          <w:u w:val="single"/>
        </w:rPr>
      </w:pPr>
      <w:r w:rsidRPr="00CE18F9">
        <w:rPr>
          <w:rFonts w:eastAsia="Times New Roman"/>
          <w:u w:val="single"/>
        </w:rPr>
        <w:t>5. táblázat</w:t>
      </w:r>
    </w:p>
    <w:p w14:paraId="5A0A92BF" w14:textId="77777777" w:rsidR="00FC1DB7" w:rsidRPr="00CE18F9" w:rsidRDefault="00FC1DB7" w:rsidP="00CE18F9">
      <w:pPr>
        <w:pStyle w:val="Listaszerbekezds"/>
        <w:rPr>
          <w:rFonts w:eastAsia="Times New Roman"/>
        </w:rPr>
      </w:pPr>
    </w:p>
    <w:tbl>
      <w:tblPr>
        <w:tblStyle w:val="Rcsostblzat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3"/>
        <w:gridCol w:w="6833"/>
      </w:tblGrid>
      <w:tr w:rsidR="002A479B" w:rsidRPr="002A479B" w14:paraId="3FBC47D8" w14:textId="77777777" w:rsidTr="00CE18F9">
        <w:tc>
          <w:tcPr>
            <w:tcW w:w="9186" w:type="dxa"/>
            <w:gridSpan w:val="2"/>
          </w:tcPr>
          <w:p w14:paraId="4950E70A" w14:textId="77777777" w:rsidR="002A479B" w:rsidRPr="002A479B" w:rsidRDefault="002A479B" w:rsidP="002A479B">
            <w:pPr>
              <w:rPr>
                <w:rFonts w:eastAsia="Times New Roman"/>
              </w:rPr>
            </w:pPr>
            <w:r w:rsidRPr="002A479B">
              <w:rPr>
                <w:rFonts w:eastAsia="Times New Roman"/>
                <w:b/>
                <w:bCs/>
              </w:rPr>
              <w:t>Vérképzőszervi és nyirokrendszeri betegségek és tünetek</w:t>
            </w:r>
          </w:p>
        </w:tc>
      </w:tr>
      <w:tr w:rsidR="002A479B" w:rsidRPr="002A479B" w14:paraId="5A7E3316" w14:textId="77777777" w:rsidTr="00CE18F9">
        <w:tc>
          <w:tcPr>
            <w:tcW w:w="2235" w:type="dxa"/>
          </w:tcPr>
          <w:p w14:paraId="351D01CF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ismert</w:t>
            </w:r>
          </w:p>
        </w:tc>
        <w:tc>
          <w:tcPr>
            <w:tcW w:w="6951" w:type="dxa"/>
          </w:tcPr>
          <w:p w14:paraId="63D9B7B0" w14:textId="77777777" w:rsidR="002A479B" w:rsidRDefault="00DA0CA2" w:rsidP="002A479B">
            <w:pPr>
              <w:rPr>
                <w:rFonts w:eastAsia="Times New Roman"/>
                <w:vertAlign w:val="superscript"/>
              </w:rPr>
            </w:pPr>
            <w:r>
              <w:rPr>
                <w:rFonts w:eastAsia="Times New Roman"/>
              </w:rPr>
              <w:t>p</w:t>
            </w:r>
            <w:r w:rsidR="002A479B" w:rsidRPr="002A479B">
              <w:rPr>
                <w:rFonts w:eastAsia="Times New Roman"/>
              </w:rPr>
              <w:t>ancytopenia</w:t>
            </w:r>
            <w:r w:rsidR="002A479B" w:rsidRPr="002A479B">
              <w:rPr>
                <w:rFonts w:eastAsia="Times New Roman"/>
                <w:vertAlign w:val="superscript"/>
              </w:rPr>
              <w:t>1</w:t>
            </w:r>
            <w:r w:rsidR="002A479B" w:rsidRPr="002A479B">
              <w:rPr>
                <w:rFonts w:eastAsia="Times New Roman"/>
              </w:rPr>
              <w:t>, thrombocytopenia</w:t>
            </w:r>
            <w:r w:rsidR="002A479B" w:rsidRPr="002A479B">
              <w:rPr>
                <w:rFonts w:eastAsia="Times New Roman"/>
                <w:vertAlign w:val="superscript"/>
              </w:rPr>
              <w:t>1</w:t>
            </w:r>
            <w:r w:rsidR="002A479B" w:rsidRPr="002A479B">
              <w:rPr>
                <w:rFonts w:eastAsia="Times New Roman"/>
              </w:rPr>
              <w:t>, súlyosbodó anaemia</w:t>
            </w:r>
            <w:r w:rsidR="002A479B" w:rsidRPr="002A479B">
              <w:rPr>
                <w:rFonts w:eastAsia="Times New Roman"/>
                <w:vertAlign w:val="superscript"/>
              </w:rPr>
              <w:t>1</w:t>
            </w:r>
            <w:r w:rsidR="002A479B" w:rsidRPr="002A479B">
              <w:rPr>
                <w:rFonts w:eastAsia="Times New Roman"/>
              </w:rPr>
              <w:t>, neutropenia</w:t>
            </w:r>
            <w:r w:rsidR="002A479B" w:rsidRPr="002A479B">
              <w:rPr>
                <w:rFonts w:eastAsia="Times New Roman"/>
                <w:vertAlign w:val="superscript"/>
              </w:rPr>
              <w:t>1</w:t>
            </w:r>
          </w:p>
          <w:p w14:paraId="34DB41F5" w14:textId="6BDBA1C3" w:rsidR="00FC1DB7" w:rsidRPr="00FC1DB7" w:rsidRDefault="00FC1DB7" w:rsidP="002A479B">
            <w:pPr>
              <w:rPr>
                <w:rFonts w:eastAsia="Times New Roman"/>
              </w:rPr>
            </w:pPr>
          </w:p>
        </w:tc>
      </w:tr>
      <w:tr w:rsidR="002A479B" w:rsidRPr="002A479B" w14:paraId="1E27F7D1" w14:textId="77777777" w:rsidTr="00CE18F9">
        <w:tc>
          <w:tcPr>
            <w:tcW w:w="9186" w:type="dxa"/>
            <w:gridSpan w:val="2"/>
          </w:tcPr>
          <w:p w14:paraId="367AC017" w14:textId="77777777" w:rsidR="002A479B" w:rsidRPr="002A479B" w:rsidRDefault="002A479B" w:rsidP="002A479B">
            <w:pPr>
              <w:rPr>
                <w:rFonts w:eastAsia="Times New Roman"/>
              </w:rPr>
            </w:pPr>
            <w:r w:rsidRPr="002A479B">
              <w:rPr>
                <w:rFonts w:eastAsia="Times New Roman"/>
                <w:b/>
                <w:bCs/>
              </w:rPr>
              <w:t>Immunrendszeri betegségek és tünetek</w:t>
            </w:r>
          </w:p>
        </w:tc>
      </w:tr>
      <w:tr w:rsidR="002A479B" w:rsidRPr="002A479B" w14:paraId="1A9D5180" w14:textId="77777777" w:rsidTr="00CE18F9">
        <w:tc>
          <w:tcPr>
            <w:tcW w:w="2235" w:type="dxa"/>
          </w:tcPr>
          <w:p w14:paraId="7E5ACF02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ismert</w:t>
            </w:r>
          </w:p>
        </w:tc>
        <w:tc>
          <w:tcPr>
            <w:tcW w:w="6951" w:type="dxa"/>
          </w:tcPr>
          <w:p w14:paraId="566E69EE" w14:textId="77777777" w:rsid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</w:t>
            </w:r>
            <w:r w:rsidR="002A479B" w:rsidRPr="002A479B">
              <w:rPr>
                <w:rFonts w:eastAsia="Times New Roman"/>
              </w:rPr>
              <w:t>úlérzékenységi reakciók (beleértve az anafilaxiás reakciókat és az angioödémát is)</w:t>
            </w:r>
            <w:r w:rsidR="002A479B" w:rsidRPr="002A479B">
              <w:rPr>
                <w:rFonts w:eastAsia="Times New Roman"/>
                <w:vertAlign w:val="superscript"/>
              </w:rPr>
              <w:t>1</w:t>
            </w:r>
          </w:p>
          <w:p w14:paraId="7CC487DE" w14:textId="08F5BD5E" w:rsidR="00FC1DB7" w:rsidRPr="00FC1DB7" w:rsidRDefault="00FC1DB7" w:rsidP="002A479B">
            <w:pPr>
              <w:rPr>
                <w:rFonts w:eastAsia="Times New Roman"/>
              </w:rPr>
            </w:pPr>
          </w:p>
        </w:tc>
      </w:tr>
      <w:tr w:rsidR="002A479B" w:rsidRPr="002A479B" w14:paraId="2F022A81" w14:textId="77777777" w:rsidTr="00CE18F9">
        <w:tc>
          <w:tcPr>
            <w:tcW w:w="9186" w:type="dxa"/>
            <w:gridSpan w:val="2"/>
          </w:tcPr>
          <w:p w14:paraId="204C6D19" w14:textId="77777777" w:rsidR="002A479B" w:rsidRPr="002A479B" w:rsidRDefault="002A479B" w:rsidP="002A479B">
            <w:pPr>
              <w:rPr>
                <w:rFonts w:eastAsia="Times New Roman"/>
              </w:rPr>
            </w:pPr>
            <w:r w:rsidRPr="002A479B">
              <w:rPr>
                <w:rFonts w:eastAsia="Times New Roman"/>
                <w:b/>
                <w:bCs/>
              </w:rPr>
              <w:t>Anyagcsere</w:t>
            </w:r>
            <w:r w:rsidR="00BE7962">
              <w:rPr>
                <w:rFonts w:eastAsia="Times New Roman"/>
                <w:b/>
                <w:bCs/>
              </w:rPr>
              <w:t>-</w:t>
            </w:r>
            <w:r w:rsidRPr="002A479B">
              <w:rPr>
                <w:rFonts w:eastAsia="Times New Roman"/>
                <w:b/>
                <w:bCs/>
              </w:rPr>
              <w:t xml:space="preserve"> és táplálkozási betegségek és tünetek</w:t>
            </w:r>
          </w:p>
        </w:tc>
      </w:tr>
      <w:tr w:rsidR="002A479B" w:rsidRPr="002A479B" w14:paraId="67399122" w14:textId="77777777" w:rsidTr="00CE18F9">
        <w:tc>
          <w:tcPr>
            <w:tcW w:w="2235" w:type="dxa"/>
          </w:tcPr>
          <w:p w14:paraId="01256937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ismert</w:t>
            </w:r>
          </w:p>
        </w:tc>
        <w:tc>
          <w:tcPr>
            <w:tcW w:w="6951" w:type="dxa"/>
          </w:tcPr>
          <w:p w14:paraId="374F2DFB" w14:textId="77777777" w:rsid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m</w:t>
            </w:r>
            <w:r w:rsidR="002A479B" w:rsidRPr="002A479B">
              <w:rPr>
                <w:rFonts w:eastAsia="Times New Roman"/>
              </w:rPr>
              <w:t>etabolikus acidózis</w:t>
            </w:r>
            <w:r w:rsidR="002A479B" w:rsidRPr="002A479B">
              <w:rPr>
                <w:rFonts w:eastAsia="Times New Roman"/>
                <w:vertAlign w:val="superscript"/>
              </w:rPr>
              <w:t>1</w:t>
            </w:r>
          </w:p>
          <w:p w14:paraId="13420800" w14:textId="3C663013" w:rsidR="00FC1DB7" w:rsidRPr="00FC1DB7" w:rsidRDefault="00FC1DB7" w:rsidP="002A479B">
            <w:pPr>
              <w:rPr>
                <w:rFonts w:eastAsia="Times New Roman"/>
              </w:rPr>
            </w:pPr>
          </w:p>
        </w:tc>
      </w:tr>
      <w:tr w:rsidR="002A479B" w:rsidRPr="002A479B" w14:paraId="5BA2D8DC" w14:textId="77777777" w:rsidTr="00CE18F9">
        <w:tc>
          <w:tcPr>
            <w:tcW w:w="9186" w:type="dxa"/>
            <w:gridSpan w:val="2"/>
          </w:tcPr>
          <w:p w14:paraId="2681C658" w14:textId="77777777" w:rsidR="002A479B" w:rsidRPr="002A479B" w:rsidRDefault="002A479B" w:rsidP="002A479B">
            <w:pPr>
              <w:rPr>
                <w:rFonts w:eastAsia="Times New Roman"/>
              </w:rPr>
            </w:pPr>
            <w:r w:rsidRPr="002A479B">
              <w:rPr>
                <w:rFonts w:eastAsia="Times New Roman"/>
                <w:b/>
                <w:bCs/>
              </w:rPr>
              <w:t>Pszichiátriai kórképek</w:t>
            </w:r>
          </w:p>
        </w:tc>
      </w:tr>
      <w:tr w:rsidR="002A479B" w:rsidRPr="002A479B" w14:paraId="137566E7" w14:textId="77777777" w:rsidTr="00CE18F9">
        <w:tc>
          <w:tcPr>
            <w:tcW w:w="2235" w:type="dxa"/>
          </w:tcPr>
          <w:p w14:paraId="11666749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gyakori</w:t>
            </w:r>
          </w:p>
        </w:tc>
        <w:tc>
          <w:tcPr>
            <w:tcW w:w="6951" w:type="dxa"/>
          </w:tcPr>
          <w:p w14:paraId="63934FF0" w14:textId="77777777" w:rsid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</w:t>
            </w:r>
            <w:r w:rsidR="002A479B" w:rsidRPr="002A479B">
              <w:rPr>
                <w:rFonts w:eastAsia="Times New Roman"/>
              </w:rPr>
              <w:t>zorongás, alvászavar</w:t>
            </w:r>
          </w:p>
          <w:p w14:paraId="20951C8F" w14:textId="297AB58B" w:rsidR="00FC1DB7" w:rsidRPr="002A479B" w:rsidRDefault="00FC1DB7" w:rsidP="002A479B">
            <w:pPr>
              <w:rPr>
                <w:rFonts w:eastAsia="Times New Roman"/>
              </w:rPr>
            </w:pPr>
          </w:p>
        </w:tc>
      </w:tr>
      <w:tr w:rsidR="002A479B" w:rsidRPr="002A479B" w14:paraId="11EF7349" w14:textId="77777777" w:rsidTr="00CE18F9">
        <w:tc>
          <w:tcPr>
            <w:tcW w:w="9186" w:type="dxa"/>
            <w:gridSpan w:val="2"/>
          </w:tcPr>
          <w:p w14:paraId="19F9744D" w14:textId="77777777" w:rsidR="002A479B" w:rsidRPr="002A479B" w:rsidRDefault="002A479B" w:rsidP="002A479B">
            <w:pPr>
              <w:rPr>
                <w:rFonts w:eastAsia="Times New Roman"/>
              </w:rPr>
            </w:pPr>
            <w:r w:rsidRPr="002A479B">
              <w:rPr>
                <w:rFonts w:eastAsia="Times New Roman"/>
                <w:b/>
                <w:bCs/>
              </w:rPr>
              <w:t>Idegrendszeri betegségek és tünetek</w:t>
            </w:r>
          </w:p>
        </w:tc>
      </w:tr>
      <w:tr w:rsidR="002A479B" w:rsidRPr="002A479B" w14:paraId="7AB78B1A" w14:textId="77777777" w:rsidTr="00CE18F9">
        <w:tc>
          <w:tcPr>
            <w:tcW w:w="2235" w:type="dxa"/>
          </w:tcPr>
          <w:p w14:paraId="2A266BAC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</w:t>
            </w:r>
            <w:r w:rsidR="002A479B" w:rsidRPr="002A479B">
              <w:rPr>
                <w:rFonts w:eastAsia="Times New Roman"/>
              </w:rPr>
              <w:t>yakori</w:t>
            </w:r>
          </w:p>
        </w:tc>
        <w:tc>
          <w:tcPr>
            <w:tcW w:w="6951" w:type="dxa"/>
          </w:tcPr>
          <w:p w14:paraId="1EFD6926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f</w:t>
            </w:r>
            <w:r w:rsidR="002A479B" w:rsidRPr="002A479B">
              <w:rPr>
                <w:rFonts w:eastAsia="Times New Roman"/>
              </w:rPr>
              <w:t>ejfájás</w:t>
            </w:r>
          </w:p>
        </w:tc>
      </w:tr>
      <w:tr w:rsidR="002A479B" w:rsidRPr="002A479B" w14:paraId="1D6D812F" w14:textId="77777777" w:rsidTr="00CE18F9">
        <w:tc>
          <w:tcPr>
            <w:tcW w:w="2235" w:type="dxa"/>
          </w:tcPr>
          <w:p w14:paraId="6E605C67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gyakori</w:t>
            </w:r>
          </w:p>
        </w:tc>
        <w:tc>
          <w:tcPr>
            <w:tcW w:w="6951" w:type="dxa"/>
          </w:tcPr>
          <w:p w14:paraId="40F28B9D" w14:textId="77777777" w:rsid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</w:t>
            </w:r>
            <w:r w:rsidR="002A479B" w:rsidRPr="002A479B">
              <w:rPr>
                <w:rFonts w:eastAsia="Times New Roman"/>
              </w:rPr>
              <w:t>zédülés</w:t>
            </w:r>
          </w:p>
          <w:p w14:paraId="01C5D448" w14:textId="77BA4B95" w:rsidR="00FC1DB7" w:rsidRPr="002A479B" w:rsidRDefault="00FC1DB7" w:rsidP="002A479B">
            <w:pPr>
              <w:rPr>
                <w:rFonts w:eastAsia="Times New Roman"/>
              </w:rPr>
            </w:pPr>
          </w:p>
        </w:tc>
      </w:tr>
      <w:tr w:rsidR="002A479B" w:rsidRPr="002A479B" w14:paraId="15BB8ABB" w14:textId="77777777" w:rsidTr="00CE18F9">
        <w:tc>
          <w:tcPr>
            <w:tcW w:w="9186" w:type="dxa"/>
            <w:gridSpan w:val="2"/>
          </w:tcPr>
          <w:p w14:paraId="0D01B64E" w14:textId="77777777" w:rsidR="002A479B" w:rsidRPr="002A479B" w:rsidRDefault="002A479B" w:rsidP="002A479B">
            <w:pPr>
              <w:rPr>
                <w:rFonts w:eastAsia="Times New Roman"/>
              </w:rPr>
            </w:pPr>
            <w:r w:rsidRPr="002A479B">
              <w:rPr>
                <w:rFonts w:eastAsia="Times New Roman"/>
                <w:b/>
                <w:bCs/>
              </w:rPr>
              <w:t>Szembetegségek és szemészeti tünetek</w:t>
            </w:r>
          </w:p>
        </w:tc>
      </w:tr>
      <w:tr w:rsidR="002A479B" w:rsidRPr="002A479B" w14:paraId="072A8CCC" w14:textId="77777777" w:rsidTr="00CE18F9">
        <w:tc>
          <w:tcPr>
            <w:tcW w:w="2235" w:type="dxa"/>
          </w:tcPr>
          <w:p w14:paraId="56C5EAD8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gyakori</w:t>
            </w:r>
          </w:p>
        </w:tc>
        <w:tc>
          <w:tcPr>
            <w:tcW w:w="6951" w:type="dxa"/>
          </w:tcPr>
          <w:p w14:paraId="01CF422E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</w:t>
            </w:r>
            <w:r w:rsidR="002A479B" w:rsidRPr="002A479B">
              <w:rPr>
                <w:rFonts w:eastAsia="Times New Roman"/>
              </w:rPr>
              <w:t>zürkehályog, maculopathia</w:t>
            </w:r>
          </w:p>
        </w:tc>
      </w:tr>
      <w:tr w:rsidR="002A479B" w:rsidRPr="002A479B" w14:paraId="0FC32441" w14:textId="77777777" w:rsidTr="00CE18F9">
        <w:tc>
          <w:tcPr>
            <w:tcW w:w="2235" w:type="dxa"/>
          </w:tcPr>
          <w:p w14:paraId="0668166D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</w:t>
            </w:r>
            <w:r w:rsidR="002A479B" w:rsidRPr="002A479B">
              <w:rPr>
                <w:rFonts w:eastAsia="Times New Roman"/>
              </w:rPr>
              <w:t>itka</w:t>
            </w:r>
          </w:p>
        </w:tc>
        <w:tc>
          <w:tcPr>
            <w:tcW w:w="6951" w:type="dxa"/>
          </w:tcPr>
          <w:p w14:paraId="41302572" w14:textId="77777777" w:rsid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l</w:t>
            </w:r>
            <w:r w:rsidR="002A479B" w:rsidRPr="002A479B">
              <w:rPr>
                <w:rFonts w:eastAsia="Times New Roman"/>
              </w:rPr>
              <w:t>átóideggyulladás</w:t>
            </w:r>
          </w:p>
          <w:p w14:paraId="6231136D" w14:textId="7DFF2B61" w:rsidR="00FC1DB7" w:rsidRPr="002A479B" w:rsidRDefault="00FC1DB7" w:rsidP="002A479B">
            <w:pPr>
              <w:rPr>
                <w:rFonts w:eastAsia="Times New Roman"/>
              </w:rPr>
            </w:pPr>
          </w:p>
        </w:tc>
      </w:tr>
      <w:tr w:rsidR="002A479B" w:rsidRPr="002A479B" w14:paraId="1718BA64" w14:textId="77777777" w:rsidTr="00CE18F9">
        <w:tc>
          <w:tcPr>
            <w:tcW w:w="9186" w:type="dxa"/>
            <w:gridSpan w:val="2"/>
          </w:tcPr>
          <w:p w14:paraId="4C529486" w14:textId="77777777" w:rsidR="002A479B" w:rsidRPr="002A479B" w:rsidRDefault="002A479B" w:rsidP="002A479B">
            <w:pPr>
              <w:rPr>
                <w:rFonts w:eastAsia="Times New Roman"/>
              </w:rPr>
            </w:pPr>
            <w:r w:rsidRPr="002A479B">
              <w:rPr>
                <w:rFonts w:eastAsia="Times New Roman"/>
                <w:b/>
                <w:bCs/>
              </w:rPr>
              <w:t>A fül és az egyensúly-érzékelő szerv betegségei és tünetei</w:t>
            </w:r>
          </w:p>
        </w:tc>
      </w:tr>
      <w:tr w:rsidR="002A479B" w:rsidRPr="002A479B" w14:paraId="4F0C857D" w14:textId="77777777" w:rsidTr="00CE18F9">
        <w:tc>
          <w:tcPr>
            <w:tcW w:w="2235" w:type="dxa"/>
          </w:tcPr>
          <w:p w14:paraId="2AB33C69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gyakori</w:t>
            </w:r>
          </w:p>
        </w:tc>
        <w:tc>
          <w:tcPr>
            <w:tcW w:w="6951" w:type="dxa"/>
          </w:tcPr>
          <w:p w14:paraId="2AFD0C76" w14:textId="77777777" w:rsid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</w:t>
            </w:r>
            <w:r w:rsidR="002A479B" w:rsidRPr="002A479B">
              <w:rPr>
                <w:rFonts w:eastAsia="Times New Roman"/>
              </w:rPr>
              <w:t>üketség</w:t>
            </w:r>
          </w:p>
          <w:p w14:paraId="392156D2" w14:textId="739EB7C6" w:rsidR="00FC1DB7" w:rsidRPr="002A479B" w:rsidRDefault="00FC1DB7" w:rsidP="002A479B">
            <w:pPr>
              <w:rPr>
                <w:rFonts w:eastAsia="Times New Roman"/>
              </w:rPr>
            </w:pPr>
          </w:p>
        </w:tc>
      </w:tr>
      <w:tr w:rsidR="002A479B" w:rsidRPr="002A479B" w14:paraId="2FAA5750" w14:textId="77777777" w:rsidTr="00CE18F9">
        <w:tc>
          <w:tcPr>
            <w:tcW w:w="9186" w:type="dxa"/>
            <w:gridSpan w:val="2"/>
          </w:tcPr>
          <w:p w14:paraId="2E69E607" w14:textId="77777777" w:rsidR="002A479B" w:rsidRPr="002A479B" w:rsidRDefault="002A479B" w:rsidP="002A479B">
            <w:pPr>
              <w:rPr>
                <w:rFonts w:eastAsia="Times New Roman"/>
              </w:rPr>
            </w:pPr>
            <w:r w:rsidRPr="002A479B">
              <w:rPr>
                <w:rFonts w:eastAsia="Times New Roman"/>
                <w:b/>
                <w:bCs/>
              </w:rPr>
              <w:t>Légzőrendszeri, mellkasi és mediastinalis betegségek és tünetek</w:t>
            </w:r>
          </w:p>
        </w:tc>
      </w:tr>
      <w:tr w:rsidR="002A479B" w:rsidRPr="002A479B" w14:paraId="748A82D7" w14:textId="77777777" w:rsidTr="00CE18F9">
        <w:tc>
          <w:tcPr>
            <w:tcW w:w="2235" w:type="dxa"/>
          </w:tcPr>
          <w:p w14:paraId="34E45774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gyakori</w:t>
            </w:r>
          </w:p>
        </w:tc>
        <w:tc>
          <w:tcPr>
            <w:tcW w:w="6951" w:type="dxa"/>
          </w:tcPr>
          <w:p w14:paraId="114D9AA7" w14:textId="77777777" w:rsid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l</w:t>
            </w:r>
            <w:r w:rsidR="002A479B" w:rsidRPr="002A479B">
              <w:rPr>
                <w:rFonts w:eastAsia="Times New Roman"/>
              </w:rPr>
              <w:t>aryngealis fájdalom</w:t>
            </w:r>
          </w:p>
          <w:p w14:paraId="36FBCA3E" w14:textId="69DE541C" w:rsidR="00FC1DB7" w:rsidRPr="002A479B" w:rsidRDefault="00FC1DB7" w:rsidP="002A479B">
            <w:pPr>
              <w:rPr>
                <w:rFonts w:eastAsia="Times New Roman"/>
              </w:rPr>
            </w:pPr>
          </w:p>
        </w:tc>
      </w:tr>
      <w:tr w:rsidR="002A479B" w:rsidRPr="002A479B" w14:paraId="6D40441B" w14:textId="77777777" w:rsidTr="00CE18F9">
        <w:tc>
          <w:tcPr>
            <w:tcW w:w="9186" w:type="dxa"/>
            <w:gridSpan w:val="2"/>
          </w:tcPr>
          <w:p w14:paraId="00CA558A" w14:textId="77777777" w:rsidR="002A479B" w:rsidRPr="002A479B" w:rsidRDefault="002A479B" w:rsidP="009C6547">
            <w:pPr>
              <w:keepNext/>
              <w:rPr>
                <w:rFonts w:eastAsia="Times New Roman"/>
              </w:rPr>
            </w:pPr>
            <w:r w:rsidRPr="002A479B">
              <w:rPr>
                <w:rFonts w:eastAsia="Times New Roman"/>
                <w:b/>
                <w:bCs/>
              </w:rPr>
              <w:t>Emésztőrendszeri betegségek és tünetek</w:t>
            </w:r>
          </w:p>
        </w:tc>
      </w:tr>
      <w:tr w:rsidR="002A479B" w:rsidRPr="002A479B" w14:paraId="26BD58CA" w14:textId="77777777" w:rsidTr="00CE18F9">
        <w:tc>
          <w:tcPr>
            <w:tcW w:w="2235" w:type="dxa"/>
          </w:tcPr>
          <w:p w14:paraId="5581A9C2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</w:t>
            </w:r>
            <w:r w:rsidR="002A479B" w:rsidRPr="002A479B">
              <w:rPr>
                <w:rFonts w:eastAsia="Times New Roman"/>
              </w:rPr>
              <w:t>yakori</w:t>
            </w:r>
          </w:p>
        </w:tc>
        <w:tc>
          <w:tcPr>
            <w:tcW w:w="6951" w:type="dxa"/>
          </w:tcPr>
          <w:p w14:paraId="6A5A56B5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h</w:t>
            </w:r>
            <w:r w:rsidR="002A479B" w:rsidRPr="002A479B">
              <w:rPr>
                <w:rFonts w:eastAsia="Times New Roman"/>
              </w:rPr>
              <w:t>asmenés, székrekedés, hányás, hányinger, hasfájás, haspuffadás, dyspepsia</w:t>
            </w:r>
          </w:p>
        </w:tc>
      </w:tr>
      <w:tr w:rsidR="002A479B" w:rsidRPr="002A479B" w14:paraId="12A4DB66" w14:textId="77777777" w:rsidTr="00CE18F9">
        <w:tc>
          <w:tcPr>
            <w:tcW w:w="2235" w:type="dxa"/>
          </w:tcPr>
          <w:p w14:paraId="4903FA99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gyakori</w:t>
            </w:r>
          </w:p>
        </w:tc>
        <w:tc>
          <w:tcPr>
            <w:tcW w:w="6951" w:type="dxa"/>
          </w:tcPr>
          <w:p w14:paraId="38B1A8C8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</w:t>
            </w:r>
            <w:r w:rsidR="002A479B" w:rsidRPr="002A479B">
              <w:rPr>
                <w:rFonts w:eastAsia="Times New Roman"/>
              </w:rPr>
              <w:t>astrointestin</w:t>
            </w:r>
            <w:r>
              <w:rPr>
                <w:rFonts w:eastAsia="Times New Roman"/>
              </w:rPr>
              <w:t>a</w:t>
            </w:r>
            <w:r w:rsidR="002A479B" w:rsidRPr="002A479B">
              <w:rPr>
                <w:rFonts w:eastAsia="Times New Roman"/>
              </w:rPr>
              <w:t>lis vérzés, gyomorfekély (köztük multiplex fekélyek is), nyombélfekély, gastritis</w:t>
            </w:r>
          </w:p>
        </w:tc>
      </w:tr>
      <w:tr w:rsidR="002A479B" w:rsidRPr="002A479B" w14:paraId="30597A84" w14:textId="77777777" w:rsidTr="00CE18F9">
        <w:tc>
          <w:tcPr>
            <w:tcW w:w="2235" w:type="dxa"/>
          </w:tcPr>
          <w:p w14:paraId="59818A41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</w:t>
            </w:r>
            <w:r w:rsidR="002A479B" w:rsidRPr="002A479B">
              <w:rPr>
                <w:rFonts w:eastAsia="Times New Roman"/>
              </w:rPr>
              <w:t>itka</w:t>
            </w:r>
          </w:p>
        </w:tc>
        <w:tc>
          <w:tcPr>
            <w:tcW w:w="6951" w:type="dxa"/>
          </w:tcPr>
          <w:p w14:paraId="59A1D446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o</w:t>
            </w:r>
            <w:r w:rsidR="002A479B" w:rsidRPr="002A479B">
              <w:rPr>
                <w:rFonts w:eastAsia="Times New Roman"/>
              </w:rPr>
              <w:t>esophagitis</w:t>
            </w:r>
          </w:p>
        </w:tc>
      </w:tr>
      <w:tr w:rsidR="002A479B" w:rsidRPr="002A479B" w14:paraId="6C6790A6" w14:textId="77777777" w:rsidTr="00CE18F9">
        <w:tc>
          <w:tcPr>
            <w:tcW w:w="2235" w:type="dxa"/>
          </w:tcPr>
          <w:p w14:paraId="73BDE1CE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ismert</w:t>
            </w:r>
          </w:p>
        </w:tc>
        <w:tc>
          <w:tcPr>
            <w:tcW w:w="6951" w:type="dxa"/>
          </w:tcPr>
          <w:p w14:paraId="2F8C588B" w14:textId="77777777" w:rsid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e</w:t>
            </w:r>
            <w:r w:rsidR="002A479B" w:rsidRPr="002A479B">
              <w:rPr>
                <w:rFonts w:eastAsia="Times New Roman"/>
              </w:rPr>
              <w:t>mésztőrendszeri perforáció</w:t>
            </w:r>
            <w:r w:rsidR="002A479B" w:rsidRPr="002A479B">
              <w:rPr>
                <w:rFonts w:eastAsia="Times New Roman"/>
                <w:vertAlign w:val="superscript"/>
              </w:rPr>
              <w:t>1</w:t>
            </w:r>
            <w:r w:rsidR="002A479B" w:rsidRPr="002A479B">
              <w:rPr>
                <w:rFonts w:eastAsia="Times New Roman"/>
              </w:rPr>
              <w:t>, akut pancreatitis</w:t>
            </w:r>
            <w:r w:rsidR="002A479B" w:rsidRPr="002A479B">
              <w:rPr>
                <w:rFonts w:eastAsia="Times New Roman"/>
                <w:vertAlign w:val="superscript"/>
              </w:rPr>
              <w:t>1</w:t>
            </w:r>
          </w:p>
          <w:p w14:paraId="568CA375" w14:textId="7BEF89F4" w:rsidR="00FC1DB7" w:rsidRPr="00FC1DB7" w:rsidRDefault="00FC1DB7" w:rsidP="002A479B">
            <w:pPr>
              <w:rPr>
                <w:rFonts w:eastAsia="Times New Roman"/>
              </w:rPr>
            </w:pPr>
          </w:p>
        </w:tc>
      </w:tr>
      <w:tr w:rsidR="002A479B" w:rsidRPr="002A479B" w14:paraId="1821EFCE" w14:textId="77777777" w:rsidTr="00CE18F9">
        <w:tc>
          <w:tcPr>
            <w:tcW w:w="9186" w:type="dxa"/>
            <w:gridSpan w:val="2"/>
          </w:tcPr>
          <w:p w14:paraId="5C2525A4" w14:textId="77777777" w:rsidR="002A479B" w:rsidRPr="002A479B" w:rsidRDefault="002A479B" w:rsidP="002A479B">
            <w:pPr>
              <w:rPr>
                <w:rFonts w:eastAsia="Times New Roman"/>
              </w:rPr>
            </w:pPr>
            <w:r w:rsidRPr="002A479B">
              <w:rPr>
                <w:rFonts w:eastAsia="Times New Roman"/>
                <w:b/>
                <w:bCs/>
              </w:rPr>
              <w:t>Máj- és epebetegségek, illetve tünetek</w:t>
            </w:r>
          </w:p>
        </w:tc>
      </w:tr>
      <w:tr w:rsidR="002A479B" w:rsidRPr="002A479B" w14:paraId="17F3DABC" w14:textId="77777777" w:rsidTr="00CE18F9">
        <w:tc>
          <w:tcPr>
            <w:tcW w:w="2235" w:type="dxa"/>
          </w:tcPr>
          <w:p w14:paraId="68F9628A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</w:t>
            </w:r>
            <w:r w:rsidR="002A479B" w:rsidRPr="002A479B">
              <w:rPr>
                <w:rFonts w:eastAsia="Times New Roman"/>
              </w:rPr>
              <w:t>yakori</w:t>
            </w:r>
          </w:p>
        </w:tc>
        <w:tc>
          <w:tcPr>
            <w:tcW w:w="6951" w:type="dxa"/>
          </w:tcPr>
          <w:p w14:paraId="42462485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e</w:t>
            </w:r>
            <w:r w:rsidR="002A479B" w:rsidRPr="002A479B">
              <w:rPr>
                <w:rFonts w:eastAsia="Times New Roman"/>
              </w:rPr>
              <w:t>melkedett transzaminázszintek</w:t>
            </w:r>
          </w:p>
        </w:tc>
      </w:tr>
      <w:tr w:rsidR="002A479B" w:rsidRPr="002A479B" w14:paraId="683DD487" w14:textId="77777777" w:rsidTr="00CE18F9">
        <w:tc>
          <w:tcPr>
            <w:tcW w:w="2235" w:type="dxa"/>
          </w:tcPr>
          <w:p w14:paraId="011B1EAA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gyakori</w:t>
            </w:r>
          </w:p>
        </w:tc>
        <w:tc>
          <w:tcPr>
            <w:tcW w:w="6951" w:type="dxa"/>
          </w:tcPr>
          <w:p w14:paraId="0874145C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h</w:t>
            </w:r>
            <w:r w:rsidR="002A479B" w:rsidRPr="002A479B">
              <w:rPr>
                <w:rFonts w:eastAsia="Times New Roman"/>
              </w:rPr>
              <w:t>epatitis, cholelithiasis</w:t>
            </w:r>
          </w:p>
        </w:tc>
      </w:tr>
      <w:tr w:rsidR="002A479B" w:rsidRPr="002A479B" w14:paraId="62F8D37F" w14:textId="77777777" w:rsidTr="00CE18F9">
        <w:tc>
          <w:tcPr>
            <w:tcW w:w="2235" w:type="dxa"/>
          </w:tcPr>
          <w:p w14:paraId="270F32D9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ismert</w:t>
            </w:r>
          </w:p>
        </w:tc>
        <w:tc>
          <w:tcPr>
            <w:tcW w:w="6951" w:type="dxa"/>
          </w:tcPr>
          <w:p w14:paraId="6E271A96" w14:textId="77777777" w:rsid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m</w:t>
            </w:r>
            <w:r w:rsidR="002A479B" w:rsidRPr="002A479B">
              <w:rPr>
                <w:rFonts w:eastAsia="Times New Roman"/>
              </w:rPr>
              <w:t>ájelégtelenség</w:t>
            </w:r>
            <w:r w:rsidR="002A479B" w:rsidRPr="002A479B">
              <w:rPr>
                <w:rFonts w:eastAsia="Times New Roman"/>
                <w:vertAlign w:val="superscript"/>
              </w:rPr>
              <w:t>1,2</w:t>
            </w:r>
          </w:p>
          <w:p w14:paraId="0D1E6AEE" w14:textId="5AC5B7C0" w:rsidR="00FC1DB7" w:rsidRPr="00FC1DB7" w:rsidRDefault="00FC1DB7" w:rsidP="002A479B">
            <w:pPr>
              <w:rPr>
                <w:rFonts w:eastAsia="Times New Roman"/>
              </w:rPr>
            </w:pPr>
          </w:p>
        </w:tc>
      </w:tr>
      <w:tr w:rsidR="002A479B" w:rsidRPr="002A479B" w14:paraId="0AF7E677" w14:textId="77777777" w:rsidTr="00CE18F9">
        <w:tc>
          <w:tcPr>
            <w:tcW w:w="9186" w:type="dxa"/>
            <w:gridSpan w:val="2"/>
          </w:tcPr>
          <w:p w14:paraId="7ED6A153" w14:textId="77777777" w:rsidR="002A479B" w:rsidRPr="002A479B" w:rsidRDefault="002A479B" w:rsidP="002A479B">
            <w:pPr>
              <w:rPr>
                <w:rFonts w:eastAsia="Times New Roman"/>
              </w:rPr>
            </w:pPr>
            <w:r w:rsidRPr="002A479B">
              <w:rPr>
                <w:rFonts w:eastAsia="Times New Roman"/>
                <w:b/>
                <w:bCs/>
              </w:rPr>
              <w:t>A bőr és a bőr alatti szövet betegségei és tünetei</w:t>
            </w:r>
          </w:p>
        </w:tc>
      </w:tr>
      <w:tr w:rsidR="002A479B" w:rsidRPr="002A479B" w14:paraId="634E8D9D" w14:textId="77777777" w:rsidTr="00CE18F9">
        <w:tc>
          <w:tcPr>
            <w:tcW w:w="2235" w:type="dxa"/>
          </w:tcPr>
          <w:p w14:paraId="635119B4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</w:t>
            </w:r>
            <w:r w:rsidR="002A479B" w:rsidRPr="002A479B">
              <w:rPr>
                <w:rFonts w:eastAsia="Times New Roman"/>
              </w:rPr>
              <w:t>yakori</w:t>
            </w:r>
          </w:p>
        </w:tc>
        <w:tc>
          <w:tcPr>
            <w:tcW w:w="6951" w:type="dxa"/>
          </w:tcPr>
          <w:p w14:paraId="3953EA41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b</w:t>
            </w:r>
            <w:r w:rsidR="002A479B" w:rsidRPr="002A479B">
              <w:rPr>
                <w:rFonts w:eastAsia="Times New Roman"/>
              </w:rPr>
              <w:t>őrkiütés, viszketés</w:t>
            </w:r>
          </w:p>
        </w:tc>
      </w:tr>
      <w:tr w:rsidR="002A479B" w:rsidRPr="002A479B" w14:paraId="101B5AD5" w14:textId="77777777" w:rsidTr="00CE18F9">
        <w:tc>
          <w:tcPr>
            <w:tcW w:w="2235" w:type="dxa"/>
          </w:tcPr>
          <w:p w14:paraId="579B9D3F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gyakori</w:t>
            </w:r>
          </w:p>
        </w:tc>
        <w:tc>
          <w:tcPr>
            <w:tcW w:w="6951" w:type="dxa"/>
          </w:tcPr>
          <w:p w14:paraId="07EC523B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</w:t>
            </w:r>
            <w:r w:rsidR="002A479B" w:rsidRPr="002A479B">
              <w:rPr>
                <w:rFonts w:eastAsia="Times New Roman"/>
              </w:rPr>
              <w:t>igmentáció</w:t>
            </w:r>
            <w:r>
              <w:rPr>
                <w:rFonts w:eastAsia="Times New Roman"/>
              </w:rPr>
              <w:t>s</w:t>
            </w:r>
            <w:r w:rsidR="002A479B" w:rsidRPr="002A479B">
              <w:rPr>
                <w:rFonts w:eastAsia="Times New Roman"/>
              </w:rPr>
              <w:t xml:space="preserve"> zavarok</w:t>
            </w:r>
          </w:p>
        </w:tc>
      </w:tr>
      <w:tr w:rsidR="002A479B" w:rsidRPr="002A479B" w14:paraId="6DA3AC2B" w14:textId="77777777" w:rsidTr="00CE18F9">
        <w:tc>
          <w:tcPr>
            <w:tcW w:w="2235" w:type="dxa"/>
          </w:tcPr>
          <w:p w14:paraId="0478561B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</w:t>
            </w:r>
            <w:r w:rsidR="002A479B" w:rsidRPr="002A479B">
              <w:rPr>
                <w:rFonts w:eastAsia="Times New Roman"/>
              </w:rPr>
              <w:t>itka</w:t>
            </w:r>
          </w:p>
        </w:tc>
        <w:tc>
          <w:tcPr>
            <w:tcW w:w="6951" w:type="dxa"/>
          </w:tcPr>
          <w:p w14:paraId="178BEA2E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e</w:t>
            </w:r>
            <w:r w:rsidR="002A479B" w:rsidRPr="002A479B">
              <w:rPr>
                <w:rFonts w:eastAsia="Times New Roman"/>
              </w:rPr>
              <w:t>osinophiliával és szisztémás tünetekkel járó gyógyszerreakció (DRESS)</w:t>
            </w:r>
          </w:p>
        </w:tc>
      </w:tr>
      <w:tr w:rsidR="002A479B" w:rsidRPr="002A479B" w14:paraId="37F5AEF2" w14:textId="77777777" w:rsidTr="00CE18F9">
        <w:tc>
          <w:tcPr>
            <w:tcW w:w="2235" w:type="dxa"/>
          </w:tcPr>
          <w:p w14:paraId="3B10D612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ismert</w:t>
            </w:r>
          </w:p>
        </w:tc>
        <w:tc>
          <w:tcPr>
            <w:tcW w:w="6951" w:type="dxa"/>
          </w:tcPr>
          <w:p w14:paraId="69BFCC27" w14:textId="77777777" w:rsidR="002A479B" w:rsidRDefault="002A479B" w:rsidP="002A479B">
            <w:pPr>
              <w:rPr>
                <w:rFonts w:eastAsia="Times New Roman"/>
              </w:rPr>
            </w:pPr>
            <w:r w:rsidRPr="002A479B">
              <w:rPr>
                <w:rFonts w:eastAsia="Times New Roman"/>
              </w:rPr>
              <w:t>Stevens</w:t>
            </w:r>
            <w:r w:rsidR="00DA0CA2">
              <w:rPr>
                <w:rFonts w:eastAsia="Times New Roman"/>
              </w:rPr>
              <w:t>–</w:t>
            </w:r>
            <w:r w:rsidRPr="002A479B">
              <w:rPr>
                <w:rFonts w:eastAsia="Times New Roman"/>
              </w:rPr>
              <w:t>Johnson</w:t>
            </w:r>
            <w:r w:rsidR="00DA0CA2">
              <w:rPr>
                <w:rFonts w:eastAsia="Times New Roman"/>
              </w:rPr>
              <w:t>-</w:t>
            </w:r>
            <w:r w:rsidRPr="002A479B">
              <w:rPr>
                <w:rFonts w:eastAsia="Times New Roman"/>
              </w:rPr>
              <w:t>szindróma</w:t>
            </w:r>
            <w:r w:rsidRPr="002A479B">
              <w:rPr>
                <w:rFonts w:eastAsia="Times New Roman"/>
                <w:vertAlign w:val="superscript"/>
              </w:rPr>
              <w:t>1</w:t>
            </w:r>
            <w:r w:rsidRPr="002A479B">
              <w:rPr>
                <w:rFonts w:eastAsia="Times New Roman"/>
              </w:rPr>
              <w:t>, túlérzékenységi vasculitis</w:t>
            </w:r>
            <w:r w:rsidRPr="002A479B">
              <w:rPr>
                <w:rFonts w:eastAsia="Times New Roman"/>
                <w:vertAlign w:val="superscript"/>
              </w:rPr>
              <w:t>1</w:t>
            </w:r>
            <w:r w:rsidRPr="002A479B">
              <w:rPr>
                <w:rFonts w:eastAsia="Times New Roman"/>
              </w:rPr>
              <w:t>, urticaria</w:t>
            </w:r>
            <w:r w:rsidRPr="002A479B">
              <w:rPr>
                <w:rFonts w:eastAsia="Times New Roman"/>
                <w:vertAlign w:val="superscript"/>
              </w:rPr>
              <w:t>1</w:t>
            </w:r>
            <w:r w:rsidRPr="002A479B">
              <w:rPr>
                <w:rFonts w:eastAsia="Times New Roman"/>
              </w:rPr>
              <w:t>, erythema multiforme</w:t>
            </w:r>
            <w:r w:rsidRPr="002A479B">
              <w:rPr>
                <w:rFonts w:eastAsia="Times New Roman"/>
                <w:vertAlign w:val="superscript"/>
              </w:rPr>
              <w:t>1</w:t>
            </w:r>
            <w:r w:rsidRPr="002A479B">
              <w:rPr>
                <w:rFonts w:eastAsia="Times New Roman"/>
              </w:rPr>
              <w:t>, alopecia</w:t>
            </w:r>
            <w:r w:rsidRPr="002A479B">
              <w:rPr>
                <w:rFonts w:eastAsia="Times New Roman"/>
                <w:vertAlign w:val="superscript"/>
              </w:rPr>
              <w:t>1</w:t>
            </w:r>
            <w:r w:rsidRPr="002A479B">
              <w:rPr>
                <w:rFonts w:eastAsia="Times New Roman"/>
              </w:rPr>
              <w:t>, toxikus epidermalis necrolysis (TEN)</w:t>
            </w:r>
          </w:p>
          <w:p w14:paraId="0FF15279" w14:textId="7EB11000" w:rsidR="00FC1DB7" w:rsidRPr="002A479B" w:rsidRDefault="00FC1DB7" w:rsidP="002A479B">
            <w:pPr>
              <w:rPr>
                <w:rFonts w:eastAsia="Times New Roman"/>
              </w:rPr>
            </w:pPr>
          </w:p>
        </w:tc>
      </w:tr>
      <w:tr w:rsidR="002A479B" w:rsidRPr="002A479B" w14:paraId="66244D64" w14:textId="77777777" w:rsidTr="00CE18F9">
        <w:tc>
          <w:tcPr>
            <w:tcW w:w="9186" w:type="dxa"/>
            <w:gridSpan w:val="2"/>
          </w:tcPr>
          <w:p w14:paraId="67453C39" w14:textId="77777777" w:rsidR="002A479B" w:rsidRPr="002A479B" w:rsidRDefault="002A479B" w:rsidP="002A479B">
            <w:pPr>
              <w:rPr>
                <w:rFonts w:eastAsia="Times New Roman"/>
              </w:rPr>
            </w:pPr>
            <w:r w:rsidRPr="002A479B">
              <w:rPr>
                <w:rFonts w:eastAsia="Times New Roman"/>
                <w:b/>
                <w:bCs/>
              </w:rPr>
              <w:t>Vese- és húgyúti betegségek és tünetek</w:t>
            </w:r>
          </w:p>
        </w:tc>
      </w:tr>
      <w:tr w:rsidR="002A479B" w:rsidRPr="002A479B" w14:paraId="23F82C67" w14:textId="77777777" w:rsidTr="00CE18F9">
        <w:tc>
          <w:tcPr>
            <w:tcW w:w="2235" w:type="dxa"/>
          </w:tcPr>
          <w:p w14:paraId="19B9EABE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agyon gyakori</w:t>
            </w:r>
          </w:p>
        </w:tc>
        <w:tc>
          <w:tcPr>
            <w:tcW w:w="6951" w:type="dxa"/>
          </w:tcPr>
          <w:p w14:paraId="0C6F46B4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k</w:t>
            </w:r>
            <w:r w:rsidR="002A479B" w:rsidRPr="002A479B">
              <w:rPr>
                <w:rFonts w:eastAsia="Times New Roman"/>
              </w:rPr>
              <w:t>reatininszint</w:t>
            </w:r>
            <w:r>
              <w:rPr>
                <w:rFonts w:eastAsia="Times New Roman"/>
              </w:rPr>
              <w:t>-</w:t>
            </w:r>
            <w:r w:rsidR="002A479B" w:rsidRPr="002A479B">
              <w:rPr>
                <w:rFonts w:eastAsia="Times New Roman"/>
              </w:rPr>
              <w:t>emelkedés a vérben</w:t>
            </w:r>
          </w:p>
        </w:tc>
      </w:tr>
      <w:tr w:rsidR="002A479B" w:rsidRPr="002A479B" w14:paraId="6FBE8162" w14:textId="77777777" w:rsidTr="00CE18F9">
        <w:tc>
          <w:tcPr>
            <w:tcW w:w="2235" w:type="dxa"/>
          </w:tcPr>
          <w:p w14:paraId="02CC2A10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</w:t>
            </w:r>
            <w:r w:rsidR="002A479B" w:rsidRPr="002A479B">
              <w:rPr>
                <w:rFonts w:eastAsia="Times New Roman"/>
              </w:rPr>
              <w:t>yakori</w:t>
            </w:r>
          </w:p>
        </w:tc>
        <w:tc>
          <w:tcPr>
            <w:tcW w:w="6951" w:type="dxa"/>
          </w:tcPr>
          <w:p w14:paraId="6D765597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</w:t>
            </w:r>
            <w:r w:rsidR="002A479B" w:rsidRPr="002A479B">
              <w:rPr>
                <w:rFonts w:eastAsia="Times New Roman"/>
              </w:rPr>
              <w:t>roteinuria</w:t>
            </w:r>
          </w:p>
        </w:tc>
      </w:tr>
      <w:tr w:rsidR="002A479B" w:rsidRPr="002A479B" w14:paraId="4FE9F256" w14:textId="77777777" w:rsidTr="00CE18F9">
        <w:tc>
          <w:tcPr>
            <w:tcW w:w="2235" w:type="dxa"/>
          </w:tcPr>
          <w:p w14:paraId="7A76835C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gyakori</w:t>
            </w:r>
          </w:p>
        </w:tc>
        <w:tc>
          <w:tcPr>
            <w:tcW w:w="6951" w:type="dxa"/>
          </w:tcPr>
          <w:p w14:paraId="2F9A5CE1" w14:textId="3BF19E44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</w:t>
            </w:r>
            <w:r w:rsidR="002A479B" w:rsidRPr="002A479B">
              <w:rPr>
                <w:rFonts w:eastAsia="Times New Roman"/>
              </w:rPr>
              <w:t>enalis tubularis betegség</w:t>
            </w:r>
            <w:r w:rsidR="002A479B" w:rsidRPr="002A479B">
              <w:rPr>
                <w:rFonts w:ascii="Times" w:eastAsia="Times New Roman" w:hAnsi="Times"/>
                <w:vertAlign w:val="superscript"/>
              </w:rPr>
              <w:t>2</w:t>
            </w:r>
            <w:r w:rsidR="002A479B" w:rsidRPr="002A479B">
              <w:rPr>
                <w:rFonts w:eastAsia="Times New Roman"/>
              </w:rPr>
              <w:t xml:space="preserve"> (szerzett Fanconi</w:t>
            </w:r>
            <w:r w:rsidR="005255F0">
              <w:rPr>
                <w:rFonts w:eastAsia="Times New Roman"/>
              </w:rPr>
              <w:t>-</w:t>
            </w:r>
            <w:r w:rsidR="002A479B" w:rsidRPr="002A479B">
              <w:rPr>
                <w:rFonts w:eastAsia="Times New Roman"/>
              </w:rPr>
              <w:t>szindróma), glycosuria</w:t>
            </w:r>
          </w:p>
        </w:tc>
      </w:tr>
      <w:tr w:rsidR="002A479B" w:rsidRPr="002A479B" w14:paraId="361FD114" w14:textId="77777777" w:rsidTr="00CE18F9">
        <w:tc>
          <w:tcPr>
            <w:tcW w:w="2235" w:type="dxa"/>
          </w:tcPr>
          <w:p w14:paraId="5D02BBD6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ismert</w:t>
            </w:r>
          </w:p>
        </w:tc>
        <w:tc>
          <w:tcPr>
            <w:tcW w:w="6951" w:type="dxa"/>
          </w:tcPr>
          <w:p w14:paraId="44796A3B" w14:textId="77777777" w:rsidR="002A479B" w:rsidRDefault="00DA0CA2" w:rsidP="002A479B">
            <w:pPr>
              <w:rPr>
                <w:rFonts w:eastAsia="Times New Roman"/>
              </w:rPr>
            </w:pPr>
            <w:r w:rsidRPr="00BE7962">
              <w:rPr>
                <w:rFonts w:eastAsia="Times New Roman"/>
              </w:rPr>
              <w:t>a</w:t>
            </w:r>
            <w:r w:rsidR="002A479B" w:rsidRPr="00BE7962">
              <w:rPr>
                <w:rFonts w:eastAsia="Times New Roman"/>
              </w:rPr>
              <w:t>kut veseelégtelenség</w:t>
            </w:r>
            <w:r w:rsidR="002A479B" w:rsidRPr="00BE7962">
              <w:rPr>
                <w:rFonts w:eastAsia="Times New Roman"/>
                <w:vertAlign w:val="superscript"/>
              </w:rPr>
              <w:t>1,2</w:t>
            </w:r>
            <w:r w:rsidR="002A479B" w:rsidRPr="00BE7962">
              <w:rPr>
                <w:rFonts w:eastAsia="Times New Roman"/>
              </w:rPr>
              <w:t>, tubulointe</w:t>
            </w:r>
            <w:r w:rsidRPr="00306B2D">
              <w:rPr>
                <w:rFonts w:eastAsia="Times New Roman"/>
              </w:rPr>
              <w:t>r</w:t>
            </w:r>
            <w:r w:rsidR="002A479B" w:rsidRPr="00BE7962">
              <w:rPr>
                <w:rFonts w:eastAsia="Times New Roman"/>
              </w:rPr>
              <w:t>sti</w:t>
            </w:r>
            <w:r w:rsidRPr="00306B2D">
              <w:rPr>
                <w:rFonts w:eastAsia="Times New Roman"/>
              </w:rPr>
              <w:t>tialis</w:t>
            </w:r>
            <w:r w:rsidR="002A479B" w:rsidRPr="00BE7962">
              <w:rPr>
                <w:rFonts w:eastAsia="Times New Roman"/>
              </w:rPr>
              <w:t xml:space="preserve"> nephritis</w:t>
            </w:r>
            <w:r w:rsidR="002A479B" w:rsidRPr="00BE7962">
              <w:rPr>
                <w:rFonts w:eastAsia="Times New Roman"/>
                <w:vertAlign w:val="superscript"/>
              </w:rPr>
              <w:t>1</w:t>
            </w:r>
            <w:r w:rsidR="002A479B" w:rsidRPr="00BE7962">
              <w:rPr>
                <w:rFonts w:eastAsia="Times New Roman"/>
              </w:rPr>
              <w:t>, nephrolithiasis</w:t>
            </w:r>
            <w:r w:rsidR="002A479B" w:rsidRPr="00BE7962">
              <w:rPr>
                <w:rFonts w:eastAsia="Times New Roman"/>
                <w:vertAlign w:val="superscript"/>
              </w:rPr>
              <w:t>1</w:t>
            </w:r>
            <w:r w:rsidR="002A479B" w:rsidRPr="00BE7962">
              <w:rPr>
                <w:rFonts w:eastAsia="Times New Roman"/>
              </w:rPr>
              <w:t xml:space="preserve">, </w:t>
            </w:r>
            <w:r w:rsidR="002A479B" w:rsidRPr="00637828">
              <w:rPr>
                <w:rFonts w:eastAsia="Times New Roman"/>
              </w:rPr>
              <w:t>renalis tubularis necrosis</w:t>
            </w:r>
            <w:r w:rsidR="002A479B" w:rsidRPr="00637828">
              <w:rPr>
                <w:rFonts w:eastAsia="Times New Roman"/>
                <w:vertAlign w:val="superscript"/>
              </w:rPr>
              <w:t>1</w:t>
            </w:r>
          </w:p>
          <w:p w14:paraId="4CECDE7A" w14:textId="49650B90" w:rsidR="00FC1DB7" w:rsidRPr="00FC1DB7" w:rsidRDefault="00FC1DB7" w:rsidP="002A479B">
            <w:pPr>
              <w:rPr>
                <w:rFonts w:eastAsia="Times New Roman"/>
              </w:rPr>
            </w:pPr>
          </w:p>
        </w:tc>
      </w:tr>
      <w:tr w:rsidR="002A479B" w:rsidRPr="002A479B" w14:paraId="31E1330E" w14:textId="77777777" w:rsidTr="00CE18F9">
        <w:tc>
          <w:tcPr>
            <w:tcW w:w="9186" w:type="dxa"/>
            <w:gridSpan w:val="2"/>
          </w:tcPr>
          <w:p w14:paraId="7DA4AF2C" w14:textId="77777777" w:rsidR="002A479B" w:rsidRPr="00BE7962" w:rsidRDefault="002A479B" w:rsidP="002A479B">
            <w:pPr>
              <w:rPr>
                <w:rFonts w:eastAsia="Times New Roman"/>
              </w:rPr>
            </w:pPr>
            <w:r w:rsidRPr="00BE7962">
              <w:rPr>
                <w:rFonts w:eastAsia="Times New Roman"/>
                <w:b/>
                <w:bCs/>
              </w:rPr>
              <w:t>Általános tünetek, az alkalmazás helyén fellépő reakciók</w:t>
            </w:r>
          </w:p>
        </w:tc>
      </w:tr>
      <w:tr w:rsidR="002A479B" w:rsidRPr="002A479B" w14:paraId="6C2D78D3" w14:textId="77777777" w:rsidTr="00CE18F9">
        <w:tc>
          <w:tcPr>
            <w:tcW w:w="2235" w:type="dxa"/>
          </w:tcPr>
          <w:p w14:paraId="27707488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</w:t>
            </w:r>
            <w:r w:rsidR="002A479B" w:rsidRPr="002A479B">
              <w:rPr>
                <w:rFonts w:eastAsia="Times New Roman"/>
              </w:rPr>
              <w:t>em gyakori</w:t>
            </w:r>
          </w:p>
        </w:tc>
        <w:tc>
          <w:tcPr>
            <w:tcW w:w="6951" w:type="dxa"/>
          </w:tcPr>
          <w:p w14:paraId="20335415" w14:textId="77777777" w:rsidR="002A479B" w:rsidRPr="002A479B" w:rsidRDefault="00DA0CA2" w:rsidP="002A479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</w:t>
            </w:r>
            <w:r w:rsidR="002A479B" w:rsidRPr="002A479B">
              <w:rPr>
                <w:rFonts w:eastAsia="Times New Roman"/>
              </w:rPr>
              <w:t>yrexia, ödéma, fáradékonyság</w:t>
            </w:r>
          </w:p>
        </w:tc>
      </w:tr>
    </w:tbl>
    <w:p w14:paraId="278136A2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" w:eastAsiaTheme="minorEastAsia" w:hAnsi="Times" w:cs="Times New Roman"/>
          <w:vertAlign w:val="superscript"/>
          <w:lang w:eastAsia="hu-HU"/>
        </w:rPr>
        <w:t>1</w:t>
      </w:r>
      <w:r w:rsidRPr="002A479B">
        <w:rPr>
          <w:rFonts w:ascii="Times New Roman" w:eastAsiaTheme="minorEastAsia" w:hAnsi="Times New Roman" w:cs="Times New Roman"/>
          <w:lang w:eastAsia="hu-HU"/>
        </w:rPr>
        <w:tab/>
        <w:t xml:space="preserve">A </w:t>
      </w:r>
      <w:r w:rsidRPr="002A479B">
        <w:rPr>
          <w:rFonts w:ascii="Times New Roman" w:eastAsia="Times New Roman" w:hAnsi="Times New Roman" w:cs="Times New Roman"/>
          <w:lang w:eastAsia="hu-HU"/>
        </w:rPr>
        <w:t>forgalomba hozatal után jelentett mellékhatások. Ezek spontán jelentésekből származnak, amelyeknél nem minden esetben van mód a gyakoriság, valamint a gyógyszer alkalmazásával való okozati összefüggés megbízható megállapítására.</w:t>
      </w:r>
    </w:p>
    <w:p w14:paraId="2319A19F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" w:eastAsiaTheme="minorEastAsia" w:hAnsi="Times" w:cs="Times New Roman"/>
          <w:vertAlign w:val="superscript"/>
          <w:lang w:eastAsia="hu-HU"/>
        </w:rPr>
        <w:t>2</w:t>
      </w:r>
      <w:r w:rsidRPr="002A479B">
        <w:rPr>
          <w:rFonts w:ascii="Times New Roman" w:eastAsiaTheme="minorEastAsia" w:hAnsi="Times New Roman" w:cs="Times New Roman"/>
          <w:lang w:eastAsia="hu-HU"/>
        </w:rPr>
        <w:tab/>
      </w:r>
      <w:r w:rsidRPr="002A479B">
        <w:rPr>
          <w:rFonts w:ascii="Times New Roman" w:eastAsia="Times New Roman" w:hAnsi="Times New Roman" w:cs="Times New Roman"/>
          <w:lang w:eastAsia="hu-HU"/>
        </w:rPr>
        <w:t>Beszámoltak hyperammon</w:t>
      </w:r>
      <w:r w:rsidR="004437D9">
        <w:rPr>
          <w:rFonts w:ascii="Times New Roman" w:eastAsia="Times New Roman" w:hAnsi="Times New Roman" w:cs="Times New Roman"/>
          <w:lang w:eastAsia="hu-HU"/>
        </w:rPr>
        <w:t>a</w:t>
      </w:r>
      <w:r w:rsidRPr="002A479B">
        <w:rPr>
          <w:rFonts w:ascii="Times New Roman" w:eastAsia="Times New Roman" w:hAnsi="Times New Roman" w:cs="Times New Roman"/>
          <w:lang w:eastAsia="hu-HU"/>
        </w:rPr>
        <w:t>emiás encephalopathia révén kialakuló tudatállapot-változással járó súlyos formákról is.</w:t>
      </w:r>
    </w:p>
    <w:p w14:paraId="295A1027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F2A7544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="Times New Roman" w:hAnsi="Times New Roman" w:cs="Times New Roman"/>
          <w:u w:val="single"/>
          <w:lang w:eastAsia="hu-HU"/>
        </w:rPr>
      </w:pPr>
      <w:bookmarkStart w:id="11" w:name="page36"/>
      <w:bookmarkEnd w:id="11"/>
      <w:r w:rsidRPr="002A479B">
        <w:rPr>
          <w:rFonts w:ascii="Times New Roman" w:eastAsia="Times New Roman" w:hAnsi="Times New Roman" w:cs="Times New Roman"/>
          <w:u w:val="single"/>
          <w:lang w:eastAsia="hu-HU"/>
        </w:rPr>
        <w:t>Egyes kiválasztott mellékhatások leírása</w:t>
      </w:r>
    </w:p>
    <w:p w14:paraId="1AE1AE63" w14:textId="7DAAA06F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betegek körülbelül 2%-ánál számoltak be epekövességről vagy azzal kapcsolatos epebántalmakról. A hepaticus transzaminázok szintjének emelkedését a betegek 2%-ánál jelentették gyógyszermellékhatásként. A normálérték felső határának tízszeresét meghaladó mértékű, hepatitisre utaló transzaminázszint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emelkedés nem gyakran fordult elő (0,3%). A forgalomba hozatalt követően májelégtelenségről számoltak be a deferazirox</w:t>
      </w:r>
      <w:r w:rsidR="00A124BC">
        <w:rPr>
          <w:rFonts w:ascii="Times New Roman" w:eastAsia="Times New Roman" w:hAnsi="Times New Roman" w:cs="Times New Roman"/>
          <w:lang w:eastAsia="hu-HU"/>
        </w:rPr>
        <w:t>szal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kapcsolatban, ami esetenként halálos kimenetelű volt (lásd 4.4 pont). A forgalomba hozatalt követően metabolikus acidózisról számoltak be. Ezeknek a betegeknek a többsége vesekárosodásban, renalis tubulopathiában (Fanconi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szindrómában) vagy hasmenésben, illetve olyan betegségben szenvedett, amelyben a sav-bázis egyensúly zavara ismert szövődmény (lásd 4.4 pont). Súlyos akut pancreatitis eseteit észlelték, dokumentált biliaris alapbetegségek nélkül. Más vaskelá</w:t>
      </w:r>
      <w:r w:rsidR="004437D9">
        <w:rPr>
          <w:rFonts w:ascii="Times New Roman" w:eastAsia="Times New Roman" w:hAnsi="Times New Roman" w:cs="Times New Roman"/>
          <w:lang w:eastAsia="hu-HU"/>
        </w:rPr>
        <w:t>toros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kezelésekhez hasonlóan a deferaziroxszal kezelt betegeknél nem gyakran megfigyeltek magas hangfrekvenciákat érintő halláscsökkenést és lencsehomályt (korai szürkehályog) (lásd 4.4 pont).</w:t>
      </w:r>
    </w:p>
    <w:p w14:paraId="5EEBC90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68C132C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bookmarkStart w:id="12" w:name="page37"/>
      <w:bookmarkEnd w:id="12"/>
      <w:r w:rsidRPr="002A479B">
        <w:rPr>
          <w:rFonts w:ascii="Times New Roman" w:eastAsia="Times New Roman" w:hAnsi="Times New Roman" w:cs="Times New Roman"/>
          <w:u w:val="single"/>
          <w:lang w:eastAsia="hu-HU"/>
        </w:rPr>
        <w:t>Kreatinin-clearance transzfúzió okozta vastúlterhelés esetén</w:t>
      </w:r>
    </w:p>
    <w:p w14:paraId="16C83B9B" w14:textId="60652FD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Két randomizált és négy, nyílt elrendezésű, legfeljebb 5 éves időtartamú vizsgálat 2102 felnőtt</w:t>
      </w:r>
      <w:r w:rsidR="00914825">
        <w:rPr>
          <w:rFonts w:ascii="Times New Roman" w:eastAsia="Times New Roman" w:hAnsi="Times New Roman" w:cs="Times New Roman"/>
          <w:lang w:eastAsia="hu-HU"/>
        </w:rPr>
        <w:t>, illetve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gyermek</w:t>
      </w:r>
      <w:r w:rsidR="00914825">
        <w:rPr>
          <w:rFonts w:ascii="Times New Roman" w:eastAsia="Times New Roman" w:hAnsi="Times New Roman" w:cs="Times New Roman"/>
          <w:lang w:eastAsia="hu-HU"/>
        </w:rPr>
        <w:t>- és serdülőkorú</w:t>
      </w:r>
      <w:r w:rsidRPr="002A479B">
        <w:rPr>
          <w:rFonts w:ascii="Times New Roman" w:eastAsia="Times New Roman" w:hAnsi="Times New Roman" w:cs="Times New Roman"/>
          <w:lang w:eastAsia="hu-HU"/>
        </w:rPr>
        <w:t>, béta-thalassaemiában és vastúlterhelésben szenvedő, deferazirox diszpergálódó tablettával kezelt betegének retrospektív metaanalízisében a kezelés első éve alatt a kreatinin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clearance átlagos csökkenése 13,2% volt a felnőtt betegeknél (95%-os CI: -14,4% – -12,1%; n = 935), és 9,9% volt (95%-os CI: -11,1% – -8,6%; n = 1142) </w:t>
      </w:r>
      <w:r w:rsidR="00914825">
        <w:rPr>
          <w:rFonts w:ascii="Times New Roman" w:eastAsia="Times New Roman" w:hAnsi="Times New Roman" w:cs="Times New Roman"/>
          <w:lang w:eastAsia="hu-HU"/>
        </w:rPr>
        <w:t xml:space="preserve">a </w:t>
      </w:r>
      <w:r w:rsidRPr="002A479B">
        <w:rPr>
          <w:rFonts w:ascii="Times New Roman" w:eastAsia="Times New Roman" w:hAnsi="Times New Roman" w:cs="Times New Roman"/>
          <w:lang w:eastAsia="hu-HU"/>
        </w:rPr>
        <w:t>gyermek</w:t>
      </w:r>
      <w:r w:rsidR="00914825">
        <w:rPr>
          <w:rFonts w:ascii="Times New Roman" w:eastAsia="Times New Roman" w:hAnsi="Times New Roman" w:cs="Times New Roman"/>
          <w:lang w:eastAsia="hu-HU"/>
        </w:rPr>
        <w:t>- és serdülőkorú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betegeknél. Kétszázötven olyan betegnél, akit legfeljebb 5 évig követtek, nem észlelték az átlagos kreatinin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clearance szintjének további csökkenését.</w:t>
      </w:r>
    </w:p>
    <w:p w14:paraId="1AA35AC4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7DDC030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A vértranszfúziótól nem függő thalassaemia szindrómákban szenvedő betegeknél végzett klinikai vizsgálat</w:t>
      </w:r>
    </w:p>
    <w:p w14:paraId="6122A0A4" w14:textId="5344C015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Egy 1 éves vizsgálatban a vértranszfúziótól nem függő thalassaemia szindrómákban és a vastúlterhelésben szenvedő betegeknél (diszpergálódó tabletta, napi 10 mg/</w:t>
      </w:r>
      <w:r w:rsidR="009C66D6">
        <w:rPr>
          <w:rFonts w:ascii="Times New Roman" w:eastAsia="Times New Roman" w:hAnsi="Times New Roman" w:cs="Times New Roman"/>
          <w:lang w:eastAsia="hu-HU"/>
        </w:rPr>
        <w:t>tt</w:t>
      </w:r>
      <w:r w:rsidRPr="002A479B">
        <w:rPr>
          <w:rFonts w:ascii="Times New Roman" w:eastAsia="Times New Roman" w:hAnsi="Times New Roman" w:cs="Times New Roman"/>
          <w:lang w:eastAsia="hu-HU"/>
        </w:rPr>
        <w:t>kg-os dózisban) a hasmenés (9,1%), a bőrkiütés (9,1%) és a hányinger (7,3%) volt a leggyakoribb, a vizsgált gyógyszerrel összefüggő nemkívánatos esemény. A betegek 5,5%-ánál kóros szérumkreatinin</w:t>
      </w:r>
      <w:r w:rsidR="00EE22F6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szintről, 1,8%-ánál pedig kóros kreatinin</w:t>
      </w:r>
      <w:r w:rsidR="005255F0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clearance</w:t>
      </w:r>
      <w:r w:rsidR="009C66D6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értékről számoltak be. A hepaticus transzaminázoknak a kiindulási érték 2-szeresét és a normálérték felső határának 5-szörösét meghaladó emelkedéséről a betegek 1,8%-ánál számoltak be.</w:t>
      </w:r>
    </w:p>
    <w:p w14:paraId="08799E0E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CB136D5" w14:textId="77777777" w:rsidR="002A479B" w:rsidRPr="00CE18F9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i/>
          <w:lang w:eastAsia="hu-HU"/>
        </w:rPr>
      </w:pPr>
      <w:r w:rsidRPr="00CE18F9">
        <w:rPr>
          <w:rFonts w:ascii="Times New Roman" w:eastAsia="Times New Roman" w:hAnsi="Times New Roman" w:cs="Times New Roman"/>
          <w:i/>
          <w:u w:val="single"/>
          <w:lang w:eastAsia="hu-HU"/>
        </w:rPr>
        <w:t>Gyermekek és serdülők</w:t>
      </w:r>
    </w:p>
    <w:p w14:paraId="7591689C" w14:textId="0F89DA25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Két klinikai vizsgálatban a legfeljebb 5 évig tartó deferazirox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kezelés nem befolyásolta a kezelt gyermekek növekedését és nemi érését (lásd 4.4 pont).</w:t>
      </w:r>
    </w:p>
    <w:p w14:paraId="666723B4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DD1941F" w14:textId="3682823A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2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5 éves gyermekeknél gyakrabban számoltak be hasmenésről, mint az idősebb betegeknél.</w:t>
      </w:r>
    </w:p>
    <w:p w14:paraId="0C2C3A0A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7BB3DC5" w14:textId="477B4121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Renalis tubulopathiáról elsősorban a béta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thalassaemiás, deferaziroxszal kezelt gyermekek és serdülők esetén számoltak be. A forgalomba hozatalt követő jelentésekben nagy százalékban fordult elő gyermekeknél a Fanconi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szindrómával összefüggésbe hozható metabolikus acidózis.</w:t>
      </w:r>
    </w:p>
    <w:p w14:paraId="053D6186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ED2F293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Akut pancreatitist jelentettek, főként gyermekeknél és serdülőknél.</w:t>
      </w:r>
    </w:p>
    <w:p w14:paraId="1DB0C147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0F38C66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Feltételezett mellékhatások bejelentése</w:t>
      </w:r>
    </w:p>
    <w:p w14:paraId="3A5DE319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</w:t>
      </w:r>
      <w:r w:rsidRPr="00123B16">
        <w:rPr>
          <w:rFonts w:ascii="Times New Roman" w:eastAsia="Times New Roman" w:hAnsi="Times New Roman" w:cs="Times New Roman"/>
          <w:lang w:eastAsia="hu-HU"/>
        </w:rPr>
        <w:t xml:space="preserve">az </w:t>
      </w:r>
      <w:hyperlink r:id="rId7">
        <w:r w:rsidRPr="00306B2D">
          <w:rPr>
            <w:rFonts w:ascii="Times New Roman" w:eastAsia="Times New Roman" w:hAnsi="Times New Roman" w:cs="Times New Roman"/>
            <w:color w:val="0000FF"/>
            <w:u w:val="single"/>
            <w:lang w:eastAsia="hu-HU"/>
          </w:rPr>
          <w:t>V. függelékben</w:t>
        </w:r>
        <w:r w:rsidRPr="00123B16">
          <w:rPr>
            <w:rFonts w:ascii="Times New Roman" w:eastAsia="Times New Roman" w:hAnsi="Times New Roman" w:cs="Times New Roman"/>
            <w:u w:val="single"/>
            <w:lang w:eastAsia="hu-HU"/>
          </w:rPr>
          <w:t xml:space="preserve"> </w:t>
        </w:r>
      </w:hyperlink>
      <w:r w:rsidRPr="00306B2D">
        <w:rPr>
          <w:rFonts w:ascii="Times New Roman" w:eastAsia="Times New Roman" w:hAnsi="Times New Roman" w:cs="Times New Roman"/>
          <w:lang w:eastAsia="hu-HU"/>
        </w:rPr>
        <w:t>található</w:t>
      </w:r>
      <w:r w:rsidRPr="00123B16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306B2D">
        <w:rPr>
          <w:rFonts w:ascii="Times New Roman" w:eastAsia="Times New Roman" w:hAnsi="Times New Roman" w:cs="Times New Roman"/>
          <w:lang w:eastAsia="hu-HU"/>
        </w:rPr>
        <w:t>elérhetőségek valamelyikén keresztül</w:t>
      </w:r>
      <w:r w:rsidRPr="00123B16">
        <w:rPr>
          <w:rFonts w:ascii="Times New Roman" w:eastAsia="Times New Roman" w:hAnsi="Times New Roman" w:cs="Times New Roman"/>
          <w:lang w:eastAsia="hu-HU"/>
        </w:rPr>
        <w:t>.</w:t>
      </w:r>
    </w:p>
    <w:p w14:paraId="3EDDF8D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4A04A3D" w14:textId="77777777" w:rsidR="002A479B" w:rsidRPr="002A479B" w:rsidRDefault="002A479B" w:rsidP="002A479B">
      <w:pPr>
        <w:keepNext/>
        <w:tabs>
          <w:tab w:val="left" w:pos="540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4.9</w:t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ab/>
        <w:t>Túladagolás</w:t>
      </w:r>
    </w:p>
    <w:p w14:paraId="744CE2D8" w14:textId="77777777" w:rsid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4A76CC2" w14:textId="77777777" w:rsidR="00A124BC" w:rsidRDefault="00A124BC" w:rsidP="00A124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A124BC">
        <w:rPr>
          <w:rFonts w:ascii="Times New Roman" w:hAnsi="Times New Roman" w:cs="Times New Roman"/>
          <w:color w:val="000000"/>
        </w:rPr>
        <w:t>Az akut túladagolás korai tünetei az emésztőrendszeri hatások, például a hasi fájdalom, a hasmenés, a hányinger és a hányás. Máj- és vesebetegségekről számoltak be, beleértve a májenzimek és a kreatininszint emelkedésével járó eseteket is, amelyek a kezelés abbahagyása után rendeződtek. Egy tévedésből beadott, egys</w:t>
      </w:r>
      <w:r w:rsidR="00923E14">
        <w:rPr>
          <w:rFonts w:ascii="Times New Roman" w:hAnsi="Times New Roman" w:cs="Times New Roman"/>
          <w:color w:val="000000"/>
        </w:rPr>
        <w:t>zeri 90 </w:t>
      </w:r>
      <w:r w:rsidRPr="00A124BC">
        <w:rPr>
          <w:rFonts w:ascii="Times New Roman" w:hAnsi="Times New Roman" w:cs="Times New Roman"/>
          <w:color w:val="000000"/>
        </w:rPr>
        <w:t>mg/ttkg-os dózis Fanconi-szindrómához vezetet</w:t>
      </w:r>
      <w:r w:rsidR="00923E14">
        <w:rPr>
          <w:rFonts w:ascii="Times New Roman" w:hAnsi="Times New Roman" w:cs="Times New Roman"/>
          <w:color w:val="000000"/>
        </w:rPr>
        <w:t>t, ami a kezelés után megszűnt.</w:t>
      </w:r>
    </w:p>
    <w:p w14:paraId="660424B8" w14:textId="77777777" w:rsidR="00923E14" w:rsidRPr="00A124BC" w:rsidRDefault="00923E14" w:rsidP="00A124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801834E" w14:textId="77777777" w:rsidR="00A124BC" w:rsidRPr="002A479B" w:rsidRDefault="00A124BC" w:rsidP="00A124BC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A124BC">
        <w:rPr>
          <w:rFonts w:ascii="Times New Roman" w:hAnsi="Times New Roman" w:cs="Times New Roman"/>
          <w:color w:val="000000"/>
        </w:rPr>
        <w:t>A deferaziroxnak nincs specifikus antidotuma. A túladagolás kezelésére szolgáló standard eljárások alkalmazása, valamint a tüneti kezelés indokolt lehet, az orvos megítélése szerint.</w:t>
      </w:r>
    </w:p>
    <w:p w14:paraId="41B2388F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bookmarkStart w:id="13" w:name="page38"/>
      <w:bookmarkEnd w:id="13"/>
    </w:p>
    <w:p w14:paraId="6D30A09C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7D8E78A1" w14:textId="77777777" w:rsidR="002A479B" w:rsidRPr="00EE1731" w:rsidRDefault="002A479B" w:rsidP="002A479B">
      <w:pPr>
        <w:keepNext/>
        <w:numPr>
          <w:ilvl w:val="0"/>
          <w:numId w:val="4"/>
        </w:numPr>
        <w:tabs>
          <w:tab w:val="left" w:pos="54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lang w:eastAsia="hu-HU"/>
        </w:rPr>
      </w:pPr>
      <w:r w:rsidRPr="00EE1731">
        <w:rPr>
          <w:rFonts w:ascii="Times New Roman" w:eastAsia="Times New Roman" w:hAnsi="Times New Roman" w:cs="Times New Roman"/>
          <w:b/>
          <w:bCs/>
          <w:lang w:eastAsia="hu-HU"/>
        </w:rPr>
        <w:t>FARMAKOLÓGIAI TULAJDONSÁGOK</w:t>
      </w:r>
    </w:p>
    <w:p w14:paraId="5DB6B159" w14:textId="77777777" w:rsidR="002A479B" w:rsidRPr="002A479B" w:rsidRDefault="002A479B" w:rsidP="002A479B">
      <w:pPr>
        <w:keepNext/>
        <w:tabs>
          <w:tab w:val="left" w:pos="54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lang w:eastAsia="hu-HU"/>
        </w:rPr>
      </w:pPr>
    </w:p>
    <w:p w14:paraId="44BE7CB9" w14:textId="77777777" w:rsidR="002A479B" w:rsidRPr="002A479B" w:rsidRDefault="002A479B" w:rsidP="002A479B">
      <w:pPr>
        <w:keepNext/>
        <w:tabs>
          <w:tab w:val="left" w:pos="54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5.1</w:t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ab/>
        <w:t>Farmakodinámiás tulajdonságok</w:t>
      </w:r>
    </w:p>
    <w:p w14:paraId="5AC3936E" w14:textId="77777777" w:rsidR="002A479B" w:rsidRPr="002A479B" w:rsidRDefault="002A479B" w:rsidP="002A479B">
      <w:pPr>
        <w:keepNext/>
        <w:tabs>
          <w:tab w:val="left" w:pos="54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lang w:eastAsia="hu-HU"/>
        </w:rPr>
      </w:pPr>
    </w:p>
    <w:p w14:paraId="1BFBD514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Farmakoterápiás csoport: Vaskelátképző anyagok, ATC kód: V03AC03</w:t>
      </w:r>
    </w:p>
    <w:p w14:paraId="272A2C3F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7F02769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E753F6">
        <w:rPr>
          <w:rFonts w:ascii="Times New Roman" w:eastAsia="Times New Roman" w:hAnsi="Times New Roman" w:cs="Times New Roman"/>
          <w:u w:val="single"/>
          <w:lang w:eastAsia="hu-HU"/>
        </w:rPr>
        <w:t>Hatásmechanizmus</w:t>
      </w:r>
    </w:p>
    <w:p w14:paraId="7324954C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A deferazirox egy orálisan aktív kelátor, amely nagymértékben szelektív a vas(III)-ra. Ez egy </w:t>
      </w:r>
      <w:r w:rsidRPr="0067183A">
        <w:rPr>
          <w:rFonts w:ascii="Times New Roman" w:eastAsia="Times New Roman" w:hAnsi="Times New Roman" w:cs="Times New Roman"/>
          <w:lang w:eastAsia="hu-HU"/>
        </w:rPr>
        <w:t>háromfogú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ligand, amely nagy affinitással, 2:1 arányban köti meg a vasat. A deferazirox elősegíti a vas kiválasztását, elsősorban a székletbe. A deferazirox alacsony affinitással köti meg a cinket és a rezet, és nem okozza ezen fémek tartósan alacsony szintjét a szérumban.</w:t>
      </w:r>
    </w:p>
    <w:p w14:paraId="5D80809D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5D2F88E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Farmakodinámiás hatások</w:t>
      </w:r>
    </w:p>
    <w:p w14:paraId="29961A2E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Vastúlterhelt, felnőtt thalassaemiás betegek bevonásával végeztek egy, a vas-egyensúlyt tanulmányozó metabolikus vizsgálatot, melyben a deferazirox 10, 20, illetve 40 mg/ttkg napi dózisban (diszpergálódó tabletta form</w:t>
      </w:r>
      <w:r w:rsidR="00E753F6">
        <w:rPr>
          <w:rFonts w:ascii="Times New Roman" w:eastAsia="Times New Roman" w:hAnsi="Times New Roman" w:cs="Times New Roman"/>
          <w:lang w:eastAsia="hu-HU"/>
        </w:rPr>
        <w:t>ájában</w:t>
      </w:r>
      <w:r w:rsidRPr="002A479B">
        <w:rPr>
          <w:rFonts w:ascii="Times New Roman" w:eastAsia="Times New Roman" w:hAnsi="Times New Roman" w:cs="Times New Roman"/>
          <w:lang w:eastAsia="hu-HU"/>
        </w:rPr>
        <w:t>) 0,119</w:t>
      </w:r>
      <w:r w:rsidR="00E753F6">
        <w:rPr>
          <w:rFonts w:ascii="Times New Roman" w:eastAsia="Times New Roman" w:hAnsi="Times New Roman" w:cs="Times New Roman"/>
          <w:lang w:eastAsia="hu-HU"/>
        </w:rPr>
        <w:t>;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0,329</w:t>
      </w:r>
      <w:r w:rsidR="00E753F6">
        <w:rPr>
          <w:rFonts w:ascii="Times New Roman" w:eastAsia="Times New Roman" w:hAnsi="Times New Roman" w:cs="Times New Roman"/>
          <w:lang w:eastAsia="hu-HU"/>
        </w:rPr>
        <w:t>;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illetve 0,445 mg Fe/testtömegkilogramm/nap mértékű átlagos nettó vaskiválasztást indukált.</w:t>
      </w:r>
    </w:p>
    <w:p w14:paraId="7E773232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DCDA00D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Klinikai hatásosság és biztonságosság</w:t>
      </w:r>
    </w:p>
    <w:p w14:paraId="1481DE2E" w14:textId="0A2A7E63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klinikai hatásossági vizsgálatokat a deferazirox diszpergálódó tablettával végezték</w:t>
      </w:r>
      <w:r w:rsidR="00E546F6">
        <w:rPr>
          <w:rFonts w:ascii="Times New Roman" w:eastAsia="Times New Roman" w:hAnsi="Times New Roman" w:cs="Times New Roman"/>
          <w:lang w:eastAsia="hu-HU"/>
        </w:rPr>
        <w:t xml:space="preserve"> </w:t>
      </w:r>
      <w:r w:rsidR="00E546F6" w:rsidRPr="00E546F6">
        <w:rPr>
          <w:rFonts w:ascii="Times New Roman" w:eastAsia="Times New Roman" w:hAnsi="Times New Roman" w:cs="Times New Roman"/>
          <w:lang w:eastAsia="hu-HU"/>
        </w:rPr>
        <w:t>(az alábbiakban a szöveg erre a készítményre hivatkozik „deferazirox” néven). A deferazirox filmtabletta adagja 30%-kal elmarad a deferazirox diszpergálódó tabletta dózisától, a legközelebbi egész tablettára kerekítve (lásd 5.2</w:t>
      </w:r>
      <w:r w:rsidR="00E546F6">
        <w:rPr>
          <w:rFonts w:ascii="Times New Roman" w:eastAsia="Times New Roman" w:hAnsi="Times New Roman" w:cs="Times New Roman"/>
          <w:lang w:eastAsia="hu-HU"/>
        </w:rPr>
        <w:t> </w:t>
      </w:r>
      <w:r w:rsidR="00E546F6" w:rsidRPr="00E546F6">
        <w:rPr>
          <w:rFonts w:ascii="Times New Roman" w:eastAsia="Times New Roman" w:hAnsi="Times New Roman" w:cs="Times New Roman"/>
          <w:lang w:eastAsia="hu-HU"/>
        </w:rPr>
        <w:t>pont)</w:t>
      </w:r>
      <w:r w:rsidRPr="002A479B">
        <w:rPr>
          <w:rFonts w:ascii="Times New Roman" w:eastAsia="Times New Roman" w:hAnsi="Times New Roman" w:cs="Times New Roman"/>
          <w:lang w:eastAsia="hu-HU"/>
        </w:rPr>
        <w:t>.</w:t>
      </w:r>
    </w:p>
    <w:p w14:paraId="55353AD0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61E2EED" w14:textId="18C1199D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deferaziroxot 411 felnőtt (életkor: ≥ 16 év)</w:t>
      </w:r>
      <w:r w:rsidR="00501592">
        <w:rPr>
          <w:rFonts w:ascii="Times New Roman" w:eastAsia="Times New Roman" w:hAnsi="Times New Roman" w:cs="Times New Roman"/>
          <w:lang w:eastAsia="hu-HU"/>
        </w:rPr>
        <w:t>, valamint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292 gyermek</w:t>
      </w:r>
      <w:r w:rsidR="00501592">
        <w:rPr>
          <w:rFonts w:ascii="Times New Roman" w:eastAsia="Times New Roman" w:hAnsi="Times New Roman" w:cs="Times New Roman"/>
          <w:lang w:eastAsia="hu-HU"/>
        </w:rPr>
        <w:t xml:space="preserve"> és serdülő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(életkor: 2 és &lt; 16</w:t>
      </w:r>
      <w:r w:rsidR="00175B02">
        <w:rPr>
          <w:rFonts w:ascii="Times New Roman" w:eastAsia="Times New Roman" w:hAnsi="Times New Roman" w:cs="Times New Roman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lang w:eastAsia="hu-HU"/>
        </w:rPr>
        <w:t>év között) betegnél vizsgálták, akik vértranszfúzió okozta krónikus vastúlterhelésben szenvedtek. A gyermekek közül</w:t>
      </w:r>
      <w:r w:rsidR="00501592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52 volt 2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5</w:t>
      </w:r>
      <w:r w:rsidR="00175B02">
        <w:rPr>
          <w:rFonts w:ascii="Times New Roman" w:eastAsia="Times New Roman" w:hAnsi="Times New Roman" w:cs="Times New Roman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lang w:eastAsia="hu-HU"/>
        </w:rPr>
        <w:t>éves korú. A transzfúziót igénylő alapbetegségek többek között a következők voltak: béta</w:t>
      </w:r>
      <w:r w:rsidR="005255F0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thalassaemia, sarlósejtes anaemia és egyéb veleszületett és szerzett anaemiák (myelodysplasiás szindrómák</w:t>
      </w:r>
      <w:r w:rsidR="00923E14">
        <w:rPr>
          <w:rFonts w:ascii="Times New Roman" w:eastAsia="Times New Roman" w:hAnsi="Times New Roman" w:cs="Times New Roman"/>
          <w:lang w:eastAsia="hu-HU"/>
        </w:rPr>
        <w:t xml:space="preserve"> [MDS]</w:t>
      </w:r>
      <w:r w:rsidRPr="002A479B">
        <w:rPr>
          <w:rFonts w:ascii="Times New Roman" w:eastAsia="Times New Roman" w:hAnsi="Times New Roman" w:cs="Times New Roman"/>
          <w:lang w:eastAsia="hu-HU"/>
        </w:rPr>
        <w:t>, Diamond</w:t>
      </w:r>
      <w:r w:rsidR="0050159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Blackfan</w:t>
      </w:r>
      <w:r w:rsidR="0050159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szindróma, aplasticus anaemia és egyéb, nagyon ritka anaemiák).</w:t>
      </w:r>
    </w:p>
    <w:p w14:paraId="7EFB337A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5F2D96B" w14:textId="3ECD2F55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gyakran transzfundált béta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thalassaemiás felnőttek</w:t>
      </w:r>
      <w:r w:rsidR="00501592">
        <w:rPr>
          <w:rFonts w:ascii="Times New Roman" w:eastAsia="Times New Roman" w:hAnsi="Times New Roman" w:cs="Times New Roman"/>
          <w:lang w:eastAsia="hu-HU"/>
        </w:rPr>
        <w:t>, valamint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gyermekek</w:t>
      </w:r>
      <w:r w:rsidR="00501592">
        <w:rPr>
          <w:rFonts w:ascii="Times New Roman" w:eastAsia="Times New Roman" w:hAnsi="Times New Roman" w:cs="Times New Roman"/>
          <w:lang w:eastAsia="hu-HU"/>
        </w:rPr>
        <w:t xml:space="preserve"> és serdülők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deferazirox diszpergálódó tabletta formulával történő kezelése egy éven keresztül, napi 20, illetve 30 mg/ttkg dózissal a szervezet teljes vastartalmára utaló paraméterek csökkenését eredményezte. A máj vastartalmának csökkenése átlagosan körülbelül </w:t>
      </w:r>
      <w:r w:rsidR="00914825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0,4, illetve </w:t>
      </w:r>
      <w:r w:rsidR="00914825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8,9 mg Fe/g máj (biopszia száraz </w:t>
      </w:r>
      <w:r w:rsidR="00D72B92">
        <w:rPr>
          <w:rFonts w:ascii="Times New Roman" w:eastAsia="Times New Roman" w:hAnsi="Times New Roman" w:cs="Times New Roman"/>
          <w:lang w:eastAsia="hu-HU"/>
        </w:rPr>
        <w:t>tömege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) volt, míg a szérumferritinszint átlagosan körülbelül </w:t>
      </w:r>
      <w:r w:rsidR="00914825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36, illetve </w:t>
      </w:r>
      <w:r w:rsidR="00914825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926 </w:t>
      </w:r>
      <w:r w:rsidR="00AF1A09">
        <w:rPr>
          <w:rFonts w:ascii="Times New Roman" w:eastAsia="Times New Roman" w:hAnsi="Times New Roman" w:cs="Times New Roman"/>
          <w:lang w:eastAsia="hu-HU"/>
        </w:rPr>
        <w:t>mikrogramm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/l-rel csökkent. Ugyanezen dózisok mellett a vaskiválasztás és a vasbevitel aránya 1,02 (ami a vasháztartás nettó egyensúlyára utal), illetve 1,67 (ami nettó vaskiválasztásra utal) volt. A deferazirox hasonló terápiás választ indukált más típusú anaemiában szenvedő, vastúlterhelt betegek esetében. A transzfúzióban vagy vércserében nem gyakran részesülő betegeknek 1 éven keresztül adott napi 10 mg/ttkg dózis (diszpergálódó tabletta </w:t>
      </w:r>
      <w:r w:rsidR="00501592" w:rsidRPr="002A479B">
        <w:rPr>
          <w:rFonts w:ascii="Times New Roman" w:eastAsia="Times New Roman" w:hAnsi="Times New Roman" w:cs="Times New Roman"/>
          <w:lang w:eastAsia="hu-HU"/>
        </w:rPr>
        <w:t>form</w:t>
      </w:r>
      <w:r w:rsidR="00501592">
        <w:rPr>
          <w:rFonts w:ascii="Times New Roman" w:eastAsia="Times New Roman" w:hAnsi="Times New Roman" w:cs="Times New Roman"/>
          <w:lang w:eastAsia="hu-HU"/>
        </w:rPr>
        <w:t>ájában</w:t>
      </w:r>
      <w:r w:rsidRPr="002A479B">
        <w:rPr>
          <w:rFonts w:ascii="Times New Roman" w:eastAsia="Times New Roman" w:hAnsi="Times New Roman" w:cs="Times New Roman"/>
          <w:lang w:eastAsia="hu-HU"/>
        </w:rPr>
        <w:t>) mellett állandó szinten maradt a máj vastartalma és a szérumferritin</w:t>
      </w:r>
      <w:r w:rsidR="00501592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szintje, és ezen kezelés a vasháztartás nettó egyensúlyának kialakulását indukálta. A szérumferritinszint a havi ellenőrzések során a máj vaskoncentrációjának változásait tükrözte, ami arra utal, hogy a szérumferritinszint </w:t>
      </w:r>
      <w:r w:rsidR="00501592" w:rsidRPr="002A479B">
        <w:rPr>
          <w:rFonts w:ascii="Times New Roman" w:eastAsia="Times New Roman" w:hAnsi="Times New Roman" w:cs="Times New Roman"/>
          <w:lang w:eastAsia="hu-HU"/>
        </w:rPr>
        <w:t>trendj</w:t>
      </w:r>
      <w:r w:rsidR="00501592">
        <w:rPr>
          <w:rFonts w:ascii="Times New Roman" w:eastAsia="Times New Roman" w:hAnsi="Times New Roman" w:cs="Times New Roman"/>
          <w:lang w:eastAsia="hu-HU"/>
        </w:rPr>
        <w:t>é</w:t>
      </w:r>
      <w:r w:rsidR="00501592" w:rsidRPr="002A479B">
        <w:rPr>
          <w:rFonts w:ascii="Times New Roman" w:eastAsia="Times New Roman" w:hAnsi="Times New Roman" w:cs="Times New Roman"/>
          <w:lang w:eastAsia="hu-HU"/>
        </w:rPr>
        <w:t xml:space="preserve">nek </w:t>
      </w:r>
      <w:r w:rsidRPr="002A479B">
        <w:rPr>
          <w:rFonts w:ascii="Times New Roman" w:eastAsia="Times New Roman" w:hAnsi="Times New Roman" w:cs="Times New Roman"/>
          <w:lang w:eastAsia="hu-HU"/>
        </w:rPr>
        <w:t>követése alkalmas a kezelésre adott válasz monitorozására. Az MR</w:t>
      </w:r>
      <w:r w:rsidR="005255F0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vizsgálatokra vonatkozó korlátozott klinikai adatok (29, kiinduláskor szabályos szívműködésű beteg) arra utalnak, hogy az 1 éven keresztül alkalmazott deferazirox 10</w:t>
      </w:r>
      <w:r w:rsidR="00F95289">
        <w:rPr>
          <w:rFonts w:ascii="Times New Roman" w:eastAsia="Times New Roman" w:hAnsi="Times New Roman" w:cs="Times New Roman"/>
          <w:lang w:eastAsia="hu-HU"/>
        </w:rPr>
        <w:noBreakHyphen/>
      </w:r>
      <w:r w:rsidRPr="002A479B">
        <w:rPr>
          <w:rFonts w:ascii="Times New Roman" w:eastAsia="Times New Roman" w:hAnsi="Times New Roman" w:cs="Times New Roman"/>
          <w:lang w:eastAsia="hu-HU"/>
        </w:rPr>
        <w:t>30 mg/ttkg/nap dózisban (diszpergálódó tabletta form</w:t>
      </w:r>
      <w:r w:rsidR="00EE22F6">
        <w:rPr>
          <w:rFonts w:ascii="Times New Roman" w:eastAsia="Times New Roman" w:hAnsi="Times New Roman" w:cs="Times New Roman"/>
          <w:lang w:eastAsia="hu-HU"/>
        </w:rPr>
        <w:t>ájában</w:t>
      </w:r>
      <w:r w:rsidRPr="002A479B">
        <w:rPr>
          <w:rFonts w:ascii="Times New Roman" w:eastAsia="Times New Roman" w:hAnsi="Times New Roman" w:cs="Times New Roman"/>
          <w:lang w:eastAsia="hu-HU"/>
        </w:rPr>
        <w:t>) csökkentheti a szív vastartalmát is (az MRI T2*</w:t>
      </w:r>
      <w:r w:rsidR="00EE22F6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értéke átlagosan 18,3 ms-ról 23,0 ms-ra nőtt).</w:t>
      </w:r>
    </w:p>
    <w:p w14:paraId="508B885B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3FAE487" w14:textId="609DA6A5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Az 586 béta-thalassaemiában, illetve transzfúziós vastúlterhelésben szenvedő beteg bevonásával végzett kulcsfontosságú összehasonlító vizsgálat fő analízise nem igazolta a „nem rosszabb, mint” hipotézist a deferazirox diszpergálódó tabletta esetén a deferoxaminhoz viszonyítva, a teljes betegmintában. A vizsgálat </w:t>
      </w:r>
      <w:r w:rsidRPr="00CE18F9">
        <w:rPr>
          <w:rFonts w:ascii="Times New Roman" w:eastAsia="Times New Roman" w:hAnsi="Times New Roman" w:cs="Times New Roman"/>
          <w:i/>
          <w:iCs/>
          <w:lang w:eastAsia="hu-HU"/>
        </w:rPr>
        <w:t>post</w:t>
      </w:r>
      <w:r w:rsidR="00175B02" w:rsidRPr="00CE18F9">
        <w:rPr>
          <w:rFonts w:ascii="Times New Roman" w:eastAsia="Times New Roman" w:hAnsi="Times New Roman" w:cs="Times New Roman"/>
          <w:i/>
          <w:iCs/>
          <w:lang w:eastAsia="hu-HU"/>
        </w:rPr>
        <w:t>-</w:t>
      </w:r>
      <w:r w:rsidRPr="00CE18F9">
        <w:rPr>
          <w:rFonts w:ascii="Times New Roman" w:eastAsia="Times New Roman" w:hAnsi="Times New Roman" w:cs="Times New Roman"/>
          <w:i/>
          <w:iCs/>
          <w:lang w:eastAsia="hu-HU"/>
        </w:rPr>
        <w:t>hoc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elemzése arra utalt, hogy a betegek azon alcsoportjában, akikn</w:t>
      </w:r>
      <w:r w:rsidR="00EE22F6">
        <w:rPr>
          <w:rFonts w:ascii="Times New Roman" w:eastAsia="Times New Roman" w:hAnsi="Times New Roman" w:cs="Times New Roman"/>
          <w:lang w:eastAsia="hu-HU"/>
        </w:rPr>
        <w:t>él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a máj vaskoncentrációja 7 mg Fe/g száraz</w:t>
      </w:r>
      <w:r w:rsidR="00D72B92">
        <w:rPr>
          <w:rFonts w:ascii="Times New Roman" w:eastAsia="Times New Roman" w:hAnsi="Times New Roman" w:cs="Times New Roman"/>
          <w:lang w:eastAsia="hu-HU"/>
        </w:rPr>
        <w:t xml:space="preserve"> tömeg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volt és deferazirox diszpergálódó tabletta (20, illetve 30 mg/ttkg) vagy deferoxamin (35 mg/ttkg–50 mg/ttkg) kezelést kaptak, a non-inferioritási kritériumok teljesültek. Ugyanakkor azon betegeknél, akiknek a máj vaskoncentrációja &lt; 7 mg</w:t>
      </w:r>
      <w:r w:rsidR="0007773A">
        <w:rPr>
          <w:rFonts w:ascii="Times New Roman" w:eastAsia="Times New Roman" w:hAnsi="Times New Roman" w:cs="Times New Roman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lang w:eastAsia="hu-HU"/>
        </w:rPr>
        <w:t>Fe/g</w:t>
      </w:r>
      <w:r w:rsidR="0007773A">
        <w:rPr>
          <w:rFonts w:ascii="Times New Roman" w:eastAsia="Times New Roman" w:hAnsi="Times New Roman" w:cs="Times New Roman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lang w:eastAsia="hu-HU"/>
        </w:rPr>
        <w:t>száraz</w:t>
      </w:r>
      <w:r w:rsidR="00D72B92">
        <w:rPr>
          <w:rFonts w:ascii="Times New Roman" w:eastAsia="Times New Roman" w:hAnsi="Times New Roman" w:cs="Times New Roman"/>
          <w:lang w:eastAsia="hu-HU"/>
        </w:rPr>
        <w:t xml:space="preserve"> tömeg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volt és deferazirox diszpergálódó tabletta (5, illetve 10 mg/ttkg) vagy deferoxamin (20</w:t>
      </w:r>
      <w:r w:rsidR="005255F0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35 mg/ttkg) kezelést kaptak, a non-inferioritást nem lehetett megállapítani a két kelátor</w:t>
      </w:r>
      <w:bookmarkStart w:id="14" w:name="page39"/>
      <w:bookmarkEnd w:id="14"/>
      <w:r w:rsidRPr="002A479B">
        <w:rPr>
          <w:rFonts w:ascii="Times New Roman" w:eastAsia="Times New Roman" w:hAnsi="Times New Roman" w:cs="Times New Roman"/>
          <w:lang w:eastAsia="hu-HU"/>
        </w:rPr>
        <w:t xml:space="preserve"> adagolásának eltérése miatt. Ezen eltérés abból adódott, hogy a deferoxamint kapó betegek a vizsgálat előtt alkalmazott dózis szedését folytathatták, akkor is, ha az meghaladta a protokollban meghatározott dózist. Ebben a kulcsfontosságú vizsgálatban 56, hat éve</w:t>
      </w:r>
      <w:r w:rsidR="00367859">
        <w:rPr>
          <w:rFonts w:ascii="Times New Roman" w:eastAsia="Times New Roman" w:hAnsi="Times New Roman" w:cs="Times New Roman"/>
          <w:lang w:eastAsia="hu-HU"/>
        </w:rPr>
        <w:t>snél fiatal</w:t>
      </w:r>
      <w:r w:rsidR="001A38B2">
        <w:rPr>
          <w:rFonts w:ascii="Times New Roman" w:eastAsia="Times New Roman" w:hAnsi="Times New Roman" w:cs="Times New Roman"/>
          <w:lang w:eastAsia="hu-HU"/>
        </w:rPr>
        <w:t>a</w:t>
      </w:r>
      <w:r w:rsidR="00367859">
        <w:rPr>
          <w:rFonts w:ascii="Times New Roman" w:eastAsia="Times New Roman" w:hAnsi="Times New Roman" w:cs="Times New Roman"/>
          <w:lang w:eastAsia="hu-HU"/>
        </w:rPr>
        <w:t>bb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beteg vett részt, közülük 28-an kaptak deferazirox diszpergálódó tablettát.</w:t>
      </w:r>
    </w:p>
    <w:p w14:paraId="1B1DBDE0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F0A0201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D72B92">
        <w:rPr>
          <w:rFonts w:ascii="Times New Roman" w:eastAsia="Times New Roman" w:hAnsi="Times New Roman" w:cs="Times New Roman"/>
          <w:lang w:eastAsia="hu-HU"/>
        </w:rPr>
        <w:t xml:space="preserve">A preklinikai és klinikai vizsgálatok alapján úgy tűnt, hogy a deferazirox diszpergálódó tabletta aktivitása elérheti a deferoxaminét, ha 2:1 arányú adagolást alkalmaznak (tehát a deferazirox diszpergálódó tabletta dózisa számszerűleg fele a deferoxamin dózisának). A deferazirox filmtabletta esetén 3:1 arányú dózisarány mérlegelhető (azaz egy olyan deferazirox filmtabletta dózis, ami számszerűen egyharmada a </w:t>
      </w:r>
      <w:r w:rsidR="00D72B92" w:rsidRPr="0014678D">
        <w:rPr>
          <w:rFonts w:ascii="Times New Roman" w:eastAsia="Times New Roman" w:hAnsi="Times New Roman" w:cs="Times New Roman"/>
          <w:lang w:eastAsia="hu-HU"/>
        </w:rPr>
        <w:t xml:space="preserve">deferoxamin </w:t>
      </w:r>
      <w:r w:rsidRPr="00D72B92">
        <w:rPr>
          <w:rFonts w:ascii="Times New Roman" w:eastAsia="Times New Roman" w:hAnsi="Times New Roman" w:cs="Times New Roman"/>
          <w:lang w:eastAsia="hu-HU"/>
        </w:rPr>
        <w:t>dózis</w:t>
      </w:r>
      <w:r w:rsidR="00D72B92">
        <w:rPr>
          <w:rFonts w:ascii="Times New Roman" w:eastAsia="Times New Roman" w:hAnsi="Times New Roman" w:cs="Times New Roman"/>
          <w:lang w:eastAsia="hu-HU"/>
        </w:rPr>
        <w:t>á</w:t>
      </w:r>
      <w:r w:rsidRPr="00D72B92">
        <w:rPr>
          <w:rFonts w:ascii="Times New Roman" w:eastAsia="Times New Roman" w:hAnsi="Times New Roman" w:cs="Times New Roman"/>
          <w:lang w:eastAsia="hu-HU"/>
        </w:rPr>
        <w:t>nak). Ezen adagolási ajánlást azonban a klinikai vizsgálatokban nem értékelték prospektív módon.</w:t>
      </w:r>
    </w:p>
    <w:p w14:paraId="1DFBD315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0DD83A0" w14:textId="2E23185E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Ezen kívül, azoknál a betegeknél, akik sarlósejtes vagy különféle ritka </w:t>
      </w:r>
      <w:r w:rsidR="00D72B92">
        <w:rPr>
          <w:rFonts w:ascii="Times New Roman" w:eastAsia="Times New Roman" w:hAnsi="Times New Roman" w:cs="Times New Roman"/>
          <w:lang w:eastAsia="hu-HU"/>
        </w:rPr>
        <w:t>anaemiában</w:t>
      </w:r>
      <w:r w:rsidR="00D72B92"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szenvedtek, és akiknek a májában a vaskoncentráció </w:t>
      </w:r>
      <w:r w:rsidR="00D72B92" w:rsidRPr="00D72B92">
        <w:rPr>
          <w:rFonts w:ascii="Times New Roman" w:eastAsia="Times New Roman" w:hAnsi="Times New Roman" w:cs="Times New Roman"/>
          <w:lang w:eastAsia="hu-HU"/>
        </w:rPr>
        <w:t>≥</w:t>
      </w:r>
      <w:r w:rsidR="00D72B92">
        <w:rPr>
          <w:rFonts w:ascii="Times New Roman" w:eastAsia="Times New Roman" w:hAnsi="Times New Roman" w:cs="Times New Roman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lang w:eastAsia="hu-HU"/>
        </w:rPr>
        <w:t>7 mg Fe/g száraz</w:t>
      </w:r>
      <w:r w:rsidR="00D72B92">
        <w:rPr>
          <w:rFonts w:ascii="Times New Roman" w:eastAsia="Times New Roman" w:hAnsi="Times New Roman" w:cs="Times New Roman"/>
          <w:lang w:eastAsia="hu-HU"/>
        </w:rPr>
        <w:t xml:space="preserve"> tömeg </w:t>
      </w:r>
      <w:r w:rsidRPr="002A479B">
        <w:rPr>
          <w:rFonts w:ascii="Times New Roman" w:eastAsia="Times New Roman" w:hAnsi="Times New Roman" w:cs="Times New Roman"/>
          <w:lang w:eastAsia="hu-HU"/>
        </w:rPr>
        <w:t>volt, a deferazirox diszpergálódó tabletta 20, illetve 30 mg/ttkg-ig terjedő dózisban a máj vaskoncentrációjának és a szérum</w:t>
      </w:r>
      <w:r w:rsidR="00D72B92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ferritinszintjének hasonló mértékű csökkenését érte el, mint a béta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thalassaemiás betegekben.</w:t>
      </w:r>
    </w:p>
    <w:p w14:paraId="2D0F7767" w14:textId="77777777" w:rsid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56481EF" w14:textId="77777777" w:rsidR="00923E14" w:rsidRPr="009C6547" w:rsidRDefault="00923E14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9C6547">
        <w:rPr>
          <w:rFonts w:ascii="Times New Roman" w:eastAsia="Times New Roman" w:hAnsi="Times New Roman" w:cs="Times New Roman"/>
          <w:lang w:eastAsia="hu-HU"/>
        </w:rPr>
        <w:t>225, MDS-ben (alacsony/közepes-1 kockázat) és vértranszfúziók okozta vastúlterhelésben szenvedő beteggel végeztek placebokontrollos, randomizált vizsgálatot. A vizsgálat eredménye arra utal, hogy a deferaziroxnak pozitív hatása van az eseménymentes túlélésre (event-free survival, EFS; összetett végpont, beleértve a nem halálos szív- és májbetegségeket</w:t>
      </w:r>
      <w:r>
        <w:rPr>
          <w:rFonts w:ascii="Times New Roman" w:eastAsia="Times New Roman" w:hAnsi="Times New Roman" w:cs="Times New Roman"/>
          <w:lang w:eastAsia="hu-HU"/>
        </w:rPr>
        <w:t xml:space="preserve"> is</w:t>
      </w:r>
      <w:r w:rsidRPr="009C6547">
        <w:rPr>
          <w:rFonts w:ascii="Times New Roman" w:eastAsia="Times New Roman" w:hAnsi="Times New Roman" w:cs="Times New Roman"/>
          <w:lang w:eastAsia="hu-HU"/>
        </w:rPr>
        <w:t>) és a szérumferritininszintre. A biztonságossági profil az MDS-es betegekkel végzett korábbi vizsgálatoknak megfelelő volt.</w:t>
      </w:r>
    </w:p>
    <w:p w14:paraId="3BD98DA8" w14:textId="77777777" w:rsidR="00923E14" w:rsidRPr="009C6547" w:rsidRDefault="00923E14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241C4C16" w14:textId="4B6354E2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582C93">
        <w:rPr>
          <w:rFonts w:ascii="Times New Roman" w:eastAsia="Times New Roman" w:hAnsi="Times New Roman" w:cs="Times New Roman"/>
          <w:lang w:eastAsia="hu-HU"/>
        </w:rPr>
        <w:t>Egy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5 éves obszervációs vizsgálatban, amelyben 267, (a beválogatáskor) 2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&lt; 6 éves, transzfúziós haemosiderosisban szenvedő gyermek kapott deferaziroxot, a deferazirox biztonságossági és tolerabilitási profiljában nem volt klinikailag jelentős különbség a 2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&lt; 6 éves gyermekeknél, az összes felnőtthöz, valamint az idősebb gyermekekhez és serdülőkhöz képest, beleértve a szérumkreatinin</w:t>
      </w:r>
      <w:r w:rsidR="005255F0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szint &gt; 33%-os</w:t>
      </w:r>
      <w:r w:rsidR="00582C93">
        <w:rPr>
          <w:rFonts w:ascii="Times New Roman" w:eastAsia="Times New Roman" w:hAnsi="Times New Roman" w:cs="Times New Roman"/>
          <w:lang w:eastAsia="hu-HU"/>
        </w:rPr>
        <w:t xml:space="preserve"> emelkedését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, </w:t>
      </w:r>
      <w:r w:rsidR="00582C93">
        <w:rPr>
          <w:rFonts w:ascii="Times New Roman" w:eastAsia="Times New Roman" w:hAnsi="Times New Roman" w:cs="Times New Roman"/>
          <w:lang w:eastAsia="hu-HU"/>
        </w:rPr>
        <w:t>továbbá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a</w:t>
      </w:r>
      <w:r w:rsidRPr="002A479B">
        <w:rPr>
          <w:rFonts w:ascii="Arial" w:eastAsiaTheme="minorEastAsia" w:hAnsi="Arial" w:cs="Arial"/>
          <w:sz w:val="28"/>
          <w:szCs w:val="28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normálérték felső határa fölé történő emelkedését, legalább két, egymást követő alkalommal (3,1%), valamint a</w:t>
      </w:r>
      <w:r w:rsidR="00FC1FC7">
        <w:rPr>
          <w:rFonts w:ascii="Times New Roman" w:eastAsia="Times New Roman" w:hAnsi="Times New Roman" w:cs="Times New Roman"/>
          <w:lang w:eastAsia="hu-HU"/>
        </w:rPr>
        <w:t xml:space="preserve"> glutamát-piruvát-transzamináz</w:t>
      </w:r>
      <w:r w:rsidR="005255F0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szintnek (</w:t>
      </w:r>
      <w:r w:rsidR="00FC1FC7">
        <w:rPr>
          <w:rFonts w:ascii="Times New Roman" w:eastAsia="Times New Roman" w:hAnsi="Times New Roman" w:cs="Times New Roman"/>
          <w:lang w:eastAsia="hu-HU"/>
        </w:rPr>
        <w:t>GPT</w:t>
      </w:r>
      <w:r w:rsidRPr="002A479B">
        <w:rPr>
          <w:rFonts w:ascii="Times New Roman" w:eastAsia="Times New Roman" w:hAnsi="Times New Roman" w:cs="Times New Roman"/>
          <w:lang w:eastAsia="hu-HU"/>
        </w:rPr>
        <w:t>) a normálérték felső határának 5-szöröse fölé történő emelkedését is (4,3%). A</w:t>
      </w:r>
      <w:r w:rsidR="004B4A9B">
        <w:rPr>
          <w:rFonts w:ascii="Times New Roman" w:eastAsia="Times New Roman" w:hAnsi="Times New Roman" w:cs="Times New Roman"/>
          <w:lang w:eastAsia="hu-HU"/>
        </w:rPr>
        <w:t xml:space="preserve"> GPT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egyszeri emelkedéséről a vizsgálatban végig részt</w:t>
      </w:r>
      <w:r w:rsidR="00582C93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vevő 145 beteg 20,0%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ánál,</w:t>
      </w:r>
      <w:r w:rsidR="00582C93" w:rsidRPr="002A479B">
        <w:rPr>
          <w:rFonts w:ascii="Times New Roman" w:eastAsia="Times New Roman" w:hAnsi="Times New Roman" w:cs="Times New Roman"/>
          <w:lang w:eastAsia="hu-HU"/>
        </w:rPr>
        <w:t xml:space="preserve"> az</w:t>
      </w:r>
      <w:r w:rsidR="00582C93" w:rsidRPr="002A479B">
        <w:rPr>
          <w:rFonts w:ascii="Arial" w:eastAsiaTheme="minorEastAsia" w:hAnsi="Arial" w:cs="Arial"/>
          <w:sz w:val="28"/>
          <w:szCs w:val="28"/>
          <w:lang w:eastAsia="hu-HU"/>
        </w:rPr>
        <w:t xml:space="preserve"> </w:t>
      </w:r>
      <w:r w:rsidR="00582C93" w:rsidRPr="002A479B">
        <w:rPr>
          <w:rFonts w:ascii="Times New Roman" w:eastAsia="Times New Roman" w:hAnsi="Times New Roman" w:cs="Times New Roman"/>
          <w:lang w:eastAsia="hu-HU"/>
        </w:rPr>
        <w:t>aszpratát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="00582C93" w:rsidRPr="002A479B">
        <w:rPr>
          <w:rFonts w:ascii="Times New Roman" w:eastAsia="Times New Roman" w:hAnsi="Times New Roman" w:cs="Times New Roman"/>
          <w:lang w:eastAsia="hu-HU"/>
        </w:rPr>
        <w:t xml:space="preserve">aminotranszferáz </w:t>
      </w:r>
      <w:r w:rsidR="00582C93">
        <w:rPr>
          <w:rFonts w:ascii="Times New Roman" w:eastAsia="Times New Roman" w:hAnsi="Times New Roman" w:cs="Times New Roman"/>
          <w:lang w:eastAsia="hu-HU"/>
        </w:rPr>
        <w:t xml:space="preserve">egyszeri enelkedéséről </w:t>
      </w:r>
      <w:r w:rsidRPr="002A479B">
        <w:rPr>
          <w:rFonts w:ascii="Times New Roman" w:eastAsia="Times New Roman" w:hAnsi="Times New Roman" w:cs="Times New Roman"/>
          <w:lang w:eastAsia="hu-HU"/>
        </w:rPr>
        <w:t>8,3%-ánál számoltak be.</w:t>
      </w:r>
    </w:p>
    <w:p w14:paraId="6C9FAA9A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4460C224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Egy, a deferazirox filmtabletta és </w:t>
      </w:r>
      <w:r w:rsidR="00A42794">
        <w:rPr>
          <w:rFonts w:ascii="Times New Roman" w:eastAsia="Times New Roman" w:hAnsi="Times New Roman" w:cs="Times New Roman"/>
          <w:lang w:eastAsia="hu-HU"/>
        </w:rPr>
        <w:t xml:space="preserve">a deferazirox </w:t>
      </w:r>
      <w:r w:rsidRPr="002A479B">
        <w:rPr>
          <w:rFonts w:ascii="Times New Roman" w:eastAsia="Times New Roman" w:hAnsi="Times New Roman" w:cs="Times New Roman"/>
          <w:lang w:eastAsia="hu-HU"/>
        </w:rPr>
        <w:t>diszpergálódó tabletta biztonságosságát értékelő vizsgálatban 173, vértranszfúziótól függő thalassaemia szindrómában vagy myelodysplasiás szindrómában szenvedő felnőtt</w:t>
      </w:r>
      <w:r w:rsidR="00A42794">
        <w:rPr>
          <w:rFonts w:ascii="Times New Roman" w:eastAsia="Times New Roman" w:hAnsi="Times New Roman" w:cs="Times New Roman"/>
          <w:lang w:eastAsia="hu-HU"/>
        </w:rPr>
        <w:t xml:space="preserve">et, valamint </w:t>
      </w:r>
      <w:r w:rsidRPr="002A479B">
        <w:rPr>
          <w:rFonts w:ascii="Times New Roman" w:eastAsia="Times New Roman" w:hAnsi="Times New Roman" w:cs="Times New Roman"/>
          <w:lang w:eastAsia="hu-HU"/>
        </w:rPr>
        <w:t>gyermek</w:t>
      </w:r>
      <w:r w:rsidR="00A42794">
        <w:rPr>
          <w:rFonts w:ascii="Times New Roman" w:eastAsia="Times New Roman" w:hAnsi="Times New Roman" w:cs="Times New Roman"/>
          <w:lang w:eastAsia="hu-HU"/>
        </w:rPr>
        <w:t>et és serdülőt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kezeltek 24 hétig. A filmtabletta és a diszpergálódó tabletta biztonságossági profilját hasonlónak találták.</w:t>
      </w:r>
    </w:p>
    <w:p w14:paraId="4F04C402" w14:textId="2559BD36" w:rsid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EBC83F9" w14:textId="3EE34E9E" w:rsidR="00E546F6" w:rsidRDefault="00E546F6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E546F6">
        <w:rPr>
          <w:rFonts w:ascii="Times New Roman" w:eastAsiaTheme="minorEastAsia" w:hAnsi="Times New Roman" w:cs="Times New Roman"/>
          <w:lang w:eastAsia="hu-HU"/>
        </w:rPr>
        <w:t>Nyílt elrendezésű, 1:1 arányban randomizált vizsgálatot végeztek 224 transzfúzió-dependens anaemiában és vértranszfúziók okozta vastúlterhelésben szenvedő, 2–&lt;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18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éves gyermek-, illetve serdülőkorú beteg részvételével a terápiakövetés, a hatásosság és a biztonságosság meghatározására granulátum gyógyszerformájú deferazirox alkalmazása esetén, a diszpergálódó tabletta gyógyszerformával összehasonlítva. A vizsgálatban részt vevő betegek többségénél (142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fő, 63,4%) béta-thalassaemia major áll</w:t>
      </w:r>
      <w:r>
        <w:rPr>
          <w:rFonts w:ascii="Times New Roman" w:eastAsiaTheme="minorEastAsia" w:hAnsi="Times New Roman" w:cs="Times New Roman"/>
          <w:lang w:eastAsia="hu-HU"/>
        </w:rPr>
        <w:t>t</w:t>
      </w:r>
      <w:r w:rsidRPr="00E546F6">
        <w:rPr>
          <w:rFonts w:ascii="Times New Roman" w:eastAsiaTheme="minorEastAsia" w:hAnsi="Times New Roman" w:cs="Times New Roman"/>
          <w:lang w:eastAsia="hu-HU"/>
        </w:rPr>
        <w:t xml:space="preserve"> fenn, 108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betegnél (48,2%) még nem végeztek vaskelátképzőkezelést (iron chelation therapy, ICT) (medián életkor 2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év, 92,6%-uk 2–&lt;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10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éves), 116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fő (51,8%) pedig részesült előzetes ICT-ben (medián életkor 7,5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év, 71,6%-uk 2–&lt;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10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éves), közülük 68,1% kapott korábban deferaziroxot. Az elsődleges elemzésben – amelyet ICT-vel még nem kezelt betegeknél végeztek 24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heti kezelést követően – a terápiakövetés aránya 84,26% volt a deferazirox diszpergálódó tablettát kapó vizsgálati karon, míg 86,84% volt a deferazirox granulátumot kapó vizsgálati karon; nem állapítottak meg statisztikailag szignifikáns különbséget. Hasonlóképpen nem volt statisztikailag szignifikáns különbség a két vizsgálati kar között a szérumferritin (SF) kiindulási értékhez képest bekövetkezett átlagos változásában sem (–171,52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mikrogramm/l) [95%-os CI: –517,40</w:t>
      </w:r>
      <w:r>
        <w:rPr>
          <w:rFonts w:ascii="Times New Roman" w:eastAsiaTheme="minorEastAsia" w:hAnsi="Times New Roman" w:cs="Times New Roman"/>
          <w:lang w:eastAsia="hu-HU"/>
        </w:rPr>
        <w:t>;</w:t>
      </w:r>
      <w:r w:rsidRPr="00E546F6">
        <w:rPr>
          <w:rFonts w:ascii="Times New Roman" w:eastAsiaTheme="minorEastAsia" w:hAnsi="Times New Roman" w:cs="Times New Roman"/>
          <w:lang w:eastAsia="hu-HU"/>
        </w:rPr>
        <w:t xml:space="preserve"> 174,36] diszpergálódó tabletta [DT] esetén és 4,84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mikrogramm/l [95%-os CI: –333,58</w:t>
      </w:r>
      <w:r>
        <w:rPr>
          <w:rFonts w:ascii="Times New Roman" w:eastAsiaTheme="minorEastAsia" w:hAnsi="Times New Roman" w:cs="Times New Roman"/>
          <w:lang w:eastAsia="hu-HU"/>
        </w:rPr>
        <w:t>;</w:t>
      </w:r>
      <w:r w:rsidRPr="00E546F6">
        <w:rPr>
          <w:rFonts w:ascii="Times New Roman" w:eastAsiaTheme="minorEastAsia" w:hAnsi="Times New Roman" w:cs="Times New Roman"/>
          <w:lang w:eastAsia="hu-HU"/>
        </w:rPr>
        <w:t xml:space="preserve"> 343,27] a granulátum gyógyszerforma esetén, az átlagok közti különbség [granulátum – DT] 176,36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mikrogramm/l [95%-os CI: –129,00</w:t>
      </w:r>
      <w:r>
        <w:rPr>
          <w:rFonts w:ascii="Times New Roman" w:eastAsiaTheme="minorEastAsia" w:hAnsi="Times New Roman" w:cs="Times New Roman"/>
          <w:lang w:eastAsia="hu-HU"/>
        </w:rPr>
        <w:t>;</w:t>
      </w:r>
      <w:r w:rsidRPr="00E546F6">
        <w:rPr>
          <w:rFonts w:ascii="Times New Roman" w:eastAsiaTheme="minorEastAsia" w:hAnsi="Times New Roman" w:cs="Times New Roman"/>
          <w:lang w:eastAsia="hu-HU"/>
        </w:rPr>
        <w:t xml:space="preserve"> 481,72], kétoldali p-érték = 0,25). A vizsgálat azzal a következtetéssel zárult, hogy a terápiakövetés és a hatásosság nem különbözött a deferazirox granulátumot, illetve a deferazirox diszpergálódó tablettát kapó vizsgálati karok között a különböző időpontokban (24 és 48</w:t>
      </w:r>
      <w:r>
        <w:rPr>
          <w:rFonts w:ascii="Times New Roman" w:eastAsiaTheme="minorEastAsia" w:hAnsi="Times New Roman" w:cs="Times New Roman"/>
          <w:lang w:eastAsia="hu-HU"/>
        </w:rPr>
        <w:t> </w:t>
      </w:r>
      <w:r w:rsidRPr="00E546F6">
        <w:rPr>
          <w:rFonts w:ascii="Times New Roman" w:eastAsiaTheme="minorEastAsia" w:hAnsi="Times New Roman" w:cs="Times New Roman"/>
          <w:lang w:eastAsia="hu-HU"/>
        </w:rPr>
        <w:t>hét után). A biztonságossági profil összességében hasonló volt a granulátum és a diszpergálódó tabletta gyógyszerforma esetén.</w:t>
      </w:r>
    </w:p>
    <w:p w14:paraId="4EF5C3A4" w14:textId="77777777" w:rsidR="00E546F6" w:rsidRPr="002A479B" w:rsidRDefault="00E546F6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4E04DE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vértranszfúziótól nem függő thalassaemia szindrómákban és vastúlterhelésben szenvedő betegeknél a deferazirox diszpergálódó tabletta kezelést egy 1 évig tartó, randomizált, kettős vak, placebokontrollos vizsgálattal értékelték. A vizsgálat két különböző</w:t>
      </w:r>
      <w:r w:rsidR="00A42794">
        <w:rPr>
          <w:rFonts w:ascii="Times New Roman" w:eastAsia="Times New Roman" w:hAnsi="Times New Roman" w:cs="Times New Roman"/>
          <w:lang w:eastAsia="hu-HU"/>
        </w:rPr>
        <w:t>,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deferaz</w:t>
      </w:r>
      <w:r w:rsidR="00A42794">
        <w:rPr>
          <w:rFonts w:ascii="Times New Roman" w:eastAsia="Times New Roman" w:hAnsi="Times New Roman" w:cs="Times New Roman"/>
          <w:lang w:eastAsia="hu-HU"/>
        </w:rPr>
        <w:t>i</w:t>
      </w:r>
      <w:r w:rsidRPr="002A479B">
        <w:rPr>
          <w:rFonts w:ascii="Times New Roman" w:eastAsia="Times New Roman" w:hAnsi="Times New Roman" w:cs="Times New Roman"/>
          <w:lang w:eastAsia="hu-HU"/>
        </w:rPr>
        <w:t>rox diszpergálódó tablett</w:t>
      </w:r>
      <w:r w:rsidR="00A42794">
        <w:rPr>
          <w:rFonts w:ascii="Times New Roman" w:eastAsia="Times New Roman" w:hAnsi="Times New Roman" w:cs="Times New Roman"/>
          <w:lang w:eastAsia="hu-HU"/>
        </w:rPr>
        <w:t>át alkalmazó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kezelési séma (a kezdő dózisok 5, illetve 10</w:t>
      </w:r>
      <w:r w:rsidRPr="002A479B">
        <w:rPr>
          <w:rFonts w:ascii="Times New Roman" w:eastAsiaTheme="minorEastAsia" w:hAnsi="Times New Roman" w:cs="Times New Roman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lang w:eastAsia="hu-HU"/>
        </w:rPr>
        <w:t>mg/ttkg/nap, mindkét karon 55 beteggel), illetve a megfelelő placebók (56 beteg) hatásosságát hasonlította össze. A vizsgálatba 145 felnőtt és 21 </w:t>
      </w:r>
      <w:r w:rsidR="00A42794" w:rsidRPr="002A479B">
        <w:rPr>
          <w:rFonts w:ascii="Times New Roman" w:eastAsia="Times New Roman" w:hAnsi="Times New Roman" w:cs="Times New Roman"/>
          <w:lang w:eastAsia="hu-HU"/>
        </w:rPr>
        <w:t>gyermek</w:t>
      </w:r>
      <w:r w:rsidR="00A42794">
        <w:rPr>
          <w:rFonts w:ascii="Times New Roman" w:eastAsia="Times New Roman" w:hAnsi="Times New Roman" w:cs="Times New Roman"/>
          <w:lang w:eastAsia="hu-HU"/>
        </w:rPr>
        <w:t xml:space="preserve"> vagy serdülő</w:t>
      </w:r>
      <w:r w:rsidR="00A42794"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beteg került bevonásra. Az elsődleges hatásossági paraméter a máj vaskoncentrációjának (LIC) a kiindulási szintről való változása volt, 12 hónapos kezelést követően. A másodlagos hatásossági paraméterek egyike a szérumferritin-szint változása volt a kiindulási érték és a negyedik negyed között. 10 mg/ttkg/nap kezdődózis mellett a deferazirox diszpergálódó tabletta a szervezet teljes vasszint</w:t>
      </w:r>
      <w:r w:rsidR="00163730">
        <w:rPr>
          <w:rFonts w:ascii="Times New Roman" w:eastAsia="Times New Roman" w:hAnsi="Times New Roman" w:cs="Times New Roman"/>
          <w:lang w:eastAsia="hu-HU"/>
        </w:rPr>
        <w:t>je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indikátorainak csökkenéséhez vezetett. A máj vaskoncentrációja átlagosan 3,80</w:t>
      </w:r>
      <w:r w:rsidRPr="002A479B">
        <w:rPr>
          <w:rFonts w:ascii="Times New Roman" w:eastAsiaTheme="minorEastAsia" w:hAnsi="Times New Roman" w:cs="Times New Roman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lang w:eastAsia="hu-HU"/>
        </w:rPr>
        <w:t>mg Fe/g száraz tömeggel csökkent a deferazirox diszpergálódó tablettával kezelt betegeknél (10 mg/ttkg/nap kezdő dózis) és 0,38 mg Fe/g száraz tömeggel nőtt a placebóval kezelt betegeknél (p &lt; 0,001). A szérumferritin 222,0 </w:t>
      </w:r>
      <w:r w:rsidR="00AF1A09">
        <w:rPr>
          <w:rFonts w:ascii="Times New Roman" w:eastAsia="Times New Roman" w:hAnsi="Times New Roman" w:cs="Times New Roman"/>
          <w:lang w:eastAsia="hu-HU"/>
        </w:rPr>
        <w:t>mikrogramm</w:t>
      </w:r>
      <w:r w:rsidRPr="002A479B">
        <w:rPr>
          <w:rFonts w:ascii="Times New Roman" w:eastAsia="Times New Roman" w:hAnsi="Times New Roman" w:cs="Times New Roman"/>
          <w:lang w:eastAsia="hu-HU"/>
        </w:rPr>
        <w:t>/l-rel csökkent a deferazirox diszpergálódó tablettával kezelt betegeknél (10 mg/ttkg/nap kezdő dózis) és 115 </w:t>
      </w:r>
      <w:r w:rsidR="00AF1A09">
        <w:rPr>
          <w:rFonts w:ascii="Times New Roman" w:eastAsia="Times New Roman" w:hAnsi="Times New Roman" w:cs="Times New Roman"/>
          <w:lang w:eastAsia="hu-HU"/>
        </w:rPr>
        <w:t>mikrogramm</w:t>
      </w:r>
      <w:r w:rsidRPr="002A479B">
        <w:rPr>
          <w:rFonts w:ascii="Times New Roman" w:eastAsia="Times New Roman" w:hAnsi="Times New Roman" w:cs="Times New Roman"/>
          <w:lang w:eastAsia="hu-HU"/>
        </w:rPr>
        <w:t>/l-rel nőtt a placebóval kezelt betegeknél (p &lt; 0,001).</w:t>
      </w:r>
    </w:p>
    <w:p w14:paraId="2C197435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78BCE33" w14:textId="77777777" w:rsidR="002A479B" w:rsidRPr="002A479B" w:rsidRDefault="002A479B" w:rsidP="002A479B">
      <w:pPr>
        <w:keepNext/>
        <w:tabs>
          <w:tab w:val="left" w:pos="540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0939">
        <w:rPr>
          <w:rFonts w:ascii="Times New Roman" w:eastAsia="Times New Roman" w:hAnsi="Times New Roman" w:cs="Times New Roman"/>
          <w:b/>
          <w:bCs/>
          <w:lang w:eastAsia="hu-HU"/>
        </w:rPr>
        <w:t>5.2</w:t>
      </w:r>
      <w:r w:rsidRPr="002A0939">
        <w:rPr>
          <w:rFonts w:ascii="Times New Roman" w:eastAsia="Times New Roman" w:hAnsi="Times New Roman" w:cs="Times New Roman"/>
          <w:b/>
          <w:bCs/>
          <w:lang w:eastAsia="hu-HU"/>
        </w:rPr>
        <w:tab/>
        <w:t>Farmakokinetikai tulajdonságok</w:t>
      </w:r>
    </w:p>
    <w:p w14:paraId="79725629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26068B8" w14:textId="1A7CF36F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filmtabletta biohasznosulása nagyobb, mint a deferazirox diszpergálódó tabletta formáé. A hatáserősség</w:t>
      </w:r>
      <w:r w:rsidR="00367859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módosítás után a filmtabletta </w:t>
      </w:r>
      <w:r w:rsidR="002A0939">
        <w:rPr>
          <w:rFonts w:ascii="Times New Roman" w:eastAsia="Times New Roman" w:hAnsi="Times New Roman" w:cs="Times New Roman"/>
          <w:lang w:eastAsia="hu-HU"/>
        </w:rPr>
        <w:t>gyógyszer</w:t>
      </w:r>
      <w:r w:rsidRPr="002A479B">
        <w:rPr>
          <w:rFonts w:ascii="Times New Roman" w:eastAsia="Times New Roman" w:hAnsi="Times New Roman" w:cs="Times New Roman"/>
          <w:lang w:eastAsia="hu-HU"/>
        </w:rPr>
        <w:t>forma (360 mg-os hatáserősség) az éhomi állapotban mért átlagos plazmakoncentráció</w:t>
      </w:r>
      <w:r w:rsidR="005255F0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idő görbe alatti terület (AUC) tekintetében egyenértékű volt a defera</w:t>
      </w:r>
      <w:r w:rsidR="002A0939">
        <w:rPr>
          <w:rFonts w:ascii="Times New Roman" w:eastAsia="Times New Roman" w:hAnsi="Times New Roman" w:cs="Times New Roman"/>
          <w:lang w:eastAsia="hu-HU"/>
        </w:rPr>
        <w:t>z</w:t>
      </w:r>
      <w:r w:rsidRPr="002A479B">
        <w:rPr>
          <w:rFonts w:ascii="Times New Roman" w:eastAsia="Times New Roman" w:hAnsi="Times New Roman" w:cs="Times New Roman"/>
          <w:lang w:eastAsia="hu-HU"/>
        </w:rPr>
        <w:t>irox diszpergálódó tablettával (500 mg-os hatáserősség). A C</w:t>
      </w:r>
      <w:r w:rsidRPr="002A479B">
        <w:rPr>
          <w:rFonts w:ascii="Times" w:eastAsia="Times New Roman" w:hAnsi="Times" w:cs="Times New Roman"/>
          <w:vertAlign w:val="subscript"/>
          <w:lang w:eastAsia="hu-HU"/>
        </w:rPr>
        <w:t>max</w:t>
      </w:r>
      <w:r w:rsidRPr="00306B2D">
        <w:rPr>
          <w:rFonts w:ascii="Times" w:eastAsia="Times New Roman" w:hAnsi="Times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30%-kal növekedett (90%-os CI: 20,3%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40,0%), ugyanakkor a klinikai expozíció/válaszreakció analízis nem bizonyí</w:t>
      </w:r>
      <w:r w:rsidR="002A0939">
        <w:rPr>
          <w:rFonts w:ascii="Times New Roman" w:eastAsia="Times New Roman" w:hAnsi="Times New Roman" w:cs="Times New Roman"/>
          <w:lang w:eastAsia="hu-HU"/>
        </w:rPr>
        <w:t>t</w:t>
      </w:r>
      <w:r w:rsidRPr="002A479B">
        <w:rPr>
          <w:rFonts w:ascii="Times New Roman" w:eastAsia="Times New Roman" w:hAnsi="Times New Roman" w:cs="Times New Roman"/>
          <w:lang w:eastAsia="hu-HU"/>
        </w:rPr>
        <w:t>ott az ilyen jellegű emelkedésre utaló, klinikailag jelentős hatást.</w:t>
      </w:r>
    </w:p>
    <w:p w14:paraId="379E1E35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7F9960B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Felszívódás</w:t>
      </w:r>
    </w:p>
    <w:p w14:paraId="4CFE0614" w14:textId="1234DEAD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A deferazirox (diszpergálódó tabletta </w:t>
      </w:r>
      <w:r w:rsidR="006161AE">
        <w:rPr>
          <w:rFonts w:ascii="Times New Roman" w:eastAsia="Times New Roman" w:hAnsi="Times New Roman" w:cs="Times New Roman"/>
          <w:lang w:eastAsia="hu-HU"/>
        </w:rPr>
        <w:t>gyógyszer</w:t>
      </w:r>
      <w:r w:rsidRPr="002A479B">
        <w:rPr>
          <w:rFonts w:ascii="Times New Roman" w:eastAsia="Times New Roman" w:hAnsi="Times New Roman" w:cs="Times New Roman"/>
          <w:lang w:eastAsia="hu-HU"/>
        </w:rPr>
        <w:t>forma) orális adagolását követően a maximális plazmakoncentráció kialakulásáig eltelt idő (t</w:t>
      </w:r>
      <w:r w:rsidRPr="002A479B">
        <w:rPr>
          <w:rFonts w:ascii="Times" w:eastAsia="Times New Roman" w:hAnsi="Times" w:cs="Times New Roman"/>
          <w:vertAlign w:val="subscript"/>
          <w:lang w:eastAsia="hu-HU"/>
        </w:rPr>
        <w:t>max</w:t>
      </w:r>
      <w:r w:rsidRPr="002A479B">
        <w:rPr>
          <w:rFonts w:ascii="Times New Roman" w:eastAsia="Times New Roman" w:hAnsi="Times New Roman" w:cs="Times New Roman"/>
          <w:lang w:eastAsia="hu-HU"/>
        </w:rPr>
        <w:t>) mediánértéke körülbelül 1,5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4 óra. A deferazirox (diszpergálódó tabletta </w:t>
      </w:r>
      <w:r w:rsidR="006161AE">
        <w:rPr>
          <w:rFonts w:ascii="Times New Roman" w:eastAsia="Times New Roman" w:hAnsi="Times New Roman" w:cs="Times New Roman"/>
          <w:lang w:eastAsia="hu-HU"/>
        </w:rPr>
        <w:t>gyógyszer</w:t>
      </w:r>
      <w:r w:rsidR="006161AE" w:rsidRPr="002A479B">
        <w:rPr>
          <w:rFonts w:ascii="Times New Roman" w:eastAsia="Times New Roman" w:hAnsi="Times New Roman" w:cs="Times New Roman"/>
          <w:lang w:eastAsia="hu-HU"/>
        </w:rPr>
        <w:t>forma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) abszolút biohasznosulása (AUC) körülbelül 70%-a az intravénás dózisénak. A filmtabletta </w:t>
      </w:r>
      <w:r w:rsidR="006161AE">
        <w:rPr>
          <w:rFonts w:ascii="Times New Roman" w:eastAsia="Times New Roman" w:hAnsi="Times New Roman" w:cs="Times New Roman"/>
          <w:lang w:eastAsia="hu-HU"/>
        </w:rPr>
        <w:t>gyógyszerforma</w:t>
      </w:r>
      <w:r w:rsidR="006161AE"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abszolút biohasznosulását nem határozták meg. A deferazirox filmtabletta biohasznosulása 36%-kal magasabb volt, mint a diszpergálódó tablettáé.</w:t>
      </w:r>
    </w:p>
    <w:p w14:paraId="483BFE30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09357DF" w14:textId="114F40B5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Egy, a táplálék hatását értékelő vizsgálat, amelyben filmtablettát adtak egészséges önkénteseknek éhomi körülmények között, alacsony zsírtartalmú (a zsírtartalom a bevitt kalória &lt; 10%-a) vagy magas zsírtartalmú (a zsírtartalom a bevitt kalória &gt; 50%-a) étel mellett, azt mutatta, hogy az alacsony zsírtartalmú étkezés után kissé csökkent </w:t>
      </w:r>
      <w:r w:rsidR="006161AE" w:rsidRPr="002A479B">
        <w:rPr>
          <w:rFonts w:ascii="Times New Roman" w:eastAsia="Times New Roman" w:hAnsi="Times New Roman" w:cs="Times New Roman"/>
          <w:lang w:eastAsia="hu-HU"/>
        </w:rPr>
        <w:t xml:space="preserve">az AUC </w:t>
      </w:r>
      <w:r w:rsidR="006161AE">
        <w:rPr>
          <w:rFonts w:ascii="Times New Roman" w:eastAsia="Times New Roman" w:hAnsi="Times New Roman" w:cs="Times New Roman"/>
          <w:lang w:eastAsia="hu-HU"/>
        </w:rPr>
        <w:t xml:space="preserve">(11%-al) </w:t>
      </w:r>
      <w:r w:rsidR="006161AE" w:rsidRPr="002A479B">
        <w:rPr>
          <w:rFonts w:ascii="Times New Roman" w:eastAsia="Times New Roman" w:hAnsi="Times New Roman" w:cs="Times New Roman"/>
          <w:lang w:eastAsia="hu-HU"/>
        </w:rPr>
        <w:t>és a C</w:t>
      </w:r>
      <w:r w:rsidR="006161AE" w:rsidRPr="002A479B">
        <w:rPr>
          <w:rFonts w:ascii="Times" w:eastAsia="Times New Roman" w:hAnsi="Times" w:cs="Times New Roman"/>
          <w:vertAlign w:val="subscript"/>
          <w:lang w:eastAsia="hu-HU"/>
        </w:rPr>
        <w:t>max</w:t>
      </w:r>
      <w:r w:rsidR="006161AE"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(16%-kal). Magas zsírtartalmú étkezés után az AUC </w:t>
      </w:r>
      <w:r w:rsidR="006161AE" w:rsidRPr="002A479B">
        <w:rPr>
          <w:rFonts w:ascii="Times New Roman" w:eastAsia="Times New Roman" w:hAnsi="Times New Roman" w:cs="Times New Roman"/>
          <w:lang w:eastAsia="hu-HU"/>
        </w:rPr>
        <w:t>18%-kal</w:t>
      </w:r>
      <w:r w:rsidR="006161AE">
        <w:rPr>
          <w:rFonts w:ascii="Times New Roman" w:eastAsia="Times New Roman" w:hAnsi="Times New Roman" w:cs="Times New Roman"/>
          <w:lang w:eastAsia="hu-HU"/>
        </w:rPr>
        <w:t>,</w:t>
      </w:r>
      <w:r w:rsidR="006161AE" w:rsidRPr="002A479B">
        <w:rPr>
          <w:rFonts w:ascii="Times New Roman" w:eastAsia="Times New Roman" w:hAnsi="Times New Roman" w:cs="Times New Roman"/>
          <w:lang w:eastAsia="hu-HU"/>
        </w:rPr>
        <w:t xml:space="preserve"> a C</w:t>
      </w:r>
      <w:r w:rsidR="006161AE" w:rsidRPr="002A479B">
        <w:rPr>
          <w:rFonts w:ascii="Times" w:eastAsia="Times New Roman" w:hAnsi="Times" w:cs="Times New Roman"/>
          <w:vertAlign w:val="subscript"/>
          <w:lang w:eastAsia="hu-HU"/>
        </w:rPr>
        <w:t>max</w:t>
      </w:r>
      <w:r w:rsidR="006161AE"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="006161AE">
        <w:rPr>
          <w:rFonts w:ascii="Times New Roman" w:eastAsia="Times New Roman" w:hAnsi="Times New Roman" w:cs="Times New Roman"/>
          <w:lang w:eastAsia="hu-HU"/>
        </w:rPr>
        <w:t xml:space="preserve">pedig </w:t>
      </w:r>
      <w:r w:rsidR="006161AE" w:rsidRPr="002A479B">
        <w:rPr>
          <w:rFonts w:ascii="Times New Roman" w:eastAsia="Times New Roman" w:hAnsi="Times New Roman" w:cs="Times New Roman"/>
          <w:lang w:eastAsia="hu-HU"/>
        </w:rPr>
        <w:t>29%-kal</w:t>
      </w:r>
      <w:r w:rsidR="006161AE" w:rsidRPr="002A479B" w:rsidDel="006161AE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emelkedett). A C</w:t>
      </w:r>
      <w:r w:rsidRPr="002A479B">
        <w:rPr>
          <w:rFonts w:ascii="Times" w:eastAsia="Times New Roman" w:hAnsi="Times" w:cs="Times New Roman"/>
          <w:vertAlign w:val="subscript"/>
          <w:lang w:eastAsia="hu-HU"/>
        </w:rPr>
        <w:t>max</w:t>
      </w:r>
      <w:r w:rsidR="006161AE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értékben a </w:t>
      </w:r>
      <w:r w:rsidR="006161AE">
        <w:rPr>
          <w:rFonts w:ascii="Times New Roman" w:eastAsia="Times New Roman" w:hAnsi="Times New Roman" w:cs="Times New Roman"/>
          <w:lang w:eastAsia="hu-HU"/>
        </w:rPr>
        <w:t>gyógyszerforma</w:t>
      </w:r>
      <w:r w:rsidR="006161AE"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="00A35E84">
        <w:rPr>
          <w:rFonts w:ascii="Times New Roman" w:eastAsia="Times New Roman" w:hAnsi="Times New Roman" w:cs="Times New Roman"/>
          <w:lang w:eastAsia="hu-HU"/>
        </w:rPr>
        <w:t>miatt, valamint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a magas zsírtartalmú étkezés miatt bekövetkező változás additív lehet, ezért javasolt, hogy a filmtablettát vagy éhgyomorra</w:t>
      </w:r>
      <w:r w:rsidR="00175B02">
        <w:rPr>
          <w:rFonts w:ascii="Times New Roman" w:eastAsia="Times New Roman" w:hAnsi="Times New Roman" w:cs="Times New Roman"/>
          <w:lang w:eastAsia="hu-HU"/>
        </w:rPr>
        <w:t>,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vagy könnyű étkezés közben kell bevenni.</w:t>
      </w:r>
    </w:p>
    <w:p w14:paraId="6F9ED715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BAE2F00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bookmarkStart w:id="15" w:name="page40"/>
      <w:bookmarkEnd w:id="15"/>
      <w:r w:rsidRPr="002A479B">
        <w:rPr>
          <w:rFonts w:ascii="Times New Roman" w:eastAsia="Times New Roman" w:hAnsi="Times New Roman" w:cs="Times New Roman"/>
          <w:u w:val="single"/>
          <w:lang w:eastAsia="hu-HU"/>
        </w:rPr>
        <w:t>Eloszlás</w:t>
      </w:r>
    </w:p>
    <w:p w14:paraId="244DDBE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nagymértékben (99%) kötődik a plazmafehérjékhez, csaknem kizárólag szérumalbuminhoz, és felnőtteknél a megoszlási térfogata kicsi, körülbelül 14 liter.</w:t>
      </w:r>
    </w:p>
    <w:p w14:paraId="59FA2301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C1DC164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Biotranszformáció</w:t>
      </w:r>
    </w:p>
    <w:p w14:paraId="4C9105F9" w14:textId="28721986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elsődleges metabolikus útvonala a glükuronidáció, melyet bili</w:t>
      </w:r>
      <w:r w:rsidR="00A35E84">
        <w:rPr>
          <w:rFonts w:ascii="Times New Roman" w:eastAsia="Times New Roman" w:hAnsi="Times New Roman" w:cs="Times New Roman"/>
          <w:lang w:eastAsia="hu-HU"/>
        </w:rPr>
        <w:t>a</w:t>
      </w:r>
      <w:r w:rsidRPr="002A479B">
        <w:rPr>
          <w:rFonts w:ascii="Times New Roman" w:eastAsia="Times New Roman" w:hAnsi="Times New Roman" w:cs="Times New Roman"/>
          <w:lang w:eastAsia="hu-HU"/>
        </w:rPr>
        <w:t>ris kiválasztás követ. A belekben a glükuroni</w:t>
      </w:r>
      <w:r w:rsidR="00A35E84">
        <w:rPr>
          <w:rFonts w:ascii="Times New Roman" w:eastAsia="Times New Roman" w:hAnsi="Times New Roman" w:cs="Times New Roman"/>
          <w:lang w:eastAsia="hu-HU"/>
        </w:rPr>
        <w:t>d</w:t>
      </w:r>
      <w:r w:rsidRPr="002A479B">
        <w:rPr>
          <w:rFonts w:ascii="Times New Roman" w:eastAsia="Times New Roman" w:hAnsi="Times New Roman" w:cs="Times New Roman"/>
          <w:lang w:eastAsia="hu-HU"/>
        </w:rPr>
        <w:t>ált metabolitok dekonjugációja, majd újrafelszívódása (enterohepatikus körforgás) valószínűsíthető: egy egészséges önkéntesekkel végzett vizsgálatban egyetlen dózis deferazirox után kolesztiramin adása a deferazirox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expozíció (AUC) 45%-os csökkenését eredményezte.</w:t>
      </w:r>
    </w:p>
    <w:p w14:paraId="729F09FB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A4ECAEF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glükuronidációját elsősorban az UGT1A1, és kisebb mértékben az UG</w:t>
      </w:r>
      <w:r w:rsidR="00A35E84">
        <w:rPr>
          <w:rFonts w:ascii="Times New Roman" w:eastAsia="Times New Roman" w:hAnsi="Times New Roman" w:cs="Times New Roman"/>
          <w:lang w:eastAsia="hu-HU"/>
        </w:rPr>
        <w:t>T</w:t>
      </w:r>
      <w:r w:rsidRPr="002A479B">
        <w:rPr>
          <w:rFonts w:ascii="Times New Roman" w:eastAsia="Times New Roman" w:hAnsi="Times New Roman" w:cs="Times New Roman"/>
          <w:lang w:eastAsia="hu-HU"/>
        </w:rPr>
        <w:t>1A3 végzi. A deferazirox CYP450 által katalizált (oxidatív) metabolizmusa embernél kis</w:t>
      </w:r>
      <w:r w:rsidR="00A35E84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mértékűnek tűnik (körülbelül 8%). </w:t>
      </w:r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In vitro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nem figyelték meg a deferazirox metabolizmusának hidroxiurea általi gátlását.</w:t>
      </w:r>
    </w:p>
    <w:p w14:paraId="1BCC0A45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DB2AB91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Elimináció</w:t>
      </w:r>
    </w:p>
    <w:p w14:paraId="4A6CC3D9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és metabolitjai elsősorban a székletbe választódnak ki (a bevitt dózis 84%-a). A ren</w:t>
      </w:r>
      <w:r w:rsidR="00A35E84">
        <w:rPr>
          <w:rFonts w:ascii="Times New Roman" w:eastAsia="Times New Roman" w:hAnsi="Times New Roman" w:cs="Times New Roman"/>
          <w:lang w:eastAsia="hu-HU"/>
        </w:rPr>
        <w:t>a</w:t>
      </w:r>
      <w:r w:rsidRPr="002A479B">
        <w:rPr>
          <w:rFonts w:ascii="Times New Roman" w:eastAsia="Times New Roman" w:hAnsi="Times New Roman" w:cs="Times New Roman"/>
          <w:lang w:eastAsia="hu-HU"/>
        </w:rPr>
        <w:t>lis kiválasztódás a deferazirox és metabolitjai esetében minimális mértékű (a bevitt dózis 8%-a). Az átlagos eliminációs felezési idő (t</w:t>
      </w:r>
      <w:r w:rsidRPr="002A479B">
        <w:rPr>
          <w:rFonts w:ascii="Times" w:eastAsia="Times New Roman" w:hAnsi="Times" w:cs="Times New Roman"/>
          <w:vertAlign w:val="subscript"/>
          <w:lang w:eastAsia="hu-HU"/>
        </w:rPr>
        <w:t>1/2</w:t>
      </w:r>
      <w:r w:rsidRPr="002A479B">
        <w:rPr>
          <w:rFonts w:ascii="Times New Roman" w:eastAsia="Times New Roman" w:hAnsi="Times New Roman" w:cs="Times New Roman"/>
          <w:lang w:eastAsia="hu-HU"/>
        </w:rPr>
        <w:t>) 8 és 16 óra közötti. A deferazirox biliáris kiválasztásában szerepet játsz</w:t>
      </w:r>
      <w:r w:rsidR="00A35E84">
        <w:rPr>
          <w:rFonts w:ascii="Times New Roman" w:eastAsia="Times New Roman" w:hAnsi="Times New Roman" w:cs="Times New Roman"/>
          <w:lang w:eastAsia="hu-HU"/>
        </w:rPr>
        <w:t>ik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az MRP2</w:t>
      </w:r>
      <w:r w:rsidR="00A35E84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és MXR</w:t>
      </w:r>
      <w:r w:rsidR="00A35E84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(BCRP) transzporter.</w:t>
      </w:r>
    </w:p>
    <w:p w14:paraId="49A24482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12AFF8C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Linearitás/nem-linearitás</w:t>
      </w:r>
    </w:p>
    <w:p w14:paraId="199A9346" w14:textId="3C4A053E" w:rsidR="002A479B" w:rsidRPr="002A479B" w:rsidRDefault="002A479B" w:rsidP="002A479B">
      <w:pPr>
        <w:tabs>
          <w:tab w:val="left" w:pos="215"/>
        </w:tabs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deferazirox C</w:t>
      </w:r>
      <w:r w:rsidRPr="002A479B">
        <w:rPr>
          <w:rFonts w:ascii="Times" w:eastAsia="Times New Roman" w:hAnsi="Times" w:cs="Times New Roman"/>
          <w:vertAlign w:val="subscript"/>
          <w:lang w:eastAsia="hu-HU"/>
        </w:rPr>
        <w:t>max</w:t>
      </w:r>
      <w:r w:rsidR="005A503E" w:rsidRPr="00306B2D">
        <w:rPr>
          <w:rFonts w:ascii="Times" w:eastAsia="Times New Roman" w:hAnsi="Times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és AUC</w:t>
      </w:r>
      <w:r w:rsidRPr="00306B2D">
        <w:rPr>
          <w:rFonts w:ascii="Times New Roman" w:eastAsia="Times New Roman" w:hAnsi="Times New Roman" w:cs="Times New Roman"/>
          <w:vertAlign w:val="subscript"/>
          <w:lang w:eastAsia="hu-HU"/>
        </w:rPr>
        <w:t>0-24h</w:t>
      </w:r>
      <w:r w:rsidR="005A503E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értéke steady-state állapotban a dózissal megközelítőleg lineárisan növekedett. Többszörös adagolás esetén az expozíció 1,3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2,3 értékű akkumulációs faktorral növekedett.</w:t>
      </w:r>
    </w:p>
    <w:p w14:paraId="5A10B02E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D43C70D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Jellemzők betegcsoportonként</w:t>
      </w:r>
    </w:p>
    <w:p w14:paraId="3C381E9B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Gyermekek és serdülők</w:t>
      </w:r>
    </w:p>
    <w:p w14:paraId="4FFAF4D4" w14:textId="7EB7F403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BE7962">
        <w:rPr>
          <w:rFonts w:ascii="Times New Roman" w:eastAsia="Times New Roman" w:hAnsi="Times New Roman" w:cs="Times New Roman"/>
          <w:lang w:eastAsia="hu-HU"/>
        </w:rPr>
        <w:t>Serdülők (12–17 év), illetve gyermekek (2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BE7962">
        <w:rPr>
          <w:rFonts w:ascii="Times New Roman" w:eastAsia="Times New Roman" w:hAnsi="Times New Roman" w:cs="Times New Roman"/>
          <w:lang w:eastAsia="hu-HU"/>
        </w:rPr>
        <w:t>&lt; 12 év) esetében a deferazirox egyszeri és ismételt adagolását követően kisebb mértékű volt a teljes expozíció</w:t>
      </w:r>
      <w:r w:rsidRPr="00637828">
        <w:rPr>
          <w:rFonts w:ascii="Times New Roman" w:eastAsia="Times New Roman" w:hAnsi="Times New Roman" w:cs="Times New Roman"/>
          <w:lang w:eastAsia="hu-HU"/>
        </w:rPr>
        <w:t>, mint felnőtteknél. 6 évesnél fiatalabb gyermekeknél az expozíció kör</w:t>
      </w:r>
      <w:r w:rsidRPr="00BE7962">
        <w:rPr>
          <w:rFonts w:ascii="Times New Roman" w:eastAsia="Times New Roman" w:hAnsi="Times New Roman" w:cs="Times New Roman"/>
          <w:lang w:eastAsia="hu-HU"/>
        </w:rPr>
        <w:t>ülbelül 50%-kal alacsonyabb volt, mint felnőtteknél. Ennek várhatóan nincs klinikai következménye, mivel az adagolást a terápiás válasz függvényében személyre szabottan kell meghatározni.</w:t>
      </w:r>
    </w:p>
    <w:p w14:paraId="698F3EA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763A479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Nem</w:t>
      </w:r>
    </w:p>
    <w:p w14:paraId="04A98FF3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Nők esetében mérsékelten alacsonyabb a deferazirox látszólagos clearance-értéke (17,5%-kal), mint férfiaknál. Ennek várhatóan nincs klinikai következménye, mivel az adagolást a terápiás válasz függvényében személyre szabottan kell meghatározni.</w:t>
      </w:r>
    </w:p>
    <w:p w14:paraId="78041685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FE0E3D4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Idősek</w:t>
      </w:r>
    </w:p>
    <w:p w14:paraId="01910B12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Idősek (65 éves vagy annál idősebb</w:t>
      </w:r>
      <w:r w:rsidR="00C13C0A">
        <w:rPr>
          <w:rFonts w:ascii="Times New Roman" w:eastAsia="Times New Roman" w:hAnsi="Times New Roman" w:cs="Times New Roman"/>
          <w:lang w:eastAsia="hu-HU"/>
        </w:rPr>
        <w:t xml:space="preserve"> betegek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) </w:t>
      </w:r>
      <w:r w:rsidR="00C13C0A">
        <w:rPr>
          <w:rFonts w:ascii="Times New Roman" w:eastAsia="Times New Roman" w:hAnsi="Times New Roman" w:cs="Times New Roman"/>
          <w:lang w:eastAsia="hu-HU"/>
        </w:rPr>
        <w:t xml:space="preserve">körében </w:t>
      </w:r>
      <w:r w:rsidRPr="002A479B">
        <w:rPr>
          <w:rFonts w:ascii="Times New Roman" w:eastAsia="Times New Roman" w:hAnsi="Times New Roman" w:cs="Times New Roman"/>
          <w:lang w:eastAsia="hu-HU"/>
        </w:rPr>
        <w:t>nem vizsgálták a deferazirox farmakokinetikáját.</w:t>
      </w:r>
    </w:p>
    <w:p w14:paraId="346256DB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BAAD492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Vese- vagy májkárosodás</w:t>
      </w:r>
    </w:p>
    <w:p w14:paraId="23A9AF2F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Nem vizsgálták a deferazirox farmakokinetikáját vesekárosodásban szenvedő betegeknél. A deferazirox farmakokinetikáját nem befolyásolta a máj transzamináz</w:t>
      </w:r>
      <w:r w:rsidR="00EE3C8E">
        <w:rPr>
          <w:rFonts w:ascii="Times New Roman" w:eastAsia="Times New Roman" w:hAnsi="Times New Roman" w:cs="Times New Roman"/>
          <w:lang w:eastAsia="hu-HU"/>
        </w:rPr>
        <w:t>ai</w:t>
      </w:r>
      <w:r w:rsidRPr="002A479B">
        <w:rPr>
          <w:rFonts w:ascii="Times New Roman" w:eastAsia="Times New Roman" w:hAnsi="Times New Roman" w:cs="Times New Roman"/>
          <w:lang w:eastAsia="hu-HU"/>
        </w:rPr>
        <w:t>nak a normáltartomány felső határának ötszöröséig terjedő emelkedése.</w:t>
      </w:r>
    </w:p>
    <w:p w14:paraId="3FB25A77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8457081" w14:textId="63BF0AD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Egy klinikai vizsgálatban, ahol egyszeri 20 mg/ttkg</w:t>
      </w:r>
      <w:r w:rsidR="00EE3C8E">
        <w:rPr>
          <w:rFonts w:ascii="Times New Roman" w:eastAsia="Times New Roman" w:hAnsi="Times New Roman" w:cs="Times New Roman"/>
          <w:lang w:eastAsia="hu-HU"/>
        </w:rPr>
        <w:t>-os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deferazirox diszpergálódó tabletta dózist adtak, az átlagos expozíció 16%-kal emelkedett az enyhe májkárosodásban (Child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>Pugh osztályozás szerinti A stádium), és 76%-kal a közepesen súlyos májkárosodásban szenvedőknél (Child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Pugh osztályozás szerinti B stádium), a normális </w:t>
      </w:r>
      <w:r w:rsidR="00EE3C8E">
        <w:rPr>
          <w:rFonts w:ascii="Times New Roman" w:eastAsia="Times New Roman" w:hAnsi="Times New Roman" w:cs="Times New Roman"/>
          <w:lang w:eastAsia="hu-HU"/>
        </w:rPr>
        <w:t>máj</w:t>
      </w:r>
      <w:r w:rsidRPr="002A479B">
        <w:rPr>
          <w:rFonts w:ascii="Times New Roman" w:eastAsia="Times New Roman" w:hAnsi="Times New Roman" w:cs="Times New Roman"/>
          <w:lang w:eastAsia="hu-HU"/>
        </w:rPr>
        <w:t>funkciót mutatókhoz képest. A deferazirox átlagos C</w:t>
      </w:r>
      <w:r w:rsidRPr="002A479B">
        <w:rPr>
          <w:rFonts w:ascii="Times" w:eastAsia="Times New Roman" w:hAnsi="Times" w:cs="Times New Roman"/>
          <w:vertAlign w:val="subscript"/>
          <w:lang w:eastAsia="hu-HU"/>
        </w:rPr>
        <w:t>max</w:t>
      </w:r>
      <w:r w:rsidR="00EE3C8E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értéke 22%-kal emelkedett enyhe vagy közepesen súlyos májkárosodásban szenvedőknél. Egy súlyos májkárosodásban </w:t>
      </w:r>
      <w:r w:rsidR="00EE3C8E" w:rsidRPr="00EE3C8E">
        <w:rPr>
          <w:rFonts w:ascii="Times New Roman" w:eastAsia="Times New Roman" w:hAnsi="Times New Roman" w:cs="Times New Roman"/>
          <w:lang w:eastAsia="hu-HU"/>
        </w:rPr>
        <w:t>(Child</w:t>
      </w:r>
      <w:r w:rsidR="00175B02">
        <w:rPr>
          <w:rFonts w:ascii="Times New Roman" w:eastAsia="Times New Roman" w:hAnsi="Times New Roman" w:cs="Times New Roman"/>
          <w:lang w:eastAsia="hu-HU"/>
        </w:rPr>
        <w:t>–</w:t>
      </w:r>
      <w:r w:rsidR="00EE3C8E" w:rsidRPr="00EE3C8E">
        <w:rPr>
          <w:rFonts w:ascii="Times New Roman" w:eastAsia="Times New Roman" w:hAnsi="Times New Roman" w:cs="Times New Roman"/>
          <w:lang w:eastAsia="hu-HU"/>
        </w:rPr>
        <w:t>Pugh osztályozás szerinti C stádium)</w:t>
      </w:r>
      <w:r w:rsidR="00EE3C8E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szenvedő beteg esetében az expozíció 2,8-</w:t>
      </w:r>
      <w:r w:rsidR="00EE3C8E">
        <w:rPr>
          <w:rFonts w:ascii="Times New Roman" w:eastAsia="Times New Roman" w:hAnsi="Times New Roman" w:cs="Times New Roman"/>
          <w:lang w:eastAsia="hu-HU"/>
        </w:rPr>
        <w:t>szeresére</w:t>
      </w:r>
      <w:r w:rsidR="00EE3C8E"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emelkedett (lásd 4.2 és 4.4 pont).</w:t>
      </w:r>
    </w:p>
    <w:p w14:paraId="5AF9E692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00F437C" w14:textId="77777777" w:rsidR="002A479B" w:rsidRPr="002A479B" w:rsidRDefault="002A479B" w:rsidP="002A479B">
      <w:pPr>
        <w:keepNext/>
        <w:tabs>
          <w:tab w:val="left" w:pos="541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bookmarkStart w:id="16" w:name="page41"/>
      <w:bookmarkEnd w:id="16"/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5.3</w:t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ab/>
        <w:t>A preklinikai biztonságossági vizsgálatok eredményei</w:t>
      </w:r>
    </w:p>
    <w:p w14:paraId="249CBAB9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BB41A6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hagyományos – farmakológiai biztonságossági, ismételt adagolású dózistoxicitási, genotoxicitási, karcinogenitási – vizsgálatokból származó nem klinikai jellegű adatok azt igazolták, hogy a készítmény alkalmazásakor humán vonatkozásban különleges kockázat nem várható. A legfontosabb hatások a vesetoxicitás és a lencsehomály (szürkehályog) voltak. Hasonló eredményeket figyeltek meg újszülött és fiatal állatoknál. A vesetoxicitást elsősorban a vasmegvonás következményének tartják a korábban vastúlterhelésben nem szenvedő állatoknál.</w:t>
      </w:r>
    </w:p>
    <w:p w14:paraId="3765E165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A84C2D2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Az </w:t>
      </w:r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in vitro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genotoxicitási vizsgálatok negatív eredményt adtak (Ames-teszt, kromoszómaaberráció</w:t>
      </w:r>
      <w:r w:rsidR="00EE3C8E">
        <w:rPr>
          <w:rFonts w:ascii="Times New Roman" w:eastAsia="Times New Roman" w:hAnsi="Times New Roman" w:cs="Times New Roman"/>
          <w:lang w:eastAsia="hu-HU"/>
        </w:rPr>
        <w:t>s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teszt), míg halálos dózissal kezelt, nem vastúlterhelt patkányoknál </w:t>
      </w:r>
      <w:r w:rsidRPr="002A479B">
        <w:rPr>
          <w:rFonts w:ascii="Times New Roman" w:eastAsia="Times New Roman" w:hAnsi="Times New Roman" w:cs="Times New Roman"/>
          <w:i/>
          <w:iCs/>
          <w:lang w:eastAsia="hu-HU"/>
        </w:rPr>
        <w:t>in vivo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a deferazirox </w:t>
      </w:r>
      <w:r w:rsidRPr="00BE7962">
        <w:rPr>
          <w:rFonts w:ascii="Times New Roman" w:eastAsia="Times New Roman" w:hAnsi="Times New Roman" w:cs="Times New Roman"/>
          <w:lang w:eastAsia="hu-HU"/>
        </w:rPr>
        <w:t>micronucleusok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képződését okozta a csontvelőben, de a májban nem. Vassal terhelt patkányoknál ilyen hatásokat nem figyeltek meg. A deferazirox nem volt karcinogén </w:t>
      </w:r>
      <w:r w:rsidR="00EE4073">
        <w:rPr>
          <w:rFonts w:ascii="Times New Roman" w:eastAsia="Times New Roman" w:hAnsi="Times New Roman" w:cs="Times New Roman"/>
          <w:lang w:eastAsia="hu-HU"/>
        </w:rPr>
        <w:t xml:space="preserve">egy </w:t>
      </w:r>
      <w:r w:rsidRPr="002A479B">
        <w:rPr>
          <w:rFonts w:ascii="Times New Roman" w:eastAsia="Times New Roman" w:hAnsi="Times New Roman" w:cs="Times New Roman"/>
          <w:lang w:eastAsia="hu-HU"/>
        </w:rPr>
        <w:t>patkányokkal végzett 2 éves, valamint</w:t>
      </w:r>
      <w:r w:rsidR="00EE4073">
        <w:rPr>
          <w:rFonts w:ascii="Times New Roman" w:eastAsia="Times New Roman" w:hAnsi="Times New Roman" w:cs="Times New Roman"/>
          <w:lang w:eastAsia="hu-HU"/>
        </w:rPr>
        <w:t xml:space="preserve"> egy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p53+/- heterozigóta transzgenikus egerek</w:t>
      </w:r>
      <w:r w:rsidR="00EE4073">
        <w:rPr>
          <w:rFonts w:ascii="Times New Roman" w:eastAsia="Times New Roman" w:hAnsi="Times New Roman" w:cs="Times New Roman"/>
          <w:lang w:eastAsia="hu-HU"/>
        </w:rPr>
        <w:t>kel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végzett 6 hónapos vizsgálat</w:t>
      </w:r>
      <w:r w:rsidR="00EE4073">
        <w:rPr>
          <w:rFonts w:ascii="Times New Roman" w:eastAsia="Times New Roman" w:hAnsi="Times New Roman" w:cs="Times New Roman"/>
          <w:lang w:eastAsia="hu-HU"/>
        </w:rPr>
        <w:t xml:space="preserve"> alapján</w:t>
      </w:r>
      <w:r w:rsidRPr="002A479B">
        <w:rPr>
          <w:rFonts w:ascii="Times New Roman" w:eastAsia="Times New Roman" w:hAnsi="Times New Roman" w:cs="Times New Roman"/>
          <w:lang w:eastAsia="hu-HU"/>
        </w:rPr>
        <w:t>.</w:t>
      </w:r>
    </w:p>
    <w:p w14:paraId="3232D80B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396EB1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 xml:space="preserve">A reprodukciós toxicitási potenciált patkányokon és nyulakon vizsgálták. A deferazirox nem teratogén, de növelte a csontrendszert érintő variációk, valamint a halvaszületett utódok gyakoriságát patkányoknál, a nem vastúlterhelt anya számára súlyosan toxikus, nagy dózisok mellett. A deferazirox nem gyakorolt egyéb hatást a </w:t>
      </w:r>
      <w:r w:rsidR="00F0408D">
        <w:rPr>
          <w:rFonts w:ascii="Times New Roman" w:eastAsia="Times New Roman" w:hAnsi="Times New Roman" w:cs="Times New Roman"/>
          <w:lang w:eastAsia="hu-HU"/>
        </w:rPr>
        <w:t>termékenységre</w:t>
      </w:r>
      <w:r w:rsidR="00F0408D" w:rsidRPr="002A479B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lang w:eastAsia="hu-HU"/>
        </w:rPr>
        <w:t>vagy a szaporodásra.</w:t>
      </w:r>
    </w:p>
    <w:p w14:paraId="2FC5F467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83DD07C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674004F" w14:textId="77777777" w:rsidR="002A479B" w:rsidRPr="002A479B" w:rsidRDefault="002A479B" w:rsidP="002A479B">
      <w:pPr>
        <w:keepNext/>
        <w:numPr>
          <w:ilvl w:val="0"/>
          <w:numId w:val="8"/>
        </w:numPr>
        <w:tabs>
          <w:tab w:val="left" w:pos="561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GYÓGYSZERÉSZETI JELLEMZŐK</w:t>
      </w:r>
    </w:p>
    <w:p w14:paraId="3B3CB9AE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23AC2007" w14:textId="77777777" w:rsidR="002A479B" w:rsidRPr="002A479B" w:rsidRDefault="002A479B" w:rsidP="002A479B">
      <w:pPr>
        <w:keepNext/>
        <w:tabs>
          <w:tab w:val="left" w:pos="541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6.1</w:t>
      </w:r>
      <w:r w:rsidRPr="002A479B">
        <w:rPr>
          <w:rFonts w:ascii="Times New Roman" w:eastAsiaTheme="minorEastAsia" w:hAnsi="Times New Roman" w:cs="Times New Roman"/>
          <w:lang w:eastAsia="hu-HU"/>
        </w:rPr>
        <w:tab/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Segédanyagok felsorolása</w:t>
      </w:r>
    </w:p>
    <w:p w14:paraId="1D5581E4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464B708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Tablettamag:</w:t>
      </w:r>
    </w:p>
    <w:p w14:paraId="56CE9861" w14:textId="031AA30B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mikrokristályos cellulóz (E</w:t>
      </w:r>
      <w:r w:rsidR="00746561">
        <w:rPr>
          <w:rFonts w:ascii="Times New Roman" w:eastAsia="Times New Roman" w:hAnsi="Times New Roman" w:cs="Times New Roman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lang w:eastAsia="hu-HU"/>
        </w:rPr>
        <w:t>460)</w:t>
      </w:r>
    </w:p>
    <w:p w14:paraId="4EB89F6C" w14:textId="330FC5DA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kroszkarmellóz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nátrium </w:t>
      </w:r>
    </w:p>
    <w:p w14:paraId="1BC8D870" w14:textId="7F261DAC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alacsony szubsztit</w:t>
      </w:r>
      <w:r w:rsidR="003C09D4">
        <w:rPr>
          <w:rFonts w:ascii="Times New Roman" w:eastAsia="Times New Roman" w:hAnsi="Times New Roman" w:cs="Times New Roman"/>
          <w:lang w:eastAsia="hu-HU"/>
        </w:rPr>
        <w:t>úciós fokú</w:t>
      </w:r>
      <w:r w:rsidRPr="002A479B">
        <w:rPr>
          <w:rFonts w:ascii="Times New Roman" w:eastAsia="Times New Roman" w:hAnsi="Times New Roman" w:cs="Times New Roman"/>
          <w:lang w:eastAsia="hu-HU"/>
        </w:rPr>
        <w:t xml:space="preserve"> hidroxipropil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cellulóz (E</w:t>
      </w:r>
      <w:r w:rsidR="00746561">
        <w:rPr>
          <w:rFonts w:ascii="Times New Roman" w:eastAsia="Times New Roman" w:hAnsi="Times New Roman" w:cs="Times New Roman"/>
          <w:lang w:eastAsia="hu-HU"/>
        </w:rPr>
        <w:t> </w:t>
      </w:r>
      <w:r w:rsidRPr="002A479B">
        <w:rPr>
          <w:rFonts w:ascii="Times New Roman" w:eastAsia="Times New Roman" w:hAnsi="Times New Roman" w:cs="Times New Roman"/>
          <w:lang w:eastAsia="hu-HU"/>
        </w:rPr>
        <w:t>463)</w:t>
      </w:r>
    </w:p>
    <w:p w14:paraId="0324113D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poloxamer 188</w:t>
      </w:r>
    </w:p>
    <w:p w14:paraId="19B60EC1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povidon K30</w:t>
      </w:r>
    </w:p>
    <w:p w14:paraId="7860C16D" w14:textId="744D5BBF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laktóz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monohidrát</w:t>
      </w:r>
    </w:p>
    <w:p w14:paraId="32E97619" w14:textId="56C5AFC9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vízmentes kolloid szilícium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dioxid</w:t>
      </w:r>
    </w:p>
    <w:p w14:paraId="41646E88" w14:textId="03029A8F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nátrium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sztearil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fumarát</w:t>
      </w:r>
    </w:p>
    <w:p w14:paraId="44F11BE4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Theme="minorEastAsia" w:hAnsi="Times New Roman" w:cs="Times New Roman"/>
          <w:lang w:eastAsia="hu-HU"/>
        </w:rPr>
        <w:t>hidrogénezett ricinusolaj</w:t>
      </w:r>
    </w:p>
    <w:p w14:paraId="70C7D46A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D2CD780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="Times New Roman" w:hAnsi="Times New Roman" w:cs="Times New Roman"/>
          <w:u w:val="single"/>
          <w:lang w:eastAsia="hu-HU"/>
        </w:rPr>
      </w:pPr>
      <w:r w:rsidRPr="002A479B">
        <w:rPr>
          <w:rFonts w:ascii="Times New Roman" w:eastAsia="Times New Roman" w:hAnsi="Times New Roman" w:cs="Times New Roman"/>
          <w:u w:val="single"/>
          <w:lang w:eastAsia="hu-HU"/>
        </w:rPr>
        <w:t>Bevonat:</w:t>
      </w:r>
    </w:p>
    <w:p w14:paraId="7C54200A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Opadry yellow 03H520019:</w:t>
      </w:r>
    </w:p>
    <w:p w14:paraId="425E17F8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HPMC 2910/ hipromellóz (E464)</w:t>
      </w:r>
    </w:p>
    <w:p w14:paraId="2ECA5425" w14:textId="15F009D6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titán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dioxid (E171)</w:t>
      </w:r>
    </w:p>
    <w:p w14:paraId="230ADB1F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propilénglikol (E1520)</w:t>
      </w:r>
    </w:p>
    <w:p w14:paraId="7284F945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talkum (E553b)</w:t>
      </w:r>
    </w:p>
    <w:p w14:paraId="725BB111" w14:textId="34B61ED4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sárga vas</w:t>
      </w:r>
      <w:r w:rsidR="00175B02">
        <w:rPr>
          <w:rFonts w:ascii="Times New Roman" w:eastAsia="Times New Roman" w:hAnsi="Times New Roman" w:cs="Times New Roman"/>
          <w:lang w:eastAsia="hu-HU"/>
        </w:rPr>
        <w:t>-</w:t>
      </w:r>
      <w:r w:rsidRPr="002A479B">
        <w:rPr>
          <w:rFonts w:ascii="Times New Roman" w:eastAsia="Times New Roman" w:hAnsi="Times New Roman" w:cs="Times New Roman"/>
          <w:lang w:eastAsia="hu-HU"/>
        </w:rPr>
        <w:t>oxid (E172)</w:t>
      </w:r>
    </w:p>
    <w:p w14:paraId="42A4D3AF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859B9D0" w14:textId="77777777" w:rsidR="002A479B" w:rsidRPr="002A479B" w:rsidRDefault="002A479B" w:rsidP="002A479B">
      <w:pPr>
        <w:keepNext/>
        <w:tabs>
          <w:tab w:val="left" w:pos="541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6.2</w:t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ab/>
        <w:t>Inkompatibilitások</w:t>
      </w:r>
    </w:p>
    <w:p w14:paraId="353A4737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7CADCFA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Nem értelmezhető.</w:t>
      </w:r>
    </w:p>
    <w:p w14:paraId="5C8C2E0C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8CF6A4A" w14:textId="77777777" w:rsidR="002A479B" w:rsidRPr="002A479B" w:rsidRDefault="002A479B" w:rsidP="002A479B">
      <w:pPr>
        <w:keepNext/>
        <w:tabs>
          <w:tab w:val="left" w:pos="541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6.3</w:t>
      </w:r>
      <w:r w:rsidRPr="002A479B">
        <w:rPr>
          <w:rFonts w:ascii="Times New Roman" w:eastAsiaTheme="minorEastAsia" w:hAnsi="Times New Roman" w:cs="Times New Roman"/>
          <w:lang w:eastAsia="hu-HU"/>
        </w:rPr>
        <w:tab/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Felhasználhatósági időtartam</w:t>
      </w:r>
    </w:p>
    <w:p w14:paraId="182D49E4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C785B5D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2 év</w:t>
      </w:r>
    </w:p>
    <w:p w14:paraId="5055C6B7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5B542B6" w14:textId="77777777" w:rsidR="002A479B" w:rsidRPr="002A479B" w:rsidRDefault="002A479B" w:rsidP="002A479B">
      <w:pPr>
        <w:keepNext/>
        <w:tabs>
          <w:tab w:val="left" w:pos="541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6.4</w:t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ab/>
        <w:t>Különleges tárolási előírások</w:t>
      </w:r>
    </w:p>
    <w:p w14:paraId="15CCE6A2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0B89643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Ez a gyógyszer nem igényel különleges tárolást.</w:t>
      </w:r>
    </w:p>
    <w:p w14:paraId="74697821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D328A7E" w14:textId="77777777" w:rsidR="002A479B" w:rsidRPr="002A479B" w:rsidRDefault="002A479B" w:rsidP="002A479B">
      <w:pPr>
        <w:keepNext/>
        <w:tabs>
          <w:tab w:val="left" w:pos="541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bookmarkStart w:id="17" w:name="page42"/>
      <w:bookmarkEnd w:id="17"/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6.5</w:t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ab/>
        <w:t>Csomagolás típusa és kiszerelése</w:t>
      </w:r>
    </w:p>
    <w:p w14:paraId="66F7CB07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B34C1C8" w14:textId="77777777" w:rsidR="002A479B" w:rsidRPr="002A479B" w:rsidRDefault="003C09D4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Filmtabletták 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>PVC/PE/PVDC/</w:t>
      </w:r>
      <w:r>
        <w:rPr>
          <w:rFonts w:ascii="Times New Roman" w:eastAsia="Times New Roman" w:hAnsi="Times New Roman" w:cs="Times New Roman"/>
          <w:lang w:eastAsia="hu-HU"/>
        </w:rPr>
        <w:t>/Al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 xml:space="preserve"> buborékcsomagolás</w:t>
      </w:r>
      <w:r>
        <w:rPr>
          <w:rFonts w:ascii="Times New Roman" w:eastAsia="Times New Roman" w:hAnsi="Times New Roman" w:cs="Times New Roman"/>
          <w:lang w:eastAsia="hu-HU"/>
        </w:rPr>
        <w:t>ban, dobozban</w:t>
      </w:r>
      <w:r w:rsidR="002A479B" w:rsidRPr="002A479B">
        <w:rPr>
          <w:rFonts w:ascii="Times New Roman" w:eastAsia="Times New Roman" w:hAnsi="Times New Roman" w:cs="Times New Roman"/>
          <w:lang w:eastAsia="hu-HU"/>
        </w:rPr>
        <w:t>.</w:t>
      </w:r>
    </w:p>
    <w:p w14:paraId="41FAE142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0A08561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Theme="minorEastAsia" w:hAnsi="Times New Roman" w:cs="Times New Roman"/>
          <w:lang w:eastAsia="hu-HU"/>
        </w:rPr>
        <w:t xml:space="preserve">Kiszerelések: 30 db </w:t>
      </w:r>
      <w:r w:rsidR="003C09D4">
        <w:rPr>
          <w:rFonts w:ascii="Times New Roman" w:eastAsiaTheme="minorEastAsia" w:hAnsi="Times New Roman" w:cs="Times New Roman"/>
          <w:lang w:eastAsia="hu-HU"/>
        </w:rPr>
        <w:t>vagy</w:t>
      </w:r>
      <w:r w:rsidRPr="002A479B">
        <w:rPr>
          <w:rFonts w:ascii="Times New Roman" w:eastAsiaTheme="minorEastAsia" w:hAnsi="Times New Roman" w:cs="Times New Roman"/>
          <w:lang w:eastAsia="hu-HU"/>
        </w:rPr>
        <w:t xml:space="preserve"> 90 db filmtabletta.</w:t>
      </w:r>
    </w:p>
    <w:p w14:paraId="3929C35D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2389A8F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Nem feltétlenül mindegyik kiszerelés kerül kereskedelmi forgalomba.</w:t>
      </w:r>
    </w:p>
    <w:p w14:paraId="208E1646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5F9495C" w14:textId="77777777" w:rsidR="002A479B" w:rsidRPr="002A479B" w:rsidRDefault="002A479B" w:rsidP="00306B2D">
      <w:pPr>
        <w:keepNext/>
        <w:tabs>
          <w:tab w:val="left" w:pos="541"/>
        </w:tabs>
        <w:spacing w:after="0" w:line="240" w:lineRule="auto"/>
        <w:ind w:left="567" w:hanging="567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6.6</w:t>
      </w: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ab/>
        <w:t>A megsemmisítésre vonatkozó különleges óvintézkedések</w:t>
      </w:r>
      <w:r w:rsidR="007C617C">
        <w:rPr>
          <w:rFonts w:ascii="Times New Roman" w:eastAsia="Times New Roman" w:hAnsi="Times New Roman" w:cs="Times New Roman"/>
          <w:b/>
          <w:bCs/>
          <w:lang w:eastAsia="hu-HU"/>
        </w:rPr>
        <w:t xml:space="preserve"> és egyéb, a készítmény kezelésével kapcsolatos információk</w:t>
      </w:r>
    </w:p>
    <w:p w14:paraId="477FFE4D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44BAC70" w14:textId="77777777" w:rsidR="002A479B" w:rsidRPr="002A479B" w:rsidRDefault="002A479B" w:rsidP="002A479B">
      <w:pPr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2A479B">
        <w:rPr>
          <w:rFonts w:ascii="Times New Roman" w:eastAsia="Times New Roman" w:hAnsi="Times New Roman" w:cs="Times New Roman"/>
          <w:noProof/>
        </w:rPr>
        <w:t>Bármilyen fel nem használt gyógyszer, illetve hulladékanyag megsemmisítését a gyógyszerekre vonatkozó előírások szerint kell végrehajtani.</w:t>
      </w:r>
    </w:p>
    <w:p w14:paraId="3622FDB5" w14:textId="77777777" w:rsid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76BEB5B" w14:textId="77777777" w:rsidR="00296727" w:rsidRPr="00296727" w:rsidRDefault="00296727" w:rsidP="00296727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306B2D">
        <w:rPr>
          <w:rFonts w:ascii="Times New Roman" w:eastAsiaTheme="minorEastAsia" w:hAnsi="Times New Roman" w:cs="Times New Roman"/>
          <w:b/>
          <w:bCs/>
          <w:lang w:eastAsia="hu-HU"/>
        </w:rPr>
        <w:t>Megjegyzés:</w:t>
      </w:r>
      <w:r w:rsidRPr="00296727">
        <w:rPr>
          <w:rFonts w:ascii="Times New Roman" w:eastAsiaTheme="minorEastAsia" w:hAnsi="Times New Roman" w:cs="Times New Roman"/>
          <w:lang w:eastAsia="hu-HU"/>
        </w:rPr>
        <w:t xml:space="preserve"> </w:t>
      </w:r>
      <w:r w:rsidRPr="001F3575">
        <w:sym w:font="Wingdings" w:char="F058"/>
      </w:r>
      <w:r w:rsidRPr="00296727">
        <w:rPr>
          <w:rFonts w:ascii="Times New Roman" w:eastAsiaTheme="minorEastAsia" w:hAnsi="Times New Roman" w:cs="Times New Roman"/>
          <w:lang w:eastAsia="hu-HU"/>
        </w:rPr>
        <w:t xml:space="preserve"> (egy kereszt)</w:t>
      </w:r>
    </w:p>
    <w:p w14:paraId="023103C3" w14:textId="77777777" w:rsidR="00B5150B" w:rsidRPr="00B5150B" w:rsidRDefault="00B5150B" w:rsidP="00B5150B">
      <w:pPr>
        <w:spacing w:after="0" w:line="240" w:lineRule="auto"/>
        <w:ind w:left="567" w:hanging="567"/>
        <w:outlineLvl w:val="1"/>
        <w:rPr>
          <w:rFonts w:ascii="Times New Roman" w:eastAsia="Times New Roman" w:hAnsi="Times New Roman" w:cs="Times New Roman"/>
          <w:kern w:val="28"/>
          <w:lang w:eastAsia="ja-JP"/>
        </w:rPr>
      </w:pPr>
      <w:r w:rsidRPr="00B5150B">
        <w:rPr>
          <w:rFonts w:ascii="Times New Roman" w:eastAsia="Times New Roman" w:hAnsi="Times New Roman" w:cs="Times New Roman"/>
          <w:kern w:val="28"/>
          <w:lang w:eastAsia="ja-JP"/>
        </w:rPr>
        <w:t>Osztályozás:</w:t>
      </w:r>
      <w:r w:rsidRPr="00B5150B">
        <w:rPr>
          <w:rFonts w:ascii="Times New Roman" w:eastAsia="Times New Roman" w:hAnsi="Times New Roman" w:cs="Times New Roman"/>
          <w:b/>
          <w:kern w:val="28"/>
          <w:lang w:eastAsia="ja-JP"/>
        </w:rPr>
        <w:t xml:space="preserve"> II./2 csoport</w:t>
      </w:r>
    </w:p>
    <w:p w14:paraId="2D6A1380" w14:textId="77777777" w:rsidR="00B5150B" w:rsidRPr="00B5150B" w:rsidRDefault="00B5150B" w:rsidP="00B5150B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B5150B">
        <w:rPr>
          <w:rFonts w:ascii="Times New Roman" w:eastAsia="Times New Roman" w:hAnsi="Times New Roman" w:cs="Times New Roman"/>
        </w:rPr>
        <w:t>Korlátozott érvényű orvosi rendelvényhez kötött, szakorvosi kórházi diagnózist követően folyamatos szakorvosi ellenőrzés mellett alkalmazható gyógyszer (Sz).</w:t>
      </w:r>
    </w:p>
    <w:p w14:paraId="597AF02A" w14:textId="77777777" w:rsidR="00296727" w:rsidRPr="002A479B" w:rsidRDefault="00296727" w:rsidP="00306B2D">
      <w:pPr>
        <w:tabs>
          <w:tab w:val="left" w:pos="977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C5C63DB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F6FB846" w14:textId="77777777" w:rsidR="002A479B" w:rsidRPr="002A479B" w:rsidRDefault="002A479B" w:rsidP="002A479B">
      <w:pPr>
        <w:keepNext/>
        <w:numPr>
          <w:ilvl w:val="0"/>
          <w:numId w:val="9"/>
        </w:numPr>
        <w:tabs>
          <w:tab w:val="left" w:pos="561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A FORGALOMBA HOZATALI ENGEDÉLY JOGOSULTJA</w:t>
      </w:r>
    </w:p>
    <w:p w14:paraId="5BFD4EF6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FCB2509" w14:textId="77777777" w:rsidR="002A479B" w:rsidRPr="002A479B" w:rsidRDefault="002A479B" w:rsidP="002A479B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lang w:eastAsia="hu-HU"/>
        </w:rPr>
      </w:pPr>
      <w:r w:rsidRPr="002A479B">
        <w:rPr>
          <w:rFonts w:ascii="Times New Roman" w:eastAsia="Times New Roman" w:hAnsi="Times New Roman" w:cs="Times New Roman"/>
          <w:color w:val="000000"/>
          <w:lang w:eastAsia="hu-HU"/>
        </w:rPr>
        <w:t>Vivanta Generics</w:t>
      </w:r>
      <w:r w:rsidRPr="002A479B">
        <w:rPr>
          <w:rFonts w:ascii="Times New Roman" w:eastAsia="Times New Roman" w:hAnsi="Times New Roman" w:cs="Times New Roman"/>
          <w:color w:val="000000"/>
          <w:sz w:val="24"/>
          <w:lang w:eastAsia="hu-HU"/>
        </w:rPr>
        <w:t xml:space="preserve"> </w:t>
      </w:r>
      <w:r w:rsidRPr="002A479B">
        <w:rPr>
          <w:rFonts w:ascii="Times New Roman" w:eastAsia="Times New Roman" w:hAnsi="Times New Roman" w:cs="Times New Roman"/>
          <w:color w:val="000000"/>
          <w:lang w:eastAsia="hu-HU"/>
        </w:rPr>
        <w:t>s.r.o.</w:t>
      </w:r>
    </w:p>
    <w:p w14:paraId="4F5892CD" w14:textId="77777777" w:rsidR="002A479B" w:rsidRPr="002A479B" w:rsidRDefault="002A479B" w:rsidP="002A479B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/>
        </w:rPr>
      </w:pPr>
      <w:r w:rsidRPr="002A479B">
        <w:rPr>
          <w:rFonts w:ascii="Times New Roman" w:eastAsia="Times New Roman" w:hAnsi="Times New Roman" w:cs="Times New Roman"/>
          <w:color w:val="000000"/>
          <w:lang w:eastAsia="hu-HU"/>
        </w:rPr>
        <w:t>Třtinová 260/1, Čakovice</w:t>
      </w:r>
    </w:p>
    <w:p w14:paraId="140495B9" w14:textId="77777777" w:rsidR="002A479B" w:rsidRPr="002A479B" w:rsidRDefault="002A479B" w:rsidP="002A479B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/>
        </w:rPr>
      </w:pPr>
      <w:r w:rsidRPr="002A479B">
        <w:rPr>
          <w:rFonts w:ascii="Times New Roman" w:eastAsia="Times New Roman" w:hAnsi="Times New Roman" w:cs="Times New Roman"/>
          <w:color w:val="000000"/>
          <w:lang w:eastAsia="hu-HU"/>
        </w:rPr>
        <w:t>196 00 Prague 9</w:t>
      </w:r>
    </w:p>
    <w:p w14:paraId="0EF0861E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Theme="minorEastAsia" w:hAnsi="Times New Roman" w:cs="Times New Roman"/>
          <w:lang w:eastAsia="hu-HU"/>
        </w:rPr>
        <w:t>Csehország</w:t>
      </w:r>
    </w:p>
    <w:p w14:paraId="3C55F14F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8173752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3DB2138A" w14:textId="77777777" w:rsidR="002A479B" w:rsidRPr="002A479B" w:rsidRDefault="002A479B" w:rsidP="002A479B">
      <w:pPr>
        <w:keepNext/>
        <w:numPr>
          <w:ilvl w:val="0"/>
          <w:numId w:val="10"/>
        </w:numPr>
        <w:tabs>
          <w:tab w:val="left" w:pos="561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A FORGALOMBA HOZATALI ENGEDÉLY SZÁMA(I)</w:t>
      </w:r>
    </w:p>
    <w:p w14:paraId="73A46B4C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05B53E78" w14:textId="77777777" w:rsidR="003C09D4" w:rsidRPr="00FD6C1A" w:rsidRDefault="003C09D4" w:rsidP="00306B2D">
      <w:pPr>
        <w:tabs>
          <w:tab w:val="left" w:pos="2268"/>
          <w:tab w:val="left" w:pos="5103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FD6C1A">
        <w:rPr>
          <w:rFonts w:ascii="Times New Roman" w:eastAsiaTheme="minorEastAsia" w:hAnsi="Times New Roman" w:cs="Times New Roman"/>
          <w:lang w:eastAsia="hu-HU"/>
        </w:rPr>
        <w:t>OGYI-T-</w:t>
      </w:r>
      <w:r w:rsidR="00FD6C1A" w:rsidRPr="00FD6C1A">
        <w:rPr>
          <w:rFonts w:ascii="Times New Roman" w:eastAsiaTheme="minorEastAsia" w:hAnsi="Times New Roman" w:cs="Times New Roman"/>
          <w:lang w:eastAsia="hu-HU"/>
        </w:rPr>
        <w:t>23572</w:t>
      </w:r>
      <w:r w:rsidRPr="00FD6C1A">
        <w:rPr>
          <w:rFonts w:ascii="Times New Roman" w:eastAsiaTheme="minorEastAsia" w:hAnsi="Times New Roman" w:cs="Times New Roman"/>
          <w:lang w:eastAsia="hu-HU"/>
        </w:rPr>
        <w:t>/01</w:t>
      </w:r>
      <w:r w:rsidRPr="00FD6C1A">
        <w:rPr>
          <w:rFonts w:ascii="Times New Roman" w:eastAsiaTheme="minorEastAsia" w:hAnsi="Times New Roman" w:cs="Times New Roman"/>
          <w:lang w:eastAsia="hu-HU"/>
        </w:rPr>
        <w:tab/>
        <w:t>30×</w:t>
      </w:r>
      <w:r w:rsidR="00636507" w:rsidRPr="00FD6C1A">
        <w:rPr>
          <w:rFonts w:ascii="Times New Roman" w:eastAsiaTheme="minorEastAsia" w:hAnsi="Times New Roman" w:cs="Times New Roman"/>
          <w:lang w:eastAsia="hu-HU"/>
        </w:rPr>
        <w:t xml:space="preserve"> (90 mg filmtabletta)</w:t>
      </w:r>
      <w:r w:rsidR="00636507" w:rsidRPr="00FD6C1A">
        <w:rPr>
          <w:rFonts w:ascii="Times New Roman" w:eastAsiaTheme="minorEastAsia" w:hAnsi="Times New Roman" w:cs="Times New Roman"/>
          <w:lang w:eastAsia="hu-HU"/>
        </w:rPr>
        <w:tab/>
        <w:t>buborékcsomagolás</w:t>
      </w:r>
    </w:p>
    <w:p w14:paraId="152A3ED0" w14:textId="77777777" w:rsidR="002A479B" w:rsidRPr="00FD6C1A" w:rsidRDefault="003C09D4" w:rsidP="00306B2D">
      <w:pPr>
        <w:tabs>
          <w:tab w:val="left" w:pos="2268"/>
          <w:tab w:val="left" w:pos="5103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FD6C1A">
        <w:rPr>
          <w:rFonts w:ascii="Times New Roman" w:eastAsiaTheme="minorEastAsia" w:hAnsi="Times New Roman" w:cs="Times New Roman"/>
          <w:lang w:eastAsia="hu-HU"/>
        </w:rPr>
        <w:t>OGYI-T-</w:t>
      </w:r>
      <w:r w:rsidR="00FD6C1A" w:rsidRPr="00FD6C1A">
        <w:rPr>
          <w:rFonts w:ascii="Times New Roman" w:eastAsiaTheme="minorEastAsia" w:hAnsi="Times New Roman" w:cs="Times New Roman"/>
          <w:lang w:eastAsia="hu-HU"/>
        </w:rPr>
        <w:t>23572</w:t>
      </w:r>
      <w:r w:rsidRPr="00FD6C1A">
        <w:rPr>
          <w:rFonts w:ascii="Times New Roman" w:eastAsiaTheme="minorEastAsia" w:hAnsi="Times New Roman" w:cs="Times New Roman"/>
          <w:lang w:eastAsia="hu-HU"/>
        </w:rPr>
        <w:t>/02</w:t>
      </w:r>
      <w:r w:rsidRPr="00FD6C1A">
        <w:rPr>
          <w:rFonts w:ascii="Times New Roman" w:eastAsiaTheme="minorEastAsia" w:hAnsi="Times New Roman" w:cs="Times New Roman"/>
          <w:lang w:eastAsia="hu-HU"/>
        </w:rPr>
        <w:tab/>
        <w:t>90×</w:t>
      </w:r>
      <w:r w:rsidR="00636507" w:rsidRPr="00FD6C1A">
        <w:rPr>
          <w:rFonts w:ascii="Times New Roman" w:eastAsiaTheme="minorEastAsia" w:hAnsi="Times New Roman" w:cs="Times New Roman"/>
          <w:lang w:eastAsia="hu-HU"/>
        </w:rPr>
        <w:t xml:space="preserve"> (90 mg filmtabletta)</w:t>
      </w:r>
      <w:r w:rsidR="00636507" w:rsidRPr="00FD6C1A">
        <w:rPr>
          <w:rFonts w:ascii="Times New Roman" w:eastAsiaTheme="minorEastAsia" w:hAnsi="Times New Roman" w:cs="Times New Roman"/>
          <w:lang w:eastAsia="hu-HU"/>
        </w:rPr>
        <w:tab/>
        <w:t>buborékcsomagolás</w:t>
      </w:r>
    </w:p>
    <w:p w14:paraId="10B87467" w14:textId="77777777" w:rsidR="00636507" w:rsidRPr="00FD6C1A" w:rsidRDefault="00636507" w:rsidP="00636507">
      <w:pPr>
        <w:tabs>
          <w:tab w:val="left" w:pos="2268"/>
          <w:tab w:val="left" w:pos="5103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FD6C1A">
        <w:rPr>
          <w:rFonts w:ascii="Times New Roman" w:eastAsiaTheme="minorEastAsia" w:hAnsi="Times New Roman" w:cs="Times New Roman"/>
          <w:lang w:eastAsia="hu-HU"/>
        </w:rPr>
        <w:t>OGYI-T-</w:t>
      </w:r>
      <w:r w:rsidR="00FD6C1A" w:rsidRPr="00FD6C1A">
        <w:rPr>
          <w:rFonts w:ascii="Times New Roman" w:eastAsiaTheme="minorEastAsia" w:hAnsi="Times New Roman" w:cs="Times New Roman"/>
          <w:lang w:eastAsia="hu-HU"/>
        </w:rPr>
        <w:t>23572</w:t>
      </w:r>
      <w:r w:rsidRPr="00FD6C1A">
        <w:rPr>
          <w:rFonts w:ascii="Times New Roman" w:eastAsiaTheme="minorEastAsia" w:hAnsi="Times New Roman" w:cs="Times New Roman"/>
          <w:lang w:eastAsia="hu-HU"/>
        </w:rPr>
        <w:t>/03</w:t>
      </w:r>
      <w:r w:rsidRPr="00FD6C1A">
        <w:rPr>
          <w:rFonts w:ascii="Times New Roman" w:eastAsiaTheme="minorEastAsia" w:hAnsi="Times New Roman" w:cs="Times New Roman"/>
          <w:lang w:eastAsia="hu-HU"/>
        </w:rPr>
        <w:tab/>
        <w:t>30× (180 mg filmtabletta)</w:t>
      </w:r>
      <w:r w:rsidRPr="00FD6C1A">
        <w:rPr>
          <w:rFonts w:ascii="Times New Roman" w:eastAsiaTheme="minorEastAsia" w:hAnsi="Times New Roman" w:cs="Times New Roman"/>
          <w:lang w:eastAsia="hu-HU"/>
        </w:rPr>
        <w:tab/>
        <w:t>buborékcsomagolás</w:t>
      </w:r>
    </w:p>
    <w:p w14:paraId="0F5647CC" w14:textId="77777777" w:rsidR="00636507" w:rsidRPr="00FD6C1A" w:rsidRDefault="00636507" w:rsidP="00636507">
      <w:pPr>
        <w:tabs>
          <w:tab w:val="left" w:pos="2268"/>
          <w:tab w:val="left" w:pos="5103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FD6C1A">
        <w:rPr>
          <w:rFonts w:ascii="Times New Roman" w:eastAsiaTheme="minorEastAsia" w:hAnsi="Times New Roman" w:cs="Times New Roman"/>
          <w:lang w:eastAsia="hu-HU"/>
        </w:rPr>
        <w:t>OGYI-T-</w:t>
      </w:r>
      <w:r w:rsidR="00FD6C1A" w:rsidRPr="00FD6C1A">
        <w:rPr>
          <w:rFonts w:ascii="Times New Roman" w:eastAsiaTheme="minorEastAsia" w:hAnsi="Times New Roman" w:cs="Times New Roman"/>
          <w:lang w:eastAsia="hu-HU"/>
        </w:rPr>
        <w:t>23572</w:t>
      </w:r>
      <w:r w:rsidRPr="00FD6C1A">
        <w:rPr>
          <w:rFonts w:ascii="Times New Roman" w:eastAsiaTheme="minorEastAsia" w:hAnsi="Times New Roman" w:cs="Times New Roman"/>
          <w:lang w:eastAsia="hu-HU"/>
        </w:rPr>
        <w:t>/04</w:t>
      </w:r>
      <w:r w:rsidRPr="00FD6C1A">
        <w:rPr>
          <w:rFonts w:ascii="Times New Roman" w:eastAsiaTheme="minorEastAsia" w:hAnsi="Times New Roman" w:cs="Times New Roman"/>
          <w:lang w:eastAsia="hu-HU"/>
        </w:rPr>
        <w:tab/>
        <w:t>90× (180 mg filmtabletta)</w:t>
      </w:r>
      <w:r w:rsidRPr="00FD6C1A">
        <w:rPr>
          <w:rFonts w:ascii="Times New Roman" w:eastAsiaTheme="minorEastAsia" w:hAnsi="Times New Roman" w:cs="Times New Roman"/>
          <w:lang w:eastAsia="hu-HU"/>
        </w:rPr>
        <w:tab/>
        <w:t>buborékcsomagolás</w:t>
      </w:r>
    </w:p>
    <w:p w14:paraId="7C0D0F4F" w14:textId="77777777" w:rsidR="00636507" w:rsidRPr="00FD6C1A" w:rsidRDefault="00636507" w:rsidP="00636507">
      <w:pPr>
        <w:tabs>
          <w:tab w:val="left" w:pos="2268"/>
          <w:tab w:val="left" w:pos="5103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FD6C1A">
        <w:rPr>
          <w:rFonts w:ascii="Times New Roman" w:eastAsiaTheme="minorEastAsia" w:hAnsi="Times New Roman" w:cs="Times New Roman"/>
          <w:lang w:eastAsia="hu-HU"/>
        </w:rPr>
        <w:t>OGYI-T-</w:t>
      </w:r>
      <w:r w:rsidR="00FD6C1A" w:rsidRPr="00FD6C1A">
        <w:rPr>
          <w:rFonts w:ascii="Times New Roman" w:eastAsiaTheme="minorEastAsia" w:hAnsi="Times New Roman" w:cs="Times New Roman"/>
          <w:lang w:eastAsia="hu-HU"/>
        </w:rPr>
        <w:t>23572</w:t>
      </w:r>
      <w:r w:rsidRPr="00FD6C1A">
        <w:rPr>
          <w:rFonts w:ascii="Times New Roman" w:eastAsiaTheme="minorEastAsia" w:hAnsi="Times New Roman" w:cs="Times New Roman"/>
          <w:lang w:eastAsia="hu-HU"/>
        </w:rPr>
        <w:t>/05</w:t>
      </w:r>
      <w:r w:rsidRPr="00FD6C1A">
        <w:rPr>
          <w:rFonts w:ascii="Times New Roman" w:eastAsiaTheme="minorEastAsia" w:hAnsi="Times New Roman" w:cs="Times New Roman"/>
          <w:lang w:eastAsia="hu-HU"/>
        </w:rPr>
        <w:tab/>
        <w:t>30× (360 mg filmtabletta)</w:t>
      </w:r>
      <w:r w:rsidRPr="00FD6C1A">
        <w:rPr>
          <w:rFonts w:ascii="Times New Roman" w:eastAsiaTheme="minorEastAsia" w:hAnsi="Times New Roman" w:cs="Times New Roman"/>
          <w:lang w:eastAsia="hu-HU"/>
        </w:rPr>
        <w:tab/>
        <w:t>buborékcsomagolás</w:t>
      </w:r>
    </w:p>
    <w:p w14:paraId="1C113E5D" w14:textId="77777777" w:rsidR="00636507" w:rsidRDefault="00636507" w:rsidP="00636507">
      <w:pPr>
        <w:tabs>
          <w:tab w:val="left" w:pos="2268"/>
          <w:tab w:val="left" w:pos="5103"/>
        </w:tabs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FD6C1A">
        <w:rPr>
          <w:rFonts w:ascii="Times New Roman" w:eastAsiaTheme="minorEastAsia" w:hAnsi="Times New Roman" w:cs="Times New Roman"/>
          <w:lang w:eastAsia="hu-HU"/>
        </w:rPr>
        <w:t>OGYI-T-</w:t>
      </w:r>
      <w:r w:rsidR="00FD6C1A" w:rsidRPr="00FD6C1A">
        <w:rPr>
          <w:rFonts w:ascii="Times New Roman" w:eastAsiaTheme="minorEastAsia" w:hAnsi="Times New Roman" w:cs="Times New Roman"/>
          <w:lang w:eastAsia="hu-HU"/>
        </w:rPr>
        <w:t>23572</w:t>
      </w:r>
      <w:r w:rsidRPr="00FD6C1A">
        <w:rPr>
          <w:rFonts w:ascii="Times New Roman" w:eastAsiaTheme="minorEastAsia" w:hAnsi="Times New Roman" w:cs="Times New Roman"/>
          <w:lang w:eastAsia="hu-HU"/>
        </w:rPr>
        <w:t>/06</w:t>
      </w:r>
      <w:r w:rsidRPr="00FD6C1A">
        <w:rPr>
          <w:rFonts w:ascii="Times New Roman" w:eastAsiaTheme="minorEastAsia" w:hAnsi="Times New Roman" w:cs="Times New Roman"/>
          <w:lang w:eastAsia="hu-HU"/>
        </w:rPr>
        <w:tab/>
        <w:t>90× (360 mg filmtabletta)</w:t>
      </w:r>
      <w:r w:rsidRPr="00FD6C1A">
        <w:rPr>
          <w:rFonts w:ascii="Times New Roman" w:eastAsiaTheme="minorEastAsia" w:hAnsi="Times New Roman" w:cs="Times New Roman"/>
          <w:lang w:eastAsia="hu-HU"/>
        </w:rPr>
        <w:tab/>
        <w:t>buborékcsomagolás</w:t>
      </w:r>
    </w:p>
    <w:p w14:paraId="5C924894" w14:textId="77777777" w:rsidR="003C09D4" w:rsidRDefault="003C09D4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2F74AF3" w14:textId="77777777" w:rsidR="003C09D4" w:rsidRPr="002A479B" w:rsidRDefault="003C09D4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14034FC8" w14:textId="77777777" w:rsidR="002A479B" w:rsidRPr="007C617C" w:rsidRDefault="002A479B" w:rsidP="00306B2D">
      <w:pPr>
        <w:keepNext/>
        <w:numPr>
          <w:ilvl w:val="0"/>
          <w:numId w:val="11"/>
        </w:numPr>
        <w:tabs>
          <w:tab w:val="left" w:pos="561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bCs/>
          <w:lang w:eastAsia="hu-HU"/>
        </w:rPr>
      </w:pPr>
      <w:r w:rsidRPr="007C617C">
        <w:rPr>
          <w:rFonts w:ascii="Times New Roman" w:eastAsia="Times New Roman" w:hAnsi="Times New Roman" w:cs="Times New Roman"/>
          <w:b/>
          <w:bCs/>
          <w:lang w:eastAsia="hu-HU"/>
        </w:rPr>
        <w:t>A FORGALOMBA HOZATALI ENGEDÉLY ELSŐ KIADÁSÁNAK/</w:t>
      </w:r>
      <w:r w:rsidR="007C617C">
        <w:rPr>
          <w:rFonts w:ascii="Times New Roman" w:eastAsia="Times New Roman" w:hAnsi="Times New Roman" w:cs="Times New Roman"/>
          <w:b/>
          <w:bCs/>
          <w:lang w:eastAsia="hu-HU"/>
        </w:rPr>
        <w:t xml:space="preserve"> </w:t>
      </w:r>
      <w:r w:rsidRPr="007C617C">
        <w:rPr>
          <w:rFonts w:ascii="Times New Roman" w:eastAsia="Times New Roman" w:hAnsi="Times New Roman" w:cs="Times New Roman"/>
          <w:b/>
          <w:bCs/>
          <w:lang w:eastAsia="hu-HU"/>
        </w:rPr>
        <w:t>MEGÚJÍTÁSÁNAK DÁTUMA</w:t>
      </w:r>
    </w:p>
    <w:p w14:paraId="5E1856BD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66C47B81" w14:textId="77777777" w:rsidR="002A479B" w:rsidRPr="002A479B" w:rsidRDefault="002A479B" w:rsidP="002A479B">
      <w:pPr>
        <w:keepNext/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  <w:r w:rsidRPr="002A479B">
        <w:rPr>
          <w:rFonts w:ascii="Times New Roman" w:eastAsia="Times New Roman" w:hAnsi="Times New Roman" w:cs="Times New Roman"/>
          <w:lang w:eastAsia="hu-HU"/>
        </w:rPr>
        <w:t>A forgalomba hozatali engedély első kiadásának dátuma:</w:t>
      </w:r>
      <w:r w:rsidR="007C617C">
        <w:rPr>
          <w:rFonts w:ascii="Times New Roman" w:eastAsia="Times New Roman" w:hAnsi="Times New Roman" w:cs="Times New Roman"/>
          <w:lang w:eastAsia="hu-HU"/>
        </w:rPr>
        <w:t xml:space="preserve"> </w:t>
      </w:r>
      <w:r w:rsidR="007C617C" w:rsidRPr="003034AA">
        <w:rPr>
          <w:rFonts w:ascii="Times New Roman" w:eastAsia="Times New Roman" w:hAnsi="Times New Roman" w:cs="Times New Roman"/>
          <w:lang w:eastAsia="hu-HU"/>
        </w:rPr>
        <w:t xml:space="preserve">2019. július </w:t>
      </w:r>
      <w:r w:rsidR="003034AA" w:rsidRPr="003034AA">
        <w:rPr>
          <w:rFonts w:ascii="Times New Roman" w:eastAsia="Times New Roman" w:hAnsi="Times New Roman" w:cs="Times New Roman"/>
          <w:lang w:eastAsia="hu-HU"/>
        </w:rPr>
        <w:t>15</w:t>
      </w:r>
      <w:r w:rsidR="007C617C" w:rsidRPr="003034AA">
        <w:rPr>
          <w:rFonts w:ascii="Times New Roman" w:eastAsia="Times New Roman" w:hAnsi="Times New Roman" w:cs="Times New Roman"/>
          <w:lang w:eastAsia="hu-HU"/>
        </w:rPr>
        <w:t>.</w:t>
      </w:r>
    </w:p>
    <w:p w14:paraId="1AC304D1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469C908E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7F626E20" w14:textId="77777777" w:rsidR="002A479B" w:rsidRPr="002A479B" w:rsidRDefault="002A479B" w:rsidP="002A479B">
      <w:pPr>
        <w:numPr>
          <w:ilvl w:val="0"/>
          <w:numId w:val="12"/>
        </w:numPr>
        <w:tabs>
          <w:tab w:val="left" w:pos="561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 w:rsidRPr="002A479B">
        <w:rPr>
          <w:rFonts w:ascii="Times New Roman" w:eastAsia="Times New Roman" w:hAnsi="Times New Roman" w:cs="Times New Roman"/>
          <w:b/>
          <w:bCs/>
          <w:lang w:eastAsia="hu-HU"/>
        </w:rPr>
        <w:t>A SZÖVEG ELLENŐRZÉSÉNEK DÁTUMA</w:t>
      </w:r>
    </w:p>
    <w:p w14:paraId="7E27B9F5" w14:textId="77777777" w:rsidR="002A479B" w:rsidRPr="002A479B" w:rsidRDefault="002A479B" w:rsidP="002A479B">
      <w:pPr>
        <w:spacing w:after="0" w:line="240" w:lineRule="auto"/>
        <w:rPr>
          <w:rFonts w:ascii="Times New Roman" w:eastAsiaTheme="minorEastAsia" w:hAnsi="Times New Roman" w:cs="Times New Roman"/>
          <w:lang w:eastAsia="hu-HU"/>
        </w:rPr>
      </w:pPr>
    </w:p>
    <w:p w14:paraId="5515E16A" w14:textId="4693B407" w:rsidR="00335CD2" w:rsidRPr="00306B2D" w:rsidRDefault="00F95289" w:rsidP="00306B2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hu-HU"/>
        </w:rPr>
        <w:t>202</w:t>
      </w:r>
      <w:r w:rsidR="00FE31B8">
        <w:rPr>
          <w:rFonts w:ascii="Times New Roman" w:eastAsia="Times New Roman" w:hAnsi="Times New Roman" w:cs="Times New Roman"/>
          <w:lang w:eastAsia="hu-HU"/>
        </w:rPr>
        <w:t>2.</w:t>
      </w:r>
      <w:r w:rsidR="003F7BE6">
        <w:rPr>
          <w:rFonts w:ascii="Times New Roman" w:eastAsia="Times New Roman" w:hAnsi="Times New Roman" w:cs="Times New Roman"/>
          <w:lang w:eastAsia="hu-HU"/>
        </w:rPr>
        <w:t xml:space="preserve"> november 25.</w:t>
      </w:r>
    </w:p>
    <w:sectPr w:rsidR="00335CD2" w:rsidRPr="00306B2D" w:rsidSect="009C66D6">
      <w:headerReference w:type="default" r:id="rId8"/>
      <w:footerReference w:type="first" r:id="rId9"/>
      <w:pgSz w:w="11900" w:h="16836" w:code="9"/>
      <w:pgMar w:top="1134" w:right="1418" w:bottom="1134" w:left="1418" w:header="737" w:footer="737" w:gutter="0"/>
      <w:cols w:space="708" w:equalWidth="0">
        <w:col w:w="9046"/>
      </w:cols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243C0" w14:textId="77777777" w:rsidR="00780586" w:rsidRDefault="00780586" w:rsidP="00F627EB">
      <w:pPr>
        <w:spacing w:after="0" w:line="240" w:lineRule="auto"/>
      </w:pPr>
      <w:r>
        <w:separator/>
      </w:r>
    </w:p>
  </w:endnote>
  <w:endnote w:type="continuationSeparator" w:id="0">
    <w:p w14:paraId="54AF966B" w14:textId="77777777" w:rsidR="00780586" w:rsidRDefault="00780586" w:rsidP="00F62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E17DC" w14:textId="77777777" w:rsidR="00780586" w:rsidRPr="00780586" w:rsidRDefault="00780586" w:rsidP="00780586">
    <w:pPr>
      <w:pStyle w:val="llb"/>
      <w:rPr>
        <w:rFonts w:ascii="Times New Roman" w:hAnsi="Times New Roman" w:cs="Times New Roman"/>
        <w:sz w:val="18"/>
        <w:szCs w:val="18"/>
      </w:rPr>
    </w:pPr>
    <w:r w:rsidRPr="00780586">
      <w:rPr>
        <w:rFonts w:ascii="Times New Roman" w:hAnsi="Times New Roman" w:cs="Times New Roman"/>
        <w:sz w:val="18"/>
        <w:szCs w:val="18"/>
      </w:rPr>
      <w:t>OGYÉI/67057/2022</w:t>
    </w:r>
  </w:p>
  <w:p w14:paraId="69063D51" w14:textId="77777777" w:rsidR="00780586" w:rsidRPr="00780586" w:rsidRDefault="00780586" w:rsidP="00780586">
    <w:pPr>
      <w:pStyle w:val="llb"/>
      <w:rPr>
        <w:rFonts w:ascii="Times New Roman" w:hAnsi="Times New Roman" w:cs="Times New Roman"/>
        <w:sz w:val="18"/>
        <w:szCs w:val="18"/>
      </w:rPr>
    </w:pPr>
    <w:r w:rsidRPr="00780586">
      <w:rPr>
        <w:rFonts w:ascii="Times New Roman" w:hAnsi="Times New Roman" w:cs="Times New Roman"/>
        <w:sz w:val="18"/>
        <w:szCs w:val="18"/>
      </w:rPr>
      <w:t>OGYÉI/67062/2022</w:t>
    </w:r>
  </w:p>
  <w:p w14:paraId="71516E64" w14:textId="51EAB362" w:rsidR="00780586" w:rsidRPr="00306B2D" w:rsidRDefault="00780586">
    <w:pPr>
      <w:pStyle w:val="llb"/>
      <w:rPr>
        <w:rFonts w:ascii="Times New Roman" w:hAnsi="Times New Roman" w:cs="Times New Roman"/>
        <w:sz w:val="18"/>
        <w:szCs w:val="18"/>
      </w:rPr>
    </w:pPr>
    <w:r w:rsidRPr="00780586">
      <w:rPr>
        <w:rFonts w:ascii="Times New Roman" w:hAnsi="Times New Roman" w:cs="Times New Roman"/>
        <w:sz w:val="18"/>
        <w:szCs w:val="18"/>
      </w:rPr>
      <w:t>OGYÉI/67064/2022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5515D" w14:textId="77777777" w:rsidR="00780586" w:rsidRDefault="00780586" w:rsidP="00F627EB">
      <w:pPr>
        <w:spacing w:after="0" w:line="240" w:lineRule="auto"/>
      </w:pPr>
      <w:r>
        <w:separator/>
      </w:r>
    </w:p>
  </w:footnote>
  <w:footnote w:type="continuationSeparator" w:id="0">
    <w:p w14:paraId="5227AE23" w14:textId="77777777" w:rsidR="00780586" w:rsidRDefault="00780586" w:rsidP="00F627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08036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E2F5301" w14:textId="3C0D07E3" w:rsidR="00780586" w:rsidRPr="00306B2D" w:rsidRDefault="00780586" w:rsidP="00306B2D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306B2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306B2D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306B2D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CE18F9">
          <w:rPr>
            <w:rFonts w:ascii="Times New Roman" w:hAnsi="Times New Roman" w:cs="Times New Roman"/>
            <w:noProof/>
            <w:sz w:val="18"/>
            <w:szCs w:val="18"/>
          </w:rPr>
          <w:t>21</w:t>
        </w:r>
        <w:r w:rsidRPr="00306B2D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2C0EF"/>
    <w:multiLevelType w:val="hybridMultilevel"/>
    <w:tmpl w:val="C06A5A32"/>
    <w:lvl w:ilvl="0" w:tplc="B38C9154">
      <w:start w:val="6"/>
      <w:numFmt w:val="decimal"/>
      <w:lvlText w:val="%1."/>
      <w:lvlJc w:val="left"/>
    </w:lvl>
    <w:lvl w:ilvl="1" w:tplc="F10AAD70">
      <w:numFmt w:val="decimal"/>
      <w:lvlText w:val=""/>
      <w:lvlJc w:val="left"/>
    </w:lvl>
    <w:lvl w:ilvl="2" w:tplc="1CB0D894">
      <w:numFmt w:val="decimal"/>
      <w:lvlText w:val=""/>
      <w:lvlJc w:val="left"/>
    </w:lvl>
    <w:lvl w:ilvl="3" w:tplc="5302FB3C">
      <w:numFmt w:val="decimal"/>
      <w:lvlText w:val=""/>
      <w:lvlJc w:val="left"/>
    </w:lvl>
    <w:lvl w:ilvl="4" w:tplc="B78865F4">
      <w:numFmt w:val="decimal"/>
      <w:lvlText w:val=""/>
      <w:lvlJc w:val="left"/>
    </w:lvl>
    <w:lvl w:ilvl="5" w:tplc="BD0AE0FC">
      <w:numFmt w:val="decimal"/>
      <w:lvlText w:val=""/>
      <w:lvlJc w:val="left"/>
    </w:lvl>
    <w:lvl w:ilvl="6" w:tplc="DE4E0602">
      <w:numFmt w:val="decimal"/>
      <w:lvlText w:val=""/>
      <w:lvlJc w:val="left"/>
    </w:lvl>
    <w:lvl w:ilvl="7" w:tplc="F23A3EC8">
      <w:numFmt w:val="decimal"/>
      <w:lvlText w:val=""/>
      <w:lvlJc w:val="left"/>
    </w:lvl>
    <w:lvl w:ilvl="8" w:tplc="F538F4B4">
      <w:numFmt w:val="decimal"/>
      <w:lvlText w:val=""/>
      <w:lvlJc w:val="left"/>
    </w:lvl>
  </w:abstractNum>
  <w:abstractNum w:abstractNumId="1" w15:restartNumberingAfterBreak="0">
    <w:nsid w:val="1803D089"/>
    <w:multiLevelType w:val="hybridMultilevel"/>
    <w:tmpl w:val="E124DEAE"/>
    <w:lvl w:ilvl="0" w:tplc="42D41B66">
      <w:start w:val="8"/>
      <w:numFmt w:val="decimal"/>
      <w:lvlText w:val="%1."/>
      <w:lvlJc w:val="left"/>
    </w:lvl>
    <w:lvl w:ilvl="1" w:tplc="9048B004">
      <w:numFmt w:val="decimal"/>
      <w:lvlText w:val=""/>
      <w:lvlJc w:val="left"/>
    </w:lvl>
    <w:lvl w:ilvl="2" w:tplc="F9CED8C8">
      <w:numFmt w:val="decimal"/>
      <w:lvlText w:val=""/>
      <w:lvlJc w:val="left"/>
    </w:lvl>
    <w:lvl w:ilvl="3" w:tplc="28A49A4C">
      <w:numFmt w:val="decimal"/>
      <w:lvlText w:val=""/>
      <w:lvlJc w:val="left"/>
    </w:lvl>
    <w:lvl w:ilvl="4" w:tplc="C9A66F42">
      <w:numFmt w:val="decimal"/>
      <w:lvlText w:val=""/>
      <w:lvlJc w:val="left"/>
    </w:lvl>
    <w:lvl w:ilvl="5" w:tplc="9FC2611E">
      <w:numFmt w:val="decimal"/>
      <w:lvlText w:val=""/>
      <w:lvlJc w:val="left"/>
    </w:lvl>
    <w:lvl w:ilvl="6" w:tplc="1AD0E886">
      <w:numFmt w:val="decimal"/>
      <w:lvlText w:val=""/>
      <w:lvlJc w:val="left"/>
    </w:lvl>
    <w:lvl w:ilvl="7" w:tplc="12D26480">
      <w:numFmt w:val="decimal"/>
      <w:lvlText w:val=""/>
      <w:lvlJc w:val="left"/>
    </w:lvl>
    <w:lvl w:ilvl="8" w:tplc="11764366">
      <w:numFmt w:val="decimal"/>
      <w:lvlText w:val=""/>
      <w:lvlJc w:val="left"/>
    </w:lvl>
  </w:abstractNum>
  <w:abstractNum w:abstractNumId="2" w15:restartNumberingAfterBreak="0">
    <w:nsid w:val="27EDFE3A"/>
    <w:multiLevelType w:val="hybridMultilevel"/>
    <w:tmpl w:val="35C2ACDA"/>
    <w:lvl w:ilvl="0" w:tplc="91A4ABB8">
      <w:start w:val="4"/>
      <w:numFmt w:val="decimal"/>
      <w:lvlText w:val="%1."/>
      <w:lvlJc w:val="left"/>
    </w:lvl>
    <w:lvl w:ilvl="1" w:tplc="5B183362">
      <w:numFmt w:val="decimal"/>
      <w:lvlText w:val=""/>
      <w:lvlJc w:val="left"/>
    </w:lvl>
    <w:lvl w:ilvl="2" w:tplc="7F5A0CDA">
      <w:numFmt w:val="decimal"/>
      <w:lvlText w:val=""/>
      <w:lvlJc w:val="left"/>
    </w:lvl>
    <w:lvl w:ilvl="3" w:tplc="4A9CA6C0">
      <w:numFmt w:val="decimal"/>
      <w:lvlText w:val=""/>
      <w:lvlJc w:val="left"/>
    </w:lvl>
    <w:lvl w:ilvl="4" w:tplc="9538331E">
      <w:numFmt w:val="decimal"/>
      <w:lvlText w:val=""/>
      <w:lvlJc w:val="left"/>
    </w:lvl>
    <w:lvl w:ilvl="5" w:tplc="61E4DE4E">
      <w:numFmt w:val="decimal"/>
      <w:lvlText w:val=""/>
      <w:lvlJc w:val="left"/>
    </w:lvl>
    <w:lvl w:ilvl="6" w:tplc="DFDA3D48">
      <w:numFmt w:val="decimal"/>
      <w:lvlText w:val=""/>
      <w:lvlJc w:val="left"/>
    </w:lvl>
    <w:lvl w:ilvl="7" w:tplc="6F047F2A">
      <w:numFmt w:val="decimal"/>
      <w:lvlText w:val=""/>
      <w:lvlJc w:val="left"/>
    </w:lvl>
    <w:lvl w:ilvl="8" w:tplc="E6E46546">
      <w:numFmt w:val="decimal"/>
      <w:lvlText w:val=""/>
      <w:lvlJc w:val="left"/>
    </w:lvl>
  </w:abstractNum>
  <w:abstractNum w:abstractNumId="3" w15:restartNumberingAfterBreak="0">
    <w:nsid w:val="2E5B12B8"/>
    <w:multiLevelType w:val="hybridMultilevel"/>
    <w:tmpl w:val="E278974A"/>
    <w:lvl w:ilvl="0" w:tplc="712E7370">
      <w:start w:val="1"/>
      <w:numFmt w:val="bullet"/>
      <w:lvlText w:val="•"/>
      <w:lvlJc w:val="left"/>
    </w:lvl>
    <w:lvl w:ilvl="1" w:tplc="2A66EE68">
      <w:numFmt w:val="decimal"/>
      <w:lvlText w:val=""/>
      <w:lvlJc w:val="left"/>
    </w:lvl>
    <w:lvl w:ilvl="2" w:tplc="A00694E6">
      <w:numFmt w:val="decimal"/>
      <w:lvlText w:val=""/>
      <w:lvlJc w:val="left"/>
    </w:lvl>
    <w:lvl w:ilvl="3" w:tplc="C80AA6F8">
      <w:numFmt w:val="decimal"/>
      <w:lvlText w:val=""/>
      <w:lvlJc w:val="left"/>
    </w:lvl>
    <w:lvl w:ilvl="4" w:tplc="220C84DC">
      <w:numFmt w:val="decimal"/>
      <w:lvlText w:val=""/>
      <w:lvlJc w:val="left"/>
    </w:lvl>
    <w:lvl w:ilvl="5" w:tplc="4BCC1E54">
      <w:numFmt w:val="decimal"/>
      <w:lvlText w:val=""/>
      <w:lvlJc w:val="left"/>
    </w:lvl>
    <w:lvl w:ilvl="6" w:tplc="DE68B782">
      <w:numFmt w:val="decimal"/>
      <w:lvlText w:val=""/>
      <w:lvlJc w:val="left"/>
    </w:lvl>
    <w:lvl w:ilvl="7" w:tplc="76924B44">
      <w:numFmt w:val="decimal"/>
      <w:lvlText w:val=""/>
      <w:lvlJc w:val="left"/>
    </w:lvl>
    <w:lvl w:ilvl="8" w:tplc="08EA4CB8">
      <w:numFmt w:val="decimal"/>
      <w:lvlText w:val=""/>
      <w:lvlJc w:val="left"/>
    </w:lvl>
  </w:abstractNum>
  <w:abstractNum w:abstractNumId="4" w15:restartNumberingAfterBreak="0">
    <w:nsid w:val="334A6F1F"/>
    <w:multiLevelType w:val="hybridMultilevel"/>
    <w:tmpl w:val="67547830"/>
    <w:lvl w:ilvl="0" w:tplc="2DDCAB0A">
      <w:start w:val="1"/>
      <w:numFmt w:val="bullet"/>
      <w:lvlText w:val="•"/>
      <w:lvlJc w:val="left"/>
    </w:lvl>
    <w:lvl w:ilvl="1" w:tplc="34BC7590">
      <w:numFmt w:val="decimal"/>
      <w:lvlText w:val=""/>
      <w:lvlJc w:val="left"/>
    </w:lvl>
    <w:lvl w:ilvl="2" w:tplc="A35A60C6">
      <w:numFmt w:val="decimal"/>
      <w:lvlText w:val=""/>
      <w:lvlJc w:val="left"/>
    </w:lvl>
    <w:lvl w:ilvl="3" w:tplc="E90278A2">
      <w:numFmt w:val="decimal"/>
      <w:lvlText w:val=""/>
      <w:lvlJc w:val="left"/>
    </w:lvl>
    <w:lvl w:ilvl="4" w:tplc="5C409C4A">
      <w:numFmt w:val="decimal"/>
      <w:lvlText w:val=""/>
      <w:lvlJc w:val="left"/>
    </w:lvl>
    <w:lvl w:ilvl="5" w:tplc="2EFCEA96">
      <w:numFmt w:val="decimal"/>
      <w:lvlText w:val=""/>
      <w:lvlJc w:val="left"/>
    </w:lvl>
    <w:lvl w:ilvl="6" w:tplc="35929BDC">
      <w:numFmt w:val="decimal"/>
      <w:lvlText w:val=""/>
      <w:lvlJc w:val="left"/>
    </w:lvl>
    <w:lvl w:ilvl="7" w:tplc="CBE6EC14">
      <w:numFmt w:val="decimal"/>
      <w:lvlText w:val=""/>
      <w:lvlJc w:val="left"/>
    </w:lvl>
    <w:lvl w:ilvl="8" w:tplc="62582D28">
      <w:numFmt w:val="decimal"/>
      <w:lvlText w:val=""/>
      <w:lvlJc w:val="left"/>
    </w:lvl>
  </w:abstractNum>
  <w:abstractNum w:abstractNumId="5" w15:restartNumberingAfterBreak="0">
    <w:nsid w:val="4F3A06D4"/>
    <w:multiLevelType w:val="hybridMultilevel"/>
    <w:tmpl w:val="086A4292"/>
    <w:lvl w:ilvl="0" w:tplc="6B5E51F8">
      <w:start w:val="9"/>
      <w:numFmt w:val="decimal"/>
      <w:lvlText w:val="%1."/>
      <w:lvlJc w:val="left"/>
    </w:lvl>
    <w:lvl w:ilvl="1" w:tplc="E7CE5E68">
      <w:numFmt w:val="decimal"/>
      <w:lvlText w:val=""/>
      <w:lvlJc w:val="left"/>
    </w:lvl>
    <w:lvl w:ilvl="2" w:tplc="21A65106">
      <w:numFmt w:val="decimal"/>
      <w:lvlText w:val=""/>
      <w:lvlJc w:val="left"/>
    </w:lvl>
    <w:lvl w:ilvl="3" w:tplc="D5548228">
      <w:numFmt w:val="decimal"/>
      <w:lvlText w:val=""/>
      <w:lvlJc w:val="left"/>
    </w:lvl>
    <w:lvl w:ilvl="4" w:tplc="C4C0A728">
      <w:numFmt w:val="decimal"/>
      <w:lvlText w:val=""/>
      <w:lvlJc w:val="left"/>
    </w:lvl>
    <w:lvl w:ilvl="5" w:tplc="42087DD8">
      <w:numFmt w:val="decimal"/>
      <w:lvlText w:val=""/>
      <w:lvlJc w:val="left"/>
    </w:lvl>
    <w:lvl w:ilvl="6" w:tplc="3EA23AFA">
      <w:numFmt w:val="decimal"/>
      <w:lvlText w:val=""/>
      <w:lvlJc w:val="left"/>
    </w:lvl>
    <w:lvl w:ilvl="7" w:tplc="F97EF132">
      <w:numFmt w:val="decimal"/>
      <w:lvlText w:val=""/>
      <w:lvlJc w:val="left"/>
    </w:lvl>
    <w:lvl w:ilvl="8" w:tplc="CCD20B08">
      <w:numFmt w:val="decimal"/>
      <w:lvlText w:val=""/>
      <w:lvlJc w:val="left"/>
    </w:lvl>
  </w:abstractNum>
  <w:abstractNum w:abstractNumId="6" w15:restartNumberingAfterBreak="0">
    <w:nsid w:val="52AC7DFF"/>
    <w:multiLevelType w:val="hybridMultilevel"/>
    <w:tmpl w:val="A79ECFE0"/>
    <w:lvl w:ilvl="0" w:tplc="48C28B46">
      <w:start w:val="1"/>
      <w:numFmt w:val="bullet"/>
      <w:lvlText w:val="-"/>
      <w:lvlJc w:val="left"/>
    </w:lvl>
    <w:lvl w:ilvl="1" w:tplc="956E229E">
      <w:numFmt w:val="decimal"/>
      <w:lvlText w:val=""/>
      <w:lvlJc w:val="left"/>
    </w:lvl>
    <w:lvl w:ilvl="2" w:tplc="86422B1A">
      <w:numFmt w:val="decimal"/>
      <w:lvlText w:val=""/>
      <w:lvlJc w:val="left"/>
    </w:lvl>
    <w:lvl w:ilvl="3" w:tplc="DC5C70BE">
      <w:numFmt w:val="decimal"/>
      <w:lvlText w:val=""/>
      <w:lvlJc w:val="left"/>
    </w:lvl>
    <w:lvl w:ilvl="4" w:tplc="861E97DC">
      <w:numFmt w:val="decimal"/>
      <w:lvlText w:val=""/>
      <w:lvlJc w:val="left"/>
    </w:lvl>
    <w:lvl w:ilvl="5" w:tplc="7AA46FE2">
      <w:numFmt w:val="decimal"/>
      <w:lvlText w:val=""/>
      <w:lvlJc w:val="left"/>
    </w:lvl>
    <w:lvl w:ilvl="6" w:tplc="A602345C">
      <w:numFmt w:val="decimal"/>
      <w:lvlText w:val=""/>
      <w:lvlJc w:val="left"/>
    </w:lvl>
    <w:lvl w:ilvl="7" w:tplc="37B6D07C">
      <w:numFmt w:val="decimal"/>
      <w:lvlText w:val=""/>
      <w:lvlJc w:val="left"/>
    </w:lvl>
    <w:lvl w:ilvl="8" w:tplc="AA1A2970">
      <w:numFmt w:val="decimal"/>
      <w:lvlText w:val=""/>
      <w:lvlJc w:val="left"/>
    </w:lvl>
  </w:abstractNum>
  <w:abstractNum w:abstractNumId="7" w15:restartNumberingAfterBreak="0">
    <w:nsid w:val="57C5BB4F"/>
    <w:multiLevelType w:val="hybridMultilevel"/>
    <w:tmpl w:val="536A950A"/>
    <w:lvl w:ilvl="0" w:tplc="362A7BFA">
      <w:start w:val="7"/>
      <w:numFmt w:val="decimal"/>
      <w:lvlText w:val="%1."/>
      <w:lvlJc w:val="left"/>
    </w:lvl>
    <w:lvl w:ilvl="1" w:tplc="8B9A1EA4">
      <w:numFmt w:val="decimal"/>
      <w:lvlText w:val=""/>
      <w:lvlJc w:val="left"/>
    </w:lvl>
    <w:lvl w:ilvl="2" w:tplc="EE0A8832">
      <w:numFmt w:val="decimal"/>
      <w:lvlText w:val=""/>
      <w:lvlJc w:val="left"/>
    </w:lvl>
    <w:lvl w:ilvl="3" w:tplc="7D2C85FE">
      <w:numFmt w:val="decimal"/>
      <w:lvlText w:val=""/>
      <w:lvlJc w:val="left"/>
    </w:lvl>
    <w:lvl w:ilvl="4" w:tplc="D7F45376">
      <w:numFmt w:val="decimal"/>
      <w:lvlText w:val=""/>
      <w:lvlJc w:val="left"/>
    </w:lvl>
    <w:lvl w:ilvl="5" w:tplc="56F201F8">
      <w:numFmt w:val="decimal"/>
      <w:lvlText w:val=""/>
      <w:lvlJc w:val="left"/>
    </w:lvl>
    <w:lvl w:ilvl="6" w:tplc="C2BAF698">
      <w:numFmt w:val="decimal"/>
      <w:lvlText w:val=""/>
      <w:lvlJc w:val="left"/>
    </w:lvl>
    <w:lvl w:ilvl="7" w:tplc="D1AC64F0">
      <w:numFmt w:val="decimal"/>
      <w:lvlText w:val=""/>
      <w:lvlJc w:val="left"/>
    </w:lvl>
    <w:lvl w:ilvl="8" w:tplc="B014644A">
      <w:numFmt w:val="decimal"/>
      <w:lvlText w:val=""/>
      <w:lvlJc w:val="left"/>
    </w:lvl>
  </w:abstractNum>
  <w:abstractNum w:abstractNumId="8" w15:restartNumberingAfterBreak="0">
    <w:nsid w:val="57CE66B4"/>
    <w:multiLevelType w:val="hybridMultilevel"/>
    <w:tmpl w:val="362223BE"/>
    <w:lvl w:ilvl="0" w:tplc="7BDC03C4">
      <w:start w:val="1"/>
      <w:numFmt w:val="decimal"/>
      <w:lvlText w:val="%1."/>
      <w:lvlJc w:val="left"/>
    </w:lvl>
    <w:lvl w:ilvl="1" w:tplc="F12269A8">
      <w:numFmt w:val="decimal"/>
      <w:lvlText w:val=""/>
      <w:lvlJc w:val="left"/>
    </w:lvl>
    <w:lvl w:ilvl="2" w:tplc="D66446C6">
      <w:numFmt w:val="decimal"/>
      <w:lvlText w:val=""/>
      <w:lvlJc w:val="left"/>
    </w:lvl>
    <w:lvl w:ilvl="3" w:tplc="6CD47B6C">
      <w:numFmt w:val="decimal"/>
      <w:lvlText w:val=""/>
      <w:lvlJc w:val="left"/>
    </w:lvl>
    <w:lvl w:ilvl="4" w:tplc="3F1C69D8">
      <w:numFmt w:val="decimal"/>
      <w:lvlText w:val=""/>
      <w:lvlJc w:val="left"/>
    </w:lvl>
    <w:lvl w:ilvl="5" w:tplc="2132CB1E">
      <w:numFmt w:val="decimal"/>
      <w:lvlText w:val=""/>
      <w:lvlJc w:val="left"/>
    </w:lvl>
    <w:lvl w:ilvl="6" w:tplc="E1A642DA">
      <w:numFmt w:val="decimal"/>
      <w:lvlText w:val=""/>
      <w:lvlJc w:val="left"/>
    </w:lvl>
    <w:lvl w:ilvl="7" w:tplc="028ADA36">
      <w:numFmt w:val="decimal"/>
      <w:lvlText w:val=""/>
      <w:lvlJc w:val="left"/>
    </w:lvl>
    <w:lvl w:ilvl="8" w:tplc="D344789E">
      <w:numFmt w:val="decimal"/>
      <w:lvlText w:val=""/>
      <w:lvlJc w:val="left"/>
    </w:lvl>
  </w:abstractNum>
  <w:abstractNum w:abstractNumId="9" w15:restartNumberingAfterBreak="0">
    <w:nsid w:val="5953172F"/>
    <w:multiLevelType w:val="hybridMultilevel"/>
    <w:tmpl w:val="71C8A8B4"/>
    <w:lvl w:ilvl="0" w:tplc="82A4706E">
      <w:start w:val="3"/>
      <w:numFmt w:val="decimal"/>
      <w:lvlText w:val="%1."/>
      <w:lvlJc w:val="left"/>
    </w:lvl>
    <w:lvl w:ilvl="1" w:tplc="AA5C2B84">
      <w:numFmt w:val="decimal"/>
      <w:lvlText w:val=""/>
      <w:lvlJc w:val="left"/>
    </w:lvl>
    <w:lvl w:ilvl="2" w:tplc="D608AD74">
      <w:numFmt w:val="decimal"/>
      <w:lvlText w:val=""/>
      <w:lvlJc w:val="left"/>
    </w:lvl>
    <w:lvl w:ilvl="3" w:tplc="E69443F8">
      <w:numFmt w:val="decimal"/>
      <w:lvlText w:val=""/>
      <w:lvlJc w:val="left"/>
    </w:lvl>
    <w:lvl w:ilvl="4" w:tplc="CD9C82C0">
      <w:numFmt w:val="decimal"/>
      <w:lvlText w:val=""/>
      <w:lvlJc w:val="left"/>
    </w:lvl>
    <w:lvl w:ilvl="5" w:tplc="8DC07142">
      <w:numFmt w:val="decimal"/>
      <w:lvlText w:val=""/>
      <w:lvlJc w:val="left"/>
    </w:lvl>
    <w:lvl w:ilvl="6" w:tplc="66CC2F18">
      <w:numFmt w:val="decimal"/>
      <w:lvlText w:val=""/>
      <w:lvlJc w:val="left"/>
    </w:lvl>
    <w:lvl w:ilvl="7" w:tplc="2686427C">
      <w:numFmt w:val="decimal"/>
      <w:lvlText w:val=""/>
      <w:lvlJc w:val="left"/>
    </w:lvl>
    <w:lvl w:ilvl="8" w:tplc="ED2E91BA">
      <w:numFmt w:val="decimal"/>
      <w:lvlText w:val=""/>
      <w:lvlJc w:val="left"/>
    </w:lvl>
  </w:abstractNum>
  <w:abstractNum w:abstractNumId="10" w15:restartNumberingAfterBreak="0">
    <w:nsid w:val="59A377B6"/>
    <w:multiLevelType w:val="hybridMultilevel"/>
    <w:tmpl w:val="9E104F84"/>
    <w:lvl w:ilvl="0" w:tplc="F0C41B14">
      <w:start w:val="10"/>
      <w:numFmt w:val="decimal"/>
      <w:lvlText w:val="%1."/>
      <w:lvlJc w:val="left"/>
    </w:lvl>
    <w:lvl w:ilvl="1" w:tplc="562EAAE6">
      <w:numFmt w:val="decimal"/>
      <w:lvlText w:val=""/>
      <w:lvlJc w:val="left"/>
    </w:lvl>
    <w:lvl w:ilvl="2" w:tplc="EDB624A0">
      <w:numFmt w:val="decimal"/>
      <w:lvlText w:val=""/>
      <w:lvlJc w:val="left"/>
    </w:lvl>
    <w:lvl w:ilvl="3" w:tplc="7A1CFFBE">
      <w:numFmt w:val="decimal"/>
      <w:lvlText w:val=""/>
      <w:lvlJc w:val="left"/>
    </w:lvl>
    <w:lvl w:ilvl="4" w:tplc="E0D61928">
      <w:numFmt w:val="decimal"/>
      <w:lvlText w:val=""/>
      <w:lvlJc w:val="left"/>
    </w:lvl>
    <w:lvl w:ilvl="5" w:tplc="9AC4E380">
      <w:numFmt w:val="decimal"/>
      <w:lvlText w:val=""/>
      <w:lvlJc w:val="left"/>
    </w:lvl>
    <w:lvl w:ilvl="6" w:tplc="67CA4F16">
      <w:numFmt w:val="decimal"/>
      <w:lvlText w:val=""/>
      <w:lvlJc w:val="left"/>
    </w:lvl>
    <w:lvl w:ilvl="7" w:tplc="5B76128A">
      <w:numFmt w:val="decimal"/>
      <w:lvlText w:val=""/>
      <w:lvlJc w:val="left"/>
    </w:lvl>
    <w:lvl w:ilvl="8" w:tplc="7C961A36">
      <w:numFmt w:val="decimal"/>
      <w:lvlText w:val=""/>
      <w:lvlJc w:val="left"/>
    </w:lvl>
  </w:abstractNum>
  <w:abstractNum w:abstractNumId="11" w15:restartNumberingAfterBreak="0">
    <w:nsid w:val="67A70B69"/>
    <w:multiLevelType w:val="hybridMultilevel"/>
    <w:tmpl w:val="B21431FE"/>
    <w:lvl w:ilvl="0" w:tplc="65E8EEDE">
      <w:start w:val="2"/>
      <w:numFmt w:val="decimal"/>
      <w:lvlText w:val="%1."/>
      <w:lvlJc w:val="left"/>
    </w:lvl>
    <w:lvl w:ilvl="1" w:tplc="680E5322">
      <w:numFmt w:val="decimal"/>
      <w:lvlText w:val=""/>
      <w:lvlJc w:val="left"/>
    </w:lvl>
    <w:lvl w:ilvl="2" w:tplc="D2B04F88">
      <w:numFmt w:val="decimal"/>
      <w:lvlText w:val=""/>
      <w:lvlJc w:val="left"/>
    </w:lvl>
    <w:lvl w:ilvl="3" w:tplc="A6B03932">
      <w:numFmt w:val="decimal"/>
      <w:lvlText w:val=""/>
      <w:lvlJc w:val="left"/>
    </w:lvl>
    <w:lvl w:ilvl="4" w:tplc="93B8945A">
      <w:numFmt w:val="decimal"/>
      <w:lvlText w:val=""/>
      <w:lvlJc w:val="left"/>
    </w:lvl>
    <w:lvl w:ilvl="5" w:tplc="BD6A23FE">
      <w:numFmt w:val="decimal"/>
      <w:lvlText w:val=""/>
      <w:lvlJc w:val="left"/>
    </w:lvl>
    <w:lvl w:ilvl="6" w:tplc="23F606C0">
      <w:numFmt w:val="decimal"/>
      <w:lvlText w:val=""/>
      <w:lvlJc w:val="left"/>
    </w:lvl>
    <w:lvl w:ilvl="7" w:tplc="5EDA4BA0">
      <w:numFmt w:val="decimal"/>
      <w:lvlText w:val=""/>
      <w:lvlJc w:val="left"/>
    </w:lvl>
    <w:lvl w:ilvl="8" w:tplc="AC7C7B4C">
      <w:numFmt w:val="decimal"/>
      <w:lvlText w:val=""/>
      <w:lvlJc w:val="left"/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0"/>
  </w:num>
  <w:num w:numId="9">
    <w:abstractNumId w:val="7"/>
  </w:num>
  <w:num w:numId="10">
    <w:abstractNumId w:val="1"/>
  </w:num>
  <w:num w:numId="11">
    <w:abstractNumId w:val="5"/>
  </w:num>
  <w:num w:numId="12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79B"/>
    <w:rsid w:val="00046358"/>
    <w:rsid w:val="00062EE6"/>
    <w:rsid w:val="0007773A"/>
    <w:rsid w:val="0008756D"/>
    <w:rsid w:val="000A1B87"/>
    <w:rsid w:val="000D214B"/>
    <w:rsid w:val="000E3354"/>
    <w:rsid w:val="00112374"/>
    <w:rsid w:val="00120C49"/>
    <w:rsid w:val="00123B16"/>
    <w:rsid w:val="001343A4"/>
    <w:rsid w:val="00135ABB"/>
    <w:rsid w:val="00135F81"/>
    <w:rsid w:val="00140A50"/>
    <w:rsid w:val="00163730"/>
    <w:rsid w:val="00175B02"/>
    <w:rsid w:val="00194695"/>
    <w:rsid w:val="001A38B2"/>
    <w:rsid w:val="001E2991"/>
    <w:rsid w:val="00206E09"/>
    <w:rsid w:val="00254A99"/>
    <w:rsid w:val="00296727"/>
    <w:rsid w:val="002A0939"/>
    <w:rsid w:val="002A479B"/>
    <w:rsid w:val="002B7B6F"/>
    <w:rsid w:val="002C51F4"/>
    <w:rsid w:val="002E75B7"/>
    <w:rsid w:val="003034AA"/>
    <w:rsid w:val="00306B2D"/>
    <w:rsid w:val="00335CD2"/>
    <w:rsid w:val="003423F1"/>
    <w:rsid w:val="00367859"/>
    <w:rsid w:val="00370388"/>
    <w:rsid w:val="0039305A"/>
    <w:rsid w:val="00395570"/>
    <w:rsid w:val="003B3A6C"/>
    <w:rsid w:val="003B6BCE"/>
    <w:rsid w:val="003C09D4"/>
    <w:rsid w:val="003F19D7"/>
    <w:rsid w:val="003F7BE6"/>
    <w:rsid w:val="00413ED6"/>
    <w:rsid w:val="004437D9"/>
    <w:rsid w:val="00455313"/>
    <w:rsid w:val="00476490"/>
    <w:rsid w:val="004B2115"/>
    <w:rsid w:val="004B4A9B"/>
    <w:rsid w:val="004E190F"/>
    <w:rsid w:val="004E6B25"/>
    <w:rsid w:val="00501592"/>
    <w:rsid w:val="005232EB"/>
    <w:rsid w:val="005255F0"/>
    <w:rsid w:val="00530C51"/>
    <w:rsid w:val="00582C93"/>
    <w:rsid w:val="005A503E"/>
    <w:rsid w:val="005C0F4D"/>
    <w:rsid w:val="005E4EC1"/>
    <w:rsid w:val="005F057A"/>
    <w:rsid w:val="006161AE"/>
    <w:rsid w:val="006248E2"/>
    <w:rsid w:val="00636507"/>
    <w:rsid w:val="00637828"/>
    <w:rsid w:val="0067183A"/>
    <w:rsid w:val="0068174E"/>
    <w:rsid w:val="006E611B"/>
    <w:rsid w:val="00700CA0"/>
    <w:rsid w:val="00727E84"/>
    <w:rsid w:val="00746561"/>
    <w:rsid w:val="007737DA"/>
    <w:rsid w:val="0077574F"/>
    <w:rsid w:val="00780586"/>
    <w:rsid w:val="00793E29"/>
    <w:rsid w:val="007B51BD"/>
    <w:rsid w:val="007C5420"/>
    <w:rsid w:val="007C542E"/>
    <w:rsid w:val="007C617C"/>
    <w:rsid w:val="007D507F"/>
    <w:rsid w:val="007E4440"/>
    <w:rsid w:val="007F1461"/>
    <w:rsid w:val="00821AB0"/>
    <w:rsid w:val="00854A8F"/>
    <w:rsid w:val="008629E1"/>
    <w:rsid w:val="0087668C"/>
    <w:rsid w:val="008824E9"/>
    <w:rsid w:val="008C40A6"/>
    <w:rsid w:val="008F3D90"/>
    <w:rsid w:val="009066FD"/>
    <w:rsid w:val="00907E86"/>
    <w:rsid w:val="00914825"/>
    <w:rsid w:val="00923E14"/>
    <w:rsid w:val="00937061"/>
    <w:rsid w:val="00944597"/>
    <w:rsid w:val="00982A7E"/>
    <w:rsid w:val="009844E4"/>
    <w:rsid w:val="009C6547"/>
    <w:rsid w:val="009C66D6"/>
    <w:rsid w:val="009E2B9E"/>
    <w:rsid w:val="00A06EF9"/>
    <w:rsid w:val="00A124BC"/>
    <w:rsid w:val="00A1654B"/>
    <w:rsid w:val="00A35E84"/>
    <w:rsid w:val="00A42794"/>
    <w:rsid w:val="00A615EC"/>
    <w:rsid w:val="00A6298F"/>
    <w:rsid w:val="00AD65F6"/>
    <w:rsid w:val="00AF1A09"/>
    <w:rsid w:val="00AF22A1"/>
    <w:rsid w:val="00B5150B"/>
    <w:rsid w:val="00B901D4"/>
    <w:rsid w:val="00BE7962"/>
    <w:rsid w:val="00BF4520"/>
    <w:rsid w:val="00BF4E4E"/>
    <w:rsid w:val="00C13C0A"/>
    <w:rsid w:val="00C210C3"/>
    <w:rsid w:val="00C40528"/>
    <w:rsid w:val="00C40976"/>
    <w:rsid w:val="00C45C06"/>
    <w:rsid w:val="00CD131C"/>
    <w:rsid w:val="00CE18F9"/>
    <w:rsid w:val="00CE47D9"/>
    <w:rsid w:val="00CE79BC"/>
    <w:rsid w:val="00CE7FBA"/>
    <w:rsid w:val="00D06F85"/>
    <w:rsid w:val="00D4564A"/>
    <w:rsid w:val="00D72B92"/>
    <w:rsid w:val="00DA0CA2"/>
    <w:rsid w:val="00E238F7"/>
    <w:rsid w:val="00E31A8F"/>
    <w:rsid w:val="00E32D5F"/>
    <w:rsid w:val="00E400E5"/>
    <w:rsid w:val="00E4086F"/>
    <w:rsid w:val="00E546F6"/>
    <w:rsid w:val="00E753F6"/>
    <w:rsid w:val="00EB2D9D"/>
    <w:rsid w:val="00EE1731"/>
    <w:rsid w:val="00EE22F6"/>
    <w:rsid w:val="00EE3C8E"/>
    <w:rsid w:val="00EE4073"/>
    <w:rsid w:val="00F0408D"/>
    <w:rsid w:val="00F11AFB"/>
    <w:rsid w:val="00F14E4C"/>
    <w:rsid w:val="00F5691E"/>
    <w:rsid w:val="00F627EB"/>
    <w:rsid w:val="00F95289"/>
    <w:rsid w:val="00FB69E1"/>
    <w:rsid w:val="00FC1DB7"/>
    <w:rsid w:val="00FC1FC7"/>
    <w:rsid w:val="00FD6C1A"/>
    <w:rsid w:val="00FE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8FB2E"/>
  <w15:docId w15:val="{F5B8C7F0-7917-4384-904B-755BAFB81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numbering" w:customStyle="1" w:styleId="Nemlista1">
    <w:name w:val="Nem lista1"/>
    <w:next w:val="Nemlista"/>
    <w:uiPriority w:val="99"/>
    <w:semiHidden/>
    <w:unhideWhenUsed/>
    <w:rsid w:val="002A479B"/>
  </w:style>
  <w:style w:type="paragraph" w:styleId="Buborkszveg">
    <w:name w:val="Balloon Text"/>
    <w:basedOn w:val="Norml"/>
    <w:link w:val="BuborkszvegChar"/>
    <w:uiPriority w:val="99"/>
    <w:semiHidden/>
    <w:unhideWhenUsed/>
    <w:rsid w:val="002A479B"/>
    <w:pPr>
      <w:spacing w:after="0" w:line="240" w:lineRule="auto"/>
    </w:pPr>
    <w:rPr>
      <w:rFonts w:ascii="Tahoma" w:eastAsiaTheme="minorEastAsia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479B"/>
    <w:rPr>
      <w:rFonts w:ascii="Tahoma" w:eastAsiaTheme="minorEastAsia" w:hAnsi="Tahoma" w:cs="Tahoma"/>
      <w:sz w:val="16"/>
      <w:szCs w:val="16"/>
      <w:lang w:eastAsia="hu-HU"/>
    </w:rPr>
  </w:style>
  <w:style w:type="paragraph" w:customStyle="1" w:styleId="EMEAEnBodyText">
    <w:name w:val="EMEA En Body Text"/>
    <w:basedOn w:val="Norml"/>
    <w:rsid w:val="002A479B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styleId="Listaszerbekezds">
    <w:name w:val="List Paragraph"/>
    <w:basedOn w:val="Norml"/>
    <w:uiPriority w:val="34"/>
    <w:qFormat/>
    <w:rsid w:val="002A479B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lang w:eastAsia="hu-HU"/>
    </w:rPr>
  </w:style>
  <w:style w:type="table" w:styleId="Rcsostblzat">
    <w:name w:val="Table Grid"/>
    <w:basedOn w:val="Normltblzat"/>
    <w:uiPriority w:val="59"/>
    <w:rsid w:val="002A479B"/>
    <w:pPr>
      <w:spacing w:after="0" w:line="240" w:lineRule="auto"/>
    </w:pPr>
    <w:rPr>
      <w:rFonts w:ascii="Times New Roman" w:eastAsiaTheme="minorEastAsia" w:hAnsi="Times New Roman" w:cs="Times New Roman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basedOn w:val="Bekezdsalapbettpusa"/>
    <w:rsid w:val="002A479B"/>
  </w:style>
  <w:style w:type="paragraph" w:customStyle="1" w:styleId="Default">
    <w:name w:val="Default"/>
    <w:rsid w:val="002A47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6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627EB"/>
  </w:style>
  <w:style w:type="paragraph" w:styleId="llb">
    <w:name w:val="footer"/>
    <w:basedOn w:val="Norml"/>
    <w:link w:val="llbChar"/>
    <w:uiPriority w:val="99"/>
    <w:unhideWhenUsed/>
    <w:rsid w:val="00F6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627EB"/>
  </w:style>
  <w:style w:type="paragraph" w:styleId="Vltozat">
    <w:name w:val="Revision"/>
    <w:hidden/>
    <w:uiPriority w:val="99"/>
    <w:semiHidden/>
    <w:rsid w:val="00CD13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4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8282</Words>
  <Characters>57152</Characters>
  <Application>Microsoft Office Word</Application>
  <DocSecurity>0</DocSecurity>
  <Lines>476</Lines>
  <Paragraphs>130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Vanda Városi</dc:creator>
  <cp:lastModifiedBy>HU_OGYI_50.1</cp:lastModifiedBy>
  <cp:revision>2</cp:revision>
  <dcterms:created xsi:type="dcterms:W3CDTF">2023-03-10T13:01:00Z</dcterms:created>
  <dcterms:modified xsi:type="dcterms:W3CDTF">2023-03-10T13:01:00Z</dcterms:modified>
</cp:coreProperties>
</file>